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BC11C5" w:rsidRDefault="00630CD1" w:rsidP="00EB247F">
      <w:pPr>
        <w:pStyle w:val="TableofFigures"/>
        <w:tabs>
          <w:tab w:val="right" w:leader="dot" w:pos="9350"/>
        </w:tabs>
        <w:rPr>
          <w:rStyle w:val="Hyperlink"/>
          <w:noProof/>
        </w:rPr>
      </w:pPr>
      <w:r w:rsidRPr="00BC11C5">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A96EC4" w:rsidRPr="00E91BE1" w:rsidRDefault="00A96EC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1FB7FAE5" w:rsidR="00A96EC4" w:rsidRPr="00E91BE1" w:rsidRDefault="00A96EC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Biochar</w:t>
                            </w:r>
                          </w:p>
                          <w:p w14:paraId="6774E85B" w14:textId="77777777" w:rsidR="00A96EC4" w:rsidRPr="00EB247F" w:rsidRDefault="00A96EC4" w:rsidP="00EB247F">
                            <w:pPr>
                              <w:spacing w:line="240" w:lineRule="auto"/>
                              <w:jc w:val="center"/>
                              <w:rPr>
                                <w:rFonts w:cs="Times New Roman"/>
                                <w:smallCaps/>
                                <w:color w:val="404040" w:themeColor="text1" w:themeTint="BF"/>
                                <w:sz w:val="36"/>
                                <w:szCs w:val="36"/>
                              </w:rPr>
                            </w:pPr>
                          </w:p>
                          <w:p w14:paraId="4699D449" w14:textId="7020DC5C" w:rsidR="00A96EC4" w:rsidRPr="00E91BE1" w:rsidRDefault="00A96E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Engineered Sinks</w:t>
                            </w:r>
                          </w:p>
                          <w:p w14:paraId="1671E118" w14:textId="47C563DB" w:rsidR="00A96EC4" w:rsidRPr="00E91BE1" w:rsidRDefault="00A96E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Full spectrum</w:t>
                            </w:r>
                          </w:p>
                          <w:p w14:paraId="29D510C4" w14:textId="19D56B0E" w:rsidR="00A96EC4" w:rsidRPr="00E91BE1" w:rsidRDefault="00A96EC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Biochar, carbon dioxide removal, negative emissions, biomass, pyrolysis</w:t>
                            </w:r>
                          </w:p>
                          <w:p w14:paraId="6DF0E7C6" w14:textId="77777777" w:rsidR="00A96EC4" w:rsidRDefault="00A96EC4" w:rsidP="00FB2C53"/>
                          <w:p w14:paraId="4DF87617" w14:textId="77777777" w:rsidR="00A96EC4" w:rsidRDefault="00A96EC4" w:rsidP="00FB2C53"/>
                          <w:p w14:paraId="4FD71E35" w14:textId="77777777" w:rsidR="00A96EC4" w:rsidRDefault="00A96EC4" w:rsidP="00FB2C53"/>
                          <w:p w14:paraId="0AAEA688" w14:textId="77777777" w:rsidR="00A96EC4" w:rsidRDefault="00A96EC4" w:rsidP="00FB2C53"/>
                          <w:p w14:paraId="693769A0" w14:textId="2D556590" w:rsidR="00A96EC4" w:rsidRPr="00E91BE1" w:rsidRDefault="00A96EC4"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April 2021</w:t>
                            </w:r>
                          </w:p>
                          <w:p w14:paraId="0DDBFE23" w14:textId="77777777" w:rsidR="00A96EC4" w:rsidRPr="000829DC" w:rsidRDefault="00A96EC4" w:rsidP="00FB2C53"/>
                          <w:p w14:paraId="4BB1447A" w14:textId="77777777" w:rsidR="00A96EC4" w:rsidRDefault="00A96EC4" w:rsidP="00FB2C53"/>
                          <w:p w14:paraId="6A9CEC43" w14:textId="77777777" w:rsidR="00A96EC4" w:rsidRDefault="00A96EC4" w:rsidP="00FB2C53"/>
                          <w:p w14:paraId="2120AE6B" w14:textId="77777777" w:rsidR="00A96EC4" w:rsidRDefault="00A96EC4" w:rsidP="00FB2C53"/>
                          <w:p w14:paraId="7DCFFDCF" w14:textId="77777777" w:rsidR="00A96EC4" w:rsidRDefault="00A96EC4" w:rsidP="00FB2C53"/>
                          <w:p w14:paraId="2F48DE38" w14:textId="77777777" w:rsidR="00A96EC4" w:rsidRPr="000829DC" w:rsidRDefault="00A96EC4" w:rsidP="00FB2C53"/>
                          <w:p w14:paraId="64F9B764" w14:textId="77777777" w:rsidR="00A96EC4" w:rsidRDefault="00A96EC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769FA13E" w:rsidR="00A96EC4" w:rsidRPr="00F97648" w:rsidRDefault="00A96EC4" w:rsidP="00FB2C53">
                            <w:pPr>
                              <w:spacing w:after="0" w:line="240" w:lineRule="auto"/>
                              <w:rPr>
                                <w:rFonts w:cs="Times New Roman"/>
                                <w:b/>
                                <w:smallCaps/>
                                <w:color w:val="404040" w:themeColor="text1" w:themeTint="BF"/>
                                <w:sz w:val="28"/>
                                <w:szCs w:val="28"/>
                              </w:rPr>
                            </w:pPr>
                            <w:r>
                              <w:rPr>
                                <w:rFonts w:cs="Times New Roman"/>
                                <w:smallCaps/>
                                <w:color w:val="404040" w:themeColor="text1" w:themeTint="BF"/>
                                <w:sz w:val="28"/>
                                <w:szCs w:val="28"/>
                              </w:rPr>
                              <w:t>Jay Barlow, Research Fellow</w:t>
                            </w:r>
                          </w:p>
                          <w:p w14:paraId="7E0F30AD" w14:textId="2FD5E9EF" w:rsidR="00A96EC4" w:rsidRDefault="00A96EC4"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Daniel Kane, Research Fellow</w:t>
                            </w:r>
                          </w:p>
                          <w:p w14:paraId="698C2897" w14:textId="6CFC065A" w:rsidR="00A96EC4" w:rsidRPr="00E91BE1" w:rsidRDefault="00A96EC4"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4481356F" w14:textId="6C098178" w:rsidR="00A96EC4" w:rsidRPr="00EB247F" w:rsidRDefault="00A96EC4"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96EC4" w:rsidRPr="00E6531F" w:rsidRDefault="00A96EC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96EC4" w:rsidRPr="00E6531F" w:rsidRDefault="00A96EC4" w:rsidP="00C81D94">
                            <w:pPr>
                              <w:rPr>
                                <w:rFonts w:cs="Times New Roman"/>
                                <w:smallCaps/>
                                <w:color w:val="404040" w:themeColor="text1" w:themeTint="BF"/>
                                <w:sz w:val="36"/>
                                <w:szCs w:val="36"/>
                                <w:lang w:val="pt-PT"/>
                              </w:rPr>
                            </w:pPr>
                          </w:p>
                          <w:p w14:paraId="3D97FBF6" w14:textId="77777777" w:rsidR="00A96EC4" w:rsidRPr="00E6531F" w:rsidRDefault="00A96EC4"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http://schemas.openxmlformats.org/drawingml/2006/chart" xmlns:a14="http://schemas.microsoft.com/office/drawing/2010/main" xmlns:pic="http://schemas.openxmlformats.org/drawingml/2006/picture" xmlns:a="http://schemas.openxmlformats.org/drawingml/2006/main">
            <w:pict>
              <v:shapetype id="_x0000_t202" coordsize="21600,21600" o:spt="202" path="m,l,21600r21600,l21600,xe" w14:anchorId="77771319">
                <v:stroke joinstyle="miter"/>
                <v:path gradientshapeok="t" o:connecttype="rect"/>
              </v:shapetype>
              <v:shape id="Text Box 154"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v:textbox inset=",0,54pt,0">
                  <w:txbxContent>
                    <w:p w:rsidRPr="00E91BE1" w:rsidR="00A96EC4" w:rsidP="00FB2C53" w:rsidRDefault="00A96EC4" w14:paraId="3A69A438" w14:textId="77777777">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rsidRPr="00E91BE1" w:rsidR="00A96EC4" w:rsidP="00FB2C53" w:rsidRDefault="00A96EC4" w14:paraId="01CDCF1D" w14:textId="1FB7FAE5">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Biochar</w:t>
                      </w:r>
                    </w:p>
                    <w:p w:rsidRPr="00EB247F" w:rsidR="00A96EC4" w:rsidP="00EB247F" w:rsidRDefault="00A96EC4" w14:paraId="6774E85B" w14:textId="77777777">
                      <w:pPr>
                        <w:spacing w:line="240" w:lineRule="auto"/>
                        <w:jc w:val="center"/>
                        <w:rPr>
                          <w:rFonts w:cs="Times New Roman"/>
                          <w:smallCaps/>
                          <w:color w:val="404040" w:themeColor="text1" w:themeTint="BF"/>
                          <w:sz w:val="36"/>
                          <w:szCs w:val="36"/>
                        </w:rPr>
                      </w:pPr>
                    </w:p>
                    <w:p w:rsidRPr="00E91BE1" w:rsidR="00A96EC4" w:rsidP="00FB2C53" w:rsidRDefault="00A96EC4" w14:paraId="4699D449" w14:textId="7020DC5C">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Engineered Sinks</w:t>
                      </w:r>
                    </w:p>
                    <w:p w:rsidRPr="00E91BE1" w:rsidR="00A96EC4" w:rsidP="00FB2C53" w:rsidRDefault="00A96EC4" w14:paraId="1671E118" w14:textId="47C563DB">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Full spectrum</w:t>
                      </w:r>
                    </w:p>
                    <w:p w:rsidRPr="00E91BE1" w:rsidR="00A96EC4" w:rsidP="00FB2C53" w:rsidRDefault="00A96EC4" w14:paraId="29D510C4" w14:textId="19D56B0E">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Biochar, carbon dioxide removal, negative emissions, biomass, pyrolysis</w:t>
                      </w:r>
                    </w:p>
                    <w:p w:rsidR="00A96EC4" w:rsidP="00FB2C53" w:rsidRDefault="00A96EC4" w14:paraId="6DF0E7C6" w14:textId="77777777"/>
                    <w:p w:rsidR="00A96EC4" w:rsidP="00FB2C53" w:rsidRDefault="00A96EC4" w14:paraId="4DF87617" w14:textId="77777777"/>
                    <w:p w:rsidR="00A96EC4" w:rsidP="00FB2C53" w:rsidRDefault="00A96EC4" w14:paraId="4FD71E35" w14:textId="77777777"/>
                    <w:p w:rsidR="00A96EC4" w:rsidP="00FB2C53" w:rsidRDefault="00A96EC4" w14:paraId="0AAEA688" w14:textId="77777777"/>
                    <w:p w:rsidRPr="00E91BE1" w:rsidR="00A96EC4" w:rsidP="00FB2C53" w:rsidRDefault="00A96EC4" w14:paraId="693769A0" w14:textId="2D556590">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April 2021</w:t>
                      </w:r>
                    </w:p>
                    <w:p w:rsidRPr="000829DC" w:rsidR="00A96EC4" w:rsidP="00FB2C53" w:rsidRDefault="00A96EC4" w14:paraId="0DDBFE23" w14:textId="77777777"/>
                    <w:p w:rsidR="00A96EC4" w:rsidP="00FB2C53" w:rsidRDefault="00A96EC4" w14:paraId="4BB1447A" w14:textId="77777777"/>
                    <w:p w:rsidR="00A96EC4" w:rsidP="00FB2C53" w:rsidRDefault="00A96EC4" w14:paraId="6A9CEC43" w14:textId="77777777"/>
                    <w:p w:rsidR="00A96EC4" w:rsidP="00FB2C53" w:rsidRDefault="00A96EC4" w14:paraId="2120AE6B" w14:textId="77777777"/>
                    <w:p w:rsidR="00A96EC4" w:rsidP="00FB2C53" w:rsidRDefault="00A96EC4" w14:paraId="7DCFFDCF" w14:textId="77777777"/>
                    <w:p w:rsidRPr="000829DC" w:rsidR="00A96EC4" w:rsidP="00FB2C53" w:rsidRDefault="00A96EC4" w14:paraId="2F48DE38" w14:textId="77777777"/>
                    <w:p w:rsidR="00A96EC4" w:rsidP="00FB2C53" w:rsidRDefault="00A96EC4" w14:paraId="64F9B764" w14:textId="77777777">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rsidRPr="00F97648" w:rsidR="00A96EC4" w:rsidP="00FB2C53" w:rsidRDefault="00A96EC4" w14:paraId="248C4E3C" w14:textId="769FA13E">
                      <w:pPr>
                        <w:spacing w:after="0" w:line="240" w:lineRule="auto"/>
                        <w:rPr>
                          <w:rFonts w:cs="Times New Roman"/>
                          <w:b/>
                          <w:smallCaps/>
                          <w:color w:val="404040" w:themeColor="text1" w:themeTint="BF"/>
                          <w:sz w:val="28"/>
                          <w:szCs w:val="28"/>
                        </w:rPr>
                      </w:pPr>
                      <w:r>
                        <w:rPr>
                          <w:rFonts w:cs="Times New Roman"/>
                          <w:smallCaps/>
                          <w:color w:val="404040" w:themeColor="text1" w:themeTint="BF"/>
                          <w:sz w:val="28"/>
                          <w:szCs w:val="28"/>
                        </w:rPr>
                        <w:t>Jay Barlow, Research Fellow</w:t>
                      </w:r>
                    </w:p>
                    <w:p w:rsidR="00A96EC4" w:rsidP="00FB2C53" w:rsidRDefault="00A96EC4" w14:paraId="7E0F30AD" w14:textId="2FD5E9EF">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Daniel Kane, Research Fellow</w:t>
                      </w:r>
                    </w:p>
                    <w:p w:rsidRPr="00E91BE1" w:rsidR="00A96EC4" w:rsidP="00FB2C53" w:rsidRDefault="00A96EC4" w14:paraId="698C2897" w14:textId="6CFC065A">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rsidRPr="00EB247F" w:rsidR="00A96EC4" w:rsidP="007864AB" w:rsidRDefault="00A96EC4" w14:paraId="4481356F" w14:textId="6C098178">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rsidRPr="00E6531F" w:rsidR="00A96EC4" w:rsidP="007864AB" w:rsidRDefault="00A96EC4" w14:paraId="56BC0364" w14:textId="289057B3">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w:history="1" r:id="rId13">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w:history="1" r:id="rId14">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rsidRPr="00E6531F" w:rsidR="00A96EC4" w:rsidP="00C81D94" w:rsidRDefault="00A96EC4" w14:paraId="05DAFFE7" w14:textId="77777777">
                      <w:pPr>
                        <w:rPr>
                          <w:rFonts w:cs="Times New Roman"/>
                          <w:smallCaps/>
                          <w:color w:val="404040" w:themeColor="text1" w:themeTint="BF"/>
                          <w:sz w:val="36"/>
                          <w:szCs w:val="36"/>
                          <w:lang w:val="pt-PT"/>
                        </w:rPr>
                      </w:pPr>
                    </w:p>
                    <w:p w:rsidRPr="00E6531F" w:rsidR="00A96EC4" w:rsidP="00C81D94" w:rsidRDefault="00A96EC4" w14:paraId="3D97FBF6" w14:textId="77777777">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BC11C5" w:rsidRDefault="551A77D0" w:rsidP="00EB247F">
          <w:pPr>
            <w:rPr>
              <w:rStyle w:val="Heading1Char"/>
            </w:rPr>
          </w:pPr>
          <w:r w:rsidRPr="00BC11C5">
            <w:rPr>
              <w:rStyle w:val="Heading1Char"/>
            </w:rPr>
            <w:t>Table of Contents</w:t>
          </w:r>
        </w:p>
        <w:p w14:paraId="34BD4A81" w14:textId="77777777" w:rsidR="00640E6A" w:rsidRDefault="00640665">
          <w:pPr>
            <w:pStyle w:val="TOC1"/>
            <w:tabs>
              <w:tab w:val="right" w:leader="dot" w:pos="9350"/>
            </w:tabs>
            <w:rPr>
              <w:rFonts w:asciiTheme="minorHAnsi" w:hAnsiTheme="minorHAnsi"/>
              <w:noProof/>
              <w:lang w:eastAsia="en-US"/>
            </w:rPr>
          </w:pPr>
          <w:r w:rsidRPr="00BC11C5">
            <w:fldChar w:fldCharType="begin"/>
          </w:r>
          <w:r w:rsidRPr="00BC11C5">
            <w:instrText xml:space="preserve"> TOC \o "1-3" \h \z \u </w:instrText>
          </w:r>
          <w:r w:rsidRPr="00BC11C5">
            <w:fldChar w:fldCharType="separate"/>
          </w:r>
          <w:hyperlink w:anchor="_Toc68791420" w:history="1">
            <w:r w:rsidR="00640E6A" w:rsidRPr="00E429FB">
              <w:rPr>
                <w:rStyle w:val="Hyperlink"/>
                <w:noProof/>
              </w:rPr>
              <w:t>List of Figures</w:t>
            </w:r>
            <w:r w:rsidR="00640E6A">
              <w:rPr>
                <w:noProof/>
                <w:webHidden/>
              </w:rPr>
              <w:tab/>
            </w:r>
            <w:r w:rsidR="00640E6A">
              <w:rPr>
                <w:noProof/>
                <w:webHidden/>
              </w:rPr>
              <w:fldChar w:fldCharType="begin"/>
            </w:r>
            <w:r w:rsidR="00640E6A">
              <w:rPr>
                <w:noProof/>
                <w:webHidden/>
              </w:rPr>
              <w:instrText xml:space="preserve"> PAGEREF _Toc68791420 \h </w:instrText>
            </w:r>
            <w:r w:rsidR="00640E6A">
              <w:rPr>
                <w:noProof/>
                <w:webHidden/>
              </w:rPr>
            </w:r>
            <w:r w:rsidR="00640E6A">
              <w:rPr>
                <w:noProof/>
                <w:webHidden/>
              </w:rPr>
              <w:fldChar w:fldCharType="separate"/>
            </w:r>
            <w:r w:rsidR="00640E6A">
              <w:rPr>
                <w:noProof/>
                <w:webHidden/>
              </w:rPr>
              <w:t>IV</w:t>
            </w:r>
            <w:r w:rsidR="00640E6A">
              <w:rPr>
                <w:noProof/>
                <w:webHidden/>
              </w:rPr>
              <w:fldChar w:fldCharType="end"/>
            </w:r>
          </w:hyperlink>
        </w:p>
        <w:p w14:paraId="5CE00324" w14:textId="77777777" w:rsidR="00640E6A" w:rsidRDefault="00D76026">
          <w:pPr>
            <w:pStyle w:val="TOC1"/>
            <w:tabs>
              <w:tab w:val="right" w:leader="dot" w:pos="9350"/>
            </w:tabs>
            <w:rPr>
              <w:rFonts w:asciiTheme="minorHAnsi" w:hAnsiTheme="minorHAnsi"/>
              <w:noProof/>
              <w:lang w:eastAsia="en-US"/>
            </w:rPr>
          </w:pPr>
          <w:hyperlink w:anchor="_Toc68791421" w:history="1">
            <w:r w:rsidR="00640E6A" w:rsidRPr="00E429FB">
              <w:rPr>
                <w:rStyle w:val="Hyperlink"/>
                <w:noProof/>
              </w:rPr>
              <w:t>List of Tables</w:t>
            </w:r>
            <w:r w:rsidR="00640E6A">
              <w:rPr>
                <w:noProof/>
                <w:webHidden/>
              </w:rPr>
              <w:tab/>
            </w:r>
            <w:r w:rsidR="00640E6A">
              <w:rPr>
                <w:noProof/>
                <w:webHidden/>
              </w:rPr>
              <w:fldChar w:fldCharType="begin"/>
            </w:r>
            <w:r w:rsidR="00640E6A">
              <w:rPr>
                <w:noProof/>
                <w:webHidden/>
              </w:rPr>
              <w:instrText xml:space="preserve"> PAGEREF _Toc68791421 \h </w:instrText>
            </w:r>
            <w:r w:rsidR="00640E6A">
              <w:rPr>
                <w:noProof/>
                <w:webHidden/>
              </w:rPr>
            </w:r>
            <w:r w:rsidR="00640E6A">
              <w:rPr>
                <w:noProof/>
                <w:webHidden/>
              </w:rPr>
              <w:fldChar w:fldCharType="separate"/>
            </w:r>
            <w:r w:rsidR="00640E6A">
              <w:rPr>
                <w:noProof/>
                <w:webHidden/>
              </w:rPr>
              <w:t>IV</w:t>
            </w:r>
            <w:r w:rsidR="00640E6A">
              <w:rPr>
                <w:noProof/>
                <w:webHidden/>
              </w:rPr>
              <w:fldChar w:fldCharType="end"/>
            </w:r>
          </w:hyperlink>
        </w:p>
        <w:p w14:paraId="18E55279" w14:textId="77777777" w:rsidR="00640E6A" w:rsidRDefault="00D76026">
          <w:pPr>
            <w:pStyle w:val="TOC1"/>
            <w:tabs>
              <w:tab w:val="right" w:leader="dot" w:pos="9350"/>
            </w:tabs>
            <w:rPr>
              <w:rFonts w:asciiTheme="minorHAnsi" w:hAnsiTheme="minorHAnsi"/>
              <w:noProof/>
              <w:lang w:eastAsia="en-US"/>
            </w:rPr>
          </w:pPr>
          <w:hyperlink w:anchor="_Toc68791422" w:history="1">
            <w:r w:rsidR="00640E6A" w:rsidRPr="00E429FB">
              <w:rPr>
                <w:rStyle w:val="Hyperlink"/>
                <w:noProof/>
              </w:rPr>
              <w:t>Acronyms and Symbols Used</w:t>
            </w:r>
            <w:r w:rsidR="00640E6A">
              <w:rPr>
                <w:noProof/>
                <w:webHidden/>
              </w:rPr>
              <w:tab/>
            </w:r>
            <w:r w:rsidR="00640E6A">
              <w:rPr>
                <w:noProof/>
                <w:webHidden/>
              </w:rPr>
              <w:fldChar w:fldCharType="begin"/>
            </w:r>
            <w:r w:rsidR="00640E6A">
              <w:rPr>
                <w:noProof/>
                <w:webHidden/>
              </w:rPr>
              <w:instrText xml:space="preserve"> PAGEREF _Toc68791422 \h </w:instrText>
            </w:r>
            <w:r w:rsidR="00640E6A">
              <w:rPr>
                <w:noProof/>
                <w:webHidden/>
              </w:rPr>
            </w:r>
            <w:r w:rsidR="00640E6A">
              <w:rPr>
                <w:noProof/>
                <w:webHidden/>
              </w:rPr>
              <w:fldChar w:fldCharType="separate"/>
            </w:r>
            <w:r w:rsidR="00640E6A">
              <w:rPr>
                <w:noProof/>
                <w:webHidden/>
              </w:rPr>
              <w:t>V</w:t>
            </w:r>
            <w:r w:rsidR="00640E6A">
              <w:rPr>
                <w:noProof/>
                <w:webHidden/>
              </w:rPr>
              <w:fldChar w:fldCharType="end"/>
            </w:r>
          </w:hyperlink>
        </w:p>
        <w:p w14:paraId="3099AFFE" w14:textId="77777777" w:rsidR="00640E6A" w:rsidRDefault="00D76026">
          <w:pPr>
            <w:pStyle w:val="TOC1"/>
            <w:tabs>
              <w:tab w:val="right" w:leader="dot" w:pos="9350"/>
            </w:tabs>
            <w:rPr>
              <w:rFonts w:asciiTheme="minorHAnsi" w:hAnsiTheme="minorHAnsi"/>
              <w:noProof/>
              <w:lang w:eastAsia="en-US"/>
            </w:rPr>
          </w:pPr>
          <w:hyperlink w:anchor="_Toc68791423" w:history="1">
            <w:r w:rsidR="00640E6A" w:rsidRPr="00E429FB">
              <w:rPr>
                <w:rStyle w:val="Hyperlink"/>
                <w:noProof/>
              </w:rPr>
              <w:t>Executive Summary</w:t>
            </w:r>
            <w:r w:rsidR="00640E6A">
              <w:rPr>
                <w:noProof/>
                <w:webHidden/>
              </w:rPr>
              <w:tab/>
            </w:r>
            <w:r w:rsidR="00640E6A">
              <w:rPr>
                <w:noProof/>
                <w:webHidden/>
              </w:rPr>
              <w:fldChar w:fldCharType="begin"/>
            </w:r>
            <w:r w:rsidR="00640E6A">
              <w:rPr>
                <w:noProof/>
                <w:webHidden/>
              </w:rPr>
              <w:instrText xml:space="preserve"> PAGEREF _Toc68791423 \h </w:instrText>
            </w:r>
            <w:r w:rsidR="00640E6A">
              <w:rPr>
                <w:noProof/>
                <w:webHidden/>
              </w:rPr>
            </w:r>
            <w:r w:rsidR="00640E6A">
              <w:rPr>
                <w:noProof/>
                <w:webHidden/>
              </w:rPr>
              <w:fldChar w:fldCharType="separate"/>
            </w:r>
            <w:r w:rsidR="00640E6A">
              <w:rPr>
                <w:noProof/>
                <w:webHidden/>
              </w:rPr>
              <w:t>VI</w:t>
            </w:r>
            <w:r w:rsidR="00640E6A">
              <w:rPr>
                <w:noProof/>
                <w:webHidden/>
              </w:rPr>
              <w:fldChar w:fldCharType="end"/>
            </w:r>
          </w:hyperlink>
        </w:p>
        <w:p w14:paraId="13017A6B" w14:textId="77777777" w:rsidR="00640E6A" w:rsidRDefault="00D76026">
          <w:pPr>
            <w:pStyle w:val="TOC1"/>
            <w:tabs>
              <w:tab w:val="left" w:pos="440"/>
              <w:tab w:val="right" w:leader="dot" w:pos="9350"/>
            </w:tabs>
            <w:rPr>
              <w:rFonts w:asciiTheme="minorHAnsi" w:hAnsiTheme="minorHAnsi"/>
              <w:noProof/>
              <w:lang w:eastAsia="en-US"/>
            </w:rPr>
          </w:pPr>
          <w:hyperlink w:anchor="_Toc68791424" w:history="1">
            <w:r w:rsidR="00640E6A" w:rsidRPr="00E429FB">
              <w:rPr>
                <w:rStyle w:val="Hyperlink"/>
                <w:noProof/>
              </w:rPr>
              <w:t>1.</w:t>
            </w:r>
            <w:r w:rsidR="00640E6A">
              <w:rPr>
                <w:rFonts w:asciiTheme="minorHAnsi" w:hAnsiTheme="minorHAnsi"/>
                <w:noProof/>
                <w:lang w:eastAsia="en-US"/>
              </w:rPr>
              <w:tab/>
            </w:r>
            <w:r w:rsidR="00640E6A" w:rsidRPr="00E429FB">
              <w:rPr>
                <w:rStyle w:val="Hyperlink"/>
                <w:noProof/>
              </w:rPr>
              <w:t>Literature Review</w:t>
            </w:r>
            <w:r w:rsidR="00640E6A">
              <w:rPr>
                <w:noProof/>
                <w:webHidden/>
              </w:rPr>
              <w:tab/>
            </w:r>
            <w:r w:rsidR="00640E6A">
              <w:rPr>
                <w:noProof/>
                <w:webHidden/>
              </w:rPr>
              <w:fldChar w:fldCharType="begin"/>
            </w:r>
            <w:r w:rsidR="00640E6A">
              <w:rPr>
                <w:noProof/>
                <w:webHidden/>
              </w:rPr>
              <w:instrText xml:space="preserve"> PAGEREF _Toc68791424 \h </w:instrText>
            </w:r>
            <w:r w:rsidR="00640E6A">
              <w:rPr>
                <w:noProof/>
                <w:webHidden/>
              </w:rPr>
            </w:r>
            <w:r w:rsidR="00640E6A">
              <w:rPr>
                <w:noProof/>
                <w:webHidden/>
              </w:rPr>
              <w:fldChar w:fldCharType="separate"/>
            </w:r>
            <w:r w:rsidR="00640E6A">
              <w:rPr>
                <w:noProof/>
                <w:webHidden/>
              </w:rPr>
              <w:t>7</w:t>
            </w:r>
            <w:r w:rsidR="00640E6A">
              <w:rPr>
                <w:noProof/>
                <w:webHidden/>
              </w:rPr>
              <w:fldChar w:fldCharType="end"/>
            </w:r>
          </w:hyperlink>
        </w:p>
        <w:p w14:paraId="3AC217DD" w14:textId="77777777" w:rsidR="00640E6A" w:rsidRDefault="00D76026">
          <w:pPr>
            <w:pStyle w:val="TOC2"/>
            <w:tabs>
              <w:tab w:val="left" w:pos="880"/>
              <w:tab w:val="right" w:leader="dot" w:pos="9350"/>
            </w:tabs>
            <w:rPr>
              <w:rFonts w:asciiTheme="minorHAnsi" w:hAnsiTheme="minorHAnsi"/>
              <w:noProof/>
              <w:lang w:eastAsia="en-US"/>
            </w:rPr>
          </w:pPr>
          <w:hyperlink w:anchor="_Toc68791425" w:history="1">
            <w:r w:rsidR="00640E6A" w:rsidRPr="00E429FB">
              <w:rPr>
                <w:rStyle w:val="Hyperlink"/>
                <w:noProof/>
              </w:rPr>
              <w:t>1.1.</w:t>
            </w:r>
            <w:r w:rsidR="00640E6A">
              <w:rPr>
                <w:rFonts w:asciiTheme="minorHAnsi" w:hAnsiTheme="minorHAnsi"/>
                <w:noProof/>
                <w:lang w:eastAsia="en-US"/>
              </w:rPr>
              <w:tab/>
            </w:r>
            <w:r w:rsidR="00640E6A" w:rsidRPr="00E429FB">
              <w:rPr>
                <w:rStyle w:val="Hyperlink"/>
                <w:noProof/>
              </w:rPr>
              <w:t>State of Biochar Production</w:t>
            </w:r>
            <w:r w:rsidR="00640E6A">
              <w:rPr>
                <w:noProof/>
                <w:webHidden/>
              </w:rPr>
              <w:tab/>
            </w:r>
            <w:r w:rsidR="00640E6A">
              <w:rPr>
                <w:noProof/>
                <w:webHidden/>
              </w:rPr>
              <w:fldChar w:fldCharType="begin"/>
            </w:r>
            <w:r w:rsidR="00640E6A">
              <w:rPr>
                <w:noProof/>
                <w:webHidden/>
              </w:rPr>
              <w:instrText xml:space="preserve"> PAGEREF _Toc68791425 \h </w:instrText>
            </w:r>
            <w:r w:rsidR="00640E6A">
              <w:rPr>
                <w:noProof/>
                <w:webHidden/>
              </w:rPr>
            </w:r>
            <w:r w:rsidR="00640E6A">
              <w:rPr>
                <w:noProof/>
                <w:webHidden/>
              </w:rPr>
              <w:fldChar w:fldCharType="separate"/>
            </w:r>
            <w:r w:rsidR="00640E6A">
              <w:rPr>
                <w:noProof/>
                <w:webHidden/>
              </w:rPr>
              <w:t>7</w:t>
            </w:r>
            <w:r w:rsidR="00640E6A">
              <w:rPr>
                <w:noProof/>
                <w:webHidden/>
              </w:rPr>
              <w:fldChar w:fldCharType="end"/>
            </w:r>
          </w:hyperlink>
        </w:p>
        <w:p w14:paraId="431A4D94" w14:textId="77777777" w:rsidR="00640E6A" w:rsidRDefault="00D76026">
          <w:pPr>
            <w:pStyle w:val="TOC2"/>
            <w:tabs>
              <w:tab w:val="left" w:pos="880"/>
              <w:tab w:val="right" w:leader="dot" w:pos="9350"/>
            </w:tabs>
            <w:rPr>
              <w:rFonts w:asciiTheme="minorHAnsi" w:hAnsiTheme="minorHAnsi"/>
              <w:noProof/>
              <w:lang w:eastAsia="en-US"/>
            </w:rPr>
          </w:pPr>
          <w:hyperlink w:anchor="_Toc68791427" w:history="1">
            <w:r w:rsidR="00640E6A" w:rsidRPr="00E429FB">
              <w:rPr>
                <w:rStyle w:val="Hyperlink"/>
                <w:noProof/>
              </w:rPr>
              <w:t>1.2.</w:t>
            </w:r>
            <w:r w:rsidR="00640E6A">
              <w:rPr>
                <w:rFonts w:asciiTheme="minorHAnsi" w:hAnsiTheme="minorHAnsi"/>
                <w:noProof/>
                <w:lang w:eastAsia="en-US"/>
              </w:rPr>
              <w:tab/>
            </w:r>
            <w:r w:rsidR="00640E6A" w:rsidRPr="00E429FB">
              <w:rPr>
                <w:rStyle w:val="Hyperlink"/>
                <w:noProof/>
              </w:rPr>
              <w:t>Adoption Path</w:t>
            </w:r>
            <w:r w:rsidR="00640E6A">
              <w:rPr>
                <w:noProof/>
                <w:webHidden/>
              </w:rPr>
              <w:tab/>
            </w:r>
            <w:r w:rsidR="00640E6A">
              <w:rPr>
                <w:noProof/>
                <w:webHidden/>
              </w:rPr>
              <w:fldChar w:fldCharType="begin"/>
            </w:r>
            <w:r w:rsidR="00640E6A">
              <w:rPr>
                <w:noProof/>
                <w:webHidden/>
              </w:rPr>
              <w:instrText xml:space="preserve"> PAGEREF _Toc68791427 \h </w:instrText>
            </w:r>
            <w:r w:rsidR="00640E6A">
              <w:rPr>
                <w:noProof/>
                <w:webHidden/>
              </w:rPr>
            </w:r>
            <w:r w:rsidR="00640E6A">
              <w:rPr>
                <w:noProof/>
                <w:webHidden/>
              </w:rPr>
              <w:fldChar w:fldCharType="separate"/>
            </w:r>
            <w:r w:rsidR="00640E6A">
              <w:rPr>
                <w:noProof/>
                <w:webHidden/>
              </w:rPr>
              <w:t>8</w:t>
            </w:r>
            <w:r w:rsidR="00640E6A">
              <w:rPr>
                <w:noProof/>
                <w:webHidden/>
              </w:rPr>
              <w:fldChar w:fldCharType="end"/>
            </w:r>
          </w:hyperlink>
        </w:p>
        <w:p w14:paraId="631F0DDD" w14:textId="77777777" w:rsidR="00640E6A" w:rsidRDefault="00D76026">
          <w:pPr>
            <w:pStyle w:val="TOC3"/>
            <w:tabs>
              <w:tab w:val="left" w:pos="1320"/>
              <w:tab w:val="right" w:leader="dot" w:pos="9350"/>
            </w:tabs>
            <w:rPr>
              <w:rFonts w:asciiTheme="minorHAnsi" w:hAnsiTheme="minorHAnsi"/>
              <w:noProof/>
              <w:lang w:eastAsia="en-US"/>
            </w:rPr>
          </w:pPr>
          <w:hyperlink w:anchor="_Toc68791428" w:history="1">
            <w:r w:rsidR="00640E6A" w:rsidRPr="00E429FB">
              <w:rPr>
                <w:rStyle w:val="Hyperlink"/>
                <w:noProof/>
              </w:rPr>
              <w:t>1.2.1</w:t>
            </w:r>
            <w:r w:rsidR="00640E6A">
              <w:rPr>
                <w:rFonts w:asciiTheme="minorHAnsi" w:hAnsiTheme="minorHAnsi"/>
                <w:noProof/>
                <w:lang w:eastAsia="en-US"/>
              </w:rPr>
              <w:tab/>
            </w:r>
            <w:r w:rsidR="00640E6A" w:rsidRPr="00E429FB">
              <w:rPr>
                <w:rStyle w:val="Hyperlink"/>
                <w:noProof/>
              </w:rPr>
              <w:t>Current Adoption</w:t>
            </w:r>
            <w:r w:rsidR="00640E6A">
              <w:rPr>
                <w:noProof/>
                <w:webHidden/>
              </w:rPr>
              <w:tab/>
            </w:r>
            <w:r w:rsidR="00640E6A">
              <w:rPr>
                <w:noProof/>
                <w:webHidden/>
              </w:rPr>
              <w:fldChar w:fldCharType="begin"/>
            </w:r>
            <w:r w:rsidR="00640E6A">
              <w:rPr>
                <w:noProof/>
                <w:webHidden/>
              </w:rPr>
              <w:instrText xml:space="preserve"> PAGEREF _Toc68791428 \h </w:instrText>
            </w:r>
            <w:r w:rsidR="00640E6A">
              <w:rPr>
                <w:noProof/>
                <w:webHidden/>
              </w:rPr>
            </w:r>
            <w:r w:rsidR="00640E6A">
              <w:rPr>
                <w:noProof/>
                <w:webHidden/>
              </w:rPr>
              <w:fldChar w:fldCharType="separate"/>
            </w:r>
            <w:r w:rsidR="00640E6A">
              <w:rPr>
                <w:noProof/>
                <w:webHidden/>
              </w:rPr>
              <w:t>8</w:t>
            </w:r>
            <w:r w:rsidR="00640E6A">
              <w:rPr>
                <w:noProof/>
                <w:webHidden/>
              </w:rPr>
              <w:fldChar w:fldCharType="end"/>
            </w:r>
          </w:hyperlink>
        </w:p>
        <w:p w14:paraId="3963D517" w14:textId="77777777" w:rsidR="00640E6A" w:rsidRDefault="00D76026">
          <w:pPr>
            <w:pStyle w:val="TOC3"/>
            <w:tabs>
              <w:tab w:val="left" w:pos="1320"/>
              <w:tab w:val="right" w:leader="dot" w:pos="9350"/>
            </w:tabs>
            <w:rPr>
              <w:rFonts w:asciiTheme="minorHAnsi" w:hAnsiTheme="minorHAnsi"/>
              <w:noProof/>
              <w:lang w:eastAsia="en-US"/>
            </w:rPr>
          </w:pPr>
          <w:hyperlink w:anchor="_Toc68791429" w:history="1">
            <w:r w:rsidR="00640E6A" w:rsidRPr="00E429FB">
              <w:rPr>
                <w:rStyle w:val="Hyperlink"/>
                <w:noProof/>
              </w:rPr>
              <w:t>1.2.2</w:t>
            </w:r>
            <w:r w:rsidR="00640E6A">
              <w:rPr>
                <w:rFonts w:asciiTheme="minorHAnsi" w:hAnsiTheme="minorHAnsi"/>
                <w:noProof/>
                <w:lang w:eastAsia="en-US"/>
              </w:rPr>
              <w:tab/>
            </w:r>
            <w:r w:rsidR="00640E6A" w:rsidRPr="00E429FB">
              <w:rPr>
                <w:rStyle w:val="Hyperlink"/>
                <w:noProof/>
              </w:rPr>
              <w:t>Trends to Accelerate Adoption</w:t>
            </w:r>
            <w:r w:rsidR="00640E6A">
              <w:rPr>
                <w:noProof/>
                <w:webHidden/>
              </w:rPr>
              <w:tab/>
            </w:r>
            <w:r w:rsidR="00640E6A">
              <w:rPr>
                <w:noProof/>
                <w:webHidden/>
              </w:rPr>
              <w:fldChar w:fldCharType="begin"/>
            </w:r>
            <w:r w:rsidR="00640E6A">
              <w:rPr>
                <w:noProof/>
                <w:webHidden/>
              </w:rPr>
              <w:instrText xml:space="preserve"> PAGEREF _Toc68791429 \h </w:instrText>
            </w:r>
            <w:r w:rsidR="00640E6A">
              <w:rPr>
                <w:noProof/>
                <w:webHidden/>
              </w:rPr>
            </w:r>
            <w:r w:rsidR="00640E6A">
              <w:rPr>
                <w:noProof/>
                <w:webHidden/>
              </w:rPr>
              <w:fldChar w:fldCharType="separate"/>
            </w:r>
            <w:r w:rsidR="00640E6A">
              <w:rPr>
                <w:noProof/>
                <w:webHidden/>
              </w:rPr>
              <w:t>9</w:t>
            </w:r>
            <w:r w:rsidR="00640E6A">
              <w:rPr>
                <w:noProof/>
                <w:webHidden/>
              </w:rPr>
              <w:fldChar w:fldCharType="end"/>
            </w:r>
          </w:hyperlink>
        </w:p>
        <w:p w14:paraId="45F2AC38" w14:textId="77777777" w:rsidR="00640E6A" w:rsidRDefault="00D76026">
          <w:pPr>
            <w:pStyle w:val="TOC3"/>
            <w:tabs>
              <w:tab w:val="left" w:pos="1320"/>
              <w:tab w:val="right" w:leader="dot" w:pos="9350"/>
            </w:tabs>
            <w:rPr>
              <w:rFonts w:asciiTheme="minorHAnsi" w:hAnsiTheme="minorHAnsi"/>
              <w:noProof/>
              <w:lang w:eastAsia="en-US"/>
            </w:rPr>
          </w:pPr>
          <w:hyperlink w:anchor="_Toc68791430" w:history="1">
            <w:r w:rsidR="00640E6A" w:rsidRPr="00E429FB">
              <w:rPr>
                <w:rStyle w:val="Hyperlink"/>
                <w:noProof/>
              </w:rPr>
              <w:t>1.2.3</w:t>
            </w:r>
            <w:r w:rsidR="00640E6A">
              <w:rPr>
                <w:rFonts w:asciiTheme="minorHAnsi" w:hAnsiTheme="minorHAnsi"/>
                <w:noProof/>
                <w:lang w:eastAsia="en-US"/>
              </w:rPr>
              <w:tab/>
            </w:r>
            <w:r w:rsidR="00640E6A" w:rsidRPr="00E429FB">
              <w:rPr>
                <w:rStyle w:val="Hyperlink"/>
                <w:noProof/>
              </w:rPr>
              <w:t>Barriers to Adoption</w:t>
            </w:r>
            <w:r w:rsidR="00640E6A">
              <w:rPr>
                <w:noProof/>
                <w:webHidden/>
              </w:rPr>
              <w:tab/>
            </w:r>
            <w:r w:rsidR="00640E6A">
              <w:rPr>
                <w:noProof/>
                <w:webHidden/>
              </w:rPr>
              <w:fldChar w:fldCharType="begin"/>
            </w:r>
            <w:r w:rsidR="00640E6A">
              <w:rPr>
                <w:noProof/>
                <w:webHidden/>
              </w:rPr>
              <w:instrText xml:space="preserve"> PAGEREF _Toc68791430 \h </w:instrText>
            </w:r>
            <w:r w:rsidR="00640E6A">
              <w:rPr>
                <w:noProof/>
                <w:webHidden/>
              </w:rPr>
            </w:r>
            <w:r w:rsidR="00640E6A">
              <w:rPr>
                <w:noProof/>
                <w:webHidden/>
              </w:rPr>
              <w:fldChar w:fldCharType="separate"/>
            </w:r>
            <w:r w:rsidR="00640E6A">
              <w:rPr>
                <w:noProof/>
                <w:webHidden/>
              </w:rPr>
              <w:t>9</w:t>
            </w:r>
            <w:r w:rsidR="00640E6A">
              <w:rPr>
                <w:noProof/>
                <w:webHidden/>
              </w:rPr>
              <w:fldChar w:fldCharType="end"/>
            </w:r>
          </w:hyperlink>
        </w:p>
        <w:p w14:paraId="09C5CA85" w14:textId="77777777" w:rsidR="00640E6A" w:rsidRDefault="00D76026">
          <w:pPr>
            <w:pStyle w:val="TOC3"/>
            <w:tabs>
              <w:tab w:val="left" w:pos="1320"/>
              <w:tab w:val="right" w:leader="dot" w:pos="9350"/>
            </w:tabs>
            <w:rPr>
              <w:rFonts w:asciiTheme="minorHAnsi" w:hAnsiTheme="minorHAnsi"/>
              <w:noProof/>
              <w:lang w:eastAsia="en-US"/>
            </w:rPr>
          </w:pPr>
          <w:hyperlink w:anchor="_Toc68791432" w:history="1">
            <w:r w:rsidR="00640E6A" w:rsidRPr="00E429FB">
              <w:rPr>
                <w:rStyle w:val="Hyperlink"/>
                <w:noProof/>
              </w:rPr>
              <w:t>1.2.4</w:t>
            </w:r>
            <w:r w:rsidR="00640E6A">
              <w:rPr>
                <w:rFonts w:asciiTheme="minorHAnsi" w:hAnsiTheme="minorHAnsi"/>
                <w:noProof/>
                <w:lang w:eastAsia="en-US"/>
              </w:rPr>
              <w:tab/>
            </w:r>
            <w:r w:rsidR="00640E6A" w:rsidRPr="00E429FB">
              <w:rPr>
                <w:rStyle w:val="Hyperlink"/>
                <w:noProof/>
              </w:rPr>
              <w:t>Adoption Potential</w:t>
            </w:r>
            <w:r w:rsidR="00640E6A">
              <w:rPr>
                <w:noProof/>
                <w:webHidden/>
              </w:rPr>
              <w:tab/>
            </w:r>
            <w:r w:rsidR="00640E6A">
              <w:rPr>
                <w:noProof/>
                <w:webHidden/>
              </w:rPr>
              <w:fldChar w:fldCharType="begin"/>
            </w:r>
            <w:r w:rsidR="00640E6A">
              <w:rPr>
                <w:noProof/>
                <w:webHidden/>
              </w:rPr>
              <w:instrText xml:space="preserve"> PAGEREF _Toc68791432 \h </w:instrText>
            </w:r>
            <w:r w:rsidR="00640E6A">
              <w:rPr>
                <w:noProof/>
                <w:webHidden/>
              </w:rPr>
            </w:r>
            <w:r w:rsidR="00640E6A">
              <w:rPr>
                <w:noProof/>
                <w:webHidden/>
              </w:rPr>
              <w:fldChar w:fldCharType="separate"/>
            </w:r>
            <w:r w:rsidR="00640E6A">
              <w:rPr>
                <w:noProof/>
                <w:webHidden/>
              </w:rPr>
              <w:t>10</w:t>
            </w:r>
            <w:r w:rsidR="00640E6A">
              <w:rPr>
                <w:noProof/>
                <w:webHidden/>
              </w:rPr>
              <w:fldChar w:fldCharType="end"/>
            </w:r>
          </w:hyperlink>
        </w:p>
        <w:p w14:paraId="03F7128F" w14:textId="77777777" w:rsidR="00640E6A" w:rsidRDefault="00D76026">
          <w:pPr>
            <w:pStyle w:val="TOC2"/>
            <w:tabs>
              <w:tab w:val="left" w:pos="880"/>
              <w:tab w:val="right" w:leader="dot" w:pos="9350"/>
            </w:tabs>
            <w:rPr>
              <w:rFonts w:asciiTheme="minorHAnsi" w:hAnsiTheme="minorHAnsi"/>
              <w:noProof/>
              <w:lang w:eastAsia="en-US"/>
            </w:rPr>
          </w:pPr>
          <w:hyperlink w:anchor="_Toc68791433" w:history="1">
            <w:r w:rsidR="00640E6A" w:rsidRPr="00E429FB">
              <w:rPr>
                <w:rStyle w:val="Hyperlink"/>
                <w:noProof/>
              </w:rPr>
              <w:t>1.3</w:t>
            </w:r>
            <w:r w:rsidR="00640E6A">
              <w:rPr>
                <w:rFonts w:asciiTheme="minorHAnsi" w:hAnsiTheme="minorHAnsi"/>
                <w:noProof/>
                <w:lang w:eastAsia="en-US"/>
              </w:rPr>
              <w:tab/>
            </w:r>
            <w:r w:rsidR="00640E6A" w:rsidRPr="00E429FB">
              <w:rPr>
                <w:rStyle w:val="Hyperlink"/>
                <w:noProof/>
              </w:rPr>
              <w:t>Advantages and Disadvantages of Biochar Production</w:t>
            </w:r>
            <w:r w:rsidR="00640E6A">
              <w:rPr>
                <w:noProof/>
                <w:webHidden/>
              </w:rPr>
              <w:tab/>
            </w:r>
            <w:r w:rsidR="00640E6A">
              <w:rPr>
                <w:noProof/>
                <w:webHidden/>
              </w:rPr>
              <w:fldChar w:fldCharType="begin"/>
            </w:r>
            <w:r w:rsidR="00640E6A">
              <w:rPr>
                <w:noProof/>
                <w:webHidden/>
              </w:rPr>
              <w:instrText xml:space="preserve"> PAGEREF _Toc68791433 \h </w:instrText>
            </w:r>
            <w:r w:rsidR="00640E6A">
              <w:rPr>
                <w:noProof/>
                <w:webHidden/>
              </w:rPr>
            </w:r>
            <w:r w:rsidR="00640E6A">
              <w:rPr>
                <w:noProof/>
                <w:webHidden/>
              </w:rPr>
              <w:fldChar w:fldCharType="separate"/>
            </w:r>
            <w:r w:rsidR="00640E6A">
              <w:rPr>
                <w:noProof/>
                <w:webHidden/>
              </w:rPr>
              <w:t>10</w:t>
            </w:r>
            <w:r w:rsidR="00640E6A">
              <w:rPr>
                <w:noProof/>
                <w:webHidden/>
              </w:rPr>
              <w:fldChar w:fldCharType="end"/>
            </w:r>
          </w:hyperlink>
        </w:p>
        <w:p w14:paraId="388F9AF1" w14:textId="77777777" w:rsidR="00640E6A" w:rsidRDefault="00D76026">
          <w:pPr>
            <w:pStyle w:val="TOC3"/>
            <w:tabs>
              <w:tab w:val="left" w:pos="1320"/>
              <w:tab w:val="right" w:leader="dot" w:pos="9350"/>
            </w:tabs>
            <w:rPr>
              <w:rFonts w:asciiTheme="minorHAnsi" w:hAnsiTheme="minorHAnsi"/>
              <w:noProof/>
              <w:lang w:eastAsia="en-US"/>
            </w:rPr>
          </w:pPr>
          <w:hyperlink w:anchor="_Toc68791434" w:history="1">
            <w:r w:rsidR="00640E6A" w:rsidRPr="00E429FB">
              <w:rPr>
                <w:rStyle w:val="Hyperlink"/>
                <w:noProof/>
              </w:rPr>
              <w:t>1.3.1</w:t>
            </w:r>
            <w:r w:rsidR="00640E6A">
              <w:rPr>
                <w:rFonts w:asciiTheme="minorHAnsi" w:hAnsiTheme="minorHAnsi"/>
                <w:noProof/>
                <w:lang w:eastAsia="en-US"/>
              </w:rPr>
              <w:tab/>
            </w:r>
            <w:r w:rsidR="00640E6A" w:rsidRPr="00E429FB">
              <w:rPr>
                <w:rStyle w:val="Hyperlink"/>
                <w:noProof/>
              </w:rPr>
              <w:t>Similar Solutions</w:t>
            </w:r>
            <w:r w:rsidR="00640E6A">
              <w:rPr>
                <w:noProof/>
                <w:webHidden/>
              </w:rPr>
              <w:tab/>
            </w:r>
            <w:r w:rsidR="00640E6A">
              <w:rPr>
                <w:noProof/>
                <w:webHidden/>
              </w:rPr>
              <w:fldChar w:fldCharType="begin"/>
            </w:r>
            <w:r w:rsidR="00640E6A">
              <w:rPr>
                <w:noProof/>
                <w:webHidden/>
              </w:rPr>
              <w:instrText xml:space="preserve"> PAGEREF _Toc68791434 \h </w:instrText>
            </w:r>
            <w:r w:rsidR="00640E6A">
              <w:rPr>
                <w:noProof/>
                <w:webHidden/>
              </w:rPr>
            </w:r>
            <w:r w:rsidR="00640E6A">
              <w:rPr>
                <w:noProof/>
                <w:webHidden/>
              </w:rPr>
              <w:fldChar w:fldCharType="separate"/>
            </w:r>
            <w:r w:rsidR="00640E6A">
              <w:rPr>
                <w:noProof/>
                <w:webHidden/>
              </w:rPr>
              <w:t>10</w:t>
            </w:r>
            <w:r w:rsidR="00640E6A">
              <w:rPr>
                <w:noProof/>
                <w:webHidden/>
              </w:rPr>
              <w:fldChar w:fldCharType="end"/>
            </w:r>
          </w:hyperlink>
        </w:p>
        <w:p w14:paraId="7837E2B8" w14:textId="77777777" w:rsidR="00640E6A" w:rsidRDefault="00D76026">
          <w:pPr>
            <w:pStyle w:val="TOC3"/>
            <w:tabs>
              <w:tab w:val="left" w:pos="1320"/>
              <w:tab w:val="right" w:leader="dot" w:pos="9350"/>
            </w:tabs>
            <w:rPr>
              <w:rFonts w:asciiTheme="minorHAnsi" w:hAnsiTheme="minorHAnsi"/>
              <w:noProof/>
              <w:lang w:eastAsia="en-US"/>
            </w:rPr>
          </w:pPr>
          <w:hyperlink w:anchor="_Toc68791435" w:history="1">
            <w:r w:rsidR="00640E6A" w:rsidRPr="00E429FB">
              <w:rPr>
                <w:rStyle w:val="Hyperlink"/>
                <w:noProof/>
              </w:rPr>
              <w:t>1.3.2</w:t>
            </w:r>
            <w:r w:rsidR="00640E6A">
              <w:rPr>
                <w:rFonts w:asciiTheme="minorHAnsi" w:hAnsiTheme="minorHAnsi"/>
                <w:noProof/>
                <w:lang w:eastAsia="en-US"/>
              </w:rPr>
              <w:tab/>
            </w:r>
            <w:r w:rsidR="00640E6A" w:rsidRPr="00E429FB">
              <w:rPr>
                <w:rStyle w:val="Hyperlink"/>
                <w:noProof/>
              </w:rPr>
              <w:t>Arguments for Adoption</w:t>
            </w:r>
            <w:r w:rsidR="00640E6A">
              <w:rPr>
                <w:noProof/>
                <w:webHidden/>
              </w:rPr>
              <w:tab/>
            </w:r>
            <w:r w:rsidR="00640E6A">
              <w:rPr>
                <w:noProof/>
                <w:webHidden/>
              </w:rPr>
              <w:fldChar w:fldCharType="begin"/>
            </w:r>
            <w:r w:rsidR="00640E6A">
              <w:rPr>
                <w:noProof/>
                <w:webHidden/>
              </w:rPr>
              <w:instrText xml:space="preserve"> PAGEREF _Toc68791435 \h </w:instrText>
            </w:r>
            <w:r w:rsidR="00640E6A">
              <w:rPr>
                <w:noProof/>
                <w:webHidden/>
              </w:rPr>
            </w:r>
            <w:r w:rsidR="00640E6A">
              <w:rPr>
                <w:noProof/>
                <w:webHidden/>
              </w:rPr>
              <w:fldChar w:fldCharType="separate"/>
            </w:r>
            <w:r w:rsidR="00640E6A">
              <w:rPr>
                <w:noProof/>
                <w:webHidden/>
              </w:rPr>
              <w:t>11</w:t>
            </w:r>
            <w:r w:rsidR="00640E6A">
              <w:rPr>
                <w:noProof/>
                <w:webHidden/>
              </w:rPr>
              <w:fldChar w:fldCharType="end"/>
            </w:r>
          </w:hyperlink>
        </w:p>
        <w:p w14:paraId="13019E83" w14:textId="77777777" w:rsidR="00640E6A" w:rsidRDefault="00D76026">
          <w:pPr>
            <w:pStyle w:val="TOC3"/>
            <w:tabs>
              <w:tab w:val="left" w:pos="1320"/>
              <w:tab w:val="right" w:leader="dot" w:pos="9350"/>
            </w:tabs>
            <w:rPr>
              <w:rFonts w:asciiTheme="minorHAnsi" w:hAnsiTheme="minorHAnsi"/>
              <w:noProof/>
              <w:lang w:eastAsia="en-US"/>
            </w:rPr>
          </w:pPr>
          <w:hyperlink w:anchor="_Toc68791436" w:history="1">
            <w:r w:rsidR="00640E6A" w:rsidRPr="00E429FB">
              <w:rPr>
                <w:rStyle w:val="Hyperlink"/>
                <w:noProof/>
              </w:rPr>
              <w:t>1.3.3</w:t>
            </w:r>
            <w:r w:rsidR="00640E6A">
              <w:rPr>
                <w:rFonts w:asciiTheme="minorHAnsi" w:hAnsiTheme="minorHAnsi"/>
                <w:noProof/>
                <w:lang w:eastAsia="en-US"/>
              </w:rPr>
              <w:tab/>
            </w:r>
            <w:r w:rsidR="00640E6A" w:rsidRPr="00E429FB">
              <w:rPr>
                <w:rStyle w:val="Hyperlink"/>
                <w:noProof/>
              </w:rPr>
              <w:t>Additional Benefits and Burdens</w:t>
            </w:r>
            <w:r w:rsidR="00640E6A">
              <w:rPr>
                <w:noProof/>
                <w:webHidden/>
              </w:rPr>
              <w:tab/>
            </w:r>
            <w:r w:rsidR="00640E6A">
              <w:rPr>
                <w:noProof/>
                <w:webHidden/>
              </w:rPr>
              <w:fldChar w:fldCharType="begin"/>
            </w:r>
            <w:r w:rsidR="00640E6A">
              <w:rPr>
                <w:noProof/>
                <w:webHidden/>
              </w:rPr>
              <w:instrText xml:space="preserve"> PAGEREF _Toc68791436 \h </w:instrText>
            </w:r>
            <w:r w:rsidR="00640E6A">
              <w:rPr>
                <w:noProof/>
                <w:webHidden/>
              </w:rPr>
            </w:r>
            <w:r w:rsidR="00640E6A">
              <w:rPr>
                <w:noProof/>
                <w:webHidden/>
              </w:rPr>
              <w:fldChar w:fldCharType="separate"/>
            </w:r>
            <w:r w:rsidR="00640E6A">
              <w:rPr>
                <w:noProof/>
                <w:webHidden/>
              </w:rPr>
              <w:t>12</w:t>
            </w:r>
            <w:r w:rsidR="00640E6A">
              <w:rPr>
                <w:noProof/>
                <w:webHidden/>
              </w:rPr>
              <w:fldChar w:fldCharType="end"/>
            </w:r>
          </w:hyperlink>
        </w:p>
        <w:p w14:paraId="402AD032" w14:textId="77777777" w:rsidR="00640E6A" w:rsidRDefault="00D76026">
          <w:pPr>
            <w:pStyle w:val="TOC1"/>
            <w:tabs>
              <w:tab w:val="left" w:pos="440"/>
              <w:tab w:val="right" w:leader="dot" w:pos="9350"/>
            </w:tabs>
            <w:rPr>
              <w:rFonts w:asciiTheme="minorHAnsi" w:hAnsiTheme="minorHAnsi"/>
              <w:noProof/>
              <w:lang w:eastAsia="en-US"/>
            </w:rPr>
          </w:pPr>
          <w:hyperlink w:anchor="_Toc68791437" w:history="1">
            <w:r w:rsidR="00640E6A" w:rsidRPr="00E429FB">
              <w:rPr>
                <w:rStyle w:val="Hyperlink"/>
                <w:noProof/>
              </w:rPr>
              <w:t>2</w:t>
            </w:r>
            <w:r w:rsidR="00640E6A">
              <w:rPr>
                <w:rFonts w:asciiTheme="minorHAnsi" w:hAnsiTheme="minorHAnsi"/>
                <w:noProof/>
                <w:lang w:eastAsia="en-US"/>
              </w:rPr>
              <w:tab/>
            </w:r>
            <w:r w:rsidR="00640E6A" w:rsidRPr="00E429FB">
              <w:rPr>
                <w:rStyle w:val="Hyperlink"/>
                <w:noProof/>
              </w:rPr>
              <w:t>Methodology</w:t>
            </w:r>
            <w:r w:rsidR="00640E6A">
              <w:rPr>
                <w:noProof/>
                <w:webHidden/>
              </w:rPr>
              <w:tab/>
            </w:r>
            <w:r w:rsidR="00640E6A">
              <w:rPr>
                <w:noProof/>
                <w:webHidden/>
              </w:rPr>
              <w:fldChar w:fldCharType="begin"/>
            </w:r>
            <w:r w:rsidR="00640E6A">
              <w:rPr>
                <w:noProof/>
                <w:webHidden/>
              </w:rPr>
              <w:instrText xml:space="preserve"> PAGEREF _Toc68791437 \h </w:instrText>
            </w:r>
            <w:r w:rsidR="00640E6A">
              <w:rPr>
                <w:noProof/>
                <w:webHidden/>
              </w:rPr>
            </w:r>
            <w:r w:rsidR="00640E6A">
              <w:rPr>
                <w:noProof/>
                <w:webHidden/>
              </w:rPr>
              <w:fldChar w:fldCharType="separate"/>
            </w:r>
            <w:r w:rsidR="00640E6A">
              <w:rPr>
                <w:noProof/>
                <w:webHidden/>
              </w:rPr>
              <w:t>12</w:t>
            </w:r>
            <w:r w:rsidR="00640E6A">
              <w:rPr>
                <w:noProof/>
                <w:webHidden/>
              </w:rPr>
              <w:fldChar w:fldCharType="end"/>
            </w:r>
          </w:hyperlink>
        </w:p>
        <w:p w14:paraId="4581E861" w14:textId="77777777" w:rsidR="00640E6A" w:rsidRDefault="00D76026">
          <w:pPr>
            <w:pStyle w:val="TOC2"/>
            <w:tabs>
              <w:tab w:val="left" w:pos="880"/>
              <w:tab w:val="right" w:leader="dot" w:pos="9350"/>
            </w:tabs>
            <w:rPr>
              <w:rFonts w:asciiTheme="minorHAnsi" w:hAnsiTheme="minorHAnsi"/>
              <w:noProof/>
              <w:lang w:eastAsia="en-US"/>
            </w:rPr>
          </w:pPr>
          <w:hyperlink w:anchor="_Toc68791438" w:history="1">
            <w:r w:rsidR="00640E6A" w:rsidRPr="00E429FB">
              <w:rPr>
                <w:rStyle w:val="Hyperlink"/>
                <w:noProof/>
              </w:rPr>
              <w:t>2.1</w:t>
            </w:r>
            <w:r w:rsidR="00640E6A">
              <w:rPr>
                <w:rFonts w:asciiTheme="minorHAnsi" w:hAnsiTheme="minorHAnsi"/>
                <w:noProof/>
                <w:lang w:eastAsia="en-US"/>
              </w:rPr>
              <w:tab/>
            </w:r>
            <w:r w:rsidR="00640E6A" w:rsidRPr="00E429FB">
              <w:rPr>
                <w:rStyle w:val="Hyperlink"/>
                <w:noProof/>
              </w:rPr>
              <w:t>Introduction</w:t>
            </w:r>
            <w:r w:rsidR="00640E6A">
              <w:rPr>
                <w:noProof/>
                <w:webHidden/>
              </w:rPr>
              <w:tab/>
            </w:r>
            <w:r w:rsidR="00640E6A">
              <w:rPr>
                <w:noProof/>
                <w:webHidden/>
              </w:rPr>
              <w:fldChar w:fldCharType="begin"/>
            </w:r>
            <w:r w:rsidR="00640E6A">
              <w:rPr>
                <w:noProof/>
                <w:webHidden/>
              </w:rPr>
              <w:instrText xml:space="preserve"> PAGEREF _Toc68791438 \h </w:instrText>
            </w:r>
            <w:r w:rsidR="00640E6A">
              <w:rPr>
                <w:noProof/>
                <w:webHidden/>
              </w:rPr>
            </w:r>
            <w:r w:rsidR="00640E6A">
              <w:rPr>
                <w:noProof/>
                <w:webHidden/>
              </w:rPr>
              <w:fldChar w:fldCharType="separate"/>
            </w:r>
            <w:r w:rsidR="00640E6A">
              <w:rPr>
                <w:noProof/>
                <w:webHidden/>
              </w:rPr>
              <w:t>12</w:t>
            </w:r>
            <w:r w:rsidR="00640E6A">
              <w:rPr>
                <w:noProof/>
                <w:webHidden/>
              </w:rPr>
              <w:fldChar w:fldCharType="end"/>
            </w:r>
          </w:hyperlink>
        </w:p>
        <w:p w14:paraId="23BC9F64" w14:textId="77777777" w:rsidR="00640E6A" w:rsidRDefault="00D76026">
          <w:pPr>
            <w:pStyle w:val="TOC2"/>
            <w:tabs>
              <w:tab w:val="left" w:pos="880"/>
              <w:tab w:val="right" w:leader="dot" w:pos="9350"/>
            </w:tabs>
            <w:rPr>
              <w:rFonts w:asciiTheme="minorHAnsi" w:hAnsiTheme="minorHAnsi"/>
              <w:noProof/>
              <w:lang w:eastAsia="en-US"/>
            </w:rPr>
          </w:pPr>
          <w:hyperlink w:anchor="_Toc68791439" w:history="1">
            <w:r w:rsidR="00640E6A" w:rsidRPr="00E429FB">
              <w:rPr>
                <w:rStyle w:val="Hyperlink"/>
                <w:noProof/>
              </w:rPr>
              <w:t>2.2</w:t>
            </w:r>
            <w:r w:rsidR="00640E6A">
              <w:rPr>
                <w:rFonts w:asciiTheme="minorHAnsi" w:hAnsiTheme="minorHAnsi"/>
                <w:noProof/>
                <w:lang w:eastAsia="en-US"/>
              </w:rPr>
              <w:tab/>
            </w:r>
            <w:r w:rsidR="00640E6A" w:rsidRPr="00E429FB">
              <w:rPr>
                <w:rStyle w:val="Hyperlink"/>
                <w:noProof/>
              </w:rPr>
              <w:t>Data Sources</w:t>
            </w:r>
            <w:r w:rsidR="00640E6A">
              <w:rPr>
                <w:noProof/>
                <w:webHidden/>
              </w:rPr>
              <w:tab/>
            </w:r>
            <w:r w:rsidR="00640E6A">
              <w:rPr>
                <w:noProof/>
                <w:webHidden/>
              </w:rPr>
              <w:fldChar w:fldCharType="begin"/>
            </w:r>
            <w:r w:rsidR="00640E6A">
              <w:rPr>
                <w:noProof/>
                <w:webHidden/>
              </w:rPr>
              <w:instrText xml:space="preserve"> PAGEREF _Toc68791439 \h </w:instrText>
            </w:r>
            <w:r w:rsidR="00640E6A">
              <w:rPr>
                <w:noProof/>
                <w:webHidden/>
              </w:rPr>
            </w:r>
            <w:r w:rsidR="00640E6A">
              <w:rPr>
                <w:noProof/>
                <w:webHidden/>
              </w:rPr>
              <w:fldChar w:fldCharType="separate"/>
            </w:r>
            <w:r w:rsidR="00640E6A">
              <w:rPr>
                <w:noProof/>
                <w:webHidden/>
              </w:rPr>
              <w:t>13</w:t>
            </w:r>
            <w:r w:rsidR="00640E6A">
              <w:rPr>
                <w:noProof/>
                <w:webHidden/>
              </w:rPr>
              <w:fldChar w:fldCharType="end"/>
            </w:r>
          </w:hyperlink>
        </w:p>
        <w:p w14:paraId="163B841D" w14:textId="77777777" w:rsidR="00640E6A" w:rsidRDefault="00D76026">
          <w:pPr>
            <w:pStyle w:val="TOC2"/>
            <w:tabs>
              <w:tab w:val="left" w:pos="880"/>
              <w:tab w:val="right" w:leader="dot" w:pos="9350"/>
            </w:tabs>
            <w:rPr>
              <w:rFonts w:asciiTheme="minorHAnsi" w:hAnsiTheme="minorHAnsi"/>
              <w:noProof/>
              <w:lang w:eastAsia="en-US"/>
            </w:rPr>
          </w:pPr>
          <w:hyperlink w:anchor="_Toc68791440" w:history="1">
            <w:r w:rsidR="00640E6A" w:rsidRPr="00E429FB">
              <w:rPr>
                <w:rStyle w:val="Hyperlink"/>
                <w:noProof/>
              </w:rPr>
              <w:t>2.3</w:t>
            </w:r>
            <w:r w:rsidR="00640E6A">
              <w:rPr>
                <w:rFonts w:asciiTheme="minorHAnsi" w:hAnsiTheme="minorHAnsi"/>
                <w:noProof/>
                <w:lang w:eastAsia="en-US"/>
              </w:rPr>
              <w:tab/>
            </w:r>
            <w:r w:rsidR="00640E6A" w:rsidRPr="00E429FB">
              <w:rPr>
                <w:rStyle w:val="Hyperlink"/>
                <w:noProof/>
              </w:rPr>
              <w:t>Total Addressable Market</w:t>
            </w:r>
            <w:r w:rsidR="00640E6A">
              <w:rPr>
                <w:noProof/>
                <w:webHidden/>
              </w:rPr>
              <w:tab/>
            </w:r>
            <w:r w:rsidR="00640E6A">
              <w:rPr>
                <w:noProof/>
                <w:webHidden/>
              </w:rPr>
              <w:fldChar w:fldCharType="begin"/>
            </w:r>
            <w:r w:rsidR="00640E6A">
              <w:rPr>
                <w:noProof/>
                <w:webHidden/>
              </w:rPr>
              <w:instrText xml:space="preserve"> PAGEREF _Toc68791440 \h </w:instrText>
            </w:r>
            <w:r w:rsidR="00640E6A">
              <w:rPr>
                <w:noProof/>
                <w:webHidden/>
              </w:rPr>
            </w:r>
            <w:r w:rsidR="00640E6A">
              <w:rPr>
                <w:noProof/>
                <w:webHidden/>
              </w:rPr>
              <w:fldChar w:fldCharType="separate"/>
            </w:r>
            <w:r w:rsidR="00640E6A">
              <w:rPr>
                <w:noProof/>
                <w:webHidden/>
              </w:rPr>
              <w:t>13</w:t>
            </w:r>
            <w:r w:rsidR="00640E6A">
              <w:rPr>
                <w:noProof/>
                <w:webHidden/>
              </w:rPr>
              <w:fldChar w:fldCharType="end"/>
            </w:r>
          </w:hyperlink>
        </w:p>
        <w:p w14:paraId="04481CA3" w14:textId="77777777" w:rsidR="00640E6A" w:rsidRDefault="00D76026">
          <w:pPr>
            <w:pStyle w:val="TOC2"/>
            <w:tabs>
              <w:tab w:val="left" w:pos="880"/>
              <w:tab w:val="right" w:leader="dot" w:pos="9350"/>
            </w:tabs>
            <w:rPr>
              <w:rFonts w:asciiTheme="minorHAnsi" w:hAnsiTheme="minorHAnsi"/>
              <w:noProof/>
              <w:lang w:eastAsia="en-US"/>
            </w:rPr>
          </w:pPr>
          <w:hyperlink w:anchor="_Toc68791441" w:history="1">
            <w:r w:rsidR="00640E6A" w:rsidRPr="00E429FB">
              <w:rPr>
                <w:rStyle w:val="Hyperlink"/>
                <w:noProof/>
              </w:rPr>
              <w:t>2.4</w:t>
            </w:r>
            <w:r w:rsidR="00640E6A">
              <w:rPr>
                <w:rFonts w:asciiTheme="minorHAnsi" w:hAnsiTheme="minorHAnsi"/>
                <w:noProof/>
                <w:lang w:eastAsia="en-US"/>
              </w:rPr>
              <w:tab/>
            </w:r>
            <w:r w:rsidR="00640E6A" w:rsidRPr="00E429FB">
              <w:rPr>
                <w:rStyle w:val="Hyperlink"/>
                <w:noProof/>
              </w:rPr>
              <w:t>Adoption Scenarios</w:t>
            </w:r>
            <w:r w:rsidR="00640E6A">
              <w:rPr>
                <w:noProof/>
                <w:webHidden/>
              </w:rPr>
              <w:tab/>
            </w:r>
            <w:r w:rsidR="00640E6A">
              <w:rPr>
                <w:noProof/>
                <w:webHidden/>
              </w:rPr>
              <w:fldChar w:fldCharType="begin"/>
            </w:r>
            <w:r w:rsidR="00640E6A">
              <w:rPr>
                <w:noProof/>
                <w:webHidden/>
              </w:rPr>
              <w:instrText xml:space="preserve"> PAGEREF _Toc68791441 \h </w:instrText>
            </w:r>
            <w:r w:rsidR="00640E6A">
              <w:rPr>
                <w:noProof/>
                <w:webHidden/>
              </w:rPr>
            </w:r>
            <w:r w:rsidR="00640E6A">
              <w:rPr>
                <w:noProof/>
                <w:webHidden/>
              </w:rPr>
              <w:fldChar w:fldCharType="separate"/>
            </w:r>
            <w:r w:rsidR="00640E6A">
              <w:rPr>
                <w:noProof/>
                <w:webHidden/>
              </w:rPr>
              <w:t>14</w:t>
            </w:r>
            <w:r w:rsidR="00640E6A">
              <w:rPr>
                <w:noProof/>
                <w:webHidden/>
              </w:rPr>
              <w:fldChar w:fldCharType="end"/>
            </w:r>
          </w:hyperlink>
        </w:p>
        <w:p w14:paraId="5D7F535C" w14:textId="77777777" w:rsidR="00640E6A" w:rsidRDefault="00D76026">
          <w:pPr>
            <w:pStyle w:val="TOC3"/>
            <w:tabs>
              <w:tab w:val="left" w:pos="1320"/>
              <w:tab w:val="right" w:leader="dot" w:pos="9350"/>
            </w:tabs>
            <w:rPr>
              <w:rFonts w:asciiTheme="minorHAnsi" w:hAnsiTheme="minorHAnsi"/>
              <w:noProof/>
              <w:lang w:eastAsia="en-US"/>
            </w:rPr>
          </w:pPr>
          <w:hyperlink w:anchor="_Toc68791443" w:history="1">
            <w:r w:rsidR="00640E6A" w:rsidRPr="00E429FB">
              <w:rPr>
                <w:rStyle w:val="Hyperlink"/>
                <w:noProof/>
              </w:rPr>
              <w:t>2.4.1</w:t>
            </w:r>
            <w:r w:rsidR="00640E6A">
              <w:rPr>
                <w:rFonts w:asciiTheme="minorHAnsi" w:hAnsiTheme="minorHAnsi"/>
                <w:noProof/>
                <w:lang w:eastAsia="en-US"/>
              </w:rPr>
              <w:tab/>
            </w:r>
            <w:r w:rsidR="00640E6A" w:rsidRPr="00E429FB">
              <w:rPr>
                <w:rStyle w:val="Hyperlink"/>
                <w:noProof/>
              </w:rPr>
              <w:t>Reference Case</w:t>
            </w:r>
            <w:r w:rsidR="00640E6A">
              <w:rPr>
                <w:noProof/>
                <w:webHidden/>
              </w:rPr>
              <w:tab/>
            </w:r>
            <w:r w:rsidR="00640E6A">
              <w:rPr>
                <w:noProof/>
                <w:webHidden/>
              </w:rPr>
              <w:fldChar w:fldCharType="begin"/>
            </w:r>
            <w:r w:rsidR="00640E6A">
              <w:rPr>
                <w:noProof/>
                <w:webHidden/>
              </w:rPr>
              <w:instrText xml:space="preserve"> PAGEREF _Toc68791443 \h </w:instrText>
            </w:r>
            <w:r w:rsidR="00640E6A">
              <w:rPr>
                <w:noProof/>
                <w:webHidden/>
              </w:rPr>
            </w:r>
            <w:r w:rsidR="00640E6A">
              <w:rPr>
                <w:noProof/>
                <w:webHidden/>
              </w:rPr>
              <w:fldChar w:fldCharType="separate"/>
            </w:r>
            <w:r w:rsidR="00640E6A">
              <w:rPr>
                <w:noProof/>
                <w:webHidden/>
              </w:rPr>
              <w:t>15</w:t>
            </w:r>
            <w:r w:rsidR="00640E6A">
              <w:rPr>
                <w:noProof/>
                <w:webHidden/>
              </w:rPr>
              <w:fldChar w:fldCharType="end"/>
            </w:r>
          </w:hyperlink>
        </w:p>
        <w:p w14:paraId="78ADC876" w14:textId="77777777" w:rsidR="00640E6A" w:rsidRDefault="00D76026">
          <w:pPr>
            <w:pStyle w:val="TOC3"/>
            <w:tabs>
              <w:tab w:val="left" w:pos="1320"/>
              <w:tab w:val="right" w:leader="dot" w:pos="9350"/>
            </w:tabs>
            <w:rPr>
              <w:rFonts w:asciiTheme="minorHAnsi" w:hAnsiTheme="minorHAnsi"/>
              <w:noProof/>
              <w:lang w:eastAsia="en-US"/>
            </w:rPr>
          </w:pPr>
          <w:hyperlink w:anchor="_Toc68791444" w:history="1">
            <w:r w:rsidR="00640E6A" w:rsidRPr="00E429FB">
              <w:rPr>
                <w:rStyle w:val="Hyperlink"/>
                <w:noProof/>
              </w:rPr>
              <w:t>2.4.2</w:t>
            </w:r>
            <w:r w:rsidR="00640E6A">
              <w:rPr>
                <w:rFonts w:asciiTheme="minorHAnsi" w:hAnsiTheme="minorHAnsi"/>
                <w:noProof/>
                <w:lang w:eastAsia="en-US"/>
              </w:rPr>
              <w:tab/>
            </w:r>
            <w:r w:rsidR="00640E6A" w:rsidRPr="00E429FB">
              <w:rPr>
                <w:rStyle w:val="Hyperlink"/>
                <w:noProof/>
              </w:rPr>
              <w:t>Project Drawdown Scenarios</w:t>
            </w:r>
            <w:r w:rsidR="00640E6A">
              <w:rPr>
                <w:noProof/>
                <w:webHidden/>
              </w:rPr>
              <w:tab/>
            </w:r>
            <w:r w:rsidR="00640E6A">
              <w:rPr>
                <w:noProof/>
                <w:webHidden/>
              </w:rPr>
              <w:fldChar w:fldCharType="begin"/>
            </w:r>
            <w:r w:rsidR="00640E6A">
              <w:rPr>
                <w:noProof/>
                <w:webHidden/>
              </w:rPr>
              <w:instrText xml:space="preserve"> PAGEREF _Toc68791444 \h </w:instrText>
            </w:r>
            <w:r w:rsidR="00640E6A">
              <w:rPr>
                <w:noProof/>
                <w:webHidden/>
              </w:rPr>
            </w:r>
            <w:r w:rsidR="00640E6A">
              <w:rPr>
                <w:noProof/>
                <w:webHidden/>
              </w:rPr>
              <w:fldChar w:fldCharType="separate"/>
            </w:r>
            <w:r w:rsidR="00640E6A">
              <w:rPr>
                <w:noProof/>
                <w:webHidden/>
              </w:rPr>
              <w:t>15</w:t>
            </w:r>
            <w:r w:rsidR="00640E6A">
              <w:rPr>
                <w:noProof/>
                <w:webHidden/>
              </w:rPr>
              <w:fldChar w:fldCharType="end"/>
            </w:r>
          </w:hyperlink>
        </w:p>
        <w:p w14:paraId="3DF0411E" w14:textId="77777777" w:rsidR="00640E6A" w:rsidRDefault="00D76026">
          <w:pPr>
            <w:pStyle w:val="TOC2"/>
            <w:tabs>
              <w:tab w:val="left" w:pos="880"/>
              <w:tab w:val="right" w:leader="dot" w:pos="9350"/>
            </w:tabs>
            <w:rPr>
              <w:rFonts w:asciiTheme="minorHAnsi" w:hAnsiTheme="minorHAnsi"/>
              <w:noProof/>
              <w:lang w:eastAsia="en-US"/>
            </w:rPr>
          </w:pPr>
          <w:hyperlink w:anchor="_Toc68791445" w:history="1">
            <w:r w:rsidR="00640E6A" w:rsidRPr="00E429FB">
              <w:rPr>
                <w:rStyle w:val="Hyperlink"/>
                <w:noProof/>
              </w:rPr>
              <w:t>2.5</w:t>
            </w:r>
            <w:r w:rsidR="00640E6A">
              <w:rPr>
                <w:rFonts w:asciiTheme="minorHAnsi" w:hAnsiTheme="minorHAnsi"/>
                <w:noProof/>
                <w:lang w:eastAsia="en-US"/>
              </w:rPr>
              <w:tab/>
            </w:r>
            <w:r w:rsidR="00640E6A" w:rsidRPr="00E429FB">
              <w:rPr>
                <w:rStyle w:val="Hyperlink"/>
                <w:noProof/>
              </w:rPr>
              <w:t>Inputs</w:t>
            </w:r>
            <w:r w:rsidR="00640E6A">
              <w:rPr>
                <w:noProof/>
                <w:webHidden/>
              </w:rPr>
              <w:tab/>
            </w:r>
            <w:r w:rsidR="00640E6A">
              <w:rPr>
                <w:noProof/>
                <w:webHidden/>
              </w:rPr>
              <w:fldChar w:fldCharType="begin"/>
            </w:r>
            <w:r w:rsidR="00640E6A">
              <w:rPr>
                <w:noProof/>
                <w:webHidden/>
              </w:rPr>
              <w:instrText xml:space="preserve"> PAGEREF _Toc68791445 \h </w:instrText>
            </w:r>
            <w:r w:rsidR="00640E6A">
              <w:rPr>
                <w:noProof/>
                <w:webHidden/>
              </w:rPr>
            </w:r>
            <w:r w:rsidR="00640E6A">
              <w:rPr>
                <w:noProof/>
                <w:webHidden/>
              </w:rPr>
              <w:fldChar w:fldCharType="separate"/>
            </w:r>
            <w:r w:rsidR="00640E6A">
              <w:rPr>
                <w:noProof/>
                <w:webHidden/>
              </w:rPr>
              <w:t>15</w:t>
            </w:r>
            <w:r w:rsidR="00640E6A">
              <w:rPr>
                <w:noProof/>
                <w:webHidden/>
              </w:rPr>
              <w:fldChar w:fldCharType="end"/>
            </w:r>
          </w:hyperlink>
        </w:p>
        <w:p w14:paraId="44FEE541" w14:textId="77777777" w:rsidR="00640E6A" w:rsidRDefault="00D76026">
          <w:pPr>
            <w:pStyle w:val="TOC3"/>
            <w:tabs>
              <w:tab w:val="left" w:pos="1320"/>
              <w:tab w:val="right" w:leader="dot" w:pos="9350"/>
            </w:tabs>
            <w:rPr>
              <w:rFonts w:asciiTheme="minorHAnsi" w:hAnsiTheme="minorHAnsi"/>
              <w:noProof/>
              <w:lang w:eastAsia="en-US"/>
            </w:rPr>
          </w:pPr>
          <w:hyperlink w:anchor="_Toc68791446" w:history="1">
            <w:r w:rsidR="00640E6A" w:rsidRPr="00E429FB">
              <w:rPr>
                <w:rStyle w:val="Hyperlink"/>
                <w:noProof/>
              </w:rPr>
              <w:t>2.5.1</w:t>
            </w:r>
            <w:r w:rsidR="00640E6A">
              <w:rPr>
                <w:rFonts w:asciiTheme="minorHAnsi" w:hAnsiTheme="minorHAnsi"/>
                <w:noProof/>
                <w:lang w:eastAsia="en-US"/>
              </w:rPr>
              <w:tab/>
            </w:r>
            <w:r w:rsidR="00640E6A" w:rsidRPr="00E429FB">
              <w:rPr>
                <w:rStyle w:val="Hyperlink"/>
                <w:noProof/>
              </w:rPr>
              <w:t>Climate Inputs</w:t>
            </w:r>
            <w:r w:rsidR="00640E6A">
              <w:rPr>
                <w:noProof/>
                <w:webHidden/>
              </w:rPr>
              <w:tab/>
            </w:r>
            <w:r w:rsidR="00640E6A">
              <w:rPr>
                <w:noProof/>
                <w:webHidden/>
              </w:rPr>
              <w:fldChar w:fldCharType="begin"/>
            </w:r>
            <w:r w:rsidR="00640E6A">
              <w:rPr>
                <w:noProof/>
                <w:webHidden/>
              </w:rPr>
              <w:instrText xml:space="preserve"> PAGEREF _Toc68791446 \h </w:instrText>
            </w:r>
            <w:r w:rsidR="00640E6A">
              <w:rPr>
                <w:noProof/>
                <w:webHidden/>
              </w:rPr>
            </w:r>
            <w:r w:rsidR="00640E6A">
              <w:rPr>
                <w:noProof/>
                <w:webHidden/>
              </w:rPr>
              <w:fldChar w:fldCharType="separate"/>
            </w:r>
            <w:r w:rsidR="00640E6A">
              <w:rPr>
                <w:noProof/>
                <w:webHidden/>
              </w:rPr>
              <w:t>15</w:t>
            </w:r>
            <w:r w:rsidR="00640E6A">
              <w:rPr>
                <w:noProof/>
                <w:webHidden/>
              </w:rPr>
              <w:fldChar w:fldCharType="end"/>
            </w:r>
          </w:hyperlink>
        </w:p>
        <w:p w14:paraId="01ADC1CA" w14:textId="77777777" w:rsidR="00640E6A" w:rsidRDefault="00D76026">
          <w:pPr>
            <w:pStyle w:val="TOC3"/>
            <w:tabs>
              <w:tab w:val="left" w:pos="1320"/>
              <w:tab w:val="right" w:leader="dot" w:pos="9350"/>
            </w:tabs>
            <w:rPr>
              <w:rFonts w:asciiTheme="minorHAnsi" w:hAnsiTheme="minorHAnsi"/>
              <w:noProof/>
              <w:lang w:eastAsia="en-US"/>
            </w:rPr>
          </w:pPr>
          <w:hyperlink w:anchor="_Toc68791447" w:history="1">
            <w:r w:rsidR="00640E6A" w:rsidRPr="00E429FB">
              <w:rPr>
                <w:rStyle w:val="Hyperlink"/>
                <w:noProof/>
              </w:rPr>
              <w:t>2.5.2</w:t>
            </w:r>
            <w:r w:rsidR="00640E6A">
              <w:rPr>
                <w:rFonts w:asciiTheme="minorHAnsi" w:hAnsiTheme="minorHAnsi"/>
                <w:noProof/>
                <w:lang w:eastAsia="en-US"/>
              </w:rPr>
              <w:tab/>
            </w:r>
            <w:r w:rsidR="00640E6A" w:rsidRPr="00E429FB">
              <w:rPr>
                <w:rStyle w:val="Hyperlink"/>
                <w:noProof/>
              </w:rPr>
              <w:t>Financial Inputs</w:t>
            </w:r>
            <w:r w:rsidR="00640E6A">
              <w:rPr>
                <w:noProof/>
                <w:webHidden/>
              </w:rPr>
              <w:tab/>
            </w:r>
            <w:r w:rsidR="00640E6A">
              <w:rPr>
                <w:noProof/>
                <w:webHidden/>
              </w:rPr>
              <w:fldChar w:fldCharType="begin"/>
            </w:r>
            <w:r w:rsidR="00640E6A">
              <w:rPr>
                <w:noProof/>
                <w:webHidden/>
              </w:rPr>
              <w:instrText xml:space="preserve"> PAGEREF _Toc68791447 \h </w:instrText>
            </w:r>
            <w:r w:rsidR="00640E6A">
              <w:rPr>
                <w:noProof/>
                <w:webHidden/>
              </w:rPr>
            </w:r>
            <w:r w:rsidR="00640E6A">
              <w:rPr>
                <w:noProof/>
                <w:webHidden/>
              </w:rPr>
              <w:fldChar w:fldCharType="separate"/>
            </w:r>
            <w:r w:rsidR="00640E6A">
              <w:rPr>
                <w:noProof/>
                <w:webHidden/>
              </w:rPr>
              <w:t>17</w:t>
            </w:r>
            <w:r w:rsidR="00640E6A">
              <w:rPr>
                <w:noProof/>
                <w:webHidden/>
              </w:rPr>
              <w:fldChar w:fldCharType="end"/>
            </w:r>
          </w:hyperlink>
        </w:p>
        <w:p w14:paraId="01F00754" w14:textId="77777777" w:rsidR="00640E6A" w:rsidRDefault="00D76026">
          <w:pPr>
            <w:pStyle w:val="TOC3"/>
            <w:tabs>
              <w:tab w:val="left" w:pos="1320"/>
              <w:tab w:val="right" w:leader="dot" w:pos="9350"/>
            </w:tabs>
            <w:rPr>
              <w:rFonts w:asciiTheme="minorHAnsi" w:hAnsiTheme="minorHAnsi"/>
              <w:noProof/>
              <w:lang w:eastAsia="en-US"/>
            </w:rPr>
          </w:pPr>
          <w:hyperlink w:anchor="_Toc68791448" w:history="1">
            <w:r w:rsidR="00640E6A" w:rsidRPr="00E429FB">
              <w:rPr>
                <w:rStyle w:val="Hyperlink"/>
                <w:noProof/>
              </w:rPr>
              <w:t>2.5.3</w:t>
            </w:r>
            <w:r w:rsidR="00640E6A">
              <w:rPr>
                <w:rFonts w:asciiTheme="minorHAnsi" w:hAnsiTheme="minorHAnsi"/>
                <w:noProof/>
                <w:lang w:eastAsia="en-US"/>
              </w:rPr>
              <w:tab/>
            </w:r>
            <w:r w:rsidR="00640E6A" w:rsidRPr="00E429FB">
              <w:rPr>
                <w:rStyle w:val="Hyperlink"/>
                <w:noProof/>
              </w:rPr>
              <w:t>Technical Inputs</w:t>
            </w:r>
            <w:r w:rsidR="00640E6A">
              <w:rPr>
                <w:noProof/>
                <w:webHidden/>
              </w:rPr>
              <w:tab/>
            </w:r>
            <w:r w:rsidR="00640E6A">
              <w:rPr>
                <w:noProof/>
                <w:webHidden/>
              </w:rPr>
              <w:fldChar w:fldCharType="begin"/>
            </w:r>
            <w:r w:rsidR="00640E6A">
              <w:rPr>
                <w:noProof/>
                <w:webHidden/>
              </w:rPr>
              <w:instrText xml:space="preserve"> PAGEREF _Toc68791448 \h </w:instrText>
            </w:r>
            <w:r w:rsidR="00640E6A">
              <w:rPr>
                <w:noProof/>
                <w:webHidden/>
              </w:rPr>
            </w:r>
            <w:r w:rsidR="00640E6A">
              <w:rPr>
                <w:noProof/>
                <w:webHidden/>
              </w:rPr>
              <w:fldChar w:fldCharType="separate"/>
            </w:r>
            <w:r w:rsidR="00640E6A">
              <w:rPr>
                <w:noProof/>
                <w:webHidden/>
              </w:rPr>
              <w:t>18</w:t>
            </w:r>
            <w:r w:rsidR="00640E6A">
              <w:rPr>
                <w:noProof/>
                <w:webHidden/>
              </w:rPr>
              <w:fldChar w:fldCharType="end"/>
            </w:r>
          </w:hyperlink>
        </w:p>
        <w:p w14:paraId="7055C3AF" w14:textId="77777777" w:rsidR="00640E6A" w:rsidRDefault="00D76026">
          <w:pPr>
            <w:pStyle w:val="TOC2"/>
            <w:tabs>
              <w:tab w:val="left" w:pos="880"/>
              <w:tab w:val="right" w:leader="dot" w:pos="9350"/>
            </w:tabs>
            <w:rPr>
              <w:rFonts w:asciiTheme="minorHAnsi" w:hAnsiTheme="minorHAnsi"/>
              <w:noProof/>
              <w:lang w:eastAsia="en-US"/>
            </w:rPr>
          </w:pPr>
          <w:hyperlink w:anchor="_Toc68791449" w:history="1">
            <w:r w:rsidR="00640E6A" w:rsidRPr="00E429FB">
              <w:rPr>
                <w:rStyle w:val="Hyperlink"/>
                <w:noProof/>
              </w:rPr>
              <w:t>2.6</w:t>
            </w:r>
            <w:r w:rsidR="00640E6A">
              <w:rPr>
                <w:rFonts w:asciiTheme="minorHAnsi" w:hAnsiTheme="minorHAnsi"/>
                <w:noProof/>
                <w:lang w:eastAsia="en-US"/>
              </w:rPr>
              <w:tab/>
            </w:r>
            <w:r w:rsidR="00640E6A" w:rsidRPr="00E429FB">
              <w:rPr>
                <w:rStyle w:val="Hyperlink"/>
                <w:noProof/>
              </w:rPr>
              <w:t>Assumptions</w:t>
            </w:r>
            <w:r w:rsidR="00640E6A">
              <w:rPr>
                <w:noProof/>
                <w:webHidden/>
              </w:rPr>
              <w:tab/>
            </w:r>
            <w:r w:rsidR="00640E6A">
              <w:rPr>
                <w:noProof/>
                <w:webHidden/>
              </w:rPr>
              <w:fldChar w:fldCharType="begin"/>
            </w:r>
            <w:r w:rsidR="00640E6A">
              <w:rPr>
                <w:noProof/>
                <w:webHidden/>
              </w:rPr>
              <w:instrText xml:space="preserve"> PAGEREF _Toc68791449 \h </w:instrText>
            </w:r>
            <w:r w:rsidR="00640E6A">
              <w:rPr>
                <w:noProof/>
                <w:webHidden/>
              </w:rPr>
            </w:r>
            <w:r w:rsidR="00640E6A">
              <w:rPr>
                <w:noProof/>
                <w:webHidden/>
              </w:rPr>
              <w:fldChar w:fldCharType="separate"/>
            </w:r>
            <w:r w:rsidR="00640E6A">
              <w:rPr>
                <w:noProof/>
                <w:webHidden/>
              </w:rPr>
              <w:t>18</w:t>
            </w:r>
            <w:r w:rsidR="00640E6A">
              <w:rPr>
                <w:noProof/>
                <w:webHidden/>
              </w:rPr>
              <w:fldChar w:fldCharType="end"/>
            </w:r>
          </w:hyperlink>
        </w:p>
        <w:p w14:paraId="2540FAD2" w14:textId="77777777" w:rsidR="00640E6A" w:rsidRDefault="00D76026">
          <w:pPr>
            <w:pStyle w:val="TOC2"/>
            <w:tabs>
              <w:tab w:val="left" w:pos="880"/>
              <w:tab w:val="right" w:leader="dot" w:pos="9350"/>
            </w:tabs>
            <w:rPr>
              <w:rFonts w:asciiTheme="minorHAnsi" w:hAnsiTheme="minorHAnsi"/>
              <w:noProof/>
              <w:lang w:eastAsia="en-US"/>
            </w:rPr>
          </w:pPr>
          <w:hyperlink w:anchor="_Toc68791450" w:history="1">
            <w:r w:rsidR="00640E6A" w:rsidRPr="00E429FB">
              <w:rPr>
                <w:rStyle w:val="Hyperlink"/>
                <w:noProof/>
              </w:rPr>
              <w:t>2.7</w:t>
            </w:r>
            <w:r w:rsidR="00640E6A">
              <w:rPr>
                <w:rFonts w:asciiTheme="minorHAnsi" w:hAnsiTheme="minorHAnsi"/>
                <w:noProof/>
                <w:lang w:eastAsia="en-US"/>
              </w:rPr>
              <w:tab/>
            </w:r>
            <w:r w:rsidR="00640E6A" w:rsidRPr="00E429FB">
              <w:rPr>
                <w:rStyle w:val="Hyperlink"/>
                <w:noProof/>
              </w:rPr>
              <w:t>Integration</w:t>
            </w:r>
            <w:r w:rsidR="00640E6A">
              <w:rPr>
                <w:noProof/>
                <w:webHidden/>
              </w:rPr>
              <w:tab/>
            </w:r>
            <w:r w:rsidR="00640E6A">
              <w:rPr>
                <w:noProof/>
                <w:webHidden/>
              </w:rPr>
              <w:fldChar w:fldCharType="begin"/>
            </w:r>
            <w:r w:rsidR="00640E6A">
              <w:rPr>
                <w:noProof/>
                <w:webHidden/>
              </w:rPr>
              <w:instrText xml:space="preserve"> PAGEREF _Toc68791450 \h </w:instrText>
            </w:r>
            <w:r w:rsidR="00640E6A">
              <w:rPr>
                <w:noProof/>
                <w:webHidden/>
              </w:rPr>
            </w:r>
            <w:r w:rsidR="00640E6A">
              <w:rPr>
                <w:noProof/>
                <w:webHidden/>
              </w:rPr>
              <w:fldChar w:fldCharType="separate"/>
            </w:r>
            <w:r w:rsidR="00640E6A">
              <w:rPr>
                <w:noProof/>
                <w:webHidden/>
              </w:rPr>
              <w:t>19</w:t>
            </w:r>
            <w:r w:rsidR="00640E6A">
              <w:rPr>
                <w:noProof/>
                <w:webHidden/>
              </w:rPr>
              <w:fldChar w:fldCharType="end"/>
            </w:r>
          </w:hyperlink>
        </w:p>
        <w:p w14:paraId="48E30C00" w14:textId="77777777" w:rsidR="00640E6A" w:rsidRDefault="00D76026">
          <w:pPr>
            <w:pStyle w:val="TOC1"/>
            <w:tabs>
              <w:tab w:val="left" w:pos="440"/>
              <w:tab w:val="right" w:leader="dot" w:pos="9350"/>
            </w:tabs>
            <w:rPr>
              <w:rFonts w:asciiTheme="minorHAnsi" w:hAnsiTheme="minorHAnsi"/>
              <w:noProof/>
              <w:lang w:eastAsia="en-US"/>
            </w:rPr>
          </w:pPr>
          <w:hyperlink w:anchor="_Toc68791451" w:history="1">
            <w:r w:rsidR="00640E6A" w:rsidRPr="00E429FB">
              <w:rPr>
                <w:rStyle w:val="Hyperlink"/>
                <w:noProof/>
              </w:rPr>
              <w:t>3</w:t>
            </w:r>
            <w:r w:rsidR="00640E6A">
              <w:rPr>
                <w:rFonts w:asciiTheme="minorHAnsi" w:hAnsiTheme="minorHAnsi"/>
                <w:noProof/>
                <w:lang w:eastAsia="en-US"/>
              </w:rPr>
              <w:tab/>
            </w:r>
            <w:r w:rsidR="00640E6A" w:rsidRPr="00E429FB">
              <w:rPr>
                <w:rStyle w:val="Hyperlink"/>
                <w:noProof/>
              </w:rPr>
              <w:t>Results</w:t>
            </w:r>
            <w:r w:rsidR="00640E6A">
              <w:rPr>
                <w:noProof/>
                <w:webHidden/>
              </w:rPr>
              <w:tab/>
            </w:r>
            <w:r w:rsidR="00640E6A">
              <w:rPr>
                <w:noProof/>
                <w:webHidden/>
              </w:rPr>
              <w:fldChar w:fldCharType="begin"/>
            </w:r>
            <w:r w:rsidR="00640E6A">
              <w:rPr>
                <w:noProof/>
                <w:webHidden/>
              </w:rPr>
              <w:instrText xml:space="preserve"> PAGEREF _Toc68791451 \h </w:instrText>
            </w:r>
            <w:r w:rsidR="00640E6A">
              <w:rPr>
                <w:noProof/>
                <w:webHidden/>
              </w:rPr>
            </w:r>
            <w:r w:rsidR="00640E6A">
              <w:rPr>
                <w:noProof/>
                <w:webHidden/>
              </w:rPr>
              <w:fldChar w:fldCharType="separate"/>
            </w:r>
            <w:r w:rsidR="00640E6A">
              <w:rPr>
                <w:noProof/>
                <w:webHidden/>
              </w:rPr>
              <w:t>19</w:t>
            </w:r>
            <w:r w:rsidR="00640E6A">
              <w:rPr>
                <w:noProof/>
                <w:webHidden/>
              </w:rPr>
              <w:fldChar w:fldCharType="end"/>
            </w:r>
          </w:hyperlink>
        </w:p>
        <w:p w14:paraId="4950414E" w14:textId="77777777" w:rsidR="00640E6A" w:rsidRDefault="00D76026">
          <w:pPr>
            <w:pStyle w:val="TOC2"/>
            <w:tabs>
              <w:tab w:val="left" w:pos="880"/>
              <w:tab w:val="right" w:leader="dot" w:pos="9350"/>
            </w:tabs>
            <w:rPr>
              <w:rFonts w:asciiTheme="minorHAnsi" w:hAnsiTheme="minorHAnsi"/>
              <w:noProof/>
              <w:lang w:eastAsia="en-US"/>
            </w:rPr>
          </w:pPr>
          <w:hyperlink w:anchor="_Toc68791452" w:history="1">
            <w:r w:rsidR="00640E6A" w:rsidRPr="00E429FB">
              <w:rPr>
                <w:rStyle w:val="Hyperlink"/>
                <w:noProof/>
              </w:rPr>
              <w:t>3.2</w:t>
            </w:r>
            <w:r w:rsidR="00640E6A">
              <w:rPr>
                <w:rFonts w:asciiTheme="minorHAnsi" w:hAnsiTheme="minorHAnsi"/>
                <w:noProof/>
                <w:lang w:eastAsia="en-US"/>
              </w:rPr>
              <w:tab/>
            </w:r>
            <w:r w:rsidR="00640E6A" w:rsidRPr="00E429FB">
              <w:rPr>
                <w:rStyle w:val="Hyperlink"/>
                <w:noProof/>
              </w:rPr>
              <w:t>Adoption</w:t>
            </w:r>
            <w:r w:rsidR="00640E6A">
              <w:rPr>
                <w:noProof/>
                <w:webHidden/>
              </w:rPr>
              <w:tab/>
            </w:r>
            <w:r w:rsidR="00640E6A">
              <w:rPr>
                <w:noProof/>
                <w:webHidden/>
              </w:rPr>
              <w:fldChar w:fldCharType="begin"/>
            </w:r>
            <w:r w:rsidR="00640E6A">
              <w:rPr>
                <w:noProof/>
                <w:webHidden/>
              </w:rPr>
              <w:instrText xml:space="preserve"> PAGEREF _Toc68791452 \h </w:instrText>
            </w:r>
            <w:r w:rsidR="00640E6A">
              <w:rPr>
                <w:noProof/>
                <w:webHidden/>
              </w:rPr>
            </w:r>
            <w:r w:rsidR="00640E6A">
              <w:rPr>
                <w:noProof/>
                <w:webHidden/>
              </w:rPr>
              <w:fldChar w:fldCharType="separate"/>
            </w:r>
            <w:r w:rsidR="00640E6A">
              <w:rPr>
                <w:noProof/>
                <w:webHidden/>
              </w:rPr>
              <w:t>19</w:t>
            </w:r>
            <w:r w:rsidR="00640E6A">
              <w:rPr>
                <w:noProof/>
                <w:webHidden/>
              </w:rPr>
              <w:fldChar w:fldCharType="end"/>
            </w:r>
          </w:hyperlink>
        </w:p>
        <w:p w14:paraId="26E616FE" w14:textId="77777777" w:rsidR="00640E6A" w:rsidRDefault="00D76026">
          <w:pPr>
            <w:pStyle w:val="TOC2"/>
            <w:tabs>
              <w:tab w:val="left" w:pos="880"/>
              <w:tab w:val="right" w:leader="dot" w:pos="9350"/>
            </w:tabs>
            <w:rPr>
              <w:rFonts w:asciiTheme="minorHAnsi" w:hAnsiTheme="minorHAnsi"/>
              <w:noProof/>
              <w:lang w:eastAsia="en-US"/>
            </w:rPr>
          </w:pPr>
          <w:hyperlink w:anchor="_Toc68791453" w:history="1">
            <w:r w:rsidR="00640E6A" w:rsidRPr="00E429FB">
              <w:rPr>
                <w:rStyle w:val="Hyperlink"/>
                <w:noProof/>
              </w:rPr>
              <w:t>3.3</w:t>
            </w:r>
            <w:r w:rsidR="00640E6A">
              <w:rPr>
                <w:rFonts w:asciiTheme="minorHAnsi" w:hAnsiTheme="minorHAnsi"/>
                <w:noProof/>
                <w:lang w:eastAsia="en-US"/>
              </w:rPr>
              <w:tab/>
            </w:r>
            <w:r w:rsidR="00640E6A" w:rsidRPr="00E429FB">
              <w:rPr>
                <w:rStyle w:val="Hyperlink"/>
                <w:noProof/>
              </w:rPr>
              <w:t>Climate Impacts</w:t>
            </w:r>
            <w:r w:rsidR="00640E6A">
              <w:rPr>
                <w:noProof/>
                <w:webHidden/>
              </w:rPr>
              <w:tab/>
            </w:r>
            <w:r w:rsidR="00640E6A">
              <w:rPr>
                <w:noProof/>
                <w:webHidden/>
              </w:rPr>
              <w:fldChar w:fldCharType="begin"/>
            </w:r>
            <w:r w:rsidR="00640E6A">
              <w:rPr>
                <w:noProof/>
                <w:webHidden/>
              </w:rPr>
              <w:instrText xml:space="preserve"> PAGEREF _Toc68791453 \h </w:instrText>
            </w:r>
            <w:r w:rsidR="00640E6A">
              <w:rPr>
                <w:noProof/>
                <w:webHidden/>
              </w:rPr>
            </w:r>
            <w:r w:rsidR="00640E6A">
              <w:rPr>
                <w:noProof/>
                <w:webHidden/>
              </w:rPr>
              <w:fldChar w:fldCharType="separate"/>
            </w:r>
            <w:r w:rsidR="00640E6A">
              <w:rPr>
                <w:noProof/>
                <w:webHidden/>
              </w:rPr>
              <w:t>20</w:t>
            </w:r>
            <w:r w:rsidR="00640E6A">
              <w:rPr>
                <w:noProof/>
                <w:webHidden/>
              </w:rPr>
              <w:fldChar w:fldCharType="end"/>
            </w:r>
          </w:hyperlink>
        </w:p>
        <w:p w14:paraId="640CD6F4" w14:textId="77777777" w:rsidR="00640E6A" w:rsidRDefault="00D76026">
          <w:pPr>
            <w:pStyle w:val="TOC2"/>
            <w:tabs>
              <w:tab w:val="left" w:pos="880"/>
              <w:tab w:val="right" w:leader="dot" w:pos="9350"/>
            </w:tabs>
            <w:rPr>
              <w:rFonts w:asciiTheme="minorHAnsi" w:hAnsiTheme="minorHAnsi"/>
              <w:noProof/>
              <w:lang w:eastAsia="en-US"/>
            </w:rPr>
          </w:pPr>
          <w:hyperlink w:anchor="_Toc68791454" w:history="1">
            <w:r w:rsidR="00640E6A" w:rsidRPr="00E429FB">
              <w:rPr>
                <w:rStyle w:val="Hyperlink"/>
                <w:noProof/>
              </w:rPr>
              <w:t>3.4</w:t>
            </w:r>
            <w:r w:rsidR="00640E6A">
              <w:rPr>
                <w:rFonts w:asciiTheme="minorHAnsi" w:hAnsiTheme="minorHAnsi"/>
                <w:noProof/>
                <w:lang w:eastAsia="en-US"/>
              </w:rPr>
              <w:tab/>
            </w:r>
            <w:r w:rsidR="00640E6A" w:rsidRPr="00E429FB">
              <w:rPr>
                <w:rStyle w:val="Hyperlink"/>
                <w:noProof/>
              </w:rPr>
              <w:t>Financial Impacts</w:t>
            </w:r>
            <w:r w:rsidR="00640E6A">
              <w:rPr>
                <w:noProof/>
                <w:webHidden/>
              </w:rPr>
              <w:tab/>
            </w:r>
            <w:r w:rsidR="00640E6A">
              <w:rPr>
                <w:noProof/>
                <w:webHidden/>
              </w:rPr>
              <w:fldChar w:fldCharType="begin"/>
            </w:r>
            <w:r w:rsidR="00640E6A">
              <w:rPr>
                <w:noProof/>
                <w:webHidden/>
              </w:rPr>
              <w:instrText xml:space="preserve"> PAGEREF _Toc68791454 \h </w:instrText>
            </w:r>
            <w:r w:rsidR="00640E6A">
              <w:rPr>
                <w:noProof/>
                <w:webHidden/>
              </w:rPr>
            </w:r>
            <w:r w:rsidR="00640E6A">
              <w:rPr>
                <w:noProof/>
                <w:webHidden/>
              </w:rPr>
              <w:fldChar w:fldCharType="separate"/>
            </w:r>
            <w:r w:rsidR="00640E6A">
              <w:rPr>
                <w:noProof/>
                <w:webHidden/>
              </w:rPr>
              <w:t>21</w:t>
            </w:r>
            <w:r w:rsidR="00640E6A">
              <w:rPr>
                <w:noProof/>
                <w:webHidden/>
              </w:rPr>
              <w:fldChar w:fldCharType="end"/>
            </w:r>
          </w:hyperlink>
        </w:p>
        <w:p w14:paraId="5B9F2FD2" w14:textId="77777777" w:rsidR="00640E6A" w:rsidRDefault="00D76026">
          <w:pPr>
            <w:pStyle w:val="TOC1"/>
            <w:tabs>
              <w:tab w:val="left" w:pos="440"/>
              <w:tab w:val="right" w:leader="dot" w:pos="9350"/>
            </w:tabs>
            <w:rPr>
              <w:rFonts w:asciiTheme="minorHAnsi" w:hAnsiTheme="minorHAnsi"/>
              <w:noProof/>
              <w:lang w:eastAsia="en-US"/>
            </w:rPr>
          </w:pPr>
          <w:hyperlink w:anchor="_Toc68791455" w:history="1">
            <w:r w:rsidR="00640E6A" w:rsidRPr="00E429FB">
              <w:rPr>
                <w:rStyle w:val="Hyperlink"/>
                <w:noProof/>
              </w:rPr>
              <w:t>4</w:t>
            </w:r>
            <w:r w:rsidR="00640E6A">
              <w:rPr>
                <w:rFonts w:asciiTheme="minorHAnsi" w:hAnsiTheme="minorHAnsi"/>
                <w:noProof/>
                <w:lang w:eastAsia="en-US"/>
              </w:rPr>
              <w:tab/>
            </w:r>
            <w:r w:rsidR="00640E6A" w:rsidRPr="00E429FB">
              <w:rPr>
                <w:rStyle w:val="Hyperlink"/>
                <w:noProof/>
              </w:rPr>
              <w:t>Discussion</w:t>
            </w:r>
            <w:r w:rsidR="00640E6A">
              <w:rPr>
                <w:noProof/>
                <w:webHidden/>
              </w:rPr>
              <w:tab/>
            </w:r>
            <w:r w:rsidR="00640E6A">
              <w:rPr>
                <w:noProof/>
                <w:webHidden/>
              </w:rPr>
              <w:fldChar w:fldCharType="begin"/>
            </w:r>
            <w:r w:rsidR="00640E6A">
              <w:rPr>
                <w:noProof/>
                <w:webHidden/>
              </w:rPr>
              <w:instrText xml:space="preserve"> PAGEREF _Toc68791455 \h </w:instrText>
            </w:r>
            <w:r w:rsidR="00640E6A">
              <w:rPr>
                <w:noProof/>
                <w:webHidden/>
              </w:rPr>
            </w:r>
            <w:r w:rsidR="00640E6A">
              <w:rPr>
                <w:noProof/>
                <w:webHidden/>
              </w:rPr>
              <w:fldChar w:fldCharType="separate"/>
            </w:r>
            <w:r w:rsidR="00640E6A">
              <w:rPr>
                <w:noProof/>
                <w:webHidden/>
              </w:rPr>
              <w:t>21</w:t>
            </w:r>
            <w:r w:rsidR="00640E6A">
              <w:rPr>
                <w:noProof/>
                <w:webHidden/>
              </w:rPr>
              <w:fldChar w:fldCharType="end"/>
            </w:r>
          </w:hyperlink>
        </w:p>
        <w:p w14:paraId="04FA7BAF" w14:textId="77777777" w:rsidR="00640E6A" w:rsidRDefault="00D76026">
          <w:pPr>
            <w:pStyle w:val="TOC2"/>
            <w:tabs>
              <w:tab w:val="left" w:pos="880"/>
              <w:tab w:val="right" w:leader="dot" w:pos="9350"/>
            </w:tabs>
            <w:rPr>
              <w:rFonts w:asciiTheme="minorHAnsi" w:hAnsiTheme="minorHAnsi"/>
              <w:noProof/>
              <w:lang w:eastAsia="en-US"/>
            </w:rPr>
          </w:pPr>
          <w:hyperlink w:anchor="_Toc68791457" w:history="1">
            <w:r w:rsidR="00640E6A" w:rsidRPr="00E429FB">
              <w:rPr>
                <w:rStyle w:val="Hyperlink"/>
                <w:noProof/>
              </w:rPr>
              <w:t>4.2</w:t>
            </w:r>
            <w:r w:rsidR="00640E6A">
              <w:rPr>
                <w:rFonts w:asciiTheme="minorHAnsi" w:hAnsiTheme="minorHAnsi"/>
                <w:noProof/>
                <w:lang w:eastAsia="en-US"/>
              </w:rPr>
              <w:tab/>
            </w:r>
            <w:r w:rsidR="00640E6A" w:rsidRPr="00E429FB">
              <w:rPr>
                <w:rStyle w:val="Hyperlink"/>
                <w:noProof/>
              </w:rPr>
              <w:t>Limitations</w:t>
            </w:r>
            <w:r w:rsidR="00640E6A">
              <w:rPr>
                <w:noProof/>
                <w:webHidden/>
              </w:rPr>
              <w:tab/>
            </w:r>
            <w:r w:rsidR="00640E6A">
              <w:rPr>
                <w:noProof/>
                <w:webHidden/>
              </w:rPr>
              <w:fldChar w:fldCharType="begin"/>
            </w:r>
            <w:r w:rsidR="00640E6A">
              <w:rPr>
                <w:noProof/>
                <w:webHidden/>
              </w:rPr>
              <w:instrText xml:space="preserve"> PAGEREF _Toc68791457 \h </w:instrText>
            </w:r>
            <w:r w:rsidR="00640E6A">
              <w:rPr>
                <w:noProof/>
                <w:webHidden/>
              </w:rPr>
            </w:r>
            <w:r w:rsidR="00640E6A">
              <w:rPr>
                <w:noProof/>
                <w:webHidden/>
              </w:rPr>
              <w:fldChar w:fldCharType="separate"/>
            </w:r>
            <w:r w:rsidR="00640E6A">
              <w:rPr>
                <w:noProof/>
                <w:webHidden/>
              </w:rPr>
              <w:t>23</w:t>
            </w:r>
            <w:r w:rsidR="00640E6A">
              <w:rPr>
                <w:noProof/>
                <w:webHidden/>
              </w:rPr>
              <w:fldChar w:fldCharType="end"/>
            </w:r>
          </w:hyperlink>
        </w:p>
        <w:p w14:paraId="1867ADBC" w14:textId="77777777" w:rsidR="00640E6A" w:rsidRDefault="00D76026">
          <w:pPr>
            <w:pStyle w:val="TOC1"/>
            <w:tabs>
              <w:tab w:val="left" w:pos="440"/>
              <w:tab w:val="right" w:leader="dot" w:pos="9350"/>
            </w:tabs>
            <w:rPr>
              <w:rFonts w:asciiTheme="minorHAnsi" w:hAnsiTheme="minorHAnsi"/>
              <w:noProof/>
              <w:lang w:eastAsia="en-US"/>
            </w:rPr>
          </w:pPr>
          <w:hyperlink w:anchor="_Toc68791458" w:history="1">
            <w:r w:rsidR="00640E6A" w:rsidRPr="00E429FB">
              <w:rPr>
                <w:rStyle w:val="Hyperlink"/>
                <w:noProof/>
              </w:rPr>
              <w:t>5</w:t>
            </w:r>
            <w:r w:rsidR="00640E6A">
              <w:rPr>
                <w:rFonts w:asciiTheme="minorHAnsi" w:hAnsiTheme="minorHAnsi"/>
                <w:noProof/>
                <w:lang w:eastAsia="en-US"/>
              </w:rPr>
              <w:tab/>
            </w:r>
            <w:r w:rsidR="00640E6A" w:rsidRPr="00E429FB">
              <w:rPr>
                <w:rStyle w:val="Hyperlink"/>
                <w:noProof/>
              </w:rPr>
              <w:t>References</w:t>
            </w:r>
            <w:r w:rsidR="00640E6A">
              <w:rPr>
                <w:noProof/>
                <w:webHidden/>
              </w:rPr>
              <w:tab/>
            </w:r>
            <w:r w:rsidR="00640E6A">
              <w:rPr>
                <w:noProof/>
                <w:webHidden/>
              </w:rPr>
              <w:fldChar w:fldCharType="begin"/>
            </w:r>
            <w:r w:rsidR="00640E6A">
              <w:rPr>
                <w:noProof/>
                <w:webHidden/>
              </w:rPr>
              <w:instrText xml:space="preserve"> PAGEREF _Toc68791458 \h </w:instrText>
            </w:r>
            <w:r w:rsidR="00640E6A">
              <w:rPr>
                <w:noProof/>
                <w:webHidden/>
              </w:rPr>
            </w:r>
            <w:r w:rsidR="00640E6A">
              <w:rPr>
                <w:noProof/>
                <w:webHidden/>
              </w:rPr>
              <w:fldChar w:fldCharType="separate"/>
            </w:r>
            <w:r w:rsidR="00640E6A">
              <w:rPr>
                <w:noProof/>
                <w:webHidden/>
              </w:rPr>
              <w:t>25</w:t>
            </w:r>
            <w:r w:rsidR="00640E6A">
              <w:rPr>
                <w:noProof/>
                <w:webHidden/>
              </w:rPr>
              <w:fldChar w:fldCharType="end"/>
            </w:r>
          </w:hyperlink>
        </w:p>
        <w:p w14:paraId="5C80D1DF" w14:textId="77777777" w:rsidR="00640E6A" w:rsidRDefault="00D76026">
          <w:pPr>
            <w:pStyle w:val="TOC1"/>
            <w:tabs>
              <w:tab w:val="left" w:pos="440"/>
              <w:tab w:val="right" w:leader="dot" w:pos="9350"/>
            </w:tabs>
            <w:rPr>
              <w:rFonts w:asciiTheme="minorHAnsi" w:hAnsiTheme="minorHAnsi"/>
              <w:noProof/>
              <w:lang w:eastAsia="en-US"/>
            </w:rPr>
          </w:pPr>
          <w:hyperlink w:anchor="_Toc68791459" w:history="1">
            <w:r w:rsidR="00640E6A" w:rsidRPr="00E429FB">
              <w:rPr>
                <w:rStyle w:val="Hyperlink"/>
                <w:noProof/>
              </w:rPr>
              <w:t>6</w:t>
            </w:r>
            <w:r w:rsidR="00640E6A">
              <w:rPr>
                <w:rFonts w:asciiTheme="minorHAnsi" w:hAnsiTheme="minorHAnsi"/>
                <w:noProof/>
                <w:lang w:eastAsia="en-US"/>
              </w:rPr>
              <w:tab/>
            </w:r>
            <w:r w:rsidR="00640E6A" w:rsidRPr="00E429FB">
              <w:rPr>
                <w:rStyle w:val="Hyperlink"/>
                <w:noProof/>
              </w:rPr>
              <w:t>Glossary</w:t>
            </w:r>
            <w:r w:rsidR="00640E6A">
              <w:rPr>
                <w:noProof/>
                <w:webHidden/>
              </w:rPr>
              <w:tab/>
            </w:r>
            <w:r w:rsidR="00640E6A">
              <w:rPr>
                <w:noProof/>
                <w:webHidden/>
              </w:rPr>
              <w:fldChar w:fldCharType="begin"/>
            </w:r>
            <w:r w:rsidR="00640E6A">
              <w:rPr>
                <w:noProof/>
                <w:webHidden/>
              </w:rPr>
              <w:instrText xml:space="preserve"> PAGEREF _Toc68791459 \h </w:instrText>
            </w:r>
            <w:r w:rsidR="00640E6A">
              <w:rPr>
                <w:noProof/>
                <w:webHidden/>
              </w:rPr>
            </w:r>
            <w:r w:rsidR="00640E6A">
              <w:rPr>
                <w:noProof/>
                <w:webHidden/>
              </w:rPr>
              <w:fldChar w:fldCharType="separate"/>
            </w:r>
            <w:r w:rsidR="00640E6A">
              <w:rPr>
                <w:noProof/>
                <w:webHidden/>
              </w:rPr>
              <w:t>30</w:t>
            </w:r>
            <w:r w:rsidR="00640E6A">
              <w:rPr>
                <w:noProof/>
                <w:webHidden/>
              </w:rPr>
              <w:fldChar w:fldCharType="end"/>
            </w:r>
          </w:hyperlink>
        </w:p>
        <w:p w14:paraId="12C7DAF6" w14:textId="6587BC5E" w:rsidR="00640665" w:rsidRPr="00BC11C5" w:rsidRDefault="00640665" w:rsidP="00EB247F">
          <w:pPr>
            <w:spacing w:after="0"/>
          </w:pPr>
          <w:r w:rsidRPr="00BC11C5">
            <w:rPr>
              <w:b/>
              <w:bCs/>
              <w:noProof/>
            </w:rPr>
            <w:fldChar w:fldCharType="end"/>
          </w:r>
        </w:p>
      </w:sdtContent>
    </w:sdt>
    <w:p w14:paraId="1827C10C" w14:textId="3B09BCA5" w:rsidR="00F15AEE" w:rsidRPr="00BC11C5" w:rsidRDefault="00F15AEE" w:rsidP="00EB247F">
      <w:pPr>
        <w:spacing w:after="0"/>
      </w:pPr>
      <w:r w:rsidRPr="00BC11C5">
        <w:br w:type="page"/>
      </w:r>
    </w:p>
    <w:p w14:paraId="325B3971" w14:textId="4DF0A92F" w:rsidR="2D56E7D4" w:rsidRDefault="00C23CAC" w:rsidP="00EB247F">
      <w:pPr>
        <w:pStyle w:val="Heading1"/>
        <w:numPr>
          <w:ilvl w:val="0"/>
          <w:numId w:val="0"/>
        </w:numPr>
        <w:rPr>
          <w:noProof/>
        </w:rPr>
      </w:pPr>
      <w:bookmarkStart w:id="0" w:name="_Toc68791420"/>
      <w:r w:rsidRPr="00BC11C5">
        <w:rPr>
          <w:noProof/>
        </w:rPr>
        <w:lastRenderedPageBreak/>
        <w:t xml:space="preserve">List of </w:t>
      </w:r>
      <w:r w:rsidR="2D56E7D4" w:rsidRPr="00BC11C5">
        <w:rPr>
          <w:noProof/>
        </w:rPr>
        <w:t>Figures</w:t>
      </w:r>
      <w:bookmarkEnd w:id="0"/>
    </w:p>
    <w:p w14:paraId="0969ED30" w14:textId="77777777" w:rsidR="005F3F2A" w:rsidRDefault="005F3F2A">
      <w:pPr>
        <w:pStyle w:val="TableofFigures"/>
        <w:tabs>
          <w:tab w:val="right" w:leader="dot" w:pos="9350"/>
        </w:tabs>
        <w:rPr>
          <w:rFonts w:asciiTheme="minorHAnsi" w:hAnsiTheme="minorHAnsi"/>
          <w:noProof/>
          <w:lang w:eastAsia="en-US"/>
        </w:rPr>
      </w:pPr>
      <w:r>
        <w:fldChar w:fldCharType="begin"/>
      </w:r>
      <w:r>
        <w:instrText xml:space="preserve"> TOC \h \z \c "Figure" </w:instrText>
      </w:r>
      <w:r>
        <w:fldChar w:fldCharType="separate"/>
      </w:r>
      <w:hyperlink w:anchor="_Toc66286777" w:history="1">
        <w:r w:rsidRPr="00051953">
          <w:rPr>
            <w:rStyle w:val="Hyperlink"/>
            <w:noProof/>
          </w:rPr>
          <w:t>Figure 1: Biochar and related solutions within a taxonomy of carbon dioxide removal methods</w:t>
        </w:r>
        <w:r>
          <w:rPr>
            <w:noProof/>
            <w:webHidden/>
          </w:rPr>
          <w:tab/>
        </w:r>
        <w:r>
          <w:rPr>
            <w:noProof/>
            <w:webHidden/>
          </w:rPr>
          <w:fldChar w:fldCharType="begin"/>
        </w:r>
        <w:r>
          <w:rPr>
            <w:noProof/>
            <w:webHidden/>
          </w:rPr>
          <w:instrText xml:space="preserve"> PAGEREF _Toc66286777 \h </w:instrText>
        </w:r>
        <w:r>
          <w:rPr>
            <w:noProof/>
            <w:webHidden/>
          </w:rPr>
        </w:r>
        <w:r>
          <w:rPr>
            <w:noProof/>
            <w:webHidden/>
          </w:rPr>
          <w:fldChar w:fldCharType="separate"/>
        </w:r>
        <w:r>
          <w:rPr>
            <w:noProof/>
            <w:webHidden/>
          </w:rPr>
          <w:t>10</w:t>
        </w:r>
        <w:r>
          <w:rPr>
            <w:noProof/>
            <w:webHidden/>
          </w:rPr>
          <w:fldChar w:fldCharType="end"/>
        </w:r>
      </w:hyperlink>
    </w:p>
    <w:p w14:paraId="3FBD0675" w14:textId="77777777" w:rsidR="005F3F2A" w:rsidRDefault="00D76026">
      <w:pPr>
        <w:pStyle w:val="TableofFigures"/>
        <w:tabs>
          <w:tab w:val="right" w:leader="dot" w:pos="9350"/>
        </w:tabs>
        <w:rPr>
          <w:rFonts w:asciiTheme="minorHAnsi" w:hAnsiTheme="minorHAnsi"/>
          <w:noProof/>
          <w:lang w:eastAsia="en-US"/>
        </w:rPr>
      </w:pPr>
      <w:hyperlink w:anchor="_Toc66286778" w:history="1">
        <w:r w:rsidR="005F3F2A" w:rsidRPr="00051953">
          <w:rPr>
            <w:rStyle w:val="Hyperlink"/>
            <w:noProof/>
          </w:rPr>
          <w:t>Figure 2: Modeled process flow for emissions calculations.</w:t>
        </w:r>
        <w:r w:rsidR="005F3F2A">
          <w:rPr>
            <w:noProof/>
            <w:webHidden/>
          </w:rPr>
          <w:tab/>
        </w:r>
        <w:r w:rsidR="005F3F2A">
          <w:rPr>
            <w:noProof/>
            <w:webHidden/>
          </w:rPr>
          <w:fldChar w:fldCharType="begin"/>
        </w:r>
        <w:r w:rsidR="005F3F2A">
          <w:rPr>
            <w:noProof/>
            <w:webHidden/>
          </w:rPr>
          <w:instrText xml:space="preserve"> PAGEREF _Toc66286778 \h </w:instrText>
        </w:r>
        <w:r w:rsidR="005F3F2A">
          <w:rPr>
            <w:noProof/>
            <w:webHidden/>
          </w:rPr>
        </w:r>
        <w:r w:rsidR="005F3F2A">
          <w:rPr>
            <w:noProof/>
            <w:webHidden/>
          </w:rPr>
          <w:fldChar w:fldCharType="separate"/>
        </w:r>
        <w:r w:rsidR="005F3F2A">
          <w:rPr>
            <w:noProof/>
            <w:webHidden/>
          </w:rPr>
          <w:t>16</w:t>
        </w:r>
        <w:r w:rsidR="005F3F2A">
          <w:rPr>
            <w:noProof/>
            <w:webHidden/>
          </w:rPr>
          <w:fldChar w:fldCharType="end"/>
        </w:r>
      </w:hyperlink>
    </w:p>
    <w:p w14:paraId="51AD7CF0" w14:textId="77777777" w:rsidR="005F3F2A" w:rsidRDefault="00D76026">
      <w:pPr>
        <w:pStyle w:val="TableofFigures"/>
        <w:tabs>
          <w:tab w:val="right" w:leader="dot" w:pos="9350"/>
        </w:tabs>
        <w:rPr>
          <w:rFonts w:asciiTheme="minorHAnsi" w:hAnsiTheme="minorHAnsi"/>
          <w:noProof/>
          <w:lang w:eastAsia="en-US"/>
        </w:rPr>
      </w:pPr>
      <w:hyperlink w:anchor="_Toc66286779" w:history="1">
        <w:r w:rsidR="005F3F2A" w:rsidRPr="00051953">
          <w:rPr>
            <w:rStyle w:val="Hyperlink"/>
            <w:noProof/>
          </w:rPr>
          <w:t>Figure 3: World adoption of biochar 2020-2050.</w:t>
        </w:r>
        <w:r w:rsidR="005F3F2A">
          <w:rPr>
            <w:noProof/>
            <w:webHidden/>
          </w:rPr>
          <w:tab/>
        </w:r>
        <w:r w:rsidR="005F3F2A">
          <w:rPr>
            <w:noProof/>
            <w:webHidden/>
          </w:rPr>
          <w:fldChar w:fldCharType="begin"/>
        </w:r>
        <w:r w:rsidR="005F3F2A">
          <w:rPr>
            <w:noProof/>
            <w:webHidden/>
          </w:rPr>
          <w:instrText xml:space="preserve"> PAGEREF _Toc66286779 \h </w:instrText>
        </w:r>
        <w:r w:rsidR="005F3F2A">
          <w:rPr>
            <w:noProof/>
            <w:webHidden/>
          </w:rPr>
        </w:r>
        <w:r w:rsidR="005F3F2A">
          <w:rPr>
            <w:noProof/>
            <w:webHidden/>
          </w:rPr>
          <w:fldChar w:fldCharType="separate"/>
        </w:r>
        <w:r w:rsidR="005F3F2A">
          <w:rPr>
            <w:noProof/>
            <w:webHidden/>
          </w:rPr>
          <w:t>20</w:t>
        </w:r>
        <w:r w:rsidR="005F3F2A">
          <w:rPr>
            <w:noProof/>
            <w:webHidden/>
          </w:rPr>
          <w:fldChar w:fldCharType="end"/>
        </w:r>
      </w:hyperlink>
    </w:p>
    <w:p w14:paraId="406A24CB" w14:textId="4E5CD98A" w:rsidR="00551688" w:rsidRPr="00551688" w:rsidRDefault="005F3F2A" w:rsidP="00551688">
      <w:r>
        <w:fldChar w:fldCharType="end"/>
      </w:r>
    </w:p>
    <w:p w14:paraId="5AD133BD" w14:textId="1142BBE0" w:rsidR="00640665" w:rsidRPr="00BC11C5" w:rsidRDefault="00640665" w:rsidP="00483FFA"/>
    <w:p w14:paraId="6055DED9" w14:textId="24973E3A" w:rsidR="006A4A08" w:rsidRPr="00BC11C5" w:rsidRDefault="00C23CAC" w:rsidP="00EB247F">
      <w:pPr>
        <w:pStyle w:val="Heading1"/>
        <w:numPr>
          <w:ilvl w:val="0"/>
          <w:numId w:val="0"/>
        </w:numPr>
      </w:pPr>
      <w:bookmarkStart w:id="1" w:name="_Toc68791421"/>
      <w:r w:rsidRPr="00BC11C5">
        <w:t xml:space="preserve">List of </w:t>
      </w:r>
      <w:r w:rsidR="2D56E7D4" w:rsidRPr="00BC11C5">
        <w:t>Tables</w:t>
      </w:r>
      <w:bookmarkEnd w:id="1"/>
    </w:p>
    <w:p w14:paraId="1299AE58" w14:textId="77777777" w:rsidR="005F3F2A" w:rsidRDefault="005F3F2A">
      <w:pPr>
        <w:pStyle w:val="TableofFigures"/>
        <w:tabs>
          <w:tab w:val="right" w:leader="dot" w:pos="9350"/>
        </w:tabs>
        <w:rPr>
          <w:rFonts w:asciiTheme="minorHAnsi" w:hAnsiTheme="minorHAnsi"/>
          <w:noProof/>
          <w:lang w:eastAsia="en-US"/>
        </w:rPr>
      </w:pPr>
      <w:r>
        <w:fldChar w:fldCharType="begin"/>
      </w:r>
      <w:r>
        <w:instrText xml:space="preserve"> TOC \h \z \c "Table" </w:instrText>
      </w:r>
      <w:r>
        <w:fldChar w:fldCharType="separate"/>
      </w:r>
      <w:hyperlink w:anchor="_Toc66286801" w:history="1">
        <w:r w:rsidRPr="00277538">
          <w:rPr>
            <w:rStyle w:val="Hyperlink"/>
            <w:noProof/>
          </w:rPr>
          <w:t>Table 1: Comparative analysis of biochar and similar solutions</w:t>
        </w:r>
        <w:r>
          <w:rPr>
            <w:noProof/>
            <w:webHidden/>
          </w:rPr>
          <w:tab/>
        </w:r>
        <w:r>
          <w:rPr>
            <w:noProof/>
            <w:webHidden/>
          </w:rPr>
          <w:fldChar w:fldCharType="begin"/>
        </w:r>
        <w:r>
          <w:rPr>
            <w:noProof/>
            <w:webHidden/>
          </w:rPr>
          <w:instrText xml:space="preserve"> PAGEREF _Toc66286801 \h </w:instrText>
        </w:r>
        <w:r>
          <w:rPr>
            <w:noProof/>
            <w:webHidden/>
          </w:rPr>
        </w:r>
        <w:r>
          <w:rPr>
            <w:noProof/>
            <w:webHidden/>
          </w:rPr>
          <w:fldChar w:fldCharType="separate"/>
        </w:r>
        <w:r>
          <w:rPr>
            <w:noProof/>
            <w:webHidden/>
          </w:rPr>
          <w:t>11</w:t>
        </w:r>
        <w:r>
          <w:rPr>
            <w:noProof/>
            <w:webHidden/>
          </w:rPr>
          <w:fldChar w:fldCharType="end"/>
        </w:r>
      </w:hyperlink>
    </w:p>
    <w:p w14:paraId="2CC210C1" w14:textId="77777777" w:rsidR="005F3F2A" w:rsidRDefault="00D76026">
      <w:pPr>
        <w:pStyle w:val="TableofFigures"/>
        <w:tabs>
          <w:tab w:val="right" w:leader="dot" w:pos="9350"/>
        </w:tabs>
        <w:rPr>
          <w:rFonts w:asciiTheme="minorHAnsi" w:hAnsiTheme="minorHAnsi"/>
          <w:noProof/>
          <w:lang w:eastAsia="en-US"/>
        </w:rPr>
      </w:pPr>
      <w:hyperlink w:anchor="_Toc66286802" w:history="1">
        <w:r w:rsidR="005F3F2A" w:rsidRPr="00277538">
          <w:rPr>
            <w:rStyle w:val="Hyperlink"/>
            <w:noProof/>
          </w:rPr>
          <w:t>Table 2: Comparison of benefits and burdens in biochar adoption</w:t>
        </w:r>
        <w:r w:rsidR="005F3F2A">
          <w:rPr>
            <w:noProof/>
            <w:webHidden/>
          </w:rPr>
          <w:tab/>
        </w:r>
        <w:r w:rsidR="005F3F2A">
          <w:rPr>
            <w:noProof/>
            <w:webHidden/>
          </w:rPr>
          <w:fldChar w:fldCharType="begin"/>
        </w:r>
        <w:r w:rsidR="005F3F2A">
          <w:rPr>
            <w:noProof/>
            <w:webHidden/>
          </w:rPr>
          <w:instrText xml:space="preserve"> PAGEREF _Toc66286802 \h </w:instrText>
        </w:r>
        <w:r w:rsidR="005F3F2A">
          <w:rPr>
            <w:noProof/>
            <w:webHidden/>
          </w:rPr>
        </w:r>
        <w:r w:rsidR="005F3F2A">
          <w:rPr>
            <w:noProof/>
            <w:webHidden/>
          </w:rPr>
          <w:fldChar w:fldCharType="separate"/>
        </w:r>
        <w:r w:rsidR="005F3F2A">
          <w:rPr>
            <w:noProof/>
            <w:webHidden/>
          </w:rPr>
          <w:t>11</w:t>
        </w:r>
        <w:r w:rsidR="005F3F2A">
          <w:rPr>
            <w:noProof/>
            <w:webHidden/>
          </w:rPr>
          <w:fldChar w:fldCharType="end"/>
        </w:r>
      </w:hyperlink>
    </w:p>
    <w:p w14:paraId="2C098B17" w14:textId="77777777" w:rsidR="005F3F2A" w:rsidRDefault="00D76026">
      <w:pPr>
        <w:pStyle w:val="TableofFigures"/>
        <w:tabs>
          <w:tab w:val="right" w:leader="dot" w:pos="9350"/>
        </w:tabs>
        <w:rPr>
          <w:rFonts w:asciiTheme="minorHAnsi" w:hAnsiTheme="minorHAnsi"/>
          <w:noProof/>
          <w:lang w:eastAsia="en-US"/>
        </w:rPr>
      </w:pPr>
      <w:hyperlink w:anchor="_Toc66286803" w:history="1">
        <w:r w:rsidR="005F3F2A" w:rsidRPr="00277538">
          <w:rPr>
            <w:rStyle w:val="Hyperlink"/>
            <w:noProof/>
          </w:rPr>
          <w:t>Table 3: Project Drawdown Scenarios</w:t>
        </w:r>
        <w:r w:rsidR="005F3F2A">
          <w:rPr>
            <w:noProof/>
            <w:webHidden/>
          </w:rPr>
          <w:tab/>
        </w:r>
        <w:r w:rsidR="005F3F2A">
          <w:rPr>
            <w:noProof/>
            <w:webHidden/>
          </w:rPr>
          <w:fldChar w:fldCharType="begin"/>
        </w:r>
        <w:r w:rsidR="005F3F2A">
          <w:rPr>
            <w:noProof/>
            <w:webHidden/>
          </w:rPr>
          <w:instrText xml:space="preserve"> PAGEREF _Toc66286803 \h </w:instrText>
        </w:r>
        <w:r w:rsidR="005F3F2A">
          <w:rPr>
            <w:noProof/>
            <w:webHidden/>
          </w:rPr>
        </w:r>
        <w:r w:rsidR="005F3F2A">
          <w:rPr>
            <w:noProof/>
            <w:webHidden/>
          </w:rPr>
          <w:fldChar w:fldCharType="separate"/>
        </w:r>
        <w:r w:rsidR="005F3F2A">
          <w:rPr>
            <w:noProof/>
            <w:webHidden/>
          </w:rPr>
          <w:t>14</w:t>
        </w:r>
        <w:r w:rsidR="005F3F2A">
          <w:rPr>
            <w:noProof/>
            <w:webHidden/>
          </w:rPr>
          <w:fldChar w:fldCharType="end"/>
        </w:r>
      </w:hyperlink>
    </w:p>
    <w:p w14:paraId="0529B612" w14:textId="77777777" w:rsidR="005F3F2A" w:rsidRDefault="00D76026">
      <w:pPr>
        <w:pStyle w:val="TableofFigures"/>
        <w:tabs>
          <w:tab w:val="right" w:leader="dot" w:pos="9350"/>
        </w:tabs>
        <w:rPr>
          <w:rFonts w:asciiTheme="minorHAnsi" w:hAnsiTheme="minorHAnsi"/>
          <w:noProof/>
          <w:lang w:eastAsia="en-US"/>
        </w:rPr>
      </w:pPr>
      <w:hyperlink w:anchor="_Toc66286804" w:history="1">
        <w:r w:rsidR="005F3F2A" w:rsidRPr="00277538">
          <w:rPr>
            <w:rStyle w:val="Hyperlink"/>
            <w:noProof/>
          </w:rPr>
          <w:t>Table 4: Key model climate inputs.</w:t>
        </w:r>
        <w:r w:rsidR="005F3F2A">
          <w:rPr>
            <w:noProof/>
            <w:webHidden/>
          </w:rPr>
          <w:tab/>
        </w:r>
        <w:r w:rsidR="005F3F2A">
          <w:rPr>
            <w:noProof/>
            <w:webHidden/>
          </w:rPr>
          <w:fldChar w:fldCharType="begin"/>
        </w:r>
        <w:r w:rsidR="005F3F2A">
          <w:rPr>
            <w:noProof/>
            <w:webHidden/>
          </w:rPr>
          <w:instrText xml:space="preserve"> PAGEREF _Toc66286804 \h </w:instrText>
        </w:r>
        <w:r w:rsidR="005F3F2A">
          <w:rPr>
            <w:noProof/>
            <w:webHidden/>
          </w:rPr>
        </w:r>
        <w:r w:rsidR="005F3F2A">
          <w:rPr>
            <w:noProof/>
            <w:webHidden/>
          </w:rPr>
          <w:fldChar w:fldCharType="separate"/>
        </w:r>
        <w:r w:rsidR="005F3F2A">
          <w:rPr>
            <w:noProof/>
            <w:webHidden/>
          </w:rPr>
          <w:t>15</w:t>
        </w:r>
        <w:r w:rsidR="005F3F2A">
          <w:rPr>
            <w:noProof/>
            <w:webHidden/>
          </w:rPr>
          <w:fldChar w:fldCharType="end"/>
        </w:r>
      </w:hyperlink>
    </w:p>
    <w:p w14:paraId="2C3A734F" w14:textId="77777777" w:rsidR="005F3F2A" w:rsidRDefault="00D76026">
      <w:pPr>
        <w:pStyle w:val="TableofFigures"/>
        <w:tabs>
          <w:tab w:val="right" w:leader="dot" w:pos="9350"/>
        </w:tabs>
        <w:rPr>
          <w:rFonts w:asciiTheme="minorHAnsi" w:hAnsiTheme="minorHAnsi"/>
          <w:noProof/>
          <w:lang w:eastAsia="en-US"/>
        </w:rPr>
      </w:pPr>
      <w:hyperlink w:anchor="_Toc66286805" w:history="1">
        <w:r w:rsidR="005F3F2A" w:rsidRPr="00277538">
          <w:rPr>
            <w:rStyle w:val="Hyperlink"/>
            <w:noProof/>
          </w:rPr>
          <w:t>Table 5: Net direct emissions.</w:t>
        </w:r>
        <w:r w:rsidR="005F3F2A">
          <w:rPr>
            <w:noProof/>
            <w:webHidden/>
          </w:rPr>
          <w:tab/>
        </w:r>
        <w:r w:rsidR="005F3F2A">
          <w:rPr>
            <w:noProof/>
            <w:webHidden/>
          </w:rPr>
          <w:fldChar w:fldCharType="begin"/>
        </w:r>
        <w:r w:rsidR="005F3F2A">
          <w:rPr>
            <w:noProof/>
            <w:webHidden/>
          </w:rPr>
          <w:instrText xml:space="preserve"> PAGEREF _Toc66286805 \h </w:instrText>
        </w:r>
        <w:r w:rsidR="005F3F2A">
          <w:rPr>
            <w:noProof/>
            <w:webHidden/>
          </w:rPr>
        </w:r>
        <w:r w:rsidR="005F3F2A">
          <w:rPr>
            <w:noProof/>
            <w:webHidden/>
          </w:rPr>
          <w:fldChar w:fldCharType="separate"/>
        </w:r>
        <w:r w:rsidR="005F3F2A">
          <w:rPr>
            <w:noProof/>
            <w:webHidden/>
          </w:rPr>
          <w:t>16</w:t>
        </w:r>
        <w:r w:rsidR="005F3F2A">
          <w:rPr>
            <w:noProof/>
            <w:webHidden/>
          </w:rPr>
          <w:fldChar w:fldCharType="end"/>
        </w:r>
      </w:hyperlink>
    </w:p>
    <w:p w14:paraId="59665BF7" w14:textId="77777777" w:rsidR="005F3F2A" w:rsidRDefault="00D76026">
      <w:pPr>
        <w:pStyle w:val="TableofFigures"/>
        <w:tabs>
          <w:tab w:val="right" w:leader="dot" w:pos="9350"/>
        </w:tabs>
        <w:rPr>
          <w:rFonts w:asciiTheme="minorHAnsi" w:hAnsiTheme="minorHAnsi"/>
          <w:noProof/>
          <w:lang w:eastAsia="en-US"/>
        </w:rPr>
      </w:pPr>
      <w:hyperlink w:anchor="_Toc66286806" w:history="1">
        <w:r w:rsidR="005F3F2A" w:rsidRPr="00277538">
          <w:rPr>
            <w:rStyle w:val="Hyperlink"/>
            <w:noProof/>
          </w:rPr>
          <w:t>Table 6: Avoided emissions.</w:t>
        </w:r>
        <w:r w:rsidR="005F3F2A">
          <w:rPr>
            <w:noProof/>
            <w:webHidden/>
          </w:rPr>
          <w:tab/>
        </w:r>
        <w:r w:rsidR="005F3F2A">
          <w:rPr>
            <w:noProof/>
            <w:webHidden/>
          </w:rPr>
          <w:fldChar w:fldCharType="begin"/>
        </w:r>
        <w:r w:rsidR="005F3F2A">
          <w:rPr>
            <w:noProof/>
            <w:webHidden/>
          </w:rPr>
          <w:instrText xml:space="preserve"> PAGEREF _Toc66286806 \h </w:instrText>
        </w:r>
        <w:r w:rsidR="005F3F2A">
          <w:rPr>
            <w:noProof/>
            <w:webHidden/>
          </w:rPr>
        </w:r>
        <w:r w:rsidR="005F3F2A">
          <w:rPr>
            <w:noProof/>
            <w:webHidden/>
          </w:rPr>
          <w:fldChar w:fldCharType="separate"/>
        </w:r>
        <w:r w:rsidR="005F3F2A">
          <w:rPr>
            <w:noProof/>
            <w:webHidden/>
          </w:rPr>
          <w:t>17</w:t>
        </w:r>
        <w:r w:rsidR="005F3F2A">
          <w:rPr>
            <w:noProof/>
            <w:webHidden/>
          </w:rPr>
          <w:fldChar w:fldCharType="end"/>
        </w:r>
      </w:hyperlink>
    </w:p>
    <w:p w14:paraId="46E2EA65" w14:textId="77777777" w:rsidR="005F3F2A" w:rsidRDefault="00D76026">
      <w:pPr>
        <w:pStyle w:val="TableofFigures"/>
        <w:tabs>
          <w:tab w:val="right" w:leader="dot" w:pos="9350"/>
        </w:tabs>
        <w:rPr>
          <w:rFonts w:asciiTheme="minorHAnsi" w:hAnsiTheme="minorHAnsi"/>
          <w:noProof/>
          <w:lang w:eastAsia="en-US"/>
        </w:rPr>
      </w:pPr>
      <w:hyperlink w:anchor="_Toc66286807" w:history="1">
        <w:r w:rsidR="005F3F2A" w:rsidRPr="00277538">
          <w:rPr>
            <w:rStyle w:val="Hyperlink"/>
            <w:noProof/>
          </w:rPr>
          <w:t>Table 7: Financial inputs</w:t>
        </w:r>
        <w:r w:rsidR="005F3F2A">
          <w:rPr>
            <w:noProof/>
            <w:webHidden/>
          </w:rPr>
          <w:tab/>
        </w:r>
        <w:r w:rsidR="005F3F2A">
          <w:rPr>
            <w:noProof/>
            <w:webHidden/>
          </w:rPr>
          <w:fldChar w:fldCharType="begin"/>
        </w:r>
        <w:r w:rsidR="005F3F2A">
          <w:rPr>
            <w:noProof/>
            <w:webHidden/>
          </w:rPr>
          <w:instrText xml:space="preserve"> PAGEREF _Toc66286807 \h </w:instrText>
        </w:r>
        <w:r w:rsidR="005F3F2A">
          <w:rPr>
            <w:noProof/>
            <w:webHidden/>
          </w:rPr>
        </w:r>
        <w:r w:rsidR="005F3F2A">
          <w:rPr>
            <w:noProof/>
            <w:webHidden/>
          </w:rPr>
          <w:fldChar w:fldCharType="separate"/>
        </w:r>
        <w:r w:rsidR="005F3F2A">
          <w:rPr>
            <w:noProof/>
            <w:webHidden/>
          </w:rPr>
          <w:t>17</w:t>
        </w:r>
        <w:r w:rsidR="005F3F2A">
          <w:rPr>
            <w:noProof/>
            <w:webHidden/>
          </w:rPr>
          <w:fldChar w:fldCharType="end"/>
        </w:r>
      </w:hyperlink>
    </w:p>
    <w:p w14:paraId="0A471277" w14:textId="77777777" w:rsidR="005F3F2A" w:rsidRDefault="00D76026">
      <w:pPr>
        <w:pStyle w:val="TableofFigures"/>
        <w:tabs>
          <w:tab w:val="right" w:leader="dot" w:pos="9350"/>
        </w:tabs>
        <w:rPr>
          <w:rFonts w:asciiTheme="minorHAnsi" w:hAnsiTheme="minorHAnsi"/>
          <w:noProof/>
          <w:lang w:eastAsia="en-US"/>
        </w:rPr>
      </w:pPr>
      <w:hyperlink w:anchor="_Toc66286808" w:history="1">
        <w:r w:rsidR="005F3F2A" w:rsidRPr="00277538">
          <w:rPr>
            <w:rStyle w:val="Hyperlink"/>
            <w:noProof/>
          </w:rPr>
          <w:t>Table 8: Modeled world adoption of biochar</w:t>
        </w:r>
        <w:r w:rsidR="005F3F2A">
          <w:rPr>
            <w:noProof/>
            <w:webHidden/>
          </w:rPr>
          <w:tab/>
        </w:r>
        <w:r w:rsidR="005F3F2A">
          <w:rPr>
            <w:noProof/>
            <w:webHidden/>
          </w:rPr>
          <w:fldChar w:fldCharType="begin"/>
        </w:r>
        <w:r w:rsidR="005F3F2A">
          <w:rPr>
            <w:noProof/>
            <w:webHidden/>
          </w:rPr>
          <w:instrText xml:space="preserve"> PAGEREF _Toc66286808 \h </w:instrText>
        </w:r>
        <w:r w:rsidR="005F3F2A">
          <w:rPr>
            <w:noProof/>
            <w:webHidden/>
          </w:rPr>
        </w:r>
        <w:r w:rsidR="005F3F2A">
          <w:rPr>
            <w:noProof/>
            <w:webHidden/>
          </w:rPr>
          <w:fldChar w:fldCharType="separate"/>
        </w:r>
        <w:r w:rsidR="005F3F2A">
          <w:rPr>
            <w:noProof/>
            <w:webHidden/>
          </w:rPr>
          <w:t>19</w:t>
        </w:r>
        <w:r w:rsidR="005F3F2A">
          <w:rPr>
            <w:noProof/>
            <w:webHidden/>
          </w:rPr>
          <w:fldChar w:fldCharType="end"/>
        </w:r>
      </w:hyperlink>
    </w:p>
    <w:p w14:paraId="639C16AD" w14:textId="77777777" w:rsidR="005F3F2A" w:rsidRDefault="00D76026">
      <w:pPr>
        <w:pStyle w:val="TableofFigures"/>
        <w:tabs>
          <w:tab w:val="right" w:leader="dot" w:pos="9350"/>
        </w:tabs>
        <w:rPr>
          <w:rFonts w:asciiTheme="minorHAnsi" w:hAnsiTheme="minorHAnsi"/>
          <w:noProof/>
          <w:lang w:eastAsia="en-US"/>
        </w:rPr>
      </w:pPr>
      <w:hyperlink w:anchor="_Toc66286809" w:history="1">
        <w:r w:rsidR="005F3F2A" w:rsidRPr="00277538">
          <w:rPr>
            <w:rStyle w:val="Hyperlink"/>
            <w:noProof/>
          </w:rPr>
          <w:t>Table 9: Key emissions results.</w:t>
        </w:r>
        <w:r w:rsidR="005F3F2A">
          <w:rPr>
            <w:noProof/>
            <w:webHidden/>
          </w:rPr>
          <w:tab/>
        </w:r>
        <w:r w:rsidR="005F3F2A">
          <w:rPr>
            <w:noProof/>
            <w:webHidden/>
          </w:rPr>
          <w:fldChar w:fldCharType="begin"/>
        </w:r>
        <w:r w:rsidR="005F3F2A">
          <w:rPr>
            <w:noProof/>
            <w:webHidden/>
          </w:rPr>
          <w:instrText xml:space="preserve"> PAGEREF _Toc66286809 \h </w:instrText>
        </w:r>
        <w:r w:rsidR="005F3F2A">
          <w:rPr>
            <w:noProof/>
            <w:webHidden/>
          </w:rPr>
        </w:r>
        <w:r w:rsidR="005F3F2A">
          <w:rPr>
            <w:noProof/>
            <w:webHidden/>
          </w:rPr>
          <w:fldChar w:fldCharType="separate"/>
        </w:r>
        <w:r w:rsidR="005F3F2A">
          <w:rPr>
            <w:noProof/>
            <w:webHidden/>
          </w:rPr>
          <w:t>20</w:t>
        </w:r>
        <w:r w:rsidR="005F3F2A">
          <w:rPr>
            <w:noProof/>
            <w:webHidden/>
          </w:rPr>
          <w:fldChar w:fldCharType="end"/>
        </w:r>
      </w:hyperlink>
    </w:p>
    <w:p w14:paraId="761ED492" w14:textId="77777777" w:rsidR="005F3F2A" w:rsidRDefault="00D76026">
      <w:pPr>
        <w:pStyle w:val="TableofFigures"/>
        <w:tabs>
          <w:tab w:val="right" w:leader="dot" w:pos="9350"/>
        </w:tabs>
        <w:rPr>
          <w:rFonts w:asciiTheme="minorHAnsi" w:hAnsiTheme="minorHAnsi"/>
          <w:noProof/>
          <w:lang w:eastAsia="en-US"/>
        </w:rPr>
      </w:pPr>
      <w:hyperlink w:anchor="_Toc66286810" w:history="1">
        <w:r w:rsidR="005F3F2A" w:rsidRPr="00277538">
          <w:rPr>
            <w:rStyle w:val="Hyperlink"/>
            <w:noProof/>
          </w:rPr>
          <w:t>Table 10: Impacts on atmospheric concentrations of CO</w:t>
        </w:r>
        <w:r w:rsidR="005F3F2A" w:rsidRPr="00277538">
          <w:rPr>
            <w:rStyle w:val="Hyperlink"/>
            <w:noProof/>
            <w:vertAlign w:val="subscript"/>
          </w:rPr>
          <w:t>2</w:t>
        </w:r>
        <w:r w:rsidR="005F3F2A" w:rsidRPr="00277538">
          <w:rPr>
            <w:rStyle w:val="Hyperlink"/>
            <w:noProof/>
          </w:rPr>
          <w:t>-e</w:t>
        </w:r>
        <w:r w:rsidR="005F3F2A">
          <w:rPr>
            <w:noProof/>
            <w:webHidden/>
          </w:rPr>
          <w:tab/>
        </w:r>
        <w:r w:rsidR="005F3F2A">
          <w:rPr>
            <w:noProof/>
            <w:webHidden/>
          </w:rPr>
          <w:fldChar w:fldCharType="begin"/>
        </w:r>
        <w:r w:rsidR="005F3F2A">
          <w:rPr>
            <w:noProof/>
            <w:webHidden/>
          </w:rPr>
          <w:instrText xml:space="preserve"> PAGEREF _Toc66286810 \h </w:instrText>
        </w:r>
        <w:r w:rsidR="005F3F2A">
          <w:rPr>
            <w:noProof/>
            <w:webHidden/>
          </w:rPr>
        </w:r>
        <w:r w:rsidR="005F3F2A">
          <w:rPr>
            <w:noProof/>
            <w:webHidden/>
          </w:rPr>
          <w:fldChar w:fldCharType="separate"/>
        </w:r>
        <w:r w:rsidR="005F3F2A">
          <w:rPr>
            <w:noProof/>
            <w:webHidden/>
          </w:rPr>
          <w:t>21</w:t>
        </w:r>
        <w:r w:rsidR="005F3F2A">
          <w:rPr>
            <w:noProof/>
            <w:webHidden/>
          </w:rPr>
          <w:fldChar w:fldCharType="end"/>
        </w:r>
      </w:hyperlink>
    </w:p>
    <w:p w14:paraId="17CDCA32" w14:textId="77777777" w:rsidR="005F3F2A" w:rsidRDefault="00D76026">
      <w:pPr>
        <w:pStyle w:val="TableofFigures"/>
        <w:tabs>
          <w:tab w:val="right" w:leader="dot" w:pos="9350"/>
        </w:tabs>
        <w:rPr>
          <w:rFonts w:asciiTheme="minorHAnsi" w:hAnsiTheme="minorHAnsi"/>
          <w:noProof/>
          <w:lang w:eastAsia="en-US"/>
        </w:rPr>
      </w:pPr>
      <w:hyperlink w:anchor="_Toc66286811" w:history="1">
        <w:r w:rsidR="005F3F2A" w:rsidRPr="00277538">
          <w:rPr>
            <w:rStyle w:val="Hyperlink"/>
            <w:noProof/>
          </w:rPr>
          <w:t>Table 11: Financial results</w:t>
        </w:r>
        <w:r w:rsidR="005F3F2A">
          <w:rPr>
            <w:noProof/>
            <w:webHidden/>
          </w:rPr>
          <w:tab/>
        </w:r>
        <w:r w:rsidR="005F3F2A">
          <w:rPr>
            <w:noProof/>
            <w:webHidden/>
          </w:rPr>
          <w:fldChar w:fldCharType="begin"/>
        </w:r>
        <w:r w:rsidR="005F3F2A">
          <w:rPr>
            <w:noProof/>
            <w:webHidden/>
          </w:rPr>
          <w:instrText xml:space="preserve"> PAGEREF _Toc66286811 \h </w:instrText>
        </w:r>
        <w:r w:rsidR="005F3F2A">
          <w:rPr>
            <w:noProof/>
            <w:webHidden/>
          </w:rPr>
        </w:r>
        <w:r w:rsidR="005F3F2A">
          <w:rPr>
            <w:noProof/>
            <w:webHidden/>
          </w:rPr>
          <w:fldChar w:fldCharType="separate"/>
        </w:r>
        <w:r w:rsidR="005F3F2A">
          <w:rPr>
            <w:noProof/>
            <w:webHidden/>
          </w:rPr>
          <w:t>21</w:t>
        </w:r>
        <w:r w:rsidR="005F3F2A">
          <w:rPr>
            <w:noProof/>
            <w:webHidden/>
          </w:rPr>
          <w:fldChar w:fldCharType="end"/>
        </w:r>
      </w:hyperlink>
    </w:p>
    <w:p w14:paraId="4CD29C08" w14:textId="77777777" w:rsidR="005F3F2A" w:rsidRDefault="00D76026">
      <w:pPr>
        <w:pStyle w:val="TableofFigures"/>
        <w:tabs>
          <w:tab w:val="right" w:leader="dot" w:pos="9350"/>
        </w:tabs>
        <w:rPr>
          <w:rFonts w:asciiTheme="minorHAnsi" w:hAnsiTheme="minorHAnsi"/>
          <w:noProof/>
          <w:lang w:eastAsia="en-US"/>
        </w:rPr>
      </w:pPr>
      <w:hyperlink w:anchor="_Toc66286812" w:history="1">
        <w:r w:rsidR="005F3F2A" w:rsidRPr="00277538">
          <w:rPr>
            <w:rStyle w:val="Hyperlink"/>
            <w:noProof/>
          </w:rPr>
          <w:t>Table 12: Benchmark comparison with selected relevant studies</w:t>
        </w:r>
        <w:r w:rsidR="005F3F2A">
          <w:rPr>
            <w:noProof/>
            <w:webHidden/>
          </w:rPr>
          <w:tab/>
        </w:r>
        <w:r w:rsidR="005F3F2A">
          <w:rPr>
            <w:noProof/>
            <w:webHidden/>
          </w:rPr>
          <w:fldChar w:fldCharType="begin"/>
        </w:r>
        <w:r w:rsidR="005F3F2A">
          <w:rPr>
            <w:noProof/>
            <w:webHidden/>
          </w:rPr>
          <w:instrText xml:space="preserve"> PAGEREF _Toc66286812 \h </w:instrText>
        </w:r>
        <w:r w:rsidR="005F3F2A">
          <w:rPr>
            <w:noProof/>
            <w:webHidden/>
          </w:rPr>
        </w:r>
        <w:r w:rsidR="005F3F2A">
          <w:rPr>
            <w:noProof/>
            <w:webHidden/>
          </w:rPr>
          <w:fldChar w:fldCharType="separate"/>
        </w:r>
        <w:r w:rsidR="005F3F2A">
          <w:rPr>
            <w:noProof/>
            <w:webHidden/>
          </w:rPr>
          <w:t>22</w:t>
        </w:r>
        <w:r w:rsidR="005F3F2A">
          <w:rPr>
            <w:noProof/>
            <w:webHidden/>
          </w:rPr>
          <w:fldChar w:fldCharType="end"/>
        </w:r>
      </w:hyperlink>
    </w:p>
    <w:p w14:paraId="59531BD3" w14:textId="482E3A85" w:rsidR="006A4A08" w:rsidRPr="00BC11C5" w:rsidRDefault="005F3F2A" w:rsidP="003A0234">
      <w:r>
        <w:fldChar w:fldCharType="end"/>
      </w:r>
    </w:p>
    <w:p w14:paraId="4825AD3F" w14:textId="40954F23" w:rsidR="00640665" w:rsidRPr="00BC11C5" w:rsidRDefault="00640665" w:rsidP="00EB247F">
      <w:pPr>
        <w:rPr>
          <w:rFonts w:asciiTheme="majorHAnsi" w:eastAsiaTheme="majorEastAsia" w:hAnsiTheme="majorHAnsi" w:cstheme="majorBidi"/>
          <w:b/>
          <w:bCs/>
          <w:smallCaps/>
          <w:color w:val="000000" w:themeColor="text1"/>
          <w:sz w:val="36"/>
          <w:szCs w:val="36"/>
        </w:rPr>
      </w:pPr>
      <w:r w:rsidRPr="00BC11C5">
        <w:br w:type="page"/>
      </w:r>
    </w:p>
    <w:p w14:paraId="314CD877" w14:textId="0A90708E" w:rsidR="00FA6897" w:rsidRPr="00BC11C5" w:rsidRDefault="2D56E7D4" w:rsidP="00EB247F">
      <w:pPr>
        <w:pStyle w:val="Heading1"/>
        <w:numPr>
          <w:ilvl w:val="0"/>
          <w:numId w:val="0"/>
        </w:numPr>
        <w:ind w:left="720" w:hanging="360"/>
      </w:pPr>
      <w:bookmarkStart w:id="2" w:name="_Toc68791422"/>
      <w:r w:rsidRPr="00BC11C5">
        <w:lastRenderedPageBreak/>
        <w:t>Acronyms and Symbols Used</w:t>
      </w:r>
      <w:bookmarkEnd w:id="2"/>
    </w:p>
    <w:p w14:paraId="543F75D2" w14:textId="17B13393" w:rsidR="005F3F2A" w:rsidRPr="00141A8E" w:rsidRDefault="005F3F2A" w:rsidP="00FB2C53">
      <w:pPr>
        <w:pStyle w:val="ListParagraph"/>
        <w:numPr>
          <w:ilvl w:val="0"/>
          <w:numId w:val="30"/>
        </w:numPr>
      </w:pPr>
      <w:r w:rsidRPr="00141A8E">
        <w:t>BECCS – bio-energy with carbon capture and storage</w:t>
      </w:r>
    </w:p>
    <w:p w14:paraId="2FE7400F" w14:textId="4064FA71" w:rsidR="00FB2C53" w:rsidRPr="00141A8E" w:rsidRDefault="005F3F2A" w:rsidP="00FB2C53">
      <w:pPr>
        <w:pStyle w:val="ListParagraph"/>
        <w:numPr>
          <w:ilvl w:val="0"/>
          <w:numId w:val="30"/>
        </w:numPr>
      </w:pPr>
      <w:r w:rsidRPr="00141A8E">
        <w:t>BiCRS – biomass carbon removal and storage</w:t>
      </w:r>
    </w:p>
    <w:p w14:paraId="43B0E257" w14:textId="2388D19A" w:rsidR="00FB2C53" w:rsidRPr="00141A8E" w:rsidRDefault="00141A8E" w:rsidP="00141A8E">
      <w:pPr>
        <w:pStyle w:val="ListParagraph"/>
        <w:numPr>
          <w:ilvl w:val="0"/>
          <w:numId w:val="30"/>
        </w:numPr>
      </w:pPr>
      <w:r w:rsidRPr="00141A8E">
        <w:t>CDR – carbon dioxide removal</w:t>
      </w:r>
    </w:p>
    <w:p w14:paraId="52DDC8F3" w14:textId="57DDAD08" w:rsidR="00141A8E" w:rsidRPr="00141A8E" w:rsidRDefault="00141A8E" w:rsidP="00141A8E">
      <w:pPr>
        <w:pStyle w:val="ListParagraph"/>
        <w:numPr>
          <w:ilvl w:val="0"/>
          <w:numId w:val="30"/>
        </w:numPr>
      </w:pPr>
      <w:r w:rsidRPr="00141A8E">
        <w:t>CO</w:t>
      </w:r>
      <w:r w:rsidRPr="00141A8E">
        <w:rPr>
          <w:vertAlign w:val="subscript"/>
        </w:rPr>
        <w:t>2</w:t>
      </w:r>
      <w:r w:rsidRPr="00141A8E">
        <w:t>e – carbon dioxide equivalent</w:t>
      </w:r>
    </w:p>
    <w:p w14:paraId="6E65F10F" w14:textId="593DD437" w:rsidR="00141A8E" w:rsidRDefault="00141A8E" w:rsidP="00141A8E">
      <w:pPr>
        <w:pStyle w:val="ListParagraph"/>
        <w:numPr>
          <w:ilvl w:val="0"/>
          <w:numId w:val="30"/>
        </w:numPr>
      </w:pPr>
      <w:r w:rsidRPr="00141A8E">
        <w:t>t – tonne or metric ton</w:t>
      </w:r>
    </w:p>
    <w:p w14:paraId="137C25FC" w14:textId="1A4CBBC4" w:rsidR="004B07AF" w:rsidRDefault="004B07AF" w:rsidP="00141A8E">
      <w:pPr>
        <w:pStyle w:val="ListParagraph"/>
        <w:numPr>
          <w:ilvl w:val="0"/>
          <w:numId w:val="30"/>
        </w:numPr>
      </w:pPr>
      <w:r>
        <w:t>Mt – million metric tons</w:t>
      </w:r>
    </w:p>
    <w:p w14:paraId="60543A48" w14:textId="57E8CA0A" w:rsidR="004B07AF" w:rsidRPr="00141A8E" w:rsidRDefault="004B07AF" w:rsidP="00141A8E">
      <w:pPr>
        <w:pStyle w:val="ListParagraph"/>
        <w:numPr>
          <w:ilvl w:val="0"/>
          <w:numId w:val="30"/>
        </w:numPr>
      </w:pPr>
      <w:r>
        <w:t>Gt – billion metric tons</w:t>
      </w:r>
    </w:p>
    <w:p w14:paraId="25BC328C" w14:textId="77777777" w:rsidR="00FB2C53" w:rsidRPr="00BC11C5"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BC11C5">
        <w:br w:type="page"/>
      </w:r>
    </w:p>
    <w:p w14:paraId="258D1C7E" w14:textId="73E7FC05" w:rsidR="00E844EA" w:rsidRPr="00BC11C5" w:rsidRDefault="551A77D0" w:rsidP="00EB247F">
      <w:pPr>
        <w:pStyle w:val="Heading1"/>
        <w:numPr>
          <w:ilvl w:val="0"/>
          <w:numId w:val="0"/>
        </w:numPr>
      </w:pPr>
      <w:bookmarkStart w:id="3" w:name="_Toc68791423"/>
      <w:r w:rsidRPr="00BC11C5">
        <w:lastRenderedPageBreak/>
        <w:t>Executive Summary</w:t>
      </w:r>
      <w:bookmarkEnd w:id="3"/>
    </w:p>
    <w:p w14:paraId="2DED2EE9" w14:textId="3B9D5BC6" w:rsidR="00141A8E" w:rsidRDefault="00141A8E" w:rsidP="004F12A0">
      <w:r>
        <w:t>B</w:t>
      </w:r>
      <w:r w:rsidR="004D6850">
        <w:t xml:space="preserve">iochar has been a topic of much recent </w:t>
      </w:r>
      <w:r>
        <w:t xml:space="preserve">research and commercial attention. The </w:t>
      </w:r>
      <w:r w:rsidR="004D6850">
        <w:t xml:space="preserve">potential </w:t>
      </w:r>
      <w:r>
        <w:t xml:space="preserve">uses of this charcoal-like product seem to be expanding rapidly. And the feedstocks that can be converted to biochar are similarly diverse. In the context </w:t>
      </w:r>
      <w:r w:rsidR="00927501">
        <w:t xml:space="preserve">of drawdown and climate change </w:t>
      </w:r>
      <w:r>
        <w:t xml:space="preserve">biochar’s most </w:t>
      </w:r>
      <w:r w:rsidR="00464C93">
        <w:t>meaningful</w:t>
      </w:r>
      <w:r>
        <w:t xml:space="preserve"> attribute is durable carbon sequestration, which could be significant in global efforts to mitigate </w:t>
      </w:r>
      <w:r w:rsidR="00464C93">
        <w:t xml:space="preserve">greenhouse gas </w:t>
      </w:r>
      <w:r>
        <w:t xml:space="preserve">emissions and even remove them from the atmosphere. </w:t>
      </w:r>
    </w:p>
    <w:p w14:paraId="76A0778B" w14:textId="1ED6827D" w:rsidR="004D6850" w:rsidRDefault="00141A8E" w:rsidP="004F12A0">
      <w:r>
        <w:t>Global estimates</w:t>
      </w:r>
      <w:r w:rsidR="00927501">
        <w:t xml:space="preserve"> in the literature</w:t>
      </w:r>
      <w:r>
        <w:t xml:space="preserve"> </w:t>
      </w:r>
      <w:r w:rsidR="00464C93">
        <w:t xml:space="preserve">of biochar’s annual emission reduction potential are at gigatonne scale. These figures usually account for abundant feedstock and additional co-benefits expected to arise from biochar production or use, such as increased crop yields and displaced fossil fuels and fertilizers. </w:t>
      </w:r>
      <w:r w:rsidR="004D6850">
        <w:t xml:space="preserve">Compared to the technical potential, current adoption of biochar is low. Hurdles to wider commercial adoption remain. They include high costs and lack of product standardization. </w:t>
      </w:r>
    </w:p>
    <w:p w14:paraId="031A9E36" w14:textId="51321937" w:rsidR="004B7DA5" w:rsidRDefault="00464C93" w:rsidP="004F12A0">
      <w:r>
        <w:t>We tak</w:t>
      </w:r>
      <w:r w:rsidR="0005721B">
        <w:t>e a conservative modeling approach</w:t>
      </w:r>
      <w:r>
        <w:t>, focusing on the sto</w:t>
      </w:r>
      <w:r w:rsidR="0005721B">
        <w:t>red carbon benefits</w:t>
      </w:r>
      <w:r>
        <w:t xml:space="preserve"> of biochar and selectively allocating feedstocks </w:t>
      </w:r>
      <w:r w:rsidR="0005721B">
        <w:t xml:space="preserve">in a way that minimizes ecological </w:t>
      </w:r>
      <w:r w:rsidR="004D6850">
        <w:t>tradeoffs and balances biomass among other</w:t>
      </w:r>
      <w:r w:rsidR="0005721B">
        <w:t xml:space="preserve"> climate solution</w:t>
      </w:r>
      <w:r w:rsidR="004D6850">
        <w:t xml:space="preserve">s that are expected to need it. </w:t>
      </w:r>
      <w:r w:rsidR="004F1E38">
        <w:t xml:space="preserve">The feedstocks considered are calculated in Project Drawdown’s integrated biomass model and range from traditional sources such as crop residues to emerging sources such as macroalgae and </w:t>
      </w:r>
      <w:r w:rsidR="004B07AF">
        <w:t>agroforestry</w:t>
      </w:r>
      <w:r w:rsidR="004F1E38">
        <w:t xml:space="preserve"> residues. </w:t>
      </w:r>
      <w:r w:rsidR="0005721B">
        <w:t>In our most ambitious case, we model biochar production increasing from its current low level to approximately</w:t>
      </w:r>
      <w:r w:rsidR="00927501">
        <w:t xml:space="preserve"> </w:t>
      </w:r>
      <w:r w:rsidR="004B07AF">
        <w:t>150</w:t>
      </w:r>
      <w:r w:rsidR="00927501">
        <w:t xml:space="preserve"> million tonnes of annual</w:t>
      </w:r>
      <w:r w:rsidR="004B7DA5">
        <w:t xml:space="preserve"> production in 2050, with a corresponding cumulative emissions reduction of </w:t>
      </w:r>
      <w:r w:rsidR="004B07AF">
        <w:t>4.73</w:t>
      </w:r>
      <w:r w:rsidR="004B7DA5">
        <w:t xml:space="preserve"> gigatonnes of carbon dioxide equivalent</w:t>
      </w:r>
      <w:r w:rsidR="004B07AF">
        <w:t xml:space="preserve"> from 2020-2050.</w:t>
      </w:r>
      <w:r w:rsidR="004B7DA5">
        <w:t xml:space="preserve"> In all cases, marginal abatement costs are found to be approximately $1</w:t>
      </w:r>
      <w:r w:rsidR="004B07AF">
        <w:t>9</w:t>
      </w:r>
      <w:r w:rsidR="004B7DA5">
        <w:t>0 per tonne carbon dioxide equivalent, placing biochar between soil carbon sequestration and</w:t>
      </w:r>
      <w:r w:rsidR="004B07AF">
        <w:t xml:space="preserve"> comparable to</w:t>
      </w:r>
      <w:r w:rsidR="004B7DA5">
        <w:t xml:space="preserve"> bio-energy with carbon capture and sequestration for this indicator.</w:t>
      </w:r>
      <w:r w:rsidR="0005721B">
        <w:t xml:space="preserve"> </w:t>
      </w:r>
    </w:p>
    <w:p w14:paraId="72D579D1" w14:textId="09FE403B" w:rsidR="0005721B" w:rsidRPr="00BC11C5" w:rsidRDefault="0005721B" w:rsidP="004F12A0">
      <w:r>
        <w:t xml:space="preserve">We find that feedstock limitations will only likely impose constraints </w:t>
      </w:r>
      <w:r w:rsidR="00927501">
        <w:t xml:space="preserve">on biochar production growth </w:t>
      </w:r>
      <w:r>
        <w:t xml:space="preserve">in the long-term, while for the time being capital scale-out is a much more pressing limitation for industry growth. </w:t>
      </w:r>
      <w:r w:rsidR="004B07AF">
        <w:t xml:space="preserve">Widening </w:t>
      </w:r>
      <w:r w:rsidR="004B7DA5">
        <w:t>our model</w:t>
      </w:r>
      <w:r w:rsidR="004B07AF">
        <w:t xml:space="preserve"> scope</w:t>
      </w:r>
      <w:r w:rsidR="004B7DA5">
        <w:t xml:space="preserve"> to consider co-products and co-benefits of biochar production and use would likely result in reduced costs and expanded emissions reductions potentials. </w:t>
      </w:r>
      <w:r>
        <w:t>The heterogeneity of biochar products and the varied scale of production facilities limited our modeling approach in the</w:t>
      </w:r>
      <w:r w:rsidR="004B7DA5">
        <w:t xml:space="preserve"> current</w:t>
      </w:r>
      <w:r>
        <w:t xml:space="preserve"> version, but they may be strong advantages to biochar adoption in practice. We are optimistic that our next model updates will incorporate these details and new data on global progress of the industry. </w:t>
      </w:r>
    </w:p>
    <w:p w14:paraId="2CE125C8" w14:textId="77777777" w:rsidR="004F12A0" w:rsidRPr="00BC11C5" w:rsidRDefault="004F12A0" w:rsidP="004F12A0"/>
    <w:p w14:paraId="5702DEE6" w14:textId="77777777" w:rsidR="004F12A0" w:rsidRPr="00BC11C5" w:rsidRDefault="004F12A0" w:rsidP="004F12A0">
      <w:pPr>
        <w:sectPr w:rsidR="004F12A0" w:rsidRPr="00BC11C5" w:rsidSect="00F26176">
          <w:footerReference w:type="even" r:id="rId15"/>
          <w:footerReference w:type="default" r:id="rId16"/>
          <w:pgSz w:w="12240" w:h="15840"/>
          <w:pgMar w:top="1440" w:right="1440" w:bottom="1440" w:left="1440" w:header="720" w:footer="720" w:gutter="0"/>
          <w:pgNumType w:fmt="upperRoman"/>
          <w:cols w:space="720"/>
        </w:sectPr>
      </w:pPr>
    </w:p>
    <w:p w14:paraId="34916870" w14:textId="0045908A" w:rsidR="00E815C8" w:rsidRPr="00BC11C5" w:rsidRDefault="551A77D0" w:rsidP="00EB247F">
      <w:pPr>
        <w:pStyle w:val="Heading1"/>
      </w:pPr>
      <w:bookmarkStart w:id="4" w:name="_Toc68791424"/>
      <w:r w:rsidRPr="00BC11C5">
        <w:lastRenderedPageBreak/>
        <w:t>Literature Review</w:t>
      </w:r>
      <w:bookmarkEnd w:id="4"/>
    </w:p>
    <w:p w14:paraId="05406D4C" w14:textId="7167E970" w:rsidR="006A4A08" w:rsidRPr="00BC11C5" w:rsidRDefault="551A77D0" w:rsidP="00EB247F">
      <w:pPr>
        <w:pStyle w:val="Heading2"/>
      </w:pPr>
      <w:bookmarkStart w:id="5" w:name="_Toc68791425"/>
      <w:r w:rsidRPr="00BC11C5">
        <w:t xml:space="preserve">State of </w:t>
      </w:r>
      <w:r w:rsidR="000E552A">
        <w:t>B</w:t>
      </w:r>
      <w:r w:rsidR="00044F4C" w:rsidRPr="00BC11C5">
        <w:t xml:space="preserve">iochar </w:t>
      </w:r>
      <w:r w:rsidR="000E552A">
        <w:t>P</w:t>
      </w:r>
      <w:r w:rsidR="00044F4C" w:rsidRPr="00BC11C5">
        <w:t>roduction</w:t>
      </w:r>
      <w:bookmarkEnd w:id="5"/>
    </w:p>
    <w:p w14:paraId="4E851064" w14:textId="23D1D682" w:rsidR="00044F4C" w:rsidRPr="00BC11C5" w:rsidRDefault="00044F4C" w:rsidP="00044F4C">
      <w:r w:rsidRPr="00BC11C5">
        <w:t xml:space="preserve">Biochar is a solid, carbon-rich product that </w:t>
      </w:r>
      <w:r w:rsidR="003D5829" w:rsidRPr="00BC11C5">
        <w:t>is similar</w:t>
      </w:r>
      <w:r w:rsidRPr="00BC11C5">
        <w:t xml:space="preserve"> to charcoal. It is </w:t>
      </w:r>
      <w:r w:rsidR="003D5829" w:rsidRPr="00BC11C5">
        <w:t>most commonly</w:t>
      </w:r>
      <w:r w:rsidRPr="00BC11C5">
        <w:t xml:space="preserve"> produced by pyrolysis, wherein biomass or other feedstocks are thermally decomp</w:t>
      </w:r>
      <w:r w:rsidR="003D5829" w:rsidRPr="00BC11C5">
        <w:t xml:space="preserve">osed in a low-oxygen </w:t>
      </w:r>
      <w:r w:rsidR="00307C17" w:rsidRPr="00BC11C5">
        <w:t>environment. Along with biochar</w:t>
      </w:r>
      <w:r w:rsidR="003D5829" w:rsidRPr="00BC11C5">
        <w:t xml:space="preserve"> </w:t>
      </w:r>
      <w:r w:rsidR="00DC009E">
        <w:t>pyrolysis</w:t>
      </w:r>
      <w:r w:rsidR="003D5829" w:rsidRPr="00BC11C5">
        <w:t xml:space="preserve"> </w:t>
      </w:r>
      <w:r w:rsidR="004B07AF">
        <w:t>produces</w:t>
      </w:r>
      <w:r w:rsidR="003D5829" w:rsidRPr="00BC11C5">
        <w:t xml:space="preserve"> gases and liquids, with the </w:t>
      </w:r>
      <w:r w:rsidR="00AF183D" w:rsidRPr="00BC11C5">
        <w:t xml:space="preserve">yields of </w:t>
      </w:r>
      <w:r w:rsidR="003D5829" w:rsidRPr="00BC11C5">
        <w:t>all three products approximately evenly split, depending on the</w:t>
      </w:r>
      <w:r w:rsidR="00DC009E">
        <w:t xml:space="preserve"> process</w:t>
      </w:r>
      <w:r w:rsidR="003D5829" w:rsidRPr="00BC11C5">
        <w:t xml:space="preserve"> parameters </w:t>
      </w:r>
      <w:r w:rsidR="003D5829" w:rsidRPr="00BC11C5">
        <w:fldChar w:fldCharType="begin"/>
      </w:r>
      <w:r w:rsidR="006034EA">
        <w:instrText xml:space="preserve"> ADDIN ZOTERO_ITEM CSL_CITATION {"citationID":"qxuB107s","properties":{"formattedCitation":"(K. G. Roberts et al., 2010)","plainCitation":"(K. G. Roberts et al., 2010)","noteIndex":0},"citationItems":[{"id":1232,"uris":["http://zotero.org/users/7422708/items/IQ3CHY33"],"uri":["http://zotero.org/users/7422708/items/IQ3CHY33"],"itemData":{"id":1232,"type":"article-journal","container-title":"Environmental Science &amp; Technology","DOI":"10.1021/es902266r","ISSN":"0013-936X, 1520-5851","issue":"2","journalAbbreviation":"Environ. Sci. Technol.","language":"en","page":"827-833","source":"DOI.org (Crossref)","title":"Life Cycle Assessment of Biochar Systems: Estimating the Energetic, Economic, and Climate Change Potential","title-short":"Life Cycle Assessment of Biochar Systems","volume":"44","author":[{"family":"Roberts","given":"Kelli G."},{"family":"Gloy","given":"Brent A."},{"family":"Joseph","given":"Stephen"},{"family":"Scott","given":"Norman R."},{"family":"Lehmann","given":"Johannes"}],"issued":{"date-parts":[["2010",1,15]]}}}],"schema":"https://github.com/citation-style-language/schema/raw/master/csl-citation.json"} </w:instrText>
      </w:r>
      <w:r w:rsidR="003D5829" w:rsidRPr="00BC11C5">
        <w:fldChar w:fldCharType="separate"/>
      </w:r>
      <w:r w:rsidR="006034EA" w:rsidRPr="006034EA">
        <w:rPr>
          <w:rFonts w:cs="Times New Roman"/>
        </w:rPr>
        <w:t>(K. G. Roberts et al., 2010)</w:t>
      </w:r>
      <w:r w:rsidR="003D5829" w:rsidRPr="00BC11C5">
        <w:fldChar w:fldCharType="end"/>
      </w:r>
      <w:r w:rsidR="003D5829" w:rsidRPr="00BC11C5">
        <w:t xml:space="preserve">. </w:t>
      </w:r>
      <w:r w:rsidR="005059B5" w:rsidRPr="00BC11C5">
        <w:t xml:space="preserve">A significant portion of the carbon in biochar is typically stable and resistant to degradation </w:t>
      </w:r>
      <w:r w:rsidR="005059B5" w:rsidRPr="00BC11C5">
        <w:fldChar w:fldCharType="begin"/>
      </w:r>
      <w:r w:rsidR="005059B5" w:rsidRPr="00BC11C5">
        <w:instrText xml:space="preserve"> ADDIN ZOTERO_ITEM CSL_CITATION {"citationID":"nCfJn9VL","properties":{"formattedCitation":"(Wang et al., 2016)","plainCitation":"(Wang et al., 2016)","noteIndex":0},"citationItems":[{"id":1267,"uris":["http://zotero.org/users/7422708/items/PTNPI9NU"],"uri":["http://zotero.org/users/7422708/items/PTNPI9NU"],"itemData":{"id":1267,"type":"article-journal","abstract":"The stability and decomposition of biochar are fundamental to understand its persistence in soil, its contribution to carbon (C) sequestration, and thus its role in the global C cycle. Our current knowledge about the degradability of biochar, however, is limited. Using 128 observations of biochar-derived CO2 from 24 studies with stable (13C) and radioactive (14C) carbon isotopes, we meta-analyzed the biochar decomposition in soil and estimated its mean residence time (MRT). The decomposed amount of biochar increased logarithmically with experimental duration, and the decomposition rate decreased with time. The biochar decomposition rate varied signiﬁcantly with experimental duration, feedstock, pyrolysis temperature, and soil clay content. The MRTs of labile and recalcitrant biochar C pools were estimated to be about 108 days and 556 years with pool sizes of 3% and 97%, respectively. These results show that only a small part of biochar is bioavailable and that the remaining 97% contribute directly to long-term C sequestration in soil. The second database (116 observations from 21 studies) was used to evaluate the priming effects after biochar addition. Biochar slightly retarded the mineralization of soil organic matter (SOM; overall mean: À3.8%, 95% CI = À8.1–0.8%) compared to the soil without biochar addition. Signiﬁcant negative priming was common for studies with a duration shorter than half a year (À8.6%), crop-derived biochar (À20.3%), fast pyrolysis (À18.9%), the lowest pyrolysis temperature (À18.5%), and small application amounts (À11.9%). In contrast, biochar addition to sandy soils strongly stimulated SOM mineralization by 20.8%. This indicates that biochar stimulates microbial activities especially in soils with low fertility. Furthermore, abiotic and biotic processes, as well as the characteristics of biochar and soils, affecting biochar decomposition are discussed. We conclude that biochar can persist in soils on a centennial scale and that it has a positive effect on SOM dynamics and thus on C sequestration.","container-title":"GCB Bioenergy","DOI":"10.1111/gcbb.12266","ISSN":"1757-1693, 1757-1707","issue":"3","journalAbbreviation":"GCB Bioenergy","language":"en","page":"512-523","source":"DOI.org (Crossref)","title":"Biochar stability in soil: meta‐analysis of decomposition and priming effects","title-short":"Biochar stability in soil","volume":"8","author":[{"family":"Wang","given":"Jinyang"},{"family":"Xiong","given":"Zhengqin"},{"family":"Kuzyakov","given":"Yakov"}],"issued":{"date-parts":[["2016",5]]}}}],"schema":"https://github.com/citation-style-language/schema/raw/master/csl-citation.json"} </w:instrText>
      </w:r>
      <w:r w:rsidR="005059B5" w:rsidRPr="00BC11C5">
        <w:fldChar w:fldCharType="separate"/>
      </w:r>
      <w:r w:rsidR="005059B5" w:rsidRPr="00BC11C5">
        <w:rPr>
          <w:rFonts w:cs="Times New Roman"/>
        </w:rPr>
        <w:t>(Wang et al., 2016)</w:t>
      </w:r>
      <w:r w:rsidR="005059B5" w:rsidRPr="00BC11C5">
        <w:fldChar w:fldCharType="end"/>
      </w:r>
      <w:r w:rsidR="005059B5" w:rsidRPr="00BC11C5">
        <w:t xml:space="preserve">. The resulting difference in decomposition between biochar and non-charred </w:t>
      </w:r>
      <w:r w:rsidR="00DC009E">
        <w:t xml:space="preserve">biogenic </w:t>
      </w:r>
      <w:r w:rsidR="005059B5" w:rsidRPr="00BC11C5">
        <w:t xml:space="preserve">feedstock can therefore result in net carbon sequestration on time-scales long enough to be significant for climate change mitigation. </w:t>
      </w:r>
      <w:r w:rsidR="003D5829" w:rsidRPr="00BC11C5">
        <w:t>T</w:t>
      </w:r>
      <w:r w:rsidRPr="00BC11C5">
        <w:t>h</w:t>
      </w:r>
      <w:r w:rsidR="005059B5" w:rsidRPr="00BC11C5">
        <w:t xml:space="preserve">e gases and liquids co-produced with biochar </w:t>
      </w:r>
      <w:r w:rsidR="003D5829" w:rsidRPr="00BC11C5">
        <w:t xml:space="preserve">can be </w:t>
      </w:r>
      <w:r w:rsidR="005059B5" w:rsidRPr="00BC11C5">
        <w:t xml:space="preserve">used on- or off-site as fuels. </w:t>
      </w:r>
    </w:p>
    <w:p w14:paraId="69600FBD" w14:textId="761C46CE" w:rsidR="00044F4C" w:rsidRPr="00BC11C5" w:rsidRDefault="00044F4C" w:rsidP="00B35F7B">
      <w:r w:rsidRPr="00BC11C5">
        <w:t>Biochar has found use in many applications. It is most prominently produced for use as a</w:t>
      </w:r>
      <w:r w:rsidR="00307C17" w:rsidRPr="00BC11C5">
        <w:t xml:space="preserve"> soil amendment. While biochar</w:t>
      </w:r>
      <w:r w:rsidRPr="00BC11C5">
        <w:t xml:space="preserve"> is a recently developed term, the use of charcoal as a soil amendment has been in place for a very long time, and some portio</w:t>
      </w:r>
      <w:r w:rsidR="00AF183D" w:rsidRPr="00BC11C5">
        <w:t xml:space="preserve">n of the carbon in many </w:t>
      </w:r>
      <w:r w:rsidRPr="00BC11C5">
        <w:t xml:space="preserve">soils was produced in </w:t>
      </w:r>
      <w:r w:rsidR="00AF183D" w:rsidRPr="00BC11C5">
        <w:t xml:space="preserve">natural </w:t>
      </w:r>
      <w:r w:rsidRPr="00BC11C5">
        <w:t>fire events and has similar properties</w:t>
      </w:r>
      <w:r w:rsidR="00B35F7B" w:rsidRPr="00BC11C5">
        <w:t xml:space="preserve"> </w:t>
      </w:r>
      <w:r w:rsidR="00A55E3F">
        <w:fldChar w:fldCharType="begin"/>
      </w:r>
      <w:r w:rsidR="00A55E3F">
        <w:instrText xml:space="preserve"> ADDIN ZOTERO_ITEM CSL_CITATION {"citationID":"qbzMTiav","properties":{"formattedCitation":"(Lehmann &amp; Joseph, 2015)","plainCitation":"(Lehmann &amp; Joseph, 2015)","noteIndex":0},"citationItems":[{"id":1382,"uris":["http://zotero.org/users/7422708/items/SMVPDXRR"],"uri":["http://zotero.org/users/7422708/items/SMVPDXRR"],"itemData":{"id":1382,"type":"book","edition":"Second","ISBN":"978-0-415-70415-1","publisher":"Routledge","title":"Biochar for Environmental Management: Science, Technology, and Implementation","author":[{"family":"Lehmann","given":"Johannes"},{"family":"Joseph","given":"Stephen"}],"issued":{"date-parts":[["2015"]]}}}],"schema":"https://github.com/citation-style-language/schema/raw/master/csl-citation.json"} </w:instrText>
      </w:r>
      <w:r w:rsidR="00A55E3F">
        <w:fldChar w:fldCharType="separate"/>
      </w:r>
      <w:r w:rsidR="00A55E3F" w:rsidRPr="00A55E3F">
        <w:rPr>
          <w:rFonts w:cs="Times New Roman"/>
        </w:rPr>
        <w:t>(Lehmann &amp; Joseph, 2015)</w:t>
      </w:r>
      <w:r w:rsidR="00A55E3F">
        <w:fldChar w:fldCharType="end"/>
      </w:r>
      <w:r w:rsidR="00A55E3F">
        <w:t>.</w:t>
      </w:r>
      <w:r w:rsidRPr="00BC11C5">
        <w:t xml:space="preserve"> Biochar differs from charcoal, though, in that it is generally considered to be a material that is produced with the intention of</w:t>
      </w:r>
      <w:r w:rsidR="00B35F7B" w:rsidRPr="00BC11C5">
        <w:t xml:space="preserve"> being used as a soil amendment</w:t>
      </w:r>
      <w:r w:rsidRPr="00BC11C5">
        <w:t xml:space="preserve">, or more recently, as other products. </w:t>
      </w:r>
    </w:p>
    <w:p w14:paraId="7220D4DF" w14:textId="49C8267F" w:rsidR="00044F4C" w:rsidRPr="00BC11C5" w:rsidRDefault="00044F4C" w:rsidP="00044F4C">
      <w:r w:rsidRPr="00BC11C5">
        <w:t>Additional applications for biochar are emerging. Given that biochar can be generated from pyrolysis of low-quality feedstocks, this process may find wider use as a waste disposal solution for municipal sewage sludge, forest residues, or other wastes (Agrafioti et al., 2013; Campbell et al., 2018; Keske et al., 2020; Sessions et al., 2019). The biochar product can in turn abate odors and stabilize environmental pollutants whe</w:t>
      </w:r>
      <w:r w:rsidR="00A55E3F">
        <w:t>n applied back to wastes</w:t>
      </w:r>
      <w:r w:rsidRPr="00BC11C5">
        <w:t xml:space="preserve"> such as sewage sludge and manure (Gunarathne et al., 2019). Biochar further has been used as a livestock feed supplement with the potential for reduced methane emissions and increased soil nutrient retention from manuring (Joseph et al., 2015; Schmidt et al., 2019).</w:t>
      </w:r>
      <w:r w:rsidR="0021478F" w:rsidRPr="00BC11C5">
        <w:t xml:space="preserve"> </w:t>
      </w:r>
    </w:p>
    <w:p w14:paraId="55EEF65E" w14:textId="551E1DE1" w:rsidR="007F3606" w:rsidRPr="00BC11C5" w:rsidRDefault="00044F4C" w:rsidP="00044F4C">
      <w:r w:rsidRPr="00BC11C5">
        <w:t>In the</w:t>
      </w:r>
      <w:r w:rsidR="00A55E3F">
        <w:t xml:space="preserve"> context of drawdown and </w:t>
      </w:r>
      <w:r w:rsidRPr="00BC11C5">
        <w:t>climate change, the most meaningful attribute of bioc</w:t>
      </w:r>
      <w:r w:rsidR="00C747EA" w:rsidRPr="00BC11C5">
        <w:t>har production is carbon sequestration</w:t>
      </w:r>
      <w:r w:rsidRPr="00BC11C5">
        <w:t xml:space="preserve">. </w:t>
      </w:r>
      <w:r w:rsidR="003C4730" w:rsidRPr="00BC11C5">
        <w:t xml:space="preserve">The recalcitrant </w:t>
      </w:r>
      <w:r w:rsidR="00233782">
        <w:t xml:space="preserve">carbon </w:t>
      </w:r>
      <w:r w:rsidR="003C4730" w:rsidRPr="00BC11C5">
        <w:t xml:space="preserve">portion of biochar carbon can remain intact for somewhere on the order of decades or centuries </w:t>
      </w:r>
      <w:r w:rsidR="003C4730" w:rsidRPr="00BC11C5">
        <w:fldChar w:fldCharType="begin"/>
      </w:r>
      <w:r w:rsidR="003C4730" w:rsidRPr="00BC11C5">
        <w:instrText xml:space="preserve"> ADDIN ZOTERO_ITEM CSL_CITATION {"citationID":"0M16V0kw","properties":{"formattedCitation":"(Woolf et al., 2018)","plainCitation":"(Woolf et al., 2018)","noteIndex":0},"citationItems":[{"id":1269,"uris":["http://zotero.org/users/7422708/items/TUG9QXJR"],"uri":["http://zotero.org/users/7422708/items/TUG9QXJR"],"itemData":{"id":1269,"type":"chapter","container-title":"Soil and Climate","edition":"1","event-place":"Boca Raton, FL : CRC Press, Taylor &amp; Francis Group, 2018. | Series: Advances in soil science","ISBN":"978-0-429-48726-2","language":"en","note":"DOI: 10.1201/b21225-8","page":"219-248","publisher":"CRC Press","publisher-place":"Boca Raton, FL : CRC Press, Taylor &amp; Francis Group, 2018. | Series: Advances in soil science","source":"DOI.org (Crossref)","title":"Biochar for Climate Change Mitigation","URL":"https://www.taylorfrancis.com/books/9780429945458/chapters/10.1201/b21225-8","editor":[{"family":"Lal","given":"Rattan"},{"family":"Stewart","given":"B. A."}],"author":[{"family":"Woolf","given":"Dominic"},{"family":"Lehmann","given":"Johannes"},{"family":"Cowie","given":"Annette"},{"family":"Cayuela","given":"Maria Luz"},{"family":"Whitman","given":"Thea"},{"family":"Sohi","given":"Saran"}],"accessed":{"date-parts":[["2021",2,4]]},"issued":{"date-parts":[["2018",9,3]]}}}],"schema":"https://github.com/citation-style-language/schema/raw/master/csl-citation.json"} </w:instrText>
      </w:r>
      <w:r w:rsidR="003C4730" w:rsidRPr="00BC11C5">
        <w:fldChar w:fldCharType="separate"/>
      </w:r>
      <w:r w:rsidR="003C4730" w:rsidRPr="00BC11C5">
        <w:rPr>
          <w:rFonts w:cs="Times New Roman"/>
        </w:rPr>
        <w:t>(Woolf et al., 2018)</w:t>
      </w:r>
      <w:r w:rsidR="003C4730" w:rsidRPr="00BC11C5">
        <w:fldChar w:fldCharType="end"/>
      </w:r>
      <w:r w:rsidR="00C747EA" w:rsidRPr="00BC11C5">
        <w:t>, whereas untreated biomass decompose</w:t>
      </w:r>
      <w:r w:rsidR="00307C17" w:rsidRPr="00BC11C5">
        <w:t>s</w:t>
      </w:r>
      <w:r w:rsidR="00C747EA" w:rsidRPr="00BC11C5">
        <w:t xml:space="preserve"> more rapidly and re-emit</w:t>
      </w:r>
      <w:r w:rsidR="00307C17" w:rsidRPr="00BC11C5">
        <w:t>s</w:t>
      </w:r>
      <w:r w:rsidR="00C747EA" w:rsidRPr="00BC11C5">
        <w:t xml:space="preserve"> its photosynthetic</w:t>
      </w:r>
      <w:r w:rsidR="00307C17" w:rsidRPr="00BC11C5">
        <w:t>ally-captured</w:t>
      </w:r>
      <w:r w:rsidR="00C747EA" w:rsidRPr="00BC11C5">
        <w:t xml:space="preserve"> carbon. This difference in </w:t>
      </w:r>
      <w:r w:rsidR="00B95D06" w:rsidRPr="00BC11C5">
        <w:t xml:space="preserve">carbon </w:t>
      </w:r>
      <w:r w:rsidR="00B63D47" w:rsidRPr="00BC11C5">
        <w:t xml:space="preserve">fates gives rise to sequestration </w:t>
      </w:r>
      <w:r w:rsidR="00B95D06" w:rsidRPr="00BC11C5">
        <w:t>with sufficient durability to be significant in current efforts to limit global war</w:t>
      </w:r>
      <w:r w:rsidR="00A55E3F">
        <w:t>ming. In addition to this</w:t>
      </w:r>
      <w:r w:rsidR="00B95D06" w:rsidRPr="00BC11C5">
        <w:t xml:space="preserve"> sequestration effect, biochar </w:t>
      </w:r>
      <w:r w:rsidR="00A55E3F">
        <w:t xml:space="preserve">production </w:t>
      </w:r>
      <w:r w:rsidR="00B95D06" w:rsidRPr="00BC11C5">
        <w:t xml:space="preserve">may further </w:t>
      </w:r>
      <w:r w:rsidR="00B63D47" w:rsidRPr="00BC11C5">
        <w:t xml:space="preserve">indirectly </w:t>
      </w:r>
      <w:r w:rsidR="00B95D06" w:rsidRPr="00BC11C5">
        <w:t>reduce emissions</w:t>
      </w:r>
      <w:r w:rsidR="00A55E3F">
        <w:t xml:space="preserve">. </w:t>
      </w:r>
      <w:r w:rsidR="00233782">
        <w:t>Biochar p</w:t>
      </w:r>
      <w:r w:rsidR="00A55E3F">
        <w:t xml:space="preserve">yrolysis can </w:t>
      </w:r>
      <w:r w:rsidR="00B95D06" w:rsidRPr="00BC11C5">
        <w:t>di</w:t>
      </w:r>
      <w:r w:rsidR="00A55E3F">
        <w:t>splace</w:t>
      </w:r>
      <w:r w:rsidR="00B95D06" w:rsidRPr="00BC11C5">
        <w:t xml:space="preserve"> fossil fuel </w:t>
      </w:r>
      <w:r w:rsidR="00233782">
        <w:t xml:space="preserve">use and fertilizer consumption </w:t>
      </w:r>
      <w:r w:rsidR="00233782">
        <w:fldChar w:fldCharType="begin"/>
      </w:r>
      <w:r w:rsidR="006034EA">
        <w:instrText xml:space="preserve"> ADDIN ZOTERO_ITEM CSL_CITATION {"citationID":"GgzLudSP","properties":{"formattedCitation":"(K. G. Roberts et al., 2010)","plainCitation":"(K. G. Roberts et al., 2010)","noteIndex":0},"citationItems":[{"id":1232,"uris":["http://zotero.org/users/7422708/items/IQ3CHY33"],"uri":["http://zotero.org/users/7422708/items/IQ3CHY33"],"itemData":{"id":1232,"type":"article-journal","container-title":"Environmental Science &amp; Technology","DOI":"10.1021/es902266r","ISSN":"0013-936X, 1520-5851","issue":"2","journalAbbreviation":"Environ. Sci. Technol.","language":"en","page":"827-833","source":"DOI.org (Crossref)","title":"Life Cycle Assessment of Biochar Systems: Estimating the Energetic, Economic, and Climate Change Potential","title-short":"Life Cycle Assessment of Biochar Systems","volume":"44","author":[{"family":"Roberts","given":"Kelli G."},{"family":"Gloy","given":"Brent A."},{"family":"Joseph","given":"Stephen"},{"family":"Scott","given":"Norman R."},{"family":"Lehmann","given":"Johannes"}],"issued":{"date-parts":[["2010",1,15]]}}}],"schema":"https://github.com/citation-style-language/schema/raw/master/csl-citation.json"} </w:instrText>
      </w:r>
      <w:r w:rsidR="00233782">
        <w:fldChar w:fldCharType="separate"/>
      </w:r>
      <w:r w:rsidR="006034EA" w:rsidRPr="006034EA">
        <w:rPr>
          <w:rFonts w:cs="Times New Roman"/>
        </w:rPr>
        <w:t>(K. G. Roberts et al., 2010)</w:t>
      </w:r>
      <w:r w:rsidR="00233782">
        <w:fldChar w:fldCharType="end"/>
      </w:r>
      <w:r w:rsidR="00233782">
        <w:t xml:space="preserve">. </w:t>
      </w:r>
      <w:r w:rsidR="00AF183D" w:rsidRPr="00BC11C5">
        <w:t xml:space="preserve">When </w:t>
      </w:r>
      <w:r w:rsidR="00AF183D" w:rsidRPr="00BC11C5">
        <w:lastRenderedPageBreak/>
        <w:t>incorporated in soils there are also</w:t>
      </w:r>
      <w:r w:rsidR="00B63D47" w:rsidRPr="00BC11C5">
        <w:t xml:space="preserve"> potential</w:t>
      </w:r>
      <w:r w:rsidR="00AF183D" w:rsidRPr="00BC11C5">
        <w:t xml:space="preserve"> improvements to native soil carbon retention</w:t>
      </w:r>
      <w:r w:rsidR="00B63D47" w:rsidRPr="00BC11C5">
        <w:t xml:space="preserve"> </w:t>
      </w:r>
      <w:r w:rsidR="00B63D47" w:rsidRPr="00BC11C5">
        <w:fldChar w:fldCharType="begin"/>
      </w:r>
      <w:r w:rsidR="00B63D47" w:rsidRPr="00BC11C5">
        <w:instrText xml:space="preserve"> ADDIN ZOTERO_ITEM CSL_CITATION {"citationID":"xu5Cw9Fb","properties":{"formattedCitation":"(Blanco\\uc0\\u8208{}Canqui et al., 2020)","plainCitation":"(Blanco‐Canqui et al., 2020)","noteIndex":0},"citationItems":[{"id":1359,"uris":["http://zotero.org/users/7422708/items/ERFUCLSG"],"uri":["http://zotero.org/users/7422708/items/ERFUCLSG"],"itemData":{"id":1359,"type":"article-journal","abstract":"Applying biochar to agricultural soils has been proposed as a means of sequestering carbon (C) while simultaneously enhancing soil health and agricultural sustainability. However, our understanding of the long-term effects of biochar and annual versus perennial cropping systems and their interactions on soil properties under field conditions is limited. We quantified changes in soil C concentration and stocks, and other soil properties 6 years after biochar applications to corn (Zea mays L.) and dedicated bioenergy crops on a Midwestern US soil. Treatments were as follows: no-till continuous corn, Liberty switchgrass (Panicum virgatum L.), and lowdiversity prairie grasses, 45% big bluestem (Andropogon gerardii), 45% Indiangrass (Sorghastrum nutans), and 10% sideoats grama (Bouteloua curtipendula), as main plots, and wood biochar (9.3 Mg/ha with 63% total C) and no biochar applications as subplots. Biochar-amended plots accumulated more C (14.07 Mg soil C/ha vs. 2.25 Mg soil C/ha) than non-biochar-amended plots in the 0–30 cm soil depth but other soil properties were not significantly affected by the biochar amendments. The total increase in C stocks in the biochar-amended plots was nearly twice (14.07 Mg soil C/ha) the amount of C added with biochar 6 years earlier (7.25 Mg biochar C/ha), suggesting a negative priming effect of biochar on formation and/or mineralization of native soil organic C. Dedicated bioenergy crops increased soil C concentration by 79% and improved both aggregation and plant available water in the 0–5 cm soil depth. Biochar did not interact with the cropping systems. Overall, biochar has the potential to increase soil C stocks both directly and through negative priming, but, in this study, it had limited effects on other soil properties after 6 years.","container-title":"GCB Bioenergy","DOI":"10.1111/gcbb.12665","ISSN":"1757-1693, 1757-1707","issue":"4","journalAbbreviation":"GCB Bioenergy","language":"en","page":"240-251","source":"DOI.org (Crossref)","title":"Soil carbon increased by twice the amount of biochar carbon applied after 6 years: Field evidence of negative priming","title-short":"Soil carbon increased by twice the amount of biochar carbon applied after 6 years","volume":"12","author":[{"family":"Blanco‐Canqui","given":"Humberto"},{"family":"Laird","given":"David A."},{"family":"Heaton","given":"Emily A."},{"family":"Rathke","given":"Samuel"},{"family":"Acharya","given":"Bharat Sharma"}],"issued":{"date-parts":[["2020",4]]}}}],"schema":"https://github.com/citation-style-language/schema/raw/master/csl-citation.json"} </w:instrText>
      </w:r>
      <w:r w:rsidR="00B63D47" w:rsidRPr="00BC11C5">
        <w:fldChar w:fldCharType="separate"/>
      </w:r>
      <w:r w:rsidR="00B63D47" w:rsidRPr="00BC11C5">
        <w:rPr>
          <w:rFonts w:cs="Times New Roman"/>
          <w:szCs w:val="24"/>
        </w:rPr>
        <w:t>(Blanco‐Canqui et al., 2020)</w:t>
      </w:r>
      <w:r w:rsidR="00B63D47" w:rsidRPr="00BC11C5">
        <w:fldChar w:fldCharType="end"/>
      </w:r>
      <w:r w:rsidR="00B63D47" w:rsidRPr="00BC11C5">
        <w:t>, water retention, crop yields, and other attributes;</w:t>
      </w:r>
      <w:r w:rsidR="00AF183D" w:rsidRPr="00BC11C5">
        <w:t xml:space="preserve"> </w:t>
      </w:r>
      <w:r w:rsidR="00B63D47" w:rsidRPr="00BC11C5">
        <w:t>h</w:t>
      </w:r>
      <w:r w:rsidR="00233782">
        <w:t>owever, these effects are</w:t>
      </w:r>
      <w:r w:rsidR="00E73E10" w:rsidRPr="00BC11C5">
        <w:t xml:space="preserve"> application-specific (Woolf et al., 2018) and significant knowledge gaps remain (Amonette et al., 2021). </w:t>
      </w:r>
    </w:p>
    <w:p w14:paraId="14A78A82" w14:textId="441F0D99" w:rsidR="00EB0903" w:rsidRDefault="007F3606" w:rsidP="00EB0903">
      <w:r w:rsidRPr="00BC11C5">
        <w:t>Biochar production at the global level has been analyzed alongside other processes as a means of carbon dioxide removal (CDR)</w:t>
      </w:r>
      <w:r w:rsidRPr="00BC11C5">
        <w:fldChar w:fldCharType="begin"/>
      </w:r>
      <w:r w:rsidR="004F1E38">
        <w:instrText xml:space="preserve"> ADDIN ZOTERO_ITEM CSL_CITATION {"citationID":"uM3aNgz4","properties":{"formattedCitation":"(Bossio et al., 2020; Fawzy et al., 2021; Paustian et al., 2016; Smith, 2016)","plainCitation":"(Bossio et al., 2020; Fawzy et al., 2021; Paustian et al., 2016; Smith, 2016)","noteIndex":0},"citationItems":[{"id":1390,"uris":["http://zotero.org/users/7422708/items/KUYSQJ5L"],"uri":["http://zotero.org/users/7422708/items/KUYSQJ5L"],"itemData":{"id":1390,"type":"article-journal","container-title":"Nature Sustainability","DOI":"10.1038/s41893-020-0491-z","ISSN":"2398-9629","issue":"5","journalAbbreviation":"Nat Sustain","language":"en","page":"391-398","source":"DOI.org (Crossref)","title":"The role of soil carbon in natural climate solutions","volume":"3","author":[{"family":"Bossio","given":"D. A."},{"family":"Cook-Patton","given":"S. C."},{"family":"Ellis","given":"P. W."},{"family":"Fargione","given":"J."},{"family":"Sanderman","given":"J."},{"family":"Smith","given":"P."},{"family":"Wood","given":"S."},{"family":"Zomer","given":"R. J."},{"family":"Unger","given":"M.","non-dropping-particle":"von"},{"family":"Emmer","given":"I. M."},{"family":"Griscom","given":"B. W."}],"issued":{"date-parts":[["2020",5]]}}},{"id":1410,"uris":["http://zotero.org/users/7422708/items/5JMAEI5Z"],"uri":["http://zotero.org/users/7422708/items/5JMAEI5Z"],"itemData":{"id":1410,"type":"article-journal","abstract":"In the context of climate change, there is an urgent need for rapid and efficient methods to capture and sequester carbon from the atmosphere. For instance, production, use and storage of biochar are highly carbon negative, resulting in an estimated sequestration of 0.3–2 Gt ­CO2 ­year−1 by 2050. Yet, biochar production requires more knowledge on feedstocks, thermochemical conversion and end applications. Herein, we review the design and development of biochar systems, and we investigate the carbon removal industry. Carbon removal efforts are currently promoted via the voluntary market. The major commercialized technologies for offering atmospheric carbon removal are forestation, direct air carbon capture utilization and storage, soil carbon sequestration, wooden building elements and biochar, with corresponding fees ranging from 10 to 895 GBP (British pounds) per ton C­ O2. Biochar fees range from 52 to 131 GBP per ton C­ O2, which indicates that biochar production is a realistic strategy that can be deployed at large scale. Carbon removal services via biochar are currently offered through robust marketplaces that require extensive certification, verification and monitoring, which adds an element of credibility and authenticity. Biochar eligibility is highly dependent on the type of feedstock utilized and processing conditions employed. Process optimization is imperative to produce an end product that meets application-specific requirements, environmental regulations and achieve ultimate stability for carbon sequestration purposes.","container-title":"Environmental Chemistry Letters","DOI":"10.1007/s10311-021-01210-1","ISSN":"1610-3653, 1610-3661","journalAbbreviation":"Environ Chem Lett","language":"en","source":"DOI.org (Crossref)","title":"Industrial biochar systems for atmospheric carbon removal: a review","title-short":"Industrial biochar systems for atmospheric carbon removal","URL":"http://link.springer.com/10.1007/s10311-021-01210-1","author":[{"family":"Fawzy","given":"Samer"},{"family":"Osm</w:instrText>
      </w:r>
      <w:r w:rsidR="004F1E38" w:rsidRPr="00863C91">
        <w:rPr>
          <w:lang w:val="fr-FR"/>
        </w:rPr>
        <w:instrText>an","given":"Ah</w:instrText>
      </w:r>
      <w:r w:rsidR="004F1E38" w:rsidRPr="004F1E38">
        <w:rPr>
          <w:lang w:val="fr-FR"/>
        </w:rPr>
        <w:instrText xml:space="preserve">med I."},{"family":"Yang","given":"Haiping"},{"family":"Doran","given":"John"},{"family":"Rooney","given":"David W."}],"accessed":{"date-parts":[["2021",3,18]]},"issued":{"date-parts":[["2021",3,11]]}}},{"id":1230,"uris":["http://zotero.org/users/7422708/items/VMLLYT72"],"uri":["http://zotero.org/users/7422708/items/VMLLYT72"],"itemData":{"id":1230,"type":"article-journal","container-title":"Nature","DOI":"10.1038/nature17174","ISSN":"0028-0836, 1476-4687","issue":"7597","journalAbbreviation":"Nature","language":"en","page":"49-57","source":"DOI.org (Crossref)","title":"Climate-smart soils","volume":"532","author":[{"family":"Paustian","given":"Keith"},{"family":"Lehmann","given":"Johannes"},{"family":"Ogle","given":"Stephen"},{"family":"Reay","given":"David"},{"family":"Robertson","given":"G. Philip"},{"family":"Smith","given":"Pete"}],"issued":{"date-parts":[["2016",4]]}}},{"id":824,"uris":["http://zotero.org/users/7422708/items/QFGVWG97"],"uri":["http://zotero.org/users/7422708/items/QFGVWG97"],"itemData":{"id":824,"type":"article-journal","container-title":"Global Change Biology","DOI":"10.1111/gcb.13178","ISSN":"13541013","issue":"3","language":"en","page":"1315-1324","source":"Crossref","title":"Soil carbon sequestration and biochar as negative emission technologies","volume":"22","author":[{"family":"Smith","given":"Pete"}],"issued":{"date-parts":[["2016",3]]}}}],"schema":"https://github.com/citation-style-language/schema/raw/master/csl-citation.json"} </w:instrText>
      </w:r>
      <w:r w:rsidRPr="00BC11C5">
        <w:fldChar w:fldCharType="separate"/>
      </w:r>
      <w:r w:rsidR="004F1E38" w:rsidRPr="004F1E38">
        <w:rPr>
          <w:rFonts w:cs="Times New Roman"/>
          <w:lang w:val="fr-FR"/>
        </w:rPr>
        <w:t>(Bossio et al., 2020; Fawzy et al., 2021; Paustian et al., 2016; Smith, 2016)</w:t>
      </w:r>
      <w:r w:rsidRPr="00BC11C5">
        <w:fldChar w:fldCharType="end"/>
      </w:r>
      <w:r w:rsidRPr="004F1E38">
        <w:rPr>
          <w:lang w:val="fr-FR"/>
        </w:rPr>
        <w:t xml:space="preserve">. </w:t>
      </w:r>
      <w:r w:rsidR="00044F4C" w:rsidRPr="00BC11C5">
        <w:t>A recent comprehensive review</w:t>
      </w:r>
      <w:r w:rsidRPr="00BC11C5">
        <w:t xml:space="preserve"> of CDR methods</w:t>
      </w:r>
      <w:r w:rsidR="00044F4C" w:rsidRPr="00BC11C5">
        <w:t xml:space="preserve"> identified global estimates of biochar mitigation potential</w:t>
      </w:r>
      <w:r w:rsidR="00307C17" w:rsidRPr="00BC11C5">
        <w:t xml:space="preserve"> ranging from 0.6 to 11.9 Gt CO</w:t>
      </w:r>
      <w:r w:rsidR="00307C17" w:rsidRPr="00BC11C5">
        <w:rPr>
          <w:vertAlign w:val="subscript"/>
        </w:rPr>
        <w:t>2</w:t>
      </w:r>
      <w:r w:rsidR="00044F4C" w:rsidRPr="00BC11C5">
        <w:t xml:space="preserve"> per year; however, the review authors’ own assessment is a narrower and lower range of 0.3 t</w:t>
      </w:r>
      <w:r w:rsidR="00307C17" w:rsidRPr="00BC11C5">
        <w:t>o 2 Gt CO</w:t>
      </w:r>
      <w:r w:rsidR="00307C17" w:rsidRPr="00BC11C5">
        <w:rPr>
          <w:vertAlign w:val="subscript"/>
        </w:rPr>
        <w:t>2</w:t>
      </w:r>
      <w:r w:rsidR="00B63D47" w:rsidRPr="00BC11C5">
        <w:t xml:space="preserve"> per year by 2050 </w:t>
      </w:r>
      <w:r w:rsidR="00B35F7B" w:rsidRPr="00BC11C5">
        <w:t xml:space="preserve">(Fuss et al., 2018). </w:t>
      </w:r>
      <w:r w:rsidR="00B63D47" w:rsidRPr="00BC11C5">
        <w:t xml:space="preserve">The disparity in estimates is largely due to varying assumptions about the amount of feedstock that will be available for biochar conversion. </w:t>
      </w:r>
      <w:r w:rsidR="00EB0903" w:rsidRPr="00BC11C5">
        <w:t xml:space="preserve">If future negative </w:t>
      </w:r>
      <w:r w:rsidR="00307C17" w:rsidRPr="00BC11C5">
        <w:t>emissions are to eventually be realized</w:t>
      </w:r>
      <w:r w:rsidR="00EB0903" w:rsidRPr="00BC11C5">
        <w:t xml:space="preserve"> at large scale, it is likely that biochar will be in a portfolio of various CDR measures, including both natural and engineered solutions </w:t>
      </w:r>
      <w:r w:rsidR="00EB0903" w:rsidRPr="00BC11C5">
        <w:fldChar w:fldCharType="begin"/>
      </w:r>
      <w:r w:rsidR="00EB0903" w:rsidRPr="00BC11C5">
        <w:instrText xml:space="preserve"> ADDIN ZOTERO_ITEM CSL_CITATION {"citationID":"u3qY2vx0","properties":{"formattedCitation":"(Minx et al., 2018; Rickels et al., 2019)","plainCitation":"(Minx et al., 2018; Rickels et al., 2019)","noteIndex":0},"citationItems":[{"id":1135,"uris":["http://zotero.org/users/7422708/items/SZCK8VUA"],"uri":["http://zotero.org/users/7422708/items/SZCK8VUA"],"itemData":{"id":1135,"type":"article-journal","abstract":"With the Paris Agreement’s ambition of limiting climate change to well below 2 ◦C, negative emission technologies (NETs) have moved into the limelight of discussions in climate science and policy. Despite several assessments, the current knowledge on NETs is still diffuse and incomplete, but also growing fast. Here, we synthesize a comprehensive body of NETs literature, using scientometric tools and performing an in-depth assessment of the quantitative and qualitative evidence therein. We clarify the role of NETs in climate change mitigation scenarios, their ethical implications, as well as the challenges involved in bringing the various NETs to the market and scaling them up in time. There are six major ﬁndings arising from our assessment: ﬁrst, keeping warming below 1.5 ◦C requires the large-scale deployment of NETs, but this dependency can still be kept to a minimum for the 2 ◦C warming limit. Second, accounting for economic and biophysical limits, we identify relevant potentials for all NETs except ocean fertilization. Third, any single NET is unlikely to sustainably achieve the large NETs deployment observed in many 1.5 ◦C and 2 ◦C mitigation scenarios. Yet, portfolios of multiple NETs, each deployed at modest scales, could be invaluable for reaching the climate goals. Fourth, a substantial gap exists between the upscaling and rapid diffusion of NETs implied in scenarios and progress in actual innovation and deployment. If NETs are required at the scales currently discussed, the resulting urgency of implementation is currently neither reﬂected in science nor policy. Fifth, NETs face severe barriers to implementation and are only weakly incentivized so far. Finally, we identify distinct ethical discourses relevant for NETs, but highlight the need to root them ﬁrmly in the available evidence in order to render such discussions relevant in practice.","container-title":"Environmental Research Letters","DOI":"10.1088/1748-9326/aabf9b","ISSN":"1748-9326","issue":"6","journalAbbreviation":"Environ. Res. Lett.","language":"en","page":"063001","source":"DOI.org (Crossref)","title":"Negative emissions—Part 1: Research landscape and synthesis","title-short":"Negative emissions—Part 1","volume":"13","author":[{"family":"Minx","given":"Jan C"},{"family":"Lamb","given":"William F"},{"family":"Callaghan","given":"Max W"},{"family":"Fuss","given":"Sabine"},{"family":"Hilaire","given":"Jérôme"},{"family":"Creutzig","given":"Felix"},{"family":"Amann","given":"Thorben"},{"family":"Beringer","given":"Tim"},{"family":"Oliveira Garcia","given":"Wagner","non-dropping-particle":"de"},{"family":"Hartmann","given":"Jens"},{"family":"Khanna","given":"Tarun"},{"family":"Lenzi","given":"Dominic"},{"family":"Luderer","given":"Gunnar"},{"family":"Nemet","given":"Gregory F"},{"family":"Rogelj","given":"Joeri"},{"family":"Smith","given":"Pete"},{"family":"Vicente Vicente","given":"Jose Luis"},{"family":"Wilcox","given":"Jennifer"},{"family":"Mar Zamora Dominguez","given":"Maria","non-dropping-particle":"del"}],"issued":{"date-parts":[["2018",6,1]]}}},{"id":1327,"uris":["http://zotero.org/users/7422708/items/7L3MRIR5"],"uri":["http://zotero.org/users/7422708/items/7L3MRIR5"],"itemData":{"id":1327,"type":"article-journal","container-title":"Environmental Research Letters","DOI":"10.1088/1748-9326/ab3ab4","ISSN":"1748-9326","issue":"10","journalAbbreviation":"Environ. Res. Lett.","language":"en","page":"104004","source":"DOI.org (Crossref)","title":"(Mis)conceptions about modeling of negative emissions technologies","volume":"14","author":[{"family":"Rickels","given":"Wilfried"},{"family":"Merk","given":"Christine"},{"family":"Reith","given":"Fabian"},{"family":"Keller","given":"David P"},{"family":"Oschlies","given":"Andreas"}],"issued":{"date-parts":[["2019",9,30]]}}}],"schema":"https://github.com/citation-style-language/schema/raw/master/csl-citation.json"} </w:instrText>
      </w:r>
      <w:r w:rsidR="00EB0903" w:rsidRPr="00BC11C5">
        <w:fldChar w:fldCharType="separate"/>
      </w:r>
      <w:r w:rsidR="00EB0903" w:rsidRPr="00BC11C5">
        <w:rPr>
          <w:rFonts w:cs="Times New Roman"/>
        </w:rPr>
        <w:t>(Minx et al., 2018; Rickels et al., 2019)</w:t>
      </w:r>
      <w:r w:rsidR="00EB0903" w:rsidRPr="00BC11C5">
        <w:fldChar w:fldCharType="end"/>
      </w:r>
      <w:r w:rsidR="00307C17" w:rsidRPr="00BC11C5">
        <w:t>.</w:t>
      </w:r>
      <w:r w:rsidR="00EB0903" w:rsidRPr="00BC11C5">
        <w:t xml:space="preserve"> </w:t>
      </w:r>
      <w:r w:rsidR="00307C17" w:rsidRPr="00BC11C5">
        <w:t xml:space="preserve">It is difficult to predict what role biochar production will play in this future; it may </w:t>
      </w:r>
      <w:r w:rsidR="00BF7B31">
        <w:t>benefit early on from</w:t>
      </w:r>
      <w:r w:rsidR="00307C17" w:rsidRPr="00BC11C5">
        <w:t xml:space="preserve"> being a relatively mature technology, and may simultaneously experience natural constraints from competition with other solutions such as bio</w:t>
      </w:r>
      <w:r w:rsidR="00927501">
        <w:t>-</w:t>
      </w:r>
      <w:r w:rsidR="00307C17" w:rsidRPr="00BC11C5">
        <w:t xml:space="preserve">energy with carbon capture and storage (BECCS) and afforestation and reforestation, which also require land, water, and nutrient inputs. </w:t>
      </w:r>
    </w:p>
    <w:p w14:paraId="27AEA18B" w14:textId="38EC6836" w:rsidR="004C78A8" w:rsidRDefault="004C78A8" w:rsidP="00EB0903">
      <w:r>
        <w:t>A potentially advantageous feature of biochar production is the wide range of potential production scales and co-products. Biochar lies on a spectrum of rela</w:t>
      </w:r>
      <w:r w:rsidR="00DC009E">
        <w:t>ted bioenergy and carbon sequestration</w:t>
      </w:r>
      <w:r>
        <w:t xml:space="preserve"> solutions and process variation can shift production closer to either end. </w:t>
      </w:r>
      <w:r w:rsidR="00DC009E">
        <w:t>This</w:t>
      </w:r>
      <w:r>
        <w:t xml:space="preserve"> suggest</w:t>
      </w:r>
      <w:r w:rsidR="00DC009E">
        <w:t>s</w:t>
      </w:r>
      <w:r>
        <w:t xml:space="preserve"> that biochar </w:t>
      </w:r>
      <w:r w:rsidR="0013158E">
        <w:t xml:space="preserve">with energy </w:t>
      </w:r>
      <w:r>
        <w:t>co-production may serve an important transiti</w:t>
      </w:r>
      <w:r w:rsidR="0013158E">
        <w:t xml:space="preserve">on role in the development of </w:t>
      </w:r>
      <w:r>
        <w:t>large</w:t>
      </w:r>
      <w:r w:rsidR="0013158E">
        <w:t>r</w:t>
      </w:r>
      <w:r>
        <w:t xml:space="preserve">-scale CDR methods such as BECCS </w:t>
      </w:r>
      <w:r>
        <w:fldChar w:fldCharType="begin"/>
      </w:r>
      <w:r>
        <w:instrText xml:space="preserve"> ADDIN ZOTERO_ITEM CSL_CITATION {"citationID":"QrYkFEVi","properties":{"formattedCitation":"(Woolf et al., 2014, 2016; Yang et al., 2021)","plainCitation":"(Woolf et al., 2014, 2016; Yang et al., 2021)","noteIndex":0},"citationItems":[{"id":1444,"uris":["http://zotero.org/users/7422708/items/BEFDJKRT"],"uri":["http://zotero.org/users/7422708/items/BEFDJKRT"],"itemData":{"id":1444,"type":"article-journal","abstract":"Coproduction of biofuels with biochar (the carbon-rich solid formed during biomass pyrolysis) can provide carbon-negative bioenergy if the biochar is sequestered in soil, where it can improve fertility and thus simultaneously address issues of food security, soil degradation, energy production, and climate change. However, increasing biochar production entails a reduction in bioenergy obtainable per unit biomass feedstock. Quantiﬁcation of this trade-oﬀ for speciﬁc biochar−biofuel pathways has been hampered by lack of an accurate-yet-simple model for predicting yields, product compositions, and energy balances from biomass slow pyrolysis. An empirical model of biomass slow pyrolysis was developed and applied to several pathways for biochar coproduction with gaseous and liquid biofuels. Here, we show that biochar production reduces liquid biofuel yield by at least 21 GJ Mg−1 C (biofuel energy sacriﬁced per unit mass of biochar C), with methanol synthesis giving this lowest energy penalty. For gaseous-biofuel production, the minimum energy penalty for biochar production is 33 GJ Mg−1 C. These substitution rates correspond to a wide range of Pareto-optimal system conﬁgurations, implying considerable latitude to choose pyrolysis conditions to optimize for desired biochar properties or to modulate energy versus biochar yields in response to ﬂuctuating price diﬀerentials for the two commodities.","container-title":"Environmental Science &amp; Technology","DOI":"10.1021/es500474q","ISSN":"0013-936X, 1520-5851","issue":"11","journalAbbreviation":"Environ. Sci. Technol.","language":"en","page":"6492-6499","source":"DOI.org (Crossref)","title":"Biofuels from Pyrolysis in Perspective: Trade-offs between Energy Yields and Soil-Carbon Additions","title-short":"Biofuels from Pyrolysis in Perspective","volume":"48","author":[{"family":"Woolf","given":"Dominic"},{"family":"Lehmann","given":"Johannes"},{"family":"Fisher","given":"Elizabeth M."},{"family":"Angenent","given":"Largus T."}],"issued":{"date-parts":[["2014",6,3]]}}},{"id":1394,"uris":["http://zotero.org/users/7422708/items/7LAJYHHC"],"uri":["http://zotero.org/users/7422708/items/7LAJYHHC"],"itemData":{"id":1394,"type":"article-journal","container-title":"Nature Communications","DOI":"10.1038/ncomms13160","ISSN":"2041-1723","issue":"1","journalAbbreviation":"Nat Commun","language":"en","page":"13160","source":"DOI.org (Crossref)","title":"Optimal bioenergy power generation for climate change mitigation with or without carbon sequestration","volume":"7","author":[{"family":"Woolf","given":"Dominic"},{"family":"Lehmann","given":"Johannes"},{"family":"Lee","given":"David R."}],"issued":{"date-parts":[["2016",12]]}}},{"id":1448,"uris":["http://zotero.org/users/7422708/items/HX7V9J59"],"uri":["http://zotero.org/users/7422708/items/HX7V9J59"],"itemData":{"id":1448,"type":"article-journal","abstract":"Abstract\n            \n              Recognizing that bioenergy with carbon capture and storage (BECCS) may still take years to mature, this study focuses on another photosynthesis-based, negative-carbon technology that is readier to implement in China: biomass intermediate pyrolysis poly-generation (BIPP). Here we find that a BIPP system can be profitable without subsidies, while its national deployment could contribute to a 61% reduction of carbon emissions per unit of gross domestic product in 2030 compared to 2005 and result additionally in a reduction in air pollutant emissions. With 73% of national crop residues used between 2020 and 2030, the cumulative greenhouse gas (GHG) reduction could reach up to 8620 Mt CO\n              2\n              -eq by 2050, contributing 13–31% of the global GHG emission reduction goal for BECCS, and nearly 4555 Mt more than that projected for BECCS alone in China. Thus, China’s BIPP deployment could have an important influence on achieving both national and global GHG emissions reduction targets.","container-title":"Nature Communications","DOI":"10.1038/s41467-021-21868-z","ISSN":"2041-1723","issue":"1","journalAbbreviation":"Nat Commun","language":"en","page":"1698","source":"DOI.org (Crossref)","title":"Prospective contributions of biomass pyrolysis to China’s 2050 carbon reduction and renewable energy goals","volume":"12","author":[{"family":"Yang","given":"Qing"},{"family":"Zhou","given":"Hewen"},{"family":"Bartocci","given":"Pietro"},{"family":"Fantozzi","given":"Francesco"},{"family":"Mašek","given":"Ondřej"},{"family":"Agblevor","given":"Foster A."},{"family":"Wei","given":"Zhiyu"},{"family":"Yang","given":"Haiping"},{"family":"Chen","given":"Hanping"},{"family":"Lu","given":"Xi"},{"family":"Chen","given":"Guoqian"},{"family":"Zheng","given":"Chuguang"},{"family":"Nielsen","given":"Chris P."},{"family":"McElroy","given":"Michael B."}],"issued":{"date-parts":[["2021",12]]}}}],"schema":"https://github.com/citation-style-language/schema/raw/master/csl-citation.json"} </w:instrText>
      </w:r>
      <w:r>
        <w:fldChar w:fldCharType="separate"/>
      </w:r>
      <w:r w:rsidRPr="004C78A8">
        <w:rPr>
          <w:rFonts w:cs="Times New Roman"/>
        </w:rPr>
        <w:t>(Woolf et al., 2014, 2016; Yang et al., 2021)</w:t>
      </w:r>
      <w:r>
        <w:fldChar w:fldCharType="end"/>
      </w:r>
      <w:r>
        <w:t xml:space="preserve">. Biochar can also be implemented at scales ranging from individual to industrial </w:t>
      </w:r>
      <w:r>
        <w:fldChar w:fldCharType="begin"/>
      </w:r>
      <w:r>
        <w:instrText xml:space="preserve"> ADDIN ZOTERO_ITEM CSL_CITATION {"citationID":"mgfi93pM","properties":{"formattedCitation":"(Timmons et al., 2017)","plainCitation":"(Timmons et al., 2017)","noteIndex":0},"citationItems":[{"id":1248,"uris":["http://zotero.org/users/7422708/items/KKWM6YBC"],"uri":["http://zotero.org/users/7422708/items/KKWM6YBC"],"itemData":{"id":1248,"type":"article","language":"en","publisher":"UMass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fldChar w:fldCharType="separate"/>
      </w:r>
      <w:r w:rsidRPr="004C78A8">
        <w:rPr>
          <w:rFonts w:cs="Times New Roman"/>
        </w:rPr>
        <w:t>(Timmons et al., 2017)</w:t>
      </w:r>
      <w:r>
        <w:fldChar w:fldCharType="end"/>
      </w:r>
      <w:r>
        <w:t xml:space="preserve"> and can be stationary or mobile</w:t>
      </w:r>
      <w:r w:rsidR="00F5452D">
        <w:t xml:space="preserve"> and capable of operating at remote sites at the source of feedstock</w:t>
      </w:r>
      <w:r>
        <w:t xml:space="preserve"> </w:t>
      </w:r>
      <w:r>
        <w:fldChar w:fldCharType="begin"/>
      </w:r>
      <w:r>
        <w:instrText xml:space="preserve"> ADDIN ZOTERO_ITEM CSL_CITATION {"citationID":"lt2s3u32","properties":{"formattedCitation":"(Puettmann et al., 2020)","plainCitation":"(Puettmann et al., 2020)","noteIndex":0},"citationItems":[{"id":1423,"uris":["http://zotero.org/users/7422708/items/FI3EMVUY"],"uri":["http://zotero.org/users/7422708/items/FI3EMVUY"],"itemData":{"id":1423,"type":"article-journal","abstract":"Forest ﬁres are getting extreme and more frequent because of increased fuel loads in the forest and extended dry conditions. Fuel treatment (i.e., thinning) methods to mitigate forest ﬁres will generate large volumes of forest residues together with available logging residues that can be used to produce biochar. It has been proposed that portable biochar systems are economical means to utilize forest residues as an alternative to slash burning. In this study, the environmental impacts of biochar produced from forest residues using three portable systems [1. Biochar Solutions Incorporated (BSI), 2. Oregon Kiln, and 3. Air-curtain Burner] were evaluated using a cradle-to-gate life-cycle assessment approach. Environmental impacts were analyzed considering the various quality of feedstock, biomass collection methods, different production sites, and various sources of power used in the production of biochar. The results illustrate that the global warming potential (GWP) of biochar production from forest residues through BSI, Oregon Kiln, and Air-Curtain Burner were 0.25e0.31, 0.11, and 0.16 tonne CO2eq./tonne of ﬁxed carbon in biochar respectively. Compared to pile burn, biochar production from forest residues with a portable system at the landing, reduced global warming potential (GWP) by 1.92e2.83, 2.7, and 1.9 tonnes CO2eq./tonne of biochar through BSI, Oregon Kiln, and Air-Curtain Burner respectively. The AirCurtain Burner and Oregon Kiln have minimal feedstock preparation, thus have lower environmental impacts than the BSI system. The BSI system requires feedstock preparation and power to operate the system. The use of the biomass-gasiﬁer generator improved the environmental performance substantially (16e280%) compared with a diesel generator in biochar production. Overall, the net GWP in biochar produced (0.10e1.63 tonne CO2eq./tonne of residues) from forest residues can reduce environmental impacts (2e40 times lower net CO2eq. emissions) compared to slash burning.","container-title":"Journal of Cleaner Production","DOI":"10.1016/j.jclepro.2019.119564","ISSN":"09596526","journalAbbreviation":"Journal of Cleaner Production","language":"en","page":"119564","source":"DOI.org (Crossref)","title":"Life cycle assessment of biochar produced from forest residues using portable systems","volume":"250","author":[{"family":"Puettmann","given":"Maureen"},{"family":"Sahoo","given":"Kamalakanta"},{"family":"Wilson","given":"Kelpie"},{"family":"Oneil","given":"Elaine"}],"issued":{"date-parts":[["2020",3]]}}}],"schema":"https://github.com/citation-style-language/schema/raw/master/csl-citation.json"} </w:instrText>
      </w:r>
      <w:r>
        <w:fldChar w:fldCharType="separate"/>
      </w:r>
      <w:r w:rsidRPr="004C78A8">
        <w:rPr>
          <w:rFonts w:cs="Times New Roman"/>
        </w:rPr>
        <w:t>(Puettmann et al., 2020)</w:t>
      </w:r>
      <w:r>
        <w:fldChar w:fldCharType="end"/>
      </w:r>
      <w:r>
        <w:t xml:space="preserve">. This flexibility may favor early adoption of biochar and support CDR governance as a whole, by allowing for greater inclusion and a gradual build-up of these new technologies </w:t>
      </w:r>
      <w:r>
        <w:fldChar w:fldCharType="begin"/>
      </w:r>
      <w:r>
        <w:instrText xml:space="preserve"> ADDIN ZOTERO_ITEM CSL_CITATION {"citationID":"AN9Mr6Nk","properties":{"formattedCitation":"(Bellamy &amp; Geden, 2019)","plainCitation":"(Bellamy &amp; Geden, 2019)","noteIndex":0},"citationItems":[{"id":1416,"uris":["http://zotero.org/users/7422708/items/VX8J6JZJ"],"uri":["http://zotero.org/users/7422708/items/VX8J6JZJ"],"itemData":{"id":1416,"type":"article-journal","container-title":"Nature Geoscience","DOI":"10.1038/s41561-019-0475-7","ISSN":"1752-0894, 1752-0908","issue":"11","journalAbbreviation":"Nat. Geosci.","language":"en","page":"874-876","source":"DOI.org (Crossref)","title":"Govern CO2 removal from the ground up","volume":"12","author":[{"family":"Bellamy","given":"Rob"},{"family":"Geden","given":"Oliver"}],"issued":{"date-parts":[["2019",11]]}}}],"schema":"https://github.com/citation-style-language/schema/raw/master/csl-citation.json"} </w:instrText>
      </w:r>
      <w:r>
        <w:fldChar w:fldCharType="separate"/>
      </w:r>
      <w:r w:rsidRPr="004C78A8">
        <w:rPr>
          <w:rFonts w:cs="Times New Roman"/>
        </w:rPr>
        <w:t>(Bellamy &amp; Geden, 2019)</w:t>
      </w:r>
      <w:r>
        <w:fldChar w:fldCharType="end"/>
      </w:r>
      <w:r>
        <w:t>.</w:t>
      </w:r>
    </w:p>
    <w:p w14:paraId="111F4010" w14:textId="6638AA08" w:rsidR="00434F61" w:rsidRPr="00BC11C5" w:rsidRDefault="551A77D0" w:rsidP="00EB0903">
      <w:pPr>
        <w:pStyle w:val="Heading2"/>
      </w:pPr>
      <w:bookmarkStart w:id="6" w:name="_Toc68791426"/>
      <w:bookmarkStart w:id="7" w:name="_Toc68791427"/>
      <w:bookmarkEnd w:id="6"/>
      <w:r w:rsidRPr="00BC11C5">
        <w:t>Adoption Path</w:t>
      </w:r>
      <w:bookmarkEnd w:id="7"/>
    </w:p>
    <w:p w14:paraId="2DE714B4" w14:textId="047972ED" w:rsidR="00112479" w:rsidRPr="00BC11C5" w:rsidRDefault="551A77D0" w:rsidP="00EB247F">
      <w:pPr>
        <w:pStyle w:val="Heading3"/>
      </w:pPr>
      <w:bookmarkStart w:id="8" w:name="_Toc68791428"/>
      <w:r w:rsidRPr="00BC11C5">
        <w:t>Current Adoption</w:t>
      </w:r>
      <w:bookmarkEnd w:id="8"/>
    </w:p>
    <w:p w14:paraId="02C1F903" w14:textId="4CF8C6F5" w:rsidR="008423B5" w:rsidRPr="00BC11C5" w:rsidRDefault="00F76894" w:rsidP="008423B5">
      <w:pPr>
        <w:spacing w:after="0"/>
        <w:rPr>
          <w:bCs/>
        </w:rPr>
      </w:pPr>
      <w:r w:rsidRPr="00BC11C5">
        <w:rPr>
          <w:bCs/>
        </w:rPr>
        <w:t xml:space="preserve">Compared to estimates of </w:t>
      </w:r>
      <w:r w:rsidR="00EB0903" w:rsidRPr="00BC11C5">
        <w:rPr>
          <w:bCs/>
        </w:rPr>
        <w:t>the global technical potential of biochar</w:t>
      </w:r>
      <w:r w:rsidR="00307C17" w:rsidRPr="00BC11C5">
        <w:rPr>
          <w:bCs/>
        </w:rPr>
        <w:t xml:space="preserve"> production</w:t>
      </w:r>
      <w:r w:rsidRPr="00BC11C5">
        <w:rPr>
          <w:bCs/>
        </w:rPr>
        <w:t>, c</w:t>
      </w:r>
      <w:r w:rsidR="008423B5" w:rsidRPr="00BC11C5">
        <w:rPr>
          <w:bCs/>
        </w:rPr>
        <w:t>urren</w:t>
      </w:r>
      <w:r w:rsidR="00EB0903" w:rsidRPr="00BC11C5">
        <w:rPr>
          <w:bCs/>
        </w:rPr>
        <w:t xml:space="preserve">t adoption </w:t>
      </w:r>
      <w:r w:rsidRPr="00BC11C5">
        <w:rPr>
          <w:bCs/>
        </w:rPr>
        <w:t xml:space="preserve">is </w:t>
      </w:r>
      <w:r w:rsidR="00307C17" w:rsidRPr="00BC11C5">
        <w:rPr>
          <w:bCs/>
        </w:rPr>
        <w:t xml:space="preserve">very </w:t>
      </w:r>
      <w:r w:rsidR="008423B5" w:rsidRPr="00BC11C5">
        <w:rPr>
          <w:bCs/>
        </w:rPr>
        <w:t xml:space="preserve">limited. Though research on the topic has grown significantly and new end uses and feedstocks have been identified, there is a lack of current data on the industry production and organization at </w:t>
      </w:r>
      <w:r w:rsidRPr="00BC11C5">
        <w:rPr>
          <w:bCs/>
        </w:rPr>
        <w:t xml:space="preserve">global level. The most comprehensive </w:t>
      </w:r>
      <w:r w:rsidR="008423B5" w:rsidRPr="00BC11C5">
        <w:rPr>
          <w:bCs/>
        </w:rPr>
        <w:t>dataset available was produced through industry surveys in 2013-2015, during which time biochar sales are reported to have increased from 827 to 85,000 tonnes</w:t>
      </w:r>
      <w:r w:rsidRPr="00BC11C5">
        <w:rPr>
          <w:bCs/>
        </w:rPr>
        <w:t xml:space="preserve"> per year</w:t>
      </w:r>
      <w:r w:rsidR="007F3606" w:rsidRPr="00BC11C5">
        <w:rPr>
          <w:bCs/>
        </w:rPr>
        <w:t xml:space="preserve"> </w:t>
      </w:r>
      <w:r w:rsidR="007F3606" w:rsidRPr="00BC11C5">
        <w:rPr>
          <w:bCs/>
        </w:rPr>
        <w:fldChar w:fldCharType="begin"/>
      </w:r>
      <w:r w:rsidR="007F3606" w:rsidRPr="00BC11C5">
        <w:rPr>
          <w:bCs/>
        </w:rPr>
        <w:instrText xml:space="preserve"> ADDIN ZOTERO_ITEM CSL_CITATION {"citationID":"rB8uMlNR","properties":{"formattedCitation":"(International Biochar Initiative, 2013, 2014, 2015)","plainCitation":"(International Biochar Initiative, 2013, 2014, 2015)","noteIndex":0},"citationItems":[{"id":1356,"uris":["http://zotero.org/users/7422708/items/Z9BXR3CW"],"uri":["http://zotero.org/users/7422708/items/Z9BXR3CW"],"itemData":{"id":1356,"type":"article","publisher":"International Biochar Initiative","title":"State of the Biochar Industry 2013","URL":"https://biochar-international.org/state-of-the-biochar-industry-2013/","author":[{"family":"International Biochar Initiative","given":""}],"issued":{"date-parts":[["2013"]]}}},{"id":1355,"uris":["http://zotero.org/users/7422708/items/4JEQDY9S"],"uri":["http://zotero.org/users/7422708/items/4JEQDY9S"],"itemData":{"id":1355,"type":"article","publisher":"International Biochar Initiative","title":"State of the Biochar Industry 2014","URL":"https://biochar-international.org/state-of-the-biochar-industry-2014/","author":[{"family":"International Biochar Initiative","given":""}],"issued":{"date-parts":[["2014"]]}}},{"id":1357,"uris":["http://zotero.org/users/7422708/items/ETGHYBCX"],"uri":["http://zotero.org/users/7422708/items/ETGHYBCX"],"itemData":{"id":1357,"type":"article","publisher":"International Biochar Initiative","title":"State of the Biochar Industry 2015","URL":"https://biochar-international.org/state-of-the-biochar-industry-2015/","author":[{"family":"International Biochar Initiative","given":""}],"issued":{"date-parts":[["2015"]]}}}],"schema":"https://github.com/citation-style-language/schema/raw/master/csl-citation.json"} </w:instrText>
      </w:r>
      <w:r w:rsidR="007F3606" w:rsidRPr="00BC11C5">
        <w:rPr>
          <w:bCs/>
        </w:rPr>
        <w:fldChar w:fldCharType="separate"/>
      </w:r>
      <w:r w:rsidR="007F3606" w:rsidRPr="00BC11C5">
        <w:rPr>
          <w:rFonts w:cs="Times New Roman"/>
        </w:rPr>
        <w:t xml:space="preserve">(International Biochar </w:t>
      </w:r>
      <w:r w:rsidR="007F3606" w:rsidRPr="00BC11C5">
        <w:rPr>
          <w:rFonts w:cs="Times New Roman"/>
        </w:rPr>
        <w:lastRenderedPageBreak/>
        <w:t>Initiative, 2013, 2014, 2015)</w:t>
      </w:r>
      <w:r w:rsidR="007F3606" w:rsidRPr="00BC11C5">
        <w:rPr>
          <w:bCs/>
        </w:rPr>
        <w:fldChar w:fldCharType="end"/>
      </w:r>
      <w:r w:rsidR="007F3606" w:rsidRPr="00BC11C5">
        <w:rPr>
          <w:bCs/>
        </w:rPr>
        <w:t>.</w:t>
      </w:r>
      <w:r w:rsidR="008423B5" w:rsidRPr="00BC11C5">
        <w:rPr>
          <w:bCs/>
        </w:rPr>
        <w:t xml:space="preserve"> Since then, there are few data sources to inform on th</w:t>
      </w:r>
      <w:r w:rsidR="00EB0903" w:rsidRPr="00BC11C5">
        <w:rPr>
          <w:bCs/>
        </w:rPr>
        <w:t xml:space="preserve">e development of this industry, though we are </w:t>
      </w:r>
      <w:r w:rsidR="00EB0903" w:rsidRPr="00BC11C5">
        <w:t>anecdotally aware of continued experimentation and commercialization.</w:t>
      </w:r>
      <w:r w:rsidR="0013158E">
        <w:t xml:space="preserve"> A recent source suggests that production in 2020 may be around 375,000-575,000 tonnes</w:t>
      </w:r>
      <w:r w:rsidR="000D07ED">
        <w:t xml:space="preserve"> annually, with the majority in China</w:t>
      </w:r>
      <w:r w:rsidR="00D82ED6">
        <w:t xml:space="preserve"> </w:t>
      </w:r>
      <w:r w:rsidR="00D82ED6">
        <w:fldChar w:fldCharType="begin"/>
      </w:r>
      <w:r w:rsidR="00D82ED6">
        <w:instrText xml:space="preserve"> ADDIN ZOTERO_ITEM CSL_CITATION {"citationID":"sv2CsWYs","properties":{"formattedCitation":"(ANZBIG, 2020)","plainCitation":"(ANZBIG, 2020)","noteIndex":0},"citationItems":[{"id":1493,"uris":["http://zotero.org/users/7422708/items/XAMUJ8T2"],"uri":["http://zotero.org/users/7422708/items/XAMUJ8T2"],"itemData":{"id":1493,"type":"article","publisher":"Australia New Zealand Biochar Initiative, inc.","title":"National Bioenergy Roadmap Submission - The Significant Role for Biochar in Australia","URL":"https://anzbig.org/wp-content/uploads/2020/07/Part-2-ANZBI-Submission_National-Bioenergy-Roadmap_June-2020.pdf","author":[{"family":"ANZBIG","given":""}],"issued":{"date-parts":[["2020"]]}}}],"schema":"https://github.com/citation-style-language/schema/raw/master/csl-citation.json"} </w:instrText>
      </w:r>
      <w:r w:rsidR="00D82ED6">
        <w:fldChar w:fldCharType="separate"/>
      </w:r>
      <w:r w:rsidR="00D82ED6" w:rsidRPr="00D82ED6">
        <w:rPr>
          <w:rFonts w:cs="Times New Roman"/>
        </w:rPr>
        <w:t>(ANZBIG, 2020)</w:t>
      </w:r>
      <w:r w:rsidR="00D82ED6">
        <w:fldChar w:fldCharType="end"/>
      </w:r>
      <w:r w:rsidR="00D82ED6">
        <w:t xml:space="preserve">. </w:t>
      </w:r>
      <w:r w:rsidR="000D07ED">
        <w:t xml:space="preserve"> </w:t>
      </w:r>
    </w:p>
    <w:p w14:paraId="3A6F8FEA" w14:textId="5A5E3D05" w:rsidR="00E73E10" w:rsidRPr="00BC11C5" w:rsidRDefault="551A77D0" w:rsidP="008423B5">
      <w:pPr>
        <w:pStyle w:val="Heading3"/>
      </w:pPr>
      <w:bookmarkStart w:id="9" w:name="_Toc68791429"/>
      <w:r w:rsidRPr="00BC11C5">
        <w:t>Trends</w:t>
      </w:r>
      <w:r w:rsidR="000C3205" w:rsidRPr="00BC11C5">
        <w:t xml:space="preserve"> </w:t>
      </w:r>
      <w:r w:rsidR="00A53CDF" w:rsidRPr="00BC11C5">
        <w:t>to Accelerate Adoption</w:t>
      </w:r>
      <w:bookmarkEnd w:id="9"/>
    </w:p>
    <w:p w14:paraId="5FB1B4BC" w14:textId="5261DB9E" w:rsidR="0021478F" w:rsidRPr="00BC11C5" w:rsidRDefault="00B63D47" w:rsidP="008423B5">
      <w:r w:rsidRPr="00BC11C5">
        <w:t xml:space="preserve">Much recent </w:t>
      </w:r>
      <w:r w:rsidR="0021478F" w:rsidRPr="00BC11C5">
        <w:t xml:space="preserve">research </w:t>
      </w:r>
      <w:r w:rsidRPr="00BC11C5">
        <w:t>interest has been directed to biochar as a means of CDR</w:t>
      </w:r>
      <w:r w:rsidR="0021478F" w:rsidRPr="00BC11C5">
        <w:t xml:space="preserve"> </w:t>
      </w:r>
      <w:r w:rsidR="0021478F" w:rsidRPr="00BC11C5">
        <w:fldChar w:fldCharType="begin"/>
      </w:r>
      <w:r w:rsidR="0021478F" w:rsidRPr="00BC11C5">
        <w:instrText xml:space="preserve"> ADDIN ZOTERO_ITEM CSL_CITATION {"citationID":"YbkHgL45","properties":{"formattedCitation":"(Griscom et al., 2017; Minx et al., 2018; Paustian et al., 2016; Smith, 2016; Woolf et al., 2018)","plainCitation":"(Griscom et al., 2017; Minx et al., 2018; Paustian et al., 2016; Smith, 2016; Woolf et al., 2018)","noteIndex":0},"citationItems":[{"id":902,"uris":["http://zotero.org/users/7422708/items/46KH27DM"],"uri":["http://zotero.org/users/7422708/items/46KH27DM"],"itemData":{"id":902,"type":"article-journal","container-title":"Proceedings of the National Academy of Sciences","issue":"44","page":"11645–11650","source":"Google Scholar","title":"Natural climate solutions","volume":"114","author":[{"family":"Griscom","given":"Bronson W."},{"family":"Adams","given":"Justin"},{"family":"Ellis","given":"Peter W."},{"family":"Houghton","given":"Richard A."},{"family":"Lomax","given":"Guy"},{"family":"Miteva","given":"Daniela A."},{"family":"Schlesinger","given":"William H."},{"family":"Shoch","given":"David"},{"family":"Siikamäki","given":"Juha V."},{"family":"Smith","given":"Pete"}],"issued":{"date-parts":[["2017"]]}}},{"id":1135,"uris":["http://zotero.org/users/7422708/items/SZCK8VUA"],"uri":["http://zotero.org/users/7422708/items/SZCK8VUA"],"itemData":{"id":1135,"type":"article-journal","abstract":"With the Paris Agreement’s ambition of limiting climate change to well below 2 ◦C, negative emission technologies (NETs) have moved into the limelight of discussions in climate science and policy. Despite several assessments, the current knowledge on NETs is still diffuse and incomplete, but also growing fast. Here, we synthesize a comprehensive body of NETs literature, using scientometric tools and performing an in-depth assessment of the quantitative and qualitative evidence therein. We clarify the role of NETs in climate change mitigation scenarios, their ethical implications, as well as the challenges involved in bringing the various NETs to the market and scaling them up in time. There are six major ﬁndings arising from our assessment: ﬁrst, keeping warming below 1.5 ◦C requires the large-scale deployment of NETs, but this dependency can still be kept to a minimum for the 2 ◦C warming limit. Second, accounting for economic and biophysical limits, we identify relevant potentials for all NETs except ocean fertilization. Third, any single NET is unlikely to sustainably achieve the large NETs deployment observed in many 1.5 ◦C and 2 ◦C mitigation scenarios. Yet, portfolios of multiple NETs, each deployed at modest scales, could be invaluable for reaching the climate goals. Fourth, a substantial gap exists between the upscaling and rapid diffusion of NETs implied in scenarios and progress in actual innovation and deployment. If NETs are required at the scales currently discussed, the resulting urgency of implementation is currently neither reﬂected in science nor policy. Fifth, NETs face severe barriers to implementation and are only weakly incentivized so far. Finally, we identify distinct ethical discourses relevant for NETs, but highlight the need to root them ﬁrmly in the available evidence in order to render such discussions relevant in practice.","container-title":"Environmental Research Letters","DOI":"10.1088/1748-9326/aabf9b","ISSN":"1748-9326","issue":"6","journalAbbreviation":"Environ. Res. Lett.","language":"en","page":"063001","source":"DOI.org (Crossref)","title":"Negative emissions—Part 1: Research landscape and synthesis","title-short":"Negative emissions—Part 1","volume":"13","author":[{"family":"Minx","given":"Jan C"},{"family":"Lamb","given":"William F"},{"family":"Callaghan","given":"Max W"},{"family":"Fuss","given":"Sabine"},{"family":"Hilaire","given":"Jérôme"},{"family":"Creutzig","given":"Felix"},{"family":"Amann","given":"Thorben"},{"family":"Beringer","given":"Tim"},{"family":"Oliveira Garcia","given":"Wagner","non-dropping-particle":"de"},{"family":"Hartmann","given":"Jens"},{"family":"Khanna","given":"Tarun"},{"family":"Lenzi","given":"Dominic"},{"family":"Luderer","given":"Gunnar"},{"family":"Nemet","given":"Gregory F"},{"family":"Rogelj","given":"Joeri"},{"family":"Smith","given":"Pete"},{"family":"Vicente Vicente","given":"Jose Luis"},{"family":"Wilcox","given":"Jennifer"},{"family":"Mar Zamora Dominguez","given":"Maria","non-dropping-particle":"del"}],"issued":{"date-parts":[["2018",6,1]]}}},{"id":1230,"uris":["http://zotero.org/users/7422708/items/VMLLYT72"],"uri":["http://zotero.org/users/7422708/items/VMLLYT72"],"itemData":{"id":1230,"type":"article-journal","container-title":"Nature","DOI":"10.1038/nature17174","ISSN":"0028-0836, 1476-4687","issue":"7597","journalAbbreviation":"Nature","language":"en","page":"49-57","source":"DOI.org (Crossref)","title":"Climate-smart soils","volume":"532","author":[{"family":"Paustian","given":"Keith"},{"family":"Lehmann","given":"Johannes"},{"family":"Ogle","given":"Stephen"},{"family":"Reay","given":"David"},{"family":"Robertson","given":"G. Philip"},{"family":"Smith","given":"Pete"}],"issued":{"date-parts":[["2016",4]]}}},{"id":824,"uris":["http://zotero.org/users/7422708/items/QFGVWG97"],"uri":["http://zotero.org/users/7422708/items/QFGVWG97"],"itemData":{"id":824,"type":"article-journal","container-title":"Global Change Biology"</w:instrText>
      </w:r>
      <w:r w:rsidR="0021478F" w:rsidRPr="00C15F20">
        <w:rPr>
          <w:lang w:val="fr-FR"/>
        </w:rPr>
        <w:instrText xml:space="preserve">,"DOI":"10.1111/gcb.13178","ISSN":"13541013","issue":"3","language":"en","page":"1315-1324","source":"Crossref","title":"Soil carbon sequestration and biochar as negative emission technologies","volume":"22","author":[{"family":"Smith","given":"Pete"}],"issued":{"date-parts":[["2016",3]]}}},{"id":1269,"uris":["http://zotero.org/users/7422708/items/TUG9QXJR"],"uri":["http://zotero.org/users/7422708/items/TUG9QXJR"],"itemData":{"id":1269,"type":"chapter","container-title":"Soil and Climate","edition":"1","event-place":"Boca Raton, FL : CRC Press, Taylor &amp; Francis Group, 2018. | Series: Advances in soil science","ISBN":"978-0-429-48726-2","language":"en","note":"DOI: 10.1201/b21225-8","page":"219-248","publisher":"CRC Press","publisher-place":"Boca Raton, FL : CRC Press, Taylor &amp; Francis Group, 2018. | Series: Advances in soil science","source":"DOI.org (Crossref)","title":"Biochar for Climate Change Mitigation","URL":"https://www.taylorfrancis.com/books/9780429945458/chapters/10.1201/b21225-8","editor":[{"family":"Lal","given":"Rattan"},{"family":"Stewart","given":"B. A."}],"author":[{"family":"Woolf","given":"Dominic"},{"family":"Lehmann","given":"Johannes"},{"family":"Cowie","given":"Annette"},{"family":"Cayuela","given":"Maria Luz"},{"family":"Whitman","given":"Thea"},{"family":"Sohi","given":"Saran"}],"accessed":{"date-parts":[["2021",2,4]]},"issued":{"date-parts":[["2018",9,3]]}}}],"schema":"https://github.com/citation-style-language/schema/raw/master/csl-citation.json"} </w:instrText>
      </w:r>
      <w:r w:rsidR="0021478F" w:rsidRPr="00BC11C5">
        <w:fldChar w:fldCharType="separate"/>
      </w:r>
      <w:r w:rsidR="0021478F" w:rsidRPr="00C15F20">
        <w:rPr>
          <w:rFonts w:cs="Times New Roman"/>
          <w:lang w:val="fr-FR"/>
        </w:rPr>
        <w:t>(Griscom et al., 2017; Minx et al., 2018; Paustian et al., 2016; Smith, 2016; Woolf et al., 2018)</w:t>
      </w:r>
      <w:r w:rsidR="0021478F" w:rsidRPr="00BC11C5">
        <w:fldChar w:fldCharType="end"/>
      </w:r>
      <w:r w:rsidR="0021478F" w:rsidRPr="00C15F20">
        <w:rPr>
          <w:lang w:val="fr-FR"/>
        </w:rPr>
        <w:t xml:space="preserve">. </w:t>
      </w:r>
      <w:r w:rsidR="00BA5374" w:rsidRPr="00BC11C5">
        <w:t xml:space="preserve">This has been solidified by </w:t>
      </w:r>
      <w:r w:rsidR="00645848" w:rsidRPr="00BC11C5">
        <w:t>voluntary movements (for example, the 4-per-1000 Initiative for soil carbon</w:t>
      </w:r>
      <w:r w:rsidR="002454E7" w:rsidRPr="00BC11C5">
        <w:t xml:space="preserve">) and governmental research and </w:t>
      </w:r>
      <w:r w:rsidR="00BA5374" w:rsidRPr="00BC11C5">
        <w:t>st</w:t>
      </w:r>
      <w:r w:rsidR="002454E7" w:rsidRPr="00BC11C5">
        <w:t xml:space="preserve">rategies on negative emissions </w:t>
      </w:r>
      <w:r w:rsidR="002454E7" w:rsidRPr="00BC11C5">
        <w:fldChar w:fldCharType="begin"/>
      </w:r>
      <w:r w:rsidR="002454E7" w:rsidRPr="00BC11C5">
        <w:instrText xml:space="preserve"> ADDIN ZOTERO_ITEM CSL_CITATION {"citationID":"97hSIFdA","properties":{"formattedCitation":"(Baker et al., 2020; Committee on Developing a Research Agenda for Carbon Dioxide Removal and Reliable Sequestration et al., 2019; McMullin et al., 2020; UK Committee on Climate Change, 2019)","plainCitation":"(Baker et al., 2020; Committee on Developing a Research Agenda for Carbon Dioxide Removal and Reliable Sequestration et al., 2019; McMullin et al., 2020; UK Committee on Climate Change, 2019)","noteIndex":0},"citationItems":[{"id":1344,"uris":["http://zotero.org/users/7422708/items/ZE77R4IH"],"uri":["http://zotero.org/users/7422708/items/ZE77R4IH"],"itemData":{"id":1344,"type":"article","publisher":"Lawrence Livermore National Laboratory","title":"Getting to Neutral: Options for negative carbon emissions in California","URL":"LLNL-TR-796100","author":[{"family":"Baker","given":"Sarah E."},{"family":"Stolaroff","given":"Joshua K."},{"family":"Peridas","given":"George"},{"family":"Pang","given":"Simon H."},{"family":"Goldstein","given":"Hannah M."},{"family":"Lucci","given":"Felicia R."},{"family":"Li","given":"Wenquin"},{"family":"Slessarev","given":"Eric W."},{"family":"Pett-Ridge","given":"Jennifer"},{"family":"Ryerson","given":"Frederick J."},{"family":"Wagoner","given":"Jeff L."},{"family":"Kirkendall","given":"Whitney"},{"family":"Aines","given":"Roger D."},{"family":"Sanchez","given":"Daniel L."},{"family":"Cabiyo","given":"Bodie"},{"family":"Baker","given":"Joffre"},{"family":"McCoy","given":"Sean"},{"family":"Uden","given":"Sam"},{"family":"Runnenbaum","given":"Ron"},{"family":"Wilcox, Jennifer","given":""},{"family":"Psarras","given":"Peter C."},{"family":"Pilorge","given":"Helene"},{"family":"McQueen","given":"Noah"},{"family":"Maynard","given":"Daniel"},{"family":"McCormick","given":"Colin"}],"issued":{"date-parts":[["2020",1]]}}},{"id":952,"uris":["http://zotero.org/users/7422708/items/74FHGAZM"],"uri":["http://zotero.org/users/7422708/items/74FHGAZM"],"itemData":{"id":952,"type":"book","event-place":"Washington, D.C.","ISBN":"978-0-309-48452-7","note":"DOI: 10.17226/25259","publisher":"National Academies Press","publisher-place":"Washington, D.C.","source":"Crossref","title":"Negative Emissions Technologies and Reliable Sequestration: A Research Agenda","title-short":"Negative Emissions Technologies and Reliable Sequestration","URL":"https://www.nap.edu/catalog/25259","author":[{"literal":"Committee on Developing a Research Agenda for Carbon Dioxide Removal and Reliable Sequestration"},{"literal":"Board on Atmospheric Sciences and Climate"},{"literal":"Board on Energy and Environmental Systems"},{"literal":"Board on Agriculture and Natural Resources"},{"literal":"Board on Earth Sciences and Resources"},{"literal":"Board on Chemical Sciences and Technology"},{"literal":"Ocean Studies Board"},{"literal":"Division on Earth and Life Studies"},{"literal":"National Academies of Sciences, Engineering, and Medicine"}],"accessed":{"date-parts":[["2020",2,19]]},"issued":{"date-parts":[["2019",3,8]]}}},{"id":1189,"uris":["http://zotero.org/users/7422708/items/PK6WS6JC"],"uri":["http://zotero.org/users/7422708/items/PK6WS6JC"],"itemData":{"id":1189,"type":"article","publisher":"Ireland EPA","title":"IE-NETs: Investigating the Potential for Negative Emissions Technologies (NETs) in Ireland (Report 354)","URL":"https://www.epa.ie/pubs/reports/research/climate/Research_Report_354.pdf","author":[{"family":"McMullin","given":"Barry"},{"family":"Jones","given":"Michael"},{"family":"Price","given":"Paul"},{"family":"McGeever","given":"Alwynne"},{"family":"Rice","given":"Paul"}],"issued":{"date-parts":[["2020"]]}}},{"id":761,"uris":["http://zotero.org/users/7422708/items/TMGFNCT9"],"uri":["http://zotero.org/users/7422708/items/TMGFNCT9"],"itemData":{"id":761,"type":"article","title":"Net Zero: The UK's contribution to stopping global warming","URL":"https://www.theccc.org.uk/wp-content/uploads/2019/05/Net-Zero-The-UKs-contribution-to-stopping-global-warming.pdf","author":[{"family":"UK Committee on Climate Change","given":""}],"issued":{"date-parts":[["2019"]]}}}],"schema":"https://github.com/citation-style-language/schema/raw/master/csl-citation.json"} </w:instrText>
      </w:r>
      <w:r w:rsidR="002454E7" w:rsidRPr="00BC11C5">
        <w:fldChar w:fldCharType="separate"/>
      </w:r>
      <w:r w:rsidR="002454E7" w:rsidRPr="00BC11C5">
        <w:rPr>
          <w:rFonts w:cs="Times New Roman"/>
        </w:rPr>
        <w:t>(Baker et al., 2020; Committee on Developing a Research Agenda for Carbon Dioxide Removal and Reliable Sequestration et al., 2019; McMullin et al., 2020; UK Committee on Climate Change, 2019)</w:t>
      </w:r>
      <w:r w:rsidR="002454E7" w:rsidRPr="00BC11C5">
        <w:fldChar w:fldCharType="end"/>
      </w:r>
      <w:r w:rsidR="002454E7" w:rsidRPr="00BC11C5">
        <w:t>.</w:t>
      </w:r>
    </w:p>
    <w:p w14:paraId="610149F3" w14:textId="5AB0D425" w:rsidR="008423B5" w:rsidRPr="00BC11C5" w:rsidRDefault="00BA5374" w:rsidP="008423B5">
      <w:r w:rsidRPr="00BC11C5">
        <w:t xml:space="preserve">Though Project Drawdown does </w:t>
      </w:r>
      <w:r w:rsidR="00645848" w:rsidRPr="00BC11C5">
        <w:t>not explicitly</w:t>
      </w:r>
      <w:r w:rsidRPr="00BC11C5">
        <w:t xml:space="preserve"> model the effect of carbon pricing, it seems likely that </w:t>
      </w:r>
      <w:r w:rsidR="002B3A39" w:rsidRPr="00BC11C5">
        <w:t xml:space="preserve">compliance or voluntary methods of pricing carbon would further incentivize biochar production. </w:t>
      </w:r>
      <w:r w:rsidR="00FC7214" w:rsidRPr="00BC11C5">
        <w:t>Voluntary b</w:t>
      </w:r>
      <w:r w:rsidR="002B3A39" w:rsidRPr="00BC11C5">
        <w:t xml:space="preserve">iochar carbon credits are already being transacted </w:t>
      </w:r>
      <w:r w:rsidR="002454E7" w:rsidRPr="00BC11C5">
        <w:t>amidst</w:t>
      </w:r>
      <w:r w:rsidR="002B3A39" w:rsidRPr="00BC11C5">
        <w:t xml:space="preserve"> </w:t>
      </w:r>
      <w:r w:rsidR="002454E7" w:rsidRPr="00BC11C5">
        <w:t>corporate recognition</w:t>
      </w:r>
      <w:r w:rsidR="002B3A39" w:rsidRPr="00BC11C5">
        <w:t xml:space="preserve"> that meeting net-zero climate goals will in m</w:t>
      </w:r>
      <w:r w:rsidR="00BF7B31">
        <w:t>any cases require measurable emissions</w:t>
      </w:r>
      <w:r w:rsidR="002B3A39" w:rsidRPr="00BC11C5">
        <w:t xml:space="preserve"> removals.</w:t>
      </w:r>
      <w:r w:rsidR="00FC7214" w:rsidRPr="00BC11C5">
        <w:t xml:space="preserve"> </w:t>
      </w:r>
      <w:r w:rsidR="00645848" w:rsidRPr="00BC11C5">
        <w:t xml:space="preserve">Microsoft Corporation’s recent procurement of </w:t>
      </w:r>
      <w:r w:rsidR="00307C17" w:rsidRPr="00BC11C5">
        <w:t xml:space="preserve">carbon </w:t>
      </w:r>
      <w:r w:rsidR="00645848" w:rsidRPr="00BC11C5">
        <w:t>removals credits, including from biochar</w:t>
      </w:r>
      <w:r w:rsidR="00BF7B31">
        <w:t xml:space="preserve"> production</w:t>
      </w:r>
      <w:r w:rsidR="00645848" w:rsidRPr="00BC11C5">
        <w:t xml:space="preserve">, is a noteworthy example </w:t>
      </w:r>
      <w:r w:rsidR="00645848" w:rsidRPr="00BC11C5">
        <w:fldChar w:fldCharType="begin"/>
      </w:r>
      <w:r w:rsidR="00645848" w:rsidRPr="00BC11C5">
        <w:instrText xml:space="preserve"> ADDIN ZOTERO_ITEM CSL_CITATION {"citationID":"MO8gQXQo","properties":{"formattedCitation":"(Willmott &amp; Joppa, 2021)","plainCitation":"(Willmott &amp; Joppa, 2021)","noteIndex":0},"citationItems":[{"id":1367,"uris":["http://zotero.org/users/7422708/items/PKQ7HA4Z"],"uri":["http://zotero.org/users/7422708/items/PKQ7HA4Z"],"itemData":{"id":1367,"type":"article","abstract":"Achieving our carbon negative goal by 2030 will require more than carbon reduction—Microsoft must also physically remove carbon from the atmosphere. Today, carbon removal is far from mainstream, however, and the market for corporate procurement of carbon removal is relatively undeveloped.","language":"en","publisher":"Microsoft Corporation","source":"Zotero","title":"Microsoft Carbon Removal - Lessons From an Early Corporate Purchase","URL":"https://query.prod.cms.rt.microsoft.com/cms/api/am/binary/RE4MDlc","author":[{"family":"Willmott","given":"Elizabeth"},{"family":"Joppa","given":"Lucas"}],"issued":{"date-parts":[["2021"]]}}}],"schema":"https://github.com/citation-style-language/schema/raw/master/csl-citation.json"} </w:instrText>
      </w:r>
      <w:r w:rsidR="00645848" w:rsidRPr="00BC11C5">
        <w:fldChar w:fldCharType="separate"/>
      </w:r>
      <w:r w:rsidR="00645848" w:rsidRPr="00BC11C5">
        <w:rPr>
          <w:rFonts w:cs="Times New Roman"/>
        </w:rPr>
        <w:t>(Willmott &amp; Joppa, 2021)</w:t>
      </w:r>
      <w:r w:rsidR="00645848" w:rsidRPr="00BC11C5">
        <w:fldChar w:fldCharType="end"/>
      </w:r>
      <w:r w:rsidR="00645848" w:rsidRPr="00BC11C5">
        <w:t xml:space="preserve">. </w:t>
      </w:r>
      <w:r w:rsidR="00FC7214" w:rsidRPr="00BC11C5">
        <w:t xml:space="preserve">Global compliance carbon pricing is also increasing </w:t>
      </w:r>
      <w:r w:rsidR="00FC7214" w:rsidRPr="00BC11C5">
        <w:fldChar w:fldCharType="begin"/>
      </w:r>
      <w:r w:rsidR="00FC7214" w:rsidRPr="00BC11C5">
        <w:instrText xml:space="preserve"> ADDIN ZOTERO_ITEM CSL_CITATION {"citationID":"gl6NjnRg","properties":{"formattedCitation":"(World Bank, 2020)","plainCitation":"(World Bank, 2020)","noteIndex":0},"citationItems":[{"id":1363,"uris":["http://zotero.org/users/7422708/items/EGIUR4VH"],"uri":["http://zotero.org/users/7422708/items/EGIUR4VH"],"itemData":{"id":1363,"type":"article","title":"State and Trends of Carbon Pricing 2020","URL":"https://openknowledge.worldbank.org/handle/10986/33809","author":[{"family":"World Bank","given":""}],"issued":{"date-parts":[["2020",5]]}}}],"schema":"https://github.com/citation-style-language/schema/raw/master/csl-citation.json"} </w:instrText>
      </w:r>
      <w:r w:rsidR="00FC7214" w:rsidRPr="00BC11C5">
        <w:fldChar w:fldCharType="separate"/>
      </w:r>
      <w:r w:rsidR="00FC7214" w:rsidRPr="00BC11C5">
        <w:rPr>
          <w:rFonts w:cs="Times New Roman"/>
        </w:rPr>
        <w:t>(World Bank, 2020)</w:t>
      </w:r>
      <w:r w:rsidR="00FC7214" w:rsidRPr="00BC11C5">
        <w:fldChar w:fldCharType="end"/>
      </w:r>
      <w:r w:rsidR="00FC7214" w:rsidRPr="00BC11C5">
        <w:t xml:space="preserve"> and may eventually provide support to sequestration activities like biochar production, with ongoing discussion about how to facilitate such a transition in existing markets </w:t>
      </w:r>
      <w:r w:rsidR="00FC7214" w:rsidRPr="00BC11C5">
        <w:fldChar w:fldCharType="begin"/>
      </w:r>
      <w:r w:rsidR="00FC7214" w:rsidRPr="00BC11C5">
        <w:instrText xml:space="preserve"> ADDIN ZOTERO_ITEM CSL_CITATION {"citationID":"4krq2E9N","properties":{"formattedCitation":"(Rickels et al., 2020)","plainCitation":"(Rickels et al., 2020)","noteIndex":0},"citationItems":[{"id":1365,"uris":["http://zotero.org/users/7422708/items/DJPY5I93"],"uri":["http://zotero.org/users/7422708/items/DJPY5I93"],"itemData":{"id":1365,"type":"article","publisher":"Kiel Institute for the World Economy","title":"Kiel Working Paper 2164: The Future of (Negative) Emissions Trading in the European Union","URL":"https://www.ifw-kiel.de/fileadmin/Dateiverwaltung/IfW-Publications/Wilfried_Rickels/The_Future_of__Negative__Emissions_Trading_in_the_European_Union/KWP_2164.pdf","author":[{"family":"Rickels","given":"Wilfried"},{"family":"Proelss","given":"Alexander"},{"family":"Geden","given":"Oliver"},{"family":"Burhenne","given":"Julian"},{"family":"Fridahl","given":"Mathias"}],"issued":{"date-parts":[["2020",9]]}}}],"schema":"https://github.com/citation-style-language/schema/raw/master/csl-citation.json"} </w:instrText>
      </w:r>
      <w:r w:rsidR="00FC7214" w:rsidRPr="00BC11C5">
        <w:fldChar w:fldCharType="separate"/>
      </w:r>
      <w:r w:rsidR="00FC7214" w:rsidRPr="00BC11C5">
        <w:rPr>
          <w:rFonts w:cs="Times New Roman"/>
        </w:rPr>
        <w:t>(Rickels et al., 2020)</w:t>
      </w:r>
      <w:r w:rsidR="00FC7214" w:rsidRPr="00BC11C5">
        <w:fldChar w:fldCharType="end"/>
      </w:r>
      <w:r w:rsidR="00FC7214" w:rsidRPr="00BC11C5">
        <w:t>.</w:t>
      </w:r>
    </w:p>
    <w:p w14:paraId="0B8C3EFB" w14:textId="18C52960" w:rsidR="00D1508C" w:rsidRPr="00BC11C5" w:rsidRDefault="551A77D0" w:rsidP="005D49A8">
      <w:pPr>
        <w:pStyle w:val="Heading3"/>
      </w:pPr>
      <w:bookmarkStart w:id="10" w:name="_Toc68791430"/>
      <w:r w:rsidRPr="00BC11C5">
        <w:t>Barriers to Adoption</w:t>
      </w:r>
      <w:bookmarkEnd w:id="10"/>
    </w:p>
    <w:p w14:paraId="7A3A6608" w14:textId="63E98F7D" w:rsidR="008423B5" w:rsidRDefault="008423B5" w:rsidP="008423B5">
      <w:pPr>
        <w:spacing w:after="0"/>
        <w:rPr>
          <w:bCs/>
        </w:rPr>
      </w:pPr>
      <w:r w:rsidRPr="00BC11C5">
        <w:rPr>
          <w:bCs/>
        </w:rPr>
        <w:t>Hurdles to widespread biochar adoption remain. While the research community addresses technical and scientific priorities, efforts are also underway to elucidate regulatory, cultural, and social adoption factors</w:t>
      </w:r>
      <w:r w:rsidR="002454E7" w:rsidRPr="00BC11C5">
        <w:rPr>
          <w:bCs/>
        </w:rPr>
        <w:t xml:space="preserve"> </w:t>
      </w:r>
      <w:r w:rsidR="002454E7" w:rsidRPr="00BC11C5">
        <w:rPr>
          <w:bCs/>
        </w:rPr>
        <w:fldChar w:fldCharType="begin"/>
      </w:r>
      <w:r w:rsidR="002454E7" w:rsidRPr="00BC11C5">
        <w:rPr>
          <w:bCs/>
        </w:rPr>
        <w:instrText xml:space="preserve"> ADDIN ZOTERO_ITEM CSL_CITATION {"citationID":"64xZ6LHP","properties":{"formattedCitation":"(Amonette et al., 2021)","plainCitation":"(Amonette et al., 2021)","noteIndex":0},"citationItems":[{"id":1220,"uris":["http://zotero.org/users/7422708/items/4ABDA7PV"],"uri":["http://zotero.org/users/7422708/items/4ABDA7PV"],"itemData":{"id":1220,"type":"article-journal","container-title":"Journal of Soil and Water Conservation","language":"en","page":"6","source":"Zotero","title":"Integrated biochar research: A roadmap","author":[{"family":"Amonette","given":"James E"},{"family":"Blanco-Canqui","given":"Humberto"},{"family":"Hassebrook","given":"Chuck"},{"family":"Laird","given":"David A"},{"family":"Lal","given":"Rattan"},{"family":"Lehmann","given":"Johannes"},{"family":"Page-Dumroese","given":"Deborah"}],"issued":{"date-parts":[["2021"]]}}}],"schema":"https://github.com/citation-style-language/schema/raw/master/csl-citation.json"} </w:instrText>
      </w:r>
      <w:r w:rsidR="002454E7" w:rsidRPr="00BC11C5">
        <w:rPr>
          <w:bCs/>
        </w:rPr>
        <w:fldChar w:fldCharType="separate"/>
      </w:r>
      <w:r w:rsidR="002454E7" w:rsidRPr="00BC11C5">
        <w:rPr>
          <w:rFonts w:cs="Times New Roman"/>
        </w:rPr>
        <w:t>(Amonette et al., 2021)</w:t>
      </w:r>
      <w:r w:rsidR="002454E7" w:rsidRPr="00BC11C5">
        <w:rPr>
          <w:bCs/>
        </w:rPr>
        <w:fldChar w:fldCharType="end"/>
      </w:r>
      <w:r w:rsidRPr="00BC11C5">
        <w:rPr>
          <w:bCs/>
        </w:rPr>
        <w:t>. Agricultural stakeholders have expressed limited awareness amidst lack of information and product availability</w:t>
      </w:r>
      <w:r w:rsidR="002454E7" w:rsidRPr="00BC11C5">
        <w:rPr>
          <w:bCs/>
        </w:rPr>
        <w:t xml:space="preserve"> </w:t>
      </w:r>
      <w:r w:rsidR="002454E7" w:rsidRPr="00BC11C5">
        <w:rPr>
          <w:bCs/>
        </w:rPr>
        <w:fldChar w:fldCharType="begin"/>
      </w:r>
      <w:r w:rsidR="002454E7" w:rsidRPr="00BC11C5">
        <w:rPr>
          <w:bCs/>
        </w:rPr>
        <w:instrText xml:space="preserve"> ADDIN ZOTERO_ITEM CSL_CITATION {"citationID":"tm9vj915","properties":{"formattedCitation":"(Latawiec et al., 2017)","plainCitation":"(Latawiec et al., 2017)","noteIndex":0},"citationItems":[{"id":1310,"uris":["http://zotero.org/users/7422708/items/H6UJBI9P"],"uri":["http://zotero.org/users/7422708/items/H6UJBI9P"],"itemData":{"id":1310,"type":"article-journal","abstract":"Most research on biochar has focused either on the mechanistic or the biophysical aspects, and there has been relatively little research into the social applicability and acceptance of biochar as a soil enhancer in agriculture. However, whether to adopt biochar in their practice is ultimately the farmers’ decision, and their willingness to do so is crucial. Here, we show the producer’s perspective on adopting biochar, using Polish farmers as a case study. Poland is an interesting case study because biochar has only recently attracted the attention of researchers, entrepreneurs, and other stakeholders there. We performed standardized, semi-structured interviews with 161 Polish farmers to evaluate the socioeconomic potential of biochar application in practice. We found that 27% of the respondents claimed to be familiar with biochar. The respondents with a technical, non-agricultural level of education were most familiar with the term ‘biochar’ (36%), followed by the group of respondents with a higher-level agricultural education (31%). It was surprising that among the latter respondents, the majority (69%) did not know the term ‘biochar’, either in the context used for this study or in any other context. Twenty percent of the respondents expressed an interest in using biochar, while 43% were not willing to adopt it in their agricultural practice (37% ‘did not know yet’). If a farmer was familiar with the concept of sustainable agriculture, the probability of familiarity with biochar increased by 16% (p &lt; 0.05). In addition, farmers interested in using biochar indicated that sustainable agriculture might improve the financial situation of their farms (52%). The perceived benefits of biochar that drive the willingness to adopt it included improved soil quality and increased income due to increased yields, while the constraints on its adoption were associated mainly with high costs. Our results also point to the necessity of information flow as well as engaging farmers in participatory research to adjust the research to their needs. Furthermore, our results highlight the importance of transparency with the farmers and appropriate dissemination and presentation of both the positive and the negative aspects of biochar adoption. We urge those studying biochar to engage in more interdisciplinary research and to go beyond laboratory and field research. Many innovations, even those that work, will not be adopted if socioeconomic considerations are not incorporated into the research.","container-title":"Sustainability","DOI":"10.3390/su9040655","ISSN":"2071-1050","issue":"4","journalAbbreviation":"Sustainability","language":"en","page":"655","source":"DOI.org (Crossref)","title":"Willingness to Adopt Biochar in Agriculture: The Producer’s Perspective","title-short":"Willingness to Adopt Biochar in Agriculture","volume":"9","author":[{"family":"Latawiec","given":"Agnieszka"},{"family":"Królczyk","given":"Jolanta"},{"family":"Kuboń","given":"Maciej"},{"family":"Szwedziak","given":"Katarzyna"},{"family":"Drosik","given":"Adam"},{"family":"Polańczyk","given":"Ewa"},{"family":"Grotkiewicz","given":"Katarzyna"},{"family":"Strassburg","given":"Bernardo"}],"issued":{"date-parts":[["2017",4,24]]}}}],"schema":"https://github.com/citation-style-language/schema/raw/master/csl-citation.json"} </w:instrText>
      </w:r>
      <w:r w:rsidR="002454E7" w:rsidRPr="00BC11C5">
        <w:rPr>
          <w:bCs/>
        </w:rPr>
        <w:fldChar w:fldCharType="separate"/>
      </w:r>
      <w:r w:rsidR="002454E7" w:rsidRPr="00BC11C5">
        <w:rPr>
          <w:rFonts w:cs="Times New Roman"/>
        </w:rPr>
        <w:t>(Latawiec et al., 2017)</w:t>
      </w:r>
      <w:r w:rsidR="002454E7" w:rsidRPr="00BC11C5">
        <w:rPr>
          <w:bCs/>
        </w:rPr>
        <w:fldChar w:fldCharType="end"/>
      </w:r>
      <w:r w:rsidRPr="00BC11C5">
        <w:rPr>
          <w:bCs/>
        </w:rPr>
        <w:t>. A key challenge is the heterogeneity of</w:t>
      </w:r>
      <w:r w:rsidR="00927501">
        <w:rPr>
          <w:bCs/>
        </w:rPr>
        <w:t xml:space="preserve"> products under the heading</w:t>
      </w:r>
      <w:r w:rsidR="00F76894" w:rsidRPr="00BC11C5">
        <w:rPr>
          <w:bCs/>
        </w:rPr>
        <w:t xml:space="preserve"> </w:t>
      </w:r>
      <w:r w:rsidR="00F76894" w:rsidRPr="00BC11C5">
        <w:rPr>
          <w:bCs/>
          <w:i/>
        </w:rPr>
        <w:t xml:space="preserve">biochar, </w:t>
      </w:r>
      <w:r w:rsidRPr="00BC11C5">
        <w:rPr>
          <w:bCs/>
        </w:rPr>
        <w:t>though voluntary standards and regulations are emerging to define product criteria for greater consistency</w:t>
      </w:r>
      <w:r w:rsidR="002454E7" w:rsidRPr="00BC11C5">
        <w:rPr>
          <w:bCs/>
        </w:rPr>
        <w:t xml:space="preserve"> </w:t>
      </w:r>
      <w:r w:rsidR="002454E7" w:rsidRPr="00BC11C5">
        <w:rPr>
          <w:bCs/>
        </w:rPr>
        <w:fldChar w:fldCharType="begin"/>
      </w:r>
      <w:r w:rsidR="00F5452D">
        <w:rPr>
          <w:bCs/>
        </w:rPr>
        <w:instrText xml:space="preserve"> ADDIN ZOTERO_ITEM CSL_CITATION {"citationID":"ySPciv88","properties":{"formattedCitation":"(Meyer et al., 2017; Verde &amp; Chiaramonti, 2021)","plainCitation":"(Meyer et al., 2017; Verde &amp; Chiaramonti, 2021)","noteIndex":0},"citationItems":[{"id":1308,"uris":["http://zotero.org/users/7422708/items/2N5Q8PPW"],"uri":["http://zotero.org/users/7422708/items/2N5Q8PPW"],"itemData":{"id":1308,"type":"article-journal","abstract":"It is a relatively new concept to use biochar as soil amendment and for climate change mitigation. For this reason, the national and supranational legislation in the EU is not yet adequately prepared to regulate both the production and the application of biochar. Driven by this “regulatory gap”, voluntary biochar quality standards have been formed in Europe with the European Biochar Certificate, in the UK with the Biochar Quality Mandate and in the USA with the IBI Standard which is intended to be used internationally. In parallel to this, biochar producers and biochar users in a number of EU countries were partly successful in fitting the new biochar product into the existing national legislation for fertilisers, soil improvers and composts. The intended revision of the EC Regulation 2003/2003 on fertilisers offers the opportunity to regulate the use of biochar at the EU level. This publication summarizes the efforts on biochar standardization which have been carried out by voluntary products standards and illustrates existing legislation in EU member states, which apply to the production and use of biochar. It describes existing and planned EU regulations, which impact biochar applications and it develops recommendations on the harmonization of biochar legislation in the EU.","container-title":"Journal of Environmental Engineering and Landscape Management","DOI":"10.3846/16486897.2016.1254640","ISSN":"1648-6897, 1822-4199","issue":"2","language":"en","page":"175-191","source":"DOI.org (Crossref)","title":"Biochar Standardization and Legislation Harmonization","volume":"25","author":[{"family":"Meyer","given":"Sebastian"},{"family":"Genesio","given":"Lorenzo"},{"family":"Vogel","given":"Ines"},{"family":"Schmidt","given":"Hans-Peter"},{"family":"Soja","given":"Gerhard"},{"family":"Someus","given":"Edward"},{"family":"Shackley","given":"Simon"},{"family":"Verheijen","given":"Frank G. A."},{"family":"Glaser","given":"Bruno"}],"issued":{"date-parts":[["2017",1,24]]}}},{"id":1456,"uris":["http://zotero.org/users/7422708/items/BV8BMEYZ"],"uri":["http://zotero.org/users/7422708/items/BV8BMEYZ"],"itemData":{"id":1456,"type":"article-journal","container-title":"European University Institute Florence School of Regulation - Climate","issue":"2021/08","language":"en","page":"10","source":"Zotero","title":"The Biochar System in the EU: the Pieces are Falling Into Place, but Key Policy Questions Remain","author":[{"family":"Verde","given":"Stefano F"},{"family":"Chiaramonti","given":"David"}],"issued":{"date-parts":[["2021"]]}}}],"schema":"https://github.com/citation-style-language/schema/raw/master/csl-citation.json"} </w:instrText>
      </w:r>
      <w:r w:rsidR="002454E7" w:rsidRPr="00BC11C5">
        <w:rPr>
          <w:bCs/>
        </w:rPr>
        <w:fldChar w:fldCharType="separate"/>
      </w:r>
      <w:r w:rsidR="00F5452D" w:rsidRPr="00F5452D">
        <w:rPr>
          <w:rFonts w:cs="Times New Roman"/>
        </w:rPr>
        <w:t>(Meyer et al., 2017; Verde &amp; Chiaramonti, 2021)</w:t>
      </w:r>
      <w:r w:rsidR="002454E7" w:rsidRPr="00BC11C5">
        <w:rPr>
          <w:bCs/>
        </w:rPr>
        <w:fldChar w:fldCharType="end"/>
      </w:r>
      <w:r w:rsidRPr="00BC11C5">
        <w:rPr>
          <w:bCs/>
        </w:rPr>
        <w:t xml:space="preserve">. Biochar product price also plays a role. We identified a current product price range of about $500-$1700 per tonne of </w:t>
      </w:r>
      <w:r w:rsidR="00F76894" w:rsidRPr="00BC11C5">
        <w:rPr>
          <w:bCs/>
        </w:rPr>
        <w:t xml:space="preserve">wholesale </w:t>
      </w:r>
      <w:r w:rsidRPr="00BC11C5">
        <w:rPr>
          <w:bCs/>
        </w:rPr>
        <w:t xml:space="preserve">biochar, which is likely too high to be competitive with conventional agricultural inputs or the other products that bulk biochar may substitute. This high price may for now induce increased interest in production while limiting widespread adoption of biochar product use at scale. </w:t>
      </w:r>
    </w:p>
    <w:p w14:paraId="34222FBE" w14:textId="4EEBECBF" w:rsidR="00D1508C" w:rsidRPr="00BC11C5" w:rsidRDefault="551A77D0" w:rsidP="005D49A8">
      <w:pPr>
        <w:pStyle w:val="Heading3"/>
      </w:pPr>
      <w:bookmarkStart w:id="11" w:name="_Toc68791431"/>
      <w:bookmarkStart w:id="12" w:name="_Toc68791432"/>
      <w:bookmarkEnd w:id="11"/>
      <w:r w:rsidRPr="00BC11C5">
        <w:lastRenderedPageBreak/>
        <w:t>Adoption</w:t>
      </w:r>
      <w:r w:rsidR="006E6C65" w:rsidRPr="00BC11C5">
        <w:t xml:space="preserve"> </w:t>
      </w:r>
      <w:r w:rsidRPr="00BC11C5">
        <w:t>Potential</w:t>
      </w:r>
      <w:bookmarkEnd w:id="12"/>
    </w:p>
    <w:p w14:paraId="02CEEE4C" w14:textId="1232918B" w:rsidR="00BB6E26" w:rsidRPr="00BC11C5" w:rsidRDefault="008423B5" w:rsidP="00BB6E26">
      <w:pPr>
        <w:spacing w:after="0"/>
        <w:rPr>
          <w:bCs/>
        </w:rPr>
      </w:pPr>
      <w:r w:rsidRPr="00BC11C5">
        <w:rPr>
          <w:bCs/>
        </w:rPr>
        <w:t xml:space="preserve">The current adoption of biochar can be contextualized by comparing it with </w:t>
      </w:r>
      <w:r w:rsidR="00D33951" w:rsidRPr="00BC11C5">
        <w:rPr>
          <w:bCs/>
        </w:rPr>
        <w:t>the amount of feedstock available for conversion and the total addressable markets for product use</w:t>
      </w:r>
      <w:r w:rsidRPr="00BC11C5">
        <w:rPr>
          <w:bCs/>
        </w:rPr>
        <w:t xml:space="preserve">. </w:t>
      </w:r>
      <w:r w:rsidR="00BB6E26" w:rsidRPr="00BC11C5">
        <w:rPr>
          <w:bCs/>
        </w:rPr>
        <w:t>Feedstock availability will</w:t>
      </w:r>
      <w:r w:rsidR="00F5452D">
        <w:rPr>
          <w:bCs/>
        </w:rPr>
        <w:t>, in the long term,</w:t>
      </w:r>
      <w:r w:rsidR="00BB6E26" w:rsidRPr="00BC11C5">
        <w:rPr>
          <w:bCs/>
        </w:rPr>
        <w:t xml:space="preserve"> likely provide an upper constraint to global biochar production and other similar </w:t>
      </w:r>
      <w:r w:rsidR="00BF7B31">
        <w:rPr>
          <w:bCs/>
        </w:rPr>
        <w:t>CDR</w:t>
      </w:r>
      <w:r w:rsidR="00BB6E26" w:rsidRPr="00BC11C5">
        <w:rPr>
          <w:bCs/>
        </w:rPr>
        <w:t xml:space="preserve"> methods. Though previous studies have identified large potential feedstock availability </w:t>
      </w:r>
      <w:r w:rsidR="00BB6E26" w:rsidRPr="00BC11C5">
        <w:rPr>
          <w:bCs/>
        </w:rPr>
        <w:fldChar w:fldCharType="begin"/>
      </w:r>
      <w:r w:rsidR="00BB6E26" w:rsidRPr="00BC11C5">
        <w:rPr>
          <w:bCs/>
        </w:rPr>
        <w:instrText xml:space="preserve"> ADDIN ZOTERO_ITEM CSL_CITATION {"citationID":"AheFSwd1","properties":{"formattedCitation":"(Woolf et al., 2010)","plainCitation":"(Woolf et al., 2010)","noteIndex":0},"citationItems":[{"id":1241,"uris":["http://zotero.org/users/7422708/items/UT82A5YB"],"uri":["http://zotero.org/users/7422708/items/UT82A5YB"],"itemData":{"id":1241,"type":"article-journal","container-title":"Nature Communications","DOI":"10.1038/ncomms1053","ISSN":"2041-1723","issue":"1","journalAbbreviation":"Nat Commun","language":"en","page":"56","source":"DOI.org (Crossref)","title":"Sustainable biochar to mitigate global climate change","volume":"1","author":[{"family":"Woolf","given":"Dominic"},{"family":"Amonette","given":"James E."},{"family":"Street-Perrott","given":"F. Alayne"},{"family":"Lehmann","given":"Johannes"},{"family":"Joseph","given":"Stephen"}],"issued":{"date-parts":[["2010",12]]}}}],"schema":"https://github.com/citation-style-language/schema/raw/master/csl-citation.json"} </w:instrText>
      </w:r>
      <w:r w:rsidR="00BB6E26" w:rsidRPr="00BC11C5">
        <w:rPr>
          <w:bCs/>
        </w:rPr>
        <w:fldChar w:fldCharType="separate"/>
      </w:r>
      <w:r w:rsidR="00BB6E26" w:rsidRPr="00BC11C5">
        <w:rPr>
          <w:rFonts w:cs="Times New Roman"/>
        </w:rPr>
        <w:t>(Woolf et al., 2010)</w:t>
      </w:r>
      <w:r w:rsidR="00BB6E26" w:rsidRPr="00BC11C5">
        <w:rPr>
          <w:bCs/>
        </w:rPr>
        <w:fldChar w:fldCharType="end"/>
      </w:r>
      <w:r w:rsidR="00BB6E26" w:rsidRPr="00BC11C5">
        <w:rPr>
          <w:bCs/>
        </w:rPr>
        <w:t xml:space="preserve">, these feedstocks are expected to come under </w:t>
      </w:r>
      <w:r w:rsidR="00D53CC5">
        <w:rPr>
          <w:bCs/>
        </w:rPr>
        <w:t>increasing pressure as the world</w:t>
      </w:r>
      <w:r w:rsidR="00BB6E26" w:rsidRPr="00BC11C5">
        <w:rPr>
          <w:bCs/>
        </w:rPr>
        <w:t xml:space="preserve"> balances the needs for feeding people, restoring ecosystems, and generating bio-energy and other bio-products </w:t>
      </w:r>
      <w:r w:rsidR="00BB6E26" w:rsidRPr="00BC11C5">
        <w:rPr>
          <w:bCs/>
        </w:rPr>
        <w:fldChar w:fldCharType="begin"/>
      </w:r>
      <w:r w:rsidR="00444D9E" w:rsidRPr="00BC11C5">
        <w:rPr>
          <w:bCs/>
        </w:rPr>
        <w:instrText xml:space="preserve"> ADDIN ZOTERO_ITEM CSL_CITATION {"citationID":"eOzzzxr7","properties":{"formattedCitation":"(Toensmeier &amp; Garrity, 2020)","plainCitation":"(Toensmeier &amp; Garrity, 2020)","noteIndex":0},"citationItems":[{"id":1215,"uris":["http://zotero.org/users/7422708/items/ISEGTA9G"],"uri":["http://zotero.org/users/7422708/items/ISEGTA9G"],"itemData":{"id":1215,"type":"webpage","abstract":"Current plans for drawing down carbon dioxide call for more trees, grasses and crop residues than Earth can spare","container-title":"Scientific American","language":"en","note":"DOI: 10.1038/scientificamerican0820-64","title":"How Climate Change Strategies That Use Biomass Can Be More Realistic","URL":"https://www.scientificamerican.com/article/how-climate-change-strategies-that-use-biomass-can-be-more-realistic/","author":[{"family":"Toensmeier","given":"Eric"},{"family":"Garrity","given":"Dennis"}],"accessed":{"date-parts":[["2021",1,22]]},"issued":{"date-parts":[["2020"]]}}}],"schema":"https://github.com/citation-style-language/schema/raw/master/csl-citation.json"} </w:instrText>
      </w:r>
      <w:r w:rsidR="00BB6E26" w:rsidRPr="00BC11C5">
        <w:rPr>
          <w:bCs/>
        </w:rPr>
        <w:fldChar w:fldCharType="separate"/>
      </w:r>
      <w:r w:rsidR="00444D9E" w:rsidRPr="00BC11C5">
        <w:rPr>
          <w:rFonts w:cs="Times New Roman"/>
        </w:rPr>
        <w:t>(Toensmeier &amp; Garrity, 2020)</w:t>
      </w:r>
      <w:r w:rsidR="00BB6E26" w:rsidRPr="00BC11C5">
        <w:rPr>
          <w:bCs/>
        </w:rPr>
        <w:fldChar w:fldCharType="end"/>
      </w:r>
      <w:r w:rsidR="00BB6E26" w:rsidRPr="00BC11C5">
        <w:rPr>
          <w:bCs/>
        </w:rPr>
        <w:t>. Eve</w:t>
      </w:r>
      <w:r w:rsidR="004C6989" w:rsidRPr="00BC11C5">
        <w:rPr>
          <w:bCs/>
        </w:rPr>
        <w:t>n when considering wastes as</w:t>
      </w:r>
      <w:r w:rsidR="00BB6E26" w:rsidRPr="00BC11C5">
        <w:rPr>
          <w:bCs/>
        </w:rPr>
        <w:t xml:space="preserve"> feedstock </w:t>
      </w:r>
      <w:r w:rsidR="00BB6E26" w:rsidRPr="00BC11C5">
        <w:rPr>
          <w:bCs/>
        </w:rPr>
        <w:fldChar w:fldCharType="begin"/>
      </w:r>
      <w:r w:rsidR="00BB6E26" w:rsidRPr="00BC11C5">
        <w:rPr>
          <w:bCs/>
        </w:rPr>
        <w:instrText xml:space="preserve"> ADDIN ZOTERO_ITEM CSL_CITATION {"citationID":"Qztw0KT3","properties":{"formattedCitation":"(Langholtz et al., 2016)","plainCitation":"(Langholtz et al., 2016)","noteIndex":0},"citationItems":[{"id":1321,"uris":["http://zotero.org/users/7422708/items/K6WAT533"],"uri":["http://zotero.org/users/7422708/items/K6WAT533"],"itemData":{"id":1321,"type":"report","language":"en","note":"DOI: 10.2172/1271651","number":"DOE/EE-1440, ORNL/TM-2016/160, 1271651","page":"DOE/EE-1440, ORNL/TM-2016/160, 1271651","source":"DOI.org (Crossref)","title":"2016 Billion-Ton Report: Advancing Domestic Resources for a Thriving Bioeconomy","title-short":"2016 Billion-Ton Report","URL":"http://www.osti.gov/servlets/purl/1271651/","author":[{"family":"Langholtz","given":"M. H."},{"family":"Stokes","given":"B. J."},{"family":"Eaton","given":"L. M."}],"accessed":{"date-parts":[["2021",3,2]]},"issued":{"date-parts":[["2016",7,6]]}}}],"schema":"https://github.com/citation-style-language/schema/raw/master/csl-citation.json"} </w:instrText>
      </w:r>
      <w:r w:rsidR="00BB6E26" w:rsidRPr="00BC11C5">
        <w:rPr>
          <w:bCs/>
        </w:rPr>
        <w:fldChar w:fldCharType="separate"/>
      </w:r>
      <w:r w:rsidR="00BB6E26" w:rsidRPr="00BC11C5">
        <w:rPr>
          <w:rFonts w:cs="Times New Roman"/>
        </w:rPr>
        <w:t>(Langholtz et al., 2016)</w:t>
      </w:r>
      <w:r w:rsidR="00BB6E26" w:rsidRPr="00BC11C5">
        <w:rPr>
          <w:bCs/>
        </w:rPr>
        <w:fldChar w:fldCharType="end"/>
      </w:r>
      <w:r w:rsidR="00BB6E26" w:rsidRPr="00BC11C5">
        <w:rPr>
          <w:bCs/>
        </w:rPr>
        <w:t xml:space="preserve">, challenges remain at scale, such as separating waste streams and developing the </w:t>
      </w:r>
      <w:r w:rsidR="004C6989" w:rsidRPr="00BC11C5">
        <w:rPr>
          <w:bCs/>
        </w:rPr>
        <w:t>infrastructure to transport</w:t>
      </w:r>
      <w:r w:rsidR="00BB6E26" w:rsidRPr="00BC11C5">
        <w:rPr>
          <w:bCs/>
        </w:rPr>
        <w:t xml:space="preserve"> or co-locate them with conversion facilities and end uses. </w:t>
      </w:r>
    </w:p>
    <w:p w14:paraId="08EDCF5B" w14:textId="0974216F" w:rsidR="008423B5" w:rsidRPr="00BC11C5" w:rsidRDefault="00BB6E26" w:rsidP="008423B5">
      <w:pPr>
        <w:spacing w:after="0"/>
        <w:rPr>
          <w:bCs/>
        </w:rPr>
      </w:pPr>
      <w:r w:rsidRPr="00BC11C5">
        <w:rPr>
          <w:bCs/>
        </w:rPr>
        <w:t xml:space="preserve">Biochar can additionally be considered in </w:t>
      </w:r>
      <w:r w:rsidR="00D53CC5">
        <w:rPr>
          <w:bCs/>
        </w:rPr>
        <w:t xml:space="preserve">the </w:t>
      </w:r>
      <w:r w:rsidRPr="00BC11C5">
        <w:rPr>
          <w:bCs/>
        </w:rPr>
        <w:t xml:space="preserve">context of a projected global demand for </w:t>
      </w:r>
      <w:r w:rsidR="00F5452D">
        <w:rPr>
          <w:bCs/>
        </w:rPr>
        <w:t>CDR</w:t>
      </w:r>
      <w:r w:rsidRPr="00BC11C5">
        <w:rPr>
          <w:bCs/>
        </w:rPr>
        <w:t xml:space="preserve"> which may be on the order of </w:t>
      </w:r>
      <w:r w:rsidR="008423B5" w:rsidRPr="00BC11C5">
        <w:rPr>
          <w:bCs/>
        </w:rPr>
        <w:t>five Gt</w:t>
      </w:r>
      <w:r w:rsidR="00F76894" w:rsidRPr="00BC11C5">
        <w:rPr>
          <w:bCs/>
        </w:rPr>
        <w:t xml:space="preserve"> </w:t>
      </w:r>
      <w:r w:rsidR="008423B5" w:rsidRPr="00BC11C5">
        <w:rPr>
          <w:bCs/>
        </w:rPr>
        <w:t>CO</w:t>
      </w:r>
      <w:r w:rsidR="008423B5" w:rsidRPr="00BC11C5">
        <w:rPr>
          <w:bCs/>
          <w:vertAlign w:val="subscript"/>
        </w:rPr>
        <w:t>2</w:t>
      </w:r>
      <w:r w:rsidR="008423B5" w:rsidRPr="00BC11C5">
        <w:rPr>
          <w:bCs/>
        </w:rPr>
        <w:t xml:space="preserve">e per year in 2050 </w:t>
      </w:r>
      <w:r w:rsidR="008423B5" w:rsidRPr="00BC11C5">
        <w:rPr>
          <w:bCs/>
        </w:rPr>
        <w:fldChar w:fldCharType="begin"/>
      </w:r>
      <w:r w:rsidR="008423B5" w:rsidRPr="00BC11C5">
        <w:rPr>
          <w:bCs/>
        </w:rPr>
        <w:instrText xml:space="preserve"> ADDIN ZOTERO_ITEM CSL_CITATION {"citationID":"Vw64Nb3W","properties":{"formattedCitation":"(Minx et al., 2018)","plainCitation":"(Minx et al., 2018)","noteIndex":0},"citationItems":[{"id":1135,"uris":["http://zotero.org/users/7422708/items/SZCK8VUA"],"uri":["http://zotero.org/users/7422708/items/SZCK8VUA"],"itemData":{"id":1135,"type":"article-journal","abstract":"With the Paris Agreement’s ambition of limiting climate change to well below 2 ◦C, negative emission technologies (NETs) have moved into the limelight of discussions in climate science and policy. Despite several assessments, the current knowledge on NETs is still diffuse and incomplete, but also growing fast. Here, we synthesize a comprehensive body of NETs literature, using scientometric tools and performing an in-depth assessment of the quantitative and qualitative evidence therein. We clarify the role of NETs in climate change mitigation scenarios, their ethical implications, as well as the challenges involved in bringing the various NETs to the market and scaling them up in time. There are six major ﬁndings arising from our assessment: ﬁrst, keeping warming below 1.5 ◦C requires the large-scale deployment of NETs, but this dependency can still be kept to a minimum for the 2 ◦C warming limit. Second, accounting for economic and biophysical limits, we identify relevant potentials for all NETs except ocean fertilization. Third, any single NET is unlikely to sustainably achieve the large NETs deployment observed in many 1.5 ◦C and 2 ◦C mitigation scenarios. Yet, portfolios of multiple NETs, each deployed at modest scales, could be invaluable for reaching the climate goals. Fourth, a substantial gap exists between the upscaling and rapid diffusion of NETs implied in scenarios and progress in actual innovation and deployment. If NETs are required at the scales currently discussed, the resulting urgency of implementation is currently neither reﬂected in science nor policy. Fifth, NETs face severe barriers to implementation and are only weakly incentivized so far. Finally, we identify distinct ethical discourses relevant for NETs, but highlight the need to root them ﬁrmly in the available evidence in order to render such discussions relevant in practice.","container-title":"Environmental Research Letters","DOI":"10.1088/1748-9326/aabf9b","ISSN":"1748-9326","issue":"6","journalAbbreviation":"Environ. Res. Lett.","language":"en","page":"063001","source":"DOI.org (Crossref)","title":"Negative emissions—Part 1: Research landscape and synthesis","title-short":"Negative emissions—Part 1","volume":"13","author":[{"family":"Minx","given":"Jan C"},{"family":"Lamb","given":"William F"},{"family":"Callaghan","given":"Max W"},{"family":"Fuss","given":"Sabine"},{"family":"Hilaire","given":"Jérôme"},{"family":"Creutzig","given":"Felix"},{"family":"Amann","given":"Thorben"},{"family":"Beringer","given":"Tim"},{"family":"Oliveira Garcia","given":"Wagner","non-dropping-particle":"de"},{"family":"Hartmann","given":"Jens"},{"family":"Khanna","given":"Tarun"},{"family":"Lenzi","given":"Dominic"},{"family":"Luderer","given":"Gunnar"},{"family":"Nemet","given":"Gregory F"},{"family":"Rogelj","given":"Joeri"},{"family":"Smith","given":"Pete"},{"family":"Vicente Vicente","given":"Jose Luis"},{"family":"Wilcox","given":"Jennifer"},{"family":"Mar Zamora Dominguez","given":"Maria","non-dropping-particle":"del"}],"issued":{"date-parts":[["2018",6,1]]}}}],"schema":"https://github.com/citation-style-language/schema/raw/master/csl-citation.json"} </w:instrText>
      </w:r>
      <w:r w:rsidR="008423B5" w:rsidRPr="00BC11C5">
        <w:rPr>
          <w:bCs/>
        </w:rPr>
        <w:fldChar w:fldCharType="separate"/>
      </w:r>
      <w:r w:rsidR="008423B5" w:rsidRPr="00BC11C5">
        <w:rPr>
          <w:rFonts w:cs="Times New Roman"/>
        </w:rPr>
        <w:t>(Minx et al., 2018)</w:t>
      </w:r>
      <w:r w:rsidR="008423B5" w:rsidRPr="00BC11C5">
        <w:rPr>
          <w:bCs/>
        </w:rPr>
        <w:fldChar w:fldCharType="end"/>
      </w:r>
      <w:r w:rsidR="008423B5" w:rsidRPr="00BC11C5">
        <w:rPr>
          <w:bCs/>
        </w:rPr>
        <w:t xml:space="preserve">. Current biochar production, according </w:t>
      </w:r>
      <w:r w:rsidR="00BF7B31">
        <w:rPr>
          <w:bCs/>
        </w:rPr>
        <w:t xml:space="preserve">to </w:t>
      </w:r>
      <w:r w:rsidR="008423B5" w:rsidRPr="00BC11C5">
        <w:rPr>
          <w:bCs/>
        </w:rPr>
        <w:t xml:space="preserve">the last available global estimate, would contribute less than 0.01% to this figure, though this is </w:t>
      </w:r>
      <w:r w:rsidR="00D33951" w:rsidRPr="00BC11C5">
        <w:rPr>
          <w:bCs/>
        </w:rPr>
        <w:t>not surprising, considering that many other CDR methods are at a similar low level of adoption</w:t>
      </w:r>
      <w:r w:rsidR="008423B5" w:rsidRPr="00BC11C5">
        <w:rPr>
          <w:bCs/>
        </w:rPr>
        <w:t xml:space="preserve">. </w:t>
      </w:r>
      <w:r w:rsidR="002D2185" w:rsidRPr="00BC11C5">
        <w:rPr>
          <w:bCs/>
        </w:rPr>
        <w:t xml:space="preserve">Given that a prominent </w:t>
      </w:r>
      <w:r w:rsidR="008423B5" w:rsidRPr="00BC11C5">
        <w:rPr>
          <w:bCs/>
        </w:rPr>
        <w:t>use o</w:t>
      </w:r>
      <w:r w:rsidRPr="00BC11C5">
        <w:rPr>
          <w:bCs/>
        </w:rPr>
        <w:t>f biochar is as an agri</w:t>
      </w:r>
      <w:r w:rsidR="002D2185" w:rsidRPr="00BC11C5">
        <w:rPr>
          <w:bCs/>
        </w:rPr>
        <w:t>cultural input or soil amendment,</w:t>
      </w:r>
      <w:r w:rsidR="008423B5" w:rsidRPr="00BC11C5">
        <w:rPr>
          <w:bCs/>
        </w:rPr>
        <w:t xml:space="preserve"> we can also </w:t>
      </w:r>
      <w:r w:rsidR="002D2185" w:rsidRPr="00BC11C5">
        <w:rPr>
          <w:bCs/>
        </w:rPr>
        <w:t xml:space="preserve">compare biochar production to </w:t>
      </w:r>
      <w:r w:rsidR="008423B5" w:rsidRPr="00BC11C5">
        <w:rPr>
          <w:bCs/>
        </w:rPr>
        <w:t>the fer</w:t>
      </w:r>
      <w:r w:rsidR="002D2185" w:rsidRPr="00BC11C5">
        <w:rPr>
          <w:bCs/>
        </w:rPr>
        <w:t xml:space="preserve">tilizer industry – </w:t>
      </w:r>
      <w:r w:rsidRPr="00BC11C5">
        <w:rPr>
          <w:bCs/>
        </w:rPr>
        <w:t>c</w:t>
      </w:r>
      <w:r w:rsidR="008423B5" w:rsidRPr="00BC11C5">
        <w:rPr>
          <w:bCs/>
        </w:rPr>
        <w:t xml:space="preserve">urrent biochar production represents less than 0.05% of </w:t>
      </w:r>
      <w:r w:rsidR="002D2185" w:rsidRPr="00BC11C5">
        <w:rPr>
          <w:bCs/>
        </w:rPr>
        <w:t xml:space="preserve">current </w:t>
      </w:r>
      <w:r w:rsidR="008423B5" w:rsidRPr="00BC11C5">
        <w:rPr>
          <w:bCs/>
        </w:rPr>
        <w:t xml:space="preserve">global fertilizer consumption </w:t>
      </w:r>
      <w:r w:rsidR="00F5452D">
        <w:rPr>
          <w:bCs/>
        </w:rPr>
        <w:t>in a</w:t>
      </w:r>
      <w:r w:rsidR="008423B5" w:rsidRPr="00BC11C5">
        <w:rPr>
          <w:bCs/>
        </w:rPr>
        <w:t xml:space="preserve"> mass</w:t>
      </w:r>
      <w:r w:rsidR="00F5452D">
        <w:rPr>
          <w:bCs/>
        </w:rPr>
        <w:t xml:space="preserve"> comparison</w:t>
      </w:r>
      <w:r w:rsidR="008423B5" w:rsidRPr="00BC11C5">
        <w:rPr>
          <w:bCs/>
        </w:rPr>
        <w:t xml:space="preserve"> </w:t>
      </w:r>
      <w:r w:rsidR="008423B5" w:rsidRPr="00BC11C5">
        <w:rPr>
          <w:bCs/>
        </w:rPr>
        <w:fldChar w:fldCharType="begin"/>
      </w:r>
      <w:r w:rsidR="008423B5" w:rsidRPr="00BC11C5">
        <w:rPr>
          <w:bCs/>
        </w:rPr>
        <w:instrText xml:space="preserve"> ADDIN ZOTERO_ITEM CSL_CITATION {"citationID":"sttRmFz1","properties":{"formattedCitation":"(FAO, 2017)","plainCitation":"(FAO, 2017)","noteIndex":0},"citationItems":[{"id":1325,"uris":["http://zotero.org/users/7422708/items/4EG2RUPS"],"uri":["http://zotero.org/users/7422708/items/4EG2RUPS"],"itemData":{"id":1325,"type":"article","language":"en","publisher":"Food and Agriculture Organization of the United Nations","source":"Zotero","title":"World fertilizer trends and outlook to 2020","URL":"http://www.fao.org/3/i6895e/i6895e.pdf","author":[{"family":"FAO","given":""}],"issued":{"date-parts":[["2017"]]}}}],"schema":"https://github.com/citation-style-language/schema/raw/master/csl-citation.json"} </w:instrText>
      </w:r>
      <w:r w:rsidR="008423B5" w:rsidRPr="00BC11C5">
        <w:rPr>
          <w:bCs/>
        </w:rPr>
        <w:fldChar w:fldCharType="separate"/>
      </w:r>
      <w:r w:rsidR="008423B5" w:rsidRPr="00BC11C5">
        <w:rPr>
          <w:rFonts w:cs="Times New Roman"/>
        </w:rPr>
        <w:t>(FAO, 2017)</w:t>
      </w:r>
      <w:r w:rsidR="008423B5" w:rsidRPr="00BC11C5">
        <w:rPr>
          <w:bCs/>
        </w:rPr>
        <w:fldChar w:fldCharType="end"/>
      </w:r>
      <w:r w:rsidR="008423B5" w:rsidRPr="00BC11C5">
        <w:rPr>
          <w:bCs/>
        </w:rPr>
        <w:t xml:space="preserve">. </w:t>
      </w:r>
    </w:p>
    <w:p w14:paraId="12A2F24A" w14:textId="17FC28A3" w:rsidR="001C49CB" w:rsidRPr="00BC11C5" w:rsidRDefault="00551688" w:rsidP="00483FFA">
      <w:pPr>
        <w:pStyle w:val="Heading2"/>
        <w:numPr>
          <w:ilvl w:val="1"/>
          <w:numId w:val="26"/>
        </w:numPr>
      </w:pPr>
      <w:bookmarkStart w:id="13" w:name="_Toc68791433"/>
      <w:r>
        <w:t xml:space="preserve">Advantages </w:t>
      </w:r>
      <w:r w:rsidR="551A77D0" w:rsidRPr="00BC11C5">
        <w:t xml:space="preserve">and </w:t>
      </w:r>
      <w:r w:rsidR="000E552A">
        <w:t>D</w:t>
      </w:r>
      <w:r w:rsidR="551A77D0" w:rsidRPr="00BC11C5">
        <w:t>isadvantages of</w:t>
      </w:r>
      <w:r w:rsidR="002D2185" w:rsidRPr="00BC11C5">
        <w:t xml:space="preserve"> </w:t>
      </w:r>
      <w:r w:rsidR="000E552A">
        <w:rPr>
          <w:b w:val="0"/>
        </w:rPr>
        <w:t>B</w:t>
      </w:r>
      <w:r w:rsidR="002D2185" w:rsidRPr="00BC11C5">
        <w:t>iochar</w:t>
      </w:r>
      <w:r w:rsidR="000E552A">
        <w:t xml:space="preserve"> Production</w:t>
      </w:r>
      <w:bookmarkEnd w:id="13"/>
    </w:p>
    <w:p w14:paraId="473285D3" w14:textId="77777777" w:rsidR="00202788" w:rsidRPr="00BC11C5" w:rsidRDefault="551A77D0" w:rsidP="005D49A8">
      <w:pPr>
        <w:pStyle w:val="Heading3"/>
      </w:pPr>
      <w:bookmarkStart w:id="14" w:name="_Toc68791434"/>
      <w:r w:rsidRPr="00BC11C5">
        <w:t>Similar Solutions</w:t>
      </w:r>
      <w:bookmarkEnd w:id="14"/>
    </w:p>
    <w:p w14:paraId="4B7E25EB" w14:textId="0290A736" w:rsidR="002D2185" w:rsidRPr="00BC11C5" w:rsidRDefault="00025D50" w:rsidP="00025D50">
      <w:r w:rsidRPr="00BC11C5">
        <w:t>Biochar production is related to several ot</w:t>
      </w:r>
      <w:r w:rsidR="009C5FCD" w:rsidRPr="00BC11C5">
        <w:t>h</w:t>
      </w:r>
      <w:r w:rsidR="00C225F9" w:rsidRPr="00BC11C5">
        <w:t xml:space="preserve">er </w:t>
      </w:r>
      <w:r w:rsidR="00724242" w:rsidRPr="00BC11C5">
        <w:t xml:space="preserve">climate solutions. </w:t>
      </w:r>
      <w:r w:rsidR="004C6989" w:rsidRPr="00BC11C5">
        <w:t>Carbon dioxide removal</w:t>
      </w:r>
      <w:r w:rsidR="00724242" w:rsidRPr="00BC11C5">
        <w:t xml:space="preserve"> methods can be broadly classified accordi</w:t>
      </w:r>
      <w:r w:rsidR="004C6989" w:rsidRPr="00BC11C5">
        <w:t>ng to their sequestration process</w:t>
      </w:r>
      <w:r w:rsidR="00724242" w:rsidRPr="00BC11C5">
        <w:t xml:space="preserve"> as natural, engineer</w:t>
      </w:r>
      <w:r w:rsidR="00BF7B31">
        <w:t>ed, or hybrid</w:t>
      </w:r>
      <w:r w:rsidR="00494AF9">
        <w:t xml:space="preserve"> (</w:t>
      </w:r>
      <w:r w:rsidR="00494AF9">
        <w:fldChar w:fldCharType="begin"/>
      </w:r>
      <w:r w:rsidR="00494AF9">
        <w:instrText xml:space="preserve"> REF _Ref66277257 \h </w:instrText>
      </w:r>
      <w:r w:rsidR="00494AF9">
        <w:fldChar w:fldCharType="separate"/>
      </w:r>
      <w:r w:rsidR="00494AF9">
        <w:t xml:space="preserve">Figure </w:t>
      </w:r>
      <w:r w:rsidR="00494AF9">
        <w:rPr>
          <w:noProof/>
        </w:rPr>
        <w:t>1</w:t>
      </w:r>
      <w:r w:rsidR="00494AF9">
        <w:fldChar w:fldCharType="end"/>
      </w:r>
      <w:r w:rsidR="00494AF9">
        <w:t>)</w:t>
      </w:r>
      <w:r w:rsidR="00724242" w:rsidRPr="00BC11C5">
        <w:t xml:space="preserve">. Hybrid methods combine </w:t>
      </w:r>
      <w:r w:rsidR="00494AF9">
        <w:t>natural</w:t>
      </w:r>
      <w:r w:rsidR="00724242" w:rsidRPr="00BC11C5">
        <w:t xml:space="preserve"> carbon capture with engineered feedstock conversion or carbon storage methods. Two </w:t>
      </w:r>
      <w:r w:rsidR="004C6989" w:rsidRPr="00BC11C5">
        <w:t xml:space="preserve">relevant </w:t>
      </w:r>
      <w:r w:rsidR="00724242" w:rsidRPr="00BC11C5">
        <w:t>sub-classes of hybrid CDR methods are BECCS (bioenergy with capture and storage) and BiCRS (bioma</w:t>
      </w:r>
      <w:r w:rsidR="004C6989" w:rsidRPr="00BC11C5">
        <w:t xml:space="preserve">ss carbon removal and storage). </w:t>
      </w:r>
      <w:r w:rsidR="00724242" w:rsidRPr="00BC11C5">
        <w:t xml:space="preserve">The term BiCRS has been recently proposed as a distinction to BECCS, with the former placing greater emphasis on the carbon removal value of biomass rather than its energy value </w:t>
      </w:r>
      <w:r w:rsidR="00724242" w:rsidRPr="00BC11C5">
        <w:fldChar w:fldCharType="begin"/>
      </w:r>
      <w:r w:rsidR="00724242" w:rsidRPr="00BC11C5">
        <w:instrText xml:space="preserve"> ADDIN ZOTERO_ITEM CSL_CITATION {"citationID":"lj8OibhV","properties":{"formattedCitation":"(Sandalow et al., 2021)","plainCitation":"(Sandalow et al., 2021)","noteIndex":0},"citationItems":[{"id":1312,"uris":["http://zotero.org/users/7422708/items/R6IRGR2J"],"uri":["http://zotero.org/users/7422708/items/R6IRGR2J"],"itemData":{"id":1312,"type":"article","publisher":"Innovation for Cool Earth Forum","title":"Biomass Carbon Removal and Storage (BiCRS) Roadmap","URL":"https://www.icef-forum.org/pdf/2020/roadmap/roadmap.pdf?0128","author":[{"family":"Sandalow","given":"David"},{"family":"Aines","given":"Roger"},{"family":"Friedmann","given":"Julio"},{"family":"McCormick","given":"Colin"},{"family":"Sanchez","given":"Daniel L."}],"issued":{"date-parts":[["2021"]]}}}],"schema":"https://github.com/citation-style-language/schema/raw/master/csl-citation.json"} </w:instrText>
      </w:r>
      <w:r w:rsidR="00724242" w:rsidRPr="00BC11C5">
        <w:fldChar w:fldCharType="separate"/>
      </w:r>
      <w:r w:rsidR="00724242" w:rsidRPr="00BC11C5">
        <w:rPr>
          <w:rFonts w:cs="Times New Roman"/>
        </w:rPr>
        <w:t>(Sandalow et al., 2021)</w:t>
      </w:r>
      <w:r w:rsidR="00724242" w:rsidRPr="00BC11C5">
        <w:fldChar w:fldCharType="end"/>
      </w:r>
      <w:r w:rsidR="00724242" w:rsidRPr="00BC11C5">
        <w:t>. In practice these sub-classes contain many methods in commo</w:t>
      </w:r>
      <w:r w:rsidR="004C6989" w:rsidRPr="00BC11C5">
        <w:t xml:space="preserve">n. Biochar can be classified </w:t>
      </w:r>
      <w:r w:rsidR="00724242" w:rsidRPr="00BC11C5">
        <w:t xml:space="preserve">under BiCRS due to direct </w:t>
      </w:r>
      <w:r w:rsidR="00C116AF" w:rsidRPr="00BC11C5">
        <w:t>carbon sequestration capability. It can also be classified</w:t>
      </w:r>
      <w:r w:rsidR="00724242" w:rsidRPr="00BC11C5">
        <w:t xml:space="preserve"> under BECCS, in cases where energy co-products are generated</w:t>
      </w:r>
      <w:r w:rsidR="00C116AF" w:rsidRPr="00BC11C5">
        <w:t>, or</w:t>
      </w:r>
      <w:r w:rsidR="004C6989" w:rsidRPr="00BC11C5">
        <w:t>,</w:t>
      </w:r>
      <w:r w:rsidR="00C116AF" w:rsidRPr="00BC11C5">
        <w:t xml:space="preserve"> viewed from a different angle, when biochar is the by-product of a bioenergy production p</w:t>
      </w:r>
      <w:r w:rsidR="004C6989" w:rsidRPr="00BC11C5">
        <w:t>rocess. Finally, biochar can be generated directly for other end uses falling outside BECCS or BiCRS classification, with</w:t>
      </w:r>
      <w:r w:rsidR="00C116AF" w:rsidRPr="00BC11C5">
        <w:t xml:space="preserve"> carbon storage arising as a co-benefit. </w:t>
      </w:r>
    </w:p>
    <w:p w14:paraId="4D4016AD" w14:textId="12B9D3C4" w:rsidR="00C116AF" w:rsidRPr="00BC11C5" w:rsidRDefault="00C116AF" w:rsidP="00025D50">
      <w:r w:rsidRPr="00BC11C5">
        <w:lastRenderedPageBreak/>
        <w:t>Among the researched CDR methods, biochar is most closely related to soil carbon sequestration,</w:t>
      </w:r>
      <w:r w:rsidR="004C6989" w:rsidRPr="00BC11C5">
        <w:t xml:space="preserve"> which is</w:t>
      </w:r>
      <w:r w:rsidRPr="00BC11C5">
        <w:t xml:space="preserve"> typically classified as a natural CDR method. The two solutions may work in parallel, for example, by incorporating biochar into soil for carbon sequestration both in the biochar fraction and through increased in-situ soil carbon retention </w:t>
      </w:r>
      <w:r w:rsidRPr="00BC11C5">
        <w:fldChar w:fldCharType="begin"/>
      </w:r>
      <w:r w:rsidRPr="00BC11C5">
        <w:instrText xml:space="preserve"> ADDIN ZOTERO_ITEM CSL_CITATION {"citationID":"Xa8kjDXG","properties":{"formattedCitation":"(Blanco\\uc0\\u8208{}Canqui et al., 2020)","plainCitation":"(Blanco‐Canqui et al., 2020)","noteIndex":0},"citationItems":[{"id":1359,"uris":["http://zotero.org/users/7422708/items/ERFUCLSG"],"uri":["http://zotero.org/users/7422708/items/ERFUCLSG"],"itemData":{"id":1359,"type":"article-journal","abstract":"Applying biochar to agricultural soils has been proposed as a means of sequestering carbon (C) while simultaneously enhancing soil health and agricultural sustainability. However, our understanding of the long-term effects of biochar and annual versus perennial cropping systems and their interactions on soil properties under field conditions is limited. We quantified changes in soil C concentration and stocks, and other soil properties 6 years after biochar applications to corn (Zea mays L.) and dedicated bioenergy crops on a Midwestern US soil. Treatments were as follows: no-till continuous corn, Liberty switchgrass (Panicum virgatum L.), and lowdiversity prairie grasses, 45% big bluestem (Andropogon gerardii), 45% Indiangrass (Sorghastrum nutans), and 10% sideoats grama (Bouteloua curtipendula), as main plots, and wood biochar (9.3 Mg/ha with 63% total C) and no biochar applications as subplots. Biochar-amended plots accumulated more C (14.07 Mg soil C/ha vs. 2.25 Mg soil C/ha) than non-biochar-amended plots in the 0–30 cm soil depth but other soil properties were not significantly affected by the biochar amendments. The total increase in C stocks in the biochar-amended plots was nearly twice (14.07 Mg soil C/ha) the amount of C added with biochar 6 years earlier (7.25 Mg biochar C/ha), suggesting a negative priming effect of biochar on formation and/or mineralization of native soil organic C. Dedicated bioenergy crops increased soil C concentration by 79% and improved both aggregation and plant available water in the 0–5 cm soil depth. Biochar did not interact with the cropping systems. Overall, biochar has the potential to increase soil C stocks both directly and through negative priming, but, in this study, it had limited effects on other soil properties after 6 years.","container-title":"GCB Bioenergy","DOI":"10.1111/gcbb.12665","ISSN":"1757-1693, 1757-1707","issue":"4","journalAbbreviation":"GCB Bioenergy","language":"en","page":"240-251","source":"DOI.org (Crossref)","title":"Soil carbon increased by twice the amount of biochar carbon applied after 6 years: Field evidence of negative priming","title-short":"Soil carbon increased by twice the amount of biochar carbon applied after 6 years","volume":"12","author":[{"family":"Blanco‐Canqui","given":"Humberto"},{"family":"Laird","given":"David A."},{"family":"Heaton","given":"Emily A."},{"family":"Rathke","given":"Samuel"},{"family":"Acharya","given":"Bharat Sharma"}],"issued":{"date-parts":[["2020",4]]}}}],"schema":"https://github.com/citation-style-language/schema/raw/master/csl-citation.json"} </w:instrText>
      </w:r>
      <w:r w:rsidRPr="00BC11C5">
        <w:fldChar w:fldCharType="separate"/>
      </w:r>
      <w:r w:rsidRPr="00BC11C5">
        <w:rPr>
          <w:rFonts w:cs="Times New Roman"/>
          <w:szCs w:val="24"/>
        </w:rPr>
        <w:t>(Blanco‐Canqui et al., 2020)</w:t>
      </w:r>
      <w:r w:rsidRPr="00BC11C5">
        <w:fldChar w:fldCharType="end"/>
      </w:r>
      <w:r w:rsidRPr="00BC11C5">
        <w:t xml:space="preserve">. See Project Drawdown’s previously modeled solutions for additional practices and technologies that can lead to natural CDR. </w:t>
      </w:r>
      <w:r w:rsidR="00DC009E">
        <w:t>Other e</w:t>
      </w:r>
      <w:r w:rsidRPr="00BC11C5">
        <w:t xml:space="preserve">ngineered </w:t>
      </w:r>
      <w:r w:rsidR="00DC009E">
        <w:t xml:space="preserve">and hybrid </w:t>
      </w:r>
      <w:r w:rsidRPr="00BC11C5">
        <w:t xml:space="preserve">CDR </w:t>
      </w:r>
      <w:r w:rsidR="00DC009E">
        <w:t xml:space="preserve">solutions </w:t>
      </w:r>
      <w:r w:rsidRPr="00BC11C5">
        <w:t xml:space="preserve">will be examined in a forthcoming Project Drawdown publication. </w:t>
      </w:r>
    </w:p>
    <w:p w14:paraId="7B524D88" w14:textId="3C9F86EE" w:rsidR="00C225F9" w:rsidRDefault="00C225F9" w:rsidP="00025D50">
      <w:r>
        <w:rPr>
          <w:noProof/>
        </w:rPr>
        <w:drawing>
          <wp:inline distT="0" distB="0" distL="0" distR="0" wp14:anchorId="5E310500" wp14:editId="1611678A">
            <wp:extent cx="1688414" cy="6052820"/>
            <wp:effectExtent l="8255" t="0" r="0" b="0"/>
            <wp:docPr id="20" name="Picture 20" descr="C:\Users\JB\Documents\Work\Drawdown\CDR taxonomy - bio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688414" cy="6052820"/>
                    </a:xfrm>
                    <a:prstGeom prst="rect">
                      <a:avLst/>
                    </a:prstGeom>
                  </pic:spPr>
                </pic:pic>
              </a:graphicData>
            </a:graphic>
          </wp:inline>
        </w:drawing>
      </w:r>
    </w:p>
    <w:p w14:paraId="3230FB0C" w14:textId="0D2ACDC8" w:rsidR="00BF7B31" w:rsidRPr="00BC11C5" w:rsidRDefault="00BF7B31" w:rsidP="00BF7B31">
      <w:pPr>
        <w:pStyle w:val="Caption"/>
      </w:pPr>
      <w:bookmarkStart w:id="15" w:name="_Ref66277257"/>
      <w:bookmarkStart w:id="16" w:name="_Toc66286777"/>
      <w:bookmarkStart w:id="17" w:name="_Ref66277241"/>
      <w:r>
        <w:t xml:space="preserve">Figure </w:t>
      </w:r>
      <w:r w:rsidR="004F1E38">
        <w:rPr>
          <w:noProof/>
        </w:rPr>
        <w:fldChar w:fldCharType="begin"/>
      </w:r>
      <w:r w:rsidR="004F1E38">
        <w:rPr>
          <w:noProof/>
        </w:rPr>
        <w:instrText xml:space="preserve"> SEQ Figure \* ARABIC </w:instrText>
      </w:r>
      <w:r w:rsidR="004F1E38">
        <w:rPr>
          <w:noProof/>
        </w:rPr>
        <w:fldChar w:fldCharType="separate"/>
      </w:r>
      <w:r w:rsidR="001B193B">
        <w:rPr>
          <w:noProof/>
        </w:rPr>
        <w:t>1</w:t>
      </w:r>
      <w:r w:rsidR="004F1E38">
        <w:rPr>
          <w:noProof/>
        </w:rPr>
        <w:fldChar w:fldCharType="end"/>
      </w:r>
      <w:bookmarkEnd w:id="15"/>
      <w:r>
        <w:t>: Biochar and related solutions within a taxonomy of carbon dioxide removal methods</w:t>
      </w:r>
      <w:bookmarkEnd w:id="16"/>
      <w:r>
        <w:t xml:space="preserve"> </w:t>
      </w:r>
      <w:bookmarkEnd w:id="17"/>
    </w:p>
    <w:p w14:paraId="66FEF337" w14:textId="3A1111F5" w:rsidR="000330C6" w:rsidRPr="00BC11C5" w:rsidRDefault="551A77D0" w:rsidP="005D49A8">
      <w:pPr>
        <w:pStyle w:val="Heading3"/>
      </w:pPr>
      <w:bookmarkStart w:id="18" w:name="_Toc68791435"/>
      <w:r w:rsidRPr="00BC11C5">
        <w:t>Arguments for Adoption</w:t>
      </w:r>
      <w:bookmarkEnd w:id="18"/>
    </w:p>
    <w:p w14:paraId="2B7FB050" w14:textId="1886C026" w:rsidR="00B334A8" w:rsidRDefault="002C2307" w:rsidP="00B334A8">
      <w:pPr>
        <w:rPr>
          <w:color w:val="000000" w:themeColor="text1"/>
        </w:rPr>
      </w:pPr>
      <w:r w:rsidRPr="00BC11C5">
        <w:t xml:space="preserve">As with many climate solutions, especially those </w:t>
      </w:r>
      <w:r w:rsidR="00494AF9">
        <w:t>that convert</w:t>
      </w:r>
      <w:r w:rsidRPr="00BC11C5">
        <w:t xml:space="preserve"> biomass feedstocks, biochar production comes with tradeoffs. </w:t>
      </w:r>
      <w:r w:rsidR="00C46375">
        <w:t>We frame arguments for biocha</w:t>
      </w:r>
      <w:r w:rsidR="00D53CC5">
        <w:t>r adoption in two ways: a trade</w:t>
      </w:r>
      <w:r w:rsidR="00C46375">
        <w:t>offs comparison with similar solutions</w:t>
      </w:r>
      <w:r w:rsidR="004B17FC">
        <w:t xml:space="preserve"> (</w:t>
      </w:r>
      <w:r w:rsidR="004B17FC">
        <w:fldChar w:fldCharType="begin"/>
      </w:r>
      <w:r w:rsidR="004B17FC">
        <w:instrText xml:space="preserve"> REF _Ref66279691 \h </w:instrText>
      </w:r>
      <w:r w:rsidR="004B17FC">
        <w:fldChar w:fldCharType="separate"/>
      </w:r>
      <w:r w:rsidR="004B17FC">
        <w:t xml:space="preserve">Table </w:t>
      </w:r>
      <w:r w:rsidR="004B17FC">
        <w:rPr>
          <w:noProof/>
        </w:rPr>
        <w:t>1</w:t>
      </w:r>
      <w:r w:rsidR="004B17FC">
        <w:fldChar w:fldCharType="end"/>
      </w:r>
      <w:r w:rsidR="004B17FC">
        <w:t>)</w:t>
      </w:r>
      <w:r w:rsidR="00C46375">
        <w:t>, and a side-by-side comparison of additional benefits and burdens</w:t>
      </w:r>
      <w:r w:rsidR="004B17FC">
        <w:t xml:space="preserve"> (</w:t>
      </w:r>
      <w:r w:rsidR="004B17FC">
        <w:fldChar w:fldCharType="begin"/>
      </w:r>
      <w:r w:rsidR="004B17FC">
        <w:instrText xml:space="preserve"> REF _Ref66279708 \h </w:instrText>
      </w:r>
      <w:r w:rsidR="004B17FC">
        <w:fldChar w:fldCharType="separate"/>
      </w:r>
      <w:r w:rsidR="004B17FC">
        <w:t xml:space="preserve">Table </w:t>
      </w:r>
      <w:r w:rsidR="004B17FC">
        <w:rPr>
          <w:noProof/>
        </w:rPr>
        <w:t>2</w:t>
      </w:r>
      <w:r w:rsidR="004B17FC">
        <w:fldChar w:fldCharType="end"/>
      </w:r>
      <w:r w:rsidR="004B17FC">
        <w:t>)</w:t>
      </w:r>
      <w:r w:rsidR="00C46375">
        <w:t xml:space="preserve">. </w:t>
      </w:r>
    </w:p>
    <w:p w14:paraId="01805948" w14:textId="3256FE0C" w:rsidR="00494AF9" w:rsidRPr="00BC11C5" w:rsidRDefault="00E33E19" w:rsidP="00E33E19">
      <w:pPr>
        <w:pStyle w:val="Caption"/>
      </w:pPr>
      <w:bookmarkStart w:id="19" w:name="_Ref66279691"/>
      <w:bookmarkStart w:id="20" w:name="_Toc66286801"/>
      <w:bookmarkStart w:id="21" w:name="_Toc66286409"/>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1</w:t>
      </w:r>
      <w:r w:rsidR="004F1E38">
        <w:rPr>
          <w:noProof/>
        </w:rPr>
        <w:fldChar w:fldCharType="end"/>
      </w:r>
      <w:bookmarkEnd w:id="19"/>
      <w:r>
        <w:t xml:space="preserve">: </w:t>
      </w:r>
      <w:r w:rsidR="005F3F2A">
        <w:t>C</w:t>
      </w:r>
      <w:r>
        <w:t>omparative analysis of biochar and similar solutions</w:t>
      </w:r>
      <w:bookmarkEnd w:id="20"/>
      <w:r>
        <w:t xml:space="preserve"> </w:t>
      </w:r>
      <w:bookmarkEnd w:id="21"/>
    </w:p>
    <w:tbl>
      <w:tblPr>
        <w:tblStyle w:val="TableGrid"/>
        <w:tblW w:w="9383" w:type="dxa"/>
        <w:tblLook w:val="04A0" w:firstRow="1" w:lastRow="0" w:firstColumn="1" w:lastColumn="0" w:noHBand="0" w:noVBand="1"/>
      </w:tblPr>
      <w:tblGrid>
        <w:gridCol w:w="2965"/>
        <w:gridCol w:w="2139"/>
        <w:gridCol w:w="2139"/>
        <w:gridCol w:w="2140"/>
      </w:tblGrid>
      <w:tr w:rsidR="00494AF9" w:rsidRPr="00BC11C5" w14:paraId="2A00579F" w14:textId="77777777" w:rsidTr="00E92C26">
        <w:trPr>
          <w:cantSplit/>
          <w:trHeight w:val="594"/>
          <w:tblHeader/>
        </w:trPr>
        <w:tc>
          <w:tcPr>
            <w:tcW w:w="2965" w:type="dxa"/>
            <w:tcBorders>
              <w:bottom w:val="single" w:sz="4" w:space="0" w:color="auto"/>
            </w:tcBorders>
            <w:shd w:val="clear" w:color="auto" w:fill="4F81BD" w:themeFill="accent1"/>
          </w:tcPr>
          <w:p w14:paraId="33EDBFD3" w14:textId="77777777" w:rsidR="00494AF9" w:rsidRPr="00BC11C5" w:rsidRDefault="00494AF9" w:rsidP="00E92C26">
            <w:pPr>
              <w:spacing w:line="240" w:lineRule="auto"/>
              <w:jc w:val="center"/>
              <w:rPr>
                <w:b/>
                <w:color w:val="FFFFFF" w:themeColor="background1"/>
                <w:sz w:val="20"/>
                <w:szCs w:val="20"/>
              </w:rPr>
            </w:pPr>
          </w:p>
        </w:tc>
        <w:tc>
          <w:tcPr>
            <w:tcW w:w="2139" w:type="dxa"/>
            <w:shd w:val="clear" w:color="auto" w:fill="4F81BD" w:themeFill="accent1"/>
          </w:tcPr>
          <w:p w14:paraId="42E4E2FC" w14:textId="77777777" w:rsidR="00494AF9" w:rsidRPr="00BC11C5" w:rsidRDefault="00494AF9" w:rsidP="00E92C26">
            <w:pPr>
              <w:spacing w:line="240" w:lineRule="auto"/>
              <w:jc w:val="center"/>
              <w:rPr>
                <w:b/>
                <w:color w:val="FFFFFF" w:themeColor="background1"/>
                <w:sz w:val="20"/>
                <w:szCs w:val="20"/>
              </w:rPr>
            </w:pPr>
            <w:r w:rsidRPr="00BC11C5">
              <w:rPr>
                <w:b/>
                <w:color w:val="FFFFFF" w:themeColor="background1"/>
                <w:sz w:val="20"/>
                <w:szCs w:val="20"/>
              </w:rPr>
              <w:t>Biochar</w:t>
            </w:r>
          </w:p>
        </w:tc>
        <w:tc>
          <w:tcPr>
            <w:tcW w:w="2139" w:type="dxa"/>
            <w:shd w:val="clear" w:color="auto" w:fill="4F81BD" w:themeFill="accent1"/>
          </w:tcPr>
          <w:p w14:paraId="61E4C103" w14:textId="77777777" w:rsidR="00494AF9" w:rsidRPr="00BC11C5" w:rsidRDefault="00494AF9" w:rsidP="00E92C26">
            <w:pPr>
              <w:spacing w:line="240" w:lineRule="auto"/>
              <w:jc w:val="center"/>
              <w:rPr>
                <w:b/>
                <w:color w:val="FFFFFF" w:themeColor="background1"/>
                <w:sz w:val="20"/>
                <w:szCs w:val="20"/>
              </w:rPr>
            </w:pPr>
            <w:r w:rsidRPr="00BC11C5">
              <w:rPr>
                <w:b/>
                <w:color w:val="FFFFFF" w:themeColor="background1"/>
                <w:sz w:val="20"/>
                <w:szCs w:val="20"/>
              </w:rPr>
              <w:t>BECCS</w:t>
            </w:r>
          </w:p>
        </w:tc>
        <w:tc>
          <w:tcPr>
            <w:tcW w:w="2140" w:type="dxa"/>
            <w:shd w:val="clear" w:color="auto" w:fill="4F81BD" w:themeFill="accent1"/>
          </w:tcPr>
          <w:p w14:paraId="1FCD81FC" w14:textId="77777777" w:rsidR="00494AF9" w:rsidRPr="00BC11C5" w:rsidRDefault="00494AF9" w:rsidP="00E92C26">
            <w:pPr>
              <w:spacing w:line="240" w:lineRule="auto"/>
              <w:jc w:val="center"/>
              <w:rPr>
                <w:b/>
                <w:color w:val="FFFFFF" w:themeColor="background1"/>
                <w:sz w:val="20"/>
                <w:szCs w:val="20"/>
              </w:rPr>
            </w:pPr>
            <w:r w:rsidRPr="00BC11C5">
              <w:rPr>
                <w:b/>
                <w:color w:val="FFFFFF" w:themeColor="background1"/>
                <w:sz w:val="20"/>
                <w:szCs w:val="20"/>
              </w:rPr>
              <w:t>Soil carbon sequestration</w:t>
            </w:r>
          </w:p>
        </w:tc>
      </w:tr>
      <w:tr w:rsidR="00494AF9" w:rsidRPr="00BC11C5" w14:paraId="329EB212" w14:textId="77777777" w:rsidTr="00E92C26">
        <w:trPr>
          <w:trHeight w:val="334"/>
        </w:trPr>
        <w:tc>
          <w:tcPr>
            <w:tcW w:w="2965" w:type="dxa"/>
            <w:tcBorders>
              <w:top w:val="single" w:sz="4" w:space="0" w:color="auto"/>
            </w:tcBorders>
          </w:tcPr>
          <w:p w14:paraId="6A2E35A4" w14:textId="77777777" w:rsidR="00494AF9" w:rsidRPr="00BC11C5" w:rsidRDefault="00494AF9" w:rsidP="00E92C26">
            <w:pPr>
              <w:spacing w:line="240" w:lineRule="auto"/>
              <w:jc w:val="left"/>
              <w:rPr>
                <w:sz w:val="20"/>
                <w:szCs w:val="20"/>
              </w:rPr>
            </w:pPr>
            <w:r w:rsidRPr="00BC11C5">
              <w:rPr>
                <w:sz w:val="20"/>
                <w:szCs w:val="20"/>
              </w:rPr>
              <w:t>Carbon sequestration permanence</w:t>
            </w:r>
          </w:p>
        </w:tc>
        <w:tc>
          <w:tcPr>
            <w:tcW w:w="2139" w:type="dxa"/>
            <w:shd w:val="clear" w:color="auto" w:fill="auto"/>
          </w:tcPr>
          <w:p w14:paraId="09CCCE57" w14:textId="77777777" w:rsidR="00494AF9" w:rsidRPr="00BC11C5" w:rsidRDefault="00494AF9" w:rsidP="00E92C26">
            <w:pPr>
              <w:spacing w:line="240" w:lineRule="auto"/>
              <w:rPr>
                <w:sz w:val="20"/>
                <w:szCs w:val="20"/>
              </w:rPr>
            </w:pPr>
            <w:r w:rsidRPr="00BC11C5">
              <w:rPr>
                <w:sz w:val="20"/>
                <w:szCs w:val="20"/>
              </w:rPr>
              <w:t>Durable</w:t>
            </w:r>
          </w:p>
        </w:tc>
        <w:tc>
          <w:tcPr>
            <w:tcW w:w="2139" w:type="dxa"/>
            <w:shd w:val="clear" w:color="auto" w:fill="auto"/>
          </w:tcPr>
          <w:p w14:paraId="11149974" w14:textId="77777777" w:rsidR="00494AF9" w:rsidRPr="00BC11C5" w:rsidRDefault="00494AF9" w:rsidP="00E92C26">
            <w:pPr>
              <w:spacing w:line="240" w:lineRule="auto"/>
              <w:rPr>
                <w:sz w:val="20"/>
                <w:szCs w:val="20"/>
              </w:rPr>
            </w:pPr>
            <w:r w:rsidRPr="00BC11C5">
              <w:rPr>
                <w:sz w:val="20"/>
                <w:szCs w:val="20"/>
              </w:rPr>
              <w:t>Permanent</w:t>
            </w:r>
          </w:p>
        </w:tc>
        <w:tc>
          <w:tcPr>
            <w:tcW w:w="2140" w:type="dxa"/>
            <w:shd w:val="clear" w:color="auto" w:fill="auto"/>
          </w:tcPr>
          <w:p w14:paraId="5E4FB34E" w14:textId="77777777" w:rsidR="00494AF9" w:rsidRPr="00BC11C5" w:rsidRDefault="00494AF9" w:rsidP="00E92C26">
            <w:pPr>
              <w:spacing w:line="240" w:lineRule="auto"/>
              <w:rPr>
                <w:sz w:val="20"/>
                <w:szCs w:val="20"/>
              </w:rPr>
            </w:pPr>
            <w:r w:rsidRPr="00BC11C5">
              <w:rPr>
                <w:sz w:val="20"/>
                <w:szCs w:val="20"/>
              </w:rPr>
              <w:t>Reversible</w:t>
            </w:r>
          </w:p>
        </w:tc>
      </w:tr>
      <w:tr w:rsidR="00494AF9" w:rsidRPr="00BC11C5" w14:paraId="6DBB0376" w14:textId="77777777" w:rsidTr="00E92C26">
        <w:trPr>
          <w:trHeight w:val="315"/>
        </w:trPr>
        <w:tc>
          <w:tcPr>
            <w:tcW w:w="2965" w:type="dxa"/>
          </w:tcPr>
          <w:p w14:paraId="0D222440" w14:textId="77777777" w:rsidR="00494AF9" w:rsidRPr="00BC11C5" w:rsidRDefault="00494AF9" w:rsidP="00E92C26">
            <w:pPr>
              <w:spacing w:line="240" w:lineRule="auto"/>
              <w:jc w:val="left"/>
              <w:rPr>
                <w:sz w:val="20"/>
                <w:szCs w:val="20"/>
              </w:rPr>
            </w:pPr>
            <w:r w:rsidRPr="00BC11C5">
              <w:rPr>
                <w:sz w:val="20"/>
                <w:szCs w:val="20"/>
              </w:rPr>
              <w:t>Technology readiness</w:t>
            </w:r>
          </w:p>
        </w:tc>
        <w:tc>
          <w:tcPr>
            <w:tcW w:w="2139" w:type="dxa"/>
            <w:shd w:val="clear" w:color="auto" w:fill="auto"/>
          </w:tcPr>
          <w:p w14:paraId="71D55834" w14:textId="77777777" w:rsidR="00494AF9" w:rsidRPr="00BC11C5" w:rsidRDefault="00494AF9" w:rsidP="00E92C26">
            <w:pPr>
              <w:spacing w:line="240" w:lineRule="auto"/>
              <w:rPr>
                <w:sz w:val="20"/>
                <w:szCs w:val="20"/>
              </w:rPr>
            </w:pPr>
            <w:r w:rsidRPr="00BC11C5">
              <w:rPr>
                <w:sz w:val="20"/>
                <w:szCs w:val="20"/>
              </w:rPr>
              <w:t>High</w:t>
            </w:r>
          </w:p>
        </w:tc>
        <w:tc>
          <w:tcPr>
            <w:tcW w:w="2139" w:type="dxa"/>
            <w:shd w:val="clear" w:color="auto" w:fill="auto"/>
          </w:tcPr>
          <w:p w14:paraId="20A5C27F" w14:textId="77777777" w:rsidR="00494AF9" w:rsidRPr="00BC11C5" w:rsidRDefault="00494AF9" w:rsidP="00E92C26">
            <w:pPr>
              <w:spacing w:line="240" w:lineRule="auto"/>
              <w:rPr>
                <w:sz w:val="20"/>
                <w:szCs w:val="20"/>
              </w:rPr>
            </w:pPr>
            <w:r w:rsidRPr="00BC11C5">
              <w:rPr>
                <w:sz w:val="20"/>
                <w:szCs w:val="20"/>
              </w:rPr>
              <w:t>Medium</w:t>
            </w:r>
          </w:p>
        </w:tc>
        <w:tc>
          <w:tcPr>
            <w:tcW w:w="2140" w:type="dxa"/>
            <w:shd w:val="clear" w:color="auto" w:fill="auto"/>
          </w:tcPr>
          <w:p w14:paraId="12234281" w14:textId="77777777" w:rsidR="00494AF9" w:rsidRPr="00BC11C5" w:rsidRDefault="00494AF9" w:rsidP="00E92C26">
            <w:pPr>
              <w:spacing w:line="240" w:lineRule="auto"/>
              <w:rPr>
                <w:sz w:val="20"/>
                <w:szCs w:val="20"/>
              </w:rPr>
            </w:pPr>
            <w:r w:rsidRPr="00BC11C5">
              <w:rPr>
                <w:sz w:val="20"/>
                <w:szCs w:val="20"/>
              </w:rPr>
              <w:t>High</w:t>
            </w:r>
          </w:p>
        </w:tc>
      </w:tr>
      <w:tr w:rsidR="00494AF9" w:rsidRPr="00BC11C5" w14:paraId="38A13F59" w14:textId="77777777" w:rsidTr="00E92C26">
        <w:trPr>
          <w:trHeight w:val="352"/>
        </w:trPr>
        <w:tc>
          <w:tcPr>
            <w:tcW w:w="2965" w:type="dxa"/>
          </w:tcPr>
          <w:p w14:paraId="3A80B357" w14:textId="77777777" w:rsidR="00494AF9" w:rsidRPr="00BC11C5" w:rsidRDefault="00494AF9" w:rsidP="00E92C26">
            <w:pPr>
              <w:spacing w:line="240" w:lineRule="auto"/>
              <w:jc w:val="left"/>
              <w:rPr>
                <w:sz w:val="20"/>
                <w:szCs w:val="20"/>
              </w:rPr>
            </w:pPr>
            <w:r w:rsidRPr="00BC11C5">
              <w:rPr>
                <w:sz w:val="20"/>
                <w:szCs w:val="20"/>
              </w:rPr>
              <w:t>Implementation unit scale</w:t>
            </w:r>
          </w:p>
        </w:tc>
        <w:tc>
          <w:tcPr>
            <w:tcW w:w="2139" w:type="dxa"/>
            <w:shd w:val="clear" w:color="auto" w:fill="auto"/>
          </w:tcPr>
          <w:p w14:paraId="766CD29D" w14:textId="77777777" w:rsidR="00494AF9" w:rsidRPr="00BC11C5" w:rsidRDefault="00494AF9" w:rsidP="00E92C26">
            <w:pPr>
              <w:spacing w:line="240" w:lineRule="auto"/>
              <w:rPr>
                <w:sz w:val="20"/>
                <w:szCs w:val="20"/>
              </w:rPr>
            </w:pPr>
            <w:r w:rsidRPr="00BC11C5">
              <w:rPr>
                <w:sz w:val="20"/>
                <w:szCs w:val="20"/>
              </w:rPr>
              <w:t>Individual to industrial</w:t>
            </w:r>
          </w:p>
        </w:tc>
        <w:tc>
          <w:tcPr>
            <w:tcW w:w="2139" w:type="dxa"/>
            <w:shd w:val="clear" w:color="auto" w:fill="auto"/>
          </w:tcPr>
          <w:p w14:paraId="47D8D236" w14:textId="77777777" w:rsidR="00494AF9" w:rsidRPr="00BC11C5" w:rsidRDefault="00494AF9" w:rsidP="00E92C26">
            <w:pPr>
              <w:spacing w:line="240" w:lineRule="auto"/>
              <w:rPr>
                <w:sz w:val="20"/>
                <w:szCs w:val="20"/>
              </w:rPr>
            </w:pPr>
            <w:r w:rsidRPr="00BC11C5">
              <w:rPr>
                <w:sz w:val="20"/>
                <w:szCs w:val="20"/>
              </w:rPr>
              <w:t>Industrial</w:t>
            </w:r>
          </w:p>
        </w:tc>
        <w:tc>
          <w:tcPr>
            <w:tcW w:w="2140" w:type="dxa"/>
            <w:shd w:val="clear" w:color="auto" w:fill="auto"/>
          </w:tcPr>
          <w:p w14:paraId="64054126" w14:textId="77777777" w:rsidR="00494AF9" w:rsidRPr="00BC11C5" w:rsidRDefault="00494AF9" w:rsidP="00E92C26">
            <w:pPr>
              <w:spacing w:line="240" w:lineRule="auto"/>
              <w:rPr>
                <w:sz w:val="20"/>
                <w:szCs w:val="20"/>
              </w:rPr>
            </w:pPr>
            <w:r w:rsidRPr="00BC11C5">
              <w:rPr>
                <w:sz w:val="20"/>
                <w:szCs w:val="20"/>
              </w:rPr>
              <w:t>Individual to industrial</w:t>
            </w:r>
          </w:p>
        </w:tc>
      </w:tr>
      <w:tr w:rsidR="00494AF9" w:rsidRPr="00BC11C5" w14:paraId="5A96F28F" w14:textId="77777777" w:rsidTr="00E92C26">
        <w:trPr>
          <w:trHeight w:val="352"/>
        </w:trPr>
        <w:tc>
          <w:tcPr>
            <w:tcW w:w="2965" w:type="dxa"/>
          </w:tcPr>
          <w:p w14:paraId="1D080C6E" w14:textId="77777777" w:rsidR="00494AF9" w:rsidRPr="00BC11C5" w:rsidRDefault="00494AF9" w:rsidP="00E92C26">
            <w:pPr>
              <w:spacing w:line="240" w:lineRule="auto"/>
              <w:jc w:val="left"/>
              <w:rPr>
                <w:sz w:val="20"/>
                <w:szCs w:val="20"/>
              </w:rPr>
            </w:pPr>
            <w:r w:rsidRPr="00BC11C5">
              <w:rPr>
                <w:sz w:val="20"/>
                <w:szCs w:val="20"/>
              </w:rPr>
              <w:t>Ecological risks</w:t>
            </w:r>
          </w:p>
        </w:tc>
        <w:tc>
          <w:tcPr>
            <w:tcW w:w="2139" w:type="dxa"/>
            <w:shd w:val="clear" w:color="auto" w:fill="auto"/>
          </w:tcPr>
          <w:p w14:paraId="58D19C4B" w14:textId="77777777" w:rsidR="00494AF9" w:rsidRPr="00BC11C5" w:rsidRDefault="00494AF9" w:rsidP="00E92C26">
            <w:pPr>
              <w:spacing w:line="240" w:lineRule="auto"/>
              <w:rPr>
                <w:sz w:val="20"/>
                <w:szCs w:val="20"/>
              </w:rPr>
            </w:pPr>
            <w:r w:rsidRPr="00BC11C5">
              <w:rPr>
                <w:sz w:val="20"/>
                <w:szCs w:val="20"/>
              </w:rPr>
              <w:t>Medium</w:t>
            </w:r>
          </w:p>
        </w:tc>
        <w:tc>
          <w:tcPr>
            <w:tcW w:w="2139" w:type="dxa"/>
            <w:shd w:val="clear" w:color="auto" w:fill="auto"/>
          </w:tcPr>
          <w:p w14:paraId="7C65DC42" w14:textId="77777777" w:rsidR="00494AF9" w:rsidRPr="00BC11C5" w:rsidRDefault="00494AF9" w:rsidP="00E92C26">
            <w:pPr>
              <w:spacing w:line="240" w:lineRule="auto"/>
              <w:rPr>
                <w:sz w:val="20"/>
                <w:szCs w:val="20"/>
              </w:rPr>
            </w:pPr>
            <w:r w:rsidRPr="00BC11C5">
              <w:rPr>
                <w:sz w:val="20"/>
                <w:szCs w:val="20"/>
              </w:rPr>
              <w:t>High</w:t>
            </w:r>
          </w:p>
        </w:tc>
        <w:tc>
          <w:tcPr>
            <w:tcW w:w="2140" w:type="dxa"/>
            <w:shd w:val="clear" w:color="auto" w:fill="auto"/>
          </w:tcPr>
          <w:p w14:paraId="6ABFC935" w14:textId="77777777" w:rsidR="00494AF9" w:rsidRPr="00BC11C5" w:rsidRDefault="00494AF9" w:rsidP="00E92C26">
            <w:pPr>
              <w:spacing w:line="240" w:lineRule="auto"/>
              <w:rPr>
                <w:sz w:val="20"/>
                <w:szCs w:val="20"/>
              </w:rPr>
            </w:pPr>
            <w:r w:rsidRPr="00BC11C5">
              <w:rPr>
                <w:sz w:val="20"/>
                <w:szCs w:val="20"/>
              </w:rPr>
              <w:t>Low</w:t>
            </w:r>
          </w:p>
        </w:tc>
      </w:tr>
    </w:tbl>
    <w:p w14:paraId="6BE43EE6" w14:textId="77777777" w:rsidR="00494AF9" w:rsidRDefault="00494AF9" w:rsidP="00494AF9">
      <w:pPr>
        <w:rPr>
          <w:color w:val="000000" w:themeColor="text1"/>
        </w:rPr>
      </w:pPr>
    </w:p>
    <w:p w14:paraId="1D55173F" w14:textId="17A3768C" w:rsidR="00494AF9" w:rsidRPr="00BC11C5" w:rsidRDefault="00C46375" w:rsidP="00494AF9">
      <w:pPr>
        <w:rPr>
          <w:color w:val="000000" w:themeColor="text1"/>
        </w:rPr>
      </w:pPr>
      <w:r>
        <w:rPr>
          <w:color w:val="000000" w:themeColor="text1"/>
        </w:rPr>
        <w:t xml:space="preserve">In a comparison with BECCS and soil carbon sequestration biochar takes the middle position in many categories of potential arguments for adoption. Biochar benefits from being a relatively mature technology and achieving reasonably durable carbon sequestration. </w:t>
      </w:r>
      <w:r w:rsidR="00494AF9">
        <w:rPr>
          <w:color w:val="000000" w:themeColor="text1"/>
        </w:rPr>
        <w:t xml:space="preserve">We place biochar between soil carbon sequestration </w:t>
      </w:r>
      <w:r w:rsidR="00FF687D">
        <w:rPr>
          <w:color w:val="000000" w:themeColor="text1"/>
        </w:rPr>
        <w:t xml:space="preserve">and BECCS in </w:t>
      </w:r>
      <w:r w:rsidR="00494AF9">
        <w:rPr>
          <w:color w:val="000000" w:themeColor="text1"/>
        </w:rPr>
        <w:t>evaluation</w:t>
      </w:r>
      <w:r w:rsidR="00FF687D">
        <w:rPr>
          <w:color w:val="000000" w:themeColor="text1"/>
        </w:rPr>
        <w:t xml:space="preserve"> of ecological risks</w:t>
      </w:r>
      <w:r w:rsidR="00494AF9">
        <w:rPr>
          <w:color w:val="000000" w:themeColor="text1"/>
        </w:rPr>
        <w:t xml:space="preserve">: deployment of BECCS at the scale envisioned by some global models would imply significant </w:t>
      </w:r>
      <w:r w:rsidR="00FF687D">
        <w:rPr>
          <w:color w:val="000000" w:themeColor="text1"/>
        </w:rPr>
        <w:t>impacts</w:t>
      </w:r>
      <w:r w:rsidR="00494AF9">
        <w:rPr>
          <w:color w:val="000000" w:themeColor="text1"/>
        </w:rPr>
        <w:t xml:space="preserve"> for land use, biodiversity conservation, water consumption, and other natural values </w:t>
      </w:r>
      <w:r>
        <w:rPr>
          <w:color w:val="000000" w:themeColor="text1"/>
        </w:rPr>
        <w:fldChar w:fldCharType="begin"/>
      </w:r>
      <w:r>
        <w:rPr>
          <w:color w:val="000000" w:themeColor="text1"/>
        </w:rPr>
        <w:instrText xml:space="preserve"> ADDIN ZOTERO_ITEM CSL_CITATION {"citationID":"td1432t4","properties":{"formattedCitation":"(Fajardy &amp; Mac Dowell, 2017; Rueda et al., 2021; Smith et al., 2019; Stenzel et al., 2021)","plainCitation":"(Fajardy &amp; Mac Dowell, 2017; Rueda et al., 2021; Smith et al., 2019; Stenzel et al., 2021)","noteIndex":0},"citationItems":[{"id":1276,"uris":["http://zotero.org/users/7422708/items/4ZB7E5EF"],"uri":["http://zotero.org/users/7422708/items/4ZB7E5EF"],"itemData":{"id":1276,"type":"article-journal","abstract":"Negative emissions technologies (NETs) in general and bioenergy with CO\n              2\n              capture and storage (BECCS) in particular are commonly regarded as vital yet controversial to meeting our climate goals. In this contribution we show how the sustainability and carbon efficiency, or otherwise, of BECCS depends entirely on the choices made throughout the BECCS supply chain.\n            \n          , \n            \n              Negative emissions technologies (NETs) in general and bioenergy with CO\n              2\n              capture and storage (BECCS) in particular are commonly regarded as vital yet controversial to meeting our climate goals. In this contribution we present a whole-systems analysis of the BECCS value chain associated with cultivation, harvesting, transport and conversion in dedicated biomass power stations in conjunction with CCS, of a range of biomass resources – both dedicated energy crops (miscanthus, switchgrass, short rotation coppice willow), and agricultural residues (wheat straw). We explicitly consider the implications of sourcing the biomass from different regions, climates and land types. The water, carbon and energy footprints of each value chain were calculated, and their impact on the overall system water, carbon and power efficiencies was evaluated. An extensive literature review was performed and a statistical analysis of the available data is presented. In order to describe the dynamic greenhouse gas balance of such a system, a yearly accounting of the emissions was performed over the lifetime of a BECCS facility, and the carbon “breakeven time” and lifetime net CO\n              2\n              removal from the atmosphere were determined. The effects of direct and indirect land use change were included, and were found to be a key determinant of the viability of a BECCS project. Overall we conclude that, depending on the conditions of its deployment, BECCS could lead to both carbon positive and negative results. The total quantity of CO\n              2\n              removed from the atmosphere over the project lifetime and the carbon breakeven time were observed to be highly case specific. This has profound implications for the policy frameworks required to incentivise and regulate the widespread deployment of BECCS technology. The results of a sensitivity analysis on the model combined with the investigation of alternate supply chain scenarios elucidated key levers to improve the sustainability of BECCS: (1) measuring and limiting the impacts of direct and indirect land use change, (2) using carbon neutral power and organic fertilizer, (3) minimising biomass transport, and prioritising sea over road transport, (4) maximising the use of carbon negative fuels, and (5) exploiting alternative biomass processing options,\n              e.g.\n              , natural drying or torrefaction. A key conclusion is that, regardless of the biomass and region studied, the sustainability of BECCS relies heavily on intelligent management of the supply chain.","container-title":"Energy &amp; Environmental Science","DOI":"10.1039/C7EE00465F","ISSN":"1754-5692, 1754-5706","issue":"6","journalAbbreviation":"Energy Environ. Sci.","language":"en","page":"1389-1426","source":"DOI.org (Crossref)","title":"Can BECCS deliver sustainable and resource efficient negative emissions?","volume":"10","author":[{"family":"Fajardy","given":"Mathilde"},{"family":"Mac Dowell","given":"Niall"}],"issued":{"date-parts":[["2017"]]}}},{"id":1290,"uris":["http://zotero.org/users/7422708/items/EDRNKFM7"],"uri":["http://zotero.org/users/7422708/items/EDRNKFM7"],"itemData":{"id":1290,"type":"article-journal","abstract":"Our carbon-intensive economy has led to an average temperature rise of 1 ◦C since pre-industrial times. As a consequence, the world has seen increasing droughts, significant shrinking of the polar ice caps, and steady sealevel rise. To stall these issues’ worsening further, we must limit global warming to 1.5 ◦C. In addition to the economy’s decarbonization, this endeavour requires the use of negative-emissions technologies (NETs) that remove the main greenhouse gas, carbon dioxide, from the atmosphere. While techno-economic feasibility alone has driven the definition of negative-emissions solutions, NETs’ diverse, far-reaching implications demand a more holistic assessment. Here, we present a comprehensive framework, integrating NETs’ critical performance aspects of feasibility, effectiveness, and side impacts, to define the optimal technology mix within realistic outlooks. The resulting technology portfolios provide a useful new benchmark to compare carbon avoidance and removal measures and deliberately choose the best path to solve the climate emergency.","container-title":"Global Environmental Change","DOI":"10.1016/j.gloenvcha.2021.102238","ISSN":"09593780","journalAbbreviation":"Global Environmental Change","language":"en","page":"102238","source":"DOI.org (Crossref)","title":"Negative-emissions technology portfolios to meet the 1.5 °C target","author":[{"family":"Rueda","given":"O."},{"family":"Mogollón","given":"J.M."},{"family":"Tukker","given":"A."},{"family":"Scherer","given":"L."}],"issued":{"date-parts":[["2021",2]]}}},{"id":1335,"uris":["http://zotero.org/users/7422708/items/JE65VI7M"],"uri":["http://zotero.org/users/7422708/items/JE65VI7M"],"itemData":{"id":1335,"type":"article-journal","abstract":"Land-management options for greenhouse gas removal (GGR) include afforestation or reforestation (AR), wetland restoration, soil carbon sequestration (SCS), biochar, terrestrial enhanced weathering (TEW), and bioenergy with carbon capture and storage (BECCS). We assess the opportunities and risks associated with these options through the lens of their potential impacts on ecosystem services (Nature’s Contributions to People; NCPs) and the United Nations Sustainable Development Goals (SDGs). We find that all land-based GGR options contribute positively to at least some NCPs and SDGs. Wetland restoration and SCS almost exclusively deliver positive impacts. A few GGR options, such as afforestation, BECCS, and biochar potentially impact negatively some NCPs and SDGs, particularly when implemented at scale, largely through competition for land. For those that present risks or are least understood, more research is required, and demonstration projects need to proceed with caution. For options that present low risks and provide cobenefits, implementation can proceed more rapidly following no-regrets principles.","container-title":"Annual Review of Environment and Resources","DOI":"10.1146/annurev-environ-101718-033129","ISSN":"1543-5938, 1545-2050","issue":"1","journalAbbreviation":"Annu. Rev. Environ. Resour.","language":"en","page":"255-286","source":"DOI.org (Crossref)","title":"Land-Management Options for Greenhouse Gas Removal and Their Impacts on Ecosystem Services and the Sustainable Development Goals","volume":"44","author":[{"family":"Smith","given":"Pete"},{"family":"Adams","given":"Justin"},{"family":"Beerling","given":"David J."},{"family":"Beringer","given":"Tim"},{"family":"Calvin","given":"Katherine V."},{"family":"Fuss","given":"Sabine"},{"family":"Griscom","given":"Bronson"},{"family":"Hagemann","given":"Nikolas"},{"family":"Kammann","given":"Claudia"},{"family":"Kraxner","given":"Florian"},{"family":"Minx","given":"Jan C."},{"family":"Popp","given":"Alexander"},{"family":"Renforth","given":"Phil"},{"family":"Vicente Vicente","given":"Jose Luis"},{"family":"Keesstra","given":"Saskia"}],"issued":{"date-parts":[["2019",10,17]]}}},{"id":1384,"uris":["http://zotero.org/users/7422708/items/Z6RWLITW"],"uri":["http://zotero.org/users/7422708/items/Z6RWLITW"],"itemData":{"id":1384,"type":"article-journal","abstract":"Abstract\n            Bioenergy with carbon capture and storage (BECCS) is considered an important negative emissions (NEs) technology, but might involve substantial irrigation on biomass plantations. Potential water stress resulting from the additional withdrawals warrants evaluation against the avoided climate change impact. Here we quantitatively assess potential side effects of BECCS with respect to water stress by disentangling the associated drivers (irrigated biomass plantations, climate, land use patterns) using comprehensive global model simulations. By considering a widespread use of irrigated biomass plantations, global warming by the end of the 21st century could be limited to 1.5 °C compared to a climate change scenario with 3 °C. However, our results suggest that both the global area and population living under severe water stress in the BECCS scenario would double compared to today and even exceed the impact of climate change. Such side effects of achieving substantial NEs would come as an extra pressure in an already water-stressed world and could only be avoided if sustainable water management were implemented globally.","container-title":"Nature Communications","DOI":"10.1038/s41467-021-21640-3","ISSN":"2041-1723","issue":"1","journalAbbreviation":"Nat Commun","language":"en","page":"1512","source":"DOI.org (Crossref)","title":"Irrigation of biomass plantations may globally increase water stress more than climate change","volume":"12","author":[{"family":"Stenzel","given":"Fabian"},{"family":"Greve","given":"Peter"},{"family":"Lucht","given":"Wolfgang"},{"family":"Tramberend","given":"Sylvia"},{"family":"Wada","given":"Yoshihide"},{"family":"Gerten","given":"Dieter"}],"issued":{"date-parts":[["2021",12]]}}}],"schema":"https://github.com/citation-style-language/schema/raw/master/csl-citation.json"} </w:instrText>
      </w:r>
      <w:r>
        <w:rPr>
          <w:color w:val="000000" w:themeColor="text1"/>
        </w:rPr>
        <w:fldChar w:fldCharType="separate"/>
      </w:r>
      <w:r w:rsidRPr="00C46375">
        <w:rPr>
          <w:rFonts w:cs="Times New Roman"/>
        </w:rPr>
        <w:t xml:space="preserve">(Fajardy &amp; Mac Dowell, 2017; Rueda et al., 2021; Smith et al., 2019; Stenzel et al., </w:t>
      </w:r>
      <w:r w:rsidRPr="00C46375">
        <w:rPr>
          <w:rFonts w:cs="Times New Roman"/>
        </w:rPr>
        <w:lastRenderedPageBreak/>
        <w:t>2021)</w:t>
      </w:r>
      <w:r>
        <w:rPr>
          <w:color w:val="000000" w:themeColor="text1"/>
        </w:rPr>
        <w:fldChar w:fldCharType="end"/>
      </w:r>
      <w:r>
        <w:rPr>
          <w:color w:val="000000" w:themeColor="text1"/>
        </w:rPr>
        <w:t>. To a great extent, these risks also apply to deployment of biochar at scale,</w:t>
      </w:r>
      <w:r w:rsidR="00494AF9">
        <w:rPr>
          <w:color w:val="000000" w:themeColor="text1"/>
        </w:rPr>
        <w:t xml:space="preserve"> but </w:t>
      </w:r>
      <w:r>
        <w:rPr>
          <w:color w:val="000000" w:themeColor="text1"/>
        </w:rPr>
        <w:t xml:space="preserve">biochar </w:t>
      </w:r>
      <w:r w:rsidR="00494AF9">
        <w:rPr>
          <w:color w:val="000000" w:themeColor="text1"/>
        </w:rPr>
        <w:t xml:space="preserve">benefits from being able to utilize </w:t>
      </w:r>
      <w:r>
        <w:rPr>
          <w:color w:val="000000" w:themeColor="text1"/>
        </w:rPr>
        <w:t xml:space="preserve">additional </w:t>
      </w:r>
      <w:r w:rsidR="00494AF9">
        <w:rPr>
          <w:color w:val="000000" w:themeColor="text1"/>
        </w:rPr>
        <w:t>waste feedstocks</w:t>
      </w:r>
      <w:r>
        <w:rPr>
          <w:color w:val="000000" w:themeColor="text1"/>
        </w:rPr>
        <w:t xml:space="preserve"> and</w:t>
      </w:r>
      <w:r w:rsidR="00E33E19">
        <w:rPr>
          <w:color w:val="000000" w:themeColor="text1"/>
        </w:rPr>
        <w:t xml:space="preserve"> being scalable to the resource availability</w:t>
      </w:r>
      <w:r w:rsidR="00FF687D">
        <w:rPr>
          <w:color w:val="000000" w:themeColor="text1"/>
        </w:rPr>
        <w:t xml:space="preserve">. </w:t>
      </w:r>
      <w:r w:rsidR="00E33E19">
        <w:rPr>
          <w:color w:val="000000" w:themeColor="text1"/>
        </w:rPr>
        <w:t xml:space="preserve">This attribute also means that biochar can be favorably implemented across the full spectrum of agency levels, from individual to industrial. </w:t>
      </w:r>
      <w:r w:rsidR="00FF687D">
        <w:rPr>
          <w:color w:val="000000" w:themeColor="text1"/>
        </w:rPr>
        <w:t xml:space="preserve">Soil carbon sequestration likely carries fewer ecological burdens than the other methods compared, </w:t>
      </w:r>
      <w:r w:rsidR="00E33E19">
        <w:rPr>
          <w:color w:val="000000" w:themeColor="text1"/>
        </w:rPr>
        <w:t xml:space="preserve">and requires the least infrastructure, </w:t>
      </w:r>
      <w:r w:rsidR="00FF687D">
        <w:rPr>
          <w:color w:val="000000" w:themeColor="text1"/>
        </w:rPr>
        <w:t xml:space="preserve">but carbon storage is transient and reversible with changes in land use. All CDR methods face numerous tradeoffs and as a whole raise </w:t>
      </w:r>
      <w:r>
        <w:rPr>
          <w:color w:val="000000" w:themeColor="text1"/>
        </w:rPr>
        <w:t xml:space="preserve">additional </w:t>
      </w:r>
      <w:r w:rsidR="00FF687D">
        <w:rPr>
          <w:color w:val="000000" w:themeColor="text1"/>
        </w:rPr>
        <w:t xml:space="preserve">questions of societal acceptance and </w:t>
      </w:r>
      <w:r>
        <w:rPr>
          <w:color w:val="000000" w:themeColor="text1"/>
        </w:rPr>
        <w:t xml:space="preserve">moral hazard </w:t>
      </w:r>
      <w:r>
        <w:rPr>
          <w:color w:val="000000" w:themeColor="text1"/>
        </w:rPr>
        <w:fldChar w:fldCharType="begin"/>
      </w:r>
      <w:r>
        <w:rPr>
          <w:color w:val="000000" w:themeColor="text1"/>
        </w:rPr>
        <w:instrText xml:space="preserve"> ADDIN ZOTERO_ITEM CSL_CITATION {"citationID":"wr40ZBpU","properties":{"formattedCitation":"(Minx et al., 2018)","plainCitation":"(Minx et al., 2018)","noteIndex":0},"citationItems":[{"id":1135,"uris":["http://zotero.org/users/7422708/items/SZCK8VUA"],"uri":["http://zotero.org/users/7422708/items/SZCK8VUA"],"itemData":{"id":1135,"type":"article-journal","abstract":"With the Paris Agreement’s ambition of limiting climate change to well below 2 ◦C, negative emission technologies (NETs) have moved into the limelight of discussions in climate science and policy. Despite several assessments, the current knowledge on NETs is still diffuse and incomplete, but also growing fast. Here, we synthesize a comprehensive body of NETs literature, using scientometric tools and performing an in-depth assessment of the quantitative and qualitative evidence therein. We clarify the role of NETs in climate change mitigation scenarios, their ethical implications, as well as the challenges involved in bringing the various NETs to the market and scaling them up in time. There are six major ﬁndings arising from our assessment: ﬁrst, keeping warming below 1.5 ◦C requires the large-scale deployment of NETs, but this dependency can still be kept to a minimum for the 2 ◦C warming limit. Second, accounting for economic and biophysical limits, we identify relevant potentials for all NETs except ocean fertilization. Third, any single NET is unlikely to sustainably achieve the large NETs deployment observed in many 1.5 ◦C and 2 ◦C mitigation scenarios. Yet, portfolios of multiple NETs, each deployed at modest scales, could be invaluable for reaching the climate goals. Fourth, a substantial gap exists between the upscaling and rapid diffusion of NETs implied in scenarios and progress in actual innovation and deployment. If NETs are required at the scales currently discussed, the resulting urgency of implementation is currently neither reﬂected in science nor policy. Fifth, NETs face severe barriers to implementation and are only weakly incentivized so far. Finally, we identify distinct ethical discourses relevant for NETs, but highlight the need to root them ﬁrmly in the available evidence in order to render such discussions relevant in practice.","container-title":"Environmental Research Letters","DOI":"10.1088/1748-9326/aabf9b","ISSN":"1748-9326","issue":"6","journalAbbreviation":"Environ. Res. Lett.","language":"en","page":"063001","source":"DOI.org (Crossref)","title":"Negative emissions—Part 1: Research landscape and synthesis","title-short":"Negative emissions—Part 1","volume":"13","author":[{"family":"Minx","given":"Jan C"},{"family":"Lamb","given":"William F"},{"family":"Callaghan","given":"Max W"},{"family":"Fuss","given":"Sabine"},{"family":"Hilaire","given":"Jérôme"},{"family":"Creutzig","given":"Felix"},{"family":"Amann","given":"Thorben"},{"family":"Beringer","given":"Tim"},{"family":"Oliveira Garcia","given":"Wagner","non-dropping-particle":"de"},{"family":"Hartmann","given":"Jens"},{"family":"Khanna","given":"Tarun"},{"family":"Lenzi","given":"Dominic"},{"family":"Luderer","given":"Gunnar"},{"family":"Nemet","given":"Gregory F"},{"family":"Rogelj","given":"Joeri"},{"family":"Smith","given":"Pete"},{"family":"Vicente Vicente","given":"Jose Luis"},{"family":"Wilcox","given":"Jennifer"},{"family":"Mar Zamora Dominguez","given":"Maria","non-dropping-particle":"del"}],"issued":{"date-parts":[["2018",6,1]]}}}],"schema":"https://github.com/citation-style-language/schema/raw/master/csl-citation.json"} </w:instrText>
      </w:r>
      <w:r>
        <w:rPr>
          <w:color w:val="000000" w:themeColor="text1"/>
        </w:rPr>
        <w:fldChar w:fldCharType="separate"/>
      </w:r>
      <w:r w:rsidRPr="00C46375">
        <w:rPr>
          <w:rFonts w:cs="Times New Roman"/>
        </w:rPr>
        <w:t>(Minx et al., 2018)</w:t>
      </w:r>
      <w:r>
        <w:rPr>
          <w:color w:val="000000" w:themeColor="text1"/>
        </w:rPr>
        <w:fldChar w:fldCharType="end"/>
      </w:r>
      <w:r>
        <w:rPr>
          <w:color w:val="000000" w:themeColor="text1"/>
        </w:rPr>
        <w:t>.</w:t>
      </w:r>
    </w:p>
    <w:p w14:paraId="631C1215" w14:textId="77777777" w:rsidR="006D6012" w:rsidRPr="00BC11C5" w:rsidRDefault="551A77D0" w:rsidP="005D49A8">
      <w:pPr>
        <w:pStyle w:val="Heading3"/>
      </w:pPr>
      <w:bookmarkStart w:id="22" w:name="_Toc68791436"/>
      <w:r w:rsidRPr="00BC11C5">
        <w:t>Additional Benefits and Burdens</w:t>
      </w:r>
      <w:bookmarkEnd w:id="22"/>
    </w:p>
    <w:p w14:paraId="379B548F" w14:textId="77777777" w:rsidR="00E33E19" w:rsidRDefault="00E33E19" w:rsidP="00EB247F">
      <w:pPr>
        <w:autoSpaceDE w:val="0"/>
        <w:spacing w:after="0"/>
      </w:pPr>
      <w:bookmarkStart w:id="23" w:name="_Toc524993438"/>
      <w:r>
        <w:t>In addition to its carbon sequestration potential in the context of CDR, we consider below other factors that may be benefits or burdens in the adoption of biochar production.</w:t>
      </w:r>
    </w:p>
    <w:p w14:paraId="0E6878D3" w14:textId="5D07C09F" w:rsidR="005D49A8" w:rsidRDefault="00E33E19" w:rsidP="00EB247F">
      <w:pPr>
        <w:autoSpaceDE w:val="0"/>
        <w:spacing w:after="0"/>
      </w:pPr>
      <w:r>
        <w:t xml:space="preserve"> </w:t>
      </w:r>
    </w:p>
    <w:p w14:paraId="0D758954" w14:textId="11DBA509" w:rsidR="00E33E19" w:rsidRPr="00BC11C5" w:rsidRDefault="00E33E19" w:rsidP="00E33E19">
      <w:pPr>
        <w:pStyle w:val="Caption"/>
      </w:pPr>
      <w:bookmarkStart w:id="24" w:name="_Ref66279708"/>
      <w:bookmarkStart w:id="25" w:name="_Toc66286410"/>
      <w:bookmarkStart w:id="26" w:name="_Toc66286802"/>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2</w:t>
      </w:r>
      <w:r w:rsidR="004F1E38">
        <w:rPr>
          <w:noProof/>
        </w:rPr>
        <w:fldChar w:fldCharType="end"/>
      </w:r>
      <w:bookmarkEnd w:id="24"/>
      <w:r>
        <w:t>:</w:t>
      </w:r>
      <w:r w:rsidR="004B17FC">
        <w:t xml:space="preserve"> Comparison of benefits and burdens in biochar adoption</w:t>
      </w:r>
      <w:bookmarkEnd w:id="25"/>
      <w:bookmarkEnd w:id="26"/>
    </w:p>
    <w:tbl>
      <w:tblPr>
        <w:tblStyle w:val="TableGrid"/>
        <w:tblW w:w="9535" w:type="dxa"/>
        <w:tblLook w:val="04A0" w:firstRow="1" w:lastRow="0" w:firstColumn="1" w:lastColumn="0" w:noHBand="0" w:noVBand="1"/>
      </w:tblPr>
      <w:tblGrid>
        <w:gridCol w:w="4767"/>
        <w:gridCol w:w="4768"/>
      </w:tblGrid>
      <w:tr w:rsidR="00284108" w:rsidRPr="00BC11C5" w14:paraId="12B652BC" w14:textId="77777777" w:rsidTr="00C15F20">
        <w:trPr>
          <w:cantSplit/>
          <w:trHeight w:val="188"/>
          <w:tblHeader/>
        </w:trPr>
        <w:tc>
          <w:tcPr>
            <w:tcW w:w="4767" w:type="dxa"/>
            <w:shd w:val="clear" w:color="auto" w:fill="4F81BD" w:themeFill="accent1"/>
          </w:tcPr>
          <w:p w14:paraId="353CCFB7" w14:textId="1D18F6D2" w:rsidR="00284108" w:rsidRPr="00BC11C5" w:rsidRDefault="00E33E19" w:rsidP="00C15F20">
            <w:pPr>
              <w:spacing w:line="240" w:lineRule="auto"/>
              <w:jc w:val="center"/>
              <w:rPr>
                <w:b/>
                <w:color w:val="FFFFFF" w:themeColor="background1"/>
                <w:sz w:val="20"/>
                <w:szCs w:val="20"/>
              </w:rPr>
            </w:pPr>
            <w:r>
              <w:rPr>
                <w:b/>
                <w:color w:val="FFFFFF" w:themeColor="background1"/>
                <w:sz w:val="20"/>
                <w:szCs w:val="20"/>
              </w:rPr>
              <w:t>Benefits of adoption</w:t>
            </w:r>
            <w:r w:rsidR="00284108" w:rsidRPr="00BC11C5">
              <w:rPr>
                <w:b/>
                <w:color w:val="FFFFFF" w:themeColor="background1"/>
                <w:sz w:val="20"/>
                <w:szCs w:val="20"/>
              </w:rPr>
              <w:t xml:space="preserve"> </w:t>
            </w:r>
          </w:p>
        </w:tc>
        <w:tc>
          <w:tcPr>
            <w:tcW w:w="4768" w:type="dxa"/>
            <w:shd w:val="clear" w:color="auto" w:fill="4F81BD" w:themeFill="accent1"/>
          </w:tcPr>
          <w:p w14:paraId="78F96576" w14:textId="5A25067C" w:rsidR="00284108" w:rsidRPr="00BC11C5" w:rsidRDefault="00E33E19" w:rsidP="00C15F20">
            <w:pPr>
              <w:spacing w:line="240" w:lineRule="auto"/>
              <w:jc w:val="center"/>
              <w:rPr>
                <w:b/>
                <w:color w:val="FFFFFF" w:themeColor="background1"/>
                <w:sz w:val="20"/>
                <w:szCs w:val="20"/>
              </w:rPr>
            </w:pPr>
            <w:r>
              <w:rPr>
                <w:b/>
                <w:color w:val="FFFFFF" w:themeColor="background1"/>
                <w:sz w:val="20"/>
                <w:szCs w:val="20"/>
              </w:rPr>
              <w:t>Burdens or drawbacks of adoption</w:t>
            </w:r>
          </w:p>
        </w:tc>
      </w:tr>
      <w:tr w:rsidR="00284108" w:rsidRPr="00BC11C5" w14:paraId="4F08DB73" w14:textId="77777777" w:rsidTr="00C15F20">
        <w:trPr>
          <w:trHeight w:val="334"/>
        </w:trPr>
        <w:tc>
          <w:tcPr>
            <w:tcW w:w="4767" w:type="dxa"/>
          </w:tcPr>
          <w:p w14:paraId="7790BB4E" w14:textId="77777777" w:rsidR="00284108" w:rsidRPr="00BC11C5" w:rsidRDefault="00284108" w:rsidP="00C15F20">
            <w:pPr>
              <w:pStyle w:val="ListParagraph"/>
              <w:numPr>
                <w:ilvl w:val="0"/>
                <w:numId w:val="41"/>
              </w:numPr>
              <w:spacing w:line="240" w:lineRule="auto"/>
              <w:ind w:left="337" w:hanging="180"/>
              <w:rPr>
                <w:sz w:val="20"/>
                <w:szCs w:val="20"/>
              </w:rPr>
            </w:pPr>
            <w:r w:rsidRPr="00BC11C5">
              <w:rPr>
                <w:sz w:val="20"/>
                <w:szCs w:val="20"/>
              </w:rPr>
              <w:t>Technology readiness is relatively high. Individual components and processes should be technically scale-able.</w:t>
            </w:r>
          </w:p>
          <w:p w14:paraId="066E8458" w14:textId="77777777" w:rsidR="00284108" w:rsidRPr="00BC11C5" w:rsidRDefault="00284108" w:rsidP="00C15F20">
            <w:pPr>
              <w:pStyle w:val="ListParagraph"/>
              <w:numPr>
                <w:ilvl w:val="0"/>
                <w:numId w:val="41"/>
              </w:numPr>
              <w:spacing w:line="240" w:lineRule="auto"/>
              <w:ind w:left="337" w:hanging="180"/>
              <w:rPr>
                <w:sz w:val="20"/>
                <w:szCs w:val="20"/>
              </w:rPr>
            </w:pPr>
            <w:r w:rsidRPr="00BC11C5">
              <w:rPr>
                <w:sz w:val="20"/>
                <w:szCs w:val="20"/>
              </w:rPr>
              <w:t xml:space="preserve">Can be implemented at many scales, ranging from individual to industrial. </w:t>
            </w:r>
          </w:p>
          <w:p w14:paraId="58D7D1C0" w14:textId="77777777" w:rsidR="00284108" w:rsidRPr="00BC11C5" w:rsidRDefault="00284108" w:rsidP="00C15F20">
            <w:pPr>
              <w:pStyle w:val="ListParagraph"/>
              <w:numPr>
                <w:ilvl w:val="0"/>
                <w:numId w:val="41"/>
              </w:numPr>
              <w:spacing w:line="240" w:lineRule="auto"/>
              <w:ind w:left="337" w:hanging="180"/>
              <w:rPr>
                <w:sz w:val="20"/>
                <w:szCs w:val="20"/>
              </w:rPr>
            </w:pPr>
            <w:r w:rsidRPr="00BC11C5">
              <w:rPr>
                <w:sz w:val="20"/>
                <w:szCs w:val="20"/>
              </w:rPr>
              <w:t xml:space="preserve">Can utilize waste feedstocks to minimize land-use change or detrimental ecological effects; may act synergistically as a waste treatment or disposal solution. </w:t>
            </w:r>
          </w:p>
          <w:p w14:paraId="6A968BEA" w14:textId="77777777" w:rsidR="00284108" w:rsidRPr="00BC11C5" w:rsidRDefault="00284108" w:rsidP="00C15F20">
            <w:pPr>
              <w:pStyle w:val="ListParagraph"/>
              <w:numPr>
                <w:ilvl w:val="0"/>
                <w:numId w:val="41"/>
              </w:numPr>
              <w:spacing w:line="240" w:lineRule="auto"/>
              <w:ind w:left="337" w:hanging="180"/>
              <w:rPr>
                <w:sz w:val="20"/>
                <w:szCs w:val="20"/>
              </w:rPr>
            </w:pPr>
            <w:r w:rsidRPr="00BC11C5">
              <w:rPr>
                <w:sz w:val="20"/>
                <w:szCs w:val="20"/>
              </w:rPr>
              <w:t xml:space="preserve">May confer co-benefits in end use of biochar, for example, increased crop yield, increased soil carbon retention. </w:t>
            </w:r>
          </w:p>
        </w:tc>
        <w:tc>
          <w:tcPr>
            <w:tcW w:w="4768" w:type="dxa"/>
          </w:tcPr>
          <w:p w14:paraId="2C826FB1"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Feedstock limitations likely to provide upper constraint to deployment. </w:t>
            </w:r>
          </w:p>
          <w:p w14:paraId="2303B16B"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Large-scale deployment may divert feedstock from other climate-aligned purposes. </w:t>
            </w:r>
          </w:p>
          <w:p w14:paraId="5FBA20B9"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In case of massive deployment, feedstock demand could lead to ecological damage from land-use change, water consumption, and other impacts. </w:t>
            </w:r>
          </w:p>
          <w:p w14:paraId="028644A9"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Lack of product standardization may impede acceptance and enable obfuscation of climate impacts. </w:t>
            </w:r>
          </w:p>
          <w:p w14:paraId="7404A6A3"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Co-benefits of biochar end use are site-specific and may in some cases even be detrimental. </w:t>
            </w:r>
          </w:p>
          <w:p w14:paraId="7179B19A" w14:textId="77777777" w:rsidR="00284108" w:rsidRPr="00BC11C5" w:rsidRDefault="00284108" w:rsidP="00C15F20">
            <w:pPr>
              <w:pStyle w:val="ListParagraph"/>
              <w:numPr>
                <w:ilvl w:val="0"/>
                <w:numId w:val="41"/>
              </w:numPr>
              <w:spacing w:line="240" w:lineRule="auto"/>
              <w:ind w:left="250" w:hanging="180"/>
              <w:rPr>
                <w:sz w:val="20"/>
                <w:szCs w:val="20"/>
              </w:rPr>
            </w:pPr>
            <w:r w:rsidRPr="00BC11C5">
              <w:rPr>
                <w:sz w:val="20"/>
                <w:szCs w:val="20"/>
              </w:rPr>
              <w:t xml:space="preserve">Field application may cause increased global warming effect due to reduced albedo. </w:t>
            </w:r>
          </w:p>
          <w:p w14:paraId="649F5190" w14:textId="77777777" w:rsidR="00284108" w:rsidRPr="00BC11C5" w:rsidRDefault="00284108" w:rsidP="00C15F20">
            <w:pPr>
              <w:pStyle w:val="ListParagraph"/>
              <w:spacing w:line="240" w:lineRule="auto"/>
              <w:rPr>
                <w:sz w:val="20"/>
                <w:szCs w:val="20"/>
                <w:highlight w:val="yellow"/>
              </w:rPr>
            </w:pPr>
          </w:p>
        </w:tc>
      </w:tr>
    </w:tbl>
    <w:p w14:paraId="756DEC01" w14:textId="2A9B7491" w:rsidR="00966563" w:rsidRPr="00BC11C5" w:rsidRDefault="551A77D0" w:rsidP="00AE749D">
      <w:pPr>
        <w:pStyle w:val="Heading1"/>
        <w:numPr>
          <w:ilvl w:val="0"/>
          <w:numId w:val="26"/>
        </w:numPr>
      </w:pPr>
      <w:bookmarkStart w:id="27" w:name="_Toc68791437"/>
      <w:bookmarkEnd w:id="23"/>
      <w:r w:rsidRPr="00BC11C5">
        <w:t>Methodology</w:t>
      </w:r>
      <w:bookmarkEnd w:id="27"/>
    </w:p>
    <w:p w14:paraId="567926D6" w14:textId="2E842B8D" w:rsidR="00BD136D" w:rsidRPr="00BC11C5" w:rsidRDefault="00686965" w:rsidP="00AE749D">
      <w:pPr>
        <w:pStyle w:val="Heading2"/>
        <w:numPr>
          <w:ilvl w:val="1"/>
          <w:numId w:val="28"/>
        </w:numPr>
      </w:pPr>
      <w:bookmarkStart w:id="28" w:name="_Toc68791438"/>
      <w:r w:rsidRPr="00BC11C5">
        <w:t>Introduction</w:t>
      </w:r>
      <w:bookmarkEnd w:id="28"/>
    </w:p>
    <w:p w14:paraId="5DF53949" w14:textId="2DAF1A59" w:rsidR="00F6125F" w:rsidRPr="00BC11C5" w:rsidRDefault="00F6125F" w:rsidP="00F6125F">
      <w:r w:rsidRPr="00BC11C5">
        <w:t xml:space="preserve">Project Drawdown’s solution </w:t>
      </w:r>
      <w:r w:rsidR="00C46549" w:rsidRPr="00BC11C5">
        <w:t xml:space="preserve">spreadsheet </w:t>
      </w:r>
      <w:r w:rsidRPr="00BC11C5">
        <w:t xml:space="preserve">models follow an internally consistent framework with common assumptions and procedures. Key inputs are harmonized in a meta-analysis of best-available literature and combined with custom model scenarios for adoption of the specific technology or practice over time. Adoption scenarios are rooted in actual values to date. In the case of biochar, a key input is the amount of feedstock available for conversion. In our analysis this is governed by Project Drawdown’s global integrated biomass model, which allocates various feedstock streams to an array of bio-based solutions over </w:t>
      </w:r>
      <w:r w:rsidRPr="00BC11C5">
        <w:lastRenderedPageBreak/>
        <w:t>time. We assume that real-world biochar production will be implemented across a spectrum of facility scales and perhaps with multiple technology process types; for the sake of global estimates our model biochar production plant is a pyrolysis facility that</w:t>
      </w:r>
      <w:r w:rsidR="00C46549" w:rsidRPr="00BC11C5">
        <w:t xml:space="preserve"> is energy-neutral and optimized to yield biochar. While the end use of biochar may confer additional</w:t>
      </w:r>
      <w:r w:rsidR="00284108" w:rsidRPr="00BC11C5">
        <w:t xml:space="preserve"> climate benefits, we foresee numerous </w:t>
      </w:r>
      <w:r w:rsidR="00C46549" w:rsidRPr="00BC11C5">
        <w:t>potential uses with varying impacts</w:t>
      </w:r>
      <w:r w:rsidR="002A7706">
        <w:t xml:space="preserve"> that are difficult to model consistently</w:t>
      </w:r>
      <w:r w:rsidR="00C46549" w:rsidRPr="00BC11C5">
        <w:t xml:space="preserve">. We therefore focus our analysis on the direct net sequestration </w:t>
      </w:r>
      <w:r w:rsidR="00872932" w:rsidRPr="00BC11C5">
        <w:t>in the recalcitrant carbon content of the biochar product</w:t>
      </w:r>
      <w:r w:rsidR="002A7706">
        <w:t>.</w:t>
      </w:r>
    </w:p>
    <w:p w14:paraId="434F59F8" w14:textId="7CA282D8" w:rsidR="00FB2C53" w:rsidRPr="00BC11C5" w:rsidRDefault="00686965" w:rsidP="00FB2C53">
      <w:pPr>
        <w:pStyle w:val="Heading2"/>
        <w:numPr>
          <w:ilvl w:val="1"/>
          <w:numId w:val="26"/>
        </w:numPr>
      </w:pPr>
      <w:bookmarkStart w:id="29" w:name="_Toc68791439"/>
      <w:r w:rsidRPr="00BC11C5">
        <w:t>Data Sources</w:t>
      </w:r>
      <w:bookmarkEnd w:id="29"/>
    </w:p>
    <w:p w14:paraId="379F63E0" w14:textId="78C5A1FE" w:rsidR="00F6125F" w:rsidRPr="00BC11C5" w:rsidRDefault="00F6125F" w:rsidP="00F6125F">
      <w:r w:rsidRPr="00BC11C5">
        <w:t>To harmonize life-cycle assessment data for biochar p</w:t>
      </w:r>
      <w:r w:rsidR="00284108" w:rsidRPr="00BC11C5">
        <w:t>roduction, we developed a</w:t>
      </w:r>
      <w:r w:rsidRPr="00BC11C5">
        <w:t xml:space="preserve"> process calculation with inputs informed by best-available literature. </w:t>
      </w:r>
      <w:r w:rsidR="00872932" w:rsidRPr="00BC11C5">
        <w:t>To assess the global</w:t>
      </w:r>
      <w:r w:rsidRPr="00BC11C5">
        <w:t xml:space="preserve"> potential of biochar production, we needed </w:t>
      </w:r>
      <w:r w:rsidR="00284108" w:rsidRPr="00BC11C5">
        <w:t>figures on</w:t>
      </w:r>
      <w:r w:rsidRPr="00BC11C5">
        <w:t xml:space="preserve"> the maximum sustainable amount of feedstock that could be dedicate</w:t>
      </w:r>
      <w:r w:rsidR="00284108" w:rsidRPr="00BC11C5">
        <w:t>d to biochar production</w:t>
      </w:r>
      <w:r w:rsidRPr="00BC11C5">
        <w:t>. For internal harmonization and to avoid double-countin</w:t>
      </w:r>
      <w:r w:rsidR="00284108" w:rsidRPr="00BC11C5">
        <w:t>g of biomass allocation, we relied</w:t>
      </w:r>
      <w:r w:rsidRPr="00BC11C5">
        <w:t xml:space="preserve"> on Project Drawdown’s own global integrated biomass model. Financial impacts were estimated using facility data, both real and modeled, reported in the scientific literature</w:t>
      </w:r>
      <w:r w:rsidR="002A7706">
        <w:t xml:space="preserve"> </w:t>
      </w:r>
      <w:r w:rsidR="002A7706">
        <w:fldChar w:fldCharType="begin"/>
      </w:r>
      <w:r w:rsidR="002A7706">
        <w:instrText xml:space="preserve"> ADDIN ZOTERO_ITEM CSL_CITATION {"citationID":"g4xqx3NP","properties":{"formattedCitation":"(Campbell et al., 2018; Sessions et al., 2019; Timmons et al., 2017)","plainCitation":"(Campbell et al., 2018; Sessions et al., 2019; Timmons et al., 2017)","noteIndex":0},"citationItems":[{"id":1246,"uris":["http://zotero.org/users/7422708/items/JF6BGV3B"],"uri":["http://zotero.org/users/7422708/items/JF6BGV3B"],"itemData":{"id":1246,"type":"article-journal","abstract":"A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T."}],"issued":{"date-parts":[["2018",11]]}}},{"id":1262,"uris":["http://zotero.org/users/7422708/items/AME7LGT2"],"uri":["http://zotero.org/users/7422708/items/AME7LGT2"],"itemData":{"id":1262,"type":"article-journal","abstract":"The commercial use of low-value forest-origin biomass has long been considered for its potential to oﬀset the cost of reducing wildﬁre hazard. The production of biochar simultaneously consumes low-value forest biomass and produces stable charcoal that, when applied to dryland agricultural soils, can increase water holding capacity and crop yield. In this way the production of forest-origin biochar has the potential to promote forest restoration, foster forest-related employment, increase agricultural competitiveness, and sequester carbon. Biochar oﬀers the greatest opportunity where dryland food crops, limited water availability, existing energy transmission infrastructure, and high-ﬁre hazard forests share the same landscape. In this paper we describe a landscape-level study based on this scenario to optimize wildﬁre hazard reduction treatments, biochar facility locations, and agroeconomic outcomes to evaluate the potential beneﬁts needed to carry the costs of biochar production.","container-title":"Biomass and Bioenergy","DOI":"10.1016/j.biombioe.2019.02.015","ISSN":"09619534","journalAbbreviation":"Biomass and Bioenergy","language":"en","page":"175-185","source":"DOI.org (Crossref)","title":"Can biochar link forest restoration with commercial agriculture?","volume":"123","author":[{"family":"Sessions","given":"John"},{"family":"Smith","given":"David"},{"family":"Trippe","given":"Kristin M."},{"family":"Fried","given":"Jeremy S."},{"family":"Bailey","given":"John D."},{"family":"Petitmermet","given":"Joshua H."},{"family":"Hollamon","given":"William"},{"family":"Phillips","given":"Claire L."},{"family":"Campbell","given":"John D."}],"issued":{"date-parts":[["2019",4]]}}},{"id":1248,"uris":["http://zotero.org/users/7422708/items/KKWM6YBC"],"uri":["http://zotero.org/users/7422708/items/KKWM6YBC"],"itemData":{"id":1248,"type":"article","language":"en","publisher":"UMass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rsidR="002A7706">
        <w:fldChar w:fldCharType="separate"/>
      </w:r>
      <w:r w:rsidR="002A7706" w:rsidRPr="002A7706">
        <w:rPr>
          <w:rFonts w:cs="Times New Roman"/>
        </w:rPr>
        <w:t>(Campbell et al., 2018; Sessions et al., 2019; Timmons et al., 2017</w:t>
      </w:r>
      <w:r w:rsidR="00750FD8">
        <w:rPr>
          <w:rFonts w:cs="Times New Roman"/>
        </w:rPr>
        <w:t>, and others</w:t>
      </w:r>
      <w:r w:rsidR="002A7706" w:rsidRPr="002A7706">
        <w:rPr>
          <w:rFonts w:cs="Times New Roman"/>
        </w:rPr>
        <w:t>)</w:t>
      </w:r>
      <w:r w:rsidR="002A7706">
        <w:fldChar w:fldCharType="end"/>
      </w:r>
      <w:r w:rsidRPr="00BC11C5">
        <w:t xml:space="preserve">. We inform our </w:t>
      </w:r>
      <w:r w:rsidR="00872932" w:rsidRPr="00BC11C5">
        <w:t>adoption scenarios</w:t>
      </w:r>
      <w:r w:rsidRPr="00BC11C5">
        <w:t xml:space="preserve"> with data from an industry non-governmental organization, which provided the most comprehensive data available</w:t>
      </w:r>
      <w:r w:rsidR="002A7706">
        <w:t xml:space="preserve"> </w:t>
      </w:r>
      <w:r w:rsidR="002A7706">
        <w:fldChar w:fldCharType="begin"/>
      </w:r>
      <w:r w:rsidR="002A7706">
        <w:instrText xml:space="preserve"> ADDIN ZOTERO_ITEM CSL_CITATION {"citationID":"aK7znZ5h","properties":{"formattedCitation":"(International Biochar Initiative, 2013, 2014, 2015)","plainCitation":"(International Biochar Initiative, 2013, 2014, 2015)","noteIndex":0},"citationItems":[{"id":1356,"uris":["http://zotero.org/users/7422708/items/Z9BXR3CW"],"uri":["http://zotero.org/users/7422708/items/Z9BXR3CW"],"itemData":{"id":1356,"type":"article","publisher":"International Biochar Initiative","title":"State of the Biochar Industry 2013","URL":"https://biochar-international.org/state-of-the-biochar-industry-2013/","author":[{"family":"International Biochar Initiative","given":""}],"issued":{"date-parts":[["2013"]]}}},{"id":1355,"uris":["http://zotero.org/users/7422708/items/4JEQDY9S"],"uri":["http://zotero.org/users/7422708/items/4JEQDY9S"],"itemData":{"id":1355,"type":"article","publisher":"International Biochar Initiative","title":"State of the Biochar Industry 2014","URL":"https://biochar-international.org/state-of-the-biochar-industry-2014/","author":[{"family":"International Biochar Initiative","given":""}],"issued":{"date-parts":[["2014"]]}}},{"id":1357,"uris":["http://zotero.org/users/7422708/items/ETGHYBCX"],"uri":["http://zotero.org/users/7422708/items/ETGHYBCX"],"itemData":{"id":1357,"type":"article","publisher":"International Biochar Initiative","title":"State of the Biochar Industry 2015","URL":"https://biochar-international.org/state-of-the-biochar-industry-2015/","author":[{"family":"International Biochar Initiative","given":""}],"issued":{"date-parts":[["2015"]]}}}],"schema":"https://github.com/citation-style-language/schema/raw/master/csl-citation.json"} </w:instrText>
      </w:r>
      <w:r w:rsidR="002A7706">
        <w:fldChar w:fldCharType="separate"/>
      </w:r>
      <w:r w:rsidR="002A7706" w:rsidRPr="002A7706">
        <w:rPr>
          <w:rFonts w:cs="Times New Roman"/>
        </w:rPr>
        <w:t>(International Biochar Initiative, 2013, 2014, 2015)</w:t>
      </w:r>
      <w:r w:rsidR="002A7706">
        <w:fldChar w:fldCharType="end"/>
      </w:r>
      <w:r w:rsidRPr="00BC11C5">
        <w:t xml:space="preserve">. </w:t>
      </w:r>
      <w:r w:rsidR="002A7706">
        <w:t xml:space="preserve">Climate impacts were calculated in process model combining inputs from previous studies </w:t>
      </w:r>
      <w:r w:rsidR="002A7706">
        <w:fldChar w:fldCharType="begin"/>
      </w:r>
      <w:r w:rsidR="006034EA">
        <w:instrText xml:space="preserve"> ADDIN ZOTERO_ITEM CSL_CITATION {"citationID":"BqSRtuEt","properties":{"formattedCitation":"(Roberts et al., 2010; Wang et al., 2016)","plainCitation":"(Roberts et al., 2010; Wang et al., 2016)","dontUpdate":true,"noteIndex":0},"citationItems":[{"id":1232,"uris":["http://zotero.org/users/7422708/items/IQ3CHY33"],"uri":["http://zotero.org/users/7422708/items/IQ3CHY33"],"itemData":{"id":1232,"type":"article-journal","container-title":"Environmental Science &amp; Technology","DOI":"10.1021/es902266r","ISSN":"0013-936X, 1520-5851","issue":"2","journalAbbreviation":"Environ. Sci. Technol.","language":"en","page":"827-833","source":"DOI.org (Crossref)","title":"Life Cycle Assessment of Biochar Systems: Estimating the Energetic, Economic, and Climate Change Potential","title-short":"Life Cycle Assessment of Biochar Systems","volume":"44","author":[{"family":"Roberts","given":"Kelli G."},{"family":"Gloy","given":"Brent A."},{"family":"Joseph","given":"Stephen"},{"family":"Scott","given":"Norman R."},{"family":"Lehmann","given":"Johannes"}],"issued":{"date-parts":[["2010",1,15]]}}},{"id":1267,"uris":["http://zotero.org/users/7422708/items/PTNPI9NU"],"uri":["http://zotero.org/users/7422708/items/PTNPI9NU"],"itemData":{"id":1267,"type":"article-journal","abstract":"The stability and decomposition of biochar are fundamental to understand its persistence in soil, its contribution to carbon (C) sequestration, and thus its role in the global C cycle. Our current knowledge about the degradability of biochar, however, is limited. Using 128 observations of biochar-derived CO2 from 24 studies with stable (13C) and radioactive (14C) carbon isotopes, we meta-analyzed the biochar decomposition in soil and estimated its mean residence time (MRT). The decomposed amount of biochar increased logarithmically with experimental duration, and the decomposition rate decreased with time. The biochar decomposition rate varied signiﬁcantly with experimental duration, feedstock, pyrolysis temperature, and soil clay content. The MRTs of labile and recalcitrant biochar C pools were estimated to be about 108 days and 556 years with pool sizes of 3% and 97%, respectively. These results show that only a small part of biochar is bioavailable and that the remaining 97% contribute directly to long-term C sequestration in soil. The second database (116 observations from 21 studies) was used to evaluate the priming effects after biochar addition. Biochar slightly retarded the mineralization of soil organic matter (SOM; overall mean: À3.8%, 95% CI = À8.1–0.8%) compared to the soil without biochar addition. Signiﬁcant negative priming was common for studies with a duration shorter than half a year (À8.6%), crop-derived biochar (À20.3%), fast pyrolysis (À18.9%), the lowest pyrolysis temperature (À18.5%), and small application amounts (À11.9%). In contrast, biochar addition to sandy soils strongly stimulated SOM mineralization by 20.8%. This indicates that biochar stimulates microbial activities especially in soils with low fertility. Furthermore, abiotic and biotic processes, as well as the characteristics of biochar and soils, affecting biochar decomposition are discussed. We conclude that biochar can persist in soils on a centennial scale and that it has a positive effect on SOM dynamics and thus on C sequestration.","container-title":"GCB Bioenergy","DOI":"10.1111/gcbb.12266","ISSN":"1757-1693, 1757-1707","issue":"3","journalAbbreviation":"GCB Bioenergy","language":"en","page":"512-523","source":"DOI.org (Crossref)","title":"Biochar stability in soil: m</w:instrText>
      </w:r>
      <w:r w:rsidR="006034EA">
        <w:rPr>
          <w:rFonts w:hint="eastAsia"/>
        </w:rPr>
        <w:instrText>eta</w:instrText>
      </w:r>
      <w:r w:rsidR="006034EA">
        <w:rPr>
          <w:rFonts w:hint="eastAsia"/>
        </w:rPr>
        <w:instrText>‐</w:instrText>
      </w:r>
      <w:r w:rsidR="006034EA">
        <w:rPr>
          <w:rFonts w:hint="eastAsia"/>
        </w:rPr>
        <w:instrText>analysis of decomposition and priming effects","title-short":"Biochar stability in soil","volume":"8","author":[{"family":"Wang","given":"Jinyang"},{"family":"Xiong","given":"Zhengqin"},{"family":"Kuzyakov","given":"Yakov"}],"issued":{"date-parts":[["</w:instrText>
      </w:r>
      <w:r w:rsidR="006034EA">
        <w:instrText xml:space="preserve">2016",5]]}}}],"schema":"https://github.com/citation-style-language/schema/raw/master/csl-citation.json"} </w:instrText>
      </w:r>
      <w:r w:rsidR="002A7706">
        <w:fldChar w:fldCharType="separate"/>
      </w:r>
      <w:r w:rsidR="002A7706" w:rsidRPr="002A7706">
        <w:rPr>
          <w:rFonts w:cs="Times New Roman"/>
        </w:rPr>
        <w:t>(Roberts et al., 2010; Wang et al., 2016</w:t>
      </w:r>
      <w:r w:rsidR="00750FD8">
        <w:rPr>
          <w:rFonts w:cs="Times New Roman"/>
        </w:rPr>
        <w:t>, and others</w:t>
      </w:r>
      <w:r w:rsidR="002A7706" w:rsidRPr="002A7706">
        <w:rPr>
          <w:rFonts w:cs="Times New Roman"/>
        </w:rPr>
        <w:t>)</w:t>
      </w:r>
      <w:r w:rsidR="002A7706">
        <w:fldChar w:fldCharType="end"/>
      </w:r>
      <w:r w:rsidR="002A7706">
        <w:t xml:space="preserve"> and a database of biochar properties </w:t>
      </w:r>
      <w:r w:rsidR="002A7706">
        <w:fldChar w:fldCharType="begin"/>
      </w:r>
      <w:r w:rsidR="002A7706">
        <w:instrText xml:space="preserve"> ADDIN ZOTERO_ITEM CSL_CITATION {"citationID":"EQ6Zl5Nk","properties":{"formattedCitation":"(UC Davis, 2021)","plainCitation":"(UC Davis, 2021)","noteIndex":0},"citationItems":[{"id":1368,"uris":["http://zotero.org/users/7422708/items/8489Q43X"],"uri":["http://zotero.org/users/7422708/items/8489Q43X"],"itemData":{"id":1368,"type":"article","publisher":"University of California Davis","title":"UC Davis Biochar Database","URL":"http://biochar.ucdavis.edu/","author":[{"family":"UC Davis","given":""}],"issued":{"date-parts":[["2021"]]}}}],"schema":"https://github.com/citation-style-language/schema/raw/master/csl-citation.json"} </w:instrText>
      </w:r>
      <w:r w:rsidR="002A7706">
        <w:fldChar w:fldCharType="separate"/>
      </w:r>
      <w:r w:rsidR="002A7706" w:rsidRPr="002A7706">
        <w:rPr>
          <w:rFonts w:cs="Times New Roman"/>
        </w:rPr>
        <w:t>(UC Davis, 2021)</w:t>
      </w:r>
      <w:r w:rsidR="002A7706">
        <w:fldChar w:fldCharType="end"/>
      </w:r>
      <w:r w:rsidR="002A7706">
        <w:t>.</w:t>
      </w:r>
    </w:p>
    <w:p w14:paraId="7C4D6079" w14:textId="58BF381B" w:rsidR="00284108" w:rsidRPr="00BC11C5" w:rsidRDefault="00284108" w:rsidP="00284108">
      <w:r w:rsidRPr="00BC11C5">
        <w:t xml:space="preserve">Where data availability permitted, multiple sources were used for model inputs by combining in a meta-analysis. Bounds to input ranges were established as one standard deviation above and below the mean. Specific inputs and sources are addressed in greater detail in the following sections. </w:t>
      </w:r>
    </w:p>
    <w:p w14:paraId="3F6B79A0" w14:textId="07D3D95A" w:rsidR="00DF4904" w:rsidRPr="00BC11C5" w:rsidRDefault="00686965" w:rsidP="00483FFA">
      <w:pPr>
        <w:pStyle w:val="Heading2"/>
        <w:numPr>
          <w:ilvl w:val="1"/>
          <w:numId w:val="26"/>
        </w:numPr>
      </w:pPr>
      <w:bookmarkStart w:id="30" w:name="_Toc68791440"/>
      <w:r w:rsidRPr="00BC11C5">
        <w:t>Total Addressable Market</w:t>
      </w:r>
      <w:bookmarkEnd w:id="30"/>
    </w:p>
    <w:p w14:paraId="0A0D4AF1" w14:textId="60190B3B" w:rsidR="000A4E7B" w:rsidRPr="00BC11C5" w:rsidRDefault="00872932" w:rsidP="00FB2C53">
      <w:r w:rsidRPr="00BC11C5">
        <w:t>In Project Drawdown’s methodology, technologies or practices are assumed to be bounded by a total addressable market</w:t>
      </w:r>
      <w:r w:rsidR="00504F4F" w:rsidRPr="00BC11C5">
        <w:t xml:space="preserve"> (TAM)</w:t>
      </w:r>
      <w:r w:rsidRPr="00BC11C5">
        <w:t xml:space="preserve"> that they may f</w:t>
      </w:r>
      <w:r w:rsidR="00284108" w:rsidRPr="00BC11C5">
        <w:t>ulfill. In land-based solutions</w:t>
      </w:r>
      <w:r w:rsidRPr="00BC11C5">
        <w:t xml:space="preserve"> this figure is expressed as total land area</w:t>
      </w:r>
      <w:r w:rsidR="002A7706">
        <w:t>,</w:t>
      </w:r>
      <w:r w:rsidRPr="00BC11C5">
        <w:t xml:space="preserve"> whereas</w:t>
      </w:r>
      <w:r w:rsidR="00284108" w:rsidRPr="00BC11C5">
        <w:t xml:space="preserve"> in technology-based solutions </w:t>
      </w:r>
      <w:r w:rsidRPr="00BC11C5">
        <w:t xml:space="preserve">this figure is expressed as an amount of functional units produced and consumed. Biochar is a hybrid solution and we therefore define its </w:t>
      </w:r>
      <w:r w:rsidR="00504F4F" w:rsidRPr="00BC11C5">
        <w:t>TAM</w:t>
      </w:r>
      <w:r w:rsidRPr="00BC11C5">
        <w:t xml:space="preserve"> in terms of the feedstock that may be allocated </w:t>
      </w:r>
      <w:r w:rsidR="00284108" w:rsidRPr="00BC11C5">
        <w:t>for conversion</w:t>
      </w:r>
      <w:r w:rsidRPr="00BC11C5">
        <w:t xml:space="preserve">. Though the addressable markets for biochar could alternatively be viewed in terms of </w:t>
      </w:r>
      <w:r w:rsidR="00504F4F" w:rsidRPr="00BC11C5">
        <w:t xml:space="preserve">demand for </w:t>
      </w:r>
      <w:r w:rsidRPr="00BC11C5">
        <w:t xml:space="preserve">soil amendments, waste treatment, or CDR, selecting feedstock availability as the </w:t>
      </w:r>
      <w:r w:rsidR="00504F4F" w:rsidRPr="00BC11C5">
        <w:t xml:space="preserve">TAM facilitates integration with Project Drawdown’s own integrated biomass model. This model calculates future biomass availability annually across various streams of biomass type </w:t>
      </w:r>
      <w:r w:rsidR="00504F4F" w:rsidRPr="00BC11C5">
        <w:lastRenderedPageBreak/>
        <w:t>and allocates these f</w:t>
      </w:r>
      <w:r w:rsidR="00D53CC5">
        <w:t>eedstocks to the</w:t>
      </w:r>
      <w:r w:rsidR="00504F4F" w:rsidRPr="00BC11C5">
        <w:t xml:space="preserve"> solutions that need them</w:t>
      </w:r>
      <w:r w:rsidR="002A7706">
        <w:t xml:space="preserve"> (see </w:t>
      </w:r>
      <w:r w:rsidR="002A7706">
        <w:fldChar w:fldCharType="begin"/>
      </w:r>
      <w:r w:rsidR="002A7706">
        <w:instrText xml:space="preserve"> REF _Ref68781030 \r \h </w:instrText>
      </w:r>
      <w:r w:rsidR="002A7706">
        <w:fldChar w:fldCharType="separate"/>
      </w:r>
      <w:r w:rsidR="002A7706">
        <w:t>2.7</w:t>
      </w:r>
      <w:r w:rsidR="002A7706">
        <w:fldChar w:fldCharType="end"/>
      </w:r>
      <w:r w:rsidR="002A7706">
        <w:t>).</w:t>
      </w:r>
      <w:r w:rsidR="00504F4F" w:rsidRPr="00BC11C5">
        <w:t>Within the integrated biomass model we allocate feedstock to biochar only after demand by al</w:t>
      </w:r>
      <w:r w:rsidR="00D53CC5">
        <w:t>l other bio-based solutions has</w:t>
      </w:r>
      <w:r w:rsidR="00504F4F" w:rsidRPr="00BC11C5">
        <w:t xml:space="preserve"> been satisfied. </w:t>
      </w:r>
    </w:p>
    <w:p w14:paraId="27CC4398" w14:textId="0D0F3A45" w:rsidR="000A4E7B" w:rsidRPr="00BC11C5" w:rsidRDefault="000A4E7B" w:rsidP="00FB2C53">
      <w:r w:rsidRPr="00BC11C5">
        <w:t>Our modeled TAM</w:t>
      </w:r>
      <w:r w:rsidR="00F677DE">
        <w:t>, which serves our theoretical upper limit to biochar adoption,</w:t>
      </w:r>
      <w:r w:rsidRPr="00BC11C5">
        <w:t xml:space="preserve"> ranges from </w:t>
      </w:r>
      <w:r w:rsidR="00F677DE">
        <w:t>215</w:t>
      </w:r>
      <w:r w:rsidR="00750FD8">
        <w:t xml:space="preserve"> </w:t>
      </w:r>
      <w:r w:rsidRPr="00BC11C5">
        <w:t>million metric tons (Mt)</w:t>
      </w:r>
      <w:r w:rsidR="00F677DE">
        <w:t xml:space="preserve"> of biomass</w:t>
      </w:r>
      <w:r w:rsidRPr="00BC11C5">
        <w:t xml:space="preserve"> in 2020 to 1</w:t>
      </w:r>
      <w:r w:rsidR="00F677DE">
        <w:t>.0 billion metric tons (Gt)</w:t>
      </w:r>
      <w:r w:rsidRPr="00BC11C5">
        <w:t xml:space="preserve">  in 20</w:t>
      </w:r>
      <w:r w:rsidR="00F677DE">
        <w:t>5</w:t>
      </w:r>
      <w:r w:rsidRPr="00BC11C5">
        <w:t>0. These figures can be expressed in terms of potential biochar production using our modeled yield of 0</w:t>
      </w:r>
      <w:r w:rsidR="00284108" w:rsidRPr="00BC11C5">
        <w:t>.298 t biochar per t feedstock to arrive at</w:t>
      </w:r>
      <w:r w:rsidRPr="00BC11C5">
        <w:t xml:space="preserve"> </w:t>
      </w:r>
      <w:r w:rsidR="00F677DE">
        <w:t>64.0</w:t>
      </w:r>
      <w:r w:rsidR="00786DFF" w:rsidRPr="00BC11C5">
        <w:t xml:space="preserve"> </w:t>
      </w:r>
      <w:r w:rsidR="00750FD8">
        <w:t xml:space="preserve">Mt </w:t>
      </w:r>
      <w:r w:rsidR="00786DFF" w:rsidRPr="00BC11C5">
        <w:t xml:space="preserve">and </w:t>
      </w:r>
      <w:r w:rsidR="00F677DE">
        <w:t>298</w:t>
      </w:r>
      <w:r w:rsidR="00750FD8">
        <w:t xml:space="preserve"> </w:t>
      </w:r>
      <w:r w:rsidR="00786DFF" w:rsidRPr="00BC11C5">
        <w:t>Mt</w:t>
      </w:r>
      <w:r w:rsidR="00F677DE">
        <w:t xml:space="preserve"> biochar potential</w:t>
      </w:r>
      <w:r w:rsidR="00786DFF" w:rsidRPr="00BC11C5">
        <w:t xml:space="preserve"> in 2020 and 20</w:t>
      </w:r>
      <w:r w:rsidR="00F677DE">
        <w:t>5</w:t>
      </w:r>
      <w:r w:rsidR="00786DFF" w:rsidRPr="00BC11C5">
        <w:t xml:space="preserve">0, respectively. </w:t>
      </w:r>
    </w:p>
    <w:p w14:paraId="4303D5C0" w14:textId="70648F25" w:rsidR="00B144E5" w:rsidRPr="00BC11C5" w:rsidRDefault="00686965" w:rsidP="00483FFA">
      <w:pPr>
        <w:pStyle w:val="Heading2"/>
        <w:numPr>
          <w:ilvl w:val="1"/>
          <w:numId w:val="26"/>
        </w:numPr>
      </w:pPr>
      <w:bookmarkStart w:id="31" w:name="_Toc68791441"/>
      <w:r w:rsidRPr="00BC11C5">
        <w:t>Adoption Scenarios</w:t>
      </w:r>
      <w:bookmarkEnd w:id="31"/>
    </w:p>
    <w:p w14:paraId="4EE46251" w14:textId="504C8A87" w:rsidR="00786DFF" w:rsidRDefault="00284108" w:rsidP="00786DFF">
      <w:r w:rsidRPr="00BC11C5">
        <w:t>Adoption scenarios are</w:t>
      </w:r>
      <w:r w:rsidR="00C46549" w:rsidRPr="00BC11C5">
        <w:t xml:space="preserve"> </w:t>
      </w:r>
      <w:r w:rsidR="00786DFF" w:rsidRPr="00BC11C5">
        <w:t>expressed</w:t>
      </w:r>
      <w:r w:rsidR="00C46549" w:rsidRPr="00BC11C5">
        <w:t xml:space="preserve"> as tonnes biochar produced for every year over the model period of 2020-2050. </w:t>
      </w:r>
      <w:r w:rsidR="00786DFF" w:rsidRPr="00BC11C5">
        <w:t>These scenarios are rooted in adoption to date and bound, where applicable, by feedstock availability. Data on current biochar production are scarce: w</w:t>
      </w:r>
      <w:r w:rsidR="00C46549" w:rsidRPr="00BC11C5">
        <w:t>e use</w:t>
      </w:r>
      <w:r w:rsidR="00E73FF5">
        <w:t>d</w:t>
      </w:r>
      <w:r w:rsidR="00C46549" w:rsidRPr="00BC11C5">
        <w:t xml:space="preserve"> the industry surveys from the International Biochar Initiative (2013-2015) as initial values</w:t>
      </w:r>
      <w:r w:rsidR="00F677DE">
        <w:t xml:space="preserve"> for most scenarios and in some cases assume a higher starting value in 2020 based on </w:t>
      </w:r>
      <w:r w:rsidR="00750FD8">
        <w:t xml:space="preserve">an </w:t>
      </w:r>
      <w:r w:rsidR="00F677DE">
        <w:t xml:space="preserve">alternative source </w:t>
      </w:r>
      <w:r w:rsidR="00F677DE">
        <w:fldChar w:fldCharType="begin"/>
      </w:r>
      <w:r w:rsidR="00F677DE">
        <w:instrText xml:space="preserve"> ADDIN ZOTERO_ITEM CSL_CITATION {"citationID":"f4KcckrA","properties":{"formattedCitation":"(ANZBIG, 2020)","plainCitation":"(ANZBIG, 2020)","noteIndex":0},"citationItems":[{"id":1493,"uris":["http://zotero.org/users/7422708/items/XAMUJ8T2"],"uri":["http://zotero.org/users/7422708/items/XAMUJ8T2"],"itemData":{"id":1493,"type":"article","publisher":"Australia New Zealand Biochar Initiative, inc.","title":"National Bioenergy Roadmap Submission - The Significant Role for Biochar in Australia","URL":"https://anzbig.org/wp-content/uploads/2020/07/Part-2-ANZBI-Submission_National-Bioenergy-Roadmap_June-2020.pdf","author":[{"family":"ANZBIG","given":""}],"issued":{"date-parts":[["2020"]]}}}],"schema":"https://github.com/citation-style-language/schema/raw/master/csl-citation.json"} </w:instrText>
      </w:r>
      <w:r w:rsidR="00F677DE">
        <w:fldChar w:fldCharType="separate"/>
      </w:r>
      <w:r w:rsidR="00F677DE" w:rsidRPr="00F677DE">
        <w:rPr>
          <w:rFonts w:cs="Times New Roman"/>
        </w:rPr>
        <w:t>(ANZBIG, 2020)</w:t>
      </w:r>
      <w:r w:rsidR="00F677DE">
        <w:fldChar w:fldCharType="end"/>
      </w:r>
      <w:r w:rsidR="00F677DE">
        <w:fldChar w:fldCharType="begin"/>
      </w:r>
      <w:r w:rsidR="00F677DE">
        <w:instrText xml:space="preserve"> REF _Ref68781631 \h </w:instrText>
      </w:r>
      <w:r w:rsidR="00D76026">
        <w:fldChar w:fldCharType="separate"/>
      </w:r>
      <w:r w:rsidR="00F677DE">
        <w:fldChar w:fldCharType="end"/>
      </w:r>
      <w:r w:rsidR="00786DFF" w:rsidRPr="00BC11C5">
        <w:t>. We then f</w:t>
      </w:r>
      <w:r w:rsidR="00C46549" w:rsidRPr="00BC11C5">
        <w:t xml:space="preserve">it trends </w:t>
      </w:r>
      <w:r w:rsidR="00786DFF" w:rsidRPr="00BC11C5">
        <w:t xml:space="preserve">of adoption pathways. </w:t>
      </w:r>
      <w:bookmarkStart w:id="32" w:name="_Hlk525033174"/>
      <w:r w:rsidR="00786DFF" w:rsidRPr="00BC11C5">
        <w:t>Two different types of adoption scenarios were d</w:t>
      </w:r>
      <w:r w:rsidR="00565D25" w:rsidRPr="00BC11C5">
        <w:t>eveloped: a reference (R</w:t>
      </w:r>
      <w:r w:rsidR="00F677DE">
        <w:t>EF</w:t>
      </w:r>
      <w:r w:rsidR="00786DFF" w:rsidRPr="00BC11C5">
        <w:t>) scenario and a set of Project Drawdown Scenarios (PDS) with varying levels of adoption</w:t>
      </w:r>
      <w:r w:rsidR="00565D25" w:rsidRPr="00BC11C5">
        <w:t xml:space="preserve"> ambition</w:t>
      </w:r>
      <w:r w:rsidR="00750FD8">
        <w:t xml:space="preserve"> (</w:t>
      </w:r>
      <w:r w:rsidR="00750FD8">
        <w:fldChar w:fldCharType="begin"/>
      </w:r>
      <w:r w:rsidR="00750FD8">
        <w:instrText xml:space="preserve"> REF _Ref68781631 \h </w:instrText>
      </w:r>
      <w:r w:rsidR="00750FD8">
        <w:fldChar w:fldCharType="separate"/>
      </w:r>
      <w:r w:rsidR="00750FD8">
        <w:t xml:space="preserve">Table </w:t>
      </w:r>
      <w:r w:rsidR="00750FD8">
        <w:rPr>
          <w:noProof/>
        </w:rPr>
        <w:t>3</w:t>
      </w:r>
      <w:r w:rsidR="00750FD8">
        <w:fldChar w:fldCharType="end"/>
      </w:r>
      <w:r w:rsidR="00750FD8">
        <w:t>)</w:t>
      </w:r>
      <w:r w:rsidR="00786DFF" w:rsidRPr="00BC11C5">
        <w:t>. The model results show the comparison of one PDS to the REF, and therefore focus on the change relative to a baseline.</w:t>
      </w:r>
      <w:r w:rsidR="00750FD8">
        <w:t xml:space="preserve"> Custom scenarios are combined into three overarching scenarios (PDS1, 2, 3) to represent plausible, central, and optimized estimates, respectively. </w:t>
      </w:r>
    </w:p>
    <w:p w14:paraId="0B4B4DD4" w14:textId="5F7DDA72" w:rsidR="00F677DE" w:rsidRPr="00BC11C5" w:rsidRDefault="00F677DE" w:rsidP="00F677DE">
      <w:pPr>
        <w:pStyle w:val="Caption"/>
      </w:pPr>
      <w:bookmarkStart w:id="33" w:name="_Ref68781631"/>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33"/>
      <w:r>
        <w:t>: Custom adoption scenarios</w:t>
      </w:r>
    </w:p>
    <w:tbl>
      <w:tblPr>
        <w:tblStyle w:val="TableGrid"/>
        <w:tblW w:w="0" w:type="auto"/>
        <w:tblLook w:val="04A0" w:firstRow="1" w:lastRow="0" w:firstColumn="1" w:lastColumn="0" w:noHBand="0" w:noVBand="1"/>
      </w:tblPr>
      <w:tblGrid>
        <w:gridCol w:w="916"/>
        <w:gridCol w:w="3219"/>
        <w:gridCol w:w="5215"/>
      </w:tblGrid>
      <w:tr w:rsidR="00F677DE" w:rsidRPr="00BC11C5" w14:paraId="119EF4F2" w14:textId="77777777" w:rsidTr="00A96EC4">
        <w:tc>
          <w:tcPr>
            <w:tcW w:w="916" w:type="dxa"/>
            <w:shd w:val="clear" w:color="auto" w:fill="4F81BD" w:themeFill="accent1"/>
          </w:tcPr>
          <w:p w14:paraId="62F56C3F" w14:textId="77777777" w:rsidR="00F677DE" w:rsidRPr="004B17FC" w:rsidRDefault="00F677DE" w:rsidP="00A96EC4">
            <w:pPr>
              <w:jc w:val="center"/>
              <w:rPr>
                <w:color w:val="FFFFFF" w:themeColor="background1"/>
                <w:sz w:val="20"/>
              </w:rPr>
            </w:pPr>
            <w:r w:rsidRPr="004B17FC">
              <w:rPr>
                <w:color w:val="FFFFFF" w:themeColor="background1"/>
                <w:sz w:val="20"/>
              </w:rPr>
              <w:t>Scenario</w:t>
            </w:r>
          </w:p>
        </w:tc>
        <w:tc>
          <w:tcPr>
            <w:tcW w:w="3219" w:type="dxa"/>
            <w:shd w:val="clear" w:color="auto" w:fill="4F81BD" w:themeFill="accent1"/>
          </w:tcPr>
          <w:p w14:paraId="7C46897F" w14:textId="77777777" w:rsidR="00F677DE" w:rsidRPr="004B17FC" w:rsidRDefault="00F677DE" w:rsidP="00A96EC4">
            <w:pPr>
              <w:jc w:val="center"/>
              <w:rPr>
                <w:color w:val="FFFFFF" w:themeColor="background1"/>
                <w:sz w:val="20"/>
              </w:rPr>
            </w:pPr>
            <w:r w:rsidRPr="004B17FC">
              <w:rPr>
                <w:color w:val="FFFFFF" w:themeColor="background1"/>
                <w:sz w:val="20"/>
              </w:rPr>
              <w:t>Description</w:t>
            </w:r>
          </w:p>
        </w:tc>
        <w:tc>
          <w:tcPr>
            <w:tcW w:w="5215" w:type="dxa"/>
            <w:shd w:val="clear" w:color="auto" w:fill="4F81BD" w:themeFill="accent1"/>
          </w:tcPr>
          <w:p w14:paraId="3915BA75" w14:textId="77777777" w:rsidR="00F677DE" w:rsidRPr="004B17FC" w:rsidRDefault="00F677DE" w:rsidP="00A96EC4">
            <w:pPr>
              <w:jc w:val="center"/>
              <w:rPr>
                <w:color w:val="FFFFFF" w:themeColor="background1"/>
                <w:sz w:val="20"/>
              </w:rPr>
            </w:pPr>
            <w:r w:rsidRPr="004B17FC">
              <w:rPr>
                <w:color w:val="FFFFFF" w:themeColor="background1"/>
                <w:sz w:val="20"/>
              </w:rPr>
              <w:t>Explanation</w:t>
            </w:r>
          </w:p>
        </w:tc>
      </w:tr>
      <w:tr w:rsidR="00F677DE" w:rsidRPr="00BC11C5" w14:paraId="236FED7F" w14:textId="77777777" w:rsidTr="00A96EC4">
        <w:tc>
          <w:tcPr>
            <w:tcW w:w="916" w:type="dxa"/>
          </w:tcPr>
          <w:p w14:paraId="1A27A49C" w14:textId="77777777" w:rsidR="00F677DE" w:rsidRPr="004B17FC" w:rsidRDefault="00F677DE" w:rsidP="00A96EC4">
            <w:pPr>
              <w:rPr>
                <w:sz w:val="20"/>
              </w:rPr>
            </w:pPr>
            <w:r w:rsidRPr="004B17FC">
              <w:rPr>
                <w:sz w:val="20"/>
              </w:rPr>
              <w:t>1</w:t>
            </w:r>
          </w:p>
        </w:tc>
        <w:tc>
          <w:tcPr>
            <w:tcW w:w="3219" w:type="dxa"/>
          </w:tcPr>
          <w:p w14:paraId="7DE2AD17" w14:textId="77777777" w:rsidR="00F677DE" w:rsidRPr="004B17FC" w:rsidRDefault="00F677DE" w:rsidP="00863C91">
            <w:pPr>
              <w:jc w:val="left"/>
              <w:rPr>
                <w:sz w:val="20"/>
              </w:rPr>
            </w:pPr>
            <w:r w:rsidRPr="004B17FC">
              <w:rPr>
                <w:sz w:val="20"/>
              </w:rPr>
              <w:t xml:space="preserve"> Linear trend growth </w:t>
            </w:r>
          </w:p>
        </w:tc>
        <w:tc>
          <w:tcPr>
            <w:tcW w:w="5215" w:type="dxa"/>
          </w:tcPr>
          <w:p w14:paraId="7C1742F0" w14:textId="73C96F4C" w:rsidR="00F677DE" w:rsidRPr="004B17FC" w:rsidRDefault="00F677DE" w:rsidP="00863C91">
            <w:pPr>
              <w:jc w:val="left"/>
              <w:rPr>
                <w:sz w:val="20"/>
              </w:rPr>
            </w:pPr>
            <w:r w:rsidRPr="004B17FC">
              <w:rPr>
                <w:sz w:val="20"/>
              </w:rPr>
              <w:t>Growth at linear trend</w:t>
            </w:r>
            <w:r w:rsidR="00750FD8">
              <w:rPr>
                <w:sz w:val="20"/>
              </w:rPr>
              <w:t xml:space="preserve"> based on production data from 2013-2015</w:t>
            </w:r>
            <w:r w:rsidRPr="004B17FC">
              <w:rPr>
                <w:sz w:val="20"/>
              </w:rPr>
              <w:t xml:space="preserve">. Production increases by approximately 42,000 t per year. Represents most conservative adoption case or low growth. </w:t>
            </w:r>
          </w:p>
        </w:tc>
      </w:tr>
      <w:tr w:rsidR="00FD335F" w:rsidRPr="00BC11C5" w14:paraId="18178ADB" w14:textId="77777777" w:rsidTr="00A96EC4">
        <w:tc>
          <w:tcPr>
            <w:tcW w:w="916" w:type="dxa"/>
          </w:tcPr>
          <w:p w14:paraId="58FD0D64" w14:textId="5A36C082" w:rsidR="00FD335F" w:rsidRPr="004B17FC" w:rsidRDefault="00FD335F" w:rsidP="00A96EC4">
            <w:pPr>
              <w:rPr>
                <w:sz w:val="20"/>
              </w:rPr>
            </w:pPr>
            <w:r>
              <w:rPr>
                <w:sz w:val="20"/>
              </w:rPr>
              <w:t>2</w:t>
            </w:r>
          </w:p>
        </w:tc>
        <w:tc>
          <w:tcPr>
            <w:tcW w:w="3219" w:type="dxa"/>
          </w:tcPr>
          <w:p w14:paraId="7EF79B74" w14:textId="018429FA" w:rsidR="00FD335F" w:rsidRPr="004B17FC" w:rsidRDefault="00FD335F" w:rsidP="00863C91">
            <w:pPr>
              <w:jc w:val="left"/>
              <w:rPr>
                <w:sz w:val="20"/>
              </w:rPr>
            </w:pPr>
            <w:r>
              <w:rPr>
                <w:sz w:val="20"/>
              </w:rPr>
              <w:t>Cumulative annual growth at 5%</w:t>
            </w:r>
          </w:p>
        </w:tc>
        <w:tc>
          <w:tcPr>
            <w:tcW w:w="5215" w:type="dxa"/>
          </w:tcPr>
          <w:p w14:paraId="7C13A115" w14:textId="01766B17" w:rsidR="00FD335F" w:rsidRPr="004B17FC" w:rsidRDefault="00FD335F" w:rsidP="00863C91">
            <w:pPr>
              <w:jc w:val="left"/>
              <w:rPr>
                <w:sz w:val="20"/>
              </w:rPr>
            </w:pPr>
            <w:r>
              <w:rPr>
                <w:sz w:val="20"/>
              </w:rPr>
              <w:t>An alternative to scenario 1, representing consistent low growth starting from industry production values in 2013-2015</w:t>
            </w:r>
            <w:r w:rsidR="00750FD8">
              <w:rPr>
                <w:sz w:val="20"/>
              </w:rPr>
              <w:t>.</w:t>
            </w:r>
          </w:p>
        </w:tc>
      </w:tr>
      <w:tr w:rsidR="00FD335F" w:rsidRPr="00BC11C5" w14:paraId="73BB27D5" w14:textId="77777777" w:rsidTr="00A96EC4">
        <w:tc>
          <w:tcPr>
            <w:tcW w:w="916" w:type="dxa"/>
          </w:tcPr>
          <w:p w14:paraId="002506A8" w14:textId="6DF41BC0" w:rsidR="00FD335F" w:rsidRPr="004B17FC" w:rsidRDefault="00FD335F" w:rsidP="00A96EC4">
            <w:pPr>
              <w:rPr>
                <w:sz w:val="20"/>
              </w:rPr>
            </w:pPr>
            <w:r>
              <w:rPr>
                <w:sz w:val="20"/>
              </w:rPr>
              <w:t>3</w:t>
            </w:r>
          </w:p>
        </w:tc>
        <w:tc>
          <w:tcPr>
            <w:tcW w:w="3219" w:type="dxa"/>
          </w:tcPr>
          <w:p w14:paraId="277D1A7F" w14:textId="48D97AE1" w:rsidR="00FD335F" w:rsidRPr="004B17FC" w:rsidRDefault="00FD335F" w:rsidP="00863C91">
            <w:pPr>
              <w:jc w:val="left"/>
              <w:rPr>
                <w:sz w:val="20"/>
              </w:rPr>
            </w:pPr>
            <w:r>
              <w:rPr>
                <w:sz w:val="20"/>
              </w:rPr>
              <w:t>Cumulative annual growth at 5%, starting from 500,000 in 2020</w:t>
            </w:r>
          </w:p>
        </w:tc>
        <w:tc>
          <w:tcPr>
            <w:tcW w:w="5215" w:type="dxa"/>
          </w:tcPr>
          <w:p w14:paraId="056E4E36" w14:textId="11BFADAC" w:rsidR="00FD335F" w:rsidRPr="004B17FC" w:rsidRDefault="00FD335F" w:rsidP="00863C91">
            <w:pPr>
              <w:jc w:val="left"/>
              <w:rPr>
                <w:sz w:val="20"/>
              </w:rPr>
            </w:pPr>
            <w:r>
              <w:rPr>
                <w:sz w:val="20"/>
              </w:rPr>
              <w:t>Same as above, but assuming 2020 production to be a higher level of 500,000 tonnes of biochar per year</w:t>
            </w:r>
            <w:r w:rsidR="00750FD8">
              <w:rPr>
                <w:sz w:val="20"/>
              </w:rPr>
              <w:t>.</w:t>
            </w:r>
          </w:p>
        </w:tc>
      </w:tr>
      <w:tr w:rsidR="00F677DE" w:rsidRPr="00BC11C5" w14:paraId="01F82E6F" w14:textId="77777777" w:rsidTr="00A96EC4">
        <w:tc>
          <w:tcPr>
            <w:tcW w:w="916" w:type="dxa"/>
          </w:tcPr>
          <w:p w14:paraId="17F6E1CD" w14:textId="7A3240CB" w:rsidR="00F677DE" w:rsidRPr="004B17FC" w:rsidRDefault="00FD335F" w:rsidP="00A96EC4">
            <w:pPr>
              <w:rPr>
                <w:sz w:val="20"/>
              </w:rPr>
            </w:pPr>
            <w:r>
              <w:rPr>
                <w:sz w:val="20"/>
              </w:rPr>
              <w:t>4</w:t>
            </w:r>
          </w:p>
        </w:tc>
        <w:tc>
          <w:tcPr>
            <w:tcW w:w="3219" w:type="dxa"/>
          </w:tcPr>
          <w:p w14:paraId="754145F1" w14:textId="3808C9F4" w:rsidR="00F677DE" w:rsidRPr="004B17FC" w:rsidRDefault="00F677DE" w:rsidP="00863C91">
            <w:pPr>
              <w:jc w:val="left"/>
              <w:rPr>
                <w:sz w:val="20"/>
              </w:rPr>
            </w:pPr>
            <w:r w:rsidRPr="004B17FC">
              <w:rPr>
                <w:sz w:val="20"/>
              </w:rPr>
              <w:t xml:space="preserve">Second-order polynomial trend growth </w:t>
            </w:r>
          </w:p>
        </w:tc>
        <w:tc>
          <w:tcPr>
            <w:tcW w:w="5215" w:type="dxa"/>
          </w:tcPr>
          <w:p w14:paraId="642531E6" w14:textId="44386F2E" w:rsidR="00F677DE" w:rsidRPr="004B17FC" w:rsidRDefault="00F677DE" w:rsidP="00863C91">
            <w:pPr>
              <w:jc w:val="left"/>
              <w:rPr>
                <w:sz w:val="20"/>
              </w:rPr>
            </w:pPr>
            <w:r w:rsidRPr="004B17FC">
              <w:rPr>
                <w:sz w:val="20"/>
              </w:rPr>
              <w:t xml:space="preserve">Mid-level growth, </w:t>
            </w:r>
            <w:r w:rsidR="00FD335F">
              <w:rPr>
                <w:sz w:val="20"/>
              </w:rPr>
              <w:t>based on a second-order polynomial fit of production data from 2013-2015.</w:t>
            </w:r>
          </w:p>
        </w:tc>
      </w:tr>
      <w:tr w:rsidR="00F677DE" w:rsidRPr="00BC11C5" w14:paraId="1526436B" w14:textId="77777777" w:rsidTr="00A96EC4">
        <w:tc>
          <w:tcPr>
            <w:tcW w:w="916" w:type="dxa"/>
          </w:tcPr>
          <w:p w14:paraId="2919FEB0" w14:textId="440E13DF" w:rsidR="00F677DE" w:rsidRPr="004B17FC" w:rsidRDefault="00FD335F" w:rsidP="00A96EC4">
            <w:pPr>
              <w:rPr>
                <w:sz w:val="20"/>
              </w:rPr>
            </w:pPr>
            <w:r>
              <w:rPr>
                <w:sz w:val="20"/>
              </w:rPr>
              <w:lastRenderedPageBreak/>
              <w:t>5</w:t>
            </w:r>
          </w:p>
        </w:tc>
        <w:tc>
          <w:tcPr>
            <w:tcW w:w="3219" w:type="dxa"/>
          </w:tcPr>
          <w:p w14:paraId="654C7FC7" w14:textId="5B8F4031" w:rsidR="00F677DE" w:rsidRPr="004B17FC" w:rsidRDefault="00FD335F" w:rsidP="00863C91">
            <w:pPr>
              <w:jc w:val="left"/>
              <w:rPr>
                <w:sz w:val="20"/>
              </w:rPr>
            </w:pPr>
            <w:r>
              <w:rPr>
                <w:sz w:val="20"/>
              </w:rPr>
              <w:t>Cumulative annual growth of 20%</w:t>
            </w:r>
          </w:p>
        </w:tc>
        <w:tc>
          <w:tcPr>
            <w:tcW w:w="5215" w:type="dxa"/>
          </w:tcPr>
          <w:p w14:paraId="42CEDDF8" w14:textId="219E71A4" w:rsidR="00F677DE" w:rsidRPr="004B17FC" w:rsidRDefault="00F677DE" w:rsidP="00863C91">
            <w:pPr>
              <w:jc w:val="left"/>
              <w:rPr>
                <w:sz w:val="20"/>
              </w:rPr>
            </w:pPr>
            <w:r w:rsidRPr="004B17FC">
              <w:rPr>
                <w:sz w:val="20"/>
              </w:rPr>
              <w:t>Rapid</w:t>
            </w:r>
            <w:r w:rsidR="00FD335F">
              <w:rPr>
                <w:sz w:val="20"/>
              </w:rPr>
              <w:t xml:space="preserve"> sustained</w:t>
            </w:r>
            <w:r w:rsidRPr="004B17FC">
              <w:rPr>
                <w:sz w:val="20"/>
              </w:rPr>
              <w:t xml:space="preserve"> growth, </w:t>
            </w:r>
            <w:r w:rsidR="00FD335F">
              <w:rPr>
                <w:sz w:val="20"/>
              </w:rPr>
              <w:t>meant to represent upper bound of realistic options.</w:t>
            </w:r>
          </w:p>
        </w:tc>
      </w:tr>
      <w:tr w:rsidR="00F677DE" w:rsidRPr="00BC11C5" w14:paraId="01282EB4" w14:textId="77777777" w:rsidTr="00A96EC4">
        <w:tc>
          <w:tcPr>
            <w:tcW w:w="916" w:type="dxa"/>
          </w:tcPr>
          <w:p w14:paraId="77F52EEB" w14:textId="567A7240" w:rsidR="00F677DE" w:rsidRPr="004B17FC" w:rsidRDefault="00FD335F" w:rsidP="00A96EC4">
            <w:pPr>
              <w:rPr>
                <w:sz w:val="20"/>
              </w:rPr>
            </w:pPr>
            <w:r>
              <w:rPr>
                <w:sz w:val="20"/>
              </w:rPr>
              <w:t>6</w:t>
            </w:r>
          </w:p>
        </w:tc>
        <w:tc>
          <w:tcPr>
            <w:tcW w:w="3219" w:type="dxa"/>
          </w:tcPr>
          <w:p w14:paraId="1415DF6A" w14:textId="213993CE" w:rsidR="00F677DE" w:rsidRPr="004B17FC" w:rsidRDefault="00FD335F" w:rsidP="00863C91">
            <w:pPr>
              <w:jc w:val="left"/>
              <w:rPr>
                <w:sz w:val="20"/>
              </w:rPr>
            </w:pPr>
            <w:r>
              <w:rPr>
                <w:sz w:val="20"/>
              </w:rPr>
              <w:t>Cumulative annual growth of 20%, starting from 500,000</w:t>
            </w:r>
          </w:p>
        </w:tc>
        <w:tc>
          <w:tcPr>
            <w:tcW w:w="5215" w:type="dxa"/>
          </w:tcPr>
          <w:p w14:paraId="2628AAAB" w14:textId="39F799D5" w:rsidR="00F677DE" w:rsidRPr="004B17FC" w:rsidRDefault="00FD335F" w:rsidP="00863C91">
            <w:pPr>
              <w:jc w:val="left"/>
              <w:rPr>
                <w:sz w:val="20"/>
              </w:rPr>
            </w:pPr>
            <w:r>
              <w:rPr>
                <w:sz w:val="20"/>
              </w:rPr>
              <w:t xml:space="preserve">Same as above, but assuming </w:t>
            </w:r>
            <w:r w:rsidRPr="00FD335F">
              <w:rPr>
                <w:sz w:val="20"/>
              </w:rPr>
              <w:t xml:space="preserve">2020 production to be a higher level of 500,000 tonnes of biochar per year </w:t>
            </w:r>
          </w:p>
        </w:tc>
      </w:tr>
      <w:tr w:rsidR="00F677DE" w:rsidRPr="00BC11C5" w14:paraId="3893004E" w14:textId="77777777" w:rsidTr="00A96EC4">
        <w:tc>
          <w:tcPr>
            <w:tcW w:w="916" w:type="dxa"/>
          </w:tcPr>
          <w:p w14:paraId="7D9454ED" w14:textId="6AD56142" w:rsidR="00F677DE" w:rsidRPr="004B17FC" w:rsidRDefault="00FD335F" w:rsidP="00A96EC4">
            <w:pPr>
              <w:rPr>
                <w:sz w:val="20"/>
              </w:rPr>
            </w:pPr>
            <w:r>
              <w:rPr>
                <w:sz w:val="20"/>
              </w:rPr>
              <w:t>7</w:t>
            </w:r>
          </w:p>
        </w:tc>
        <w:tc>
          <w:tcPr>
            <w:tcW w:w="3219" w:type="dxa"/>
          </w:tcPr>
          <w:p w14:paraId="3E8B0860" w14:textId="17011BDD" w:rsidR="00F677DE" w:rsidRPr="004B17FC" w:rsidRDefault="00FD335F" w:rsidP="00863C91">
            <w:pPr>
              <w:jc w:val="left"/>
              <w:rPr>
                <w:sz w:val="20"/>
              </w:rPr>
            </w:pPr>
            <w:r>
              <w:rPr>
                <w:sz w:val="20"/>
              </w:rPr>
              <w:t>Linear growth to 50% of TAM in 2050</w:t>
            </w:r>
          </w:p>
        </w:tc>
        <w:tc>
          <w:tcPr>
            <w:tcW w:w="5215" w:type="dxa"/>
          </w:tcPr>
          <w:p w14:paraId="76CD2F0D" w14:textId="20969C91" w:rsidR="00F677DE" w:rsidRPr="004B17FC" w:rsidRDefault="00FD335F" w:rsidP="00863C91">
            <w:pPr>
              <w:jc w:val="left"/>
              <w:rPr>
                <w:sz w:val="20"/>
              </w:rPr>
            </w:pPr>
            <w:r>
              <w:rPr>
                <w:sz w:val="20"/>
              </w:rPr>
              <w:t>A theoretical optimum case that may represented early targeted support to biochar industry growth and converting 50%</w:t>
            </w:r>
            <w:r w:rsidR="00750FD8">
              <w:rPr>
                <w:sz w:val="20"/>
              </w:rPr>
              <w:t xml:space="preserve"> </w:t>
            </w:r>
            <w:r>
              <w:rPr>
                <w:sz w:val="20"/>
              </w:rPr>
              <w:t>of all allocated feedstock in 2050</w:t>
            </w:r>
            <w:r w:rsidR="00750FD8">
              <w:rPr>
                <w:sz w:val="20"/>
              </w:rPr>
              <w:t>.</w:t>
            </w:r>
          </w:p>
        </w:tc>
      </w:tr>
    </w:tbl>
    <w:p w14:paraId="7A7F9077" w14:textId="77777777" w:rsidR="00F677DE" w:rsidRPr="00BC11C5" w:rsidRDefault="00F677DE" w:rsidP="00F677DE"/>
    <w:p w14:paraId="5BB095A5" w14:textId="33E84439" w:rsidR="000875B5" w:rsidRPr="00BC11C5" w:rsidRDefault="000875B5" w:rsidP="005D49A8">
      <w:pPr>
        <w:pStyle w:val="Heading3"/>
      </w:pPr>
      <w:bookmarkStart w:id="34" w:name="_Toc68791442"/>
      <w:bookmarkStart w:id="35" w:name="_Toc68791443"/>
      <w:bookmarkEnd w:id="32"/>
      <w:bookmarkEnd w:id="34"/>
      <w:r w:rsidRPr="00BC11C5">
        <w:t>Reference Case</w:t>
      </w:r>
      <w:bookmarkEnd w:id="35"/>
    </w:p>
    <w:p w14:paraId="4B2BF310" w14:textId="4D0131C1" w:rsidR="00786DFF" w:rsidRPr="00BC11C5" w:rsidRDefault="00786DFF" w:rsidP="00786DFF">
      <w:r w:rsidRPr="00BC11C5">
        <w:t xml:space="preserve">The reference case refers to a </w:t>
      </w:r>
      <w:r w:rsidR="00565D25" w:rsidRPr="00BC11C5">
        <w:t>baseline</w:t>
      </w:r>
      <w:r w:rsidRPr="00BC11C5">
        <w:t xml:space="preserve"> scenario in which</w:t>
      </w:r>
      <w:r w:rsidR="00307D95" w:rsidRPr="00BC11C5">
        <w:t xml:space="preserve"> annual</w:t>
      </w:r>
      <w:r w:rsidRPr="00BC11C5">
        <w:t xml:space="preserve"> </w:t>
      </w:r>
      <w:r w:rsidR="00307D95" w:rsidRPr="00BC11C5">
        <w:t>b</w:t>
      </w:r>
      <w:r w:rsidR="007224D1" w:rsidRPr="00BC11C5">
        <w:t xml:space="preserve">iochar production </w:t>
      </w:r>
      <w:r w:rsidR="00307D95" w:rsidRPr="00BC11C5">
        <w:t>remains at reported 2015 levels</w:t>
      </w:r>
      <w:r w:rsidR="00FD335F">
        <w:t xml:space="preserve"> of 85,000 t of biochar per year.</w:t>
      </w:r>
    </w:p>
    <w:p w14:paraId="2FE0BC9D" w14:textId="10096525" w:rsidR="000875B5" w:rsidRPr="00BC11C5" w:rsidRDefault="00D2050B" w:rsidP="005D49A8">
      <w:pPr>
        <w:pStyle w:val="Heading3"/>
      </w:pPr>
      <w:bookmarkStart w:id="36" w:name="_Toc68791444"/>
      <w:r w:rsidRPr="00BC11C5">
        <w:t>Project Drawdown</w:t>
      </w:r>
      <w:r w:rsidR="000875B5" w:rsidRPr="00BC11C5">
        <w:t xml:space="preserve"> Scenarios</w:t>
      </w:r>
      <w:bookmarkEnd w:id="36"/>
    </w:p>
    <w:p w14:paraId="31FE9776" w14:textId="14AAE145" w:rsidR="009F2757" w:rsidRDefault="00FD335F" w:rsidP="004B4939">
      <w:r>
        <w:t>Seven</w:t>
      </w:r>
      <w:r w:rsidRPr="00BC11C5">
        <w:t xml:space="preserve"> </w:t>
      </w:r>
      <w:r w:rsidR="00565D25" w:rsidRPr="00BC11C5">
        <w:t>PDS scenarios were developed to span the range of possible adoption fates</w:t>
      </w:r>
      <w:r>
        <w:t xml:space="preserve"> (</w:t>
      </w:r>
      <w:r>
        <w:fldChar w:fldCharType="begin"/>
      </w:r>
      <w:r>
        <w:instrText xml:space="preserve"> REF _Ref68781631 \h </w:instrText>
      </w:r>
      <w:r>
        <w:fldChar w:fldCharType="separate"/>
      </w:r>
      <w:r>
        <w:t xml:space="preserve">Table </w:t>
      </w:r>
      <w:r>
        <w:rPr>
          <w:noProof/>
        </w:rPr>
        <w:t>3</w:t>
      </w:r>
      <w:r>
        <w:fldChar w:fldCharType="end"/>
      </w:r>
      <w:r>
        <w:t>)</w:t>
      </w:r>
      <w:r w:rsidR="00750FD8">
        <w:t>.</w:t>
      </w:r>
      <w:r w:rsidR="00565D25" w:rsidRPr="00BC11C5">
        <w:t xml:space="preserve"> </w:t>
      </w:r>
    </w:p>
    <w:p w14:paraId="424A1463" w14:textId="7A90DB78" w:rsidR="00565D25" w:rsidRPr="00BC11C5" w:rsidRDefault="00565D25" w:rsidP="00565D25">
      <w:bookmarkStart w:id="37" w:name="_Toc507486009"/>
      <w:r w:rsidRPr="00BC11C5">
        <w:t xml:space="preserve">The </w:t>
      </w:r>
      <w:r w:rsidR="00FD335F">
        <w:t>seven</w:t>
      </w:r>
      <w:r w:rsidRPr="00BC11C5">
        <w:t xml:space="preserve"> PDS above were then combined into three representative scenarios, which are the basis of further analysis:</w:t>
      </w:r>
    </w:p>
    <w:bookmarkEnd w:id="37"/>
    <w:p w14:paraId="7481C662" w14:textId="38293C86" w:rsidR="00AC493E" w:rsidRPr="00BC11C5" w:rsidRDefault="00FD335F" w:rsidP="004B4939">
      <w:pPr>
        <w:pStyle w:val="Heading4"/>
      </w:pPr>
      <w:r>
        <w:t>PDS1</w:t>
      </w:r>
      <w:r w:rsidR="00FB2C53" w:rsidRPr="00BC11C5">
        <w:t xml:space="preserve"> </w:t>
      </w:r>
      <w:r w:rsidR="007224D1" w:rsidRPr="00BC11C5">
        <w:t>–</w:t>
      </w:r>
      <w:r w:rsidR="00FB2C53" w:rsidRPr="00BC11C5">
        <w:t xml:space="preserve"> </w:t>
      </w:r>
      <w:r>
        <w:rPr>
          <w:rFonts w:ascii="Times New Roman" w:eastAsiaTheme="minorEastAsia" w:hAnsi="Times New Roman" w:cstheme="minorBidi"/>
          <w:b w:val="0"/>
          <w:bCs w:val="0"/>
          <w:i w:val="0"/>
          <w:iCs w:val="0"/>
          <w:color w:val="auto"/>
        </w:rPr>
        <w:t>Average of</w:t>
      </w:r>
      <w:r w:rsidR="009F2757" w:rsidRPr="00BC11C5">
        <w:rPr>
          <w:rFonts w:ascii="Times New Roman" w:eastAsiaTheme="minorEastAsia" w:hAnsi="Times New Roman" w:cstheme="minorBidi"/>
          <w:b w:val="0"/>
          <w:bCs w:val="0"/>
          <w:i w:val="0"/>
          <w:iCs w:val="0"/>
          <w:color w:val="auto"/>
        </w:rPr>
        <w:t xml:space="preserve">  all custom PDS</w:t>
      </w:r>
      <w:r>
        <w:rPr>
          <w:rFonts w:ascii="Times New Roman" w:eastAsiaTheme="minorEastAsia" w:hAnsi="Times New Roman" w:cstheme="minorBidi"/>
          <w:b w:val="0"/>
          <w:bCs w:val="0"/>
          <w:i w:val="0"/>
          <w:iCs w:val="0"/>
          <w:color w:val="auto"/>
        </w:rPr>
        <w:t>.</w:t>
      </w:r>
    </w:p>
    <w:p w14:paraId="0A63923E" w14:textId="57CBB262" w:rsidR="00AC493E" w:rsidRPr="00BC11C5" w:rsidRDefault="00FD335F" w:rsidP="004B4939">
      <w:pPr>
        <w:pStyle w:val="Heading4"/>
      </w:pPr>
      <w:r>
        <w:t>PDS2</w:t>
      </w:r>
      <w:r w:rsidR="00FB2C53" w:rsidRPr="00BC11C5">
        <w:t xml:space="preserve"> </w:t>
      </w:r>
      <w:r w:rsidR="007224D1" w:rsidRPr="00BC11C5">
        <w:t>–</w:t>
      </w:r>
      <w:r w:rsidR="00FB2C53" w:rsidRPr="00BC11C5">
        <w:t xml:space="preserve"> </w:t>
      </w:r>
      <w:r w:rsidRPr="00FD335F">
        <w:rPr>
          <w:rFonts w:ascii="Times New Roman" w:eastAsiaTheme="minorEastAsia" w:hAnsi="Times New Roman" w:cstheme="minorBidi"/>
          <w:b w:val="0"/>
          <w:bCs w:val="0"/>
          <w:i w:val="0"/>
          <w:iCs w:val="0"/>
          <w:color w:val="auto"/>
        </w:rPr>
        <w:t xml:space="preserve"> </w:t>
      </w:r>
      <w:r w:rsidRPr="00BC11C5">
        <w:rPr>
          <w:rFonts w:ascii="Times New Roman" w:eastAsiaTheme="minorEastAsia" w:hAnsi="Times New Roman" w:cstheme="minorBidi"/>
          <w:b w:val="0"/>
          <w:bCs w:val="0"/>
          <w:i w:val="0"/>
          <w:iCs w:val="0"/>
          <w:color w:val="auto"/>
        </w:rPr>
        <w:t xml:space="preserve">High of all custom PDS, expressed as one standard deviation above average. </w:t>
      </w:r>
    </w:p>
    <w:p w14:paraId="7A77F5DD" w14:textId="3DCA001F" w:rsidR="00AC493E" w:rsidRPr="00BC11C5" w:rsidRDefault="00FD335F" w:rsidP="004B4939">
      <w:pPr>
        <w:pStyle w:val="Heading4"/>
      </w:pPr>
      <w:r>
        <w:t>PDS3</w:t>
      </w:r>
      <w:r w:rsidR="00FB2C53" w:rsidRPr="00BC11C5">
        <w:t xml:space="preserve"> </w:t>
      </w:r>
      <w:r w:rsidR="009F2757" w:rsidRPr="00BC11C5">
        <w:t>–</w:t>
      </w:r>
      <w:r w:rsidR="00FB2C53" w:rsidRPr="00BC11C5">
        <w:t xml:space="preserve"> </w:t>
      </w:r>
      <w:r>
        <w:rPr>
          <w:rFonts w:ascii="Times New Roman" w:eastAsiaTheme="minorEastAsia" w:hAnsi="Times New Roman" w:cstheme="minorBidi"/>
          <w:b w:val="0"/>
          <w:bCs w:val="0"/>
          <w:i w:val="0"/>
          <w:iCs w:val="0"/>
          <w:color w:val="auto"/>
        </w:rPr>
        <w:t xml:space="preserve">A theoretical optimum scenario </w:t>
      </w:r>
      <w:r w:rsidR="000E552A">
        <w:rPr>
          <w:rFonts w:ascii="Times New Roman" w:eastAsiaTheme="minorEastAsia" w:hAnsi="Times New Roman" w:cstheme="minorBidi"/>
          <w:b w:val="0"/>
          <w:bCs w:val="0"/>
          <w:i w:val="0"/>
          <w:iCs w:val="0"/>
          <w:color w:val="auto"/>
        </w:rPr>
        <w:t>based on scenario</w:t>
      </w:r>
      <w:r>
        <w:rPr>
          <w:rFonts w:ascii="Times New Roman" w:eastAsiaTheme="minorEastAsia" w:hAnsi="Times New Roman" w:cstheme="minorBidi"/>
          <w:b w:val="0"/>
          <w:bCs w:val="0"/>
          <w:i w:val="0"/>
          <w:iCs w:val="0"/>
          <w:color w:val="auto"/>
        </w:rPr>
        <w:t xml:space="preserve"> 7</w:t>
      </w:r>
      <w:r w:rsidR="000E552A">
        <w:rPr>
          <w:rFonts w:ascii="Times New Roman" w:eastAsiaTheme="minorEastAsia" w:hAnsi="Times New Roman" w:cstheme="minorBidi"/>
          <w:b w:val="0"/>
          <w:bCs w:val="0"/>
          <w:i w:val="0"/>
          <w:iCs w:val="0"/>
          <w:color w:val="auto"/>
        </w:rPr>
        <w:t xml:space="preserve"> in</w:t>
      </w:r>
      <w:r w:rsidR="00750FD8">
        <w:rPr>
          <w:rFonts w:ascii="Times New Roman" w:eastAsiaTheme="minorEastAsia" w:hAnsi="Times New Roman" w:cstheme="minorBidi"/>
          <w:b w:val="0"/>
          <w:bCs w:val="0"/>
          <w:i w:val="0"/>
          <w:iCs w:val="0"/>
          <w:color w:val="auto"/>
        </w:rPr>
        <w:t xml:space="preserve"> Table 3. </w:t>
      </w:r>
      <w:r w:rsidR="00750FD8">
        <w:rPr>
          <w:rFonts w:ascii="Times New Roman" w:eastAsiaTheme="minorEastAsia" w:hAnsi="Times New Roman" w:cstheme="minorBidi"/>
          <w:b w:val="0"/>
          <w:bCs w:val="0"/>
          <w:i w:val="0"/>
          <w:iCs w:val="0"/>
          <w:color w:val="auto"/>
        </w:rPr>
        <w:fldChar w:fldCharType="begin"/>
      </w:r>
      <w:r w:rsidR="00750FD8">
        <w:rPr>
          <w:rFonts w:ascii="Times New Roman" w:eastAsiaTheme="minorEastAsia" w:hAnsi="Times New Roman" w:cstheme="minorBidi"/>
          <w:b w:val="0"/>
          <w:bCs w:val="0"/>
          <w:i w:val="0"/>
          <w:iCs w:val="0"/>
          <w:color w:val="auto"/>
        </w:rPr>
        <w:instrText xml:space="preserve"> REF _Ref68781631 \h </w:instrText>
      </w:r>
      <w:r w:rsidR="00750FD8">
        <w:rPr>
          <w:rFonts w:ascii="Times New Roman" w:eastAsiaTheme="minorEastAsia" w:hAnsi="Times New Roman" w:cstheme="minorBidi"/>
          <w:b w:val="0"/>
          <w:bCs w:val="0"/>
          <w:i w:val="0"/>
          <w:iCs w:val="0"/>
          <w:color w:val="auto"/>
        </w:rPr>
      </w:r>
      <w:r w:rsidR="00D76026">
        <w:rPr>
          <w:rFonts w:ascii="Times New Roman" w:eastAsiaTheme="minorEastAsia" w:hAnsi="Times New Roman" w:cstheme="minorBidi"/>
          <w:b w:val="0"/>
          <w:bCs w:val="0"/>
          <w:i w:val="0"/>
          <w:iCs w:val="0"/>
          <w:color w:val="auto"/>
        </w:rPr>
        <w:fldChar w:fldCharType="separate"/>
      </w:r>
      <w:r w:rsidR="00750FD8">
        <w:rPr>
          <w:rFonts w:ascii="Times New Roman" w:eastAsiaTheme="minorEastAsia" w:hAnsi="Times New Roman" w:cstheme="minorBidi"/>
          <w:b w:val="0"/>
          <w:bCs w:val="0"/>
          <w:i w:val="0"/>
          <w:iCs w:val="0"/>
          <w:color w:val="auto"/>
        </w:rPr>
        <w:fldChar w:fldCharType="end"/>
      </w:r>
    </w:p>
    <w:p w14:paraId="4C24E6F4" w14:textId="72717718" w:rsidR="00FB3AB3" w:rsidRPr="00BC11C5" w:rsidRDefault="00686965" w:rsidP="00483FFA">
      <w:pPr>
        <w:pStyle w:val="Heading2"/>
        <w:numPr>
          <w:ilvl w:val="1"/>
          <w:numId w:val="26"/>
        </w:numPr>
      </w:pPr>
      <w:bookmarkStart w:id="38" w:name="_Toc68791445"/>
      <w:r w:rsidRPr="00BC11C5">
        <w:t>Inputs</w:t>
      </w:r>
      <w:bookmarkEnd w:id="38"/>
    </w:p>
    <w:p w14:paraId="3EBCEF57" w14:textId="463B9347" w:rsidR="00FB3AB3" w:rsidRPr="00BC11C5" w:rsidRDefault="00686965" w:rsidP="005D49A8">
      <w:pPr>
        <w:pStyle w:val="Heading3"/>
      </w:pPr>
      <w:bookmarkStart w:id="39" w:name="_Toc68791446"/>
      <w:r w:rsidRPr="00BC11C5">
        <w:t>Climate Inputs</w:t>
      </w:r>
      <w:bookmarkEnd w:id="39"/>
    </w:p>
    <w:p w14:paraId="0B01E54B" w14:textId="62C614E8" w:rsidR="009F5D58" w:rsidRPr="009F5D58" w:rsidRDefault="00C46549" w:rsidP="009F5D58">
      <w:pPr>
        <w:pStyle w:val="Heading4"/>
      </w:pPr>
      <w:r w:rsidRPr="00BC11C5">
        <w:t xml:space="preserve">Direct </w:t>
      </w:r>
      <w:r w:rsidR="00565D25" w:rsidRPr="00BC11C5">
        <w:t>emissions</w:t>
      </w:r>
    </w:p>
    <w:p w14:paraId="5662869F" w14:textId="2BB27653" w:rsidR="00C46549" w:rsidRPr="00BC11C5" w:rsidRDefault="00C46549" w:rsidP="00C46549">
      <w:r w:rsidRPr="00BC11C5">
        <w:t xml:space="preserve">The model pyrolysis facility is assumed to be energy-neutral, with all on-site energy provided by the exothermic reaction of feedstock. Direct feedstock combustion emissions are </w:t>
      </w:r>
      <w:r w:rsidR="00921892" w:rsidRPr="00BC11C5">
        <w:t>ac</w:t>
      </w:r>
      <w:r w:rsidRPr="00BC11C5">
        <w:t>counted as zero because we consider only biogenic feedstocks. We examined the</w:t>
      </w:r>
      <w:r w:rsidR="00565D25" w:rsidRPr="00BC11C5">
        <w:t xml:space="preserve"> potential need for natural gas input during</w:t>
      </w:r>
      <w:r w:rsidRPr="00BC11C5">
        <w:t xml:space="preserve"> startup of the</w:t>
      </w:r>
      <w:r w:rsidR="00565D25" w:rsidRPr="00BC11C5">
        <w:t xml:space="preserve"> pyrolysis system, as has been previously modeled by others</w:t>
      </w:r>
      <w:r w:rsidRPr="00BC11C5">
        <w:t xml:space="preserve"> (Roberts et al., 2010), but excluded this from analysis as it accounted for less than 0.5% of net process global warming potential. </w:t>
      </w:r>
      <w:r w:rsidR="004B17FC">
        <w:t>We combined key model inputs</w:t>
      </w:r>
      <w:r w:rsidR="00A86018">
        <w:t xml:space="preserve"> (</w:t>
      </w:r>
      <w:r w:rsidR="00A86018">
        <w:fldChar w:fldCharType="begin"/>
      </w:r>
      <w:r w:rsidR="00A86018">
        <w:instrText xml:space="preserve"> REF _Ref66280685 \h </w:instrText>
      </w:r>
      <w:r w:rsidR="00A86018">
        <w:fldChar w:fldCharType="separate"/>
      </w:r>
      <w:r w:rsidR="00A86018">
        <w:t xml:space="preserve">Table </w:t>
      </w:r>
      <w:r w:rsidR="00A86018">
        <w:rPr>
          <w:noProof/>
        </w:rPr>
        <w:t>4</w:t>
      </w:r>
      <w:r w:rsidR="00A86018">
        <w:fldChar w:fldCharType="end"/>
      </w:r>
      <w:r w:rsidR="00A86018">
        <w:t>)</w:t>
      </w:r>
      <w:r w:rsidR="004B17FC">
        <w:t xml:space="preserve"> in a process flow model </w:t>
      </w:r>
      <w:r w:rsidR="00A86018">
        <w:t>(</w:t>
      </w:r>
      <w:r w:rsidR="00A86018">
        <w:fldChar w:fldCharType="begin"/>
      </w:r>
      <w:r w:rsidR="00A86018">
        <w:instrText xml:space="preserve"> REF _Ref66280712 \h </w:instrText>
      </w:r>
      <w:r w:rsidR="00A86018">
        <w:fldChar w:fldCharType="separate"/>
      </w:r>
      <w:r w:rsidR="00A86018">
        <w:t xml:space="preserve">Figure </w:t>
      </w:r>
      <w:r w:rsidR="00A86018">
        <w:rPr>
          <w:noProof/>
        </w:rPr>
        <w:t>2</w:t>
      </w:r>
      <w:r w:rsidR="00A86018">
        <w:fldChar w:fldCharType="end"/>
      </w:r>
      <w:r w:rsidR="00A86018">
        <w:t xml:space="preserve">) </w:t>
      </w:r>
      <w:r w:rsidR="004B17FC">
        <w:t xml:space="preserve">to calculate direct net </w:t>
      </w:r>
      <w:r w:rsidR="00A86018">
        <w:t>emissions</w:t>
      </w:r>
      <w:r w:rsidR="004B17FC">
        <w:t xml:space="preserve"> </w:t>
      </w:r>
      <w:r w:rsidR="00A86018">
        <w:t>(</w:t>
      </w:r>
      <w:r w:rsidR="00A86018">
        <w:fldChar w:fldCharType="begin"/>
      </w:r>
      <w:r w:rsidR="00A86018">
        <w:instrText xml:space="preserve"> REF _Ref66280731 \h </w:instrText>
      </w:r>
      <w:r w:rsidR="00A86018">
        <w:fldChar w:fldCharType="separate"/>
      </w:r>
      <w:r w:rsidR="00A86018">
        <w:t xml:space="preserve">Table </w:t>
      </w:r>
      <w:r w:rsidR="00A86018">
        <w:rPr>
          <w:noProof/>
        </w:rPr>
        <w:t>5</w:t>
      </w:r>
      <w:r w:rsidR="00A86018">
        <w:fldChar w:fldCharType="end"/>
      </w:r>
      <w:r w:rsidR="00A86018">
        <w:t>).</w:t>
      </w:r>
    </w:p>
    <w:p w14:paraId="33C8C352" w14:textId="0C804E83" w:rsidR="004B17FC" w:rsidRDefault="00921892" w:rsidP="00921892">
      <w:r w:rsidRPr="00BC11C5">
        <w:lastRenderedPageBreak/>
        <w:t>Though we expect biochar facilities in many cases to be co-located with feedstock sources, for conservatism we model the emissions associated with feedstock transportation using the Argonne National Laboratory GREET model with default values for transportation of forest residues and corn stover by medium heavy-duty diesel truck as a proxy for all feedstock transportation.</w:t>
      </w:r>
      <w:r w:rsidR="000E552A">
        <w:t xml:space="preserve"> Our methods align closely with other another study </w:t>
      </w:r>
      <w:r w:rsidR="000E552A">
        <w:fldChar w:fldCharType="begin"/>
      </w:r>
      <w:r w:rsidR="000E552A">
        <w:instrText xml:space="preserve"> ADDIN ZOTERO_ITEM CSL_CITATION {"citationID":"ROHQqHmu","properties":{"formattedCitation":"(Yang et al., 2021)","plainCitation":"(Yang et al., 2021)","noteIndex":0},"citationItems":[{"id":1448,"uris":["http://zotero.org/users/7422708/items/HX7V9J59"],"uri":["http://zotero.org/users/7422708/items/HX7V9J59"],"itemData":{"id":1448,"type":"article-journal","abstract":"Abstract\n            \n              Recognizing that bioenergy with carbon capture and storage (BECCS) may still take years to mature, this study focuses on another photosynthesis-based, negative-carbon technology that is readier to implement in China: biomass intermediate pyrolysis poly-generation (BIPP). Here we find that a BIPP system can be profitable without subsidies, while its national deployment could contribute to a 61% reduction of carbon emissions per unit of gross domestic product in 2030 compared to 2005 and result additionally in a reduction in air pollutant emissions. With 73% of national crop residues used between 2020 and 2030, the cumulative greenhouse gas (GHG) reduction could reach up to 8620 Mt CO\n              2\n              -eq by 2050, contributing 13–31% of the global GHG emission reduction goal for BECCS, and nearly 4555 Mt more than that projected for BECCS alone in China. Thus, China’s BIPP deployment could have an important influence on achieving both national and global GHG emissions reduction targets.","container-title":"Nature Communications","DOI":"10.1038/s41467-021-21868-z","ISSN":"2041-1723","issue":"1","journalAbbreviation":"Nat Commun","language":"en","page":"1698","source":"DOI.org (Crossref)","title":"Prospective contributions of biomass pyrolysis to China’s 2050 carbon reduction and renewable energy goals","volume":"12","author":[{"family":"Yang","given":"Qing"},{"family":"Zhou","given":"Hewen"},{"family":"Bartocci","given":"Pietro"},{"family":"Fantozzi","given":"Francesco"},{"family":"Mašek","given":"Ondřej"},{"family":"Agblevor","given":"Foster A."},{"family":"Wei","given":"Zhiyu"},{"family":"Yang","given":"Haiping"},{"family":"Chen","given":"Hanping"},{"family":"Lu","given":"Xi"},{"family":"Chen","given":"Guoqian"},{"family":"Zheng","given":"Chuguang"},{"family":"Nielsen","given":"Chris P."},{"family":"McElroy","given":"Michael B."}],"issued":{"date-parts":[["2021",12]]}}}],"schema":"https://github.com/citation-style-language/schema/raw/master/csl-citation.json"} </w:instrText>
      </w:r>
      <w:r w:rsidR="000E552A">
        <w:fldChar w:fldCharType="separate"/>
      </w:r>
      <w:r w:rsidR="000E552A" w:rsidRPr="000E552A">
        <w:rPr>
          <w:rFonts w:cs="Times New Roman"/>
        </w:rPr>
        <w:t>(Yang et al., 2021)</w:t>
      </w:r>
      <w:r w:rsidR="000E552A">
        <w:fldChar w:fldCharType="end"/>
      </w:r>
      <w:r w:rsidR="000E552A">
        <w:t>.</w:t>
      </w:r>
      <w:r w:rsidRPr="00BC11C5">
        <w:t xml:space="preserve"> </w:t>
      </w:r>
    </w:p>
    <w:p w14:paraId="36730B73" w14:textId="129CB62C" w:rsidR="00921892" w:rsidRPr="00BC11C5" w:rsidRDefault="00A86018" w:rsidP="00A86018">
      <w:pPr>
        <w:tabs>
          <w:tab w:val="left" w:pos="1260"/>
        </w:tabs>
      </w:pPr>
      <w:r>
        <w:tab/>
      </w:r>
    </w:p>
    <w:p w14:paraId="17A4079C" w14:textId="28B86BA5" w:rsidR="00921892" w:rsidRPr="00BC11C5" w:rsidRDefault="004B17FC" w:rsidP="004B17FC">
      <w:pPr>
        <w:pStyle w:val="Caption"/>
      </w:pPr>
      <w:bookmarkStart w:id="40" w:name="_Ref66280685"/>
      <w:bookmarkStart w:id="41" w:name="_Toc66286412"/>
      <w:bookmarkStart w:id="42" w:name="_Toc66286804"/>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4</w:t>
      </w:r>
      <w:r w:rsidR="004F1E38">
        <w:rPr>
          <w:noProof/>
        </w:rPr>
        <w:fldChar w:fldCharType="end"/>
      </w:r>
      <w:bookmarkEnd w:id="40"/>
      <w:r>
        <w:t>: Key model climate inputs.</w:t>
      </w:r>
      <w:bookmarkEnd w:id="41"/>
      <w:bookmarkEnd w:id="42"/>
      <w:r>
        <w:t xml:space="preserve"> </w:t>
      </w:r>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921892" w:rsidRPr="00BC11C5" w14:paraId="7AAAA33A" w14:textId="77777777" w:rsidTr="00C15F20">
        <w:trPr>
          <w:cantSplit/>
          <w:trHeight w:val="393"/>
          <w:tblHeader/>
        </w:trPr>
        <w:tc>
          <w:tcPr>
            <w:tcW w:w="2076" w:type="dxa"/>
            <w:shd w:val="clear" w:color="auto" w:fill="4F81BD" w:themeFill="accent1"/>
            <w:vAlign w:val="center"/>
          </w:tcPr>
          <w:p w14:paraId="6A81F937" w14:textId="77777777" w:rsidR="00921892" w:rsidRPr="00BC11C5" w:rsidRDefault="00921892" w:rsidP="00C15F20">
            <w:pPr>
              <w:spacing w:after="180" w:line="240" w:lineRule="auto"/>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17429E81" w14:textId="77777777" w:rsidR="00921892" w:rsidRPr="00BC11C5" w:rsidRDefault="00921892" w:rsidP="00C15F20">
            <w:pPr>
              <w:spacing w:after="180" w:line="240" w:lineRule="auto"/>
              <w:jc w:val="center"/>
              <w:rPr>
                <w:b/>
                <w:bCs/>
                <w:color w:val="FFFFFF" w:themeColor="background1"/>
                <w:sz w:val="20"/>
                <w:szCs w:val="20"/>
              </w:rPr>
            </w:pPr>
            <w:r w:rsidRPr="00BC11C5">
              <w:rPr>
                <w:b/>
                <w:bCs/>
                <w:color w:val="FFFFFF" w:themeColor="background1"/>
                <w:sz w:val="20"/>
                <w:szCs w:val="20"/>
              </w:rPr>
              <w:t>Units</w:t>
            </w:r>
          </w:p>
        </w:tc>
        <w:tc>
          <w:tcPr>
            <w:tcW w:w="1486" w:type="dxa"/>
            <w:shd w:val="clear" w:color="auto" w:fill="4F81BD" w:themeFill="accent1"/>
            <w:vAlign w:val="center"/>
          </w:tcPr>
          <w:p w14:paraId="71C78770" w14:textId="77777777" w:rsidR="00921892" w:rsidRPr="00BC11C5" w:rsidRDefault="00921892" w:rsidP="00C15F20">
            <w:pPr>
              <w:spacing w:after="180" w:line="240" w:lineRule="auto"/>
              <w:jc w:val="center"/>
              <w:rPr>
                <w:b/>
                <w:bCs/>
                <w:color w:val="FFFFFF" w:themeColor="background1"/>
                <w:sz w:val="20"/>
                <w:szCs w:val="20"/>
              </w:rPr>
            </w:pPr>
            <w:r w:rsidRPr="00BC11C5">
              <w:rPr>
                <w:b/>
                <w:bCs/>
                <w:color w:val="FFFFFF" w:themeColor="background1"/>
                <w:sz w:val="20"/>
                <w:szCs w:val="20"/>
              </w:rPr>
              <w:t>Project Drawdown Data Set Range</w:t>
            </w:r>
          </w:p>
        </w:tc>
        <w:tc>
          <w:tcPr>
            <w:tcW w:w="1467" w:type="dxa"/>
            <w:shd w:val="clear" w:color="auto" w:fill="4F81BD" w:themeFill="accent1"/>
            <w:vAlign w:val="center"/>
          </w:tcPr>
          <w:p w14:paraId="0EA3C5F5" w14:textId="77777777" w:rsidR="00921892" w:rsidRPr="00BC11C5" w:rsidRDefault="00921892" w:rsidP="00C15F20">
            <w:pPr>
              <w:spacing w:after="180" w:line="240" w:lineRule="auto"/>
              <w:jc w:val="center"/>
              <w:rPr>
                <w:b/>
                <w:bCs/>
                <w:color w:val="FFFFFF" w:themeColor="background1"/>
                <w:sz w:val="20"/>
                <w:szCs w:val="20"/>
              </w:rPr>
            </w:pPr>
            <w:r w:rsidRPr="00BC11C5">
              <w:rPr>
                <w:b/>
                <w:bCs/>
                <w:color w:val="FFFFFF" w:themeColor="background1"/>
                <w:sz w:val="20"/>
                <w:szCs w:val="20"/>
              </w:rPr>
              <w:t>Model Input</w:t>
            </w:r>
          </w:p>
        </w:tc>
        <w:tc>
          <w:tcPr>
            <w:tcW w:w="1366" w:type="dxa"/>
            <w:shd w:val="clear" w:color="auto" w:fill="4F81BD" w:themeFill="accent1"/>
            <w:vAlign w:val="center"/>
          </w:tcPr>
          <w:p w14:paraId="3BEDFBA1" w14:textId="77777777" w:rsidR="00921892" w:rsidRPr="00BC11C5" w:rsidRDefault="00921892" w:rsidP="00C15F20">
            <w:pPr>
              <w:spacing w:after="180" w:line="240" w:lineRule="auto"/>
              <w:jc w:val="center"/>
              <w:rPr>
                <w:b/>
                <w:bCs/>
                <w:color w:val="FFFFFF" w:themeColor="background1"/>
                <w:sz w:val="20"/>
                <w:szCs w:val="20"/>
              </w:rPr>
            </w:pPr>
            <w:r w:rsidRPr="00BC11C5">
              <w:rPr>
                <w:b/>
                <w:bCs/>
                <w:color w:val="FFFFFF" w:themeColor="background1"/>
                <w:sz w:val="20"/>
                <w:szCs w:val="20"/>
              </w:rPr>
              <w:t>Data Points (#)</w:t>
            </w:r>
          </w:p>
        </w:tc>
        <w:tc>
          <w:tcPr>
            <w:tcW w:w="1528" w:type="dxa"/>
            <w:shd w:val="clear" w:color="auto" w:fill="4F81BD" w:themeFill="accent1"/>
            <w:vAlign w:val="center"/>
          </w:tcPr>
          <w:p w14:paraId="33DB2F19" w14:textId="1D0EA350" w:rsidR="00921892" w:rsidRPr="00BC11C5" w:rsidRDefault="00E73FF5" w:rsidP="00C15F20">
            <w:pPr>
              <w:spacing w:after="180" w:line="240" w:lineRule="auto"/>
              <w:jc w:val="center"/>
              <w:rPr>
                <w:b/>
                <w:bCs/>
                <w:color w:val="FFFFFF" w:themeColor="background1"/>
                <w:sz w:val="20"/>
                <w:szCs w:val="20"/>
              </w:rPr>
            </w:pPr>
            <w:r>
              <w:rPr>
                <w:b/>
                <w:bCs/>
                <w:color w:val="FFFFFF" w:themeColor="background1"/>
                <w:sz w:val="20"/>
                <w:szCs w:val="20"/>
              </w:rPr>
              <w:t xml:space="preserve">Sources </w:t>
            </w:r>
          </w:p>
        </w:tc>
      </w:tr>
      <w:tr w:rsidR="00921892" w:rsidRPr="00863C91" w14:paraId="6B511DDD" w14:textId="77777777" w:rsidTr="00C15F20">
        <w:trPr>
          <w:trHeight w:val="508"/>
        </w:trPr>
        <w:tc>
          <w:tcPr>
            <w:tcW w:w="2076" w:type="dxa"/>
            <w:vAlign w:val="center"/>
          </w:tcPr>
          <w:p w14:paraId="7F44DD68"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t>Biochar yield</w:t>
            </w:r>
          </w:p>
        </w:tc>
        <w:tc>
          <w:tcPr>
            <w:tcW w:w="1427" w:type="dxa"/>
            <w:shd w:val="clear" w:color="auto" w:fill="auto"/>
            <w:vAlign w:val="center"/>
          </w:tcPr>
          <w:p w14:paraId="0FEECA02" w14:textId="77777777" w:rsidR="00921892" w:rsidRPr="00BC11C5" w:rsidRDefault="00921892" w:rsidP="00C15F20">
            <w:pPr>
              <w:spacing w:after="180" w:line="240" w:lineRule="auto"/>
              <w:jc w:val="center"/>
              <w:rPr>
                <w:rFonts w:eastAsia="Helvetica,Times New Roman" w:cstheme="minorHAnsi"/>
                <w:i/>
                <w:sz w:val="20"/>
                <w:szCs w:val="20"/>
              </w:rPr>
            </w:pPr>
            <w:r w:rsidRPr="00BC11C5">
              <w:rPr>
                <w:rFonts w:eastAsia="Helvetica,Times New Roman" w:cstheme="minorHAnsi"/>
                <w:i/>
                <w:sz w:val="20"/>
                <w:szCs w:val="20"/>
              </w:rPr>
              <w:t xml:space="preserve">t biochar / t feedstock </w:t>
            </w:r>
          </w:p>
        </w:tc>
        <w:tc>
          <w:tcPr>
            <w:tcW w:w="1486" w:type="dxa"/>
            <w:vAlign w:val="center"/>
          </w:tcPr>
          <w:p w14:paraId="56C85F81"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0.25 - 0.36</w:t>
            </w:r>
          </w:p>
        </w:tc>
        <w:tc>
          <w:tcPr>
            <w:tcW w:w="1467" w:type="dxa"/>
            <w:vAlign w:val="center"/>
          </w:tcPr>
          <w:p w14:paraId="6004BB37"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0.298</w:t>
            </w:r>
          </w:p>
        </w:tc>
        <w:tc>
          <w:tcPr>
            <w:tcW w:w="1366" w:type="dxa"/>
            <w:vAlign w:val="center"/>
          </w:tcPr>
          <w:p w14:paraId="308F27A4"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10</w:t>
            </w:r>
          </w:p>
        </w:tc>
        <w:tc>
          <w:tcPr>
            <w:tcW w:w="1528" w:type="dxa"/>
            <w:vAlign w:val="center"/>
          </w:tcPr>
          <w:p w14:paraId="7EF07F50" w14:textId="312A3058"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BC11C5">
              <w:rPr>
                <w:rFonts w:eastAsia="Helvetica,Times New Roman" w:cstheme="minorHAnsi"/>
                <w:color w:val="000000" w:themeColor="text1"/>
                <w:sz w:val="20"/>
                <w:szCs w:val="20"/>
              </w:rPr>
              <w:fldChar w:fldCharType="begin"/>
            </w:r>
            <w:r w:rsidR="006034EA">
              <w:rPr>
                <w:rFonts w:eastAsia="Helvetica,Times New Roman" w:cstheme="minorHAnsi"/>
                <w:color w:val="000000" w:themeColor="text1"/>
                <w:sz w:val="20"/>
                <w:szCs w:val="20"/>
              </w:rPr>
              <w:instrText xml:space="preserve"> ADDIN ZOTERO_ITEM CSL_CITATION {"citationID":"Xh1WmksI","properties":{"formattedCitation":"(Campbell et al., 2018; K. G. Roberts et al., 2010; Sessions et al., 2019; Timmons et al., 2017)","plainCitation":"(Campbell et al., 2018; K. G. Roberts et al., 2010; Sessions et al., 2019; Timmons et al., 2017)","noteIndex":0},"citationItems":[{"id":1246,"uris":["http://zotero.org/users/7422708/items/JF6BGV3B"],"uri":["http://zotero.org/users/7422708/items/JF6BGV3B"],"itemData":{"id":1246,"type":"article-journal","abstract":"A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T."}],"issued":{"date-parts":[["2018",11]]}}},{"id":1232,"uris":["http://zotero.org/users/7422708/items/IQ3CHY33"],"uri":["http://zotero.org/users/7422708/items/IQ3CHY33"],"itemData":{"id":1232,"type":"article-journal","container-title":"Environmental Science &amp; Technology","DOI":"10.1021/es902266r","ISSN":"0013-936X, 1520-5851","issue":"2","journalAbbreviation":"Environ. Sci. Technol.","language":"en","page":"827-833","source":"DOI.org (Crossref)","title":"Life Cycle Assessment of Biochar Systems: Estimating the Energetic, Economic, and Climate Change Potential","title-short":"Life Cycle Assessment of Biochar Systems","volume":"44","author":[{"family":"Roberts","given":"Kelli G."},{"family":"Gloy","given":"Brent A."},{"family":"Joseph","given":"Stephen"},{"family":"Scott","given":"Norman R."},{"family":"Lehmann","given":"Johannes"}],"issued":{"date-parts":[["2010",1,15]]}}},{"id":1262,"uris":["http://zotero.org/users/7422708/items/AME7LGT2"],"uri":["http://zotero.org/users/7422708/items/AME7LGT2"],"itemData":{"id":1262,"type":"article-journal","abstract":"The commercial use of low-value forest-origin biomass has long been considered for its potential to oﬀset the cost of reducing wildﬁre hazard. The production of biochar simultaneously consumes low-value forest biomass and produces stable charcoal that, when applied to dryland agricultural soils, can increase water holding capacity and crop yield. In this way the production of forest-origin biochar has the potential to promote forest restoration, foster forest-related employment, increase agricultural competitiveness, and sequester carbon. Biochar oﬀers the greatest opportunity where dryland food crops, limited water availability, existing energy transmission infrastructure, and high-ﬁre hazard forests share the same landscape. In this paper we describe a landscape-level study based on this scenario to optimize wildﬁre hazard reduction treatments, biochar facili</w:instrText>
            </w:r>
            <w:r w:rsidR="006034EA" w:rsidRPr="00863C91">
              <w:rPr>
                <w:rFonts w:eastAsia="Helvetica,Times New Roman" w:cstheme="minorHAnsi"/>
                <w:color w:val="000000" w:themeColor="text1"/>
                <w:sz w:val="20"/>
                <w:szCs w:val="20"/>
                <w:lang w:val="fr-FR"/>
              </w:rPr>
              <w:instrText>ty locations, and agroeconomic outcomes to evaluate the potential bene</w:instrText>
            </w:r>
            <w:r w:rsidR="006034EA">
              <w:rPr>
                <w:rFonts w:eastAsia="Helvetica,Times New Roman" w:cstheme="minorHAnsi"/>
                <w:color w:val="000000" w:themeColor="text1"/>
                <w:sz w:val="20"/>
                <w:szCs w:val="20"/>
              </w:rPr>
              <w:instrText>ﬁ</w:instrText>
            </w:r>
            <w:r w:rsidR="006034EA" w:rsidRPr="00863C91">
              <w:rPr>
                <w:rFonts w:eastAsia="Helvetica,Times New Roman" w:cstheme="minorHAnsi"/>
                <w:color w:val="000000" w:themeColor="text1"/>
                <w:sz w:val="20"/>
                <w:szCs w:val="20"/>
                <w:lang w:val="fr-FR"/>
              </w:rPr>
              <w:instrText xml:space="preserve">ts needed to carry the costs of biochar production.","container-title":"Biomass and Bioenergy","DOI":"10.1016/j.biombioe.2019.02.015","ISSN":"09619534","journalAbbreviation":"Biomass and Bioenergy","language":"en","page":"175-185","source":"DOI.org (Crossref)","title":"Can biochar link forest restoration with commercial agriculture?","volume":"123","author":[{"family":"Sessions","given":"John"},{"family":"Smith","given":"David"},{"family":"Trippe","given":"Kristin M."},{"family":"Fried","given":"Jeremy S."},{"family":"Bailey","given":"John D."},{"family":"Petitmermet","given":"Joshua H."},{"family":"Hollamon","given":"William"},{"family":"Phillips","given":"Claire L."},{"family":"Campbell","given":"John D."}],"issued":{"date-parts":[["2019",4]]}}},{"id":1248,"uris":["http://zotero.org/users/7422708/items/KKWM6YBC"],"uri":["http://zotero.org/users/7422708/items/KKWM6YBC"],"itemData":{"id":1248,"type":"article","language":"en","publisher":"UMass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rsidRPr="00BC11C5">
              <w:rPr>
                <w:rFonts w:eastAsia="Helvetica,Times New Roman" w:cstheme="minorHAnsi"/>
                <w:color w:val="000000" w:themeColor="text1"/>
                <w:sz w:val="20"/>
                <w:szCs w:val="20"/>
              </w:rPr>
              <w:fldChar w:fldCharType="separate"/>
            </w:r>
            <w:r w:rsidR="006034EA" w:rsidRPr="00863C91">
              <w:rPr>
                <w:rFonts w:cs="Times New Roman"/>
                <w:sz w:val="20"/>
                <w:lang w:val="fr-FR"/>
              </w:rPr>
              <w:t>(Campbell et al., 2018; K. G. Roberts et al., 2010; Sessions et al., 2019; Timmons et al., 2017)</w:t>
            </w:r>
            <w:r w:rsidRPr="00BC11C5">
              <w:rPr>
                <w:rFonts w:eastAsia="Helvetica,Times New Roman" w:cstheme="minorHAnsi"/>
                <w:color w:val="000000" w:themeColor="text1"/>
                <w:sz w:val="20"/>
                <w:szCs w:val="20"/>
              </w:rPr>
              <w:fldChar w:fldCharType="end"/>
            </w:r>
          </w:p>
        </w:tc>
      </w:tr>
      <w:tr w:rsidR="00921892" w:rsidRPr="00863C91" w14:paraId="18123495" w14:textId="77777777" w:rsidTr="00C15F20">
        <w:trPr>
          <w:trHeight w:val="508"/>
        </w:trPr>
        <w:tc>
          <w:tcPr>
            <w:tcW w:w="2076" w:type="dxa"/>
            <w:vAlign w:val="center"/>
          </w:tcPr>
          <w:p w14:paraId="21F3A697" w14:textId="77777777" w:rsidR="00921892" w:rsidRPr="00C15F20" w:rsidRDefault="00921892" w:rsidP="00C15F20">
            <w:pPr>
              <w:spacing w:after="180" w:line="240" w:lineRule="auto"/>
              <w:jc w:val="center"/>
              <w:rPr>
                <w:lang w:val="fr-FR"/>
              </w:rPr>
            </w:pPr>
            <w:r w:rsidRPr="00C15F20">
              <w:rPr>
                <w:lang w:val="fr-FR"/>
              </w:rPr>
              <w:t>Biochar carbon content</w:t>
            </w:r>
          </w:p>
        </w:tc>
        <w:tc>
          <w:tcPr>
            <w:tcW w:w="1427" w:type="dxa"/>
            <w:shd w:val="clear" w:color="auto" w:fill="auto"/>
            <w:vAlign w:val="center"/>
          </w:tcPr>
          <w:p w14:paraId="1B4AB9B6" w14:textId="77777777" w:rsidR="00921892" w:rsidRPr="00C15F20" w:rsidRDefault="00921892" w:rsidP="00C15F20">
            <w:pPr>
              <w:spacing w:after="180" w:line="240" w:lineRule="auto"/>
              <w:jc w:val="center"/>
              <w:rPr>
                <w:rFonts w:eastAsia="Helvetica,Times New Roman" w:cstheme="minorHAnsi"/>
                <w:i/>
                <w:sz w:val="20"/>
                <w:szCs w:val="20"/>
                <w:lang w:val="fr-FR"/>
              </w:rPr>
            </w:pPr>
            <w:r w:rsidRPr="00C15F20">
              <w:rPr>
                <w:rFonts w:eastAsia="Helvetica,Times New Roman" w:cstheme="minorHAnsi"/>
                <w:i/>
                <w:sz w:val="20"/>
                <w:szCs w:val="20"/>
                <w:lang w:val="fr-FR"/>
              </w:rPr>
              <w:t>%</w:t>
            </w:r>
          </w:p>
        </w:tc>
        <w:tc>
          <w:tcPr>
            <w:tcW w:w="1486" w:type="dxa"/>
            <w:vAlign w:val="center"/>
          </w:tcPr>
          <w:p w14:paraId="1CC34034"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1.4 - 97.4%</w:t>
            </w:r>
          </w:p>
        </w:tc>
        <w:tc>
          <w:tcPr>
            <w:tcW w:w="1467" w:type="dxa"/>
            <w:vAlign w:val="center"/>
          </w:tcPr>
          <w:p w14:paraId="0982D081"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64.0%</w:t>
            </w:r>
          </w:p>
        </w:tc>
        <w:tc>
          <w:tcPr>
            <w:tcW w:w="1366" w:type="dxa"/>
            <w:vAlign w:val="center"/>
          </w:tcPr>
          <w:p w14:paraId="7A858E85"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1031</w:t>
            </w:r>
          </w:p>
        </w:tc>
        <w:tc>
          <w:tcPr>
            <w:tcW w:w="1528" w:type="dxa"/>
            <w:vAlign w:val="center"/>
          </w:tcPr>
          <w:p w14:paraId="70B98437"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BC11C5">
              <w:rPr>
                <w:rFonts w:eastAsia="Helvetica,Times New Roman" w:cstheme="minorHAnsi"/>
                <w:color w:val="000000" w:themeColor="text1"/>
                <w:sz w:val="20"/>
                <w:szCs w:val="20"/>
              </w:rPr>
              <w:fldChar w:fldCharType="begin"/>
            </w:r>
            <w:r w:rsidRPr="00C15F20">
              <w:rPr>
                <w:rFonts w:eastAsia="Helvetica,Times New Roman" w:cstheme="minorHAnsi"/>
                <w:color w:val="000000" w:themeColor="text1"/>
                <w:sz w:val="20"/>
                <w:szCs w:val="20"/>
                <w:lang w:val="fr-FR"/>
              </w:rPr>
              <w:instrText xml:space="preserve"> ADDIN ZOTERO_ITEM CSL_CITATION {"citationID":"klzbheql","properties":{"formattedCitation":"(UC Davis, 2021)","plainCitation":"(UC Davis, 2021)","noteIndex":0},"citationItems":[{"id":1368,"uris":["http://zotero.org/users/7422708/items/8489Q43X"],"uri":["http://zotero.org/users/7422708/items/8489Q43X"],"itemData":{"id":1368,"type":"article","publisher":"University of California Davis","title":"UC Davis Biochar Database","URL":"http://biochar.ucdavis.edu/","author":[{"family":"UC Davis","given":""}],"issued":{"date-parts":[["2021"]]}}}],"schema":"https://github.com/citation-style-language/schema/raw/master/csl-citation.json"} </w:instrText>
            </w:r>
            <w:r w:rsidRPr="00BC11C5">
              <w:rPr>
                <w:rFonts w:eastAsia="Helvetica,Times New Roman" w:cstheme="minorHAnsi"/>
                <w:color w:val="000000" w:themeColor="text1"/>
                <w:sz w:val="20"/>
                <w:szCs w:val="20"/>
              </w:rPr>
              <w:fldChar w:fldCharType="separate"/>
            </w:r>
            <w:r w:rsidRPr="00C15F20">
              <w:rPr>
                <w:rFonts w:cs="Times New Roman"/>
                <w:sz w:val="20"/>
                <w:lang w:val="fr-FR"/>
              </w:rPr>
              <w:t>(UC Davis, 2021)</w:t>
            </w:r>
            <w:r w:rsidRPr="00BC11C5">
              <w:rPr>
                <w:rFonts w:eastAsia="Helvetica,Times New Roman" w:cstheme="minorHAnsi"/>
                <w:color w:val="000000" w:themeColor="text1"/>
                <w:sz w:val="20"/>
                <w:szCs w:val="20"/>
              </w:rPr>
              <w:fldChar w:fldCharType="end"/>
            </w:r>
          </w:p>
        </w:tc>
      </w:tr>
      <w:tr w:rsidR="00921892" w:rsidRPr="00863C91" w14:paraId="6C7529F4" w14:textId="77777777" w:rsidTr="00C15F20">
        <w:trPr>
          <w:trHeight w:val="508"/>
        </w:trPr>
        <w:tc>
          <w:tcPr>
            <w:tcW w:w="2076" w:type="dxa"/>
            <w:vAlign w:val="center"/>
          </w:tcPr>
          <w:p w14:paraId="0D7802B0" w14:textId="77777777" w:rsidR="00921892" w:rsidRPr="00C15F20" w:rsidRDefault="00921892" w:rsidP="00C15F20">
            <w:pPr>
              <w:spacing w:after="180" w:line="240" w:lineRule="auto"/>
              <w:jc w:val="center"/>
              <w:rPr>
                <w:lang w:val="fr-FR"/>
              </w:rPr>
            </w:pPr>
            <w:r w:rsidRPr="00C15F20">
              <w:rPr>
                <w:lang w:val="fr-FR"/>
              </w:rPr>
              <w:t>Biochar recalcitrant fraction of carbon</w:t>
            </w:r>
          </w:p>
        </w:tc>
        <w:tc>
          <w:tcPr>
            <w:tcW w:w="1427" w:type="dxa"/>
            <w:shd w:val="clear" w:color="auto" w:fill="auto"/>
            <w:vAlign w:val="center"/>
          </w:tcPr>
          <w:p w14:paraId="500BC326" w14:textId="77777777" w:rsidR="00921892" w:rsidRPr="00C15F20" w:rsidRDefault="00921892" w:rsidP="00C15F20">
            <w:pPr>
              <w:spacing w:after="180" w:line="240" w:lineRule="auto"/>
              <w:jc w:val="center"/>
              <w:rPr>
                <w:rFonts w:eastAsia="Helvetica,Times New Roman" w:cstheme="minorHAnsi"/>
                <w:i/>
                <w:sz w:val="20"/>
                <w:szCs w:val="20"/>
                <w:lang w:val="fr-FR"/>
              </w:rPr>
            </w:pPr>
            <w:r w:rsidRPr="00C15F20">
              <w:rPr>
                <w:rFonts w:eastAsia="Helvetica,Times New Roman" w:cstheme="minorHAnsi"/>
                <w:i/>
                <w:sz w:val="20"/>
                <w:szCs w:val="20"/>
                <w:lang w:val="fr-FR"/>
              </w:rPr>
              <w:t>%</w:t>
            </w:r>
          </w:p>
        </w:tc>
        <w:tc>
          <w:tcPr>
            <w:tcW w:w="1486" w:type="dxa"/>
            <w:vAlign w:val="center"/>
          </w:tcPr>
          <w:p w14:paraId="6E4A5EE5"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80-97%</w:t>
            </w:r>
          </w:p>
        </w:tc>
        <w:tc>
          <w:tcPr>
            <w:tcW w:w="1467" w:type="dxa"/>
            <w:vAlign w:val="center"/>
          </w:tcPr>
          <w:p w14:paraId="36276C15"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88.5%</w:t>
            </w:r>
          </w:p>
        </w:tc>
        <w:tc>
          <w:tcPr>
            <w:tcW w:w="1366" w:type="dxa"/>
            <w:vAlign w:val="center"/>
          </w:tcPr>
          <w:p w14:paraId="216A22E5" w14:textId="77777777" w:rsidR="00921892" w:rsidRPr="00C15F20" w:rsidRDefault="00921892" w:rsidP="00C15F20">
            <w:pPr>
              <w:spacing w:after="180" w:line="240" w:lineRule="auto"/>
              <w:jc w:val="center"/>
              <w:rPr>
                <w:rFonts w:eastAsia="Helvetica,Times New Roman" w:cstheme="minorHAnsi"/>
                <w:color w:val="000000" w:themeColor="text1"/>
                <w:sz w:val="20"/>
                <w:szCs w:val="20"/>
                <w:lang w:val="fr-FR"/>
              </w:rPr>
            </w:pPr>
            <w:r w:rsidRPr="00C15F20">
              <w:rPr>
                <w:rFonts w:eastAsia="Helvetica,Times New Roman" w:cstheme="minorHAnsi"/>
                <w:color w:val="000000" w:themeColor="text1"/>
                <w:sz w:val="20"/>
                <w:szCs w:val="20"/>
                <w:lang w:val="fr-FR"/>
              </w:rPr>
              <w:t xml:space="preserve">2 </w:t>
            </w:r>
          </w:p>
        </w:tc>
        <w:tc>
          <w:tcPr>
            <w:tcW w:w="1528" w:type="dxa"/>
            <w:vAlign w:val="center"/>
          </w:tcPr>
          <w:p w14:paraId="7FC966AE" w14:textId="3DD49385" w:rsidR="00921892" w:rsidRPr="00863C91"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fldChar w:fldCharType="begin"/>
            </w:r>
            <w:r w:rsidR="006034EA">
              <w:rPr>
                <w:rFonts w:eastAsia="Helvetica,Times New Roman" w:cstheme="minorHAnsi"/>
                <w:color w:val="000000" w:themeColor="text1"/>
                <w:sz w:val="20"/>
                <w:szCs w:val="20"/>
                <w:lang w:val="fr-FR"/>
              </w:rPr>
              <w:instrText xml:space="preserve"> ADDIN ZOTERO_ITEM CSL_CITATION {"citationID":"1E64Jx6T","properties":{"formattedCitation":"(K. G. Roberts et al., 2010; Wang et al., 2016)","plainCitation":"(K. G. Roberts et al., 2010; Wang et al., 2016)","noteIndex":0},"citationItems":[{"id":1232,"uris":["http://zotero.org/users/7422708/items/IQ3CHY33"],"uri":["http://zotero.org/users/7422708/items/IQ3CHY33"],"itemData":{"id":1232,"type":"article-journal","container-title":"Environmental Science &amp; Technology","DOI":"10.1021/es902266r","ISSN":"0013-936X, 1520-5851","issue":"2","journalAbbreviation":"Environ. Sci. Technol.","language":"en","page":"827-833","source":"DOI.org (Crossref)","title":"Life Cycle Assessment of Biochar Systems: Estimating the Energetic, Economic, and Climate Change Potential","title-short":"Life Cycle Assessment of Biochar Systems","volume":"44","author":[{"family":"Roberts","given":"Kelli G."},{"family":"Gloy","given":"Brent A."},{"family":"Joseph","given":"Stephen"},{"family":"Scott","given":"Norman R."},{"family":"Lehmann","given":"Johannes"}],"issued":{"date-parts":[["2010",1,15]]}}},{"id":1267,"uris":["http://zotero.org/users/7422708/items/PTNPI9NU"],"uri":["http://zotero.org/users/7422708/items/PTNPI9NU"],"itemData":{"id":1267,"type":"article-journal","abstract":"The stability and decomposition of biochar are fundamental to understand its persistence in soil, its contribution to carbon (C) sequestration, and thus its role in the global C cycle. Our current knowledge about the degradability of biochar, however, is limited. Using 128 observations of biochar-derived CO2 from 24 studies with stable (13C) and radioactive (14C) carbon isotopes, we meta-analyzed the biochar decomposition in soil and estimated its mean residence time (MRT). The decomposed amount of biochar increased logarithmically with experimental duration, and the decomposition rate decreased with time. The biochar decomposition rate varied signiﬁcantly with experimental duration, feedstock, pyrolysis temperature, and soil clay content. The MRTs of labile and recalcitrant biochar C pools were estimated to be about 108 days and 556 years with pool sizes of 3% and 97%, respectively. These results show that only a small part of biochar is bioavailable and that the remaining 97% contribute directly to long-term C sequestration in soil. The second database (116 observations from 21 studies) was used to evaluate the priming effects after biochar</w:instrText>
            </w:r>
            <w:r w:rsidR="006034EA" w:rsidRPr="00863C91">
              <w:rPr>
                <w:rFonts w:eastAsia="Helvetica,Times New Roman" w:cstheme="minorHAnsi"/>
                <w:color w:val="000000" w:themeColor="text1"/>
                <w:sz w:val="20"/>
                <w:szCs w:val="20"/>
              </w:rPr>
              <w:instrText xml:space="preserve"> addition. Biochar slightly retarded the mineralization of soil organic matter (SOM; overall mean: À3.8%, 95% CI = À8.1–0.8%) compared to the soil without biochar addition. Signi</w:instrText>
            </w:r>
            <w:r w:rsidR="006034EA">
              <w:rPr>
                <w:rFonts w:eastAsia="Helvetica,Times New Roman" w:cstheme="minorHAnsi"/>
                <w:color w:val="000000" w:themeColor="text1"/>
                <w:sz w:val="20"/>
                <w:szCs w:val="20"/>
                <w:lang w:val="fr-FR"/>
              </w:rPr>
              <w:instrText>ﬁ</w:instrText>
            </w:r>
            <w:r w:rsidR="006034EA" w:rsidRPr="00863C91">
              <w:rPr>
                <w:rFonts w:eastAsia="Helvetica,Times New Roman" w:cstheme="minorHAnsi"/>
                <w:color w:val="000000" w:themeColor="text1"/>
                <w:sz w:val="20"/>
                <w:szCs w:val="20"/>
              </w:rPr>
              <w:instrText xml:space="preserve">cant negative priming was common for studies with a duration shorter than half a year (À8.6%), crop-derived biochar (À20.3%), fast pyrolysis (À18.9%), the lowest pyrolysis temperature (À18.5%), and small application amounts (À11.9%). In contrast, biochar addition to sandy soils strongly stimulated SOM mineralization by 20.8%. This indicates that biochar stimulates microbial activities especially in soils with low fertility. Furthermore, abiotic and biotic processes, as well as the characteristics of biochar and soils, affecting biochar decomposition are discussed. We conclude that biochar can persist in soils on a centennial scale and that it has a positive effect on SOM dynamics and thus on C sequestration.","container-title":"GCB Bioenergy","DOI":"10.1111/gcbb.12266","ISSN":"1757-1693, 1757-1707","issue":"3","journalAbbreviation":"GCB Bioenergy","language":"en","page":"512-523","source":"DOI.org (Crossref)","title":"Biochar stability in soil: meta‐analysis of decomposition and priming effects","title-short":"Biochar stability in soil","volume":"8","author":[{"family":"Wang","given":"Jinyang"},{"family":"Xiong","given":"Zhengqin"},{"family":"Kuzyakov","given":"Yakov"}],"issued":{"date-parts":[["2016",5]]}}}],"schema":"https://github.com/citation-style-language/schema/raw/master/csl-citation.json"} </w:instrText>
            </w:r>
            <w:r w:rsidRPr="00BC11C5">
              <w:rPr>
                <w:rFonts w:eastAsia="Helvetica,Times New Roman" w:cstheme="minorHAnsi"/>
                <w:color w:val="000000" w:themeColor="text1"/>
                <w:sz w:val="20"/>
                <w:szCs w:val="20"/>
              </w:rPr>
              <w:fldChar w:fldCharType="separate"/>
            </w:r>
            <w:r w:rsidR="006034EA" w:rsidRPr="00863C91">
              <w:rPr>
                <w:rFonts w:cs="Times New Roman"/>
                <w:sz w:val="20"/>
              </w:rPr>
              <w:t>(K. G. Roberts et al., 2010; Wang et al., 2016)</w:t>
            </w:r>
            <w:r w:rsidRPr="00BC11C5">
              <w:rPr>
                <w:rFonts w:eastAsia="Helvetica,Times New Roman" w:cstheme="minorHAnsi"/>
                <w:color w:val="000000" w:themeColor="text1"/>
                <w:sz w:val="20"/>
                <w:szCs w:val="20"/>
              </w:rPr>
              <w:fldChar w:fldCharType="end"/>
            </w:r>
          </w:p>
        </w:tc>
      </w:tr>
      <w:tr w:rsidR="00921892" w:rsidRPr="00BC11C5" w14:paraId="4451A565" w14:textId="77777777" w:rsidTr="00C15F20">
        <w:trPr>
          <w:trHeight w:val="508"/>
        </w:trPr>
        <w:tc>
          <w:tcPr>
            <w:tcW w:w="2076" w:type="dxa"/>
            <w:vAlign w:val="center"/>
          </w:tcPr>
          <w:p w14:paraId="65D76282" w14:textId="559BF194" w:rsidR="00921892" w:rsidRPr="00863C91" w:rsidRDefault="00921892" w:rsidP="00C15F20">
            <w:pPr>
              <w:spacing w:after="180" w:line="240" w:lineRule="auto"/>
              <w:jc w:val="center"/>
            </w:pPr>
            <w:r w:rsidRPr="00863C91">
              <w:t>Feedstock transportation</w:t>
            </w:r>
            <w:r w:rsidR="00E73FF5" w:rsidRPr="00863C91">
              <w:t xml:space="preserve"> emissions</w:t>
            </w:r>
          </w:p>
        </w:tc>
        <w:tc>
          <w:tcPr>
            <w:tcW w:w="1427" w:type="dxa"/>
            <w:shd w:val="clear" w:color="auto" w:fill="auto"/>
            <w:vAlign w:val="center"/>
          </w:tcPr>
          <w:p w14:paraId="12EB1296" w14:textId="77777777" w:rsidR="00921892" w:rsidRPr="00863C91" w:rsidRDefault="00921892" w:rsidP="00C15F20">
            <w:pPr>
              <w:spacing w:after="180" w:line="240" w:lineRule="auto"/>
              <w:jc w:val="center"/>
              <w:rPr>
                <w:rFonts w:eastAsia="Helvetica,Times New Roman" w:cstheme="minorHAnsi"/>
                <w:i/>
                <w:sz w:val="20"/>
                <w:szCs w:val="20"/>
              </w:rPr>
            </w:pPr>
            <w:r w:rsidRPr="00863C91">
              <w:rPr>
                <w:rFonts w:eastAsia="Helvetica,Times New Roman" w:cstheme="minorHAnsi"/>
                <w:i/>
                <w:sz w:val="20"/>
                <w:szCs w:val="20"/>
              </w:rPr>
              <w:t>t CO</w:t>
            </w:r>
            <w:r w:rsidRPr="00863C91">
              <w:rPr>
                <w:rFonts w:eastAsia="Helvetica,Times New Roman" w:cstheme="minorHAnsi"/>
                <w:i/>
                <w:sz w:val="20"/>
                <w:szCs w:val="20"/>
                <w:vertAlign w:val="subscript"/>
              </w:rPr>
              <w:t>2</w:t>
            </w:r>
            <w:r w:rsidRPr="00863C91">
              <w:rPr>
                <w:rFonts w:eastAsia="Helvetica,Times New Roman" w:cstheme="minorHAnsi"/>
                <w:i/>
                <w:sz w:val="20"/>
                <w:szCs w:val="20"/>
              </w:rPr>
              <w:t>e / t biochar</w:t>
            </w:r>
          </w:p>
        </w:tc>
        <w:tc>
          <w:tcPr>
            <w:tcW w:w="1486" w:type="dxa"/>
            <w:vAlign w:val="center"/>
          </w:tcPr>
          <w:p w14:paraId="5F34B38C" w14:textId="51FFA793" w:rsidR="00921892" w:rsidRPr="00BC11C5" w:rsidRDefault="00E73FF5" w:rsidP="00C15F2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0.042 -</w:t>
            </w:r>
            <w:r w:rsidR="00921892" w:rsidRPr="00BC11C5">
              <w:rPr>
                <w:rFonts w:eastAsia="Helvetica,Times New Roman" w:cstheme="minorHAnsi"/>
                <w:color w:val="000000" w:themeColor="text1"/>
                <w:sz w:val="20"/>
                <w:szCs w:val="20"/>
              </w:rPr>
              <w:t xml:space="preserve"> 0.12</w:t>
            </w:r>
          </w:p>
        </w:tc>
        <w:tc>
          <w:tcPr>
            <w:tcW w:w="1467" w:type="dxa"/>
            <w:vAlign w:val="center"/>
          </w:tcPr>
          <w:p w14:paraId="03D8DE66"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0.082</w:t>
            </w:r>
          </w:p>
        </w:tc>
        <w:tc>
          <w:tcPr>
            <w:tcW w:w="1366" w:type="dxa"/>
            <w:vAlign w:val="center"/>
          </w:tcPr>
          <w:p w14:paraId="31D8AF0B"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2</w:t>
            </w:r>
          </w:p>
        </w:tc>
        <w:tc>
          <w:tcPr>
            <w:tcW w:w="1528" w:type="dxa"/>
            <w:vAlign w:val="center"/>
          </w:tcPr>
          <w:p w14:paraId="60C0177B" w14:textId="77777777" w:rsidR="00921892" w:rsidRPr="00BC11C5" w:rsidRDefault="00921892" w:rsidP="00C15F20">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fldChar w:fldCharType="begin"/>
            </w:r>
            <w:r w:rsidRPr="00BC11C5">
              <w:rPr>
                <w:rFonts w:eastAsia="Helvetica,Times New Roman" w:cstheme="minorHAnsi"/>
                <w:color w:val="000000" w:themeColor="text1"/>
                <w:sz w:val="20"/>
                <w:szCs w:val="20"/>
              </w:rPr>
              <w:instrText xml:space="preserve"> ADDIN ZOTERO_ITEM CSL_CITATION {"citationID":"FUYuDjOw","properties":{"formattedCitation":"(Argonne National Laboratory, 2020)","plainCitation":"(Argonne National Laboratory, 2020)","noteIndex":0},"citationItems":[{"id":1369,"uris":["http://zotero.org/users/7422708/items/XGEX2B95"],"uri":["http://zotero.org/users/7422708/items/XGEX2B95"],"itemData":{"id":1369,"type":"article","publisher":"Argonne National Laboratory","title":"GREET (Greenhouse gases, Regulated Emissions, and Energy use in Technology) Model","URL":"https://greet.es.anl.gov/","author":[{"family":"Argonne National Laboratory","given":""}],"issued":{"date-parts":[["2020"]]}}}],"schema":"https://github.com/citation-style-language/schema/raw/master/csl-citation.json"} </w:instrText>
            </w:r>
            <w:r w:rsidRPr="00BC11C5">
              <w:rPr>
                <w:rFonts w:eastAsia="Helvetica,Times New Roman" w:cstheme="minorHAnsi"/>
                <w:color w:val="000000" w:themeColor="text1"/>
                <w:sz w:val="20"/>
                <w:szCs w:val="20"/>
              </w:rPr>
              <w:fldChar w:fldCharType="separate"/>
            </w:r>
            <w:r w:rsidRPr="00BC11C5">
              <w:rPr>
                <w:rFonts w:cs="Times New Roman"/>
                <w:sz w:val="20"/>
              </w:rPr>
              <w:t>(Argonne National Laboratory, 2020)</w:t>
            </w:r>
            <w:r w:rsidRPr="00BC11C5">
              <w:rPr>
                <w:rFonts w:eastAsia="Helvetica,Times New Roman" w:cstheme="minorHAnsi"/>
                <w:color w:val="000000" w:themeColor="text1"/>
                <w:sz w:val="20"/>
                <w:szCs w:val="20"/>
              </w:rPr>
              <w:fldChar w:fldCharType="end"/>
            </w:r>
          </w:p>
        </w:tc>
      </w:tr>
    </w:tbl>
    <w:p w14:paraId="43B5BA1A" w14:textId="77777777" w:rsidR="00565D25" w:rsidRDefault="00565D25" w:rsidP="00C46549"/>
    <w:p w14:paraId="7E8234F3" w14:textId="77777777" w:rsidR="004B17FC" w:rsidRPr="00BC11C5" w:rsidRDefault="004B17FC" w:rsidP="00C46549"/>
    <w:p w14:paraId="276F3280" w14:textId="78720572" w:rsidR="004B17FC" w:rsidRDefault="004B17FC" w:rsidP="00C46549"/>
    <w:p w14:paraId="7FE4EEF1" w14:textId="6EF1F43F" w:rsidR="007A0E1E" w:rsidRPr="00863C91" w:rsidRDefault="007A0E1E" w:rsidP="004B17FC">
      <w:pPr>
        <w:pStyle w:val="Caption"/>
        <w:rPr>
          <w:i w:val="0"/>
        </w:rPr>
      </w:pPr>
      <w:bookmarkStart w:id="43" w:name="_Ref66280712"/>
      <w:bookmarkStart w:id="44" w:name="_Ref66280703"/>
      <w:bookmarkStart w:id="45" w:name="_Toc66286778"/>
      <w:r w:rsidRPr="007A0E1E">
        <w:rPr>
          <w:i w:val="0"/>
          <w:noProof/>
          <w:lang w:eastAsia="en-US"/>
        </w:rPr>
        <w:drawing>
          <wp:inline distT="0" distB="0" distL="0" distR="0" wp14:anchorId="75847983" wp14:editId="6C97FD34">
            <wp:extent cx="5943600" cy="1179469"/>
            <wp:effectExtent l="0" t="0" r="0" b="1905"/>
            <wp:docPr id="2" name="Picture 2" descr="C:\Users\JB\Documents\Work\Drawdown\Biochar LCA process flow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Documents\Work\Drawdown\Biochar LCA process flow -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79469"/>
                    </a:xfrm>
                    <a:prstGeom prst="rect">
                      <a:avLst/>
                    </a:prstGeom>
                    <a:noFill/>
                    <a:ln>
                      <a:noFill/>
                    </a:ln>
                  </pic:spPr>
                </pic:pic>
              </a:graphicData>
            </a:graphic>
          </wp:inline>
        </w:drawing>
      </w:r>
    </w:p>
    <w:p w14:paraId="73D2917B" w14:textId="14E8119F" w:rsidR="004B17FC" w:rsidRDefault="004B17FC" w:rsidP="004B17FC">
      <w:pPr>
        <w:pStyle w:val="Caption"/>
      </w:pPr>
      <w:r>
        <w:t xml:space="preserve">Figure </w:t>
      </w:r>
      <w:r w:rsidR="004F1E38">
        <w:rPr>
          <w:noProof/>
        </w:rPr>
        <w:fldChar w:fldCharType="begin"/>
      </w:r>
      <w:r w:rsidR="004F1E38">
        <w:rPr>
          <w:noProof/>
        </w:rPr>
        <w:instrText xml:space="preserve"> SEQ Figure \* ARABIC </w:instrText>
      </w:r>
      <w:r w:rsidR="004F1E38">
        <w:rPr>
          <w:noProof/>
        </w:rPr>
        <w:fldChar w:fldCharType="separate"/>
      </w:r>
      <w:r w:rsidR="001B193B">
        <w:rPr>
          <w:noProof/>
        </w:rPr>
        <w:t>2</w:t>
      </w:r>
      <w:r w:rsidR="004F1E38">
        <w:rPr>
          <w:noProof/>
        </w:rPr>
        <w:fldChar w:fldCharType="end"/>
      </w:r>
      <w:bookmarkEnd w:id="43"/>
      <w:r>
        <w:t>: Modeled process flow</w:t>
      </w:r>
      <w:bookmarkEnd w:id="44"/>
      <w:r w:rsidR="005F3F2A">
        <w:t xml:space="preserve"> for emissions calculations.</w:t>
      </w:r>
      <w:bookmarkEnd w:id="45"/>
      <w:r w:rsidR="005F3F2A">
        <w:t xml:space="preserve"> </w:t>
      </w:r>
      <w:r>
        <w:t xml:space="preserve"> </w:t>
      </w:r>
    </w:p>
    <w:p w14:paraId="5D4672A7" w14:textId="5D3597CE" w:rsidR="00921892" w:rsidRDefault="00921892" w:rsidP="00C46549">
      <w:r w:rsidRPr="00BC11C5">
        <w:lastRenderedPageBreak/>
        <w:t>Direct emissions are calculated as the sum of carbon sequestration and feedstock transport emissions. Carbon sequestration is calculated as the recalcitrant carbon fr</w:t>
      </w:r>
      <w:r w:rsidR="00E73FF5">
        <w:t xml:space="preserve">action of the biochar product. </w:t>
      </w:r>
      <w:r w:rsidR="00A86018">
        <w:t>In total, net direct emissions are -2.00 t CO</w:t>
      </w:r>
      <w:r w:rsidR="00A86018">
        <w:rPr>
          <w:vertAlign w:val="subscript"/>
        </w:rPr>
        <w:t>2</w:t>
      </w:r>
      <w:r w:rsidR="00A86018">
        <w:t>e / t biochar, with the negative sign indicating sequestration or negative emissions.</w:t>
      </w:r>
    </w:p>
    <w:p w14:paraId="59D6BD4E" w14:textId="78D51B6A" w:rsidR="00A86018" w:rsidRPr="00A86018" w:rsidRDefault="00A86018" w:rsidP="00A86018">
      <w:pPr>
        <w:pStyle w:val="Caption"/>
      </w:pPr>
      <w:bookmarkStart w:id="46" w:name="_Ref66280731"/>
      <w:bookmarkStart w:id="47" w:name="_Toc66286413"/>
      <w:bookmarkStart w:id="48" w:name="_Toc66286805"/>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5</w:t>
      </w:r>
      <w:r w:rsidR="004F1E38">
        <w:rPr>
          <w:noProof/>
        </w:rPr>
        <w:fldChar w:fldCharType="end"/>
      </w:r>
      <w:bookmarkEnd w:id="46"/>
      <w:r>
        <w:t>: Net direct emissions.</w:t>
      </w:r>
      <w:bookmarkEnd w:id="47"/>
      <w:bookmarkEnd w:id="48"/>
      <w:r>
        <w:t xml:space="preserve"> </w:t>
      </w:r>
    </w:p>
    <w:tbl>
      <w:tblPr>
        <w:tblStyle w:val="TableGrid"/>
        <w:tblW w:w="9355" w:type="dxa"/>
        <w:tblLook w:val="04A0" w:firstRow="1" w:lastRow="0" w:firstColumn="1" w:lastColumn="0" w:noHBand="0" w:noVBand="1"/>
      </w:tblPr>
      <w:tblGrid>
        <w:gridCol w:w="4405"/>
        <w:gridCol w:w="4950"/>
      </w:tblGrid>
      <w:tr w:rsidR="00BC11C5" w:rsidRPr="00BC11C5" w14:paraId="122F2980" w14:textId="77777777" w:rsidTr="00BC11C5">
        <w:trPr>
          <w:cantSplit/>
          <w:trHeight w:val="393"/>
          <w:tblHeader/>
        </w:trPr>
        <w:tc>
          <w:tcPr>
            <w:tcW w:w="4405" w:type="dxa"/>
            <w:shd w:val="clear" w:color="auto" w:fill="4F81BD" w:themeFill="accent1"/>
            <w:vAlign w:val="center"/>
          </w:tcPr>
          <w:p w14:paraId="6081D466" w14:textId="3529A330" w:rsidR="00BC11C5" w:rsidRPr="00BC11C5" w:rsidRDefault="00BC11C5" w:rsidP="00C15F20">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Process</w:t>
            </w:r>
          </w:p>
        </w:tc>
        <w:tc>
          <w:tcPr>
            <w:tcW w:w="4950" w:type="dxa"/>
            <w:shd w:val="clear" w:color="auto" w:fill="4F81BD" w:themeFill="accent1"/>
            <w:vAlign w:val="center"/>
          </w:tcPr>
          <w:p w14:paraId="6FBE34D4" w14:textId="5EA8A200" w:rsidR="00BC11C5" w:rsidRPr="00BC11C5" w:rsidRDefault="00BC11C5" w:rsidP="00C15F20">
            <w:pPr>
              <w:spacing w:after="180" w:line="240" w:lineRule="auto"/>
              <w:jc w:val="center"/>
              <w:rPr>
                <w:b/>
                <w:bCs/>
                <w:color w:val="FFFFFF" w:themeColor="background1"/>
                <w:sz w:val="20"/>
                <w:szCs w:val="20"/>
              </w:rPr>
            </w:pPr>
            <w:r w:rsidRPr="00BC11C5">
              <w:rPr>
                <w:b/>
                <w:bCs/>
                <w:color w:val="FFFFFF" w:themeColor="background1"/>
                <w:sz w:val="20"/>
                <w:szCs w:val="20"/>
              </w:rPr>
              <w:t>Global warming potential intensity (tCO</w:t>
            </w:r>
            <w:r w:rsidRPr="00BC11C5">
              <w:rPr>
                <w:b/>
                <w:bCs/>
                <w:color w:val="FFFFFF" w:themeColor="background1"/>
                <w:sz w:val="20"/>
                <w:szCs w:val="20"/>
                <w:vertAlign w:val="subscript"/>
              </w:rPr>
              <w:t>2</w:t>
            </w:r>
            <w:r w:rsidRPr="00BC11C5">
              <w:rPr>
                <w:b/>
                <w:bCs/>
                <w:color w:val="FFFFFF" w:themeColor="background1"/>
                <w:sz w:val="20"/>
                <w:szCs w:val="20"/>
              </w:rPr>
              <w:t>e / t biochar)</w:t>
            </w:r>
          </w:p>
        </w:tc>
      </w:tr>
      <w:tr w:rsidR="00BC11C5" w:rsidRPr="00BC11C5" w14:paraId="29752C98" w14:textId="77777777" w:rsidTr="00BC11C5">
        <w:trPr>
          <w:trHeight w:val="508"/>
        </w:trPr>
        <w:tc>
          <w:tcPr>
            <w:tcW w:w="4405" w:type="dxa"/>
            <w:vAlign w:val="center"/>
          </w:tcPr>
          <w:p w14:paraId="3657D19E" w14:textId="61E3631F" w:rsidR="00BC11C5" w:rsidRPr="00BC11C5" w:rsidRDefault="00BC11C5" w:rsidP="00C15F20">
            <w:pPr>
              <w:spacing w:after="180" w:line="240" w:lineRule="auto"/>
              <w:jc w:val="center"/>
              <w:rPr>
                <w:rFonts w:eastAsia="Helvetica,Times New Roman" w:cstheme="minorHAnsi"/>
                <w:color w:val="000000" w:themeColor="text1"/>
                <w:sz w:val="20"/>
                <w:szCs w:val="20"/>
              </w:rPr>
            </w:pPr>
            <w:r w:rsidRPr="00BC11C5">
              <w:t>Sequestration from recalcitrant carbon in biochar</w:t>
            </w:r>
          </w:p>
        </w:tc>
        <w:tc>
          <w:tcPr>
            <w:tcW w:w="4950" w:type="dxa"/>
            <w:shd w:val="clear" w:color="auto" w:fill="auto"/>
            <w:vAlign w:val="center"/>
          </w:tcPr>
          <w:p w14:paraId="62116420" w14:textId="5F57C006" w:rsidR="00BC11C5" w:rsidRPr="00BC11C5" w:rsidRDefault="00BC11C5" w:rsidP="00C15F20">
            <w:pPr>
              <w:spacing w:after="180" w:line="240" w:lineRule="auto"/>
              <w:jc w:val="center"/>
              <w:rPr>
                <w:rFonts w:eastAsia="Helvetica,Times New Roman" w:cstheme="minorHAnsi"/>
                <w:i/>
                <w:sz w:val="20"/>
                <w:szCs w:val="20"/>
              </w:rPr>
            </w:pPr>
            <w:r w:rsidRPr="00BC11C5">
              <w:rPr>
                <w:rFonts w:eastAsia="Helvetica,Times New Roman" w:cstheme="minorHAnsi"/>
                <w:i/>
                <w:sz w:val="20"/>
                <w:szCs w:val="20"/>
              </w:rPr>
              <w:t xml:space="preserve">-2.08 </w:t>
            </w:r>
          </w:p>
        </w:tc>
      </w:tr>
      <w:tr w:rsidR="00BC11C5" w:rsidRPr="00BC11C5" w14:paraId="0D18B5D9" w14:textId="77777777" w:rsidTr="00BC11C5">
        <w:trPr>
          <w:trHeight w:val="508"/>
        </w:trPr>
        <w:tc>
          <w:tcPr>
            <w:tcW w:w="4405" w:type="dxa"/>
            <w:vAlign w:val="center"/>
          </w:tcPr>
          <w:p w14:paraId="0F3C90FF" w14:textId="28918E5B" w:rsidR="00BC11C5" w:rsidRPr="00BC11C5" w:rsidRDefault="00BC11C5" w:rsidP="00BC11C5">
            <w:pPr>
              <w:spacing w:after="180" w:line="240" w:lineRule="auto"/>
              <w:jc w:val="center"/>
            </w:pPr>
            <w:r w:rsidRPr="00BC11C5">
              <w:t xml:space="preserve">Feedstock transport </w:t>
            </w:r>
          </w:p>
        </w:tc>
        <w:tc>
          <w:tcPr>
            <w:tcW w:w="4950" w:type="dxa"/>
            <w:shd w:val="clear" w:color="auto" w:fill="auto"/>
            <w:vAlign w:val="center"/>
          </w:tcPr>
          <w:p w14:paraId="21934EF2" w14:textId="446E9440" w:rsidR="00BC11C5" w:rsidRPr="00BC11C5" w:rsidRDefault="00BC11C5" w:rsidP="00C15F20">
            <w:pPr>
              <w:spacing w:after="180" w:line="240" w:lineRule="auto"/>
              <w:jc w:val="center"/>
              <w:rPr>
                <w:rFonts w:eastAsia="Helvetica,Times New Roman" w:cstheme="minorHAnsi"/>
                <w:i/>
                <w:sz w:val="20"/>
                <w:szCs w:val="20"/>
              </w:rPr>
            </w:pPr>
            <w:r w:rsidRPr="00BC11C5">
              <w:rPr>
                <w:rFonts w:eastAsia="Helvetica,Times New Roman" w:cstheme="minorHAnsi"/>
                <w:i/>
                <w:sz w:val="20"/>
                <w:szCs w:val="20"/>
              </w:rPr>
              <w:t>0.082</w:t>
            </w:r>
          </w:p>
        </w:tc>
      </w:tr>
      <w:tr w:rsidR="00BC11C5" w:rsidRPr="00BC11C5" w14:paraId="31694F88" w14:textId="77777777" w:rsidTr="00BC11C5">
        <w:trPr>
          <w:trHeight w:val="508"/>
        </w:trPr>
        <w:tc>
          <w:tcPr>
            <w:tcW w:w="4405" w:type="dxa"/>
            <w:vAlign w:val="center"/>
          </w:tcPr>
          <w:p w14:paraId="0804F006" w14:textId="10197048" w:rsidR="00BC11C5" w:rsidRPr="00BC11C5" w:rsidRDefault="00BC11C5" w:rsidP="00C15F20">
            <w:pPr>
              <w:spacing w:after="180" w:line="240" w:lineRule="auto"/>
              <w:jc w:val="center"/>
              <w:rPr>
                <w:b/>
              </w:rPr>
            </w:pPr>
            <w:r w:rsidRPr="00BC11C5">
              <w:rPr>
                <w:b/>
              </w:rPr>
              <w:t>Total net direct emissions</w:t>
            </w:r>
          </w:p>
        </w:tc>
        <w:tc>
          <w:tcPr>
            <w:tcW w:w="4950" w:type="dxa"/>
            <w:shd w:val="clear" w:color="auto" w:fill="auto"/>
            <w:vAlign w:val="center"/>
          </w:tcPr>
          <w:p w14:paraId="4078C467" w14:textId="6CCFFB68" w:rsidR="00BC11C5" w:rsidRPr="00BC11C5" w:rsidRDefault="00BC11C5" w:rsidP="00C15F20">
            <w:pPr>
              <w:spacing w:after="180" w:line="240" w:lineRule="auto"/>
              <w:jc w:val="center"/>
              <w:rPr>
                <w:rFonts w:eastAsia="Helvetica,Times New Roman" w:cstheme="minorHAnsi"/>
                <w:b/>
                <w:i/>
                <w:sz w:val="20"/>
                <w:szCs w:val="20"/>
              </w:rPr>
            </w:pPr>
            <w:r w:rsidRPr="00BC11C5">
              <w:rPr>
                <w:rFonts w:eastAsia="Helvetica,Times New Roman" w:cstheme="minorHAnsi"/>
                <w:b/>
                <w:i/>
                <w:sz w:val="20"/>
                <w:szCs w:val="20"/>
              </w:rPr>
              <w:t>-2.00</w:t>
            </w:r>
          </w:p>
        </w:tc>
      </w:tr>
    </w:tbl>
    <w:p w14:paraId="4982DA1E" w14:textId="77777777" w:rsidR="00EA7780" w:rsidRPr="00BC11C5" w:rsidRDefault="00EA7780" w:rsidP="00EB247F"/>
    <w:p w14:paraId="24C491B8" w14:textId="3FE396CD" w:rsidR="00F52595" w:rsidRPr="00BC11C5" w:rsidRDefault="00A86018" w:rsidP="005D49A8">
      <w:pPr>
        <w:pStyle w:val="Heading3"/>
      </w:pPr>
      <w:bookmarkStart w:id="49" w:name="_Toc68791447"/>
      <w:r>
        <w:t>F</w:t>
      </w:r>
      <w:r w:rsidR="00686965" w:rsidRPr="00BC11C5">
        <w:t>inancial Inputs</w:t>
      </w:r>
      <w:bookmarkEnd w:id="49"/>
    </w:p>
    <w:p w14:paraId="0962EC30" w14:textId="4610FAFE" w:rsidR="0032353F" w:rsidRPr="00BC11C5" w:rsidRDefault="00A86018" w:rsidP="0032353F">
      <w:r>
        <w:t>Key financial values from the literature were collected and harmonized for model inputs. All dollar values are expressed in 2014</w:t>
      </w:r>
      <w:r w:rsidR="000C5AF8">
        <w:t xml:space="preserve"> </w:t>
      </w:r>
      <w:r>
        <w:t>USD for consistency</w:t>
      </w:r>
      <w:r w:rsidR="000C5AF8">
        <w:t>. Feedstock costs, where explicitly reported in the literature, were omitted from operating costs. All operating costs are categori</w:t>
      </w:r>
      <w:r w:rsidR="00E73FF5">
        <w:t>zed as variable operating costs</w:t>
      </w:r>
      <w:r w:rsidR="000C5AF8">
        <w:t xml:space="preserve"> because not all sources used made a distinction to fixed operating costs. </w:t>
      </w:r>
      <w:r>
        <w:t xml:space="preserve"> </w:t>
      </w:r>
    </w:p>
    <w:p w14:paraId="1521B01D" w14:textId="54633496" w:rsidR="00D25FC7" w:rsidRPr="00BC11C5" w:rsidRDefault="00A86018" w:rsidP="00A86018">
      <w:pPr>
        <w:pStyle w:val="Caption"/>
        <w:rPr>
          <w:rFonts w:asciiTheme="majorHAnsi" w:eastAsiaTheme="majorEastAsia" w:hAnsiTheme="majorHAnsi" w:cstheme="majorBidi"/>
          <w:b/>
          <w:bCs/>
          <w:color w:val="000000" w:themeColor="text1"/>
          <w:sz w:val="23"/>
          <w:szCs w:val="23"/>
          <w:lang w:eastAsia="zh-CN"/>
        </w:rPr>
      </w:pPr>
      <w:bookmarkStart w:id="50" w:name="_Toc66286415"/>
      <w:bookmarkStart w:id="51" w:name="_Toc66286807"/>
      <w:bookmarkStart w:id="52" w:name="_Toc526981326"/>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7</w:t>
      </w:r>
      <w:r w:rsidR="004F1E38">
        <w:rPr>
          <w:noProof/>
        </w:rPr>
        <w:fldChar w:fldCharType="end"/>
      </w:r>
      <w:r>
        <w:t>:</w:t>
      </w:r>
      <w:r w:rsidR="005F3F2A">
        <w:t xml:space="preserve"> Financial i</w:t>
      </w:r>
      <w:r w:rsidR="00D25FC7" w:rsidRPr="00BC11C5">
        <w:t>nputs</w:t>
      </w:r>
      <w:bookmarkEnd w:id="50"/>
      <w:bookmarkEnd w:id="51"/>
      <w:r w:rsidR="00D25FC7" w:rsidRPr="00BC11C5">
        <w:t xml:space="preserve"> </w:t>
      </w:r>
      <w:bookmarkEnd w:id="52"/>
    </w:p>
    <w:tbl>
      <w:tblPr>
        <w:tblStyle w:val="TableGrid"/>
        <w:tblW w:w="5043" w:type="pct"/>
        <w:jc w:val="center"/>
        <w:tblLook w:val="04A0" w:firstRow="1" w:lastRow="0" w:firstColumn="1" w:lastColumn="0" w:noHBand="0" w:noVBand="1"/>
      </w:tblPr>
      <w:tblGrid>
        <w:gridCol w:w="1571"/>
        <w:gridCol w:w="1573"/>
        <w:gridCol w:w="1573"/>
        <w:gridCol w:w="1571"/>
        <w:gridCol w:w="1573"/>
        <w:gridCol w:w="1569"/>
      </w:tblGrid>
      <w:tr w:rsidR="00910DE0" w:rsidRPr="00BC11C5" w14:paraId="5EBC0DC9" w14:textId="77777777" w:rsidTr="000C5AF8">
        <w:trPr>
          <w:cantSplit/>
          <w:trHeight w:val="1154"/>
          <w:tblHeader/>
          <w:jc w:val="center"/>
        </w:trPr>
        <w:tc>
          <w:tcPr>
            <w:tcW w:w="833" w:type="pct"/>
            <w:shd w:val="clear" w:color="auto" w:fill="4F81BD" w:themeFill="accent1"/>
            <w:vAlign w:val="center"/>
          </w:tcPr>
          <w:p w14:paraId="74E672A4" w14:textId="77777777" w:rsidR="00910DE0" w:rsidRPr="00BC11C5" w:rsidRDefault="00910DE0" w:rsidP="00AD4CF8">
            <w:pPr>
              <w:spacing w:after="180" w:line="240" w:lineRule="auto"/>
              <w:jc w:val="center"/>
              <w:rPr>
                <w:rFonts w:eastAsia="Helvetica,Times New Roman" w:cstheme="minorHAnsi"/>
                <w:b/>
                <w:color w:val="000000" w:themeColor="text1"/>
                <w:sz w:val="20"/>
                <w:szCs w:val="20"/>
              </w:rPr>
            </w:pPr>
          </w:p>
        </w:tc>
        <w:tc>
          <w:tcPr>
            <w:tcW w:w="834" w:type="pct"/>
            <w:shd w:val="clear" w:color="auto" w:fill="4F81BD" w:themeFill="accent1"/>
            <w:vAlign w:val="center"/>
          </w:tcPr>
          <w:p w14:paraId="47C8F982" w14:textId="77777777" w:rsidR="00910DE0" w:rsidRPr="00BC11C5" w:rsidRDefault="00910DE0" w:rsidP="00AD4CF8">
            <w:pPr>
              <w:spacing w:after="180" w:line="240" w:lineRule="auto"/>
              <w:jc w:val="center"/>
              <w:rPr>
                <w:b/>
                <w:bCs/>
                <w:sz w:val="20"/>
                <w:szCs w:val="20"/>
              </w:rPr>
            </w:pPr>
            <w:r w:rsidRPr="00BC11C5">
              <w:rPr>
                <w:b/>
                <w:bCs/>
                <w:color w:val="FFFFFF" w:themeColor="background1"/>
                <w:sz w:val="20"/>
                <w:szCs w:val="20"/>
              </w:rPr>
              <w:t>Units</w:t>
            </w:r>
          </w:p>
        </w:tc>
        <w:tc>
          <w:tcPr>
            <w:tcW w:w="834" w:type="pct"/>
            <w:shd w:val="clear" w:color="auto" w:fill="4F81BD" w:themeFill="accent1"/>
            <w:vAlign w:val="center"/>
          </w:tcPr>
          <w:p w14:paraId="0418DADA" w14:textId="42CB0C28" w:rsidR="00910DE0" w:rsidRPr="00BC11C5" w:rsidRDefault="00910DE0" w:rsidP="00AD4CF8">
            <w:pPr>
              <w:spacing w:after="180" w:line="240" w:lineRule="auto"/>
              <w:jc w:val="center"/>
              <w:rPr>
                <w:b/>
                <w:bCs/>
                <w:color w:val="FFFFFF" w:themeColor="background1"/>
                <w:sz w:val="20"/>
                <w:szCs w:val="20"/>
              </w:rPr>
            </w:pPr>
            <w:r w:rsidRPr="00BC11C5">
              <w:rPr>
                <w:b/>
                <w:bCs/>
                <w:color w:val="FFFFFF" w:themeColor="background1"/>
                <w:sz w:val="20"/>
                <w:szCs w:val="20"/>
              </w:rPr>
              <w:t>Project Drawdown Data Set Range</w:t>
            </w:r>
          </w:p>
        </w:tc>
        <w:tc>
          <w:tcPr>
            <w:tcW w:w="833" w:type="pct"/>
            <w:shd w:val="clear" w:color="auto" w:fill="4F81BD" w:themeFill="accent1"/>
            <w:vAlign w:val="center"/>
          </w:tcPr>
          <w:p w14:paraId="6FC568BA" w14:textId="77777777" w:rsidR="00910DE0" w:rsidRPr="00BC11C5" w:rsidRDefault="00910DE0" w:rsidP="00AD4CF8">
            <w:pPr>
              <w:spacing w:after="180" w:line="240" w:lineRule="auto"/>
              <w:jc w:val="center"/>
              <w:rPr>
                <w:b/>
                <w:bCs/>
                <w:color w:val="FFFFFF" w:themeColor="background1"/>
                <w:sz w:val="20"/>
                <w:szCs w:val="20"/>
              </w:rPr>
            </w:pPr>
            <w:r w:rsidRPr="00BC11C5">
              <w:rPr>
                <w:b/>
                <w:bCs/>
                <w:color w:val="FFFFFF" w:themeColor="background1"/>
                <w:sz w:val="20"/>
                <w:szCs w:val="20"/>
              </w:rPr>
              <w:t>Model Input</w:t>
            </w:r>
          </w:p>
        </w:tc>
        <w:tc>
          <w:tcPr>
            <w:tcW w:w="834" w:type="pct"/>
            <w:shd w:val="clear" w:color="auto" w:fill="4F81BD" w:themeFill="accent1"/>
            <w:vAlign w:val="center"/>
          </w:tcPr>
          <w:p w14:paraId="034FA35B" w14:textId="77777777" w:rsidR="00910DE0" w:rsidRPr="00BC11C5" w:rsidRDefault="00910DE0" w:rsidP="00AD4CF8">
            <w:pPr>
              <w:spacing w:after="180" w:line="240" w:lineRule="auto"/>
              <w:jc w:val="center"/>
              <w:rPr>
                <w:b/>
                <w:bCs/>
                <w:color w:val="FFFFFF" w:themeColor="background1"/>
                <w:sz w:val="20"/>
                <w:szCs w:val="20"/>
              </w:rPr>
            </w:pPr>
            <w:r w:rsidRPr="00BC11C5">
              <w:rPr>
                <w:b/>
                <w:bCs/>
                <w:color w:val="FFFFFF" w:themeColor="background1"/>
                <w:sz w:val="20"/>
                <w:szCs w:val="20"/>
              </w:rPr>
              <w:t>Data Points (#)</w:t>
            </w:r>
          </w:p>
        </w:tc>
        <w:tc>
          <w:tcPr>
            <w:tcW w:w="834" w:type="pct"/>
            <w:shd w:val="clear" w:color="auto" w:fill="4F81BD" w:themeFill="accent1"/>
            <w:vAlign w:val="center"/>
          </w:tcPr>
          <w:p w14:paraId="213A903C" w14:textId="77777777" w:rsidR="00910DE0" w:rsidRPr="00BC11C5" w:rsidRDefault="00910DE0" w:rsidP="00AD4CF8">
            <w:pPr>
              <w:spacing w:after="180" w:line="240" w:lineRule="auto"/>
              <w:jc w:val="center"/>
              <w:rPr>
                <w:b/>
                <w:bCs/>
                <w:color w:val="FFFFFF" w:themeColor="background1"/>
                <w:sz w:val="20"/>
                <w:szCs w:val="20"/>
              </w:rPr>
            </w:pPr>
            <w:r w:rsidRPr="00BC11C5">
              <w:rPr>
                <w:b/>
                <w:bCs/>
                <w:color w:val="FFFFFF" w:themeColor="background1"/>
                <w:sz w:val="20"/>
                <w:szCs w:val="20"/>
              </w:rPr>
              <w:t>Sources (#)</w:t>
            </w:r>
          </w:p>
        </w:tc>
      </w:tr>
      <w:tr w:rsidR="00910DE0" w:rsidRPr="00BC11C5" w14:paraId="224D399B" w14:textId="77777777" w:rsidTr="000C5AF8">
        <w:trPr>
          <w:trHeight w:val="149"/>
          <w:jc w:val="center"/>
        </w:trPr>
        <w:tc>
          <w:tcPr>
            <w:tcW w:w="833" w:type="pct"/>
            <w:vAlign w:val="center"/>
          </w:tcPr>
          <w:p w14:paraId="400D3B56" w14:textId="5C953859" w:rsidR="00910DE0" w:rsidRPr="00BC11C5" w:rsidRDefault="007306AE" w:rsidP="00AD4CF8">
            <w:pPr>
              <w:spacing w:after="180" w:line="240" w:lineRule="auto"/>
              <w:jc w:val="center"/>
              <w:rPr>
                <w:color w:val="000000" w:themeColor="text1"/>
                <w:sz w:val="20"/>
                <w:szCs w:val="20"/>
              </w:rPr>
            </w:pPr>
            <w:r w:rsidRPr="00BC11C5">
              <w:rPr>
                <w:color w:val="000000" w:themeColor="text1"/>
                <w:sz w:val="20"/>
                <w:szCs w:val="20"/>
              </w:rPr>
              <w:t xml:space="preserve">First costs </w:t>
            </w:r>
          </w:p>
        </w:tc>
        <w:tc>
          <w:tcPr>
            <w:tcW w:w="834" w:type="pct"/>
            <w:vAlign w:val="center"/>
          </w:tcPr>
          <w:p w14:paraId="56AA3572" w14:textId="7ED53C80" w:rsidR="00910DE0" w:rsidRPr="00BC11C5" w:rsidRDefault="007306AE" w:rsidP="00AD4CF8">
            <w:pPr>
              <w:spacing w:after="180" w:line="240" w:lineRule="auto"/>
              <w:jc w:val="center"/>
              <w:rPr>
                <w:rFonts w:eastAsia="Helvetica,Times New Roman" w:cstheme="minorHAnsi"/>
                <w:sz w:val="20"/>
                <w:szCs w:val="20"/>
              </w:rPr>
            </w:pPr>
            <w:r w:rsidRPr="00BC11C5">
              <w:rPr>
                <w:bCs/>
                <w:i/>
                <w:sz w:val="20"/>
                <w:szCs w:val="20"/>
              </w:rPr>
              <w:t>US$2014 / t biochar-yr capacity</w:t>
            </w:r>
          </w:p>
        </w:tc>
        <w:tc>
          <w:tcPr>
            <w:tcW w:w="834" w:type="pct"/>
            <w:vAlign w:val="center"/>
          </w:tcPr>
          <w:p w14:paraId="5AD14322" w14:textId="322F29B3" w:rsidR="00910DE0" w:rsidRPr="00BC11C5" w:rsidRDefault="00307D95"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568 – 3698</w:t>
            </w:r>
          </w:p>
        </w:tc>
        <w:tc>
          <w:tcPr>
            <w:tcW w:w="833" w:type="pct"/>
            <w:vAlign w:val="center"/>
          </w:tcPr>
          <w:p w14:paraId="6782A95B" w14:textId="1240841B" w:rsidR="00910DE0" w:rsidRPr="00BC11C5" w:rsidRDefault="00307D95"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1688</w:t>
            </w:r>
          </w:p>
        </w:tc>
        <w:tc>
          <w:tcPr>
            <w:tcW w:w="834" w:type="pct"/>
            <w:vAlign w:val="center"/>
          </w:tcPr>
          <w:p w14:paraId="1AA7E7F8" w14:textId="4738AD6F" w:rsidR="00910DE0" w:rsidRPr="00BC11C5" w:rsidRDefault="00307D95"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8</w:t>
            </w:r>
          </w:p>
        </w:tc>
        <w:tc>
          <w:tcPr>
            <w:tcW w:w="834" w:type="pct"/>
            <w:vAlign w:val="center"/>
          </w:tcPr>
          <w:p w14:paraId="367ADBC1" w14:textId="3F60F3D2" w:rsidR="00910DE0" w:rsidRPr="00BC11C5" w:rsidRDefault="00307D95"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fldChar w:fldCharType="begin"/>
            </w:r>
            <w:r w:rsidRPr="00BC11C5">
              <w:rPr>
                <w:rFonts w:eastAsia="Helvetica,Times New Roman" w:cstheme="minorHAnsi"/>
                <w:color w:val="000000" w:themeColor="text1"/>
                <w:sz w:val="20"/>
                <w:szCs w:val="20"/>
              </w:rPr>
              <w:instrText xml:space="preserve"> ADDIN ZOTERO_ITEM CSL_CITATION {"citationID":"G7N4LAxu","properties":{"formattedCitation":"(Campbell et al., 2018; Sessions et al., 2019; Timmons et al., 2017)","plainCitation":"(Campbell et al., 2018; Sessions et al., 2019; Timmons et al., 2017)","noteIndex":0},"citationItems":[{"id":1246,"uris":["http://zotero.org/users/7422708/items/JF6BGV3B"],"uri":["http://zotero.org/users/7422708/items/JF6BGV3B"],"itemData":{"id":1246,"type":"article-journal","abstract":"A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T."}],"issued":{"date-parts":[["2018",11]]}}},{"id":1262,"uris":["http://zotero.org/users/7422708/items/AME7LGT2"],"uri":["http://zotero.org/users/7422708/items/AME7LGT2"],"itemData":{"id":1262,"type":"article-journal","abstract":"The commercial use of low-value forest-origin biomass has long been considered for its potential to oﬀset the cost of reducing wildﬁre hazard. The production of biochar simultaneously consumes low-value forest biomass and produces stable charcoal that, when applied to dryland agricultural soils, can increase water holding capacity and crop yield. In this way the production of forest-origin biochar has the potential to promote forest restoration, foster forest-related employment, increase agricultural competitiveness, and sequester carbon. Biochar oﬀers the greatest opportunity where dryland food crops, limited water availability, existing energy transmission infrastructure, and high-ﬁre hazard forests share the same landscape. In this paper we describe a landscape-level study based on this scenario to optimize wildﬁre hazard reduction treatments, biochar facility locations, and agroeconomic outcomes to evaluate the potential beneﬁts needed to carry the costs of biochar production.","container-title":"Biomass and Bioenergy","DOI":"10.1016/j.biombioe.2019.02.015","ISSN":"09619534","journalAbbreviation":"Biomass and Bioenergy","language":"en","page":"175-185","source":"DOI.org (Crossref)","title":"Can biochar link forest restoration with commercial agriculture?","volume":"123","author":[{"family":"Sessions","given":"John"},{"family":"Smith","given":"David"},{"family":"Trippe","given":"Kristin M."},{"family":"Fried","given":"Jeremy S."},{"family":"Bailey","given":"John D."},{"family":"Petitmermet","given":"Joshua H."},{"family":"Hollamon","given":"William"},{"family":"Phillips","given":"Claire L."},{"family":"Campbell","given":"John D."}],"issued":{"date-parts":[["2019",4]]}}},{"id":1248,"uris":["http://zotero.org/users/7422708/items/KKWM6YBC"],"uri":["http://zotero.org/users/7422708/items/KKWM6YBC"],"itemData":{"id":1248,"type":"article","language":"en","publisher":"UMass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rsidRPr="00BC11C5">
              <w:rPr>
                <w:rFonts w:eastAsia="Helvetica,Times New Roman" w:cstheme="minorHAnsi"/>
                <w:color w:val="000000" w:themeColor="text1"/>
                <w:sz w:val="20"/>
                <w:szCs w:val="20"/>
              </w:rPr>
              <w:fldChar w:fldCharType="separate"/>
            </w:r>
            <w:r w:rsidRPr="00BC11C5">
              <w:rPr>
                <w:rFonts w:cs="Times New Roman"/>
                <w:sz w:val="20"/>
              </w:rPr>
              <w:t>(Campbell et al., 2018; Sessions et al., 2019; Timmons et al., 2017)</w:t>
            </w:r>
            <w:r w:rsidRPr="00BC11C5">
              <w:rPr>
                <w:rFonts w:eastAsia="Helvetica,Times New Roman" w:cstheme="minorHAnsi"/>
                <w:color w:val="000000" w:themeColor="text1"/>
                <w:sz w:val="20"/>
                <w:szCs w:val="20"/>
              </w:rPr>
              <w:fldChar w:fldCharType="end"/>
            </w:r>
          </w:p>
        </w:tc>
      </w:tr>
      <w:tr w:rsidR="00910DE0" w:rsidRPr="00BC11C5" w14:paraId="29BBD18C" w14:textId="77777777" w:rsidTr="000C5AF8">
        <w:trPr>
          <w:trHeight w:val="583"/>
          <w:jc w:val="center"/>
        </w:trPr>
        <w:tc>
          <w:tcPr>
            <w:tcW w:w="833" w:type="pct"/>
            <w:vAlign w:val="center"/>
          </w:tcPr>
          <w:p w14:paraId="696E0629" w14:textId="0D5DA968" w:rsidR="00910DE0" w:rsidRPr="00BC11C5" w:rsidRDefault="00910DE0" w:rsidP="000C5AF8">
            <w:pPr>
              <w:spacing w:after="180" w:line="240" w:lineRule="auto"/>
              <w:jc w:val="center"/>
              <w:rPr>
                <w:color w:val="000000" w:themeColor="text1"/>
                <w:sz w:val="20"/>
                <w:szCs w:val="20"/>
              </w:rPr>
            </w:pPr>
            <w:r w:rsidRPr="00BC11C5">
              <w:rPr>
                <w:color w:val="000000" w:themeColor="text1"/>
                <w:sz w:val="20"/>
                <w:szCs w:val="20"/>
              </w:rPr>
              <w:t>O</w:t>
            </w:r>
            <w:r w:rsidR="000C5AF8">
              <w:rPr>
                <w:color w:val="000000" w:themeColor="text1"/>
                <w:sz w:val="20"/>
                <w:szCs w:val="20"/>
              </w:rPr>
              <w:t>perating costs</w:t>
            </w:r>
          </w:p>
        </w:tc>
        <w:tc>
          <w:tcPr>
            <w:tcW w:w="834" w:type="pct"/>
            <w:vAlign w:val="center"/>
          </w:tcPr>
          <w:p w14:paraId="3CEF4190" w14:textId="5EDE6CF4" w:rsidR="00910DE0" w:rsidRPr="00BC11C5" w:rsidRDefault="007306AE" w:rsidP="00AD4CF8">
            <w:pPr>
              <w:spacing w:after="180" w:line="240" w:lineRule="auto"/>
              <w:jc w:val="center"/>
              <w:rPr>
                <w:rFonts w:eastAsia="Helvetica,Times New Roman" w:cstheme="minorHAnsi"/>
                <w:sz w:val="20"/>
                <w:szCs w:val="20"/>
              </w:rPr>
            </w:pPr>
            <w:r w:rsidRPr="00BC11C5">
              <w:rPr>
                <w:bCs/>
                <w:i/>
                <w:sz w:val="20"/>
                <w:szCs w:val="20"/>
              </w:rPr>
              <w:t>US$2014 / t biochar</w:t>
            </w:r>
          </w:p>
        </w:tc>
        <w:tc>
          <w:tcPr>
            <w:tcW w:w="834" w:type="pct"/>
            <w:vAlign w:val="center"/>
          </w:tcPr>
          <w:p w14:paraId="41B31604" w14:textId="62422F79" w:rsidR="00910DE0" w:rsidRPr="00BC11C5" w:rsidRDefault="007306AE"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19 – 506</w:t>
            </w:r>
          </w:p>
        </w:tc>
        <w:tc>
          <w:tcPr>
            <w:tcW w:w="833" w:type="pct"/>
            <w:vAlign w:val="center"/>
          </w:tcPr>
          <w:p w14:paraId="259F13A5" w14:textId="202416AA" w:rsidR="00910DE0" w:rsidRPr="00BC11C5" w:rsidRDefault="007306AE"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224</w:t>
            </w:r>
          </w:p>
        </w:tc>
        <w:tc>
          <w:tcPr>
            <w:tcW w:w="834" w:type="pct"/>
            <w:vAlign w:val="center"/>
          </w:tcPr>
          <w:p w14:paraId="62C158C3" w14:textId="23864C34" w:rsidR="00910DE0" w:rsidRPr="00BC11C5" w:rsidRDefault="007306AE"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t>19</w:t>
            </w:r>
          </w:p>
        </w:tc>
        <w:tc>
          <w:tcPr>
            <w:tcW w:w="834" w:type="pct"/>
            <w:vAlign w:val="center"/>
          </w:tcPr>
          <w:p w14:paraId="2E77170B" w14:textId="794334E1" w:rsidR="00910DE0" w:rsidRPr="00BC11C5" w:rsidRDefault="007306AE" w:rsidP="00AD4CF8">
            <w:pPr>
              <w:spacing w:after="180" w:line="240" w:lineRule="auto"/>
              <w:jc w:val="center"/>
              <w:rPr>
                <w:rFonts w:eastAsia="Helvetica,Times New Roman" w:cstheme="minorHAnsi"/>
                <w:color w:val="000000" w:themeColor="text1"/>
                <w:sz w:val="20"/>
                <w:szCs w:val="20"/>
              </w:rPr>
            </w:pPr>
            <w:r w:rsidRPr="00BC11C5">
              <w:rPr>
                <w:rFonts w:eastAsia="Helvetica,Times New Roman" w:cstheme="minorHAnsi"/>
                <w:color w:val="000000" w:themeColor="text1"/>
                <w:sz w:val="20"/>
                <w:szCs w:val="20"/>
              </w:rPr>
              <w:fldChar w:fldCharType="begin"/>
            </w:r>
            <w:r w:rsidR="000C5AF8">
              <w:rPr>
                <w:rFonts w:eastAsia="Helvetica,Times New Roman" w:cstheme="minorHAnsi"/>
                <w:color w:val="000000" w:themeColor="text1"/>
                <w:sz w:val="20"/>
                <w:szCs w:val="20"/>
              </w:rPr>
              <w:instrText xml:space="preserve"> ADDIN ZOTERO_ITEM CSL_CITATION {"citationID":"7L9QK7vs","properties":{"formattedCitation":"(Campbell et al., 2018; Sessions et al., 2019; Shackley et al., 2015; Timmons et al., 2017)","plainCitation":"(Campbell et al., 2018; Sessions et al., 2019; Shackley et al., 2015; Timmons et al., 2017)","noteIndex":0},"citationItems":[{"id":1246,"uris":["http://zotero.org/users/7422708/items/JF6BGV3B"],"uri":["http://zotero.org/users/7422708/items/JF6BGV3B"],"itemData":{"id":1246,"type":"article-journal","abstract":"A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T."}],"issued":{"date-parts":[["2018",11]]}}},{"id":1262,"uris":["http://zotero.org/users/7422708/items/AME7LGT2"],"uri":["http://zotero.org/users/7422708/items/AME7LGT2"],"itemData":{"id":1262,"type":"article-journal","abstract":"The commercial use of low-value forest-origin biomass has long been considered for its potential to oﬀset the cost of reducing wildﬁre hazard. The production of biochar simultaneously consumes low-value forest biomass and produces stable charcoal that, when applied to dryland agricultural soils, can increase water holding capacity and crop yield. In this way the production of forest-origin biochar has the potential to promote forest restoration, foster forest-related employment, increase agricultural competitiveness, and sequester carbon. Biochar oﬀers the greatest opportunity where dryland food crops, limited water availability, existing energy transmission infrastructure, and high-ﬁre hazard forests share the same landscape. In this paper we describe a landscape-level study based on this scenario to optimize wildﬁre hazard reduction treatments, biochar facility locations, and agroeconomic outcomes to evaluate the potential beneﬁts needed to carry the costs of biochar production.","container-title":"Biomass and Bioenergy","DOI":"10.1016/j.biombioe.2019.02.015","ISSN":"09619534","journalAbbreviation":"Biomass and Bioenergy","language":"en","page":"175-185","source":"DOI.org (Crossref)","title":"Can biochar link forest restoration with commercial agriculture?","volume":"123","author":[{"family":"Sessions","given":"John"},{"family":"Smith","given":"David"},{"family":"Trippe","given":"Kristin M."},{"family":"Fried","given":"Jeremy S."},{"family":"Bailey","given":"John D."},{"family":"Petitmermet","given":"Joshua H."},{"family":"Hollamon","given":"William"},{"family":"Phillips","given":"Claire L."},{"family":"Campbell","given":"John D."}],"issued":{"date-parts":[["2019",4]]}}},{"id":1381,"uris":["http://zotero.org/users/7422708/items/PDHWJQHK"],"uri":["http://zotero.org/users/7422708/items/PDHWJQHK"],"itemData":{"id":1381,"type":"chapter","container-title":"Biochar for Environmental Management: Science, Technology and Implementation","publisher":"Routledge","title":"Economic evaluation of biochar systems: current evidence and challenges.","author":[{"family":"Shackley","given":"S"},{"family":"Clare","given":"A"},{"family":"Joseph","given":"S"},{"family":"McCarl","given":"B.A."},{"family":"Schmidt","given":"H-P"}],"issued":{"date-parts":[["2015"]]}}},{"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rsidRPr="00BC11C5">
              <w:rPr>
                <w:rFonts w:eastAsia="Helvetica,Times New Roman" w:cstheme="minorHAnsi"/>
                <w:color w:val="000000" w:themeColor="text1"/>
                <w:sz w:val="20"/>
                <w:szCs w:val="20"/>
              </w:rPr>
              <w:fldChar w:fldCharType="separate"/>
            </w:r>
            <w:r w:rsidR="000C5AF8" w:rsidRPr="000C5AF8">
              <w:rPr>
                <w:rFonts w:cs="Times New Roman"/>
                <w:sz w:val="20"/>
              </w:rPr>
              <w:t>(Campbell et al., 2018; Sessions et al., 2019; Shackley et al., 2015; Timmons et al., 2017)</w:t>
            </w:r>
            <w:r w:rsidRPr="00BC11C5">
              <w:rPr>
                <w:rFonts w:eastAsia="Helvetica,Times New Roman" w:cstheme="minorHAnsi"/>
                <w:color w:val="000000" w:themeColor="text1"/>
                <w:sz w:val="20"/>
                <w:szCs w:val="20"/>
              </w:rPr>
              <w:fldChar w:fldCharType="end"/>
            </w:r>
          </w:p>
        </w:tc>
      </w:tr>
    </w:tbl>
    <w:p w14:paraId="56260956" w14:textId="77777777" w:rsidR="001D17E8" w:rsidRPr="00BC11C5" w:rsidRDefault="001D17E8" w:rsidP="00EB247F"/>
    <w:p w14:paraId="56F5BC32" w14:textId="548E8C38" w:rsidR="001D17E8" w:rsidRDefault="00686965" w:rsidP="00EB247F">
      <w:pPr>
        <w:pStyle w:val="Heading3"/>
      </w:pPr>
      <w:bookmarkStart w:id="53" w:name="_Toc68791448"/>
      <w:r w:rsidRPr="00BC11C5">
        <w:lastRenderedPageBreak/>
        <w:t>Technical Inputs</w:t>
      </w:r>
      <w:bookmarkEnd w:id="53"/>
    </w:p>
    <w:p w14:paraId="5335D60D" w14:textId="1875ED9C" w:rsidR="000C5AF8" w:rsidRPr="000C5AF8" w:rsidRDefault="000C5AF8" w:rsidP="000C5AF8">
      <w:pPr>
        <w:rPr>
          <w:lang w:val="fr-FR"/>
        </w:rPr>
      </w:pPr>
      <w:r>
        <w:t xml:space="preserve">The facility lifespan was modeled at 20 years, based on Project Drawdown assumptions and additional sources </w:t>
      </w:r>
      <w:r>
        <w:fldChar w:fldCharType="begin"/>
      </w:r>
      <w:r>
        <w:instrText xml:space="preserve"> ADDIN ZOTERO_ITEM CSL_CITATION {"citationID":"HbXk0R4i","properties":{"formattedCitation":"(Campbell et al., 2018; Timmons et al., 2017)","plainCitation":"(Campbell et al., 2018; Timmons et al., 2017)","noteIndex":0},"citationItems":[{"id":1246,"uris":["http://zotero.org/users/7422708/items/JF6BGV3B"],"uri":["http://zotero.org/users/7422708/items/JF6BGV3B"],"itemData":{"id":1246,"type":"article-journal","abstract":"A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fldChar w:fldCharType="separate"/>
      </w:r>
      <w:r w:rsidRPr="000C5AF8">
        <w:rPr>
          <w:rFonts w:cs="Times New Roman"/>
        </w:rPr>
        <w:t>(Campbell et al., 2018; Timmons et al., 2017)</w:t>
      </w:r>
      <w:r>
        <w:fldChar w:fldCharType="end"/>
      </w:r>
      <w:r>
        <w:t xml:space="preserve">. Cost data were normalized to capacity factor, which was modeled to range from 75% </w:t>
      </w:r>
      <w:r>
        <w:fldChar w:fldCharType="begin"/>
      </w:r>
      <w:r>
        <w:instrText xml:space="preserve"> ADDIN ZOTERO_ITEM CSL_CITATION {"citationID":"pQEbxjBN","properties":{"formattedCitation":"(Campbell et al., 2018; Sessions et al., 2019)","plainCitation":"(Campbell et al., 2018; Sessions et al., 2019)","noteIndex":0},"citationItems":[{"id":1246,"uris":["http://zotero.org/users/7422708/items/JF6BGV3B"],"uri":["http://zotero.org/users/7422708/items/JF6BGV3B"],"itemData":{"id":1246,"type":"article-journal","abstract":"A comparative techno-economic analysis of two diﬀerent thermochemical biomass conversion pathways was conducted to examine the eﬀects of fuel price and other variables on project ﬁnancial performance. Monte Carlo simulation was used to quantify the eﬀects of uncertainty and volatility of ten critical variables: biofuel, biochar and feedstock prices, discount rate, capital investment, labor cost, loan terms, feedstock drying, and biofuel and biochar conversion rates. Market prices for biofuel and biochar have the largest impact on net present value (NPV) of any variable considered, due in part to the high levels of uncertainty associated with future prices of both. Across the ranges of input values for these variables in simulation analysis, hearth-based pyrolysis biochar production had the highest likelihood of proﬁtability with a mean NPV of $41.5 million and only 20% of outcomes resulting in a net loss, while 68% of outcomes for auger-based biochar-biofuel coproduction represented a ﬁnancial loss, including a mean NPV of -$24.2 million. However, when additional revenue from Renewable Identiﬁcation Numbers (RINs) credits generated by biofuel production is considered, ﬁnancial outcomes of biochar-biofuel coproduction improve to 50% likelihood of experiencing a net loss. Findings of the very strong impact of market prices on ﬁnancial outcomes, relative to other important technical and economic variables, can inform eﬀective targeting of future renewable energy policy, as well as the design of future techno-economic analyses, which do not currently focus on the eﬀect of market prices on proﬁtability.","container-title":"Applied Energy","DOI":"10.1016/j.apenergy.2018.08.085","ISSN":"03062619","journalAbbreviation":"Applied Energy","language":"en","page":"330-343","source":"DOI.org (Crossref)","title":"Financial viability of biofuel and biochar production from forest biomass in the face of market price volatility and uncertainty","volume":"230","author":[{"family":"Campbell","given":"Robert M."},{"family":"Anderson","given":"Nathaniel M."},{"family":"Daugaard","given":"Daren E."},{"family":"Naughton","given":"Helen T."}],"issued":{"date-parts":[["2018",11]]}}},{"id":1262,"uris":["http://zotero.org/users/7422708/items/AME7LGT2"],"uri":["http://zotero.org/users/7422708/items/AME7LGT2"],"itemData":{"id":1262,"type":"article-journal","abstract":"The commercial use of low-value forest-origin biomass has long been considered for its potential to oﬀset the cost of reducing wildﬁre hazard. The production of biochar simultaneously consumes low-value forest biomass and produces stable charcoal that, when applied to dryland agricultural soils</w:instrText>
      </w:r>
      <w:r w:rsidRPr="00863C91">
        <w:rPr>
          <w:lang w:val="fr-FR"/>
        </w:rPr>
        <w:instrText>, can increase water holding capacity and crop yield. In this way the production of forest-origin biochar has the potential to promote forest restoration, foster forest-related employment, increase agricultural competitiveness, and sequester carbon. Biochar o</w:instrText>
      </w:r>
      <w:r>
        <w:instrText>ﬀ</w:instrText>
      </w:r>
      <w:r w:rsidRPr="00863C91">
        <w:rPr>
          <w:lang w:val="fr-FR"/>
        </w:rPr>
        <w:instrText>ers the greatest opportunity where dryland food crops, limited water availability, existing energy transmission infrastructure, and high-</w:instrText>
      </w:r>
      <w:r>
        <w:instrText>ﬁ</w:instrText>
      </w:r>
      <w:r w:rsidRPr="00863C91">
        <w:rPr>
          <w:lang w:val="fr-FR"/>
        </w:rPr>
        <w:instrText>re hazard forests share the same landscape. In this paper we describe a landscape-level study based on this scenario to optimize wild</w:instrText>
      </w:r>
      <w:r>
        <w:instrText>ﬁ</w:instrText>
      </w:r>
      <w:r w:rsidRPr="00863C91">
        <w:rPr>
          <w:lang w:val="fr-FR"/>
        </w:rPr>
        <w:instrText>re hazard reduction treatments, biochar facility locations, and agroeconomic outcomes to evaluate the potential bene</w:instrText>
      </w:r>
      <w:r>
        <w:instrText>ﬁ</w:instrText>
      </w:r>
      <w:r w:rsidRPr="00863C91">
        <w:rPr>
          <w:lang w:val="fr-FR"/>
        </w:rPr>
        <w:instrText>ts needed to carry the costs of biochar production.","container-title":"Biomass and Bioenergy","DOI":"10.1016/j.biombioe.2019.02.015","ISSN":"09619534","journalAbbreviation":"Biomass and Bioenergy","language":"en","page":"175-185","source":"DOI.org (Crossref)","title":"Can biochar link fore</w:instrText>
      </w:r>
      <w:r w:rsidRPr="000C5AF8">
        <w:rPr>
          <w:lang w:val="fr-FR"/>
        </w:rPr>
        <w:instrText xml:space="preserve">st restoration with commercial agriculture?","volume":"123","author":[{"family":"Sessions","given":"John"},{"family":"Smith","given":"David"},{"family":"Trippe","given":"Kristin M."},{"family":"Fried","given":"Jeremy S."},{"family":"Bailey","given":"John D."},{"family":"Petitmermet","given":"Joshua H."},{"family":"Hollamon","given":"William"},{"family":"Phillips","given":"Claire L."},{"family":"Campbell","given":"John D."}],"issued":{"date-parts":[["2019",4]]}}}],"schema":"https://github.com/citation-style-language/schema/raw/master/csl-citation.json"} </w:instrText>
      </w:r>
      <w:r>
        <w:fldChar w:fldCharType="separate"/>
      </w:r>
      <w:r w:rsidRPr="000C5AF8">
        <w:rPr>
          <w:rFonts w:cs="Times New Roman"/>
          <w:lang w:val="fr-FR"/>
        </w:rPr>
        <w:t>(Campbell et al., 2018; Sessions et al., 2019)</w:t>
      </w:r>
      <w:r>
        <w:fldChar w:fldCharType="end"/>
      </w:r>
      <w:r w:rsidRPr="000C5AF8">
        <w:rPr>
          <w:lang w:val="fr-FR"/>
        </w:rPr>
        <w:t xml:space="preserve"> to 90% </w:t>
      </w:r>
      <w:r>
        <w:fldChar w:fldCharType="begin"/>
      </w:r>
      <w:r w:rsidRPr="000C5AF8">
        <w:rPr>
          <w:lang w:val="fr-FR"/>
        </w:rPr>
        <w:instrText xml:space="preserve"> ADDIN ZOTERO_ITEM CSL_CITATION {"citationID":"UnnpXsHi","properties":{"formattedCitation":"(Timmons et al., 2017)","plainCitation":"(Timmons et al., 2017)","noteIndex":0},"citationItems":[{"id":1248,"uris":["http://zotero.org/users/7422708/items/KKWM6YBC"],"uri":["http://zotero.org/users/7422708/items/KKWM6YBC"],"itemData":{"id":1248,"type":"article","language":"en","publisher":"UMass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fldChar w:fldCharType="separate"/>
      </w:r>
      <w:r w:rsidRPr="000C5AF8">
        <w:rPr>
          <w:rFonts w:cs="Times New Roman"/>
          <w:lang w:val="fr-FR"/>
        </w:rPr>
        <w:t>(Timmons et al., 2017)</w:t>
      </w:r>
      <w:r>
        <w:fldChar w:fldCharType="end"/>
      </w:r>
      <w:r w:rsidRPr="000C5AF8">
        <w:rPr>
          <w:lang w:val="fr-FR"/>
        </w:rPr>
        <w:t xml:space="preserve">. </w:t>
      </w:r>
    </w:p>
    <w:p w14:paraId="4E32D218" w14:textId="12B11079" w:rsidR="00B144E5" w:rsidRPr="00BC11C5" w:rsidRDefault="00686965" w:rsidP="00483FFA">
      <w:pPr>
        <w:pStyle w:val="Heading2"/>
        <w:numPr>
          <w:ilvl w:val="1"/>
          <w:numId w:val="26"/>
        </w:numPr>
      </w:pPr>
      <w:bookmarkStart w:id="54" w:name="_Toc68791449"/>
      <w:r w:rsidRPr="00BC11C5">
        <w:t>Assumptions</w:t>
      </w:r>
      <w:bookmarkEnd w:id="54"/>
    </w:p>
    <w:p w14:paraId="1C71D5EB" w14:textId="56D9A559" w:rsidR="00E33621" w:rsidRPr="00BC11C5" w:rsidRDefault="00E33621" w:rsidP="00EB247F">
      <w:pPr>
        <w:spacing w:after="240"/>
      </w:pPr>
      <w:r w:rsidRPr="00BC11C5">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agency modeled, improvements in technology are not modeled, and that first costs may change according to learning. Full details of core </w:t>
      </w:r>
      <w:r w:rsidR="00233E81">
        <w:t>assumptions and methodology are</w:t>
      </w:r>
      <w:r w:rsidRPr="00BC11C5">
        <w:t xml:space="preserve"> available at </w:t>
      </w:r>
      <w:hyperlink r:id="rId19" w:history="1">
        <w:r w:rsidRPr="00BC11C5">
          <w:rPr>
            <w:rStyle w:val="Hyperlink"/>
          </w:rPr>
          <w:t>www.drawdown.org</w:t>
        </w:r>
      </w:hyperlink>
      <w:r w:rsidRPr="00BC11C5">
        <w:t>. Beyond these core assumptions, there are other important assumptions made for the modeling of this specific solution. These are detailed below.</w:t>
      </w:r>
    </w:p>
    <w:p w14:paraId="7022FC4D" w14:textId="3CD29B68" w:rsidR="0032353F" w:rsidRPr="00BC11C5" w:rsidRDefault="009F5D58" w:rsidP="0032353F">
      <w:pPr>
        <w:pStyle w:val="ListParagraph"/>
        <w:numPr>
          <w:ilvl w:val="0"/>
          <w:numId w:val="10"/>
        </w:numPr>
        <w:ind w:left="426" w:hanging="426"/>
      </w:pPr>
      <w:r w:rsidRPr="00BC11C5">
        <w:t>Feedstock</w:t>
      </w:r>
      <w:r w:rsidR="000C5AF8">
        <w:t>s</w:t>
      </w:r>
      <w:r w:rsidRPr="00BC11C5">
        <w:t xml:space="preserve"> sustainably sourced</w:t>
      </w:r>
      <w:r w:rsidR="007A0E1E">
        <w:t xml:space="preserve"> and available at no cost</w:t>
      </w:r>
      <w:r w:rsidR="00750FD8">
        <w:t>.</w:t>
      </w:r>
      <w:r w:rsidRPr="00BC11C5">
        <w:t xml:space="preserve"> </w:t>
      </w:r>
      <w:r w:rsidR="007A0E1E">
        <w:t xml:space="preserve">All feedstock allocated to biochar is a surplus after allocation to other solutions. </w:t>
      </w:r>
      <w:r w:rsidRPr="00BC11C5">
        <w:t xml:space="preserve">We therefore do not allocate any land-use change effects to biochar production. It is important to note that our </w:t>
      </w:r>
      <w:r w:rsidR="007A0E1E">
        <w:t xml:space="preserve">crop residue </w:t>
      </w:r>
      <w:r w:rsidRPr="00BC11C5">
        <w:t>feedstock s</w:t>
      </w:r>
      <w:r w:rsidR="000C5AF8">
        <w:t>treams represent</w:t>
      </w:r>
      <w:r w:rsidRPr="00BC11C5">
        <w:t xml:space="preserve"> available residues after accounting for leaving a portion in the field, so as not to affect </w:t>
      </w:r>
      <w:r w:rsidR="00E73FF5">
        <w:t xml:space="preserve">local </w:t>
      </w:r>
      <w:r w:rsidRPr="00BC11C5">
        <w:t xml:space="preserve">soil carbon stocks. </w:t>
      </w:r>
      <w:r w:rsidR="000C5AF8">
        <w:t xml:space="preserve">We model feedstocks as cost-neutral because in some cases feedstock conversion to biochar may come as a credit </w:t>
      </w:r>
      <w:r w:rsidR="000C5AF8">
        <w:fldChar w:fldCharType="begin"/>
      </w:r>
      <w:r w:rsidR="000C5AF8">
        <w:instrText xml:space="preserve"> ADDIN ZOTERO_ITEM CSL_CITATION {"citationID":"90Qcxoss","properties":{"formattedCitation":"(Timmons et al., 2017)","plainCitation":"(Timmons et al., 2017)","noteIndex":0},"citationItems":[{"id":1248,"uris":["http://zotero.org/users/7422708/items/KKWM6YBC"],"uri":["http://zotero.org/users/7422708/items/KKWM6YBC"],"itemData":{"id":1248,"type":"article","language":"en","publisher":"UMass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schema":"https://github.com/citation-style-language/schema/raw/master/csl-citation.json"} </w:instrText>
      </w:r>
      <w:r w:rsidR="000C5AF8">
        <w:fldChar w:fldCharType="separate"/>
      </w:r>
      <w:r w:rsidR="000C5AF8" w:rsidRPr="000C5AF8">
        <w:rPr>
          <w:rFonts w:cs="Times New Roman"/>
        </w:rPr>
        <w:t>(Timmons et al., 2017)</w:t>
      </w:r>
      <w:r w:rsidR="000C5AF8">
        <w:fldChar w:fldCharType="end"/>
      </w:r>
      <w:r w:rsidR="000C5AF8">
        <w:t xml:space="preserve"> or already be available at the facility gate </w:t>
      </w:r>
      <w:r w:rsidR="000C5AF8">
        <w:fldChar w:fldCharType="begin"/>
      </w:r>
      <w:r w:rsidR="000C5AF8">
        <w:instrText xml:space="preserve"> ADDIN ZOTERO_ITEM CSL_CITATION {"citationID":"xMiwaHqv","properties":{"formattedCitation":"(Baker et al., 2020)","plainCitation":"(Baker et al., 2020)","noteIndex":0},"citationItems":[{"id":1344,"uris":["http://zotero.org/users/7422708/items/ZE77R4IH"],"uri":["http://zotero.org/users/7422708/items/ZE77R4IH"],"itemData":{"id":1344,"type":"article","publisher":"Lawrence Livermore National Laboratory","title":"Getting to Neutral: Options for negative carbon emissions in California","URL":"LLNL-TR-796100","author":[{"family":"Baker","given":"Sarah E."},{"family":"Stolaroff","given":"Joshua K."},{"family":"Peridas","given":"George"},{"family":"Pang","given":"Simon H."},{"family":"Goldstein","given":"Hannah M."},{"family":"Lucci","given":"Felicia R."},{"family":"Li","given":"Wenquin"},{"family":"Slessarev","given":"Eric W."},{"family":"Pett-Ridge","given":"Jennifer"},{"family":"Ryerson","given":"Frederick J."},{"family":"Wagoner","given":"Jeff L."},{"family":"Kirkendall","given":"Whitney"},{"family":"Aines","given":"Roger D."},{"family":"Sanchez","given":"Daniel L."},{"family":"Cabiyo","given":"Bodie"},{"family":"Baker","given":"Joffre"},{"family":"McCoy","given":"Sean"},{"family":"Uden","given":"Sam"},{"family":"Runnenbaum","given":"Ron"},{"family":"Wilcox, Jennifer","given":""},{"family":"Psarras","given":"Peter C."},{"family":"Pilorge","given":"Helene"},{"family":"McQueen","given":"Noah"},{"family":"Maynard","given":"Daniel"},{"family":"McCormick","given":"Colin"}],"issued":{"date-parts":[["2020",1]]}}}],"schema":"https://github.com/citation-style-language/schema/raw/master/csl-citation.json"} </w:instrText>
      </w:r>
      <w:r w:rsidR="000C5AF8">
        <w:fldChar w:fldCharType="separate"/>
      </w:r>
      <w:r w:rsidR="000C5AF8" w:rsidRPr="000C5AF8">
        <w:rPr>
          <w:rFonts w:cs="Times New Roman"/>
        </w:rPr>
        <w:t>(Baker et al., 2020)</w:t>
      </w:r>
      <w:r w:rsidR="000C5AF8">
        <w:fldChar w:fldCharType="end"/>
      </w:r>
      <w:r w:rsidR="000C5AF8">
        <w:t>.</w:t>
      </w:r>
    </w:p>
    <w:p w14:paraId="0935FD74" w14:textId="35A5608E" w:rsidR="0032353F" w:rsidRPr="00863C91" w:rsidRDefault="009F5D58" w:rsidP="0032353F">
      <w:pPr>
        <w:pStyle w:val="ListParagraph"/>
        <w:numPr>
          <w:ilvl w:val="0"/>
          <w:numId w:val="10"/>
        </w:numPr>
        <w:ind w:left="426" w:hanging="426"/>
      </w:pPr>
      <w:r w:rsidRPr="00BC11C5">
        <w:t>Biochar f</w:t>
      </w:r>
      <w:r w:rsidR="001B193B">
        <w:t xml:space="preserve">acilities utilize pyrolysis, </w:t>
      </w:r>
      <w:r w:rsidRPr="00BC11C5">
        <w:t>are optimized for the yield of biochar</w:t>
      </w:r>
      <w:r w:rsidR="001B193B">
        <w:t>, and completely combust any co-products</w:t>
      </w:r>
      <w:r w:rsidRPr="00BC11C5">
        <w:t>.</w:t>
      </w:r>
      <w:r w:rsidR="00233E81">
        <w:t xml:space="preserve"> </w:t>
      </w:r>
      <w:r w:rsidRPr="00BC11C5">
        <w:t>Though we expect some future biochar facilities to also produce usable energy or co-products, we do not expect this to be universal.</w:t>
      </w:r>
      <w:r w:rsidR="00233E81">
        <w:t xml:space="preserve"> Though they may have an important role to play, i</w:t>
      </w:r>
      <w:r w:rsidRPr="00BC11C5">
        <w:t xml:space="preserve">n our analysis such facilities have a significantly lower biochar yield </w:t>
      </w:r>
      <w:r w:rsidR="007A0E1E">
        <w:fldChar w:fldCharType="begin"/>
      </w:r>
      <w:r w:rsidR="007A0E1E">
        <w:instrText xml:space="preserve"> ADDIN ZOTERO_ITEM CSL_CITATION {"citationID":"GYt17MqE","properties":{"formattedCitation":"(Timmons et al., 2017; Woolf et al., 2014)","plainCitation":"(Timmons et al., 2017; Woolf et al., 2014)","noteIndex":0},"citationItems":[{"id":1248,"uris":["http://zotero.org/users/7422708/items/KKWM6YBC"],"uri":["http://zotero.org/users/7422708/items/KKWM6YBC"],"itemData":{"id":1248,"type":"article","language":"en","publisher":"UMass Clean Energy Extension","source":"Zotero","title":"The Economics of Biochar Carbon Sequestration in Massachusetts","URL":"https://ag.umass.edu/sites/ag.umass.edu/files/reports/timmons_-_biochar_report_10-16-17.pdf","author":[{"family":"Timmons","given":"David"},{"family":"Lema-Driscoll","given":"Ariana"},{"family":"Uddin","given":"Gazi"}],"issued":{"date-parts":[["2017"]]}}},{"id":1444,"uris":["http://zotero.org/users/7422708/items/BEFDJKRT"],"uri":["http://zotero.org/users/7422708/items/BEFDJKRT"],"itemData":{"id":1444,"type":"article-journal","abstract":"Coproduction of biofuels with biochar (the carbon-rich solid formed during biomass pyrolysis) can provide carbon-negative bioenergy if the biochar is sequestered in soil, where it can improve fertility and thus simultaneously address issues of food security, soil degradation, energy production, and climate change. However, increasing biochar production entails a reduction in bioenergy obtainable per unit biomass feedstock. Quantiﬁcation of this trade-oﬀ for speciﬁc biochar−biofuel pathways has been hampered by lack of an accurate-yet-simple model for predicting yields, product compositions, and energy balances from biomass slow</w:instrText>
      </w:r>
      <w:r w:rsidR="007A0E1E" w:rsidRPr="00863C91">
        <w:instrText xml:space="preserve"> pyrolysis. An empirical model of biomass slow pyrolysis was developed and applied to several pathways for biochar coproduction with gaseous and liquid biofuels. Here, we show that biochar production reduces liquid biofuel yield by at least 21 GJ Mg−1 C (biofuel energy sacri</w:instrText>
      </w:r>
      <w:r w:rsidR="007A0E1E">
        <w:instrText>ﬁ</w:instrText>
      </w:r>
      <w:r w:rsidR="007A0E1E" w:rsidRPr="00863C91">
        <w:instrText>ced per unit mass of biochar C), with methanol synthesis giving this lowest energy penalty. For gaseous-biofuel production, the minimum energy penalty for biochar production is 33 GJ Mg−1 C. These substitution rates correspond to a wide range of Pareto-optimal system con</w:instrText>
      </w:r>
      <w:r w:rsidR="007A0E1E">
        <w:instrText>ﬁ</w:instrText>
      </w:r>
      <w:r w:rsidR="007A0E1E" w:rsidRPr="00863C91">
        <w:instrText xml:space="preserve">gurations, implying considerable latitude to choose pyrolysis conditions to optimize for desired biochar properties or to modulate energy versus biochar yields in response to </w:instrText>
      </w:r>
      <w:r w:rsidR="007A0E1E">
        <w:instrText>ﬂ</w:instrText>
      </w:r>
      <w:r w:rsidR="007A0E1E" w:rsidRPr="00863C91">
        <w:instrText>uctuating price di</w:instrText>
      </w:r>
      <w:r w:rsidR="007A0E1E">
        <w:instrText>ﬀ</w:instrText>
      </w:r>
      <w:r w:rsidR="007A0E1E" w:rsidRPr="00863C91">
        <w:instrText xml:space="preserve">erentials for the two commodities.","container-title":"Environmental Science &amp; Technology","DOI":"10.1021/es500474q","ISSN":"0013-936X, 1520-5851","issue":"11","journalAbbreviation":"Environ. Sci. Technol.","language":"en","page":"6492-6499","source":"DOI.org (Crossref)","title":"Biofuels from Pyrolysis in Perspective: Trade-offs between Energy Yields and Soil-Carbon Additions","title-short":"Biofuels from Pyrolysis in Perspective","volume":"48","author":[{"family":"Woolf","given":"Dominic"},{"family":"Lehmann","given":"Johannes"},{"family":"Fisher","given":"Elizabeth M."},{"family":"Angenent","given":"Largus T."}],"issued":{"date-parts":[["2014",6,3]]}}}],"schema":"https://github.com/citation-style-language/schema/raw/master/csl-citation.json"} </w:instrText>
      </w:r>
      <w:r w:rsidR="007A0E1E">
        <w:fldChar w:fldCharType="separate"/>
      </w:r>
      <w:r w:rsidR="007A0E1E" w:rsidRPr="00863C91">
        <w:rPr>
          <w:rFonts w:cs="Times New Roman"/>
        </w:rPr>
        <w:t>(Timmons et al., 2017; Woolf et al., 2014)</w:t>
      </w:r>
      <w:r w:rsidR="007A0E1E">
        <w:fldChar w:fldCharType="end"/>
      </w:r>
      <w:r w:rsidRPr="00863C91">
        <w:t xml:space="preserve"> and we do not consider them here. </w:t>
      </w:r>
    </w:p>
    <w:p w14:paraId="7748F8C5" w14:textId="1E7A2777" w:rsidR="0032353F" w:rsidRPr="00BC11C5" w:rsidRDefault="009F5D58" w:rsidP="0032353F">
      <w:pPr>
        <w:pStyle w:val="ListParagraph"/>
        <w:numPr>
          <w:ilvl w:val="0"/>
          <w:numId w:val="10"/>
        </w:numPr>
        <w:ind w:left="426" w:hanging="426"/>
      </w:pPr>
      <w:r w:rsidRPr="00BC11C5">
        <w:t>Carbon sequestration is measured as the recalcitrant carbon po</w:t>
      </w:r>
      <w:r w:rsidR="00233E81">
        <w:t>rtion of the biochar product, which</w:t>
      </w:r>
      <w:r w:rsidRPr="00BC11C5">
        <w:t xml:space="preserve"> </w:t>
      </w:r>
      <w:r>
        <w:t xml:space="preserve">is </w:t>
      </w:r>
      <w:r w:rsidR="00233E81">
        <w:t xml:space="preserve">assumed to be </w:t>
      </w:r>
      <w:r>
        <w:t>stored in soil near the</w:t>
      </w:r>
      <w:r w:rsidR="00E73FF5">
        <w:t xml:space="preserve"> production</w:t>
      </w:r>
      <w:r>
        <w:t xml:space="preserve"> facility</w:t>
      </w:r>
      <w:r w:rsidRPr="00BC11C5">
        <w:t xml:space="preserve">. The literature presents a vast range of systems boundaries and life-cycle global warming potentials associated with biochar production and use. To harmonize these for our own estimates we do not consider emissions reductions or sequestration that may arise from </w:t>
      </w:r>
      <w:r w:rsidR="00233E81">
        <w:t xml:space="preserve">expanding our system to consider </w:t>
      </w:r>
      <w:r w:rsidRPr="00BC11C5">
        <w:t>t</w:t>
      </w:r>
      <w:r w:rsidR="00233E81">
        <w:t>he various end uses of biochar. T</w:t>
      </w:r>
      <w:r w:rsidRPr="00BC11C5">
        <w:t>hese effects are site-specific (Woolf et al., 2018). Field application can lead to either an incre</w:t>
      </w:r>
      <w:r w:rsidR="00233E81">
        <w:t>ase or decrease in local non-CO</w:t>
      </w:r>
      <w:r w:rsidR="00233E81">
        <w:rPr>
          <w:vertAlign w:val="subscript"/>
        </w:rPr>
        <w:t>2</w:t>
      </w:r>
      <w:r w:rsidRPr="00BC11C5">
        <w:t xml:space="preserve"> emissions, and we therefore assume there is no net effect from these gases, as has been modeled by others (Smith, 2016</w:t>
      </w:r>
      <w:r>
        <w:t xml:space="preserve">). </w:t>
      </w:r>
      <w:r w:rsidRPr="00BC11C5">
        <w:t xml:space="preserve">Given the various potential end uses of biochar we do </w:t>
      </w:r>
      <w:r w:rsidRPr="00BC11C5">
        <w:lastRenderedPageBreak/>
        <w:t xml:space="preserve">not model product transport, instead assuming that the biochar is stored in soil near the production facility, as has been previously modeled by others </w:t>
      </w:r>
      <w:r w:rsidRPr="00BC11C5">
        <w:fldChar w:fldCharType="begin"/>
      </w:r>
      <w:r w:rsidRPr="00BC11C5">
        <w:instrText xml:space="preserve"> ADDIN ZOTERO_ITEM CSL_CITATION {"citationID":"LRsLqeLz","properties":{"formattedCitation":"(Baker et al., 2020)","plainCitation":"(Baker et al., 2020)","noteIndex":0},"citationItems":[{"id":1344,"uris":["http://zotero.org/users/7422708/items/ZE77R4IH"],"uri":["http://zotero.org/users/7422708/items/ZE77R4IH"],"itemData":{"id":1344,"type":"article","publisher":"Lawrence Livermore National Laboratory","title":"Getting to Neutral: Options for negative carbon emissions in California","URL":"LLNL-TR-796100","author":[{"family":"Baker","given":"Sarah E."},{"family":"Stolaroff","given":"Joshua K."},{"family":"Peridas","given":"George"},{"family":"Pang","given":"Simon H."},{"family":"Goldstein","given":"Hannah M."},{"family":"Lucci","given":"Felicia R."},{"family":"Li","given":"Wenquin"},{"family":"Slessarev","given":"Eric W."},{"family":"Pett-Ridge","given":"Jennifer"},{"family":"Ryerson","given":"Frederick J."},{"family":"Wagoner","given":"Jeff L."},{"family":"Kirkendall","given":"Whitney"},{"family":"Aines","given":"Roger D."},{"family":"Sanchez","given":"Daniel L."},{"family":"Cabiyo","given":"Bodie"},{"family":"Baker","given":"Joffre"},{"family":"McCoy","given":"Sean"},{"family":"Uden","given":"Sam"},{"family":"Runnenbaum","given":"Ron"},{"family":"Wilcox, Jennifer","given":""},{"family":"Psarras","given":"Peter C."},{"family":"Pilorge","given":"Helene"},{"family":"McQueen","given":"Noah"},{"family":"Maynard","given":"Daniel"},{"family":"McCormick","given":"Colin"}],"issued":{"date-parts":[["2020",1]]}}}],"schema":"https://github.com/citation-style-language/schema/raw/master/csl-citation.json"} </w:instrText>
      </w:r>
      <w:r w:rsidRPr="00BC11C5">
        <w:fldChar w:fldCharType="separate"/>
      </w:r>
      <w:r w:rsidRPr="00BC11C5">
        <w:rPr>
          <w:rFonts w:cs="Times New Roman"/>
        </w:rPr>
        <w:t>(Baker et al., 2020)</w:t>
      </w:r>
      <w:r w:rsidRPr="00BC11C5">
        <w:fldChar w:fldCharType="end"/>
      </w:r>
      <w:r w:rsidRPr="00BC11C5">
        <w:t>.</w:t>
      </w:r>
    </w:p>
    <w:p w14:paraId="04FBF2E3" w14:textId="6267BB18" w:rsidR="009D118F" w:rsidRPr="00BC11C5" w:rsidRDefault="00686965" w:rsidP="00483FFA">
      <w:pPr>
        <w:pStyle w:val="Heading2"/>
        <w:numPr>
          <w:ilvl w:val="1"/>
          <w:numId w:val="26"/>
        </w:numPr>
      </w:pPr>
      <w:bookmarkStart w:id="55" w:name="_Ref68781030"/>
      <w:bookmarkStart w:id="56" w:name="_Toc68791450"/>
      <w:r w:rsidRPr="00BC11C5">
        <w:t>Integration</w:t>
      </w:r>
      <w:bookmarkEnd w:id="55"/>
      <w:bookmarkEnd w:id="56"/>
    </w:p>
    <w:p w14:paraId="4F1C20E8" w14:textId="39248F43" w:rsidR="0032353F" w:rsidRDefault="00233E81" w:rsidP="0032353F">
      <w:r>
        <w:t xml:space="preserve">All Project Drawdown solutions are integrated for consistent accounting. This </w:t>
      </w:r>
      <w:r w:rsidR="001B193B">
        <w:t xml:space="preserve">is </w:t>
      </w:r>
      <w:r>
        <w:t xml:space="preserve">essential for supporting our bottom-up process modeling. In the case of biochar, integration with other solutions is provided by using Project Drawdown’s integrated biomass model. This ensures avoidance of double-counting of input feedstock and resulting emissions results. The issue of non-additive global potentials for similar solutions reliant on the same feedstock is therefore avoided. </w:t>
      </w:r>
      <w:r w:rsidR="0032353F" w:rsidRPr="00BC11C5">
        <w:t xml:space="preserve"> </w:t>
      </w:r>
    </w:p>
    <w:p w14:paraId="74AB8801" w14:textId="12F0165F" w:rsidR="0056281D" w:rsidRDefault="0056281D" w:rsidP="00863C91">
      <w:r w:rsidRPr="4AC4BC93">
        <w:rPr>
          <w:rFonts w:eastAsia="Times New Roman" w:cs="Times New Roman"/>
          <w:color w:val="000000" w:themeColor="text1"/>
        </w:rPr>
        <w:t xml:space="preserve">Drawdown’s Biomass model begins with projected global biomass demand through 2060, based on FAO historical data and other sources, in categories including sawnwood, other woody biomass, and herbaceous biomass (which includes crop residues). It determines the impact of demand reduction solutions including </w:t>
      </w:r>
      <w:r w:rsidRPr="4AC4BC93">
        <w:rPr>
          <w:rFonts w:eastAsia="Times New Roman" w:cs="Times New Roman"/>
          <w:i/>
          <w:iCs/>
          <w:color w:val="000000" w:themeColor="text1"/>
        </w:rPr>
        <w:t>clean cookstoves</w:t>
      </w:r>
      <w:r w:rsidRPr="4AC4BC93">
        <w:rPr>
          <w:rFonts w:eastAsia="Times New Roman" w:cs="Times New Roman"/>
          <w:color w:val="000000" w:themeColor="text1"/>
        </w:rPr>
        <w:t xml:space="preserve"> and </w:t>
      </w:r>
      <w:r w:rsidRPr="4AC4BC93">
        <w:rPr>
          <w:rFonts w:eastAsia="Times New Roman" w:cs="Times New Roman"/>
          <w:i/>
          <w:iCs/>
          <w:color w:val="000000" w:themeColor="text1"/>
        </w:rPr>
        <w:t>recycled paper</w:t>
      </w:r>
      <w:r w:rsidRPr="4AC4BC93">
        <w:rPr>
          <w:rFonts w:eastAsia="Times New Roman" w:cs="Times New Roman"/>
          <w:color w:val="000000" w:themeColor="text1"/>
        </w:rPr>
        <w:t xml:space="preserve">, resulting in an adjusted demand projection through 2060. Biomass supply reductions are modeled as well, which result from protection of forests, reducing biomass availability. Biomass supply increases are modeled through the increased adoption of solutions including </w:t>
      </w:r>
      <w:r w:rsidRPr="4AC4BC93">
        <w:rPr>
          <w:rFonts w:eastAsia="Times New Roman" w:cs="Times New Roman"/>
          <w:i/>
          <w:iCs/>
          <w:color w:val="000000" w:themeColor="text1"/>
        </w:rPr>
        <w:t xml:space="preserve">afforestation, bamboo, perennial biomass </w:t>
      </w:r>
      <w:r w:rsidRPr="4AC4BC93">
        <w:rPr>
          <w:rFonts w:eastAsia="Times New Roman" w:cs="Times New Roman"/>
          <w:color w:val="000000" w:themeColor="text1"/>
        </w:rPr>
        <w:t>and</w:t>
      </w:r>
      <w:r w:rsidRPr="4AC4BC93">
        <w:rPr>
          <w:rFonts w:eastAsia="Times New Roman" w:cs="Times New Roman"/>
          <w:i/>
          <w:iCs/>
          <w:color w:val="000000" w:themeColor="text1"/>
        </w:rPr>
        <w:t xml:space="preserve"> </w:t>
      </w:r>
      <w:r w:rsidRPr="4AC4BC93">
        <w:rPr>
          <w:rFonts w:eastAsia="Times New Roman" w:cs="Times New Roman"/>
          <w:color w:val="000000" w:themeColor="text1"/>
        </w:rPr>
        <w:t xml:space="preserve">agroforestry solutions like </w:t>
      </w:r>
      <w:r w:rsidRPr="4AC4BC93">
        <w:rPr>
          <w:rFonts w:eastAsia="Times New Roman" w:cs="Times New Roman"/>
          <w:i/>
          <w:iCs/>
          <w:color w:val="000000" w:themeColor="text1"/>
        </w:rPr>
        <w:t xml:space="preserve">tree intercropping, silvopasture, </w:t>
      </w:r>
      <w:r w:rsidRPr="4AC4BC93">
        <w:rPr>
          <w:rFonts w:eastAsia="Times New Roman" w:cs="Times New Roman"/>
          <w:color w:val="000000" w:themeColor="text1"/>
        </w:rPr>
        <w:t xml:space="preserve">and </w:t>
      </w:r>
      <w:r w:rsidRPr="4AC4BC93">
        <w:rPr>
          <w:rFonts w:eastAsia="Times New Roman" w:cs="Times New Roman"/>
          <w:i/>
          <w:iCs/>
          <w:color w:val="000000" w:themeColor="text1"/>
        </w:rPr>
        <w:t xml:space="preserve">multistrata agroforestry. </w:t>
      </w:r>
      <w:r w:rsidRPr="4AC4BC93">
        <w:rPr>
          <w:rFonts w:eastAsia="Times New Roman" w:cs="Times New Roman"/>
          <w:color w:val="000000" w:themeColor="text1"/>
        </w:rPr>
        <w:t xml:space="preserve">Biomass availability from crop residues, </w:t>
      </w:r>
      <w:r w:rsidRPr="4AC4BC93">
        <w:rPr>
          <w:rFonts w:eastAsia="Times New Roman" w:cs="Times New Roman"/>
          <w:i/>
          <w:iCs/>
          <w:color w:val="000000" w:themeColor="text1"/>
        </w:rPr>
        <w:t>seaweed farming</w:t>
      </w:r>
      <w:r w:rsidRPr="4AC4BC93">
        <w:rPr>
          <w:rFonts w:eastAsia="Times New Roman" w:cs="Times New Roman"/>
          <w:color w:val="000000" w:themeColor="text1"/>
        </w:rPr>
        <w:t xml:space="preserve">, and dedicated biomass crops planted on cropland freed up by </w:t>
      </w:r>
      <w:r w:rsidRPr="4AC4BC93">
        <w:rPr>
          <w:rFonts w:eastAsia="Times New Roman" w:cs="Times New Roman"/>
          <w:i/>
          <w:iCs/>
          <w:color w:val="000000" w:themeColor="text1"/>
        </w:rPr>
        <w:t>sustainable intensification</w:t>
      </w:r>
      <w:r w:rsidRPr="4AC4BC93">
        <w:rPr>
          <w:rFonts w:eastAsia="Times New Roman" w:cs="Times New Roman"/>
          <w:color w:val="000000" w:themeColor="text1"/>
        </w:rPr>
        <w:t xml:space="preserve"> is also modeled.</w:t>
      </w:r>
    </w:p>
    <w:p w14:paraId="738D935C" w14:textId="77777777" w:rsidR="0056281D" w:rsidRDefault="0056281D" w:rsidP="0056281D">
      <w:pPr>
        <w:spacing w:line="330" w:lineRule="exact"/>
      </w:pPr>
      <w:r w:rsidRPr="4AC4BC93">
        <w:rPr>
          <w:rFonts w:eastAsia="Times New Roman" w:cs="Times New Roman"/>
          <w:color w:val="000000" w:themeColor="text1"/>
        </w:rPr>
        <w:t xml:space="preserve">Surplus biomass is allocated to climate solutions that require biomass as feedstock. These include </w:t>
      </w:r>
      <w:r w:rsidRPr="4AC4BC93">
        <w:rPr>
          <w:rFonts w:eastAsia="Times New Roman" w:cs="Times New Roman"/>
          <w:i/>
          <w:iCs/>
          <w:color w:val="000000" w:themeColor="text1"/>
        </w:rPr>
        <w:t>biochar, biomass electricity, bioplastic, 2</w:t>
      </w:r>
      <w:r w:rsidRPr="4AC4BC93">
        <w:rPr>
          <w:rFonts w:eastAsia="Times New Roman" w:cs="Times New Roman"/>
          <w:i/>
          <w:iCs/>
          <w:color w:val="000000" w:themeColor="text1"/>
          <w:vertAlign w:val="superscript"/>
        </w:rPr>
        <w:t>nd</w:t>
      </w:r>
      <w:r w:rsidRPr="4AC4BC93">
        <w:rPr>
          <w:rFonts w:eastAsia="Times New Roman" w:cs="Times New Roman"/>
          <w:i/>
          <w:iCs/>
          <w:color w:val="000000" w:themeColor="text1"/>
        </w:rPr>
        <w:t xml:space="preserve"> generation biofuels, building with wood, insulation, small-scale biogas, </w:t>
      </w:r>
      <w:r w:rsidRPr="4AC4BC93">
        <w:rPr>
          <w:rFonts w:eastAsia="Times New Roman" w:cs="Times New Roman"/>
          <w:color w:val="000000" w:themeColor="text1"/>
        </w:rPr>
        <w:t xml:space="preserve">and </w:t>
      </w:r>
      <w:r w:rsidRPr="4AC4BC93">
        <w:rPr>
          <w:rFonts w:eastAsia="Times New Roman" w:cs="Times New Roman"/>
          <w:i/>
          <w:iCs/>
          <w:color w:val="000000" w:themeColor="text1"/>
        </w:rPr>
        <w:t xml:space="preserve">district heating. </w:t>
      </w:r>
      <w:r w:rsidRPr="4AC4BC93">
        <w:rPr>
          <w:rFonts w:eastAsia="Times New Roman" w:cs="Times New Roman"/>
          <w:color w:val="000000" w:themeColor="text1"/>
        </w:rPr>
        <w:t xml:space="preserve">This biomass feedstock allocation was a constraint to the adoption of this solution. </w:t>
      </w:r>
      <w:r w:rsidRPr="4AC4BC93">
        <w:rPr>
          <w:rFonts w:eastAsia="Times New Roman" w:cs="Times New Roman"/>
          <w:i/>
          <w:iCs/>
          <w:color w:val="000000" w:themeColor="text1"/>
        </w:rPr>
        <w:t xml:space="preserve"> </w:t>
      </w:r>
    </w:p>
    <w:p w14:paraId="2C49A9B4" w14:textId="77777777" w:rsidR="0056281D" w:rsidRPr="00BC11C5" w:rsidRDefault="0056281D" w:rsidP="0032353F"/>
    <w:p w14:paraId="7CAFC693" w14:textId="4A2F7BD1" w:rsidR="007C645A" w:rsidRPr="00BC11C5" w:rsidRDefault="551A77D0" w:rsidP="005C77F5">
      <w:pPr>
        <w:pStyle w:val="Heading1"/>
        <w:numPr>
          <w:ilvl w:val="0"/>
          <w:numId w:val="26"/>
        </w:numPr>
      </w:pPr>
      <w:bookmarkStart w:id="57" w:name="_Toc68791451"/>
      <w:r w:rsidRPr="00BC11C5">
        <w:t>Results</w:t>
      </w:r>
      <w:bookmarkEnd w:id="57"/>
    </w:p>
    <w:p w14:paraId="7E39F2AB" w14:textId="79101C06" w:rsidR="00B261E0" w:rsidRPr="00BC11C5" w:rsidRDefault="007C645A" w:rsidP="00483FFA">
      <w:pPr>
        <w:pStyle w:val="Heading2"/>
        <w:numPr>
          <w:ilvl w:val="1"/>
          <w:numId w:val="26"/>
        </w:numPr>
      </w:pPr>
      <w:bookmarkStart w:id="58" w:name="_Toc68791452"/>
      <w:r w:rsidRPr="00BC11C5">
        <w:t>Adoption</w:t>
      </w:r>
      <w:bookmarkEnd w:id="58"/>
    </w:p>
    <w:p w14:paraId="10EC0E5D" w14:textId="37674748" w:rsidR="0032353F" w:rsidRPr="00BC11C5" w:rsidRDefault="0032353F" w:rsidP="0032353F">
      <w:pPr>
        <w:rPr>
          <w:sz w:val="20"/>
          <w:lang w:eastAsia="zh-CN"/>
        </w:rPr>
      </w:pPr>
      <w:r w:rsidRPr="00BC11C5">
        <w:rPr>
          <w:lang w:eastAsia="zh-CN"/>
        </w:rPr>
        <w:t>Below are shown the</w:t>
      </w:r>
      <w:r w:rsidR="00E73FF5">
        <w:rPr>
          <w:lang w:eastAsia="zh-CN"/>
        </w:rPr>
        <w:t xml:space="preserve"> world adoption of biochar</w:t>
      </w:r>
      <w:r w:rsidRPr="00BC11C5">
        <w:rPr>
          <w:lang w:eastAsia="zh-CN"/>
        </w:rPr>
        <w:t xml:space="preserve"> in some key years of analysis in functional units and percent for the three Project Drawdown scenarios. </w:t>
      </w:r>
    </w:p>
    <w:p w14:paraId="21183A78" w14:textId="00F9A331" w:rsidR="008D1491" w:rsidRPr="00BC11C5" w:rsidRDefault="001B193B" w:rsidP="001B193B">
      <w:pPr>
        <w:pStyle w:val="Caption"/>
      </w:pPr>
      <w:bookmarkStart w:id="59" w:name="_Toc526981330"/>
      <w:bookmarkStart w:id="60" w:name="_Toc66286416"/>
      <w:bookmarkStart w:id="61" w:name="_Toc66286808"/>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8</w:t>
      </w:r>
      <w:r w:rsidR="004F1E38">
        <w:rPr>
          <w:noProof/>
        </w:rPr>
        <w:fldChar w:fldCharType="end"/>
      </w:r>
      <w:r>
        <w:t xml:space="preserve">: </w:t>
      </w:r>
      <w:bookmarkEnd w:id="59"/>
      <w:r>
        <w:t>Modeled world adoption of biochar</w:t>
      </w:r>
      <w:bookmarkEnd w:id="60"/>
      <w:bookmarkEnd w:id="6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BC11C5"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BC11C5" w:rsidRDefault="0032353F" w:rsidP="00AD4CF8">
            <w:pPr>
              <w:spacing w:line="240" w:lineRule="auto"/>
              <w:jc w:val="center"/>
              <w:rPr>
                <w:rFonts w:cstheme="minorHAnsi"/>
                <w:b/>
                <w:bCs/>
                <w:color w:val="FFFFFF" w:themeColor="background1"/>
                <w:sz w:val="20"/>
                <w:szCs w:val="20"/>
              </w:rPr>
            </w:pPr>
            <w:r w:rsidRPr="00BC11C5">
              <w:rPr>
                <w:rFonts w:cstheme="minorHAnsi"/>
                <w:b/>
                <w:bCs/>
                <w:color w:val="FFFFFF" w:themeColor="background1"/>
                <w:sz w:val="20"/>
                <w:szCs w:val="20"/>
              </w:rPr>
              <w:lastRenderedPageBreak/>
              <w:t>Solution</w:t>
            </w:r>
          </w:p>
        </w:tc>
        <w:tc>
          <w:tcPr>
            <w:tcW w:w="1730" w:type="dxa"/>
            <w:vMerge w:val="restart"/>
            <w:shd w:val="clear" w:color="auto" w:fill="4F81BD" w:themeFill="accent1"/>
            <w:vAlign w:val="center"/>
          </w:tcPr>
          <w:p w14:paraId="736EA4CB" w14:textId="55E81B77" w:rsidR="0032353F" w:rsidRPr="00BC11C5" w:rsidRDefault="0032353F" w:rsidP="00AD4CF8">
            <w:pPr>
              <w:spacing w:line="240" w:lineRule="auto"/>
              <w:jc w:val="center"/>
              <w:rPr>
                <w:b/>
                <w:bCs/>
                <w:iCs/>
                <w:color w:val="FFFFFF" w:themeColor="background1"/>
                <w:sz w:val="20"/>
                <w:szCs w:val="20"/>
              </w:rPr>
            </w:pPr>
            <w:r w:rsidRPr="00BC11C5">
              <w:rPr>
                <w:b/>
                <w:bCs/>
                <w:iCs/>
                <w:color w:val="FFFFFF" w:themeColor="background1"/>
                <w:sz w:val="20"/>
                <w:szCs w:val="20"/>
              </w:rPr>
              <w:t>Units</w:t>
            </w:r>
          </w:p>
        </w:tc>
        <w:tc>
          <w:tcPr>
            <w:tcW w:w="1276" w:type="dxa"/>
            <w:vMerge w:val="restart"/>
            <w:shd w:val="clear" w:color="auto" w:fill="4F81BD" w:themeFill="accent1"/>
            <w:vAlign w:val="center"/>
          </w:tcPr>
          <w:p w14:paraId="7A4BC7EC" w14:textId="5B4531ED" w:rsidR="0032353F" w:rsidRPr="00BC11C5" w:rsidRDefault="0032353F" w:rsidP="00AD4CF8">
            <w:pPr>
              <w:spacing w:line="240" w:lineRule="auto"/>
              <w:jc w:val="center"/>
              <w:rPr>
                <w:b/>
                <w:bCs/>
                <w:color w:val="FFFFFF" w:themeColor="background1"/>
                <w:sz w:val="20"/>
                <w:szCs w:val="20"/>
              </w:rPr>
            </w:pPr>
            <w:r w:rsidRPr="00BC11C5">
              <w:rPr>
                <w:b/>
                <w:bCs/>
                <w:iCs/>
                <w:color w:val="FFFFFF" w:themeColor="background1"/>
                <w:sz w:val="20"/>
                <w:szCs w:val="20"/>
              </w:rPr>
              <w:t xml:space="preserve">Base Year </w:t>
            </w:r>
            <w:r w:rsidR="00AB0679">
              <w:rPr>
                <w:b/>
                <w:bCs/>
                <w:color w:val="FFFFFF" w:themeColor="background1"/>
                <w:sz w:val="20"/>
                <w:szCs w:val="20"/>
              </w:rPr>
              <w:t xml:space="preserve"> (2014</w:t>
            </w:r>
            <w:r w:rsidRPr="00BC11C5">
              <w:rPr>
                <w:b/>
                <w:bCs/>
                <w:color w:val="FFFFFF" w:themeColor="background1"/>
                <w:sz w:val="20"/>
                <w:szCs w:val="20"/>
              </w:rPr>
              <w:t>)</w:t>
            </w:r>
          </w:p>
        </w:tc>
        <w:tc>
          <w:tcPr>
            <w:tcW w:w="4260" w:type="dxa"/>
            <w:gridSpan w:val="3"/>
            <w:shd w:val="clear" w:color="auto" w:fill="4F81BD" w:themeFill="accent1"/>
            <w:vAlign w:val="center"/>
          </w:tcPr>
          <w:p w14:paraId="1BAFBD47" w14:textId="1AD40332" w:rsidR="0032353F" w:rsidRPr="00BC11C5" w:rsidRDefault="0032353F" w:rsidP="00AD4CF8">
            <w:pPr>
              <w:spacing w:line="240" w:lineRule="auto"/>
              <w:jc w:val="center"/>
              <w:rPr>
                <w:b/>
                <w:bCs/>
                <w:iCs/>
                <w:color w:val="FFFFFF" w:themeColor="background1"/>
                <w:sz w:val="20"/>
                <w:szCs w:val="20"/>
              </w:rPr>
            </w:pPr>
            <w:r w:rsidRPr="00BC11C5">
              <w:rPr>
                <w:b/>
                <w:bCs/>
                <w:iCs/>
                <w:color w:val="FFFFFF" w:themeColor="background1"/>
                <w:sz w:val="20"/>
                <w:szCs w:val="20"/>
              </w:rPr>
              <w:t>World Adoption by 2050</w:t>
            </w:r>
          </w:p>
        </w:tc>
      </w:tr>
      <w:tr w:rsidR="0032353F" w:rsidRPr="00BC11C5"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BC11C5"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BC11C5"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BC11C5"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1F97049E" w:rsidR="0032353F" w:rsidRPr="00BC11C5" w:rsidRDefault="000D1C03" w:rsidP="00AD4CF8">
            <w:pPr>
              <w:spacing w:line="240" w:lineRule="auto"/>
              <w:jc w:val="center"/>
              <w:rPr>
                <w:b/>
                <w:bCs/>
                <w:iCs/>
                <w:color w:val="FFFFFF" w:themeColor="background1"/>
                <w:sz w:val="20"/>
                <w:szCs w:val="20"/>
              </w:rPr>
            </w:pPr>
            <w:r>
              <w:rPr>
                <w:b/>
                <w:bCs/>
                <w:iCs/>
                <w:color w:val="FFFFFF" w:themeColor="background1"/>
                <w:sz w:val="20"/>
                <w:szCs w:val="20"/>
              </w:rPr>
              <w:t>PDS1</w:t>
            </w:r>
          </w:p>
        </w:tc>
        <w:tc>
          <w:tcPr>
            <w:tcW w:w="1559" w:type="dxa"/>
            <w:shd w:val="clear" w:color="auto" w:fill="4F81BD" w:themeFill="accent1"/>
            <w:vAlign w:val="center"/>
          </w:tcPr>
          <w:p w14:paraId="0A0F5473" w14:textId="7F98ED86" w:rsidR="0032353F" w:rsidRPr="00BC11C5" w:rsidRDefault="000D1C03" w:rsidP="00AD4CF8">
            <w:pPr>
              <w:spacing w:line="240" w:lineRule="auto"/>
              <w:jc w:val="center"/>
              <w:rPr>
                <w:b/>
                <w:bCs/>
                <w:iCs/>
                <w:color w:val="FFFFFF" w:themeColor="background1"/>
                <w:sz w:val="20"/>
                <w:szCs w:val="20"/>
              </w:rPr>
            </w:pPr>
            <w:r>
              <w:rPr>
                <w:b/>
                <w:bCs/>
                <w:iCs/>
                <w:color w:val="FFFFFF" w:themeColor="background1"/>
                <w:sz w:val="20"/>
                <w:szCs w:val="20"/>
              </w:rPr>
              <w:t>PDS2</w:t>
            </w:r>
          </w:p>
        </w:tc>
        <w:tc>
          <w:tcPr>
            <w:tcW w:w="1284" w:type="dxa"/>
            <w:shd w:val="clear" w:color="auto" w:fill="4F81BD" w:themeFill="accent1"/>
            <w:vAlign w:val="center"/>
          </w:tcPr>
          <w:p w14:paraId="0927695E" w14:textId="28DD1C80" w:rsidR="0032353F" w:rsidRPr="00BC11C5" w:rsidRDefault="000D1C03" w:rsidP="00AD4CF8">
            <w:pPr>
              <w:spacing w:line="240" w:lineRule="auto"/>
              <w:jc w:val="center"/>
              <w:rPr>
                <w:b/>
                <w:bCs/>
                <w:iCs/>
                <w:color w:val="FFFFFF" w:themeColor="background1"/>
                <w:sz w:val="20"/>
                <w:szCs w:val="20"/>
              </w:rPr>
            </w:pPr>
            <w:r>
              <w:rPr>
                <w:b/>
                <w:bCs/>
                <w:iCs/>
                <w:color w:val="FFFFFF" w:themeColor="background1"/>
                <w:sz w:val="20"/>
                <w:szCs w:val="20"/>
              </w:rPr>
              <w:t>PDS3</w:t>
            </w:r>
          </w:p>
        </w:tc>
      </w:tr>
      <w:tr w:rsidR="005C77F5" w:rsidRPr="00BC11C5" w14:paraId="305C72A7" w14:textId="77777777" w:rsidTr="0032353F">
        <w:trPr>
          <w:trHeight w:val="840"/>
        </w:trPr>
        <w:tc>
          <w:tcPr>
            <w:tcW w:w="1951" w:type="dxa"/>
            <w:vMerge w:val="restart"/>
            <w:vAlign w:val="center"/>
          </w:tcPr>
          <w:p w14:paraId="2B8FFE1B" w14:textId="0F37408B" w:rsidR="005C77F5" w:rsidRPr="00BC11C5" w:rsidRDefault="00AB0679" w:rsidP="00AD4CF8">
            <w:pPr>
              <w:spacing w:line="240" w:lineRule="auto"/>
              <w:jc w:val="center"/>
              <w:rPr>
                <w:sz w:val="20"/>
                <w:szCs w:val="20"/>
              </w:rPr>
            </w:pPr>
            <w:r>
              <w:rPr>
                <w:sz w:val="20"/>
                <w:szCs w:val="20"/>
              </w:rPr>
              <w:t>Biochar</w:t>
            </w:r>
          </w:p>
        </w:tc>
        <w:tc>
          <w:tcPr>
            <w:tcW w:w="1730" w:type="dxa"/>
            <w:vAlign w:val="center"/>
          </w:tcPr>
          <w:p w14:paraId="5BDA7373" w14:textId="204C9D61" w:rsidR="005C77F5" w:rsidRPr="00BC11C5" w:rsidRDefault="000D1C03" w:rsidP="00AD4CF8">
            <w:pPr>
              <w:spacing w:line="240" w:lineRule="auto"/>
              <w:jc w:val="center"/>
              <w:rPr>
                <w:rFonts w:cstheme="minorHAnsi"/>
                <w:bCs/>
                <w:color w:val="000000" w:themeColor="text1"/>
                <w:sz w:val="20"/>
                <w:szCs w:val="20"/>
              </w:rPr>
            </w:pPr>
            <w:r>
              <w:rPr>
                <w:bCs/>
                <w:i/>
                <w:color w:val="000000" w:themeColor="text1"/>
                <w:sz w:val="20"/>
                <w:szCs w:val="20"/>
              </w:rPr>
              <w:t>M</w:t>
            </w:r>
            <w:r w:rsidR="00AB0679">
              <w:rPr>
                <w:bCs/>
                <w:i/>
                <w:color w:val="000000" w:themeColor="text1"/>
                <w:sz w:val="20"/>
                <w:szCs w:val="20"/>
              </w:rPr>
              <w:t>t biochar</w:t>
            </w:r>
          </w:p>
        </w:tc>
        <w:tc>
          <w:tcPr>
            <w:tcW w:w="1276" w:type="dxa"/>
            <w:vAlign w:val="center"/>
          </w:tcPr>
          <w:p w14:paraId="72C0B03E" w14:textId="1DC90896" w:rsidR="005C77F5" w:rsidRPr="00BC11C5" w:rsidRDefault="007F1E5A" w:rsidP="00AD4CF8">
            <w:pPr>
              <w:spacing w:line="240" w:lineRule="auto"/>
              <w:jc w:val="center"/>
              <w:rPr>
                <w:rFonts w:cstheme="minorHAnsi"/>
                <w:bCs/>
                <w:sz w:val="20"/>
                <w:szCs w:val="20"/>
              </w:rPr>
            </w:pPr>
            <w:r>
              <w:rPr>
                <w:rFonts w:cstheme="minorHAnsi"/>
                <w:bCs/>
                <w:sz w:val="20"/>
                <w:szCs w:val="20"/>
              </w:rPr>
              <w:t>7500</w:t>
            </w:r>
          </w:p>
        </w:tc>
        <w:tc>
          <w:tcPr>
            <w:tcW w:w="1417" w:type="dxa"/>
            <w:vAlign w:val="center"/>
          </w:tcPr>
          <w:p w14:paraId="2A8FE7A2" w14:textId="459B26DA" w:rsidR="005C77F5" w:rsidRPr="00BC11C5" w:rsidRDefault="000D1C03" w:rsidP="00AD4CF8">
            <w:pPr>
              <w:spacing w:line="240" w:lineRule="auto"/>
              <w:jc w:val="center"/>
              <w:rPr>
                <w:rFonts w:cstheme="minorHAnsi"/>
                <w:bCs/>
                <w:sz w:val="20"/>
                <w:szCs w:val="20"/>
              </w:rPr>
            </w:pPr>
            <w:r>
              <w:rPr>
                <w:rFonts w:cstheme="minorHAnsi"/>
                <w:bCs/>
                <w:sz w:val="20"/>
                <w:szCs w:val="20"/>
              </w:rPr>
              <w:t>63.0</w:t>
            </w:r>
          </w:p>
        </w:tc>
        <w:tc>
          <w:tcPr>
            <w:tcW w:w="1559" w:type="dxa"/>
            <w:vAlign w:val="center"/>
          </w:tcPr>
          <w:p w14:paraId="79EE8DDC" w14:textId="6C2E568E" w:rsidR="005C77F5" w:rsidRPr="00BC11C5" w:rsidRDefault="000D1C03" w:rsidP="00AD4CF8">
            <w:pPr>
              <w:spacing w:line="240" w:lineRule="auto"/>
              <w:jc w:val="center"/>
              <w:rPr>
                <w:rFonts w:cstheme="minorHAnsi"/>
                <w:bCs/>
                <w:sz w:val="20"/>
                <w:szCs w:val="20"/>
              </w:rPr>
            </w:pPr>
            <w:r>
              <w:rPr>
                <w:rFonts w:cstheme="minorHAnsi"/>
                <w:bCs/>
                <w:sz w:val="20"/>
                <w:szCs w:val="20"/>
              </w:rPr>
              <w:t>118</w:t>
            </w:r>
          </w:p>
        </w:tc>
        <w:tc>
          <w:tcPr>
            <w:tcW w:w="1284" w:type="dxa"/>
            <w:vAlign w:val="center"/>
          </w:tcPr>
          <w:p w14:paraId="5B002A1D" w14:textId="48BB6BDD" w:rsidR="005C77F5" w:rsidRPr="00BC11C5" w:rsidRDefault="000D1C03" w:rsidP="00AD4CF8">
            <w:pPr>
              <w:spacing w:line="240" w:lineRule="auto"/>
              <w:jc w:val="center"/>
              <w:rPr>
                <w:rFonts w:cstheme="minorHAnsi"/>
                <w:bCs/>
                <w:sz w:val="20"/>
                <w:szCs w:val="20"/>
              </w:rPr>
            </w:pPr>
            <w:r>
              <w:rPr>
                <w:rFonts w:cstheme="minorHAnsi"/>
                <w:bCs/>
                <w:sz w:val="20"/>
                <w:szCs w:val="20"/>
              </w:rPr>
              <w:t xml:space="preserve">148 </w:t>
            </w:r>
          </w:p>
        </w:tc>
      </w:tr>
      <w:tr w:rsidR="005C77F5" w:rsidRPr="00BC11C5" w14:paraId="59E1863D" w14:textId="77777777" w:rsidTr="0032353F">
        <w:trPr>
          <w:trHeight w:val="32"/>
        </w:trPr>
        <w:tc>
          <w:tcPr>
            <w:tcW w:w="1951" w:type="dxa"/>
            <w:vMerge/>
            <w:vAlign w:val="center"/>
          </w:tcPr>
          <w:p w14:paraId="518ED63B" w14:textId="77777777" w:rsidR="005C77F5" w:rsidRPr="00BC11C5" w:rsidRDefault="005C77F5" w:rsidP="00AD4CF8">
            <w:pPr>
              <w:spacing w:line="240" w:lineRule="auto"/>
              <w:jc w:val="center"/>
              <w:rPr>
                <w:sz w:val="20"/>
                <w:szCs w:val="20"/>
              </w:rPr>
            </w:pPr>
          </w:p>
        </w:tc>
        <w:tc>
          <w:tcPr>
            <w:tcW w:w="1730" w:type="dxa"/>
            <w:vAlign w:val="center"/>
          </w:tcPr>
          <w:p w14:paraId="2352B4C1" w14:textId="1089ED51" w:rsidR="005C77F5" w:rsidRPr="00BC11C5" w:rsidRDefault="00AB0679" w:rsidP="00AB0679">
            <w:pPr>
              <w:spacing w:line="240" w:lineRule="auto"/>
              <w:jc w:val="center"/>
              <w:rPr>
                <w:rFonts w:cstheme="minorHAnsi"/>
                <w:bCs/>
                <w:color w:val="000000" w:themeColor="text1"/>
                <w:sz w:val="20"/>
                <w:szCs w:val="20"/>
              </w:rPr>
            </w:pPr>
            <w:r>
              <w:rPr>
                <w:bCs/>
                <w:i/>
                <w:iCs/>
                <w:color w:val="000000" w:themeColor="text1"/>
                <w:sz w:val="20"/>
                <w:szCs w:val="20"/>
              </w:rPr>
              <w:t xml:space="preserve">% </w:t>
            </w:r>
            <w:r w:rsidR="007F1E5A">
              <w:rPr>
                <w:bCs/>
                <w:i/>
                <w:iCs/>
                <w:color w:val="000000" w:themeColor="text1"/>
                <w:sz w:val="20"/>
                <w:szCs w:val="20"/>
              </w:rPr>
              <w:t xml:space="preserve">of </w:t>
            </w:r>
            <w:r>
              <w:rPr>
                <w:bCs/>
                <w:i/>
                <w:iCs/>
                <w:color w:val="000000" w:themeColor="text1"/>
                <w:sz w:val="20"/>
                <w:szCs w:val="20"/>
              </w:rPr>
              <w:t>TAM</w:t>
            </w:r>
          </w:p>
        </w:tc>
        <w:tc>
          <w:tcPr>
            <w:tcW w:w="1276" w:type="dxa"/>
            <w:vAlign w:val="center"/>
          </w:tcPr>
          <w:p w14:paraId="4FD03435" w14:textId="5925D4E0" w:rsidR="005C77F5" w:rsidRPr="00BC11C5" w:rsidRDefault="00AB0679" w:rsidP="00AD4CF8">
            <w:pPr>
              <w:spacing w:line="240" w:lineRule="auto"/>
              <w:jc w:val="center"/>
              <w:rPr>
                <w:rFonts w:cstheme="minorHAnsi"/>
                <w:bCs/>
                <w:sz w:val="20"/>
                <w:szCs w:val="20"/>
              </w:rPr>
            </w:pPr>
            <w:r>
              <w:rPr>
                <w:rFonts w:cstheme="minorHAnsi"/>
                <w:bCs/>
                <w:sz w:val="20"/>
                <w:szCs w:val="20"/>
              </w:rPr>
              <w:t>0.0</w:t>
            </w:r>
            <w:r w:rsidR="000D1C03">
              <w:rPr>
                <w:rFonts w:cstheme="minorHAnsi"/>
                <w:bCs/>
                <w:sz w:val="20"/>
                <w:szCs w:val="20"/>
              </w:rPr>
              <w:t>00012</w:t>
            </w:r>
            <w:r>
              <w:rPr>
                <w:rFonts w:cstheme="minorHAnsi"/>
                <w:bCs/>
                <w:sz w:val="20"/>
                <w:szCs w:val="20"/>
              </w:rPr>
              <w:t>%</w:t>
            </w:r>
          </w:p>
        </w:tc>
        <w:tc>
          <w:tcPr>
            <w:tcW w:w="1417" w:type="dxa"/>
            <w:vAlign w:val="center"/>
          </w:tcPr>
          <w:p w14:paraId="34CAFB53" w14:textId="1B647C2E" w:rsidR="005C77F5" w:rsidRPr="00BC11C5" w:rsidRDefault="000D1C03" w:rsidP="00AD4CF8">
            <w:pPr>
              <w:spacing w:line="240" w:lineRule="auto"/>
              <w:jc w:val="center"/>
              <w:rPr>
                <w:rFonts w:cstheme="minorHAnsi"/>
                <w:bCs/>
                <w:sz w:val="20"/>
                <w:szCs w:val="20"/>
              </w:rPr>
            </w:pPr>
            <w:r>
              <w:rPr>
                <w:rFonts w:cstheme="minorHAnsi"/>
                <w:bCs/>
                <w:sz w:val="20"/>
                <w:szCs w:val="20"/>
              </w:rPr>
              <w:t>21.2</w:t>
            </w:r>
            <w:r w:rsidR="007F1E5A">
              <w:rPr>
                <w:rFonts w:cstheme="minorHAnsi"/>
                <w:bCs/>
                <w:sz w:val="20"/>
                <w:szCs w:val="20"/>
              </w:rPr>
              <w:t>%</w:t>
            </w:r>
          </w:p>
        </w:tc>
        <w:tc>
          <w:tcPr>
            <w:tcW w:w="1559" w:type="dxa"/>
            <w:vAlign w:val="center"/>
          </w:tcPr>
          <w:p w14:paraId="43B375D1" w14:textId="78FCAC47" w:rsidR="005C77F5" w:rsidRPr="00BC11C5" w:rsidRDefault="000D1C03" w:rsidP="000D1C03">
            <w:pPr>
              <w:spacing w:line="240" w:lineRule="auto"/>
              <w:jc w:val="center"/>
              <w:rPr>
                <w:rFonts w:cstheme="minorHAnsi"/>
                <w:bCs/>
                <w:sz w:val="20"/>
                <w:szCs w:val="20"/>
              </w:rPr>
            </w:pPr>
            <w:r>
              <w:rPr>
                <w:rFonts w:cstheme="minorHAnsi"/>
                <w:bCs/>
                <w:sz w:val="20"/>
                <w:szCs w:val="20"/>
              </w:rPr>
              <w:t>40.0</w:t>
            </w:r>
            <w:r w:rsidR="007F1E5A">
              <w:rPr>
                <w:rFonts w:cstheme="minorHAnsi"/>
                <w:bCs/>
                <w:sz w:val="20"/>
                <w:szCs w:val="20"/>
              </w:rPr>
              <w:t>%</w:t>
            </w:r>
          </w:p>
        </w:tc>
        <w:tc>
          <w:tcPr>
            <w:tcW w:w="1284" w:type="dxa"/>
            <w:vAlign w:val="center"/>
          </w:tcPr>
          <w:p w14:paraId="7641EB01" w14:textId="106A0925" w:rsidR="005C77F5" w:rsidRPr="00BC11C5" w:rsidRDefault="000D1C03" w:rsidP="00AD4CF8">
            <w:pPr>
              <w:spacing w:line="240" w:lineRule="auto"/>
              <w:jc w:val="center"/>
              <w:rPr>
                <w:rFonts w:cstheme="minorHAnsi"/>
                <w:bCs/>
                <w:sz w:val="20"/>
                <w:szCs w:val="20"/>
              </w:rPr>
            </w:pPr>
            <w:r>
              <w:rPr>
                <w:rFonts w:cstheme="minorHAnsi"/>
                <w:bCs/>
                <w:sz w:val="20"/>
                <w:szCs w:val="20"/>
              </w:rPr>
              <w:t>50.0%</w:t>
            </w:r>
          </w:p>
        </w:tc>
      </w:tr>
    </w:tbl>
    <w:p w14:paraId="2AB38D2C" w14:textId="77777777" w:rsidR="00762877" w:rsidRPr="00BC11C5" w:rsidRDefault="00762877" w:rsidP="00EB247F">
      <w:pPr>
        <w:spacing w:after="0"/>
        <w:jc w:val="center"/>
        <w:rPr>
          <w:rFonts w:cstheme="minorHAnsi"/>
          <w:b/>
          <w:bCs/>
          <w:i/>
        </w:rPr>
      </w:pPr>
    </w:p>
    <w:p w14:paraId="0D817E1E" w14:textId="77777777" w:rsidR="0032353F" w:rsidRPr="00BC11C5" w:rsidRDefault="0032353F" w:rsidP="00EB247F">
      <w:pPr>
        <w:pStyle w:val="Caption"/>
        <w:jc w:val="center"/>
      </w:pPr>
    </w:p>
    <w:p w14:paraId="4CA6FD9E" w14:textId="77777777" w:rsidR="00640E6A" w:rsidRDefault="007A0E1E" w:rsidP="001B193B">
      <w:pPr>
        <w:pStyle w:val="Caption"/>
        <w:rPr>
          <w:i w:val="0"/>
        </w:rPr>
      </w:pPr>
      <w:r>
        <w:rPr>
          <w:noProof/>
          <w:lang w:eastAsia="en-US"/>
        </w:rPr>
        <w:drawing>
          <wp:inline distT="0" distB="0" distL="0" distR="0" wp14:anchorId="52823AE1" wp14:editId="2AA050BA">
            <wp:extent cx="5800725" cy="27908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7E303A" w14:textId="0D207509" w:rsidR="00762877" w:rsidRPr="00BC11C5" w:rsidRDefault="001B193B" w:rsidP="001B193B">
      <w:pPr>
        <w:pStyle w:val="Caption"/>
      </w:pPr>
      <w:bookmarkStart w:id="62" w:name="_Ref66283712"/>
      <w:bookmarkStart w:id="63" w:name="_Toc526981337"/>
      <w:bookmarkStart w:id="64" w:name="_Toc66286779"/>
      <w:r>
        <w:t xml:space="preserve">Figure </w:t>
      </w:r>
      <w:r w:rsidR="004F1E38">
        <w:rPr>
          <w:noProof/>
        </w:rPr>
        <w:fldChar w:fldCharType="begin"/>
      </w:r>
      <w:r w:rsidR="004F1E38">
        <w:rPr>
          <w:noProof/>
        </w:rPr>
        <w:instrText xml:space="preserve"> SEQ Figure \* ARABIC </w:instrText>
      </w:r>
      <w:r w:rsidR="004F1E38">
        <w:rPr>
          <w:noProof/>
        </w:rPr>
        <w:fldChar w:fldCharType="separate"/>
      </w:r>
      <w:r>
        <w:rPr>
          <w:noProof/>
        </w:rPr>
        <w:t>3</w:t>
      </w:r>
      <w:r w:rsidR="004F1E38">
        <w:rPr>
          <w:noProof/>
        </w:rPr>
        <w:fldChar w:fldCharType="end"/>
      </w:r>
      <w:bookmarkEnd w:id="62"/>
      <w:r>
        <w:t>:</w:t>
      </w:r>
      <w:r w:rsidR="00977F6D" w:rsidRPr="00BC11C5">
        <w:t xml:space="preserve"> </w:t>
      </w:r>
      <w:r w:rsidR="00807D37" w:rsidRPr="00BC11C5">
        <w:t xml:space="preserve">World </w:t>
      </w:r>
      <w:r>
        <w:t xml:space="preserve">adoption of biochar </w:t>
      </w:r>
      <w:r w:rsidR="00E73FF5">
        <w:t>2015</w:t>
      </w:r>
      <w:r w:rsidR="00977F6D" w:rsidRPr="00BC11C5">
        <w:t>-20</w:t>
      </w:r>
      <w:bookmarkEnd w:id="63"/>
      <w:bookmarkEnd w:id="64"/>
      <w:r w:rsidR="00E73FF5">
        <w:t>60</w:t>
      </w:r>
    </w:p>
    <w:p w14:paraId="6B6F22E7" w14:textId="0DD1616E" w:rsidR="003A7929" w:rsidRPr="00BC11C5" w:rsidRDefault="551A77D0" w:rsidP="00483FFA">
      <w:pPr>
        <w:pStyle w:val="Heading2"/>
        <w:numPr>
          <w:ilvl w:val="1"/>
          <w:numId w:val="26"/>
        </w:numPr>
      </w:pPr>
      <w:bookmarkStart w:id="65" w:name="_Toc68791453"/>
      <w:r w:rsidRPr="00BC11C5">
        <w:t>Climate Impacts</w:t>
      </w:r>
      <w:bookmarkEnd w:id="65"/>
    </w:p>
    <w:p w14:paraId="61041E32" w14:textId="77777777" w:rsidR="0032353F" w:rsidRPr="00BC11C5" w:rsidRDefault="0032353F" w:rsidP="0032353F">
      <w:r w:rsidRPr="00BC11C5">
        <w:t>Below are the emissions results of the analysis for each scenario which include total emissions reduction, atmospheric concentration changes, and sequestration where relevant. For a detailed explanation of each result, please see the glossary (Section 6).</w:t>
      </w:r>
    </w:p>
    <w:p w14:paraId="760748DD" w14:textId="34219FFC" w:rsidR="0032353F" w:rsidRPr="00BC11C5" w:rsidRDefault="00E92C26" w:rsidP="00E92C26">
      <w:pPr>
        <w:pStyle w:val="Caption"/>
        <w:rPr>
          <w:highlight w:val="yellow"/>
        </w:rPr>
      </w:pPr>
      <w:bookmarkStart w:id="66" w:name="_Toc66286417"/>
      <w:bookmarkStart w:id="67" w:name="_Toc66286809"/>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9</w:t>
      </w:r>
      <w:r w:rsidR="004F1E38">
        <w:rPr>
          <w:noProof/>
        </w:rPr>
        <w:fldChar w:fldCharType="end"/>
      </w:r>
      <w:r w:rsidR="005F3F2A">
        <w:t>: Key emissions results</w:t>
      </w:r>
      <w:r>
        <w:t>.</w:t>
      </w:r>
      <w:bookmarkEnd w:id="66"/>
      <w:bookmarkEnd w:id="67"/>
      <w:r>
        <w:t xml:space="preserve"> </w:t>
      </w:r>
    </w:p>
    <w:tbl>
      <w:tblPr>
        <w:tblStyle w:val="TableGrid"/>
        <w:tblW w:w="0" w:type="auto"/>
        <w:tblLayout w:type="fixed"/>
        <w:tblLook w:val="04A0" w:firstRow="1" w:lastRow="0" w:firstColumn="1" w:lastColumn="0" w:noHBand="0" w:noVBand="1"/>
      </w:tblPr>
      <w:tblGrid>
        <w:gridCol w:w="985"/>
        <w:gridCol w:w="2760"/>
        <w:gridCol w:w="2760"/>
        <w:gridCol w:w="2760"/>
      </w:tblGrid>
      <w:tr w:rsidR="000D1C03" w:rsidRPr="00BC11C5" w14:paraId="11F741C7" w14:textId="77777777" w:rsidTr="00863C91">
        <w:trPr>
          <w:trHeight w:val="510"/>
        </w:trPr>
        <w:tc>
          <w:tcPr>
            <w:tcW w:w="985" w:type="dxa"/>
            <w:shd w:val="clear" w:color="auto" w:fill="4F81BD" w:themeFill="accent1"/>
          </w:tcPr>
          <w:p w14:paraId="3F26059A" w14:textId="51D4469D" w:rsidR="000D1C03" w:rsidRPr="00E92C26" w:rsidRDefault="000D1C03" w:rsidP="00E92C26">
            <w:pPr>
              <w:spacing w:after="0"/>
              <w:jc w:val="left"/>
              <w:rPr>
                <w:rFonts w:cstheme="minorHAnsi"/>
                <w:bCs/>
                <w:color w:val="FFFFFF" w:themeColor="background1"/>
                <w:sz w:val="20"/>
              </w:rPr>
            </w:pPr>
            <w:r>
              <w:rPr>
                <w:rFonts w:cstheme="minorHAnsi"/>
                <w:bCs/>
                <w:color w:val="FFFFFF" w:themeColor="background1"/>
                <w:sz w:val="20"/>
              </w:rPr>
              <w:t>Scenario</w:t>
            </w:r>
          </w:p>
        </w:tc>
        <w:tc>
          <w:tcPr>
            <w:tcW w:w="2760" w:type="dxa"/>
            <w:shd w:val="clear" w:color="auto" w:fill="4F81BD" w:themeFill="accent1"/>
            <w:hideMark/>
          </w:tcPr>
          <w:p w14:paraId="4F5F03C5" w14:textId="77777777" w:rsidR="000D1C03" w:rsidRPr="00E92C26" w:rsidRDefault="000D1C03" w:rsidP="00E92C26">
            <w:pPr>
              <w:spacing w:after="0"/>
              <w:jc w:val="left"/>
              <w:rPr>
                <w:rFonts w:cstheme="minorHAnsi"/>
                <w:bCs/>
                <w:color w:val="FFFFFF" w:themeColor="background1"/>
                <w:sz w:val="20"/>
              </w:rPr>
            </w:pPr>
            <w:r w:rsidRPr="00E92C26">
              <w:rPr>
                <w:rFonts w:cstheme="minorHAnsi"/>
                <w:bCs/>
                <w:color w:val="FFFFFF" w:themeColor="background1"/>
                <w:sz w:val="20"/>
              </w:rPr>
              <w:t>Max Annual Emissions Reduction</w:t>
            </w:r>
          </w:p>
          <w:p w14:paraId="61F6533B" w14:textId="31E34ED2" w:rsidR="000D1C03" w:rsidRPr="00E92C26" w:rsidRDefault="000D1C03" w:rsidP="00E92C26">
            <w:pPr>
              <w:spacing w:after="0"/>
              <w:jc w:val="left"/>
              <w:rPr>
                <w:rFonts w:cstheme="minorHAnsi"/>
                <w:bCs/>
                <w:color w:val="FFFFFF" w:themeColor="background1"/>
                <w:sz w:val="20"/>
              </w:rPr>
            </w:pPr>
            <w:r w:rsidRPr="00E92C26">
              <w:rPr>
                <w:rFonts w:cstheme="minorHAnsi"/>
                <w:bCs/>
                <w:color w:val="FFFFFF" w:themeColor="background1"/>
                <w:sz w:val="20"/>
              </w:rPr>
              <w:t>(Gt CO</w:t>
            </w:r>
            <w:r w:rsidRPr="00E92C26">
              <w:rPr>
                <w:rFonts w:cstheme="minorHAnsi"/>
                <w:bCs/>
                <w:color w:val="FFFFFF" w:themeColor="background1"/>
                <w:sz w:val="20"/>
                <w:vertAlign w:val="subscript"/>
              </w:rPr>
              <w:t>2</w:t>
            </w:r>
            <w:r w:rsidRPr="00E92C26">
              <w:rPr>
                <w:rFonts w:cstheme="minorHAnsi"/>
                <w:bCs/>
                <w:color w:val="FFFFFF" w:themeColor="background1"/>
                <w:sz w:val="20"/>
              </w:rPr>
              <w:t>e / yr)</w:t>
            </w:r>
          </w:p>
        </w:tc>
        <w:tc>
          <w:tcPr>
            <w:tcW w:w="2760" w:type="dxa"/>
            <w:shd w:val="clear" w:color="auto" w:fill="4F81BD" w:themeFill="accent1"/>
            <w:hideMark/>
          </w:tcPr>
          <w:p w14:paraId="41E3F4BF" w14:textId="073D14A2" w:rsidR="000D1C03" w:rsidRPr="00E92C26" w:rsidRDefault="000D1C03" w:rsidP="00E92C26">
            <w:pPr>
              <w:spacing w:after="0"/>
              <w:jc w:val="left"/>
              <w:rPr>
                <w:rFonts w:cstheme="minorHAnsi"/>
                <w:bCs/>
                <w:color w:val="FFFFFF" w:themeColor="background1"/>
                <w:sz w:val="20"/>
              </w:rPr>
            </w:pPr>
            <w:r w:rsidRPr="00E92C26">
              <w:rPr>
                <w:rFonts w:cstheme="minorHAnsi"/>
                <w:bCs/>
                <w:color w:val="FFFFFF" w:themeColor="background1"/>
                <w:sz w:val="20"/>
              </w:rPr>
              <w:t>Emissions Reduction in 2050 (Gt CO</w:t>
            </w:r>
            <w:r w:rsidRPr="00E92C26">
              <w:rPr>
                <w:rFonts w:cstheme="minorHAnsi"/>
                <w:bCs/>
                <w:color w:val="FFFFFF" w:themeColor="background1"/>
                <w:sz w:val="20"/>
                <w:vertAlign w:val="subscript"/>
              </w:rPr>
              <w:t>2</w:t>
            </w:r>
            <w:r w:rsidRPr="00E92C26">
              <w:rPr>
                <w:rFonts w:cstheme="minorHAnsi"/>
                <w:bCs/>
                <w:color w:val="FFFFFF" w:themeColor="background1"/>
                <w:sz w:val="20"/>
              </w:rPr>
              <w:t>e / yr)</w:t>
            </w:r>
          </w:p>
        </w:tc>
        <w:tc>
          <w:tcPr>
            <w:tcW w:w="2760" w:type="dxa"/>
            <w:shd w:val="clear" w:color="auto" w:fill="4F81BD" w:themeFill="accent1"/>
            <w:hideMark/>
          </w:tcPr>
          <w:p w14:paraId="4D4D4A77" w14:textId="0DE050FD" w:rsidR="000D1C03" w:rsidRPr="00E92C26" w:rsidRDefault="000D1C03" w:rsidP="00E92C26">
            <w:pPr>
              <w:spacing w:after="0"/>
              <w:jc w:val="left"/>
              <w:rPr>
                <w:rFonts w:cstheme="minorHAnsi"/>
                <w:bCs/>
                <w:color w:val="FFFFFF" w:themeColor="background1"/>
                <w:sz w:val="20"/>
              </w:rPr>
            </w:pPr>
            <w:r w:rsidRPr="00E92C26">
              <w:rPr>
                <w:rFonts w:cstheme="minorHAnsi"/>
                <w:bCs/>
                <w:color w:val="FFFFFF" w:themeColor="background1"/>
                <w:sz w:val="20"/>
              </w:rPr>
              <w:t xml:space="preserve">Total </w:t>
            </w:r>
            <w:r>
              <w:rPr>
                <w:rFonts w:cstheme="minorHAnsi"/>
                <w:bCs/>
                <w:color w:val="FFFFFF" w:themeColor="background1"/>
                <w:sz w:val="20"/>
              </w:rPr>
              <w:t xml:space="preserve">Sequestration </w:t>
            </w:r>
            <w:r w:rsidRPr="00E92C26">
              <w:rPr>
                <w:rFonts w:cstheme="minorHAnsi"/>
                <w:bCs/>
                <w:color w:val="FFFFFF" w:themeColor="background1"/>
                <w:sz w:val="20"/>
              </w:rPr>
              <w:t>2020-2050</w:t>
            </w:r>
          </w:p>
          <w:p w14:paraId="0F903206" w14:textId="718FA5F7" w:rsidR="000D1C03" w:rsidRPr="00E92C26" w:rsidRDefault="000D1C03" w:rsidP="00E92C26">
            <w:pPr>
              <w:spacing w:after="0"/>
              <w:jc w:val="left"/>
              <w:rPr>
                <w:rFonts w:cstheme="minorHAnsi"/>
                <w:bCs/>
                <w:color w:val="FFFFFF" w:themeColor="background1"/>
                <w:sz w:val="20"/>
              </w:rPr>
            </w:pPr>
            <w:r w:rsidRPr="00E92C26">
              <w:rPr>
                <w:rFonts w:cstheme="minorHAnsi"/>
                <w:bCs/>
                <w:color w:val="FFFFFF" w:themeColor="background1"/>
                <w:sz w:val="20"/>
              </w:rPr>
              <w:t>(Gt CO</w:t>
            </w:r>
            <w:r w:rsidRPr="00E92C26">
              <w:rPr>
                <w:rFonts w:cstheme="minorHAnsi"/>
                <w:bCs/>
                <w:color w:val="FFFFFF" w:themeColor="background1"/>
                <w:sz w:val="20"/>
                <w:vertAlign w:val="subscript"/>
              </w:rPr>
              <w:t>2</w:t>
            </w:r>
            <w:r w:rsidRPr="00E92C26">
              <w:rPr>
                <w:rFonts w:cstheme="minorHAnsi"/>
                <w:bCs/>
                <w:color w:val="FFFFFF" w:themeColor="background1"/>
                <w:sz w:val="20"/>
              </w:rPr>
              <w:t>e</w:t>
            </w:r>
            <w:r>
              <w:rPr>
                <w:rFonts w:cstheme="minorHAnsi"/>
                <w:bCs/>
                <w:color w:val="FFFFFF" w:themeColor="background1"/>
                <w:sz w:val="20"/>
              </w:rPr>
              <w:t>)</w:t>
            </w:r>
          </w:p>
        </w:tc>
      </w:tr>
      <w:tr w:rsidR="000D1C03" w:rsidRPr="00BC11C5" w14:paraId="17846AAB" w14:textId="77777777" w:rsidTr="00863C91">
        <w:trPr>
          <w:trHeight w:val="285"/>
        </w:trPr>
        <w:tc>
          <w:tcPr>
            <w:tcW w:w="985" w:type="dxa"/>
          </w:tcPr>
          <w:p w14:paraId="0107630F" w14:textId="3947D381" w:rsidR="000D1C03" w:rsidRPr="00E92C26" w:rsidRDefault="000D1C03" w:rsidP="00E92C26">
            <w:pPr>
              <w:spacing w:after="0"/>
              <w:jc w:val="left"/>
              <w:rPr>
                <w:rFonts w:cstheme="minorHAnsi"/>
                <w:b/>
                <w:bCs/>
                <w:sz w:val="20"/>
              </w:rPr>
            </w:pPr>
            <w:r>
              <w:rPr>
                <w:rFonts w:cstheme="minorHAnsi"/>
                <w:b/>
                <w:bCs/>
                <w:sz w:val="20"/>
              </w:rPr>
              <w:t>PDS1</w:t>
            </w:r>
          </w:p>
        </w:tc>
        <w:tc>
          <w:tcPr>
            <w:tcW w:w="2760" w:type="dxa"/>
            <w:noWrap/>
          </w:tcPr>
          <w:p w14:paraId="136FD672" w14:textId="1389D255" w:rsidR="000D1C03" w:rsidRPr="00E92C26" w:rsidRDefault="000D1C03" w:rsidP="00E92C26">
            <w:pPr>
              <w:spacing w:after="0"/>
              <w:jc w:val="left"/>
              <w:rPr>
                <w:rFonts w:cstheme="minorHAnsi"/>
                <w:bCs/>
                <w:sz w:val="20"/>
              </w:rPr>
            </w:pPr>
            <w:r w:rsidRPr="00E92C26">
              <w:rPr>
                <w:sz w:val="20"/>
              </w:rPr>
              <w:t>0.</w:t>
            </w:r>
            <w:r>
              <w:rPr>
                <w:sz w:val="20"/>
              </w:rPr>
              <w:t>13</w:t>
            </w:r>
          </w:p>
        </w:tc>
        <w:tc>
          <w:tcPr>
            <w:tcW w:w="2760" w:type="dxa"/>
            <w:noWrap/>
          </w:tcPr>
          <w:p w14:paraId="44829C65" w14:textId="2956D1E2" w:rsidR="000D1C03" w:rsidRPr="00E92C26" w:rsidRDefault="000D1C03" w:rsidP="00E92C26">
            <w:pPr>
              <w:spacing w:after="0"/>
              <w:jc w:val="left"/>
              <w:rPr>
                <w:rFonts w:cstheme="minorHAnsi"/>
                <w:bCs/>
                <w:sz w:val="20"/>
              </w:rPr>
            </w:pPr>
            <w:r>
              <w:rPr>
                <w:sz w:val="20"/>
              </w:rPr>
              <w:t>0.13</w:t>
            </w:r>
          </w:p>
        </w:tc>
        <w:tc>
          <w:tcPr>
            <w:tcW w:w="2760" w:type="dxa"/>
            <w:noWrap/>
          </w:tcPr>
          <w:p w14:paraId="55CFD666" w14:textId="02BE9E20" w:rsidR="000D1C03" w:rsidRPr="00E92C26" w:rsidRDefault="000D1C03" w:rsidP="00E92C26">
            <w:pPr>
              <w:spacing w:after="0"/>
              <w:jc w:val="left"/>
              <w:rPr>
                <w:rFonts w:cstheme="minorHAnsi"/>
                <w:bCs/>
                <w:sz w:val="20"/>
              </w:rPr>
            </w:pPr>
            <w:r>
              <w:rPr>
                <w:sz w:val="20"/>
              </w:rPr>
              <w:t>1.36</w:t>
            </w:r>
          </w:p>
        </w:tc>
      </w:tr>
      <w:tr w:rsidR="000D1C03" w:rsidRPr="00BC11C5" w14:paraId="370261AE" w14:textId="77777777" w:rsidTr="00863C91">
        <w:trPr>
          <w:trHeight w:val="285"/>
        </w:trPr>
        <w:tc>
          <w:tcPr>
            <w:tcW w:w="985" w:type="dxa"/>
          </w:tcPr>
          <w:p w14:paraId="10350A96" w14:textId="65C4EEFD" w:rsidR="000D1C03" w:rsidRPr="00E92C26" w:rsidRDefault="000D1C03" w:rsidP="00E92C26">
            <w:pPr>
              <w:spacing w:after="0"/>
              <w:jc w:val="left"/>
              <w:rPr>
                <w:rFonts w:cstheme="minorHAnsi"/>
                <w:b/>
                <w:bCs/>
                <w:sz w:val="20"/>
              </w:rPr>
            </w:pPr>
            <w:r>
              <w:rPr>
                <w:rFonts w:cstheme="minorHAnsi"/>
                <w:b/>
                <w:bCs/>
                <w:sz w:val="20"/>
              </w:rPr>
              <w:t>PDS2</w:t>
            </w:r>
          </w:p>
        </w:tc>
        <w:tc>
          <w:tcPr>
            <w:tcW w:w="2760" w:type="dxa"/>
            <w:noWrap/>
          </w:tcPr>
          <w:p w14:paraId="5DE3DDAE" w14:textId="4F11570C" w:rsidR="000D1C03" w:rsidRPr="00E92C26" w:rsidRDefault="000D1C03" w:rsidP="00E92C26">
            <w:pPr>
              <w:spacing w:after="0"/>
              <w:jc w:val="left"/>
              <w:rPr>
                <w:rFonts w:cstheme="minorHAnsi"/>
                <w:bCs/>
                <w:sz w:val="20"/>
              </w:rPr>
            </w:pPr>
            <w:r w:rsidRPr="00E92C26">
              <w:rPr>
                <w:sz w:val="20"/>
              </w:rPr>
              <w:t>0.</w:t>
            </w:r>
            <w:r>
              <w:rPr>
                <w:sz w:val="20"/>
              </w:rPr>
              <w:t>24</w:t>
            </w:r>
          </w:p>
        </w:tc>
        <w:tc>
          <w:tcPr>
            <w:tcW w:w="2760" w:type="dxa"/>
            <w:noWrap/>
          </w:tcPr>
          <w:p w14:paraId="09BC371A" w14:textId="674550DB" w:rsidR="000D1C03" w:rsidRPr="00E92C26" w:rsidRDefault="000D1C03" w:rsidP="00E92C26">
            <w:pPr>
              <w:spacing w:after="0"/>
              <w:jc w:val="left"/>
              <w:rPr>
                <w:rFonts w:cstheme="minorHAnsi"/>
                <w:bCs/>
                <w:sz w:val="20"/>
              </w:rPr>
            </w:pPr>
            <w:r w:rsidRPr="00E92C26">
              <w:rPr>
                <w:sz w:val="20"/>
              </w:rPr>
              <w:t>0.</w:t>
            </w:r>
            <w:r>
              <w:rPr>
                <w:sz w:val="20"/>
              </w:rPr>
              <w:t>24</w:t>
            </w:r>
          </w:p>
        </w:tc>
        <w:tc>
          <w:tcPr>
            <w:tcW w:w="2760" w:type="dxa"/>
            <w:noWrap/>
          </w:tcPr>
          <w:p w14:paraId="67F7D4B1" w14:textId="693BD82B" w:rsidR="000D1C03" w:rsidRPr="00E92C26" w:rsidRDefault="00FE6034" w:rsidP="00E92C26">
            <w:pPr>
              <w:spacing w:after="0"/>
              <w:jc w:val="left"/>
              <w:rPr>
                <w:rFonts w:cstheme="minorHAnsi"/>
                <w:bCs/>
                <w:sz w:val="20"/>
              </w:rPr>
            </w:pPr>
            <w:r>
              <w:rPr>
                <w:sz w:val="20"/>
              </w:rPr>
              <w:t>3.00</w:t>
            </w:r>
          </w:p>
        </w:tc>
      </w:tr>
      <w:tr w:rsidR="000D1C03" w:rsidRPr="00BC11C5" w14:paraId="1E430640" w14:textId="77777777" w:rsidTr="00863C91">
        <w:trPr>
          <w:trHeight w:val="285"/>
        </w:trPr>
        <w:tc>
          <w:tcPr>
            <w:tcW w:w="985" w:type="dxa"/>
          </w:tcPr>
          <w:p w14:paraId="2CAC254F" w14:textId="37E0D811" w:rsidR="000D1C03" w:rsidRPr="00E92C26" w:rsidRDefault="000D1C03" w:rsidP="00E92C26">
            <w:pPr>
              <w:spacing w:after="0"/>
              <w:jc w:val="left"/>
              <w:rPr>
                <w:rFonts w:cstheme="minorHAnsi"/>
                <w:b/>
                <w:bCs/>
                <w:sz w:val="20"/>
              </w:rPr>
            </w:pPr>
            <w:r>
              <w:rPr>
                <w:rFonts w:cstheme="minorHAnsi"/>
                <w:b/>
                <w:bCs/>
                <w:sz w:val="20"/>
              </w:rPr>
              <w:t>PDS3</w:t>
            </w:r>
          </w:p>
        </w:tc>
        <w:tc>
          <w:tcPr>
            <w:tcW w:w="2760" w:type="dxa"/>
            <w:noWrap/>
            <w:hideMark/>
          </w:tcPr>
          <w:p w14:paraId="55A33400" w14:textId="47CDD3F9" w:rsidR="000D1C03" w:rsidRPr="00E92C26" w:rsidRDefault="00FE6034" w:rsidP="00E92C26">
            <w:pPr>
              <w:spacing w:after="0"/>
              <w:jc w:val="left"/>
              <w:rPr>
                <w:rFonts w:cstheme="minorHAnsi"/>
                <w:bCs/>
                <w:sz w:val="20"/>
              </w:rPr>
            </w:pPr>
            <w:r>
              <w:rPr>
                <w:rFonts w:cstheme="minorHAnsi"/>
                <w:bCs/>
                <w:sz w:val="20"/>
              </w:rPr>
              <w:t>0.30</w:t>
            </w:r>
          </w:p>
        </w:tc>
        <w:tc>
          <w:tcPr>
            <w:tcW w:w="2760" w:type="dxa"/>
            <w:noWrap/>
            <w:hideMark/>
          </w:tcPr>
          <w:p w14:paraId="710ED37E" w14:textId="3E49E274" w:rsidR="000D1C03" w:rsidRPr="00E92C26" w:rsidRDefault="000D1C03" w:rsidP="00E92C26">
            <w:pPr>
              <w:spacing w:after="0"/>
              <w:jc w:val="left"/>
              <w:rPr>
                <w:rFonts w:cstheme="minorHAnsi"/>
                <w:bCs/>
                <w:sz w:val="20"/>
              </w:rPr>
            </w:pPr>
            <w:r w:rsidRPr="00E92C26">
              <w:rPr>
                <w:rFonts w:cstheme="minorHAnsi"/>
                <w:bCs/>
                <w:sz w:val="20"/>
              </w:rPr>
              <w:t>0.</w:t>
            </w:r>
            <w:r w:rsidR="00FE6034">
              <w:rPr>
                <w:rFonts w:cstheme="minorHAnsi"/>
                <w:bCs/>
                <w:sz w:val="20"/>
              </w:rPr>
              <w:t>30</w:t>
            </w:r>
          </w:p>
        </w:tc>
        <w:tc>
          <w:tcPr>
            <w:tcW w:w="2760" w:type="dxa"/>
            <w:noWrap/>
            <w:hideMark/>
          </w:tcPr>
          <w:p w14:paraId="55255345" w14:textId="338164AB" w:rsidR="000D1C03" w:rsidRPr="00E92C26" w:rsidRDefault="00FE6034" w:rsidP="00E92C26">
            <w:pPr>
              <w:spacing w:after="0"/>
              <w:jc w:val="left"/>
              <w:rPr>
                <w:rFonts w:cstheme="minorHAnsi"/>
                <w:bCs/>
                <w:sz w:val="20"/>
              </w:rPr>
            </w:pPr>
            <w:r>
              <w:rPr>
                <w:rFonts w:cstheme="minorHAnsi"/>
                <w:bCs/>
                <w:sz w:val="20"/>
              </w:rPr>
              <w:t>4.73</w:t>
            </w:r>
          </w:p>
        </w:tc>
      </w:tr>
    </w:tbl>
    <w:p w14:paraId="52E48BE0" w14:textId="77777777" w:rsidR="00B261E0" w:rsidRPr="00BC11C5" w:rsidRDefault="00B261E0" w:rsidP="00EB247F">
      <w:pPr>
        <w:spacing w:after="0"/>
        <w:rPr>
          <w:rFonts w:cstheme="minorHAnsi"/>
          <w:b/>
          <w:bCs/>
          <w:i/>
        </w:rPr>
      </w:pPr>
    </w:p>
    <w:p w14:paraId="524B77BF" w14:textId="09035659" w:rsidR="00762877" w:rsidRPr="00BC11C5" w:rsidRDefault="00E92C26" w:rsidP="00E92C26">
      <w:pPr>
        <w:pStyle w:val="Caption"/>
        <w:rPr>
          <w:rFonts w:eastAsia="Times New Roman" w:cs="Times New Roman"/>
          <w:sz w:val="24"/>
          <w:szCs w:val="24"/>
          <w:lang w:eastAsia="zh-CN"/>
        </w:rPr>
      </w:pPr>
      <w:bookmarkStart w:id="68" w:name="_Toc524993443"/>
      <w:bookmarkStart w:id="69" w:name="_Toc526981332"/>
      <w:bookmarkStart w:id="70" w:name="_Toc66286418"/>
      <w:bookmarkStart w:id="71" w:name="_Toc66286810"/>
      <w:r>
        <w:lastRenderedPageBreak/>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10</w:t>
      </w:r>
      <w:r w:rsidR="004F1E38">
        <w:rPr>
          <w:noProof/>
        </w:rPr>
        <w:fldChar w:fldCharType="end"/>
      </w:r>
      <w:r>
        <w:t>: Impacts on atmospheric c</w:t>
      </w:r>
      <w:r w:rsidR="003A7929" w:rsidRPr="00BC11C5">
        <w:t>oncentrations of CO</w:t>
      </w:r>
      <w:r w:rsidR="003A7929" w:rsidRPr="00BC11C5">
        <w:rPr>
          <w:vertAlign w:val="subscript"/>
        </w:rPr>
        <w:t>2</w:t>
      </w:r>
      <w:r w:rsidR="003A7929" w:rsidRPr="00BC11C5">
        <w:t>-e</w:t>
      </w:r>
      <w:bookmarkEnd w:id="68"/>
      <w:bookmarkEnd w:id="69"/>
      <w:bookmarkEnd w:id="70"/>
      <w:bookmarkEnd w:id="71"/>
    </w:p>
    <w:tbl>
      <w:tblPr>
        <w:tblW w:w="9281" w:type="dxa"/>
        <w:jc w:val="center"/>
        <w:tblCellMar>
          <w:top w:w="15" w:type="dxa"/>
          <w:left w:w="15" w:type="dxa"/>
          <w:bottom w:w="15" w:type="dxa"/>
          <w:right w:w="15" w:type="dxa"/>
        </w:tblCellMar>
        <w:tblLook w:val="04A0" w:firstRow="1" w:lastRow="0" w:firstColumn="1" w:lastColumn="0" w:noHBand="0" w:noVBand="1"/>
      </w:tblPr>
      <w:tblGrid>
        <w:gridCol w:w="1062"/>
        <w:gridCol w:w="3735"/>
        <w:gridCol w:w="4484"/>
      </w:tblGrid>
      <w:tr w:rsidR="003A7929" w:rsidRPr="00BC11C5"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BC11C5" w:rsidRDefault="003A7929" w:rsidP="00AD4CF8">
            <w:pPr>
              <w:spacing w:line="240" w:lineRule="auto"/>
              <w:jc w:val="center"/>
              <w:rPr>
                <w:rFonts w:cstheme="minorHAnsi"/>
                <w:b/>
                <w:bCs/>
                <w:color w:val="FFFFFF" w:themeColor="background1"/>
                <w:sz w:val="20"/>
                <w:szCs w:val="20"/>
                <w:lang w:eastAsia="zh-CN"/>
              </w:rPr>
            </w:pPr>
            <w:r w:rsidRPr="00BC11C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BC11C5" w:rsidRDefault="003A7929" w:rsidP="00AD4CF8">
            <w:pPr>
              <w:spacing w:line="240" w:lineRule="auto"/>
              <w:jc w:val="center"/>
              <w:rPr>
                <w:rFonts w:cstheme="minorHAnsi"/>
                <w:b/>
                <w:bCs/>
                <w:color w:val="FFFFFF" w:themeColor="background1"/>
                <w:sz w:val="20"/>
                <w:szCs w:val="20"/>
                <w:lang w:eastAsia="zh-CN"/>
              </w:rPr>
            </w:pPr>
            <w:r w:rsidRPr="00BC11C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BC11C5" w:rsidRDefault="003A7929" w:rsidP="00AD4CF8">
            <w:pPr>
              <w:spacing w:line="240" w:lineRule="auto"/>
              <w:jc w:val="center"/>
              <w:rPr>
                <w:rFonts w:cstheme="minorHAnsi"/>
                <w:b/>
                <w:bCs/>
                <w:color w:val="FFFFFF" w:themeColor="background1"/>
                <w:sz w:val="20"/>
                <w:szCs w:val="20"/>
                <w:lang w:eastAsia="zh-CN"/>
              </w:rPr>
            </w:pPr>
            <w:r w:rsidRPr="00BC11C5">
              <w:rPr>
                <w:rFonts w:cstheme="minorHAnsi"/>
                <w:b/>
                <w:bCs/>
                <w:color w:val="FFFFFF" w:themeColor="background1"/>
                <w:sz w:val="20"/>
                <w:szCs w:val="20"/>
                <w:lang w:eastAsia="zh-CN"/>
              </w:rPr>
              <w:t>GHG Concentration Rate of Change in 2050</w:t>
            </w:r>
          </w:p>
        </w:tc>
      </w:tr>
      <w:tr w:rsidR="003A7929" w:rsidRPr="00BC11C5"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BC11C5"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160CC1A0" w:rsidR="003A7929" w:rsidRPr="00BC11C5" w:rsidRDefault="003A7929" w:rsidP="00AD4CF8">
            <w:pPr>
              <w:spacing w:line="240" w:lineRule="auto"/>
              <w:jc w:val="center"/>
              <w:rPr>
                <w:rFonts w:cstheme="minorHAnsi"/>
                <w:bCs/>
                <w:i/>
                <w:color w:val="FFFFFF" w:themeColor="background1"/>
                <w:sz w:val="20"/>
                <w:szCs w:val="20"/>
                <w:lang w:eastAsia="zh-CN"/>
              </w:rPr>
            </w:pPr>
            <w:r w:rsidRPr="00BC11C5">
              <w:rPr>
                <w:rFonts w:cstheme="minorHAnsi"/>
                <w:bCs/>
                <w:i/>
                <w:color w:val="FFFFFF" w:themeColor="background1"/>
                <w:sz w:val="20"/>
                <w:szCs w:val="20"/>
                <w:lang w:eastAsia="zh-CN"/>
              </w:rPr>
              <w:t>PPM CO</w:t>
            </w:r>
            <w:r w:rsidRPr="00BC11C5">
              <w:rPr>
                <w:rFonts w:cstheme="minorHAnsi"/>
                <w:bCs/>
                <w:i/>
                <w:color w:val="FFFFFF" w:themeColor="background1"/>
                <w:sz w:val="20"/>
                <w:szCs w:val="20"/>
                <w:vertAlign w:val="subscript"/>
                <w:lang w:eastAsia="zh-CN"/>
              </w:rPr>
              <w:t>2</w:t>
            </w:r>
            <w:r w:rsidR="00E92C26">
              <w:rPr>
                <w:rFonts w:cstheme="minorHAnsi"/>
                <w:bCs/>
                <w:i/>
                <w:color w:val="FFFFFF" w:themeColor="background1"/>
                <w:sz w:val="20"/>
                <w:szCs w:val="20"/>
                <w:lang w:eastAsia="zh-CN"/>
              </w:rPr>
              <w:t>-e</w:t>
            </w:r>
            <w:r w:rsidRPr="00BC11C5">
              <w:rPr>
                <w:rFonts w:cstheme="minorHAnsi"/>
                <w:bCs/>
                <w:i/>
                <w:color w:val="FFFFFF" w:themeColor="background1"/>
                <w:sz w:val="20"/>
                <w:szCs w:val="20"/>
                <w:lang w:eastAsia="zh-CN"/>
              </w:rPr>
              <w:t xml:space="preserve">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3EF1898E" w:rsidR="003A7929" w:rsidRPr="00BC11C5" w:rsidRDefault="003A7929" w:rsidP="00AD4CF8">
            <w:pPr>
              <w:spacing w:line="240" w:lineRule="auto"/>
              <w:jc w:val="center"/>
              <w:rPr>
                <w:rFonts w:cstheme="minorHAnsi"/>
                <w:bCs/>
                <w:i/>
                <w:color w:val="FFFFFF" w:themeColor="background1"/>
                <w:sz w:val="20"/>
                <w:szCs w:val="20"/>
                <w:lang w:eastAsia="zh-CN"/>
              </w:rPr>
            </w:pPr>
            <w:r w:rsidRPr="00BC11C5">
              <w:rPr>
                <w:rFonts w:cstheme="minorHAnsi"/>
                <w:bCs/>
                <w:i/>
                <w:color w:val="FFFFFF" w:themeColor="background1"/>
                <w:sz w:val="20"/>
                <w:szCs w:val="20"/>
                <w:lang w:eastAsia="zh-CN"/>
              </w:rPr>
              <w:t>PPM CO</w:t>
            </w:r>
            <w:r w:rsidRPr="00BC11C5">
              <w:rPr>
                <w:rFonts w:cstheme="minorHAnsi"/>
                <w:bCs/>
                <w:i/>
                <w:color w:val="FFFFFF" w:themeColor="background1"/>
                <w:sz w:val="20"/>
                <w:szCs w:val="20"/>
                <w:vertAlign w:val="subscript"/>
                <w:lang w:eastAsia="zh-CN"/>
              </w:rPr>
              <w:t>2</w:t>
            </w:r>
            <w:r w:rsidR="00E92C26">
              <w:rPr>
                <w:rFonts w:cstheme="minorHAnsi"/>
                <w:bCs/>
                <w:i/>
                <w:color w:val="FFFFFF" w:themeColor="background1"/>
                <w:sz w:val="20"/>
                <w:szCs w:val="20"/>
                <w:lang w:eastAsia="zh-CN"/>
              </w:rPr>
              <w:t>-e</w:t>
            </w:r>
            <w:r w:rsidRPr="00BC11C5">
              <w:rPr>
                <w:rFonts w:cstheme="minorHAnsi"/>
                <w:bCs/>
                <w:i/>
                <w:color w:val="FFFFFF" w:themeColor="background1"/>
                <w:sz w:val="20"/>
                <w:szCs w:val="20"/>
                <w:lang w:eastAsia="zh-CN"/>
              </w:rPr>
              <w:t xml:space="preserve"> change from 2049-2050</w:t>
            </w:r>
          </w:p>
        </w:tc>
      </w:tr>
      <w:tr w:rsidR="00F867A3" w:rsidRPr="00BC11C5"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05FFB683" w:rsidR="00F867A3" w:rsidRPr="00BC11C5" w:rsidRDefault="00FE6034" w:rsidP="00FE6034">
            <w:pPr>
              <w:shd w:val="clear" w:color="auto" w:fill="FFFFFF" w:themeFill="background1"/>
              <w:spacing w:after="0" w:line="240" w:lineRule="auto"/>
              <w:jc w:val="center"/>
              <w:rPr>
                <w:color w:val="000000" w:themeColor="text1"/>
                <w:sz w:val="20"/>
                <w:szCs w:val="20"/>
                <w:lang w:eastAsia="zh-CN"/>
              </w:rPr>
            </w:pPr>
            <w:r w:rsidRPr="00BC11C5">
              <w:rPr>
                <w:b/>
                <w:bCs/>
                <w:color w:val="000000" w:themeColor="text1"/>
                <w:sz w:val="20"/>
                <w:szCs w:val="20"/>
                <w:lang w:eastAsia="zh-CN"/>
              </w:rPr>
              <w:t>P</w:t>
            </w:r>
            <w:r>
              <w:rPr>
                <w:b/>
                <w:bCs/>
                <w:color w:val="000000" w:themeColor="text1"/>
                <w:sz w:val="20"/>
                <w:szCs w:val="20"/>
                <w:lang w:eastAsia="zh-CN"/>
              </w:rPr>
              <w:t>DS1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3E097085" w:rsidR="00F867A3" w:rsidRPr="00BC11C5" w:rsidRDefault="00F867A3" w:rsidP="00FE6034">
            <w:pPr>
              <w:shd w:val="clear" w:color="auto" w:fill="FFFFFF"/>
              <w:spacing w:after="0" w:line="240" w:lineRule="auto"/>
              <w:jc w:val="center"/>
              <w:rPr>
                <w:rFonts w:eastAsia="Times New Roman" w:cstheme="minorHAnsi"/>
                <w:color w:val="000000" w:themeColor="text1"/>
                <w:sz w:val="20"/>
                <w:szCs w:val="20"/>
                <w:lang w:eastAsia="zh-CN"/>
              </w:rPr>
            </w:pPr>
            <w:r w:rsidRPr="00BC11C5">
              <w:t>0.</w:t>
            </w:r>
            <w:r w:rsidR="00FE6034">
              <w:t>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0B2E6940" w:rsidR="00F867A3" w:rsidRPr="00BC11C5" w:rsidRDefault="00F867A3" w:rsidP="00F867A3">
            <w:pPr>
              <w:shd w:val="clear" w:color="auto" w:fill="FFFFFF"/>
              <w:spacing w:after="0" w:line="240" w:lineRule="auto"/>
              <w:jc w:val="center"/>
              <w:rPr>
                <w:rFonts w:eastAsia="Times New Roman" w:cstheme="minorHAnsi"/>
                <w:color w:val="000000" w:themeColor="text1"/>
                <w:sz w:val="20"/>
                <w:szCs w:val="20"/>
                <w:lang w:eastAsia="zh-CN"/>
              </w:rPr>
            </w:pPr>
            <w:r w:rsidRPr="00BC11C5">
              <w:t>0.0</w:t>
            </w:r>
            <w:r w:rsidR="00FE6034">
              <w:t>1</w:t>
            </w:r>
          </w:p>
        </w:tc>
      </w:tr>
      <w:tr w:rsidR="00F867A3" w:rsidRPr="00BC11C5"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0E8861F1" w:rsidR="00F867A3" w:rsidRPr="00BC11C5" w:rsidRDefault="00FE6034" w:rsidP="00F867A3">
            <w:pPr>
              <w:shd w:val="clear" w:color="auto" w:fill="FFFFFF" w:themeFill="background1"/>
              <w:spacing w:after="0" w:line="240" w:lineRule="auto"/>
              <w:jc w:val="center"/>
              <w:rPr>
                <w:color w:val="000000" w:themeColor="text1"/>
                <w:sz w:val="20"/>
                <w:szCs w:val="20"/>
                <w:lang w:eastAsia="zh-CN"/>
              </w:rPr>
            </w:pPr>
            <w:r>
              <w:rPr>
                <w:b/>
                <w:bCs/>
                <w:color w:val="000000" w:themeColor="text1"/>
                <w:sz w:val="20"/>
                <w:szCs w:val="20"/>
                <w:lang w:eastAsia="zh-CN"/>
              </w:rPr>
              <w:t>PDS2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21221C0A" w:rsidR="00F867A3" w:rsidRPr="00BC11C5" w:rsidRDefault="00F867A3" w:rsidP="00F867A3">
            <w:pPr>
              <w:shd w:val="clear" w:color="auto" w:fill="FFFFFF"/>
              <w:spacing w:after="0" w:line="240" w:lineRule="auto"/>
              <w:jc w:val="center"/>
              <w:rPr>
                <w:rFonts w:eastAsia="Times New Roman" w:cstheme="minorHAnsi"/>
                <w:color w:val="000000" w:themeColor="text1"/>
                <w:sz w:val="20"/>
                <w:szCs w:val="20"/>
                <w:lang w:eastAsia="zh-CN"/>
              </w:rPr>
            </w:pPr>
            <w:r w:rsidRPr="00BC11C5">
              <w:t>0.</w:t>
            </w:r>
            <w:r w:rsidR="00FE6034">
              <w:t>26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349A7C08" w:rsidR="00F867A3" w:rsidRPr="00BC11C5" w:rsidRDefault="00F867A3" w:rsidP="00F867A3">
            <w:pPr>
              <w:shd w:val="clear" w:color="auto" w:fill="FFFFFF"/>
              <w:spacing w:after="0" w:line="240" w:lineRule="auto"/>
              <w:jc w:val="center"/>
              <w:rPr>
                <w:rFonts w:eastAsia="Times New Roman" w:cstheme="minorHAnsi"/>
                <w:color w:val="000000" w:themeColor="text1"/>
                <w:sz w:val="20"/>
                <w:szCs w:val="20"/>
                <w:lang w:eastAsia="zh-CN"/>
              </w:rPr>
            </w:pPr>
            <w:r w:rsidRPr="00BC11C5">
              <w:t>0.0</w:t>
            </w:r>
            <w:r w:rsidR="00FE6034">
              <w:t>2</w:t>
            </w:r>
          </w:p>
        </w:tc>
      </w:tr>
      <w:tr w:rsidR="00F867A3" w:rsidRPr="00BC11C5"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259514ED" w:rsidR="00F867A3" w:rsidRPr="00BC11C5" w:rsidRDefault="00FE6034" w:rsidP="00F867A3">
            <w:pPr>
              <w:shd w:val="clear" w:color="auto" w:fill="FFFFFF" w:themeFill="background1"/>
              <w:spacing w:after="0" w:line="240" w:lineRule="auto"/>
              <w:jc w:val="center"/>
              <w:rPr>
                <w:color w:val="000000" w:themeColor="text1"/>
                <w:sz w:val="20"/>
                <w:szCs w:val="20"/>
                <w:lang w:eastAsia="zh-CN"/>
              </w:rPr>
            </w:pPr>
            <w:r>
              <w:rPr>
                <w:b/>
                <w:bCs/>
                <w:color w:val="000000" w:themeColor="text1"/>
                <w:sz w:val="20"/>
                <w:szCs w:val="20"/>
                <w:lang w:eastAsia="zh-CN"/>
              </w:rPr>
              <w:t>PDS3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3508FA7" w:rsidR="00F867A3" w:rsidRPr="00BC11C5" w:rsidRDefault="00F867A3" w:rsidP="00F867A3">
            <w:pPr>
              <w:shd w:val="clear" w:color="auto" w:fill="FFFFFF"/>
              <w:spacing w:after="0" w:line="240" w:lineRule="auto"/>
              <w:jc w:val="center"/>
              <w:rPr>
                <w:rFonts w:eastAsia="Times New Roman" w:cstheme="minorHAnsi"/>
                <w:color w:val="000000" w:themeColor="text1"/>
                <w:sz w:val="20"/>
                <w:szCs w:val="20"/>
                <w:lang w:eastAsia="zh-CN"/>
              </w:rPr>
            </w:pPr>
            <w:r w:rsidRPr="00BC11C5">
              <w:t>0.</w:t>
            </w:r>
            <w:r w:rsidR="00FE6034">
              <w:t>40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24A3E56B" w:rsidR="00F867A3" w:rsidRPr="00BC11C5" w:rsidRDefault="00F867A3" w:rsidP="00F867A3">
            <w:pPr>
              <w:shd w:val="clear" w:color="auto" w:fill="FFFFFF"/>
              <w:spacing w:after="0" w:line="240" w:lineRule="auto"/>
              <w:jc w:val="center"/>
              <w:rPr>
                <w:rFonts w:eastAsia="Times New Roman" w:cstheme="minorHAnsi"/>
                <w:color w:val="000000" w:themeColor="text1"/>
                <w:sz w:val="20"/>
                <w:szCs w:val="20"/>
                <w:lang w:eastAsia="zh-CN"/>
              </w:rPr>
            </w:pPr>
            <w:r w:rsidRPr="00BC11C5">
              <w:t>0.0</w:t>
            </w:r>
            <w:r w:rsidR="00FE6034">
              <w:t>2</w:t>
            </w:r>
          </w:p>
        </w:tc>
      </w:tr>
    </w:tbl>
    <w:p w14:paraId="52077D33" w14:textId="77777777" w:rsidR="003A7FE2" w:rsidRPr="00BC11C5" w:rsidRDefault="003A7FE2" w:rsidP="00EB247F">
      <w:pPr>
        <w:pStyle w:val="Caption"/>
      </w:pPr>
    </w:p>
    <w:p w14:paraId="66EC2EBB" w14:textId="500D3397" w:rsidR="00B261E0" w:rsidRPr="00BC11C5" w:rsidRDefault="551A77D0" w:rsidP="00483FFA">
      <w:pPr>
        <w:pStyle w:val="Heading2"/>
        <w:numPr>
          <w:ilvl w:val="1"/>
          <w:numId w:val="26"/>
        </w:numPr>
      </w:pPr>
      <w:bookmarkStart w:id="72" w:name="_Toc68791454"/>
      <w:r w:rsidRPr="00BC11C5">
        <w:t>Financial Impacts</w:t>
      </w:r>
      <w:bookmarkEnd w:id="72"/>
    </w:p>
    <w:p w14:paraId="306213A7" w14:textId="77777777" w:rsidR="006B675D" w:rsidRPr="00BC11C5" w:rsidRDefault="006B675D" w:rsidP="006B675D">
      <w:r w:rsidRPr="00BC11C5">
        <w:t>Below are the financial results of the analysis for each scenario. For a detailed explanation of each result, please see the glossary.</w:t>
      </w:r>
    </w:p>
    <w:p w14:paraId="4F6C2C45" w14:textId="77777777" w:rsidR="00E14F94" w:rsidRPr="00BC11C5" w:rsidRDefault="00E14F94" w:rsidP="00EB247F">
      <w:pPr>
        <w:spacing w:after="0"/>
        <w:rPr>
          <w:bCs/>
          <w:i/>
        </w:rPr>
      </w:pPr>
    </w:p>
    <w:p w14:paraId="09347CCA" w14:textId="02327A5E" w:rsidR="00492F5E" w:rsidRPr="00BC11C5" w:rsidRDefault="00E92C26" w:rsidP="00E92C26">
      <w:pPr>
        <w:pStyle w:val="Caption"/>
        <w:rPr>
          <w:i w:val="0"/>
          <w:iCs w:val="0"/>
        </w:rPr>
      </w:pPr>
      <w:bookmarkStart w:id="73" w:name="_Toc526981333"/>
      <w:bookmarkStart w:id="74" w:name="_Toc66286419"/>
      <w:bookmarkStart w:id="75" w:name="_Toc66286811"/>
      <w:r>
        <w:t xml:space="preserve">Table </w:t>
      </w:r>
      <w:r w:rsidR="004F1E38">
        <w:rPr>
          <w:noProof/>
        </w:rPr>
        <w:fldChar w:fldCharType="begin"/>
      </w:r>
      <w:r w:rsidR="004F1E38">
        <w:rPr>
          <w:noProof/>
        </w:rPr>
        <w:instrText xml:space="preserve"> SEQ Table \* ARABIC </w:instrText>
      </w:r>
      <w:r w:rsidR="004F1E38">
        <w:rPr>
          <w:noProof/>
        </w:rPr>
        <w:fldChar w:fldCharType="separate"/>
      </w:r>
      <w:r w:rsidR="007C3F90">
        <w:rPr>
          <w:noProof/>
        </w:rPr>
        <w:t>11</w:t>
      </w:r>
      <w:r w:rsidR="004F1E38">
        <w:rPr>
          <w:noProof/>
        </w:rPr>
        <w:fldChar w:fldCharType="end"/>
      </w:r>
      <w:r>
        <w:t>:</w:t>
      </w:r>
      <w:r w:rsidR="00492F5E" w:rsidRPr="00BC11C5">
        <w:t xml:space="preserve"> Finan</w:t>
      </w:r>
      <w:r w:rsidR="005F3F2A">
        <w:t>cial result</w:t>
      </w:r>
      <w:r w:rsidR="00492F5E" w:rsidRPr="00BC11C5">
        <w:t>s</w:t>
      </w:r>
      <w:bookmarkEnd w:id="73"/>
      <w:bookmarkEnd w:id="74"/>
      <w:bookmarkEnd w:id="75"/>
    </w:p>
    <w:tbl>
      <w:tblPr>
        <w:tblW w:w="9260" w:type="dxa"/>
        <w:tblCellMar>
          <w:top w:w="15" w:type="dxa"/>
          <w:left w:w="15" w:type="dxa"/>
          <w:bottom w:w="15" w:type="dxa"/>
          <w:right w:w="15" w:type="dxa"/>
        </w:tblCellMar>
        <w:tblLook w:val="04A0" w:firstRow="1" w:lastRow="0" w:firstColumn="1" w:lastColumn="0" w:noHBand="0" w:noVBand="1"/>
      </w:tblPr>
      <w:tblGrid>
        <w:gridCol w:w="1145"/>
        <w:gridCol w:w="3165"/>
        <w:gridCol w:w="2700"/>
        <w:gridCol w:w="2250"/>
      </w:tblGrid>
      <w:tr w:rsidR="00F96FCA" w:rsidRPr="00BC11C5" w14:paraId="02CA9FB7" w14:textId="60656D78" w:rsidTr="00186830">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F96FCA" w:rsidRPr="00BC11C5" w:rsidRDefault="00F96FCA" w:rsidP="00AD4CF8">
            <w:pPr>
              <w:spacing w:after="0" w:line="240" w:lineRule="auto"/>
              <w:jc w:val="center"/>
              <w:rPr>
                <w:b/>
                <w:color w:val="FFFFFF" w:themeColor="background1"/>
                <w:sz w:val="20"/>
                <w:szCs w:val="20"/>
                <w:lang w:eastAsia="zh-CN"/>
              </w:rPr>
            </w:pPr>
            <w:r w:rsidRPr="00BC11C5">
              <w:rPr>
                <w:b/>
                <w:bCs/>
                <w:color w:val="FFFFFF" w:themeColor="background1"/>
                <w:sz w:val="20"/>
                <w:szCs w:val="20"/>
                <w:lang w:eastAsia="zh-CN"/>
              </w:rPr>
              <w:t>Scenario</w:t>
            </w:r>
          </w:p>
        </w:tc>
        <w:tc>
          <w:tcPr>
            <w:tcW w:w="31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F96FCA" w:rsidRPr="00BC11C5" w:rsidRDefault="00F96FCA" w:rsidP="00AD4CF8">
            <w:pPr>
              <w:spacing w:after="0" w:line="240" w:lineRule="auto"/>
              <w:jc w:val="center"/>
              <w:rPr>
                <w:b/>
                <w:color w:val="FFFFFF" w:themeColor="background1"/>
                <w:sz w:val="20"/>
                <w:szCs w:val="20"/>
                <w:lang w:eastAsia="zh-CN"/>
              </w:rPr>
            </w:pPr>
            <w:r w:rsidRPr="00BC11C5">
              <w:rPr>
                <w:b/>
                <w:bCs/>
                <w:color w:val="FFFFFF" w:themeColor="background1"/>
                <w:sz w:val="20"/>
                <w:szCs w:val="20"/>
                <w:lang w:eastAsia="zh-CN"/>
              </w:rPr>
              <w:t>Cumulative First Cost</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F96FCA" w:rsidRPr="00BC11C5" w:rsidRDefault="00F96FCA" w:rsidP="00AD4CF8">
            <w:pPr>
              <w:spacing w:after="0" w:line="240" w:lineRule="auto"/>
              <w:jc w:val="center"/>
              <w:rPr>
                <w:b/>
                <w:color w:val="FFFFFF" w:themeColor="background1"/>
                <w:sz w:val="20"/>
                <w:szCs w:val="20"/>
                <w:lang w:eastAsia="zh-CN"/>
              </w:rPr>
            </w:pPr>
            <w:r w:rsidRPr="00BC11C5">
              <w:rPr>
                <w:b/>
                <w:bCs/>
                <w:color w:val="FFFFFF" w:themeColor="background1"/>
                <w:sz w:val="20"/>
                <w:szCs w:val="20"/>
                <w:lang w:eastAsia="zh-CN"/>
              </w:rPr>
              <w:t>Marginal First Cost</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2E256EF5" w14:textId="383BD166" w:rsidR="00F96FCA" w:rsidRPr="00BC11C5" w:rsidRDefault="00186830" w:rsidP="00186830">
            <w:pPr>
              <w:spacing w:after="0" w:line="240" w:lineRule="auto"/>
              <w:jc w:val="center"/>
              <w:rPr>
                <w:b/>
                <w:bCs/>
                <w:color w:val="FFFFFF" w:themeColor="background1"/>
                <w:sz w:val="20"/>
                <w:szCs w:val="20"/>
                <w:lang w:eastAsia="zh-CN"/>
              </w:rPr>
            </w:pPr>
            <w:r>
              <w:rPr>
                <w:b/>
                <w:bCs/>
                <w:color w:val="FFFFFF" w:themeColor="background1"/>
                <w:sz w:val="20"/>
                <w:szCs w:val="20"/>
                <w:lang w:eastAsia="zh-CN"/>
              </w:rPr>
              <w:t>Average Abatement C</w:t>
            </w:r>
            <w:r w:rsidR="00F96FCA" w:rsidRPr="00BC11C5">
              <w:rPr>
                <w:b/>
                <w:bCs/>
                <w:color w:val="FFFFFF" w:themeColor="background1"/>
                <w:sz w:val="20"/>
                <w:szCs w:val="20"/>
                <w:lang w:eastAsia="zh-CN"/>
              </w:rPr>
              <w:t>ost</w:t>
            </w:r>
          </w:p>
        </w:tc>
      </w:tr>
      <w:tr w:rsidR="00F96FCA" w:rsidRPr="00BC11C5" w14:paraId="67FE449F" w14:textId="6D1E8917" w:rsidTr="00186830">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F96FCA" w:rsidRPr="00BC11C5" w:rsidRDefault="00F96FCA" w:rsidP="00AD4CF8">
            <w:pPr>
              <w:spacing w:after="0" w:line="240" w:lineRule="auto"/>
              <w:jc w:val="center"/>
              <w:rPr>
                <w:rFonts w:eastAsia="Times New Roman" w:cstheme="minorHAnsi"/>
                <w:b/>
                <w:color w:val="FFFFFF" w:themeColor="background1"/>
                <w:sz w:val="20"/>
                <w:szCs w:val="20"/>
                <w:lang w:eastAsia="zh-CN"/>
              </w:rPr>
            </w:pPr>
          </w:p>
        </w:tc>
        <w:tc>
          <w:tcPr>
            <w:tcW w:w="31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48F59879" w:rsidR="00F96FCA" w:rsidRPr="00BC11C5" w:rsidRDefault="00F96FCA" w:rsidP="00AD4CF8">
            <w:pPr>
              <w:spacing w:after="0" w:line="240" w:lineRule="auto"/>
              <w:jc w:val="center"/>
              <w:rPr>
                <w:i/>
                <w:color w:val="FFFFFF" w:themeColor="background1"/>
                <w:sz w:val="20"/>
                <w:szCs w:val="20"/>
                <w:lang w:eastAsia="zh-CN"/>
              </w:rPr>
            </w:pPr>
            <w:r w:rsidRPr="00BC11C5">
              <w:rPr>
                <w:i/>
                <w:color w:val="FFFFFF" w:themeColor="background1"/>
                <w:sz w:val="20"/>
                <w:szCs w:val="20"/>
                <w:lang w:eastAsia="zh-CN"/>
              </w:rPr>
              <w:t>2020-2050 Billion USD</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0FF77394" w:rsidR="00F96FCA" w:rsidRPr="00BC11C5" w:rsidRDefault="00F96FCA" w:rsidP="00AD4CF8">
            <w:pPr>
              <w:spacing w:after="0" w:line="240" w:lineRule="auto"/>
              <w:jc w:val="center"/>
              <w:rPr>
                <w:i/>
                <w:color w:val="FFFFFF" w:themeColor="background1"/>
                <w:sz w:val="20"/>
                <w:szCs w:val="20"/>
                <w:lang w:eastAsia="zh-CN"/>
              </w:rPr>
            </w:pPr>
            <w:r w:rsidRPr="00BC11C5">
              <w:rPr>
                <w:i/>
                <w:color w:val="FFFFFF" w:themeColor="background1"/>
                <w:sz w:val="20"/>
                <w:szCs w:val="20"/>
                <w:lang w:eastAsia="zh-CN"/>
              </w:rPr>
              <w:t>2020-2050 Billion USD</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77E1A43" w14:textId="018C39A7" w:rsidR="00F96FCA" w:rsidRPr="00BC11C5" w:rsidRDefault="00F07C10" w:rsidP="00186830">
            <w:pPr>
              <w:spacing w:after="0" w:line="240" w:lineRule="auto"/>
              <w:jc w:val="center"/>
              <w:rPr>
                <w:i/>
                <w:color w:val="FFFFFF" w:themeColor="background1"/>
                <w:sz w:val="20"/>
                <w:szCs w:val="20"/>
                <w:lang w:eastAsia="zh-CN"/>
              </w:rPr>
            </w:pPr>
            <w:r w:rsidRPr="00BC11C5">
              <w:rPr>
                <w:i/>
                <w:color w:val="FFFFFF" w:themeColor="background1"/>
                <w:sz w:val="20"/>
                <w:szCs w:val="20"/>
                <w:lang w:eastAsia="zh-CN"/>
              </w:rPr>
              <w:t>2020-2050 $/tCO</w:t>
            </w:r>
            <w:r w:rsidRPr="00BC11C5">
              <w:rPr>
                <w:i/>
                <w:color w:val="FFFFFF" w:themeColor="background1"/>
                <w:sz w:val="20"/>
                <w:szCs w:val="20"/>
                <w:vertAlign w:val="subscript"/>
                <w:lang w:eastAsia="zh-CN"/>
              </w:rPr>
              <w:t>2</w:t>
            </w:r>
            <w:r w:rsidRPr="00BC11C5">
              <w:rPr>
                <w:i/>
                <w:color w:val="FFFFFF" w:themeColor="background1"/>
                <w:sz w:val="20"/>
                <w:szCs w:val="20"/>
                <w:lang w:eastAsia="zh-CN"/>
              </w:rPr>
              <w:t>e</w:t>
            </w:r>
          </w:p>
        </w:tc>
      </w:tr>
      <w:tr w:rsidR="00F96FCA" w:rsidRPr="00BC11C5" w14:paraId="2CCDE781" w14:textId="4BC24D30" w:rsidTr="00F96FCA">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3EA4F4FD" w:rsidR="00F96FCA" w:rsidRPr="00BC11C5" w:rsidRDefault="000748D4" w:rsidP="000748D4">
            <w:pPr>
              <w:spacing w:after="0" w:line="240" w:lineRule="auto"/>
              <w:jc w:val="center"/>
              <w:rPr>
                <w:sz w:val="20"/>
                <w:szCs w:val="20"/>
                <w:lang w:eastAsia="zh-CN"/>
              </w:rPr>
            </w:pPr>
            <w:r w:rsidRPr="00BC11C5">
              <w:rPr>
                <w:b/>
                <w:bCs/>
                <w:color w:val="000000" w:themeColor="text1"/>
                <w:sz w:val="20"/>
                <w:szCs w:val="20"/>
                <w:lang w:eastAsia="zh-CN"/>
              </w:rPr>
              <w:t>P</w:t>
            </w:r>
            <w:r>
              <w:rPr>
                <w:b/>
                <w:bCs/>
                <w:color w:val="000000" w:themeColor="text1"/>
                <w:sz w:val="20"/>
                <w:szCs w:val="20"/>
                <w:lang w:eastAsia="zh-CN"/>
              </w:rPr>
              <w:t>DS1</w:t>
            </w:r>
          </w:p>
        </w:tc>
        <w:tc>
          <w:tcPr>
            <w:tcW w:w="3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595773D0"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123.54</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0B02CD9B"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123.83</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1803E6" w14:textId="05965B06"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202.74</w:t>
            </w:r>
          </w:p>
        </w:tc>
      </w:tr>
      <w:tr w:rsidR="00F96FCA" w:rsidRPr="00BC11C5" w14:paraId="6C3482B4" w14:textId="4C5A8A1C" w:rsidTr="00F96FCA">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42EB2FE" w:rsidR="00F96FCA" w:rsidRPr="00BC11C5" w:rsidRDefault="000748D4" w:rsidP="00AD4CF8">
            <w:pPr>
              <w:spacing w:after="0" w:line="240" w:lineRule="auto"/>
              <w:jc w:val="center"/>
              <w:rPr>
                <w:sz w:val="20"/>
                <w:szCs w:val="20"/>
                <w:lang w:eastAsia="zh-CN"/>
              </w:rPr>
            </w:pPr>
            <w:r>
              <w:rPr>
                <w:b/>
                <w:bCs/>
                <w:color w:val="000000" w:themeColor="text1"/>
                <w:sz w:val="20"/>
                <w:szCs w:val="20"/>
                <w:lang w:eastAsia="zh-CN"/>
              </w:rPr>
              <w:t>PDS2</w:t>
            </w:r>
          </w:p>
        </w:tc>
        <w:tc>
          <w:tcPr>
            <w:tcW w:w="3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3E95B4DB"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245.22</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104815B2"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244.94</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71423E" w14:textId="387502DD"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193.52</w:t>
            </w:r>
          </w:p>
        </w:tc>
      </w:tr>
      <w:tr w:rsidR="00F96FCA" w:rsidRPr="00BC11C5" w14:paraId="76A27626" w14:textId="3C0717D8" w:rsidTr="00F96FCA">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BFBB0C6" w:rsidR="00F96FCA" w:rsidRPr="00BC11C5" w:rsidRDefault="000748D4" w:rsidP="00AD4CF8">
            <w:pPr>
              <w:spacing w:after="0" w:line="240" w:lineRule="auto"/>
              <w:jc w:val="center"/>
              <w:rPr>
                <w:sz w:val="20"/>
                <w:szCs w:val="20"/>
                <w:lang w:eastAsia="zh-CN"/>
              </w:rPr>
            </w:pPr>
            <w:r>
              <w:rPr>
                <w:b/>
                <w:bCs/>
                <w:color w:val="000000" w:themeColor="text1"/>
                <w:sz w:val="20"/>
                <w:szCs w:val="20"/>
                <w:lang w:eastAsia="zh-CN"/>
              </w:rPr>
              <w:t>PDS3</w:t>
            </w:r>
          </w:p>
        </w:tc>
        <w:tc>
          <w:tcPr>
            <w:tcW w:w="31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01B989A1"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330.90</w:t>
            </w:r>
          </w:p>
        </w:tc>
        <w:tc>
          <w:tcPr>
            <w:tcW w:w="27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45E195F8"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330.62</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A92B5" w14:textId="7A2C8D2E" w:rsidR="00F96FCA" w:rsidRPr="00BC11C5" w:rsidRDefault="000748D4"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182.26</w:t>
            </w:r>
          </w:p>
        </w:tc>
      </w:tr>
    </w:tbl>
    <w:p w14:paraId="65064E23" w14:textId="77777777" w:rsidR="00E8320F" w:rsidRPr="00BC11C5" w:rsidRDefault="00E8320F" w:rsidP="00EB247F">
      <w:pPr>
        <w:pStyle w:val="Caption"/>
      </w:pPr>
    </w:p>
    <w:p w14:paraId="638C27B6" w14:textId="4E9C5F3D" w:rsidR="00F52595" w:rsidRPr="00BC11C5" w:rsidRDefault="551A77D0" w:rsidP="00483FFA">
      <w:pPr>
        <w:pStyle w:val="Heading1"/>
        <w:numPr>
          <w:ilvl w:val="0"/>
          <w:numId w:val="26"/>
        </w:numPr>
      </w:pPr>
      <w:bookmarkStart w:id="76" w:name="_Toc68791455"/>
      <w:r w:rsidRPr="00BC11C5">
        <w:t>Discussion</w:t>
      </w:r>
      <w:bookmarkEnd w:id="76"/>
    </w:p>
    <w:p w14:paraId="6CDB65DA" w14:textId="1AFDAC9A" w:rsidR="003E4286" w:rsidRDefault="00E73FF5" w:rsidP="003E4286">
      <w:r>
        <w:t>Current biochar</w:t>
      </w:r>
      <w:r w:rsidR="007F1E5A">
        <w:t xml:space="preserve"> production is minimal when compared to the amount of potential feedstock available for conversion</w:t>
      </w:r>
      <w:r w:rsidR="007D6F26">
        <w:t xml:space="preserve"> (</w:t>
      </w:r>
      <w:r w:rsidR="007D6F26">
        <w:fldChar w:fldCharType="begin"/>
      </w:r>
      <w:r w:rsidR="007D6F26">
        <w:instrText xml:space="preserve"> REF _Ref66283712 \h </w:instrText>
      </w:r>
      <w:r w:rsidR="007D6F26">
        <w:fldChar w:fldCharType="separate"/>
      </w:r>
      <w:r w:rsidR="007D6F26">
        <w:t xml:space="preserve">Figure </w:t>
      </w:r>
      <w:r w:rsidR="007D6F26">
        <w:rPr>
          <w:noProof/>
        </w:rPr>
        <w:t>3</w:t>
      </w:r>
      <w:r w:rsidR="007D6F26">
        <w:fldChar w:fldCharType="end"/>
      </w:r>
      <w:r w:rsidR="007D6F26">
        <w:t>)</w:t>
      </w:r>
      <w:r w:rsidR="007F1E5A">
        <w:t xml:space="preserve">. </w:t>
      </w:r>
      <w:r w:rsidR="003E4286" w:rsidRPr="00BC11C5">
        <w:t>Our results</w:t>
      </w:r>
      <w:r w:rsidR="007F1E5A">
        <w:t xml:space="preserve"> also</w:t>
      </w:r>
      <w:r w:rsidR="003E4286" w:rsidRPr="00BC11C5">
        <w:t xml:space="preserve"> indicate </w:t>
      </w:r>
      <w:r w:rsidR="004C6989" w:rsidRPr="00BC11C5">
        <w:t xml:space="preserve">a future </w:t>
      </w:r>
      <w:r w:rsidR="003E4286" w:rsidRPr="00BC11C5">
        <w:t>biochar production</w:t>
      </w:r>
      <w:r w:rsidR="00BE14DD">
        <w:t xml:space="preserve"> that is </w:t>
      </w:r>
      <w:r w:rsidR="000748D4">
        <w:t>lower</w:t>
      </w:r>
      <w:r w:rsidR="00BE14DD">
        <w:t xml:space="preserve"> than </w:t>
      </w:r>
      <w:r w:rsidR="000748D4">
        <w:t xml:space="preserve">most </w:t>
      </w:r>
      <w:r w:rsidR="003E4286" w:rsidRPr="00BC11C5">
        <w:t>other estimates in the literature</w:t>
      </w:r>
      <w:r w:rsidR="007C3F90">
        <w:t xml:space="preserve"> (</w:t>
      </w:r>
      <w:r w:rsidR="007C3F90">
        <w:fldChar w:fldCharType="begin"/>
      </w:r>
      <w:r w:rsidR="007C3F90">
        <w:instrText xml:space="preserve"> REF _Ref66284884 \h </w:instrText>
      </w:r>
      <w:r w:rsidR="007C3F90">
        <w:fldChar w:fldCharType="separate"/>
      </w:r>
      <w:r w:rsidR="007C3F90">
        <w:t xml:space="preserve">Table </w:t>
      </w:r>
      <w:r w:rsidR="007C3F90">
        <w:rPr>
          <w:noProof/>
        </w:rPr>
        <w:t>12</w:t>
      </w:r>
      <w:r w:rsidR="007C3F90">
        <w:fldChar w:fldCharType="end"/>
      </w:r>
      <w:r w:rsidR="007C3F90">
        <w:t>)</w:t>
      </w:r>
      <w:r w:rsidR="000748D4">
        <w:t xml:space="preserve"> and aligns closely with the lower bound of experts’ estimate in a recent review </w:t>
      </w:r>
      <w:r w:rsidR="000748D4">
        <w:fldChar w:fldCharType="begin"/>
      </w:r>
      <w:r w:rsidR="000748D4">
        <w:instrText xml:space="preserve"> ADDIN ZOTERO_ITEM CSL_CITATION {"citationID":"XjhUkwBa","properties":{"formattedCitation":"(Fuss et al., 2018)","plainCitation":"(Fuss et al., 2018)","noteIndex":0},"citationItems":[{"id":1173,"uris":["http://zotero.org/users/7422708/items/7B9LZYKG"],"uri":["http://zotero.org/users/7422708/items/7B9LZYKG"],"itemData":{"id":1173,"type":"article-journal","abstract":"The most recent IPCC assessment has shown an important role for negative emissions technologies (NETs) in limiting global warming to 2 ◦C cost-effectively. However, a bottom-up, systematic, reproducible, and transparent literature assessment of the different options to remove CO2 from the atmosphere is currently missing. In part 1 of this three-part review on NETs, we assemble a comprehensive set of the relevant literature so far published, focusing on seven technologies: bioenergy with carbon capture and storage (BECCS), afforestation and reforestation, direct air carbon capture and storage (DACCS), enhanced weathering, ocean fertilisation, biochar, and soil carbon sequestration. In this part, part 2 of the review, we present estimates of costs, potentials, and side-effects for these technologies, and qualify them with the authors’ assessment. Part 3 reviews the innovation and scaling challenges that must be addressed to realise NETs deployment as a viable climate mitigation strategy. Based on a systematic review of the literature, our best estimates for sustainable global NET potentials in 2050 are 0.5–3.6 GtCO2 yr−1 for afforestation and reforestation, 0.5–5 GtCO2 yr−1 for BECCS, 0.5–2 GtCO2 yr−1 for biochar, 2–4 GtCO2 yr−1 for enhanced weathering, 0.5–5 GtCO2 yr−1 for DACCS, and up to 5 GtCO2 yr−1 for soil carbon sequestration. Costs vary widely across the technologies, as do their permanency and cumulative potentials beyond 2050. It is unlikely that a single NET will be able to sustainably meet the rates of carbon uptake described in integrated assessment pathways consistent with 1.5 ◦C of global warming.","container-title":"Environmental Research Letters","DOI":"10.1088/1748-9326/aabf9f","ISSN":"1748-9326","issue":"6","journalAbbreviation":"Environ. Res. Lett.","language":"en","page":"063002","source":"DOI.org (Crossref)","title":"Negative emissions—Part 2: Costs, potentials and side effects","title-short":"Negative emissions—Part 2","volume":"13","author":[{"family":"Fuss","given":"Sabine"},{"family":"Lamb","given":"William F"},{"family":"Callaghan","given":"Max W"},{"family":"Hilaire","given":"Jérôme"},{"family":"Creutzig","given":"Felix"},{"family":"Amann","given":"Thorben"},{"family":"Beringer","given":"Tim"},{"family":"Oliveira Garcia","given":"Wagner","non-dropping-particle":"de"},{"family":"Hartmann","given":"Jens"},{"family":"Khanna","given":"Tarun"},{"family":"Luderer","given":"Gunnar"},{"family":"Nemet","given":"Gregory F"},{"family":"Rogelj","given":"Joeri"},{"family":"Smith","given":"Pete"},{"family":"Vicente","given":"José Luis Vicente"},{"family":"Wilcox","given":"Jennifer"},{"family":"Mar Zamora Dominguez","given":"Maria","non-dropping-particle":"del"},{"family":"Minx","given":"Jan C"}],"issued":{"date-parts":[["2018",6,1]]}}}],"schema":"https://github.com/citation-style-language/schema/raw/master/csl-citation.json"} </w:instrText>
      </w:r>
      <w:r w:rsidR="000748D4">
        <w:fldChar w:fldCharType="separate"/>
      </w:r>
      <w:r w:rsidR="000748D4" w:rsidRPr="000748D4">
        <w:rPr>
          <w:rFonts w:cs="Times New Roman"/>
        </w:rPr>
        <w:t>(Fuss et al., 2018)</w:t>
      </w:r>
      <w:r w:rsidR="000748D4">
        <w:fldChar w:fldCharType="end"/>
      </w:r>
      <w:r w:rsidR="00640E6A">
        <w:t>.</w:t>
      </w:r>
      <w:r>
        <w:t xml:space="preserve"> Given </w:t>
      </w:r>
      <w:r w:rsidR="000748D4">
        <w:t xml:space="preserve">that Project Drawdown allocates a fraction of globally available biomass </w:t>
      </w:r>
      <w:r w:rsidR="000748D4">
        <w:lastRenderedPageBreak/>
        <w:t>to biochar, it may seem that this would be the main constraint to biochar adoption.</w:t>
      </w:r>
      <w:r w:rsidR="003E4286" w:rsidRPr="00BC11C5">
        <w:t xml:space="preserve"> Ho</w:t>
      </w:r>
      <w:r>
        <w:t xml:space="preserve">wever, </w:t>
      </w:r>
      <w:r w:rsidR="003E4286" w:rsidRPr="00BC11C5">
        <w:t xml:space="preserve">our modeled </w:t>
      </w:r>
      <w:r w:rsidR="005B63ED">
        <w:t>scenarios do not approach this</w:t>
      </w:r>
      <w:r w:rsidR="00640E6A">
        <w:t xml:space="preserve"> feedstock</w:t>
      </w:r>
      <w:r w:rsidR="005B63ED">
        <w:t xml:space="preserve"> limit within the analysis time horizon to mid-century, with the theoretical optimum case (PDS3) only reaching 50% of this limit in 2050.</w:t>
      </w:r>
      <w:r w:rsidR="00640E6A">
        <w:t xml:space="preserve"> </w:t>
      </w:r>
      <w:r w:rsidR="00EF0D8A" w:rsidRPr="00BC11C5">
        <w:t xml:space="preserve">This indicates that biochar growth will </w:t>
      </w:r>
      <w:r w:rsidR="00BE14DD">
        <w:t xml:space="preserve">likely </w:t>
      </w:r>
      <w:r w:rsidR="00EF0D8A" w:rsidRPr="00BC11C5">
        <w:t>only be feedstock constrained in the lo</w:t>
      </w:r>
      <w:r w:rsidR="008B4DC5">
        <w:t>ng-term, while in the near-</w:t>
      </w:r>
      <w:r w:rsidR="00BE14DD">
        <w:t>term</w:t>
      </w:r>
      <w:r w:rsidR="00EF0D8A" w:rsidRPr="00BC11C5">
        <w:t xml:space="preserve"> </w:t>
      </w:r>
      <w:r w:rsidR="00BE14DD">
        <w:t>capital scale-out</w:t>
      </w:r>
      <w:r w:rsidR="00EF0D8A" w:rsidRPr="00BC11C5">
        <w:t xml:space="preserve"> is a far more </w:t>
      </w:r>
      <w:r w:rsidR="00BE14DD">
        <w:t xml:space="preserve">limiting factor. </w:t>
      </w:r>
    </w:p>
    <w:p w14:paraId="36058BB4" w14:textId="67B39747" w:rsidR="007C3F90" w:rsidRDefault="007C3F90" w:rsidP="007C3F90">
      <w:pPr>
        <w:pStyle w:val="Caption"/>
      </w:pPr>
      <w:bookmarkStart w:id="77" w:name="_Ref66284884"/>
      <w:bookmarkStart w:id="78" w:name="_Toc66286420"/>
      <w:bookmarkStart w:id="79" w:name="_Toc66286812"/>
      <w:r>
        <w:t xml:space="preserve">Table </w:t>
      </w:r>
      <w:r w:rsidR="004F1E38">
        <w:rPr>
          <w:noProof/>
        </w:rPr>
        <w:fldChar w:fldCharType="begin"/>
      </w:r>
      <w:r w:rsidR="004F1E38">
        <w:rPr>
          <w:noProof/>
        </w:rPr>
        <w:instrText xml:space="preserve"> SEQ Table \* ARABIC </w:instrText>
      </w:r>
      <w:r w:rsidR="004F1E38">
        <w:rPr>
          <w:noProof/>
        </w:rPr>
        <w:fldChar w:fldCharType="separate"/>
      </w:r>
      <w:r>
        <w:rPr>
          <w:noProof/>
        </w:rPr>
        <w:t>12</w:t>
      </w:r>
      <w:r w:rsidR="004F1E38">
        <w:rPr>
          <w:noProof/>
        </w:rPr>
        <w:fldChar w:fldCharType="end"/>
      </w:r>
      <w:bookmarkEnd w:id="77"/>
      <w:r>
        <w:t xml:space="preserve">: Benchmark comparison </w:t>
      </w:r>
      <w:r w:rsidR="005F3F2A">
        <w:t xml:space="preserve">with selected </w:t>
      </w:r>
      <w:r>
        <w:t>relevant studies</w:t>
      </w:r>
      <w:bookmarkEnd w:id="78"/>
      <w:bookmarkEnd w:id="79"/>
    </w:p>
    <w:tbl>
      <w:tblPr>
        <w:tblStyle w:val="TableGrid"/>
        <w:tblW w:w="0" w:type="auto"/>
        <w:tblLook w:val="04A0" w:firstRow="1" w:lastRow="0" w:firstColumn="1" w:lastColumn="0" w:noHBand="0" w:noVBand="1"/>
      </w:tblPr>
      <w:tblGrid>
        <w:gridCol w:w="4675"/>
        <w:gridCol w:w="4675"/>
      </w:tblGrid>
      <w:tr w:rsidR="007D6F26" w14:paraId="1EA90D9D" w14:textId="77777777" w:rsidTr="007C3F90">
        <w:trPr>
          <w:trHeight w:val="665"/>
        </w:trPr>
        <w:tc>
          <w:tcPr>
            <w:tcW w:w="4675" w:type="dxa"/>
            <w:shd w:val="clear" w:color="auto" w:fill="4F81BD" w:themeFill="accent1"/>
            <w:vAlign w:val="center"/>
          </w:tcPr>
          <w:p w14:paraId="3CE7D6FB" w14:textId="171DC706" w:rsidR="007D6F26" w:rsidRPr="007D6F26" w:rsidRDefault="007C3F90" w:rsidP="007C3F90">
            <w:pPr>
              <w:jc w:val="center"/>
              <w:rPr>
                <w:color w:val="FFFFFF" w:themeColor="background1"/>
              </w:rPr>
            </w:pPr>
            <w:r>
              <w:rPr>
                <w:color w:val="FFFFFF" w:themeColor="background1"/>
              </w:rPr>
              <w:t>Study</w:t>
            </w:r>
          </w:p>
        </w:tc>
        <w:tc>
          <w:tcPr>
            <w:tcW w:w="4675" w:type="dxa"/>
            <w:shd w:val="clear" w:color="auto" w:fill="4F81BD" w:themeFill="accent1"/>
            <w:vAlign w:val="center"/>
          </w:tcPr>
          <w:p w14:paraId="44C65F2D" w14:textId="734AE986" w:rsidR="007D6F26" w:rsidRDefault="007D6F26" w:rsidP="007C3F90">
            <w:pPr>
              <w:jc w:val="center"/>
              <w:rPr>
                <w:color w:val="FFFFFF" w:themeColor="background1"/>
              </w:rPr>
            </w:pPr>
            <w:r w:rsidRPr="007D6F26">
              <w:rPr>
                <w:color w:val="FFFFFF" w:themeColor="background1"/>
              </w:rPr>
              <w:t xml:space="preserve">Global annual biochar </w:t>
            </w:r>
            <w:r w:rsidR="007C3F90">
              <w:rPr>
                <w:color w:val="FFFFFF" w:themeColor="background1"/>
              </w:rPr>
              <w:t>emissions reduction</w:t>
            </w:r>
            <w:r w:rsidRPr="007D6F26">
              <w:rPr>
                <w:color w:val="FFFFFF" w:themeColor="background1"/>
              </w:rPr>
              <w:t xml:space="preserve"> potential</w:t>
            </w:r>
          </w:p>
          <w:p w14:paraId="252F324A" w14:textId="5CC8ABE8" w:rsidR="007C3F90" w:rsidRPr="007C3F90" w:rsidRDefault="007C3F90" w:rsidP="007C3F90">
            <w:pPr>
              <w:jc w:val="center"/>
              <w:rPr>
                <w:color w:val="FFFFFF" w:themeColor="background1"/>
              </w:rPr>
            </w:pPr>
            <w:r>
              <w:rPr>
                <w:color w:val="FFFFFF" w:themeColor="background1"/>
              </w:rPr>
              <w:t>(Gt CO</w:t>
            </w:r>
            <w:r>
              <w:rPr>
                <w:color w:val="FFFFFF" w:themeColor="background1"/>
                <w:vertAlign w:val="subscript"/>
              </w:rPr>
              <w:t>2</w:t>
            </w:r>
            <w:r>
              <w:rPr>
                <w:color w:val="FFFFFF" w:themeColor="background1"/>
              </w:rPr>
              <w:t>e / year)</w:t>
            </w:r>
          </w:p>
        </w:tc>
      </w:tr>
      <w:tr w:rsidR="007D6F26" w14:paraId="7DAB75BA" w14:textId="77777777" w:rsidTr="007D6F26">
        <w:tc>
          <w:tcPr>
            <w:tcW w:w="4675" w:type="dxa"/>
          </w:tcPr>
          <w:p w14:paraId="567BF383" w14:textId="6FEE5909" w:rsidR="007D6F26" w:rsidRDefault="007D6F26" w:rsidP="003E4286">
            <w:r>
              <w:t>Project Drawdown</w:t>
            </w:r>
            <w:r w:rsidR="007C3F90">
              <w:t xml:space="preserve"> – this study </w:t>
            </w:r>
          </w:p>
        </w:tc>
        <w:tc>
          <w:tcPr>
            <w:tcW w:w="4675" w:type="dxa"/>
          </w:tcPr>
          <w:p w14:paraId="6C39BA42" w14:textId="157AA4A4" w:rsidR="007D6F26" w:rsidRDefault="007C3F90" w:rsidP="003E4286">
            <w:r>
              <w:t>0.</w:t>
            </w:r>
            <w:r w:rsidR="005B63ED">
              <w:t>1</w:t>
            </w:r>
            <w:r>
              <w:t>3-0.</w:t>
            </w:r>
            <w:r w:rsidR="005B63ED">
              <w:t>3</w:t>
            </w:r>
          </w:p>
        </w:tc>
      </w:tr>
      <w:tr w:rsidR="004C78A8" w14:paraId="2B49E757" w14:textId="77777777" w:rsidTr="007D6F26">
        <w:tc>
          <w:tcPr>
            <w:tcW w:w="4675" w:type="dxa"/>
          </w:tcPr>
          <w:p w14:paraId="68C9124A" w14:textId="2DFFDD29" w:rsidR="004C78A8" w:rsidRDefault="004C78A8" w:rsidP="007C3F90">
            <w:r>
              <w:t>Bossio et al., 2020</w:t>
            </w:r>
          </w:p>
        </w:tc>
        <w:tc>
          <w:tcPr>
            <w:tcW w:w="4675" w:type="dxa"/>
          </w:tcPr>
          <w:p w14:paraId="04CF99BF" w14:textId="4BD4397F" w:rsidR="004C78A8" w:rsidRDefault="004C78A8" w:rsidP="007C3F90">
            <w:r>
              <w:t>1.1</w:t>
            </w:r>
          </w:p>
        </w:tc>
      </w:tr>
      <w:tr w:rsidR="007D6F26" w14:paraId="2943E30C" w14:textId="77777777" w:rsidTr="007D6F26">
        <w:tc>
          <w:tcPr>
            <w:tcW w:w="4675" w:type="dxa"/>
          </w:tcPr>
          <w:p w14:paraId="35D0553C" w14:textId="61E3E972" w:rsidR="007D6F26" w:rsidRDefault="007D6F26" w:rsidP="007C3F90">
            <w:r>
              <w:fldChar w:fldCharType="begin"/>
            </w:r>
            <w:r w:rsidR="004F1E38">
              <w:instrText xml:space="preserve"> ADDIN ZOTERO_ITEM CSL_CITATION {"citationID":"ep7rJxel","properties":{"formattedCitation":"(Fuss et al., 2018)","plainCitation":"(Fuss et al., 2018)","dontUpdate":true,"noteIndex":0},"citationItems":[{"id":1173,"uris":["http://zotero.org/users/7422708/items/7B9LZYKG"],"uri":["http://zotero.org/users/7422708/items/7B9LZYKG"],"itemData":{"id":1173,"type":"article-journal","abstract":"The most recent IPCC assessment has shown an important role for negative emissions technologies (NETs) in limiting global warming to 2 ◦C cost-effectively. However, a bottom-up, systematic, reproducible, and transparent literature assessment of the different options to remove CO2 from the atmosphere is currently missing. In part 1 of this three-part review on NETs, we assemble a comprehensive set of the relevant literature so far published, focusing on seven technologies: bioenergy with carbon capture and storage (BECCS), afforestation and reforestation, direct air carbon capture and storage (DACCS), enhanced weathering, ocean fertilisation, biochar, and soil carbon sequestration. In this part, part 2 of the review, we present estimates of costs, potentials, and side-effects for these technologies, and qualify them with the authors’ assessment. Part 3 reviews the innovation and scaling challenges that must be addressed to realise NETs deployment as a viable climate mitigation strategy. Based on a systematic review of the literature, our best estimates for sustainable global NET potentials in 2050 are 0.5–3.6 GtCO2 yr−1 for afforestation and reforestation, 0.5–5 GtCO2 yr−1 for BECCS, 0.5–2 GtCO2 yr−1 for biochar, 2–4 GtCO2 yr−1 for enhanced weathering, 0.5–5 GtCO2 yr−1 for DACCS, and up to 5 GtCO2 yr−1 for soil carbon sequestration. Costs vary widely across the technologies, as do their permanency and cumulative potentials beyond 2050. It is unlikely that a single NET will be able to sustainably meet the rates of carbon uptake described in integrated assessment pathways consistent with 1.5 ◦C of global warming.","container-title":"Environmental Research Letters","DOI":"10.1088/1748-9326/aabf9f","ISSN":"1748-9326","issue":"6","journalAbbreviation":"Environ. Res. Lett.","language":"en","page":"063002","source":"DOI.org (Crossref)","title":"Negative emissions—Part 2: Costs, potentials and side effects","title-short":"Negative emissions—Part 2","volume":"13","author":[{"family":"Fuss","given":"Sabine"},{"family":"Lamb","given":"William F"},{"family":"Callaghan","given":"Max W"},{"family":"Hilaire","given":"Jérôme"},{"family":"Creutzig","given":"Felix"},{"family":"Amann","given":"Thorben"},{"family":"Beringer","given":"Tim"},{"family":"Oliveira Garcia","given":"Wagner","non-dropping-particle":"de"},{"family":"Hartmann","given":"Jens"},{"family":"Khanna","given":"Tarun"},{"family":"Luderer","given":"Gunnar"},{"family":"Nemet","given":"Gregory F"},{"family":"Rogelj","given":"Joeri"},{"family":"Smith","given":"Pete"},{"family":"Vicente","given":"José Luis Vicente"},{"family":"Wilcox","given":"Jennifer"},{"family":"Mar Zamora Dominguez","given":"Maria","non-dropping-particle":"del"},{"family":"Minx","given":"Jan C"}],"issued":{"date-parts":[["2018",6,1]]}}}],"schema":"https://github.com/citation-style-language/schema/raw/master/csl-citation.json"} </w:instrText>
            </w:r>
            <w:r>
              <w:fldChar w:fldCharType="separate"/>
            </w:r>
            <w:r w:rsidRPr="007D6F26">
              <w:rPr>
                <w:rFonts w:cs="Times New Roman"/>
              </w:rPr>
              <w:t>Fuss et al., 2018</w:t>
            </w:r>
            <w:r>
              <w:fldChar w:fldCharType="end"/>
            </w:r>
            <w:r>
              <w:t xml:space="preserve"> – authors’ estimate based on review</w:t>
            </w:r>
          </w:p>
        </w:tc>
        <w:tc>
          <w:tcPr>
            <w:tcW w:w="4675" w:type="dxa"/>
          </w:tcPr>
          <w:p w14:paraId="1462B198" w14:textId="67FF6FA9" w:rsidR="007D6F26" w:rsidRDefault="007C3F90" w:rsidP="007C3F90">
            <w:r>
              <w:t xml:space="preserve">0.3-2.0 </w:t>
            </w:r>
          </w:p>
        </w:tc>
      </w:tr>
      <w:tr w:rsidR="007D6F26" w14:paraId="3C078C16" w14:textId="77777777" w:rsidTr="007D6F26">
        <w:tc>
          <w:tcPr>
            <w:tcW w:w="4675" w:type="dxa"/>
          </w:tcPr>
          <w:p w14:paraId="2C69FA22" w14:textId="7116D30A" w:rsidR="007D6F26" w:rsidRDefault="007D6F26" w:rsidP="007C3F90">
            <w:r>
              <w:fldChar w:fldCharType="begin"/>
            </w:r>
            <w:r w:rsidR="004F1E38">
              <w:instrText xml:space="preserve"> ADDIN ZOTERO_ITEM CSL_CITATION {"citationID":"CJ4Ox81J","properties":{"formattedCitation":"(Smith, 2016)","plainCitation":"(Smith, 2016)","dontUpdate":true,"noteIndex":0},"citationItems":[{"id":824,"uris":["http://zotero.org/users/7422708/items/QFGVWG97"],"uri":["http://zotero.org/users/7422708/items/QFGVWG97"],"itemData":{"id":824,"type":"article-journal","container-title":"Global Change Biology","DOI":"10.1111/gcb.13178","ISSN":"13541013","issue":"3","language":"en","page":"1315-1324","source":"Crossref","title":"Soil carbon sequestration and biochar as negative emission technologies","volume":"22","author":[{"family":"Smith","given":"Pete"}],"issued":{"date-parts":[["2016",3]]}}}],"schema":"https://github.com/citation-style-language/schema/raw/master/csl-citation.json"} </w:instrText>
            </w:r>
            <w:r>
              <w:fldChar w:fldCharType="separate"/>
            </w:r>
            <w:r w:rsidRPr="007D6F26">
              <w:rPr>
                <w:rFonts w:cs="Times New Roman"/>
              </w:rPr>
              <w:t>Smith, 2016</w:t>
            </w:r>
            <w:r>
              <w:fldChar w:fldCharType="end"/>
            </w:r>
          </w:p>
        </w:tc>
        <w:tc>
          <w:tcPr>
            <w:tcW w:w="4675" w:type="dxa"/>
          </w:tcPr>
          <w:p w14:paraId="78ADBBB8" w14:textId="2D544709" w:rsidR="007D6F26" w:rsidRDefault="007D6F26" w:rsidP="003E4286">
            <w:r>
              <w:t>0.7 (realistic) – 1.3 (maximum)</w:t>
            </w:r>
          </w:p>
        </w:tc>
      </w:tr>
      <w:tr w:rsidR="007D6F26" w14:paraId="48088AE5" w14:textId="77777777" w:rsidTr="007D6F26">
        <w:tc>
          <w:tcPr>
            <w:tcW w:w="4675" w:type="dxa"/>
          </w:tcPr>
          <w:p w14:paraId="089606C8" w14:textId="03923141" w:rsidR="007D6F26" w:rsidRDefault="007C3F90" w:rsidP="007C3F90">
            <w:r>
              <w:fldChar w:fldCharType="begin"/>
            </w:r>
            <w:r w:rsidR="004F1E38">
              <w:instrText xml:space="preserve"> ADDIN ZOTERO_ITEM CSL_CITATION {"citationID":"vBeWHj4Z","properties":{"formattedCitation":"(Woolf et al., 2010)","plainCitation":"(Woolf et al., 2010)","dontUpdate":true,"noteIndex":0},"citationItems":[{"id":1241,"uris":["http://zotero.org/users/7422708/items/UT82A5YB"],"uri":["http://zotero.org/users/7422708/items/UT82A5YB"],"itemData":{"id":1241,"type":"article-journal","container-title":"Nature Communications","DOI":"10.1038/ncomms1053","ISSN":"2041-1723","issue":"1","journalAbbreviation":"Nat Commun","language":"en","page":"56","source":"DOI.org (Crossref)","title":"Sustainable biochar to mitigate global climate change","volume":"1","author":[{"family":"Woolf","given":"Dominic"},{"family":"Amonette","given":"James E."},{"family":"Street-Perrott","given":"F. Alayne"},{"family":"Lehmann","given":"Johannes"},{"family":"Joseph","given":"Stephen"}],"issued":{"date-parts":[["2010",12]]}}}],"schema":"https://github.com/citation-style-language/schema/raw/master/csl-citation.json"} </w:instrText>
            </w:r>
            <w:r>
              <w:fldChar w:fldCharType="separate"/>
            </w:r>
            <w:r w:rsidRPr="007C3F90">
              <w:rPr>
                <w:rFonts w:cs="Times New Roman"/>
              </w:rPr>
              <w:t>Woolf et al., 2010</w:t>
            </w:r>
            <w:r>
              <w:fldChar w:fldCharType="end"/>
            </w:r>
          </w:p>
        </w:tc>
        <w:tc>
          <w:tcPr>
            <w:tcW w:w="4675" w:type="dxa"/>
          </w:tcPr>
          <w:p w14:paraId="7E8ED183" w14:textId="2ECB42CA" w:rsidR="007D6F26" w:rsidRDefault="007C3F90" w:rsidP="003E4286">
            <w:r>
              <w:t>1.8 (maximum)</w:t>
            </w:r>
          </w:p>
        </w:tc>
      </w:tr>
    </w:tbl>
    <w:p w14:paraId="7B9D2347" w14:textId="77777777" w:rsidR="007D6F26" w:rsidRDefault="007D6F26" w:rsidP="003E4286"/>
    <w:p w14:paraId="2D5EDAFC" w14:textId="086E3182" w:rsidR="00C55354" w:rsidRPr="00BC11C5" w:rsidRDefault="00D274EB" w:rsidP="00C46549">
      <w:r w:rsidRPr="00BC11C5">
        <w:t>This notion can be further reinforced by comparing annual growth rates in our modeled scenarios with</w:t>
      </w:r>
      <w:r w:rsidR="00A96EC4">
        <w:t xml:space="preserve"> other research and</w:t>
      </w:r>
      <w:r w:rsidRPr="00BC11C5">
        <w:t xml:space="preserve"> analog industries. </w:t>
      </w:r>
      <w:r w:rsidR="005B63ED">
        <w:t xml:space="preserve">Our custom scenarios considering cumulative annual growth are bound by a 20% per year upper limit, in line with recent </w:t>
      </w:r>
      <w:r w:rsidR="00640E6A">
        <w:t>research on</w:t>
      </w:r>
      <w:r w:rsidR="005B63ED">
        <w:t xml:space="preserve"> another CDR technology </w:t>
      </w:r>
      <w:r w:rsidR="00A96EC4">
        <w:t xml:space="preserve">suggesting that sustained industry growth above this level for multiple decades is unrealistic </w:t>
      </w:r>
      <w:r w:rsidR="005B63ED">
        <w:fldChar w:fldCharType="begin"/>
      </w:r>
      <w:r w:rsidR="005B63ED">
        <w:instrText xml:space="preserve"> ADDIN ZOTERO_ITEM CSL_CITATION {"citationID":"xrOjazJX","properties":{"formattedCitation":"(Hanna et al., 2021)","plainCitation":"(Hanna et al., 2021)","noteIndex":0},"citationItems":[{"id":1214,"uris":["http://zotero.org/users/7422708/items/E96FNI2B"],"uri":["http://zotero.org/users/7422708/items/E96FNI2B"],"itemData":{"id":1214,"type":"article-journal","container-title":"Nature Communications","issue":"368","language":"en","page":"13","source":"Zotero","title":"Emergency deployment of direct air capture as a response to the climate crisis","volume":"12","author":[{"family":"Hanna","given":"Ryan"},{"family":"Abdulla","given":"Ahmed"},{"family":"Xu","given":"Yangyang"},{"family":"Victor","given":"David G."}],"issued":{"date-parts":[["2021"]]}}}],"schema":"https://github.com/citation-style-language/schema/raw/master/csl-citation.json"} </w:instrText>
      </w:r>
      <w:r w:rsidR="005B63ED">
        <w:fldChar w:fldCharType="separate"/>
      </w:r>
      <w:r w:rsidR="005B63ED" w:rsidRPr="005B63ED">
        <w:rPr>
          <w:rFonts w:cs="Times New Roman"/>
        </w:rPr>
        <w:t>(Hanna et al., 2021)</w:t>
      </w:r>
      <w:r w:rsidR="005B63ED">
        <w:fldChar w:fldCharType="end"/>
      </w:r>
      <w:r w:rsidR="005B63ED">
        <w:t xml:space="preserve">. Our theoretical optimum case considers linear growth, with an initial resulting cumulative annual growth rate above 20% for the first four years, which may simulate targeted support for global industry development. Our modeled </w:t>
      </w:r>
      <w:r w:rsidR="00A96EC4">
        <w:t>central case (PDS2)</w:t>
      </w:r>
      <w:r w:rsidR="005B63ED">
        <w:t xml:space="preserve"> considers an initial period of rapid relative growth but sustained growth is around 10% per year or less</w:t>
      </w:r>
      <w:r w:rsidRPr="00BC11C5">
        <w:t>.</w:t>
      </w:r>
      <w:r w:rsidR="005B63ED">
        <w:t xml:space="preserve"> </w:t>
      </w:r>
      <w:r w:rsidRPr="00BC11C5">
        <w:t>For comparison, the compound annual growth rate observed in global fertilizer production during a period of significant growth</w:t>
      </w:r>
      <w:r w:rsidR="00107E9F" w:rsidRPr="00BC11C5">
        <w:t xml:space="preserve"> (1961-1988)</w:t>
      </w:r>
      <w:r w:rsidRPr="00BC11C5">
        <w:t xml:space="preserve"> </w:t>
      </w:r>
      <w:r w:rsidR="00107E9F" w:rsidRPr="00BC11C5">
        <w:t>was approximately 7%</w:t>
      </w:r>
      <w:r w:rsidR="00C55354" w:rsidRPr="00BC11C5">
        <w:t xml:space="preserve"> </w:t>
      </w:r>
      <w:r w:rsidR="00C55354" w:rsidRPr="00BC11C5">
        <w:fldChar w:fldCharType="begin"/>
      </w:r>
      <w:r w:rsidR="0070550D">
        <w:instrText xml:space="preserve"> ADDIN ZOTERO_ITEM CSL_CITATION {"citationID":"cJoFOeEX","properties":{"formattedCitation":"(FAO, 2020b)","plainCitation":"(FAO, 2020b)","noteIndex":0},"citationItems":[{"id":1372,"uris":["http://zotero.org/users/7422708/items/LYZW5KLH"],"uri":["http://zotero.org/users/7422708/items/LYZW5KLH"],"itemData":{"id":1372,"type":"article","publisher":"Food and Agriculture Organization of the United Nations","title":"Fertilizers archive (Data set RA)","URL":"http://www.fao.org/faostat/en/#data/RA","author":[{"family":"FAO","given":""}],"issued":{"date-parts":[["2020"]]}}}],"schema":"https://github.com/citation-style-language/schema/raw/master/csl-citation.json"} </w:instrText>
      </w:r>
      <w:r w:rsidR="00C55354" w:rsidRPr="00BC11C5">
        <w:fldChar w:fldCharType="separate"/>
      </w:r>
      <w:r w:rsidR="00C55354" w:rsidRPr="00BC11C5">
        <w:rPr>
          <w:rFonts w:cs="Times New Roman"/>
        </w:rPr>
        <w:t>(FAO, 2020b)</w:t>
      </w:r>
      <w:r w:rsidR="00C55354" w:rsidRPr="00BC11C5">
        <w:fldChar w:fldCharType="end"/>
      </w:r>
      <w:r w:rsidR="00107E9F" w:rsidRPr="00BC11C5">
        <w:t xml:space="preserve">. The same </w:t>
      </w:r>
      <w:r w:rsidR="00BE14DD">
        <w:t>was</w:t>
      </w:r>
      <w:r w:rsidR="00107E9F" w:rsidRPr="00BC11C5">
        <w:t xml:space="preserve"> observed for the</w:t>
      </w:r>
      <w:r w:rsidR="00C55354" w:rsidRPr="00BC11C5">
        <w:t xml:space="preserve"> adoption of composting in the United States from 1990-2018 </w:t>
      </w:r>
      <w:r w:rsidR="00C55354" w:rsidRPr="00BC11C5">
        <w:fldChar w:fldCharType="begin"/>
      </w:r>
      <w:r w:rsidR="00C55354" w:rsidRPr="00BC11C5">
        <w:instrText xml:space="preserve"> ADDIN ZOTERO_ITEM CSL_CITATION {"citationID":"ckGlz2y6","properties":{"formattedCitation":"(US EPA, 2018)","plainCitation":"(US EPA, 2018)","noteIndex":0},"citationItems":[{"id":1373,"uris":["http://zotero.org/users/7422708/items/BC4YN9HX"],"uri":["http://zotero.org/users/7422708/items/BC4YN9HX"],"itemData":{"id":1373,"type":"article","publisher":"United States Environmental Protection Agency","title":"National Overview: Facts and Figures on Materials, Wastes and Recycling","URL":"https://www.epa.gov/facts-and-figures-about-materials-waste-and-recycling/national-overview-facts-and-figures-materials#composting","author":[{"family":"US EPA","given":""}],"issued":{"date-parts":[["2018"]]}}}],"schema":"https://github.com/citation-style-language/schema/raw/master/csl-citation.json"} </w:instrText>
      </w:r>
      <w:r w:rsidR="00C55354" w:rsidRPr="00BC11C5">
        <w:fldChar w:fldCharType="separate"/>
      </w:r>
      <w:r w:rsidR="00C55354" w:rsidRPr="00BC11C5">
        <w:rPr>
          <w:rFonts w:cs="Times New Roman"/>
        </w:rPr>
        <w:t>(US EPA, 2018)</w:t>
      </w:r>
      <w:r w:rsidR="00C55354" w:rsidRPr="00BC11C5">
        <w:fldChar w:fldCharType="end"/>
      </w:r>
      <w:r w:rsidR="00C55354" w:rsidRPr="00BC11C5">
        <w:t>.</w:t>
      </w:r>
      <w:r w:rsidR="00107E9F" w:rsidRPr="00BC11C5">
        <w:t xml:space="preserve"> </w:t>
      </w:r>
      <w:r w:rsidR="00BE14DD">
        <w:t>Comparison with these analogs</w:t>
      </w:r>
      <w:r w:rsidR="00C55354" w:rsidRPr="00BC11C5">
        <w:t xml:space="preserve"> suggests that our mode</w:t>
      </w:r>
      <w:r w:rsidR="00BE14DD">
        <w:t xml:space="preserve">led low-growth scenario is </w:t>
      </w:r>
      <w:r w:rsidR="00C55354" w:rsidRPr="00BC11C5">
        <w:t>plausibly consistent with real-world indus</w:t>
      </w:r>
      <w:r w:rsidR="00BE14DD">
        <w:t>tries and practices</w:t>
      </w:r>
      <w:r w:rsidR="00A96EC4">
        <w:t>, and that our central and optimum cases are optimistic.</w:t>
      </w:r>
    </w:p>
    <w:p w14:paraId="0029853A" w14:textId="1168E16F" w:rsidR="00C55354" w:rsidRDefault="007C6782" w:rsidP="00C46549">
      <w:r>
        <w:t xml:space="preserve">We can </w:t>
      </w:r>
      <w:r w:rsidR="00A96EC4">
        <w:t xml:space="preserve">further </w:t>
      </w:r>
      <w:r>
        <w:t xml:space="preserve">contextualize </w:t>
      </w:r>
      <w:r w:rsidR="00A96EC4">
        <w:t xml:space="preserve">our modeled growth scenarios </w:t>
      </w:r>
      <w:r>
        <w:t>with</w:t>
      </w:r>
      <w:r w:rsidR="00B4615B">
        <w:t xml:space="preserve"> the</w:t>
      </w:r>
      <w:r w:rsidR="00A96EC4">
        <w:t xml:space="preserve"> biochar</w:t>
      </w:r>
      <w:r w:rsidR="00B4615B">
        <w:t xml:space="preserve"> industry’s aspirational goal of</w:t>
      </w:r>
      <w:r w:rsidR="00A11F65" w:rsidRPr="00BC11C5">
        <w:t xml:space="preserve"> global productio</w:t>
      </w:r>
      <w:r>
        <w:t>n of one billion tonnes in 2050 –</w:t>
      </w:r>
      <w:r w:rsidR="00A11F65" w:rsidRPr="00BC11C5">
        <w:t xml:space="preserve"> </w:t>
      </w:r>
      <w:r>
        <w:t>this</w:t>
      </w:r>
      <w:r w:rsidR="00A11F65" w:rsidRPr="00BC11C5">
        <w:t xml:space="preserve"> implies a compound annual growt</w:t>
      </w:r>
      <w:r w:rsidR="00B4615B">
        <w:t>h rate of 29% for three decades</w:t>
      </w:r>
      <w:r w:rsidR="00A11F65" w:rsidRPr="00BC11C5">
        <w:t xml:space="preserve"> assuming a start from 500,000 tonnes in 2020. Such sustained h</w:t>
      </w:r>
      <w:r w:rsidR="00C15F20">
        <w:t>igh growth seems unlikely</w:t>
      </w:r>
      <w:r w:rsidR="00A96EC4">
        <w:t xml:space="preserve"> based on our modeling and other research </w:t>
      </w:r>
      <w:r w:rsidR="00A96EC4">
        <w:fldChar w:fldCharType="begin"/>
      </w:r>
      <w:r w:rsidR="00A96EC4">
        <w:instrText xml:space="preserve"> ADDIN ZOTERO_ITEM CSL_CITATION {"citationID":"PsYihLlH","properties":{"formattedCitation":"(Hanna et al., 2021)","plainCitation":"(Hanna et al., 2021)","noteIndex":0},"citationItems":[{"id":1214,"uris":["http://zotero.org/users/7422708/items/E96FNI2B"],"uri":["http://zotero.org/users/7422708/items/E96FNI2B"],"itemData":{"id":1214,"type":"article-journal","container-title":"Nature Communications","issue":"368","language":"en","page":"13","source":"Zotero","title":"Emergency deployment of direct air capture as a response to the climate crisis","volume":"12","author":[{"family":"Hanna","given":"Ryan"},{"family":"Abdulla","given":"Ahmed"},{"family":"Xu","given":"Yangyang"},{"family":"Victor","given":"David G."}],"issued":{"date-parts":[["2021"]]}}}],"schema":"https://github.com/citation-style-language/schema/raw/master/csl-citation.json"} </w:instrText>
      </w:r>
      <w:r w:rsidR="00A96EC4">
        <w:fldChar w:fldCharType="separate"/>
      </w:r>
      <w:r w:rsidR="00A96EC4" w:rsidRPr="00A96EC4">
        <w:rPr>
          <w:rFonts w:cs="Times New Roman"/>
        </w:rPr>
        <w:t>(Hanna et al., 2021)</w:t>
      </w:r>
      <w:r w:rsidR="00A96EC4">
        <w:fldChar w:fldCharType="end"/>
      </w:r>
      <w:r w:rsidR="00C15F20">
        <w:t>. We also expect that</w:t>
      </w:r>
      <w:r w:rsidR="00A11F65" w:rsidRPr="00BC11C5">
        <w:t xml:space="preserve"> </w:t>
      </w:r>
      <w:r w:rsidR="00A96EC4">
        <w:t xml:space="preserve">in the long run if this billion-tonne goal is approached </w:t>
      </w:r>
      <w:r w:rsidR="00A11F65" w:rsidRPr="00BC11C5">
        <w:t>biochar</w:t>
      </w:r>
      <w:r w:rsidR="00A96EC4">
        <w:t xml:space="preserve"> production</w:t>
      </w:r>
      <w:r w:rsidR="00A11F65" w:rsidRPr="00BC11C5">
        <w:t xml:space="preserve"> will likely face competition</w:t>
      </w:r>
      <w:r w:rsidR="00C15F20">
        <w:t xml:space="preserve"> for</w:t>
      </w:r>
      <w:r w:rsidR="00A11F65" w:rsidRPr="00BC11C5">
        <w:t xml:space="preserve"> feedstock, especially if </w:t>
      </w:r>
      <w:r w:rsidR="00C15F20">
        <w:t xml:space="preserve">numerous bio-based solutions </w:t>
      </w:r>
      <w:r>
        <w:t>ar</w:t>
      </w:r>
      <w:r w:rsidR="008B4DC5">
        <w:t>e</w:t>
      </w:r>
      <w:r>
        <w:t xml:space="preserve"> to increase in parallel</w:t>
      </w:r>
      <w:r w:rsidR="00A11F65" w:rsidRPr="00BC11C5">
        <w:t xml:space="preserve"> </w:t>
      </w:r>
      <w:r w:rsidR="00A11F65" w:rsidRPr="00BC11C5">
        <w:fldChar w:fldCharType="begin"/>
      </w:r>
      <w:r w:rsidR="00444D9E" w:rsidRPr="00BC11C5">
        <w:instrText xml:space="preserve"> ADDIN ZOTERO_ITEM CSL_CITATION {"citationID":"0vz559Sm","properties":{"formattedCitation":"(Rickels et al., 2019; Toensmeier &amp; Garrity, 2020)","plainCitation":"(Rickels et al., 2019; Toensmeier &amp; Garrity, 2020)","noteIndex":0},"citationItems":[{"id":1327,"uris":["http://zotero.org/users/7422708/items/7L3MRIR5"],"uri":["http://zotero.org/users/7422708/items/7L3MRIR5"],"itemData":{"id":1327,"type":"article-journal","container-title":"Environmental Research Letters","DOI":"10.1088/1748-9326/ab3ab4","ISSN":"1748-9326","issue":"10","journalAbbreviation":"Environ. Res. Lett.","language":"en","page":"104004","source":"DOI.org (Crossref)","title":"(Mis)conceptions about modeling of negative emissions technologies","volume":"14","author":[{"family":"Rickels","given":"Wilfried"},{"family":"Merk","given":"Christine"},{"family":"Reith","given":"Fabian"},{"family":"Keller","given":"David P"},{"family":"Oschlies","given":"Andreas"}],"issued":{"date-parts":[["2019",9,30]]}}},{"id":1215,"uris":["http://zotero.org/users/7422708/items/ISEGTA9G"],"uri":["http://zotero.org/users/7422708/items/ISEGTA9G"],"itemData":{"id":1215,"type":"webpage","abstract":"Current plans for drawing down carbon dioxide call for more trees, grasses and crop residues than Earth can spare","container-title":"Scientific American","language":"en","note":"DOI: 10.1038/scientificamerican0820-64","title":"How Climate Change Strategies That Use Biomass Can Be More Realistic","URL":"https://www.scientificamerican.com/article/how-climate-change-strategies-that-use-biomass-can-be-more-realistic/","author":[{"family":"Toensmeier","given":"Eric"},{"family":"Garrity","given":"Dennis"}],"accessed":{"date-parts":[["2021",1,22]]},"issued":{"date-parts":[["2020"]]}}}],"schema":"https://github.com/citation-style-language/schema/raw/master/csl-citation.json"} </w:instrText>
      </w:r>
      <w:r w:rsidR="00A11F65" w:rsidRPr="00BC11C5">
        <w:fldChar w:fldCharType="separate"/>
      </w:r>
      <w:r w:rsidR="00444D9E" w:rsidRPr="00BC11C5">
        <w:rPr>
          <w:rFonts w:cs="Times New Roman"/>
        </w:rPr>
        <w:t>(Rickels et al., 2019; Toensmeier &amp; Garrity, 2020)</w:t>
      </w:r>
      <w:r w:rsidR="00A11F65" w:rsidRPr="00BC11C5">
        <w:fldChar w:fldCharType="end"/>
      </w:r>
      <w:r w:rsidR="00444D9E" w:rsidRPr="00BC11C5">
        <w:t>.</w:t>
      </w:r>
    </w:p>
    <w:p w14:paraId="1D901E02" w14:textId="069383E8" w:rsidR="00C46549" w:rsidRPr="00BC11C5" w:rsidRDefault="00C15F20" w:rsidP="00C46549">
      <w:r>
        <w:t>A benefit of modeling a limited selection of feedstock is that our re</w:t>
      </w:r>
      <w:r w:rsidR="008B4DC5">
        <w:t>sults will be additive to other solutions</w:t>
      </w:r>
      <w:r>
        <w:t xml:space="preserve"> that are also expe</w:t>
      </w:r>
      <w:r w:rsidR="00D67FB2">
        <w:t xml:space="preserve">cted to rely on feedstock, which is sometimes overlooked </w:t>
      </w:r>
      <w:r>
        <w:t>when solution</w:t>
      </w:r>
      <w:r w:rsidR="00D67FB2">
        <w:t xml:space="preserve">s are assessed in isolation, leading to </w:t>
      </w:r>
      <w:r>
        <w:t xml:space="preserve">unrealistic projections and double counting of climate benefits. From this </w:t>
      </w:r>
      <w:r w:rsidR="00F54BDA">
        <w:t>integrated</w:t>
      </w:r>
      <w:r>
        <w:t xml:space="preserve"> standpoint we also acknowledge </w:t>
      </w:r>
      <w:r w:rsidR="007C6782">
        <w:t>that current waste streams could be reduced in the future through circular economy structures that incentivize re-use and m</w:t>
      </w:r>
      <w:r w:rsidR="00F54BDA">
        <w:t>inimize waste. Though this would reduce feedstock availability for solutions like biochar, it would achieve climate benefits farther upstream.</w:t>
      </w:r>
    </w:p>
    <w:p w14:paraId="40DD21BE" w14:textId="3E575F49" w:rsidR="007C1766" w:rsidRDefault="007C6782" w:rsidP="00C46549">
      <w:r>
        <w:t xml:space="preserve">The relatively high technology maturity of pyrolysis for biochar production may be advantageous to its further deployment, but our analysis suggests that this </w:t>
      </w:r>
      <w:r w:rsidR="0070550D">
        <w:t xml:space="preserve">does </w:t>
      </w:r>
      <w:r>
        <w:t xml:space="preserve">not occur cheaply. </w:t>
      </w:r>
      <w:r w:rsidR="0070550D">
        <w:t xml:space="preserve">Our calculated marginal abatement costs </w:t>
      </w:r>
      <w:r w:rsidR="00014905">
        <w:t>of approximately $1</w:t>
      </w:r>
      <w:r w:rsidR="006034EA">
        <w:t>9</w:t>
      </w:r>
      <w:r w:rsidR="00014905">
        <w:t>0/tCO</w:t>
      </w:r>
      <w:r w:rsidR="00014905">
        <w:rPr>
          <w:vertAlign w:val="subscript"/>
        </w:rPr>
        <w:t>2</w:t>
      </w:r>
      <w:r w:rsidR="00014905">
        <w:t>e</w:t>
      </w:r>
      <w:r w:rsidR="00D67FB2">
        <w:t xml:space="preserve"> </w:t>
      </w:r>
      <w:r w:rsidR="0070550D">
        <w:t xml:space="preserve">are </w:t>
      </w:r>
      <w:r w:rsidR="00D67FB2">
        <w:t xml:space="preserve">generally </w:t>
      </w:r>
      <w:r w:rsidR="0070550D">
        <w:t xml:space="preserve">higher than </w:t>
      </w:r>
      <w:r w:rsidR="00D67FB2">
        <w:t xml:space="preserve">most reported in </w:t>
      </w:r>
      <w:r w:rsidR="006034EA">
        <w:t>the</w:t>
      </w:r>
      <w:r w:rsidR="00640E6A">
        <w:t xml:space="preserve"> biochar</w:t>
      </w:r>
      <w:r w:rsidR="00D67FB2">
        <w:t xml:space="preserve"> </w:t>
      </w:r>
      <w:r w:rsidR="0070550D">
        <w:t>literature</w:t>
      </w:r>
      <w:r w:rsidR="00D67FB2">
        <w:t>, where a central range</w:t>
      </w:r>
      <w:r w:rsidR="00014905">
        <w:t xml:space="preserve"> may be </w:t>
      </w:r>
      <w:r w:rsidR="00D67FB2">
        <w:t>considered $30-$120/t</w:t>
      </w:r>
      <w:r w:rsidR="00014905">
        <w:t>CO</w:t>
      </w:r>
      <w:r w:rsidR="00014905">
        <w:rPr>
          <w:vertAlign w:val="subscript"/>
        </w:rPr>
        <w:t>2</w:t>
      </w:r>
      <w:r w:rsidR="00014905">
        <w:t>e</w:t>
      </w:r>
      <w:r w:rsidR="00D67FB2">
        <w:t xml:space="preserve"> </w:t>
      </w:r>
      <w:r w:rsidR="00D67FB2">
        <w:fldChar w:fldCharType="begin"/>
      </w:r>
      <w:r w:rsidR="00D67FB2">
        <w:instrText xml:space="preserve"> ADDIN ZOTERO_ITEM CSL_CITATION {"citationID":"IpXr1diR","properties":{"formattedCitation":"(Fuss et al., 2018)","plainCitation":"(Fuss et al., 2018)","noteIndex":0},"citationItems":[{"id":1173,"uris":["http://zotero.org/users/7422708/items/7B9LZYKG"],"uri":["http://zotero.org/users/7422708/items/7B9LZYKG"],"itemData":{"id":1173,"type":"article-journal","abstract":"The most recent IPCC assessment has shown an important role for negative emissions technologies (NETs) in limiting global warming to 2 ◦C cost-effectively. However, a bottom-up, systematic, reproducible, and transparent literature assessment of the different options to remove CO2 from the atmosphere is currently missing. In part 1 of this three-part review on NETs, we assemble a comprehensive set of the relevant literature so far published, focusing on seven technologies: bioenergy with carbon capture and storage (BECCS), afforestation and reforestation, direct air carbon capture and storage (DACCS), enhanced weathering, ocean fertilisation, biochar, and soil carbon sequestration. In this part, part 2 of the review, we present estimates of costs, potentials, and side-effects for these technologies, and qualify them with the authors’ assessment. Part 3 reviews the innovation and scaling challenges that must be addressed to realise NETs deployment as a viable climate mitigation strategy. Based on a systematic review of the literature, our best estimates for sustainable global NET potentials in 2050 are 0.5–3.6 GtCO2 yr−1 for afforestation and reforestation, 0.5–5 GtCO2 yr−1 for BECCS, 0.5–2 GtCO2 yr−1 for biochar, 2–4 GtCO2 yr−1 for enhanced weathering, 0.5–5 GtCO2 yr−1 for DACCS, and up to 5 GtCO2 yr−1 for soil carbon sequestration. Costs vary widely across the technologies, as do their permanency and cumulative potentials beyond 2050. It is unlikely that a single NET will be able to sustainably meet the rates of carbon uptake described in integrated assessment pathways consistent with 1.5 ◦C of global warming.","container-title":"Environmental Research Letters","DOI":"10.1088/1748-9326/aabf9f","ISSN":"1748-9326","issue":"6","journalAbbreviation":"Environ. Res. Lett.","language":"en","page":"063002","source":"DOI.org (Crossref)","title":"Negative emissions—Part 2: Costs, potentials and side effects","title-short":"Negative emissions—Part 2","volume":"13","author":[{"family":"Fuss","given":"Sabine"},{"family":"Lamb","given":"William F"},{"family":"Callaghan","given":"Max W"},{"family":"Hilaire","given":"Jérôme"},{"family":"Creutzig","given":"Felix"},{"family":"Amann","given":"Thorben"},{"family":"Beringer","given":"Tim"},{"family":"Oliveira Garcia","given":"Wagner","non-dropping-particle":"de"},{"family":"Hartmann","given":"Jens"},{"family":"Khanna","given":"Tarun"},{"family":"Luderer","given":"Gunnar"},{"family":"Nemet","given":"Gregory F"},{"family":"Rogelj","given":"Joeri"},{"family":"Smith","given":"Pete"},{"family":"Vicente","given":"José Luis Vicente"},{"family":"Wilcox","given":"Jennifer"},{"family":"Mar Zamora Dominguez","given":"Maria","non-dropping-particle":"del"},{"family":"Minx","given":"Jan C"}],"issued":{"date-parts":[["2018",6,1]]}}}],"schema":"https://github.com/citation-style-language/schema/raw/master/csl-citation.json"} </w:instrText>
      </w:r>
      <w:r w:rsidR="00D67FB2">
        <w:fldChar w:fldCharType="separate"/>
      </w:r>
      <w:r w:rsidR="00D67FB2" w:rsidRPr="00D67FB2">
        <w:rPr>
          <w:rFonts w:cs="Times New Roman"/>
        </w:rPr>
        <w:t>(Fuss et al., 2018)</w:t>
      </w:r>
      <w:r w:rsidR="00D67FB2">
        <w:fldChar w:fldCharType="end"/>
      </w:r>
      <w:r w:rsidR="00014905">
        <w:t xml:space="preserve">. To compare with similar climate solutions, our estimate for biochar marginal abatement cost is </w:t>
      </w:r>
      <w:r w:rsidR="006034EA">
        <w:t xml:space="preserve">comparable to </w:t>
      </w:r>
      <w:r w:rsidR="00014905">
        <w:t>BECCS, where a central range may be $100-$200/t CO</w:t>
      </w:r>
      <w:r w:rsidR="00014905">
        <w:rPr>
          <w:vertAlign w:val="subscript"/>
        </w:rPr>
        <w:t>2</w:t>
      </w:r>
      <w:r w:rsidR="00014905">
        <w:t>e, and</w:t>
      </w:r>
      <w:r w:rsidR="006034EA">
        <w:t xml:space="preserve"> higher than</w:t>
      </w:r>
      <w:r w:rsidR="00014905">
        <w:t xml:space="preserve"> soil carbon sequestration, in the range of $10-$100/t CO</w:t>
      </w:r>
      <w:r w:rsidR="00014905">
        <w:rPr>
          <w:vertAlign w:val="subscript"/>
        </w:rPr>
        <w:t>2</w:t>
      </w:r>
      <w:r w:rsidR="00014905">
        <w:t xml:space="preserve">e </w:t>
      </w:r>
      <w:r w:rsidR="007C1766">
        <w:fldChar w:fldCharType="begin"/>
      </w:r>
      <w:r w:rsidR="007C1766">
        <w:instrText xml:space="preserve"> ADDIN ZOTERO_ITEM CSL_CITATION {"citationID":"Z1fOLWTn","properties":{"formattedCitation":"(Fuss et al., 2018)","plainCitation":"(Fuss et al., 2018)","noteIndex":0},"citationItems":[{"id":1173,"uris":["http://zotero.org/users/7422708/items/7B9LZYKG"],"uri":["http://zotero.org/users/7422708/items/7B9LZYKG"],"itemData":{"id":1173,"type":"article-journal","abstract":"The most recent IPCC assessment has shown an important role for negative emissions technologies (NETs) in limiting global warming to 2 ◦C cost-effectively. However, a bottom-up, systematic, reproducible, and transparent literature assessment of the different options to remove CO2 from the atmosphere is currently missing. In part 1 of this three-part review on NETs, we assemble a comprehensive set of the relevant literature so far published, focusing on seven technologies: bioenergy with carbon capture and storage (BECCS), afforestation and reforestation, direct air carbon capture and storage (DACCS), enhanced weathering, ocean fertilisation, biochar, and soil carbon sequestration. In this part, part 2 of the review, we present estimates of costs, potentials, and side-effects for these technologies, and qualify them with the authors’ assessment. Part 3 reviews the innovation and scaling challenges that must be addressed to realise NETs deployment as a viable climate mitigation strategy. Based on a systematic review of the literature, our best estimates for sustainable global NET potentials in 2050 are 0.5–3.6 GtCO2 yr−1 for afforestation and reforestation, 0.5–5 GtCO2 yr−1 for BECCS, 0.5–2 GtCO2 yr−1 for biochar, 2–4 GtCO2 yr−1 for enhanced weathering, 0.5–5 GtCO2 yr−1 for DACCS, and up to 5 GtCO2 yr−1 for soil carbon sequestration. Costs vary widely across the technologies, as do their permanency and cumulative potentials beyond 2050. It is unlikely that a single NET will be able to sustainably meet the rates of carbon uptake described in integrated assessment pathways consistent with 1.5 ◦C of global warming.","container-title":"Environmental Research Letters","DOI":"10.1088/1748-9326/aabf9f","ISSN":"1748-9326","issue":"6","journalAbbreviation":"Environ. Res. Lett.","language":"en","page":"063002","source":"DOI.org (Crossref)","title":"Negative emissions—Part 2: Costs, potentials and side effects","title-short":"Negative emissions—Part 2","volume":"13","author":[{"family":"Fuss","given":"Sabine"},{"family":"Lamb","given":"William F"},{"family":"Callaghan","given":"Max W"},{"family":"Hilaire","given":"Jérôme"},{"family":"Creutzig","given":"Felix"},{"family":"Amann","given":"Thorben"},{"family":"Beringer","given":"Tim"},{"family":"Oliveira Garcia","given":"Wagner","non-dropping-particle":"de"},{"family":"Hartmann","given":"Jens"},{"family":"Khanna","given":"Tarun"},{"family":"Luderer","given":"Gunnar"},{"family":"Nemet","given":"Gregory F"},{"family":"Rogelj","given":"Joeri"},{"family":"Smith","given":"Pete"},{"family":"Vicente","given":"José Luis Vicente"},{"family":"Wilcox","given":"Jennifer"},{"family":"Mar Zamora Dominguez","given":"Maria","non-dropping-particle":"del"},{"family":"Minx","given":"Jan C"}],"issued":{"date-parts":[["2018",6,1]]}}}],"schema":"https://github.com/citation-style-language/schema/raw/master/csl-citation.json"} </w:instrText>
      </w:r>
      <w:r w:rsidR="007C1766">
        <w:fldChar w:fldCharType="separate"/>
      </w:r>
      <w:r w:rsidR="007C1766" w:rsidRPr="007C1766">
        <w:rPr>
          <w:rFonts w:cs="Times New Roman"/>
        </w:rPr>
        <w:t>(Fuss et al., 2018)</w:t>
      </w:r>
      <w:r w:rsidR="007C1766">
        <w:fldChar w:fldCharType="end"/>
      </w:r>
      <w:r w:rsidR="007C1766">
        <w:t>. A lower marginal abatement</w:t>
      </w:r>
      <w:r w:rsidR="008B4DC5">
        <w:t xml:space="preserve"> cost estimate could be modeled</w:t>
      </w:r>
      <w:r w:rsidR="007C1766">
        <w:t xml:space="preserve"> by considering lower first costs, lower operating costs,</w:t>
      </w:r>
      <w:r w:rsidR="00D67FB2">
        <w:t xml:space="preserve"> and</w:t>
      </w:r>
      <w:r w:rsidR="007C1766">
        <w:t xml:space="preserve"> </w:t>
      </w:r>
      <w:r w:rsidR="008B4DC5">
        <w:t>expanded</w:t>
      </w:r>
      <w:r w:rsidR="007C1766">
        <w:t xml:space="preserve"> life-cycle </w:t>
      </w:r>
      <w:r w:rsidR="008B4DC5">
        <w:t>emissions reductions.</w:t>
      </w:r>
    </w:p>
    <w:p w14:paraId="5D9C2DB9" w14:textId="060A79E1" w:rsidR="00C46549" w:rsidRPr="00BC11C5" w:rsidRDefault="00505744" w:rsidP="00C46549">
      <w:r>
        <w:t>Product revenues could play an additional role in reducing the biochar marginal abatement cost.</w:t>
      </w:r>
      <w:r w:rsidR="00F13195" w:rsidRPr="00BC11C5">
        <w:t xml:space="preserve"> We identified a </w:t>
      </w:r>
      <w:r>
        <w:t>wide range of prices in the literature.</w:t>
      </w:r>
      <w:r w:rsidR="00F13195" w:rsidRPr="00BC11C5">
        <w:t xml:space="preserve"> </w:t>
      </w:r>
      <w:r>
        <w:t>Though biochar producers likely expect a significant product revenue, it is not clear what this market would look like in terms of end use, product transport, and price under a massive deployment for CDR</w:t>
      </w:r>
      <w:r w:rsidR="00640E6A">
        <w:t xml:space="preserve"> purposes</w:t>
      </w:r>
      <w:r>
        <w:t xml:space="preserve">. Including this in our model </w:t>
      </w:r>
      <w:r w:rsidR="00D67FB2">
        <w:t>could</w:t>
      </w:r>
      <w:r w:rsidR="00F13195" w:rsidRPr="00BC11C5">
        <w:t xml:space="preserve"> reduce operating costs and in turn marginal abatement costs, </w:t>
      </w:r>
      <w:r>
        <w:t xml:space="preserve">but we do not currently consider this effect. Our approach is consistent with another CDR modeling effort that includes biochar but does not examine associated </w:t>
      </w:r>
      <w:r w:rsidR="00603E2C">
        <w:t xml:space="preserve">product revenues </w:t>
      </w:r>
      <w:r>
        <w:fldChar w:fldCharType="begin"/>
      </w:r>
      <w:r>
        <w:instrText xml:space="preserve"> ADDIN ZOTERO_ITEM CSL_CITATION {"citationID":"eY8eNCNl","properties":{"formattedCitation":"(Baker et al., 2020)","plainCitation":"(Baker et al., 2020)","noteIndex":0},"citationItems":[{"id":1344,"uris":["http://zotero.org/users/7422708/items/ZE77R4IH"],"uri":["http://zotero.org/users/7422708/items/ZE77R4IH"],"itemData":{"id":1344,"type":"article","publisher":"Lawrence Livermore National Laboratory","title":"Getting to Neutral: Options for negative carbon emissions in California","URL":"LLNL-TR-796100","author":[{"family":"Baker","given":"Sarah E."},{"family":"Stolaroff","given":"Joshua K."},{"family":"Peridas","given":"George"},{"family":"Pang","given":"Simon H."},{"family":"Goldstein","given":"Hannah M."},{"family":"Lucci","given":"Felicia R."},{"family":"Li","given":"Wenquin"},{"family":"Slessarev","given":"Eric W."},{"family":"Pett-Ridge","given":"Jennifer"},{"family":"Ryerson","given":"Frederick J."},{"family":"Wagoner","given":"Jeff L."},{"family":"Kirkendall","given":"Whitney"},{"family":"Aines","given":"Roger D."},{"family":"Sanchez","given":"Daniel L."},{"family":"Cabiyo","given":"Bodie"},{"family":"Baker","given":"Joffre"},{"family":"McCoy","given":"Sean"},{"family":"Uden","given":"Sam"},{"family":"Runnenbaum","given":"Ron"},{"family":"Wilcox, Jennifer","given":""},{"family":"Psarras","given":"Peter C."},{"family":"Pilorge","given":"Helene"},{"family":"McQueen","given":"Noah"},{"family":"Maynard","given":"Daniel"},{"family":"McCormick","given":"Colin"}],"issued":{"date-parts":[["2020",1]]}}}],"schema":"https://github.com/citation-style-language/schema/raw/master/csl-citation.json"} </w:instrText>
      </w:r>
      <w:r>
        <w:fldChar w:fldCharType="separate"/>
      </w:r>
      <w:r w:rsidRPr="00505744">
        <w:rPr>
          <w:rFonts w:cs="Times New Roman"/>
        </w:rPr>
        <w:t>(Baker et al., 2020)</w:t>
      </w:r>
      <w:r>
        <w:fldChar w:fldCharType="end"/>
      </w:r>
      <w:r>
        <w:t>.</w:t>
      </w:r>
    </w:p>
    <w:p w14:paraId="319DCBD8" w14:textId="093708DE" w:rsidR="006745FF" w:rsidRDefault="006745FF" w:rsidP="00483FFA">
      <w:pPr>
        <w:pStyle w:val="Heading2"/>
        <w:numPr>
          <w:ilvl w:val="1"/>
          <w:numId w:val="26"/>
        </w:numPr>
      </w:pPr>
      <w:bookmarkStart w:id="80" w:name="_Toc68791456"/>
      <w:bookmarkStart w:id="81" w:name="_Toc68791457"/>
      <w:bookmarkEnd w:id="80"/>
      <w:r w:rsidRPr="00BC11C5">
        <w:t>Limitations</w:t>
      </w:r>
      <w:bookmarkEnd w:id="81"/>
    </w:p>
    <w:p w14:paraId="0A9B9560" w14:textId="3A15AD69" w:rsidR="00B4615B" w:rsidRPr="00B4615B" w:rsidRDefault="00D67FB2" w:rsidP="00B4615B">
      <w:r w:rsidRPr="00D67FB2">
        <w:t xml:space="preserve">Project Drawdown’s models are updated periodically as new data and methods become available. </w:t>
      </w:r>
      <w:r w:rsidR="008B4DC5">
        <w:t>T</w:t>
      </w:r>
      <w:r w:rsidR="00603E2C">
        <w:t xml:space="preserve">he bottom-up nature of the methodology for arriving at global estimates inherently includes uncertainty, assumptions, and simplifications. In addition to those discussed above, we elaborate here on modeling limitations and suggest areas for further development. </w:t>
      </w:r>
    </w:p>
    <w:p w14:paraId="1F478D83" w14:textId="71181F2D" w:rsidR="00107E9F" w:rsidRPr="00603E2C" w:rsidRDefault="00603E2C" w:rsidP="00603E2C">
      <w:r>
        <w:t xml:space="preserve">Our literature review identified several estimates of the durability of recalcitrant carbon in biochar, and what fraction of the biochar product it represents. We assume for simplification that the recalcitrant fraction is fixed and durability is consistent across end uses, but this is likely to vary in practice. It seems that more precise estimates may be obtained by examining elemental ratios within the biochar product </w:t>
      </w:r>
      <w:r>
        <w:fldChar w:fldCharType="begin"/>
      </w:r>
      <w:r>
        <w:instrText xml:space="preserve"> ADDIN ZOTERO_ITEM CSL_CITATION {"citationID":"C3UN8bq9","properties":{"formattedCitation":"(Woolf et al., 2018)","plainCitation":"(Woolf et al., 2018)","noteIndex":0},"citationItems":[{"id":1269,"uris":["http://zotero.org/users/7422708/items/TUG9QXJR"],"uri":["http://zotero.org/users/7422708/items/TUG9QXJR"],"itemData":{"id":1269,"type":"chapter","container-title":"Soil and Climate","edition":"1","event-place":"Boca Raton, FL : CRC Press, Taylor &amp; Francis Group, 2018. | Series: Advances in soil science","ISBN":"978-0-429-48726-2","language":"en","note":"DOI: 10.1201/b21225-8","page":"219-248","publisher":"CRC Press","publisher-place":"Boca Raton, FL : CRC Press, Taylor &amp; Francis Group, 2018. | Series: Advances in soil science","source":"DOI.org (Crossref)","title":"Biochar for Climate Change Mitigation","URL":"https://www.taylorfrancis.com/books/9780429945458/chapters/10.1201/b21225-8","editor":[{"family":"Lal","given":"Rattan"},{"family":"Stewart","given":"B. A."}],"author":[{"family":"Woolf","given":"Dominic"},{"family":"Lehmann","given":"Johannes"},{"family":"Cowie","given":"Annette"},{"family":"Cayuela","given":"Maria Luz"},{"family":"Whitman","given":"Thea"},{"family":"Sohi","given":"Saran"}],"accessed":{"date-parts":[["2021",2,4]]},"issued":{"date-parts":[["2018",9,3]]}}}],"schema":"https://github.com/citation-style-language/schema/raw/master/csl-citation.json"} </w:instrText>
      </w:r>
      <w:r>
        <w:fldChar w:fldCharType="separate"/>
      </w:r>
      <w:r w:rsidRPr="00603E2C">
        <w:rPr>
          <w:rFonts w:cs="Times New Roman"/>
        </w:rPr>
        <w:t>(Woolf et al., 2018)</w:t>
      </w:r>
      <w:r>
        <w:fldChar w:fldCharType="end"/>
      </w:r>
      <w:r>
        <w:t>, though this would require greater characterization and stan</w:t>
      </w:r>
      <w:r w:rsidR="00D67FB2">
        <w:t>dardization of products</w:t>
      </w:r>
      <w:r>
        <w:t xml:space="preserve"> termed </w:t>
      </w:r>
      <w:r>
        <w:rPr>
          <w:i/>
        </w:rPr>
        <w:t>biochar</w:t>
      </w:r>
      <w:r>
        <w:t xml:space="preserve">. </w:t>
      </w:r>
      <w:r w:rsidR="00AB0679">
        <w:t xml:space="preserve">Determining the variation in carbon fate among end uses will require additional longer-term studies. This is also the case for modeling the climate co-benefits of biochar application, which are for the current time too heterogeneous to model globally. </w:t>
      </w:r>
    </w:p>
    <w:p w14:paraId="737CF2F0" w14:textId="4954C991" w:rsidR="00B4615B" w:rsidRPr="00BC11C5" w:rsidRDefault="00B4615B" w:rsidP="00B4615B">
      <w:r w:rsidRPr="00BC11C5">
        <w:t>We model facilities that are optimized for the yi</w:t>
      </w:r>
      <w:r w:rsidR="00D67FB2">
        <w:t>eld of biochar; however, a</w:t>
      </w:r>
      <w:r w:rsidRPr="00BC11C5">
        <w:t xml:space="preserve"> variety of co-products, including energy, can be produced in conjunction with biochar. Such a biorefinery approach has existed for decades, especially within the biofuels arena, and we expect that it will apply to some combination of biochar facilities in the future</w:t>
      </w:r>
      <w:r w:rsidR="006034EA">
        <w:t xml:space="preserve"> and may serve as an important transition to developing CDR technologies such as BECCS </w:t>
      </w:r>
      <w:r w:rsidR="006034EA">
        <w:fldChar w:fldCharType="begin"/>
      </w:r>
      <w:r w:rsidR="006034EA">
        <w:instrText xml:space="preserve"> ADDIN ZOTERO_ITEM CSL_CITATION {"citationID":"GGTm8eXg","properties":{"formattedCitation":"(Woolf et al., 2016; Yang et al., 2021)","plainCitation":"(Woolf et al., 2016; Yang et al., 2021)","noteIndex":0},"citationItems":[{"id":1394,"uris":["http://zotero.org/users/7422708/items/7LAJYHHC"],"uri":["http://zotero.org/users/7422708/items/7LAJYHHC"],"itemData":{"id":1394,"type":"article-journal","container-title":"Nature Communications","DOI":"10.1038/ncomms13160","ISSN":"2041-1723","issue":"1","journalAbbreviation":"Nat Commun","language":"en","page":"13160","source":"DOI.org (Crossref)","title":"Optimal bioenergy power generation for climate change mitigation with or without carbon sequestration","volume":"7","author":[{"family":"Woolf","given":"Dominic"},{"family":"Lehmann","given":"Johannes"},{"family":"Lee","given":"David R."}],"issued":{"date-parts":[["2016",12]]}}},{"id":1448,"uris":["http://zotero.org/users/7422708/items/HX7V9J59"],"uri":["http://zotero.org/users/7422708/items/HX7V9J59"],"itemData":{"id":1448,"type":"article-journal","abstract":"Abstract\n            \n              Recognizing that bioenergy with carbon capture and storage (BECCS) may still take years to mature, this study focuses on another photosynthesis-based, negative-carbon technology that is readier to implement in China: biomass intermediate pyrolysis poly-generation (BIPP). Here we find that a BIPP system can be profitable without subsidies, while its national deployment could contribute to a 61% reduction of carbon emissions per unit of gross domestic product in 2030 compared to 2005 and result additionally in a reduction in air pollutant emissions. With 73% of national crop residues used between 2020 and 2030, the cumulative greenhouse gas (GHG) reduction could reach up to 8620 Mt CO\n              2\n              -eq by 2050, contributing 13–31% of the global GHG emission reduction goal for BECCS, and nearly 4555 Mt more than that projected for BECCS alone in China. Thus, China’s BIPP deployment could have an important influence on achieving both national and global GHG emissions reduction targets.","container-title":"Nature Communications","DOI":"10.1038/s41467-021-21868-z","ISSN":"2041-1723","issue":"1","journalAbbreviation":"Nat Commun","language":"en","page":"1698","source":"DOI.org (Crossref)","title":"Prospective contributions of biomass pyrolysis to China’s 2050 carbon reduction and renewable energy goals","volume":"12","author":[{"family":"Yang","given":"Qing"},{"family":"Zhou","given":"Hewen"},{"family":"Bartocci","given":"Pietro"},{"family":"Fantozzi","given":"Francesco"},{"family":"Mašek","given":"Ondřej"},{"family":"Agblevor","given":"Foster A."},{"family":"Wei","given":"Zhiyu"},{"family":"Yang","given":"Haiping"},{"family":"Chen","given":"Hanping"},{"family":"Lu","given":"Xi"},{"family":"Chen","given":"Guoqian"},{"family":"Zheng","given":"Chuguang"},{"family":"Nielsen","given":"Chris P."},{"family":"McElroy","given":"Michael B."}],"issued":{"date-parts":[["2021",12]]}}}],"schema":"https://github.com/citation-style-language/schema/raw/master/csl-citation.json"} </w:instrText>
      </w:r>
      <w:r w:rsidR="006034EA">
        <w:fldChar w:fldCharType="separate"/>
      </w:r>
      <w:r w:rsidR="006034EA" w:rsidRPr="006034EA">
        <w:rPr>
          <w:rFonts w:cs="Times New Roman"/>
        </w:rPr>
        <w:t>(Woolf et al., 2016; Yang et al., 2021)</w:t>
      </w:r>
      <w:r w:rsidR="006034EA">
        <w:fldChar w:fldCharType="end"/>
      </w:r>
      <w:r w:rsidRPr="00BC11C5">
        <w:t xml:space="preserve">. Modeling this will require additional data, namely product yields, their impacts, and their intended uses. </w:t>
      </w:r>
    </w:p>
    <w:p w14:paraId="3D451600" w14:textId="60179ABC" w:rsidR="00B4615B" w:rsidRPr="00BC11C5" w:rsidRDefault="00B4615B" w:rsidP="00B4615B">
      <w:r w:rsidRPr="00BC11C5">
        <w:t xml:space="preserve">The ability of biochar to store carbon for long periods may emerge as its most valuable attribute. Both voluntary and compliance carbon markets are likely to recognize this value and potentially attract increased focus to biochar production as a </w:t>
      </w:r>
      <w:r w:rsidR="008B4DC5">
        <w:t>CDR</w:t>
      </w:r>
      <w:r w:rsidRPr="00BC11C5">
        <w:t xml:space="preserve"> method. Though Project Drawdown’s solution models do not</w:t>
      </w:r>
      <w:r>
        <w:t xml:space="preserve"> explicitly examine the effect of</w:t>
      </w:r>
      <w:r w:rsidRPr="00BC11C5">
        <w:t xml:space="preserve"> a carbon price, we expect biochar production could benefit from one. </w:t>
      </w:r>
    </w:p>
    <w:p w14:paraId="43BAECBB" w14:textId="7EE698AA" w:rsidR="006034EA" w:rsidRDefault="008B4DC5" w:rsidP="00B4615B">
      <w:pPr>
        <w:rPr>
          <w:lang w:val="fr-FR"/>
        </w:rPr>
      </w:pPr>
      <w:r>
        <w:t>New biochar feedstock</w:t>
      </w:r>
      <w:r w:rsidR="00B4615B" w:rsidRPr="00BC11C5">
        <w:t xml:space="preserve"> categories are emerging. </w:t>
      </w:r>
      <w:r w:rsidR="006034EA">
        <w:t>T</w:t>
      </w:r>
      <w:r w:rsidR="00B4615B" w:rsidRPr="00BC11C5">
        <w:t xml:space="preserve">he expansion of sustainably-sourced biogenic feedstocks is expected to increase </w:t>
      </w:r>
      <w:r w:rsidR="00AB0679">
        <w:t xml:space="preserve">biochar </w:t>
      </w:r>
      <w:r w:rsidR="00B4615B" w:rsidRPr="00BC11C5">
        <w:t xml:space="preserve">emissions reductions </w:t>
      </w:r>
      <w:r w:rsidR="00AB0679">
        <w:t xml:space="preserve">potential </w:t>
      </w:r>
      <w:r w:rsidR="00B4615B" w:rsidRPr="00BC11C5">
        <w:t>and cost savings at scale.</w:t>
      </w:r>
      <w:r w:rsidR="006034EA">
        <w:t xml:space="preserve"> In an update to this model compared to our previous version, we modeled the emergence of macroalgae as a potential future source of biogenic feedstock for biochar and other solutions. Use of macroalgae in biochar production has been previously examined and may have the additional benefit of reducing land use competition with other feedstock-based solutions </w:t>
      </w:r>
      <w:r w:rsidR="006034EA">
        <w:fldChar w:fldCharType="begin"/>
      </w:r>
      <w:r w:rsidR="006034EA">
        <w:instrText xml:space="preserve"> ADDIN ZOTERO_ITEM CSL_CITATION {"citationID":"NC4aSIiT","properties":{"formattedCitation":"(Bird et al., 2011; D. A. Roberts et al., 2015; Smith et al., 2019; Yang et al., 2021)","plainCitation":"(Bird et al., 2011; D. A. Roberts et al., 2015; Smith et al., 2019; Yang et al., 2021)","noteIndex":0},"citationItems":[{"id":1452,"uris":["http://zotero.org/users/7422708/items/Y7RY3T2Y"],"uri":["http://zotero.org/users/7422708/items/Y7RY3T2Y"],"itemData":{"id":1452,"type":"article-journal","abstract":"This study presents baseline data on the physiochemical properties and potential uses of macroalgal (seaweed) biochar produced by pyrolysis of eight species of green tide algae sourced from fresh, brackish and marine environments. All of the biochars produced are comparatively low in carbon content, surface area and cation exchange capacity, but high in pH, ash, nitrogen and extractable inorganic nutrients including P, K, Ca and Mg. The biochars are more similar in characteristics to those produced from poultry litter relative to those derived from ligno-cellulosic feedstocks. This means that, like poultry litter biochar, macroalgal biochar has properties that provide direct nutrient beneﬁts to soils and thereby to crop productivity, and will be particularly useful for application on acidic soils. However, macroalgal biochars are volumetrically less able to provide the carbon sequestration beneﬁts of the high carbon ligno-cellulosic biochars.","container-title":"Bioresource Technology","DOI":"10.1016/j.biortech.2010.07.106","ISSN":"09608524","issue":"2","journalAbbreviation":"Bioresource Technology","language":"en","page":"1886-1891","source":"DOI.org (Crossref)","title":"Algal biochar – production and properties","volume":"102","author":[{"family":"Bird","given":"Michael I."},{"family":"Wurster","given":"Christopher M."},{"family":"Paula Silva","given":"Pedro H.","non-dropping-particle":"de"},{"family":"Bass","given":"Adrian M."},{"family":"Nys","given":"Rocky","non-dropping-particle":"de"}],"issued":{"date-parts":[["2011",1]]}}},{"id":1433,"uris":["http://zotero.org/users/7422708/items/UUGXS4QQ"],"uri":["http://zotero.org/users/7422708/items/UUGXS4QQ"],"itemData":{"id":1433,"type":"article-journal","container-title":"Scientific Reports","DOI":"10.1038/srep09665","ISSN":"2045-2322","issue":"1","journalAbbreviation":"Sci Rep","language":"en","page":"9665","source":"DOI.org (Crossref)","title":"Biochar from commercially cultivated seaweed for soil amelioration","volume":"5","author":[{"family":"Roberts","given":"David A."},{"family":"Paul","given":"Nicholas A."},{"family":"Dworjanyn","given":"Symon A."},{"family":"Bird","given":"Michael I."},{"family":"Nys","given":"Rocky","non-dropping-particle":"de"}],"issued":{"date-parts":[["2015",9]]}}},{"id":1335,"uris":["http://zotero.org/users/7422708/items/JE65VI7M"],"uri":["http://zotero.org/users/7422708/items/JE65VI7M"],"itemData":{"id":1335,"type":"article-journal","abstract":"Land-management options for greenhouse gas removal (GGR) include afforestation or reforestation (AR), wetland restoration, soil carbon sequestration (SCS), biochar, terrestrial enhanced weathering (TEW), and bioenergy with carbon capture and storage (BECCS). We assess the opportunities and risks associated with these options through the lens of their potential impacts on ecosystem services (Nature’s Contributions to People; NCPs) and the United Nations Sustainable Development Goals (SDGs). We find that all land-based GGR options contribute positively to at least some NCPs and SDGs. Wetland restoration and SCS almost exclusively deliver positive impacts. A few GGR options, such as afforestation, BECCS, and biochar potentially impact negatively some NCPs and SDGs, particularly when implemented at scale, largely through competition for land. For those that present risks or are least understood, more research is required, and demonstration projects need to proceed with caution. For options that present low risks and provide cobenefits, implementation can proceed more rapidly following no-regrets principles.","container-title":"Annual Review of Environment and Resources","DOI":"10.1146/annurev-environ-101718-033129","ISSN":"1543-5938, 1545-2050","issue":"1","journalAbbreviation":"Annu. Rev. Environ. Resour.","language":"en","page":"255-286","source":"DOI.org (Crossref)","title":"Land-Management Options for Greenhouse Gas Removal and Their Impacts on Ecosystem Services and the Sustainable Development Goals","volume":"44","author":[{"family":"Smith","given":"Pete"},{"family":"Adams","given":"Justin"},{"family":"Beerling","given":"David J."},{"family":"Beringer","given":"Tim"},{"family":"Calvin","given":"Katherine V."},{"family":"Fuss","given":"Sabine"},{"family":"Griscom","given":"Bronson"},{"family":"Hagemann","given":"Nikolas"},{"family":"Kammann","given":"Claudia"},{"family":"Kraxner","given":"Florian"},{"family":"Minx","given":"Jan C."},{"family":"Popp","given":"Alexander"},{"family":"Renforth","given":"Phil"},{"family":"Vicente Vicente","given":"Jose Luis"},{"family":"Keesstra","given":"Saskia"}],"issued":{"date-parts":[["2019",10,17]]}}},{"id":1448,"uris":["http://zotero.org/users/7422708/items/HX7V9J59"],"uri":["http://zotero.org/users/7422708/items/HX7V9J59"],"itemData":{"id":1448,"type":"article-journal","abstract":"Abstract\n            \n              Recognizing that bioenergy with carbon capture and storage (BECCS) may still take years to mature, this study focuses on another photosynthesis-based, negative-carbon technology that is readier to implement in China: biomass intermediate pyrolysis poly-generation (BIPP). Here we find that a BIPP system can be profitable without subsidies, while its national deployment could contribute to a 61% reduction of carbon emissions per unit of gross domestic product in 2030 compared to 2005 and result additionally</w:instrText>
      </w:r>
      <w:r w:rsidR="006034EA" w:rsidRPr="00863C91">
        <w:rPr>
          <w:lang w:val="fr-FR"/>
        </w:rPr>
        <w:instrText xml:space="preserve"> in a reduction in air pollutant emissions. With 73% of national crop residues used between 2020 and 2030, the cumulative greenhouse gas (GHG) reduction could reach up to 8620 Mt CO\n              2\n              -eq by 2050, contributing 13–31% of the global GHG emission reduction goal for BECCS, and nearly 4555 Mt more than that projected for BECCS alone in China. Thus, China’s BIPP deployment could have an important influence on achieving both national and global GHG emissions reduction targets.","container-title":"Nature Communications","DOI":"10.1038/s41467-021-21868-z","ISSN":"2041-1723","issue":"1","journalAbbreviation":"Nat Commun","language":"en","page":"1698","source":"DOI.org (Crossref)","title":"Prospective contributions of biomass pyrolysis to China’s 2050 carbon reduction and renewable energy goals","volume":"12","author":[{"family":"Yang","given":"Qing"},{"family":"Zhou","given":"Hewen"},{"family":"Bartocci","given":"Pietro"},{"family":"Fantozzi","given":"Francesco"},{"family":"Mašek","given":"Ondřej"},{"family":"Agblevor","given":"Foster A."},{"family":"Wei","given":"Zhiyu"},{"family":"Yang","given":"Haiping"},{"family":"Chen","given":"Hanping"},{"family":"Lu","given":"Xi"},{"family":"Chen","given":"Guoqian"},{"family":"Zheng","given":"Chuguang"},{"family":"Nielsen","given":"Chris P."},{"family":"McElroy","given":"Michael B."}],"issued":{"date-parts":[["2021",12]]}}}],"schema":"https://github.com/citation-style-language/schema/raw/master/csl-citation.json"} </w:instrText>
      </w:r>
      <w:r w:rsidR="006034EA">
        <w:fldChar w:fldCharType="separate"/>
      </w:r>
      <w:r w:rsidR="006034EA" w:rsidRPr="00863C91">
        <w:rPr>
          <w:rFonts w:cs="Times New Roman"/>
          <w:lang w:val="fr-FR"/>
        </w:rPr>
        <w:t>(Bird et al., 2011; D. A. Roberts et al., 2015; Smith et al., 2019; Yang et al., 2021)</w:t>
      </w:r>
      <w:r w:rsidR="006034EA">
        <w:fldChar w:fldCharType="end"/>
      </w:r>
      <w:r w:rsidR="006034EA" w:rsidRPr="00863C91">
        <w:rPr>
          <w:lang w:val="fr-FR"/>
        </w:rPr>
        <w:t xml:space="preserve">. </w:t>
      </w:r>
      <w:r w:rsidR="00B4615B" w:rsidRPr="00863C91">
        <w:rPr>
          <w:lang w:val="fr-FR"/>
        </w:rPr>
        <w:t xml:space="preserve">  </w:t>
      </w:r>
    </w:p>
    <w:p w14:paraId="5DF47FFE" w14:textId="6F7BAED0" w:rsidR="00B4615B" w:rsidRPr="00BC11C5" w:rsidRDefault="006034EA" w:rsidP="00B4615B">
      <w:r w:rsidRPr="00863C91">
        <w:t xml:space="preserve">Other </w:t>
      </w:r>
      <w:r>
        <w:t>P</w:t>
      </w:r>
      <w:r w:rsidR="00B4615B" w:rsidRPr="00BC11C5">
        <w:t>rominent examples of emerging feedstocks are biosolids and construction and demolition wastes. These are expected to be avail</w:t>
      </w:r>
      <w:r w:rsidR="00B4615B">
        <w:t xml:space="preserve">able at significant scale – </w:t>
      </w:r>
      <w:r w:rsidR="00B4615B" w:rsidRPr="00BC11C5">
        <w:t xml:space="preserve">about 8 million and 15 million tons, respectively </w:t>
      </w:r>
      <w:r w:rsidR="008B4DC5">
        <w:t xml:space="preserve">could at present be annually </w:t>
      </w:r>
      <w:r w:rsidR="00B4615B" w:rsidRPr="00BC11C5">
        <w:t>available for conversion in the USA (Langholtz et al., 2016). However, these feedstocks face similar challenges of transport, aggregation, and separation from their parent streams. We also acknowledge emerging approaches to restore degraded lands and produce a combination of crops and woody biomass at the com</w:t>
      </w:r>
      <w:r w:rsidR="00AB0679">
        <w:t>munity level. S</w:t>
      </w:r>
      <w:r w:rsidR="00B4615B" w:rsidRPr="00BC11C5">
        <w:t>ynergistic combinations of coppiced fertilize</w:t>
      </w:r>
      <w:r w:rsidR="00AB0679">
        <w:t>r shrubs and food crops,</w:t>
      </w:r>
      <w:r w:rsidR="00B4615B" w:rsidRPr="00BC11C5">
        <w:t xml:space="preserve"> among other forms o</w:t>
      </w:r>
      <w:r w:rsidR="008B4DC5">
        <w:t>f agroforestry, have</w:t>
      </w:r>
      <w:r w:rsidR="00B4615B" w:rsidRPr="00BC11C5">
        <w:t xml:space="preserve"> potential for biochar production and other bio-based climate solutions (IRENA, 2017; Toensmeier &amp; Garrity, 2020).</w:t>
      </w:r>
      <w:r>
        <w:t xml:space="preserve"> </w:t>
      </w:r>
    </w:p>
    <w:p w14:paraId="35720D82" w14:textId="79C695C7" w:rsidR="00B4615B" w:rsidRDefault="00B4615B" w:rsidP="00B4615B">
      <w:r w:rsidRPr="00BC11C5">
        <w:t xml:space="preserve">Our current review likely does not capture small-scale developments that may be taking place and advancing the biochar industry. </w:t>
      </w:r>
      <w:r>
        <w:t>From a modeling perspective the spectrum of implementation scales presents challenges, though from an implementation perspective this may be an advantageous attribute of biochar production. Industry data on production across all scales would enable modeling efforts to better capture such devel</w:t>
      </w:r>
      <w:r w:rsidR="008B4DC5">
        <w:t>opments. It is also apparent that</w:t>
      </w:r>
      <w:r>
        <w:t xml:space="preserve"> both technological scale-up and scale-out processes may come with cost reduction</w:t>
      </w:r>
      <w:r w:rsidR="008B4DC5">
        <w:t>s</w:t>
      </w:r>
      <w:r>
        <w:t xml:space="preserve"> from learning.</w:t>
      </w:r>
      <w:r w:rsidR="00D67FB2">
        <w:t xml:space="preserve"> W</w:t>
      </w:r>
      <w:r w:rsidR="008B4DC5">
        <w:t>e have not modeled these yet as we</w:t>
      </w:r>
      <w:r w:rsidR="00D67FB2">
        <w:t xml:space="preserve"> found no significant differences in financial inputs between this updated model and our previous version. </w:t>
      </w:r>
      <w:r>
        <w:t>There is</w:t>
      </w:r>
      <w:r w:rsidR="00D67FB2">
        <w:t xml:space="preserve"> currently an apparent</w:t>
      </w:r>
      <w:r>
        <w:t xml:space="preserve"> paradox in development where the technological sub-processes are relatively mature, implying low potential for further learning, but deployment to date has been limited, implying that scale-out could in fact bring cost reductions. </w:t>
      </w:r>
    </w:p>
    <w:p w14:paraId="7454D80C" w14:textId="3326243A" w:rsidR="00434F61" w:rsidRDefault="551A77D0" w:rsidP="00EB247F">
      <w:pPr>
        <w:pStyle w:val="Heading1"/>
        <w:numPr>
          <w:ilvl w:val="0"/>
          <w:numId w:val="26"/>
        </w:numPr>
      </w:pPr>
      <w:bookmarkStart w:id="82" w:name="_Toc68791458"/>
      <w:r w:rsidRPr="00BC11C5">
        <w:t>References</w:t>
      </w:r>
      <w:bookmarkEnd w:id="82"/>
    </w:p>
    <w:p w14:paraId="2F7F904C" w14:textId="77777777" w:rsidR="006034EA" w:rsidRDefault="00274B1A" w:rsidP="006034EA">
      <w:pPr>
        <w:pStyle w:val="Bibliography"/>
      </w:pPr>
      <w:r>
        <w:fldChar w:fldCharType="begin"/>
      </w:r>
      <w:r w:rsidR="00D82ED6">
        <w:instrText xml:space="preserve"> ADDIN ZOTERO_BIBL {"uncited":[],"omitted":[],"custom":[]} CSL_BIBLIOGRAPHY </w:instrText>
      </w:r>
      <w:r>
        <w:fldChar w:fldCharType="separate"/>
      </w:r>
      <w:r w:rsidR="006034EA">
        <w:t xml:space="preserve">Amonette, J. E., Blanco-Canqui, H., Hassebrook, C., Laird, D. A., Lal, R., Lehmann, J., &amp; Page-Dumroese, D. (2021). Integrated biochar research: A roadmap. </w:t>
      </w:r>
      <w:r w:rsidR="006034EA">
        <w:rPr>
          <w:i/>
          <w:iCs/>
        </w:rPr>
        <w:t>Journal of Soil and Water Conservation</w:t>
      </w:r>
      <w:r w:rsidR="006034EA">
        <w:t>, 6.</w:t>
      </w:r>
    </w:p>
    <w:p w14:paraId="4BCF910B" w14:textId="77777777" w:rsidR="006034EA" w:rsidRDefault="006034EA" w:rsidP="006034EA">
      <w:pPr>
        <w:pStyle w:val="Bibliography"/>
      </w:pPr>
      <w:r>
        <w:t xml:space="preserve">ANZBIG. (2020). </w:t>
      </w:r>
      <w:r>
        <w:rPr>
          <w:i/>
          <w:iCs/>
        </w:rPr>
        <w:t>National Bioenergy Roadmap Submission—The Significant Role for Biochar in Australia</w:t>
      </w:r>
      <w:r>
        <w:t>. Australia New Zealand Biochar Initiative, inc. https://anzbig.org/wp-content/uploads/2020/07/Part-2-ANZBI-Submission_National-Bioenergy-Roadmap_June-2020.pdf</w:t>
      </w:r>
    </w:p>
    <w:p w14:paraId="74FC403D" w14:textId="77777777" w:rsidR="006034EA" w:rsidRDefault="006034EA" w:rsidP="006034EA">
      <w:pPr>
        <w:pStyle w:val="Bibliography"/>
      </w:pPr>
      <w:r>
        <w:t xml:space="preserve">Argonne National Laboratory. (2020). </w:t>
      </w:r>
      <w:r>
        <w:rPr>
          <w:i/>
          <w:iCs/>
        </w:rPr>
        <w:t>GREET (Greenhouse gases, Regulated Emissions, and Energy use in Technology) Model</w:t>
      </w:r>
      <w:r>
        <w:t>. Argonne National Laboratory. https://greet.es.anl.gov/</w:t>
      </w:r>
    </w:p>
    <w:p w14:paraId="0C395DEC" w14:textId="77777777" w:rsidR="006034EA" w:rsidRDefault="006034EA" w:rsidP="006034EA">
      <w:pPr>
        <w:pStyle w:val="Bibliography"/>
      </w:pPr>
      <w:r>
        <w:t xml:space="preserve">Baker, S. E., Stolaroff, J. K., Peridas, G., Pang, S. H., Goldstein, H. M., Lucci, F. R., Li, W., Slessarev, E. W., Pett-Ridge, J., Ryerson, F. J., Wagoner, J. L., Kirkendall, W., Aines, R. D., Sanchez, D. L., Cabiyo, B., Baker, J., McCoy, S., Uden, S., Runnenbaum, R., … McCormick, C. (2020). </w:t>
      </w:r>
      <w:r>
        <w:rPr>
          <w:i/>
          <w:iCs/>
        </w:rPr>
        <w:t>Getting to Neutral: Options for negative carbon emissions in California</w:t>
      </w:r>
      <w:r>
        <w:t>. Lawrence Livermore National Laboratory. LLNL-TR-796100</w:t>
      </w:r>
    </w:p>
    <w:p w14:paraId="0FD4E0A8" w14:textId="77777777" w:rsidR="006034EA" w:rsidRPr="006034EA" w:rsidRDefault="006034EA" w:rsidP="006034EA">
      <w:pPr>
        <w:pStyle w:val="Bibliography"/>
        <w:rPr>
          <w:lang w:val="fr-FR"/>
        </w:rPr>
      </w:pPr>
      <w:r>
        <w:t xml:space="preserve">Bellamy, R., &amp; Geden, O. (2019). Govern CO2 removal from the ground up. </w:t>
      </w:r>
      <w:r w:rsidRPr="006034EA">
        <w:rPr>
          <w:i/>
          <w:iCs/>
          <w:lang w:val="fr-FR"/>
        </w:rPr>
        <w:t>Nature Geoscience</w:t>
      </w:r>
      <w:r w:rsidRPr="006034EA">
        <w:rPr>
          <w:lang w:val="fr-FR"/>
        </w:rPr>
        <w:t xml:space="preserve">, </w:t>
      </w:r>
      <w:r w:rsidRPr="006034EA">
        <w:rPr>
          <w:i/>
          <w:iCs/>
          <w:lang w:val="fr-FR"/>
        </w:rPr>
        <w:t>12</w:t>
      </w:r>
      <w:r w:rsidRPr="006034EA">
        <w:rPr>
          <w:lang w:val="fr-FR"/>
        </w:rPr>
        <w:t>(11), 874–876. https://doi.org/10.1038/s41561-019-0475-7</w:t>
      </w:r>
    </w:p>
    <w:p w14:paraId="74BB502A" w14:textId="77777777" w:rsidR="006034EA" w:rsidRDefault="006034EA" w:rsidP="006034EA">
      <w:pPr>
        <w:pStyle w:val="Bibliography"/>
      </w:pPr>
      <w:r w:rsidRPr="006034EA">
        <w:rPr>
          <w:lang w:val="fr-FR"/>
        </w:rPr>
        <w:t xml:space="preserve">Bird, M. I., Wurster, C. M., de Paula Silva, P. H., Bass, A. M., &amp; de Nys, R. (2011). </w:t>
      </w:r>
      <w:r>
        <w:t xml:space="preserve">Algal biochar – production and properties. </w:t>
      </w:r>
      <w:r>
        <w:rPr>
          <w:i/>
          <w:iCs/>
        </w:rPr>
        <w:t>Bioresource Technology</w:t>
      </w:r>
      <w:r>
        <w:t xml:space="preserve">, </w:t>
      </w:r>
      <w:r>
        <w:rPr>
          <w:i/>
          <w:iCs/>
        </w:rPr>
        <w:t>102</w:t>
      </w:r>
      <w:r>
        <w:t>(2), 1886–1891. https://doi.org/10.1016/j.biortech.2010.07.106</w:t>
      </w:r>
    </w:p>
    <w:p w14:paraId="50FF51DE" w14:textId="77777777" w:rsidR="006034EA" w:rsidRDefault="006034EA" w:rsidP="006034EA">
      <w:pPr>
        <w:pStyle w:val="Bibliography"/>
      </w:pPr>
      <w:r>
        <w:t xml:space="preserve">Blanco‐Canqui, H., Laird, D. A., Heaton, E. A., Rathke, S., &amp; Acharya, B. S. (2020). Soil carbon increased by twice the amount of biochar carbon applied after 6 years: Field evidence of negative priming. </w:t>
      </w:r>
      <w:r>
        <w:rPr>
          <w:i/>
          <w:iCs/>
        </w:rPr>
        <w:t>GCB Bioenergy</w:t>
      </w:r>
      <w:r>
        <w:t xml:space="preserve">, </w:t>
      </w:r>
      <w:r>
        <w:rPr>
          <w:i/>
          <w:iCs/>
        </w:rPr>
        <w:t>12</w:t>
      </w:r>
      <w:r>
        <w:t>(4), 240–251. https://doi.org/10.1111/gcbb.12665</w:t>
      </w:r>
    </w:p>
    <w:p w14:paraId="6DF4A02A" w14:textId="77777777" w:rsidR="006034EA" w:rsidRDefault="006034EA" w:rsidP="006034EA">
      <w:pPr>
        <w:pStyle w:val="Bibliography"/>
      </w:pPr>
      <w:r>
        <w:t xml:space="preserve">Bossio, D. A., Cook-Patton, S. C., Ellis, P. W., Fargione, J., Sanderman, J., Smith, P., Wood, S., Zomer, R. J., von Unger, M., Emmer, I. M., &amp; Griscom, B. W. (2020). The role of soil carbon in natural climate solutions. </w:t>
      </w:r>
      <w:r>
        <w:rPr>
          <w:i/>
          <w:iCs/>
        </w:rPr>
        <w:t>Nature Sustainability</w:t>
      </w:r>
      <w:r>
        <w:t xml:space="preserve">, </w:t>
      </w:r>
      <w:r>
        <w:rPr>
          <w:i/>
          <w:iCs/>
        </w:rPr>
        <w:t>3</w:t>
      </w:r>
      <w:r>
        <w:t>(5), 391–398. https://doi.org/10.1038/s41893-020-0491-z</w:t>
      </w:r>
    </w:p>
    <w:p w14:paraId="5CB16863" w14:textId="77777777" w:rsidR="006034EA" w:rsidRDefault="006034EA" w:rsidP="006034EA">
      <w:pPr>
        <w:pStyle w:val="Bibliography"/>
      </w:pPr>
      <w:r>
        <w:t xml:space="preserve">Campbell, R. M., Anderson, N. M., Daugaard, D. E., &amp; Naughton, H. T. (2018). Financial viability of biofuel and biochar production from forest biomass in the face of market price volatility and uncertainty. </w:t>
      </w:r>
      <w:r>
        <w:rPr>
          <w:i/>
          <w:iCs/>
        </w:rPr>
        <w:t>Applied Energy</w:t>
      </w:r>
      <w:r>
        <w:t xml:space="preserve">, </w:t>
      </w:r>
      <w:r>
        <w:rPr>
          <w:i/>
          <w:iCs/>
        </w:rPr>
        <w:t>230</w:t>
      </w:r>
      <w:r>
        <w:t>, 330–343. https://doi.org/10.1016/j.apenergy.2018.08.085</w:t>
      </w:r>
    </w:p>
    <w:p w14:paraId="1CFE84FE" w14:textId="77777777" w:rsidR="006034EA" w:rsidRDefault="006034EA" w:rsidP="006034EA">
      <w:pPr>
        <w:pStyle w:val="Bibliography"/>
      </w:pPr>
      <w:r>
        <w:t xml:space="preserve">Committee on Developing a Research Agenda for Carbon Dioxide Removal and Reliable Sequestration, Board on Atmospheric Sciences and Climate, Board on Energy and Environmental Systems, Board on Agriculture and Natural Resources, Board on Earth Sciences and Resources, Board on Chemical Sciences and Technology, Ocean Studies Board, Division on Earth and Life Studies, &amp; National Academies of Sciences, Engineering, and Medicine. (2019). </w:t>
      </w:r>
      <w:r>
        <w:rPr>
          <w:i/>
          <w:iCs/>
        </w:rPr>
        <w:t>Negative Emissions Technologies and Reliable Sequestration: A Research Agenda</w:t>
      </w:r>
      <w:r>
        <w:t>. National Academies Press. https://doi.org/10.17226/25259</w:t>
      </w:r>
    </w:p>
    <w:p w14:paraId="6B40D4BE" w14:textId="77777777" w:rsidR="006034EA" w:rsidRDefault="006034EA" w:rsidP="006034EA">
      <w:pPr>
        <w:pStyle w:val="Bibliography"/>
      </w:pPr>
      <w:r>
        <w:t xml:space="preserve">Fajardy, M., &amp; Mac Dowell, N. (2017). Can BECCS deliver sustainable and resource efficient negative emissions? </w:t>
      </w:r>
      <w:r>
        <w:rPr>
          <w:i/>
          <w:iCs/>
        </w:rPr>
        <w:t>Energy &amp; Environmental Science</w:t>
      </w:r>
      <w:r>
        <w:t xml:space="preserve">, </w:t>
      </w:r>
      <w:r>
        <w:rPr>
          <w:i/>
          <w:iCs/>
        </w:rPr>
        <w:t>10</w:t>
      </w:r>
      <w:r>
        <w:t>(6), 1389–1426. https://doi.org/10.1039/C7EE00465F</w:t>
      </w:r>
    </w:p>
    <w:p w14:paraId="312E8060" w14:textId="77777777" w:rsidR="006034EA" w:rsidRDefault="006034EA" w:rsidP="006034EA">
      <w:pPr>
        <w:pStyle w:val="Bibliography"/>
      </w:pPr>
      <w:r>
        <w:t xml:space="preserve">FAO. (2017). </w:t>
      </w:r>
      <w:r>
        <w:rPr>
          <w:i/>
          <w:iCs/>
        </w:rPr>
        <w:t>World fertilizer trends and outlook to 2020</w:t>
      </w:r>
      <w:r>
        <w:t>. Food and Agriculture Organization of the United Nations. http://www.fao.org/3/i6895e/i6895e.pdf</w:t>
      </w:r>
    </w:p>
    <w:p w14:paraId="5FFFA662" w14:textId="77777777" w:rsidR="006034EA" w:rsidRDefault="006034EA" w:rsidP="006034EA">
      <w:pPr>
        <w:pStyle w:val="Bibliography"/>
      </w:pPr>
      <w:r>
        <w:t xml:space="preserve">FAO. (2020). </w:t>
      </w:r>
      <w:r>
        <w:rPr>
          <w:i/>
          <w:iCs/>
        </w:rPr>
        <w:t>Fertilizers archive (Data set RA)</w:t>
      </w:r>
      <w:r>
        <w:t>. Food and Agriculture Organization of the United Nations. http://www.fao.org/faostat/en/#data/RA</w:t>
      </w:r>
    </w:p>
    <w:p w14:paraId="6D9EF0B0" w14:textId="77777777" w:rsidR="006034EA" w:rsidRDefault="006034EA" w:rsidP="006034EA">
      <w:pPr>
        <w:pStyle w:val="Bibliography"/>
      </w:pPr>
      <w:r>
        <w:t xml:space="preserve">Fawzy, S., Osman, A. I., Yang, H., Doran, J., &amp; Rooney, D. W. (2021). Industrial biochar systems for atmospheric carbon removal: A review. </w:t>
      </w:r>
      <w:r>
        <w:rPr>
          <w:i/>
          <w:iCs/>
        </w:rPr>
        <w:t>Environmental Chemistry Letters</w:t>
      </w:r>
      <w:r>
        <w:t>. https://doi.org/10.1007/s10311-021-01210-1</w:t>
      </w:r>
    </w:p>
    <w:p w14:paraId="05849025" w14:textId="77777777" w:rsidR="006034EA" w:rsidRDefault="006034EA" w:rsidP="006034EA">
      <w:pPr>
        <w:pStyle w:val="Bibliography"/>
      </w:pPr>
      <w:r>
        <w:t xml:space="preserve">Fuss, S., Lamb, W. F., Callaghan, M. W., Hilaire, J., Creutzig, F., Amann, T., Beringer, T., de Oliveira Garcia, W., Hartmann, J., Khanna, T., Luderer, G., Nemet, G. F., Rogelj, J., Smith, P., Vicente, J. L. V., Wilcox, J., del Mar Zamora Dominguez, M., &amp; Minx, J. C. (2018). Negative emissions—Part 2: Costs, potentials and side effects. </w:t>
      </w:r>
      <w:r>
        <w:rPr>
          <w:i/>
          <w:iCs/>
        </w:rPr>
        <w:t>Environmental Research Letters</w:t>
      </w:r>
      <w:r>
        <w:t xml:space="preserve">, </w:t>
      </w:r>
      <w:r>
        <w:rPr>
          <w:i/>
          <w:iCs/>
        </w:rPr>
        <w:t>13</w:t>
      </w:r>
      <w:r>
        <w:t>(6), 063002. https://doi.org/10.1088/1748-9326/aabf9f</w:t>
      </w:r>
    </w:p>
    <w:p w14:paraId="499A86D3" w14:textId="77777777" w:rsidR="006034EA" w:rsidRDefault="006034EA" w:rsidP="006034EA">
      <w:pPr>
        <w:pStyle w:val="Bibliography"/>
      </w:pPr>
      <w:r>
        <w:t xml:space="preserve">Griscom, B. W., Adams, J., Ellis, P. W., Houghton, R. A., Lomax, G., Miteva, D. A., Schlesinger, W. H., Shoch, D., Siikamäki, J. V., &amp; Smith, P. (2017). Natural climate solutions. </w:t>
      </w:r>
      <w:r>
        <w:rPr>
          <w:i/>
          <w:iCs/>
        </w:rPr>
        <w:t>Proceedings of the National Academy of Sciences</w:t>
      </w:r>
      <w:r>
        <w:t xml:space="preserve">, </w:t>
      </w:r>
      <w:r>
        <w:rPr>
          <w:i/>
          <w:iCs/>
        </w:rPr>
        <w:t>114</w:t>
      </w:r>
      <w:r>
        <w:t>(44), 11645–11650.</w:t>
      </w:r>
    </w:p>
    <w:p w14:paraId="48332D03" w14:textId="77777777" w:rsidR="006034EA" w:rsidRDefault="006034EA" w:rsidP="006034EA">
      <w:pPr>
        <w:pStyle w:val="Bibliography"/>
      </w:pPr>
      <w:r>
        <w:t xml:space="preserve">Hanna, R., Abdulla, A., Xu, Y., &amp; Victor, D. G. (2021). Emergency deployment of direct air capture as a response to the climate crisis. </w:t>
      </w:r>
      <w:r>
        <w:rPr>
          <w:i/>
          <w:iCs/>
        </w:rPr>
        <w:t>Nature Communications</w:t>
      </w:r>
      <w:r>
        <w:t xml:space="preserve">, </w:t>
      </w:r>
      <w:r>
        <w:rPr>
          <w:i/>
          <w:iCs/>
        </w:rPr>
        <w:t>12</w:t>
      </w:r>
      <w:r>
        <w:t>(368), 13.</w:t>
      </w:r>
    </w:p>
    <w:p w14:paraId="6E529631" w14:textId="77777777" w:rsidR="006034EA" w:rsidRDefault="006034EA" w:rsidP="006034EA">
      <w:pPr>
        <w:pStyle w:val="Bibliography"/>
      </w:pPr>
      <w:r>
        <w:t xml:space="preserve">International Biochar Initiative. (2013). </w:t>
      </w:r>
      <w:r>
        <w:rPr>
          <w:i/>
          <w:iCs/>
        </w:rPr>
        <w:t>State of the Biochar Industry 2013</w:t>
      </w:r>
      <w:r>
        <w:t>. International Biochar Initiative. https://biochar-international.org/state-of-the-biochar-industry-2013/</w:t>
      </w:r>
    </w:p>
    <w:p w14:paraId="7158C84A" w14:textId="77777777" w:rsidR="006034EA" w:rsidRDefault="006034EA" w:rsidP="006034EA">
      <w:pPr>
        <w:pStyle w:val="Bibliography"/>
      </w:pPr>
      <w:r>
        <w:t xml:space="preserve">International Biochar Initiative. (2014). </w:t>
      </w:r>
      <w:r>
        <w:rPr>
          <w:i/>
          <w:iCs/>
        </w:rPr>
        <w:t>State of the Biochar Industry 2014</w:t>
      </w:r>
      <w:r>
        <w:t>. International Biochar Initiative. https://biochar-international.org/state-of-the-biochar-industry-2014/</w:t>
      </w:r>
    </w:p>
    <w:p w14:paraId="7608ADB3" w14:textId="77777777" w:rsidR="006034EA" w:rsidRDefault="006034EA" w:rsidP="006034EA">
      <w:pPr>
        <w:pStyle w:val="Bibliography"/>
      </w:pPr>
      <w:r>
        <w:t xml:space="preserve">International Biochar Initiative. (2015). </w:t>
      </w:r>
      <w:r>
        <w:rPr>
          <w:i/>
          <w:iCs/>
        </w:rPr>
        <w:t>State of the Biochar Industry 2015</w:t>
      </w:r>
      <w:r>
        <w:t>. International Biochar Initiative. https://biochar-international.org/state-of-the-biochar-industry-2015/</w:t>
      </w:r>
    </w:p>
    <w:p w14:paraId="45FC9EBE" w14:textId="77777777" w:rsidR="006034EA" w:rsidRDefault="006034EA" w:rsidP="006034EA">
      <w:pPr>
        <w:pStyle w:val="Bibliography"/>
      </w:pPr>
      <w:r>
        <w:t xml:space="preserve">Langholtz, M. H., Stokes, B. J., &amp; Eaton, L. M. (2016). </w:t>
      </w:r>
      <w:r>
        <w:rPr>
          <w:i/>
          <w:iCs/>
        </w:rPr>
        <w:t>2016 Billion-Ton Report: Advancing Domestic Resources for a Thriving Bioeconomy</w:t>
      </w:r>
      <w:r>
        <w:t xml:space="preserve"> (DOE/EE-1440, ORNL/TM-2016/160, 1271651; p. DOE/EE-1440, ORNL/TM-2016/160, 1271651). https://doi.org/10.2172/1271651</w:t>
      </w:r>
    </w:p>
    <w:p w14:paraId="0762BC76" w14:textId="77777777" w:rsidR="006034EA" w:rsidRDefault="006034EA" w:rsidP="006034EA">
      <w:pPr>
        <w:pStyle w:val="Bibliography"/>
      </w:pPr>
      <w:r>
        <w:t xml:space="preserve">Latawiec, A., Królczyk, J., Kuboń, M., Szwedziak, K., Drosik, A., Polańczyk, E., Grotkiewicz, K., &amp; Strassburg, B. (2017). Willingness to Adopt Biochar in Agriculture: The Producer’s Perspective. </w:t>
      </w:r>
      <w:r>
        <w:rPr>
          <w:i/>
          <w:iCs/>
        </w:rPr>
        <w:t>Sustainability</w:t>
      </w:r>
      <w:r>
        <w:t xml:space="preserve">, </w:t>
      </w:r>
      <w:r>
        <w:rPr>
          <w:i/>
          <w:iCs/>
        </w:rPr>
        <w:t>9</w:t>
      </w:r>
      <w:r>
        <w:t>(4), 655. https://doi.org/10.3390/su9040655</w:t>
      </w:r>
    </w:p>
    <w:p w14:paraId="71E4C1BF" w14:textId="77777777" w:rsidR="006034EA" w:rsidRDefault="006034EA" w:rsidP="006034EA">
      <w:pPr>
        <w:pStyle w:val="Bibliography"/>
      </w:pPr>
      <w:r>
        <w:t xml:space="preserve">Lehmann, J., &amp; Joseph, S. (2015). </w:t>
      </w:r>
      <w:r>
        <w:rPr>
          <w:i/>
          <w:iCs/>
        </w:rPr>
        <w:t>Biochar for Environmental Management: Science, Technology, and Implementation</w:t>
      </w:r>
      <w:r>
        <w:t xml:space="preserve"> (Second). Routledge.</w:t>
      </w:r>
    </w:p>
    <w:p w14:paraId="6FE9B625" w14:textId="77777777" w:rsidR="006034EA" w:rsidRDefault="006034EA" w:rsidP="006034EA">
      <w:pPr>
        <w:pStyle w:val="Bibliography"/>
      </w:pPr>
      <w:r>
        <w:t xml:space="preserve">McMullin, B., Jones, M., Price, P., McGeever, A., &amp; Rice, P. (2020). </w:t>
      </w:r>
      <w:r>
        <w:rPr>
          <w:i/>
          <w:iCs/>
        </w:rPr>
        <w:t>IE-NETs: Investigating the Potential for Negative Emissions Technologies (NETs) in Ireland (Report 354)</w:t>
      </w:r>
      <w:r>
        <w:t>. Ireland EPA. https://www.epa.ie/pubs/reports/research/climate/Research_Report_354.pdf</w:t>
      </w:r>
    </w:p>
    <w:p w14:paraId="73FD89B9" w14:textId="77777777" w:rsidR="006034EA" w:rsidRDefault="006034EA" w:rsidP="006034EA">
      <w:pPr>
        <w:pStyle w:val="Bibliography"/>
      </w:pPr>
      <w:r>
        <w:t xml:space="preserve">Meyer, S., Genesio, L., Vogel, I., Schmidt, H.-P., Soja, G., Someus, E., Shackley, S., Verheijen, F. G. A., &amp; Glaser, B. (2017). Biochar Standardization and Legislation Harmonization. </w:t>
      </w:r>
      <w:r>
        <w:rPr>
          <w:i/>
          <w:iCs/>
        </w:rPr>
        <w:t>Journal of Environmental Engineering and Landscape Management</w:t>
      </w:r>
      <w:r>
        <w:t xml:space="preserve">, </w:t>
      </w:r>
      <w:r>
        <w:rPr>
          <w:i/>
          <w:iCs/>
        </w:rPr>
        <w:t>25</w:t>
      </w:r>
      <w:r>
        <w:t>(2), 175–191. https://doi.org/10.3846/16486897.2016.1254640</w:t>
      </w:r>
    </w:p>
    <w:p w14:paraId="609967C8" w14:textId="77777777" w:rsidR="006034EA" w:rsidRDefault="006034EA" w:rsidP="006034EA">
      <w:pPr>
        <w:pStyle w:val="Bibliography"/>
      </w:pPr>
      <w:r>
        <w:t xml:space="preserve">Minx, J. C., Lamb, W. F., Callaghan, M. W., Fuss, S., Hilaire, J., Creutzig, F., Amann, T., Beringer, T., de Oliveira Garcia, W., Hartmann, J., Khanna, T., Lenzi, D., Luderer, G., Nemet, G. F., Rogelj, J., Smith, P., Vicente Vicente, J. L., Wilcox, J., &amp; del Mar Zamora Dominguez, M. (2018). Negative emissions—Part 1: Research landscape and synthesis. </w:t>
      </w:r>
      <w:r>
        <w:rPr>
          <w:i/>
          <w:iCs/>
        </w:rPr>
        <w:t>Environmental Research Letters</w:t>
      </w:r>
      <w:r>
        <w:t xml:space="preserve">, </w:t>
      </w:r>
      <w:r>
        <w:rPr>
          <w:i/>
          <w:iCs/>
        </w:rPr>
        <w:t>13</w:t>
      </w:r>
      <w:r>
        <w:t>(6), 063001. https://doi.org/10.1088/1748-9326/aabf9b</w:t>
      </w:r>
    </w:p>
    <w:p w14:paraId="782F3AF2" w14:textId="77777777" w:rsidR="006034EA" w:rsidRDefault="006034EA" w:rsidP="006034EA">
      <w:pPr>
        <w:pStyle w:val="Bibliography"/>
      </w:pPr>
      <w:r>
        <w:t xml:space="preserve">Paustian, K., Lehmann, J., Ogle, S., Reay, D., Robertson, G. P., &amp; Smith, P. (2016). Climate-smart soils. </w:t>
      </w:r>
      <w:r>
        <w:rPr>
          <w:i/>
          <w:iCs/>
        </w:rPr>
        <w:t>Nature</w:t>
      </w:r>
      <w:r>
        <w:t xml:space="preserve">, </w:t>
      </w:r>
      <w:r>
        <w:rPr>
          <w:i/>
          <w:iCs/>
        </w:rPr>
        <w:t>532</w:t>
      </w:r>
      <w:r>
        <w:t>(7597), 49–57. https://doi.org/10.1038/nature17174</w:t>
      </w:r>
    </w:p>
    <w:p w14:paraId="46F54735" w14:textId="77777777" w:rsidR="006034EA" w:rsidRDefault="006034EA" w:rsidP="006034EA">
      <w:pPr>
        <w:pStyle w:val="Bibliography"/>
      </w:pPr>
      <w:r>
        <w:t xml:space="preserve">Puettmann, M., Sahoo, K., Wilson, K., &amp; Oneil, E. (2020). Life cycle assessment of biochar produced from forest residues using portable systems. </w:t>
      </w:r>
      <w:r>
        <w:rPr>
          <w:i/>
          <w:iCs/>
        </w:rPr>
        <w:t>Journal of Cleaner Production</w:t>
      </w:r>
      <w:r>
        <w:t xml:space="preserve">, </w:t>
      </w:r>
      <w:r>
        <w:rPr>
          <w:i/>
          <w:iCs/>
        </w:rPr>
        <w:t>250</w:t>
      </w:r>
      <w:r>
        <w:t>, 119564. https://doi.org/10.1016/j.jclepro.2019.119564</w:t>
      </w:r>
    </w:p>
    <w:p w14:paraId="4AB9884E" w14:textId="77777777" w:rsidR="006034EA" w:rsidRDefault="006034EA" w:rsidP="006034EA">
      <w:pPr>
        <w:pStyle w:val="Bibliography"/>
      </w:pPr>
      <w:r>
        <w:t xml:space="preserve">Rickels, W., Merk, C., Reith, F., Keller, D. P., &amp; Oschlies, A. (2019). (Mis)conceptions about modeling of negative emissions technologies. </w:t>
      </w:r>
      <w:r>
        <w:rPr>
          <w:i/>
          <w:iCs/>
        </w:rPr>
        <w:t>Environmental Research Letters</w:t>
      </w:r>
      <w:r>
        <w:t xml:space="preserve">, </w:t>
      </w:r>
      <w:r>
        <w:rPr>
          <w:i/>
          <w:iCs/>
        </w:rPr>
        <w:t>14</w:t>
      </w:r>
      <w:r>
        <w:t>(10), 104004. https://doi.org/10.1088/1748-9326/ab3ab4</w:t>
      </w:r>
    </w:p>
    <w:p w14:paraId="4AAF0030" w14:textId="77777777" w:rsidR="006034EA" w:rsidRDefault="006034EA" w:rsidP="006034EA">
      <w:pPr>
        <w:pStyle w:val="Bibliography"/>
      </w:pPr>
      <w:r>
        <w:t xml:space="preserve">Rickels, W., Proelss, A., Geden, O., Burhenne, J., &amp; Fridahl, M. (2020). </w:t>
      </w:r>
      <w:r>
        <w:rPr>
          <w:i/>
          <w:iCs/>
        </w:rPr>
        <w:t>Kiel Working Paper 2164: The Future of (Negative) Emissions Trading in the European Union</w:t>
      </w:r>
      <w:r>
        <w:t>. Kiel Institute for the World Economy. https://www.ifw-kiel.de/fileadmin/Dateiverwaltung/IfW-Publications/Wilfried_Rickels/The_Future_of__Negative__Emissions_Trading_in_the_European_Union/KWP_2164.pdf</w:t>
      </w:r>
    </w:p>
    <w:p w14:paraId="36A701D6" w14:textId="77777777" w:rsidR="006034EA" w:rsidRDefault="006034EA" w:rsidP="006034EA">
      <w:pPr>
        <w:pStyle w:val="Bibliography"/>
      </w:pPr>
      <w:r w:rsidRPr="00863C91">
        <w:rPr>
          <w:lang w:val="fr-FR"/>
        </w:rPr>
        <w:t xml:space="preserve">Roberts, D. A., Paul, N. A., Dworjanyn, S. A., Bird, M. I., &amp; de Nys, R. (2015). </w:t>
      </w:r>
      <w:r>
        <w:t xml:space="preserve">Biochar from commercially cultivated seaweed for soil amelioration. </w:t>
      </w:r>
      <w:r>
        <w:rPr>
          <w:i/>
          <w:iCs/>
        </w:rPr>
        <w:t>Scientific Reports</w:t>
      </w:r>
      <w:r>
        <w:t xml:space="preserve">, </w:t>
      </w:r>
      <w:r>
        <w:rPr>
          <w:i/>
          <w:iCs/>
        </w:rPr>
        <w:t>5</w:t>
      </w:r>
      <w:r>
        <w:t>(1), 9665. https://doi.org/10.1038/srep09665</w:t>
      </w:r>
    </w:p>
    <w:p w14:paraId="3FFE44C3" w14:textId="77777777" w:rsidR="006034EA" w:rsidRDefault="006034EA" w:rsidP="006034EA">
      <w:pPr>
        <w:pStyle w:val="Bibliography"/>
      </w:pPr>
      <w:r>
        <w:t xml:space="preserve">Roberts, K. G., Gloy, B. A., Joseph, S., Scott, N. R., &amp; Lehmann, J. (2010). Life Cycle Assessment of Biochar Systems: Estimating the Energetic, Economic, and Climate Change Potential. </w:t>
      </w:r>
      <w:r>
        <w:rPr>
          <w:i/>
          <w:iCs/>
        </w:rPr>
        <w:t>Environmental Science &amp; Technology</w:t>
      </w:r>
      <w:r>
        <w:t xml:space="preserve">, </w:t>
      </w:r>
      <w:r>
        <w:rPr>
          <w:i/>
          <w:iCs/>
        </w:rPr>
        <w:t>44</w:t>
      </w:r>
      <w:r>
        <w:t>(2), 827–833. https://doi.org/10.1021/es902266r</w:t>
      </w:r>
    </w:p>
    <w:p w14:paraId="18A0B466" w14:textId="77777777" w:rsidR="006034EA" w:rsidRDefault="006034EA" w:rsidP="006034EA">
      <w:pPr>
        <w:pStyle w:val="Bibliography"/>
      </w:pPr>
      <w:r>
        <w:t xml:space="preserve">Rueda, O., Mogollón, J. M., Tukker, A., &amp; Scherer, L. (2021). Negative-emissions technology portfolios to meet the 1.5 °C target. </w:t>
      </w:r>
      <w:r>
        <w:rPr>
          <w:i/>
          <w:iCs/>
        </w:rPr>
        <w:t>Global Environmental Change</w:t>
      </w:r>
      <w:r>
        <w:t>, 102238. https://doi.org/10.1016/j.gloenvcha.2021.102238</w:t>
      </w:r>
    </w:p>
    <w:p w14:paraId="68357270" w14:textId="77777777" w:rsidR="006034EA" w:rsidRDefault="006034EA" w:rsidP="006034EA">
      <w:pPr>
        <w:pStyle w:val="Bibliography"/>
      </w:pPr>
      <w:r>
        <w:t xml:space="preserve">Sandalow, D., Aines, R., Friedmann, J., McCormick, C., &amp; Sanchez, D. L. (2021). </w:t>
      </w:r>
      <w:r>
        <w:rPr>
          <w:i/>
          <w:iCs/>
        </w:rPr>
        <w:t>Biomass Carbon Removal and Storage (BiCRS) Roadmap</w:t>
      </w:r>
      <w:r>
        <w:t>. Innovation for Cool Earth Forum. https://www.icef-forum.org/pdf/2020/roadmap/roadmap.pdf?0128</w:t>
      </w:r>
    </w:p>
    <w:p w14:paraId="6574142B" w14:textId="77777777" w:rsidR="006034EA" w:rsidRDefault="006034EA" w:rsidP="006034EA">
      <w:pPr>
        <w:pStyle w:val="Bibliography"/>
      </w:pPr>
      <w:r>
        <w:t xml:space="preserve">Sessions, J., Smith, D., Trippe, K. M., Fried, J. S., Bailey, J. D., Petitmermet, J. H., Hollamon, W., Phillips, C. L., &amp; Campbell, J. D. (2019). Can biochar link forest restoration with commercial agriculture? </w:t>
      </w:r>
      <w:r>
        <w:rPr>
          <w:i/>
          <w:iCs/>
        </w:rPr>
        <w:t>Biomass and Bioenergy</w:t>
      </w:r>
      <w:r>
        <w:t xml:space="preserve">, </w:t>
      </w:r>
      <w:r>
        <w:rPr>
          <w:i/>
          <w:iCs/>
        </w:rPr>
        <w:t>123</w:t>
      </w:r>
      <w:r>
        <w:t>, 175–185. https://doi.org/10.1016/j.biombioe.2019.02.015</w:t>
      </w:r>
    </w:p>
    <w:p w14:paraId="31369B86" w14:textId="77777777" w:rsidR="006034EA" w:rsidRDefault="006034EA" w:rsidP="006034EA">
      <w:pPr>
        <w:pStyle w:val="Bibliography"/>
      </w:pPr>
      <w:r>
        <w:t xml:space="preserve">Shackley, S., Clare, A., Joseph, S., McCarl, B. A., &amp; Schmidt, H.-P. (2015). Economic evaluation of biochar systems: Current evidence and challenges. In </w:t>
      </w:r>
      <w:r>
        <w:rPr>
          <w:i/>
          <w:iCs/>
        </w:rPr>
        <w:t>Biochar for Environmental Management: Science, Technology and Implementation</w:t>
      </w:r>
      <w:r>
        <w:t>. Routledge.</w:t>
      </w:r>
    </w:p>
    <w:p w14:paraId="16F93EB8" w14:textId="77777777" w:rsidR="006034EA" w:rsidRDefault="006034EA" w:rsidP="006034EA">
      <w:pPr>
        <w:pStyle w:val="Bibliography"/>
      </w:pPr>
      <w:r>
        <w:t xml:space="preserve">Smith, P. (2016). Soil carbon sequestration and biochar as negative emission technologies. </w:t>
      </w:r>
      <w:r>
        <w:rPr>
          <w:i/>
          <w:iCs/>
        </w:rPr>
        <w:t>Global Change Biology</w:t>
      </w:r>
      <w:r>
        <w:t xml:space="preserve">, </w:t>
      </w:r>
      <w:r>
        <w:rPr>
          <w:i/>
          <w:iCs/>
        </w:rPr>
        <w:t>22</w:t>
      </w:r>
      <w:r>
        <w:t>(3), 1315–1324. https://doi.org/10.1111/gcb.13178</w:t>
      </w:r>
    </w:p>
    <w:p w14:paraId="72E7E6EB" w14:textId="77777777" w:rsidR="006034EA" w:rsidRDefault="006034EA" w:rsidP="006034EA">
      <w:pPr>
        <w:pStyle w:val="Bibliography"/>
      </w:pPr>
      <w:r>
        <w:t xml:space="preserve">Smith, P., Adams, J., Beerling, D. J., Beringer, T., Calvin, K. V., Fuss, S., Griscom, B., Hagemann, N., Kammann, C., Kraxner, F., Minx, J. C., Popp, A., Renforth, P., Vicente Vicente, J. L., &amp; Keesstra, S. (2019). Land-Management Options for Greenhouse Gas Removal and Their Impacts on Ecosystem Services and the Sustainable Development Goals. </w:t>
      </w:r>
      <w:r>
        <w:rPr>
          <w:i/>
          <w:iCs/>
        </w:rPr>
        <w:t>Annual Review of Environment and Resources</w:t>
      </w:r>
      <w:r>
        <w:t xml:space="preserve">, </w:t>
      </w:r>
      <w:r>
        <w:rPr>
          <w:i/>
          <w:iCs/>
        </w:rPr>
        <w:t>44</w:t>
      </w:r>
      <w:r>
        <w:t>(1), 255–286. https://doi.org/10.1146/annurev-environ-101718-033129</w:t>
      </w:r>
    </w:p>
    <w:p w14:paraId="4592A98D" w14:textId="77777777" w:rsidR="006034EA" w:rsidRDefault="006034EA" w:rsidP="006034EA">
      <w:pPr>
        <w:pStyle w:val="Bibliography"/>
      </w:pPr>
      <w:r>
        <w:t xml:space="preserve">Stenzel, F., Greve, P., Lucht, W., Tramberend, S., Wada, Y., &amp; Gerten, D. (2021). Irrigation of biomass plantations may globally increase water stress more than climate change. </w:t>
      </w:r>
      <w:r>
        <w:rPr>
          <w:i/>
          <w:iCs/>
        </w:rPr>
        <w:t>Nature Communications</w:t>
      </w:r>
      <w:r>
        <w:t xml:space="preserve">, </w:t>
      </w:r>
      <w:r>
        <w:rPr>
          <w:i/>
          <w:iCs/>
        </w:rPr>
        <w:t>12</w:t>
      </w:r>
      <w:r>
        <w:t>(1), 1512. https://doi.org/10.1038/s41467-021-21640-3</w:t>
      </w:r>
    </w:p>
    <w:p w14:paraId="267F5A85" w14:textId="77777777" w:rsidR="006034EA" w:rsidRDefault="006034EA" w:rsidP="006034EA">
      <w:pPr>
        <w:pStyle w:val="Bibliography"/>
      </w:pPr>
      <w:r>
        <w:t xml:space="preserve">Timmons, D., Lema-Driscoll, A., &amp; Uddin, G. (2017). </w:t>
      </w:r>
      <w:r>
        <w:rPr>
          <w:i/>
          <w:iCs/>
        </w:rPr>
        <w:t>The Economics of Biochar Carbon Sequestration in Massachusetts</w:t>
      </w:r>
      <w:r>
        <w:t>. UMass Clean Energy Extension. https://ag.umass.edu/sites/ag.umass.edu/files/reports/timmons_-_biochar_report_10-16-17.pdf</w:t>
      </w:r>
    </w:p>
    <w:p w14:paraId="7EC0610D" w14:textId="77777777" w:rsidR="006034EA" w:rsidRDefault="006034EA" w:rsidP="006034EA">
      <w:pPr>
        <w:pStyle w:val="Bibliography"/>
      </w:pPr>
      <w:r>
        <w:t xml:space="preserve">Toensmeier, E., &amp; Garrity, D. (2020). </w:t>
      </w:r>
      <w:r>
        <w:rPr>
          <w:i/>
          <w:iCs/>
        </w:rPr>
        <w:t>How Climate Change Strategies That Use Biomass Can Be More Realistic</w:t>
      </w:r>
      <w:r>
        <w:t>. Scientific American. https://doi.org/10.1038/scientificamerican0820-64</w:t>
      </w:r>
    </w:p>
    <w:p w14:paraId="35582D87" w14:textId="77777777" w:rsidR="006034EA" w:rsidRDefault="006034EA" w:rsidP="006034EA">
      <w:pPr>
        <w:pStyle w:val="Bibliography"/>
      </w:pPr>
      <w:r>
        <w:t xml:space="preserve">UC Davis. (2021). </w:t>
      </w:r>
      <w:r>
        <w:rPr>
          <w:i/>
          <w:iCs/>
        </w:rPr>
        <w:t>UC Davis Biochar Database</w:t>
      </w:r>
      <w:r>
        <w:t>. University of California Davis. http://biochar.ucdavis.edu/</w:t>
      </w:r>
    </w:p>
    <w:p w14:paraId="12D76CFC" w14:textId="77777777" w:rsidR="006034EA" w:rsidRDefault="006034EA" w:rsidP="006034EA">
      <w:pPr>
        <w:pStyle w:val="Bibliography"/>
      </w:pPr>
      <w:r>
        <w:t xml:space="preserve">UK Committee on Climate Change. (2019). </w:t>
      </w:r>
      <w:r>
        <w:rPr>
          <w:i/>
          <w:iCs/>
        </w:rPr>
        <w:t>Net Zero: The UK’s contribution to stopping global warming</w:t>
      </w:r>
      <w:r>
        <w:t>. https://www.theccc.org.uk/wp-content/uploads/2019/05/Net-Zero-The-UKs-contribution-to-stopping-global-warming.pdf</w:t>
      </w:r>
    </w:p>
    <w:p w14:paraId="6D7CCA53" w14:textId="77777777" w:rsidR="006034EA" w:rsidRDefault="006034EA" w:rsidP="006034EA">
      <w:pPr>
        <w:pStyle w:val="Bibliography"/>
      </w:pPr>
      <w:r>
        <w:t xml:space="preserve">US EPA. (2018). </w:t>
      </w:r>
      <w:r>
        <w:rPr>
          <w:i/>
          <w:iCs/>
        </w:rPr>
        <w:t>National Overview: Facts and Figures on Materials, Wastes and Recycling</w:t>
      </w:r>
      <w:r>
        <w:t>. United States Environmental Protection Agency. https://www.epa.gov/facts-and-figures-about-materials-waste-and-recycling/national-overview-facts-and-figures-materials#composting</w:t>
      </w:r>
    </w:p>
    <w:p w14:paraId="676AB6A1" w14:textId="77777777" w:rsidR="006034EA" w:rsidRDefault="006034EA" w:rsidP="006034EA">
      <w:pPr>
        <w:pStyle w:val="Bibliography"/>
      </w:pPr>
      <w:r>
        <w:t xml:space="preserve">Verde, S. F., &amp; Chiaramonti, D. (2021). The Biochar System in the EU: the Pieces are Falling Into Place, but Key Policy Questions Remain. </w:t>
      </w:r>
      <w:r>
        <w:rPr>
          <w:i/>
          <w:iCs/>
        </w:rPr>
        <w:t>European University Institute Florence School of Regulation - Climate</w:t>
      </w:r>
      <w:r>
        <w:t xml:space="preserve">, </w:t>
      </w:r>
      <w:r>
        <w:rPr>
          <w:i/>
          <w:iCs/>
        </w:rPr>
        <w:t>2021/08</w:t>
      </w:r>
      <w:r>
        <w:t>, 10.</w:t>
      </w:r>
    </w:p>
    <w:p w14:paraId="03ED2EA9" w14:textId="77777777" w:rsidR="006034EA" w:rsidRDefault="006034EA" w:rsidP="006034EA">
      <w:pPr>
        <w:pStyle w:val="Bibliography"/>
      </w:pPr>
      <w:r>
        <w:t xml:space="preserve">Wang, J., Xiong, Z., &amp; Kuzyakov, Y. (2016). Biochar stability in soil: Meta‐analysis of decomposition and priming effects. </w:t>
      </w:r>
      <w:r>
        <w:rPr>
          <w:i/>
          <w:iCs/>
        </w:rPr>
        <w:t>GCB Bioenergy</w:t>
      </w:r>
      <w:r>
        <w:t xml:space="preserve">, </w:t>
      </w:r>
      <w:r>
        <w:rPr>
          <w:i/>
          <w:iCs/>
        </w:rPr>
        <w:t>8</w:t>
      </w:r>
      <w:r>
        <w:t>(3), 512–523. https://doi.org/10.1111/gcbb.12266</w:t>
      </w:r>
    </w:p>
    <w:p w14:paraId="3D23B9A6" w14:textId="77777777" w:rsidR="006034EA" w:rsidRDefault="006034EA" w:rsidP="006034EA">
      <w:pPr>
        <w:pStyle w:val="Bibliography"/>
      </w:pPr>
      <w:r>
        <w:t xml:space="preserve">Willmott, E., &amp; Joppa, L. (2021). </w:t>
      </w:r>
      <w:r>
        <w:rPr>
          <w:i/>
          <w:iCs/>
        </w:rPr>
        <w:t>Microsoft Carbon Removal—Lessons From an Early Corporate Purchase</w:t>
      </w:r>
      <w:r>
        <w:t>. Microsoft Corporation. https://query.prod.cms.rt.microsoft.com/cms/api/am/binary/RE4MDlc</w:t>
      </w:r>
    </w:p>
    <w:p w14:paraId="1E95EE3F" w14:textId="77777777" w:rsidR="006034EA" w:rsidRDefault="006034EA" w:rsidP="006034EA">
      <w:pPr>
        <w:pStyle w:val="Bibliography"/>
      </w:pPr>
      <w:r>
        <w:t xml:space="preserve">Woolf, D., Amonette, J. E., Street-Perrott, F. A., Lehmann, J., &amp; Joseph, S. (2010). Sustainable biochar to mitigate global climate change. </w:t>
      </w:r>
      <w:r>
        <w:rPr>
          <w:i/>
          <w:iCs/>
        </w:rPr>
        <w:t>Nature Communications</w:t>
      </w:r>
      <w:r>
        <w:t xml:space="preserve">, </w:t>
      </w:r>
      <w:r>
        <w:rPr>
          <w:i/>
          <w:iCs/>
        </w:rPr>
        <w:t>1</w:t>
      </w:r>
      <w:r>
        <w:t>(1), 56. https://doi.org/10.1038/ncomms1053</w:t>
      </w:r>
    </w:p>
    <w:p w14:paraId="78E1B1A9" w14:textId="77777777" w:rsidR="006034EA" w:rsidRDefault="006034EA" w:rsidP="006034EA">
      <w:pPr>
        <w:pStyle w:val="Bibliography"/>
      </w:pPr>
      <w:r>
        <w:t xml:space="preserve">Woolf, D., Lehmann, J., Cowie, A., Cayuela, M. L., Whitman, T., &amp; Sohi, S. (2018). Biochar for Climate Change Mitigation. In R. Lal &amp; B. A. Stewart (Eds.), </w:t>
      </w:r>
      <w:r>
        <w:rPr>
          <w:i/>
          <w:iCs/>
        </w:rPr>
        <w:t>Soil and Climate</w:t>
      </w:r>
      <w:r>
        <w:t xml:space="preserve"> (1st ed., pp. 219–248). CRC Press. https://doi.org/10.1201/b21225-8</w:t>
      </w:r>
    </w:p>
    <w:p w14:paraId="0569AB3E" w14:textId="77777777" w:rsidR="006034EA" w:rsidRDefault="006034EA" w:rsidP="006034EA">
      <w:pPr>
        <w:pStyle w:val="Bibliography"/>
      </w:pPr>
      <w:r>
        <w:t xml:space="preserve">Woolf, D., Lehmann, J., Fisher, E. M., &amp; Angenent, L. T. (2014). Biofuels from Pyrolysis in Perspective: Trade-offs between Energy Yields and Soil-Carbon Additions. </w:t>
      </w:r>
      <w:r>
        <w:rPr>
          <w:i/>
          <w:iCs/>
        </w:rPr>
        <w:t>Environmental Science &amp; Technology</w:t>
      </w:r>
      <w:r>
        <w:t xml:space="preserve">, </w:t>
      </w:r>
      <w:r>
        <w:rPr>
          <w:i/>
          <w:iCs/>
        </w:rPr>
        <w:t>48</w:t>
      </w:r>
      <w:r>
        <w:t>(11), 6492–6499. https://doi.org/10.1021/es500474q</w:t>
      </w:r>
    </w:p>
    <w:p w14:paraId="41DB0CF7" w14:textId="77777777" w:rsidR="006034EA" w:rsidRDefault="006034EA" w:rsidP="006034EA">
      <w:pPr>
        <w:pStyle w:val="Bibliography"/>
      </w:pPr>
      <w:r>
        <w:t xml:space="preserve">Woolf, D., Lehmann, J., &amp; Lee, D. R. (2016). Optimal bioenergy power generation for climate change mitigation with or without carbon sequestration. </w:t>
      </w:r>
      <w:r>
        <w:rPr>
          <w:i/>
          <w:iCs/>
        </w:rPr>
        <w:t>Nature Communications</w:t>
      </w:r>
      <w:r>
        <w:t xml:space="preserve">, </w:t>
      </w:r>
      <w:r>
        <w:rPr>
          <w:i/>
          <w:iCs/>
        </w:rPr>
        <w:t>7</w:t>
      </w:r>
      <w:r>
        <w:t>(1), 13160. https://doi.org/10.1038/ncomms13160</w:t>
      </w:r>
    </w:p>
    <w:p w14:paraId="0B8D365A" w14:textId="77777777" w:rsidR="006034EA" w:rsidRDefault="006034EA" w:rsidP="006034EA">
      <w:pPr>
        <w:pStyle w:val="Bibliography"/>
      </w:pPr>
      <w:r>
        <w:t xml:space="preserve">World Bank. (2020). </w:t>
      </w:r>
      <w:r>
        <w:rPr>
          <w:i/>
          <w:iCs/>
        </w:rPr>
        <w:t>State and Trends of Carbon Pricing 2020</w:t>
      </w:r>
      <w:r>
        <w:t>. https://openknowledge.worldbank.org/handle/10986/33809</w:t>
      </w:r>
    </w:p>
    <w:p w14:paraId="436ACD46" w14:textId="77777777" w:rsidR="006034EA" w:rsidRDefault="006034EA" w:rsidP="006034EA">
      <w:pPr>
        <w:pStyle w:val="Bibliography"/>
      </w:pPr>
      <w:r>
        <w:t xml:space="preserve">Yang, Q., Zhou, H., Bartocci, P., Fantozzi, F., Mašek, O., Agblevor, F. A., Wei, Z., Yang, H., Chen, H., Lu, X., Chen, G., Zheng, C., Nielsen, C. P., &amp; McElroy, M. B. (2021). Prospective contributions of biomass pyrolysis to China’s 2050 carbon reduction and renewable energy goals. </w:t>
      </w:r>
      <w:r>
        <w:rPr>
          <w:i/>
          <w:iCs/>
        </w:rPr>
        <w:t>Nature Communications</w:t>
      </w:r>
      <w:r>
        <w:t xml:space="preserve">, </w:t>
      </w:r>
      <w:r>
        <w:rPr>
          <w:i/>
          <w:iCs/>
        </w:rPr>
        <w:t>12</w:t>
      </w:r>
      <w:r>
        <w:t>(1), 1698. https://doi.org/10.1038/s41467-021-21868-z</w:t>
      </w:r>
    </w:p>
    <w:p w14:paraId="02D4C45C" w14:textId="226DF2BC" w:rsidR="00274B1A" w:rsidRPr="00274B1A" w:rsidRDefault="00274B1A" w:rsidP="00274B1A">
      <w:r>
        <w:fldChar w:fldCharType="end"/>
      </w:r>
    </w:p>
    <w:p w14:paraId="557C5C67" w14:textId="77777777" w:rsidR="00AB0679" w:rsidRPr="00AB0679" w:rsidRDefault="00AB0679" w:rsidP="00AB0679"/>
    <w:p w14:paraId="02EABFF3" w14:textId="6F23F628" w:rsidR="006745FF" w:rsidRPr="00BC11C5" w:rsidRDefault="006745FF" w:rsidP="003A0234">
      <w:pPr>
        <w:pStyle w:val="Heading1"/>
        <w:numPr>
          <w:ilvl w:val="0"/>
          <w:numId w:val="26"/>
        </w:numPr>
      </w:pPr>
      <w:bookmarkStart w:id="83" w:name="_Toc68791459"/>
      <w:r w:rsidRPr="00BC11C5">
        <w:t>Glossary</w:t>
      </w:r>
      <w:bookmarkEnd w:id="83"/>
    </w:p>
    <w:p w14:paraId="02D27B4A" w14:textId="77777777" w:rsidR="006745FF" w:rsidRPr="00BC11C5" w:rsidRDefault="006745FF" w:rsidP="00996E91">
      <w:r w:rsidRPr="00BC11C5">
        <w:rPr>
          <w:b/>
        </w:rPr>
        <w:t>Adoption Scenario</w:t>
      </w:r>
      <w:r w:rsidRPr="00BC11C5">
        <w:t xml:space="preserve"> – the predicted annual adoption over the period 2015 to 2060, which is usually measured in </w:t>
      </w:r>
      <w:r w:rsidRPr="00BC11C5">
        <w:rPr>
          <w:b/>
        </w:rPr>
        <w:t>Functional Units</w:t>
      </w:r>
      <w:r w:rsidRPr="00BC11C5">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C11C5">
        <w:rPr>
          <w:b/>
        </w:rPr>
        <w:t>Reference (REF)</w:t>
      </w:r>
      <w:r w:rsidRPr="00BC11C5">
        <w:t xml:space="preserve"> where global adoption remains mostly constant, and </w:t>
      </w:r>
      <w:r w:rsidRPr="00BC11C5">
        <w:rPr>
          <w:b/>
        </w:rPr>
        <w:t>Project Drawdown Scenarios (PDS)</w:t>
      </w:r>
      <w:r w:rsidRPr="00BC11C5">
        <w:t xml:space="preserve"> which illustrate high growth of the solution.</w:t>
      </w:r>
    </w:p>
    <w:p w14:paraId="5FD0673A" w14:textId="77777777" w:rsidR="006745FF" w:rsidRPr="00BC11C5" w:rsidRDefault="006745FF" w:rsidP="00996E91">
      <w:r w:rsidRPr="00BC11C5">
        <w:rPr>
          <w:b/>
        </w:rPr>
        <w:t>Approximate PPM Equivalent</w:t>
      </w:r>
      <w:r w:rsidRPr="00BC11C5">
        <w:t xml:space="preserve"> – the reduction in atmospheric concentration of CO</w:t>
      </w:r>
      <w:r w:rsidRPr="00BC11C5">
        <w:rPr>
          <w:vertAlign w:val="subscript"/>
        </w:rPr>
        <w:t>2</w:t>
      </w:r>
      <w:r w:rsidRPr="00BC11C5">
        <w:t xml:space="preserve"> (in </w:t>
      </w:r>
      <w:r w:rsidRPr="00BC11C5">
        <w:rPr>
          <w:b/>
        </w:rPr>
        <w:t>PPM</w:t>
      </w:r>
      <w:r w:rsidRPr="00BC11C5">
        <w:t xml:space="preserve">) that is expected to result if the </w:t>
      </w:r>
      <w:r w:rsidRPr="00BC11C5">
        <w:rPr>
          <w:b/>
        </w:rPr>
        <w:t>PDS Scenario</w:t>
      </w:r>
      <w:r w:rsidRPr="00BC11C5">
        <w:t xml:space="preserve"> occurs. This assumes a discrete avoided pulse model based on the Bern Carbon Cycle model.</w:t>
      </w:r>
    </w:p>
    <w:p w14:paraId="59150663" w14:textId="77777777" w:rsidR="006745FF" w:rsidRPr="00BC11C5" w:rsidRDefault="006745FF" w:rsidP="00996E91">
      <w:r w:rsidRPr="00BC11C5">
        <w:rPr>
          <w:b/>
        </w:rPr>
        <w:t>Average Abatement Cost</w:t>
      </w:r>
      <w:r w:rsidRPr="00BC11C5">
        <w:t xml:space="preserve"> – the ratio of the present value of the solution (</w:t>
      </w:r>
      <w:r w:rsidRPr="00BC11C5">
        <w:rPr>
          <w:b/>
        </w:rPr>
        <w:t>Net</w:t>
      </w:r>
      <w:r w:rsidRPr="00BC11C5">
        <w:t xml:space="preserve"> </w:t>
      </w:r>
      <w:r w:rsidRPr="00BC11C5">
        <w:rPr>
          <w:b/>
        </w:rPr>
        <w:t xml:space="preserve">Operating Savings </w:t>
      </w:r>
      <w:r w:rsidRPr="00BC11C5">
        <w:t>minus</w:t>
      </w:r>
      <w:r w:rsidRPr="00BC11C5">
        <w:rPr>
          <w:b/>
        </w:rPr>
        <w:t xml:space="preserve"> Marginal First Costs</w:t>
      </w:r>
      <w:r w:rsidRPr="00BC11C5">
        <w:t xml:space="preserve">) and the </w:t>
      </w:r>
      <w:r w:rsidRPr="00BC11C5">
        <w:rPr>
          <w:b/>
        </w:rPr>
        <w:t>Total Emissions Reduction</w:t>
      </w:r>
      <w:r w:rsidRPr="00BC11C5">
        <w:t xml:space="preserve">. This is a single value for each solution for each </w:t>
      </w:r>
      <w:r w:rsidRPr="00BC11C5">
        <w:rPr>
          <w:b/>
        </w:rPr>
        <w:t>PDS Scenario</w:t>
      </w:r>
      <w:r w:rsidRPr="00BC11C5">
        <w:t>, and is used to build the characteristic “</w:t>
      </w:r>
      <w:r w:rsidRPr="00BC11C5">
        <w:rPr>
          <w:i/>
        </w:rPr>
        <w:t>Marginal Abatement Cost</w:t>
      </w:r>
      <w:r w:rsidRPr="00BC11C5">
        <w:t>” curves when Average Abatement Cost values for each solution are ordered and graphed.</w:t>
      </w:r>
    </w:p>
    <w:p w14:paraId="16A2F2DD" w14:textId="77777777" w:rsidR="006745FF" w:rsidRPr="00BC11C5" w:rsidRDefault="006745FF" w:rsidP="00996E91">
      <w:r w:rsidRPr="00BC11C5">
        <w:rPr>
          <w:b/>
        </w:rPr>
        <w:t>Average Annual Use</w:t>
      </w:r>
      <w:r w:rsidRPr="00BC11C5">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C11C5">
        <w:rPr>
          <w:b/>
        </w:rPr>
        <w:t>Replacement Time</w:t>
      </w:r>
      <w:r w:rsidRPr="00BC11C5">
        <w:t>.</w:t>
      </w:r>
    </w:p>
    <w:p w14:paraId="044BB52C" w14:textId="77777777" w:rsidR="006745FF" w:rsidRPr="00BC11C5" w:rsidRDefault="006745FF" w:rsidP="00996E91">
      <w:r w:rsidRPr="00BC11C5">
        <w:rPr>
          <w:b/>
        </w:rPr>
        <w:t>Cumulative First Cost</w:t>
      </w:r>
      <w:r w:rsidRPr="00BC11C5">
        <w:t xml:space="preserve"> – the total </w:t>
      </w:r>
      <w:r w:rsidRPr="00BC11C5">
        <w:rPr>
          <w:b/>
        </w:rPr>
        <w:t>First Cost</w:t>
      </w:r>
      <w:r w:rsidRPr="00BC11C5">
        <w:t xml:space="preserve"> of solution </w:t>
      </w:r>
      <w:r w:rsidRPr="00BC11C5">
        <w:rPr>
          <w:b/>
        </w:rPr>
        <w:t>Implementation Units</w:t>
      </w:r>
      <w:r w:rsidRPr="00BC11C5">
        <w:t xml:space="preserve"> purchased in the </w:t>
      </w:r>
      <w:r w:rsidRPr="00BC11C5">
        <w:rPr>
          <w:b/>
        </w:rPr>
        <w:t>PDS Scenario</w:t>
      </w:r>
      <w:r w:rsidRPr="00BC11C5">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C11C5" w:rsidRDefault="006745FF" w:rsidP="00996E91">
      <w:r w:rsidRPr="00BC11C5">
        <w:rPr>
          <w:b/>
        </w:rPr>
        <w:t>Direct Emissions</w:t>
      </w:r>
      <w:r w:rsidRPr="00BC11C5">
        <w:t xml:space="preserve"> – emissions caused by the operation of the solution, which are typically caused over the lifetime of the solution. They should be entered into the model normalized per functional unit.</w:t>
      </w:r>
    </w:p>
    <w:p w14:paraId="1C32899A" w14:textId="77777777" w:rsidR="006745FF" w:rsidRPr="00BC11C5" w:rsidRDefault="006745FF" w:rsidP="00996E91">
      <w:r w:rsidRPr="00BC11C5">
        <w:rPr>
          <w:b/>
        </w:rPr>
        <w:t>Discount Rate</w:t>
      </w:r>
      <w:r w:rsidRPr="00BC11C5">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C11C5" w:rsidRDefault="006745FF" w:rsidP="00996E91">
      <w:r w:rsidRPr="00BC11C5">
        <w:rPr>
          <w:b/>
        </w:rPr>
        <w:t>Emissions</w:t>
      </w:r>
      <w:r w:rsidRPr="00BC11C5">
        <w:t xml:space="preserve"> </w:t>
      </w:r>
      <w:r w:rsidRPr="00BC11C5">
        <w:rPr>
          <w:b/>
        </w:rPr>
        <w:t>Factor</w:t>
      </w:r>
      <w:r w:rsidRPr="00BC11C5">
        <w:t>– the average normalized emissions resulting from consumption of a unit of electricity across the global grid. Typical units are kg CO</w:t>
      </w:r>
      <w:r w:rsidRPr="00BC11C5">
        <w:rPr>
          <w:vertAlign w:val="subscript"/>
        </w:rPr>
        <w:t>2</w:t>
      </w:r>
      <w:r w:rsidRPr="00BC11C5">
        <w:t>e/kWh.</w:t>
      </w:r>
    </w:p>
    <w:p w14:paraId="754A056C" w14:textId="77777777" w:rsidR="006745FF" w:rsidRPr="00BC11C5" w:rsidRDefault="006745FF" w:rsidP="00996E91">
      <w:r w:rsidRPr="00BC11C5">
        <w:rPr>
          <w:b/>
        </w:rPr>
        <w:t>First Cost</w:t>
      </w:r>
      <w:r w:rsidRPr="00BC11C5">
        <w:t xml:space="preserve">- the investment cost per </w:t>
      </w:r>
      <w:r w:rsidRPr="00BC11C5">
        <w:rPr>
          <w:b/>
        </w:rPr>
        <w:t>Implementation Unit</w:t>
      </w:r>
      <w:r w:rsidRPr="00BC11C5">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C11C5" w:rsidRDefault="006745FF" w:rsidP="00996E91">
      <w:r w:rsidRPr="00BC11C5">
        <w:rPr>
          <w:b/>
        </w:rPr>
        <w:t>Functional Unit</w:t>
      </w:r>
      <w:r w:rsidRPr="00BC11C5">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C11C5" w:rsidRDefault="006745FF" w:rsidP="00996E91">
      <w:r w:rsidRPr="00BC11C5">
        <w:rPr>
          <w:b/>
        </w:rPr>
        <w:t>Grid Emissions</w:t>
      </w:r>
      <w:r w:rsidRPr="00BC11C5">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C11C5" w:rsidRDefault="006745FF" w:rsidP="00996E91">
      <w:r w:rsidRPr="00BC11C5">
        <w:rPr>
          <w:b/>
        </w:rPr>
        <w:t>Implementation Unit</w:t>
      </w:r>
      <w:r w:rsidRPr="00BC11C5">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C11C5" w:rsidRDefault="006745FF" w:rsidP="00996E91">
      <w:r w:rsidRPr="00BC11C5">
        <w:rPr>
          <w:b/>
        </w:rPr>
        <w:t>Indirect Emissions</w:t>
      </w:r>
      <w:r w:rsidRPr="00BC11C5">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C11C5" w:rsidRDefault="006745FF" w:rsidP="00996E91">
      <w:r w:rsidRPr="00BC11C5">
        <w:rPr>
          <w:b/>
        </w:rPr>
        <w:t>Learning Rate/Learning Curve</w:t>
      </w:r>
      <w:r w:rsidRPr="00BC11C5">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C11C5">
        <w:rPr>
          <w:i/>
        </w:rPr>
        <w:t>good</w:t>
      </w:r>
      <w:r w:rsidRPr="00BC11C5">
        <w:t xml:space="preserve"> drops by 2% every time total production doubles.</w:t>
      </w:r>
    </w:p>
    <w:p w14:paraId="77507D03" w14:textId="77777777" w:rsidR="006745FF" w:rsidRPr="00BC11C5" w:rsidRDefault="006745FF" w:rsidP="00996E91">
      <w:r w:rsidRPr="00BC11C5">
        <w:rPr>
          <w:b/>
        </w:rPr>
        <w:t>Lifetime Capacity</w:t>
      </w:r>
      <w:r w:rsidRPr="00BC11C5">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C11C5">
        <w:rPr>
          <w:b/>
        </w:rPr>
        <w:t>Replacement Time</w:t>
      </w:r>
      <w:r w:rsidRPr="00BC11C5">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C11C5" w:rsidRDefault="006745FF" w:rsidP="00996E91">
      <w:r w:rsidRPr="00BC11C5">
        <w:rPr>
          <w:b/>
        </w:rPr>
        <w:t>Lifetime Operating Savings</w:t>
      </w:r>
      <w:r w:rsidRPr="00BC11C5">
        <w:t>–the operating cost in the PDS versus the REF scenarios over the lifetime of the implementation units purchased during the model period regardless of when their useful life ends.</w:t>
      </w:r>
    </w:p>
    <w:p w14:paraId="49E72DD2" w14:textId="77777777" w:rsidR="006745FF" w:rsidRPr="00BC11C5" w:rsidRDefault="006745FF" w:rsidP="00996E91">
      <w:r w:rsidRPr="00BC11C5">
        <w:rPr>
          <w:b/>
        </w:rPr>
        <w:t>Lifetime Cashflow NPV</w:t>
      </w:r>
      <w:r w:rsidRPr="00BC11C5">
        <w:t xml:space="preserve">-the present value (PV) of the net cash flows (PDS versus REF) in each year of the model period (2015-2060). The net cash flows include net operating costs and first costs. There are two results in the model: Lifetime Cashflow NPV for a Single </w:t>
      </w:r>
      <w:r w:rsidRPr="00BC11C5">
        <w:rPr>
          <w:b/>
        </w:rPr>
        <w:t>Implementation Unit</w:t>
      </w:r>
      <w:r w:rsidRPr="00BC11C5">
        <w:t xml:space="preserve">, which refers to the installation of one </w:t>
      </w:r>
      <w:r w:rsidRPr="00BC11C5">
        <w:rPr>
          <w:b/>
        </w:rPr>
        <w:t>Implementation Unit</w:t>
      </w:r>
      <w:r w:rsidRPr="00BC11C5">
        <w:t xml:space="preserve">, and Lifetime Cashflow NPV of All Units, which refers to all </w:t>
      </w:r>
      <w:r w:rsidRPr="00BC11C5">
        <w:rPr>
          <w:b/>
        </w:rPr>
        <w:t>Implementation Units</w:t>
      </w:r>
      <w:r w:rsidRPr="00BC11C5">
        <w:t xml:space="preserve"> installed in a particular scenario. These calculations are also available using profit inputs instead of operating costs.</w:t>
      </w:r>
    </w:p>
    <w:p w14:paraId="44D5A85B" w14:textId="77777777" w:rsidR="006745FF" w:rsidRPr="00BC11C5" w:rsidRDefault="006745FF" w:rsidP="00996E91">
      <w:r w:rsidRPr="00BC11C5">
        <w:rPr>
          <w:b/>
        </w:rPr>
        <w:t>Marginal First Cost</w:t>
      </w:r>
      <w:r w:rsidRPr="00BC11C5">
        <w:t xml:space="preserve"> – the difference between the </w:t>
      </w:r>
      <w:r w:rsidRPr="00BC11C5">
        <w:rPr>
          <w:b/>
        </w:rPr>
        <w:t>First Cost</w:t>
      </w:r>
      <w:r w:rsidRPr="00BC11C5">
        <w:t xml:space="preserve"> of all units (solution and conventional) installed in the </w:t>
      </w:r>
      <w:r w:rsidRPr="00BC11C5">
        <w:rPr>
          <w:b/>
        </w:rPr>
        <w:t>PDS Scenario</w:t>
      </w:r>
      <w:r w:rsidRPr="00BC11C5">
        <w:t xml:space="preserve"> and the </w:t>
      </w:r>
      <w:r w:rsidRPr="00BC11C5">
        <w:rPr>
          <w:b/>
        </w:rPr>
        <w:t>First Cost</w:t>
      </w:r>
      <w:r w:rsidRPr="00BC11C5">
        <w:t xml:space="preserve"> of all units installed in the </w:t>
      </w:r>
      <w:r w:rsidRPr="00BC11C5">
        <w:rPr>
          <w:b/>
        </w:rPr>
        <w:t>REF Scenario</w:t>
      </w:r>
      <w:r w:rsidRPr="00BC11C5">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C11C5" w:rsidRDefault="006745FF" w:rsidP="00996E91">
      <w:r w:rsidRPr="00BC11C5">
        <w:rPr>
          <w:b/>
        </w:rPr>
        <w:t>Net Annual Functional Units (NAFU)</w:t>
      </w:r>
      <w:r w:rsidRPr="00BC11C5">
        <w:t xml:space="preserve"> – the adoption in the PDS minus the adoption in the REF in each year of analysis. In the model, this represents the additional annual functional demand captured either by the solution in the </w:t>
      </w:r>
      <w:r w:rsidRPr="00BC11C5">
        <w:rPr>
          <w:b/>
        </w:rPr>
        <w:t>PDS Scenario</w:t>
      </w:r>
      <w:r w:rsidRPr="00BC11C5">
        <w:t xml:space="preserve"> or the conventional in the </w:t>
      </w:r>
      <w:r w:rsidRPr="00BC11C5">
        <w:rPr>
          <w:b/>
        </w:rPr>
        <w:t>REF Scenario</w:t>
      </w:r>
      <w:r w:rsidRPr="00BC11C5">
        <w:t>.</w:t>
      </w:r>
    </w:p>
    <w:p w14:paraId="0360F8D5" w14:textId="77777777" w:rsidR="006745FF" w:rsidRPr="00BC11C5" w:rsidRDefault="006745FF" w:rsidP="00996E91">
      <w:r w:rsidRPr="00BC11C5">
        <w:rPr>
          <w:b/>
        </w:rPr>
        <w:t>Net Annual Implementation Units (NAIU)</w:t>
      </w:r>
      <w:r w:rsidRPr="00BC11C5">
        <w:t xml:space="preserve"> – the number of </w:t>
      </w:r>
      <w:r w:rsidRPr="00BC11C5">
        <w:rPr>
          <w:b/>
        </w:rPr>
        <w:t>Implementation Units</w:t>
      </w:r>
      <w:r w:rsidRPr="00BC11C5">
        <w:t xml:space="preserve"> of the solution that are needed in the PDS to supply the </w:t>
      </w:r>
      <w:r w:rsidRPr="00BC11C5">
        <w:rPr>
          <w:b/>
        </w:rPr>
        <w:t>Net Annual Functional Units (NAFU).</w:t>
      </w:r>
      <w:r w:rsidRPr="00BC11C5">
        <w:t xml:space="preserve"> This equals the adoption in the PDS minus the adoption in the REF in each year of analysis divided by the average annual use.</w:t>
      </w:r>
    </w:p>
    <w:p w14:paraId="3A36C3BE" w14:textId="77777777" w:rsidR="006745FF" w:rsidRPr="00BC11C5" w:rsidRDefault="006745FF" w:rsidP="00996E91">
      <w:r w:rsidRPr="00BC11C5">
        <w:rPr>
          <w:b/>
        </w:rPr>
        <w:t>Net Operating Savings</w:t>
      </w:r>
      <w:r w:rsidRPr="00BC11C5">
        <w:t xml:space="preserve"> – The undiscounted difference between the operating cost of all units (solution and conventional) in the </w:t>
      </w:r>
      <w:r w:rsidRPr="00BC11C5">
        <w:rPr>
          <w:b/>
        </w:rPr>
        <w:t>PDS Scenario</w:t>
      </w:r>
      <w:r w:rsidRPr="00BC11C5">
        <w:t xml:space="preserve"> minus that of all units in the </w:t>
      </w:r>
      <w:r w:rsidRPr="00BC11C5">
        <w:rPr>
          <w:b/>
        </w:rPr>
        <w:t>REF Scenario</w:t>
      </w:r>
      <w:r w:rsidRPr="00BC11C5">
        <w:t>.</w:t>
      </w:r>
    </w:p>
    <w:p w14:paraId="62002AFC" w14:textId="77777777" w:rsidR="006745FF" w:rsidRPr="00BC11C5" w:rsidRDefault="006745FF" w:rsidP="00996E91">
      <w:r w:rsidRPr="00BC11C5">
        <w:rPr>
          <w:b/>
        </w:rPr>
        <w:t xml:space="preserve">Operating Costs </w:t>
      </w:r>
      <w:r w:rsidRPr="00BC11C5">
        <w:t>– the average cost to ensure operation of an activity (conventional or solution) which is measured in 2014$US/</w:t>
      </w:r>
      <w:r w:rsidRPr="00BC11C5">
        <w:rPr>
          <w:b/>
        </w:rPr>
        <w:t>Functional Unit</w:t>
      </w:r>
      <w:r w:rsidRPr="00BC11C5">
        <w:t xml:space="preserve">.  This is needed to estimate how much it would cost to achieve the adoption projected when compared to the </w:t>
      </w:r>
      <w:r w:rsidRPr="00BC11C5">
        <w:rPr>
          <w:b/>
        </w:rPr>
        <w:t>REF Case</w:t>
      </w:r>
      <w:r w:rsidRPr="00BC11C5">
        <w:t xml:space="preserve">. Note that this excludes </w:t>
      </w:r>
      <w:r w:rsidRPr="00BC11C5">
        <w:rPr>
          <w:b/>
        </w:rPr>
        <w:t>First Costs</w:t>
      </w:r>
      <w:r w:rsidRPr="00BC11C5">
        <w:t xml:space="preserve"> for implementing the solution.</w:t>
      </w:r>
    </w:p>
    <w:p w14:paraId="3B7DF305" w14:textId="77777777" w:rsidR="006745FF" w:rsidRPr="00BC11C5" w:rsidRDefault="006745FF" w:rsidP="00996E91">
      <w:r w:rsidRPr="00BC11C5">
        <w:rPr>
          <w:b/>
        </w:rPr>
        <w:t>Payback Period</w:t>
      </w:r>
      <w:r w:rsidRPr="00BC11C5">
        <w:t xml:space="preserve"> – the number of years required to pay all the </w:t>
      </w:r>
      <w:r w:rsidRPr="00BC11C5">
        <w:rPr>
          <w:b/>
        </w:rPr>
        <w:t>First Costs</w:t>
      </w:r>
      <w:r w:rsidRPr="00BC11C5">
        <w:t xml:space="preserve"> of the solution using </w:t>
      </w:r>
      <w:r w:rsidRPr="00BC11C5">
        <w:rPr>
          <w:b/>
        </w:rPr>
        <w:t>Net Operating Savings</w:t>
      </w:r>
      <w:r w:rsidRPr="00BC11C5">
        <w:t xml:space="preserve">. There are four specific metrics each with one of </w:t>
      </w:r>
      <w:r w:rsidRPr="00BC11C5">
        <w:rPr>
          <w:b/>
        </w:rPr>
        <w:t>Marginal First Costs</w:t>
      </w:r>
      <w:r w:rsidRPr="00BC11C5">
        <w:t xml:space="preserve"> or </w:t>
      </w:r>
      <w:r w:rsidRPr="00BC11C5">
        <w:rPr>
          <w:b/>
        </w:rPr>
        <w:t>First Costs</w:t>
      </w:r>
      <w:r w:rsidRPr="00BC11C5">
        <w:t xml:space="preserve"> of the solution only combined with either discounted or non-discounted values. All four are in the model. Additionally, the four outputs are calculated using the increased profit estimation instead of </w:t>
      </w:r>
      <w:r w:rsidRPr="00BC11C5">
        <w:rPr>
          <w:b/>
        </w:rPr>
        <w:t>Net Operating Savings</w:t>
      </w:r>
      <w:r w:rsidRPr="00BC11C5">
        <w:t>.</w:t>
      </w:r>
    </w:p>
    <w:p w14:paraId="69E0C8C0" w14:textId="77777777" w:rsidR="006745FF" w:rsidRPr="00BC11C5" w:rsidRDefault="006745FF" w:rsidP="00996E91">
      <w:r w:rsidRPr="00BC11C5">
        <w:rPr>
          <w:b/>
        </w:rPr>
        <w:t>PDS/ Project Drawdown Scenario</w:t>
      </w:r>
      <w:r w:rsidRPr="00BC11C5">
        <w:t xml:space="preserve"> – this is the high growth scenario for adoption of the solution</w:t>
      </w:r>
    </w:p>
    <w:p w14:paraId="6F8267F5" w14:textId="77777777" w:rsidR="006745FF" w:rsidRPr="00BC11C5" w:rsidRDefault="006745FF" w:rsidP="00996E91">
      <w:r w:rsidRPr="00BC11C5">
        <w:rPr>
          <w:b/>
        </w:rPr>
        <w:t>PPB/ Parts per Billion</w:t>
      </w:r>
      <w:r w:rsidRPr="00BC11C5">
        <w:t xml:space="preserve"> – a measure of concentration for atmospheric gases. 10 million PPB = 1%.</w:t>
      </w:r>
    </w:p>
    <w:p w14:paraId="78DB05A8" w14:textId="77777777" w:rsidR="006745FF" w:rsidRPr="00BC11C5" w:rsidRDefault="006745FF" w:rsidP="00996E91">
      <w:r w:rsidRPr="00BC11C5">
        <w:rPr>
          <w:b/>
        </w:rPr>
        <w:t>PPM/ Parts per Million</w:t>
      </w:r>
      <w:r w:rsidRPr="00BC11C5">
        <w:t xml:space="preserve"> – a measure of concentration for atmospheric gases. 10 thousand PPM = 1%.</w:t>
      </w:r>
    </w:p>
    <w:p w14:paraId="0574EE5A" w14:textId="77777777" w:rsidR="006745FF" w:rsidRPr="00BC11C5" w:rsidRDefault="006745FF" w:rsidP="00996E91">
      <w:r w:rsidRPr="00BC11C5">
        <w:rPr>
          <w:b/>
        </w:rPr>
        <w:t>REF/ Reference Scenario</w:t>
      </w:r>
      <w:r w:rsidRPr="00BC11C5">
        <w:t xml:space="preserve"> – this is the low growth scenario for adoption of the solution against which all </w:t>
      </w:r>
      <w:r w:rsidRPr="00BC11C5">
        <w:rPr>
          <w:b/>
        </w:rPr>
        <w:t>PDS scenarios</w:t>
      </w:r>
      <w:r w:rsidRPr="00BC11C5">
        <w:t xml:space="preserve"> are compared.</w:t>
      </w:r>
    </w:p>
    <w:p w14:paraId="333AF401" w14:textId="7C332B53" w:rsidR="001759D2" w:rsidRPr="00BC11C5" w:rsidRDefault="001759D2" w:rsidP="00996E91">
      <w:pPr>
        <w:rPr>
          <w:rFonts w:cstheme="minorHAnsi"/>
        </w:rPr>
      </w:pPr>
      <w:r w:rsidRPr="00BC11C5">
        <w:rPr>
          <w:rFonts w:cstheme="minorHAnsi"/>
          <w:b/>
        </w:rPr>
        <w:t>Regrets solution</w:t>
      </w:r>
      <w:r w:rsidRPr="00BC11C5">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C11C5" w:rsidRDefault="006745FF" w:rsidP="00996E91">
      <w:r w:rsidRPr="00BC11C5">
        <w:rPr>
          <w:b/>
        </w:rPr>
        <w:t>Replacement Time</w:t>
      </w:r>
      <w:r w:rsidRPr="00BC11C5">
        <w:t xml:space="preserve">- the length of time in years, from installation/acquisition/setup of the solution through usage until a new installation/acquisition/setup is required to replace the earlier one.  This is calculated as the ratio of </w:t>
      </w:r>
      <w:r w:rsidRPr="00BC11C5">
        <w:rPr>
          <w:b/>
        </w:rPr>
        <w:t>Lifetime Capacity</w:t>
      </w:r>
      <w:r w:rsidRPr="00BC11C5">
        <w:t xml:space="preserve"> and the </w:t>
      </w:r>
      <w:r w:rsidRPr="00BC11C5">
        <w:rPr>
          <w:b/>
        </w:rPr>
        <w:t>Average Annual Use</w:t>
      </w:r>
      <w:r w:rsidRPr="00BC11C5">
        <w:t>.</w:t>
      </w:r>
    </w:p>
    <w:p w14:paraId="7F5BB871" w14:textId="72C4543A" w:rsidR="001759D2" w:rsidRPr="00BC11C5" w:rsidRDefault="001759D2" w:rsidP="00996E91">
      <w:r w:rsidRPr="00BC11C5">
        <w:rPr>
          <w:b/>
        </w:rPr>
        <w:t xml:space="preserve">TAM/ Total Addressable Market </w:t>
      </w:r>
      <w:r w:rsidRPr="00BC11C5">
        <w:t>–</w:t>
      </w:r>
      <w:r w:rsidR="00D25FC7" w:rsidRPr="00BC11C5">
        <w:t xml:space="preserve"> represents the total potential market of functional demand provided by the technologies and practices under investigation, adjusting for estimated economic and population growth. For this solutions sector, it represents </w:t>
      </w:r>
      <w:r w:rsidRPr="00BC11C5">
        <w:t>world and regional total addressable markets for electricity generation technologies in which the solutions are considered.</w:t>
      </w:r>
    </w:p>
    <w:p w14:paraId="013DD235" w14:textId="77777777" w:rsidR="00D25FC7" w:rsidRPr="00BC11C5" w:rsidRDefault="00D25FC7" w:rsidP="00996E91"/>
    <w:p w14:paraId="06D9A50A" w14:textId="7CBFC779" w:rsidR="006745FF" w:rsidRPr="00BC11C5" w:rsidRDefault="006745FF" w:rsidP="00996E91">
      <w:r w:rsidRPr="00BC11C5">
        <w:rPr>
          <w:b/>
        </w:rPr>
        <w:t>Total Emissions Reduction</w:t>
      </w:r>
      <w:r w:rsidRPr="00BC11C5">
        <w:t xml:space="preserve"> – the sum of grid, fuel, indirect, and other direct emissions reductions over the analysis period. The emissions reduction of each of these is the difference between the emissions that would have resulted in the </w:t>
      </w:r>
      <w:r w:rsidRPr="00BC11C5">
        <w:rPr>
          <w:b/>
        </w:rPr>
        <w:t>REF Scenario</w:t>
      </w:r>
      <w:r w:rsidRPr="00BC11C5">
        <w:t xml:space="preserve"> (from both solution and conventional) and the emissions that would result in the </w:t>
      </w:r>
      <w:r w:rsidRPr="00BC11C5">
        <w:rPr>
          <w:b/>
        </w:rPr>
        <w:t>PDS Scenario</w:t>
      </w:r>
      <w:r w:rsidRPr="00BC11C5">
        <w:t>. These may also be considered as “emissions avoided” as they may have occurred in the REF Scenario, but not in the PDS Scenario.</w:t>
      </w:r>
    </w:p>
    <w:p w14:paraId="512C529B" w14:textId="7D1A7CD0" w:rsidR="001759D2" w:rsidRPr="00BC11C5" w:rsidRDefault="001759D2" w:rsidP="00996E91">
      <w:pPr>
        <w:rPr>
          <w:rFonts w:cstheme="minorHAnsi"/>
          <w:highlight w:val="green"/>
        </w:rPr>
      </w:pPr>
      <w:r w:rsidRPr="00BC11C5">
        <w:rPr>
          <w:rFonts w:cstheme="minorHAnsi"/>
          <w:b/>
        </w:rPr>
        <w:t>Transition solutions</w:t>
      </w:r>
      <w:r w:rsidRPr="00BC11C5">
        <w:rPr>
          <w:rFonts w:cstheme="minorHAnsi"/>
        </w:rPr>
        <w:t xml:space="preserve"> are considered till better technologies and less impactful are more cost effective and mature. </w:t>
      </w:r>
    </w:p>
    <w:p w14:paraId="57B3845F" w14:textId="34BA5614" w:rsidR="006745FF" w:rsidRPr="00BC11C5" w:rsidRDefault="006745FF" w:rsidP="00EB247F">
      <w:r w:rsidRPr="00BC11C5">
        <w:rPr>
          <w:b/>
        </w:rPr>
        <w:t>TWh/ Terawatt-hour</w:t>
      </w:r>
      <w:r w:rsidRPr="00BC11C5">
        <w:t xml:space="preserve"> – A unit of energy equal to 1 billion kilowatt-hours</w:t>
      </w:r>
    </w:p>
    <w:sectPr w:rsidR="006745FF" w:rsidRPr="00BC11C5">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EE97" w14:textId="77777777" w:rsidR="00D76026" w:rsidRDefault="00D76026" w:rsidP="00D26F59">
      <w:pPr>
        <w:spacing w:after="0"/>
      </w:pPr>
      <w:r>
        <w:separator/>
      </w:r>
    </w:p>
  </w:endnote>
  <w:endnote w:type="continuationSeparator" w:id="0">
    <w:p w14:paraId="20F5B68F" w14:textId="77777777" w:rsidR="00D76026" w:rsidRDefault="00D76026"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00000000"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Helvetica,Times New Roman">
    <w:altName w:val="Helvetic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A96EC4" w:rsidRDefault="00A96EC4"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A96EC4" w:rsidRDefault="00A96EC4"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087E5F1B" w:rsidR="00A96EC4" w:rsidRPr="00F26176" w:rsidRDefault="00A96EC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63C91">
      <w:rPr>
        <w:caps/>
        <w:noProof/>
        <w:color w:val="4F81BD" w:themeColor="accent1"/>
      </w:rPr>
      <w:t>VI</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A96EC4" w:rsidRPr="00F26176" w:rsidRDefault="00A96EC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63C91">
      <w:rPr>
        <w:caps/>
        <w:noProof/>
        <w:color w:val="4F81BD" w:themeColor="accent1"/>
      </w:rPr>
      <w:t>12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EDA8" w14:textId="77777777" w:rsidR="00D76026" w:rsidRDefault="00D76026" w:rsidP="00D26F59">
      <w:pPr>
        <w:spacing w:after="0"/>
      </w:pPr>
      <w:r>
        <w:separator/>
      </w:r>
    </w:p>
  </w:footnote>
  <w:footnote w:type="continuationSeparator" w:id="0">
    <w:p w14:paraId="3616AF72" w14:textId="77777777" w:rsidR="00D76026" w:rsidRDefault="00D76026" w:rsidP="00D2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131B7"/>
    <w:multiLevelType w:val="hybridMultilevel"/>
    <w:tmpl w:val="E0105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5"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6"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F0D49"/>
    <w:multiLevelType w:val="hybridMultilevel"/>
    <w:tmpl w:val="34A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9"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1"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4"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6"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4"/>
  </w:num>
  <w:num w:numId="4">
    <w:abstractNumId w:val="6"/>
  </w:num>
  <w:num w:numId="5">
    <w:abstractNumId w:val="35"/>
  </w:num>
  <w:num w:numId="6">
    <w:abstractNumId w:val="22"/>
  </w:num>
  <w:num w:numId="7">
    <w:abstractNumId w:val="30"/>
  </w:num>
  <w:num w:numId="8">
    <w:abstractNumId w:val="3"/>
  </w:num>
  <w:num w:numId="9">
    <w:abstractNumId w:val="7"/>
  </w:num>
  <w:num w:numId="10">
    <w:abstractNumId w:val="21"/>
  </w:num>
  <w:num w:numId="11">
    <w:abstractNumId w:val="17"/>
  </w:num>
  <w:num w:numId="12">
    <w:abstractNumId w:val="29"/>
  </w:num>
  <w:num w:numId="13">
    <w:abstractNumId w:val="9"/>
  </w:num>
  <w:num w:numId="14">
    <w:abstractNumId w:val="14"/>
  </w:num>
  <w:num w:numId="15">
    <w:abstractNumId w:val="2"/>
  </w:num>
  <w:num w:numId="16">
    <w:abstractNumId w:val="5"/>
  </w:num>
  <w:num w:numId="17">
    <w:abstractNumId w:val="31"/>
  </w:num>
  <w:num w:numId="18">
    <w:abstractNumId w:val="34"/>
  </w:num>
  <w:num w:numId="19">
    <w:abstractNumId w:val="32"/>
  </w:num>
  <w:num w:numId="20">
    <w:abstractNumId w:val="16"/>
  </w:num>
  <w:num w:numId="21">
    <w:abstractNumId w:val="7"/>
  </w:num>
  <w:num w:numId="22">
    <w:abstractNumId w:val="7"/>
  </w:num>
  <w:num w:numId="23">
    <w:abstractNumId w:val="12"/>
  </w:num>
  <w:num w:numId="24">
    <w:abstractNumId w:val="19"/>
  </w:num>
  <w:num w:numId="25">
    <w:abstractNumId w:val="23"/>
  </w:num>
  <w:num w:numId="26">
    <w:abstractNumId w:val="20"/>
  </w:num>
  <w:num w:numId="27">
    <w:abstractNumId w:val="20"/>
  </w:num>
  <w:num w:numId="28">
    <w:abstractNumId w:val="20"/>
    <w:lvlOverride w:ilvl="0">
      <w:startOverride w:val="2"/>
    </w:lvlOverride>
    <w:lvlOverride w:ilvl="1">
      <w:startOverride w:val="1"/>
    </w:lvlOverride>
  </w:num>
  <w:num w:numId="29">
    <w:abstractNumId w:val="20"/>
  </w:num>
  <w:num w:numId="30">
    <w:abstractNumId w:val="4"/>
  </w:num>
  <w:num w:numId="31">
    <w:abstractNumId w:val="25"/>
  </w:num>
  <w:num w:numId="32">
    <w:abstractNumId w:val="13"/>
  </w:num>
  <w:num w:numId="33">
    <w:abstractNumId w:val="18"/>
  </w:num>
  <w:num w:numId="34">
    <w:abstractNumId w:val="33"/>
  </w:num>
  <w:num w:numId="35">
    <w:abstractNumId w:val="26"/>
  </w:num>
  <w:num w:numId="36">
    <w:abstractNumId w:val="11"/>
  </w:num>
  <w:num w:numId="37">
    <w:abstractNumId w:val="15"/>
  </w:num>
  <w:num w:numId="38">
    <w:abstractNumId w:val="28"/>
  </w:num>
  <w:num w:numId="39">
    <w:abstractNumId w:val="19"/>
  </w:num>
  <w:num w:numId="40">
    <w:abstractNumId w:val="10"/>
  </w:num>
  <w:num w:numId="41">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71"/>
    <w:rsid w:val="0000143C"/>
    <w:rsid w:val="00014905"/>
    <w:rsid w:val="00014CE5"/>
    <w:rsid w:val="000178CE"/>
    <w:rsid w:val="00021153"/>
    <w:rsid w:val="00024F11"/>
    <w:rsid w:val="00025D50"/>
    <w:rsid w:val="00027B88"/>
    <w:rsid w:val="000330C6"/>
    <w:rsid w:val="00044F4C"/>
    <w:rsid w:val="00054158"/>
    <w:rsid w:val="00056ED1"/>
    <w:rsid w:val="00057050"/>
    <w:rsid w:val="0005721B"/>
    <w:rsid w:val="000663BB"/>
    <w:rsid w:val="000748D4"/>
    <w:rsid w:val="00075F31"/>
    <w:rsid w:val="00081F00"/>
    <w:rsid w:val="000828F9"/>
    <w:rsid w:val="000829DC"/>
    <w:rsid w:val="000856B7"/>
    <w:rsid w:val="000875B5"/>
    <w:rsid w:val="00087D3B"/>
    <w:rsid w:val="0009232E"/>
    <w:rsid w:val="0009271D"/>
    <w:rsid w:val="0009541F"/>
    <w:rsid w:val="000971F9"/>
    <w:rsid w:val="000A4E7B"/>
    <w:rsid w:val="000A6F40"/>
    <w:rsid w:val="000B1609"/>
    <w:rsid w:val="000B1918"/>
    <w:rsid w:val="000B3EE3"/>
    <w:rsid w:val="000C3205"/>
    <w:rsid w:val="000C3F49"/>
    <w:rsid w:val="000C5AF8"/>
    <w:rsid w:val="000C7A55"/>
    <w:rsid w:val="000D07ED"/>
    <w:rsid w:val="000D1C03"/>
    <w:rsid w:val="000D30DE"/>
    <w:rsid w:val="000D3855"/>
    <w:rsid w:val="000D7BC5"/>
    <w:rsid w:val="000E552A"/>
    <w:rsid w:val="000E594F"/>
    <w:rsid w:val="000E6148"/>
    <w:rsid w:val="000F131E"/>
    <w:rsid w:val="00101408"/>
    <w:rsid w:val="001073C8"/>
    <w:rsid w:val="00107E9F"/>
    <w:rsid w:val="00112479"/>
    <w:rsid w:val="00123A28"/>
    <w:rsid w:val="00124262"/>
    <w:rsid w:val="00124C49"/>
    <w:rsid w:val="00125B80"/>
    <w:rsid w:val="0013158E"/>
    <w:rsid w:val="00136093"/>
    <w:rsid w:val="00137B82"/>
    <w:rsid w:val="00140F1E"/>
    <w:rsid w:val="00141A8E"/>
    <w:rsid w:val="00152E5D"/>
    <w:rsid w:val="001759D2"/>
    <w:rsid w:val="00176B3E"/>
    <w:rsid w:val="00186830"/>
    <w:rsid w:val="001A1AB8"/>
    <w:rsid w:val="001A6EB0"/>
    <w:rsid w:val="001B1300"/>
    <w:rsid w:val="001B193B"/>
    <w:rsid w:val="001B3003"/>
    <w:rsid w:val="001B58F5"/>
    <w:rsid w:val="001B6745"/>
    <w:rsid w:val="001C2B6F"/>
    <w:rsid w:val="001C3DC0"/>
    <w:rsid w:val="001C49CB"/>
    <w:rsid w:val="001C5872"/>
    <w:rsid w:val="001D17E8"/>
    <w:rsid w:val="001D7C16"/>
    <w:rsid w:val="001E0FF2"/>
    <w:rsid w:val="001F2EFC"/>
    <w:rsid w:val="001F6FB0"/>
    <w:rsid w:val="00202788"/>
    <w:rsid w:val="002054FC"/>
    <w:rsid w:val="00205B15"/>
    <w:rsid w:val="0021082B"/>
    <w:rsid w:val="0021478F"/>
    <w:rsid w:val="00215F04"/>
    <w:rsid w:val="00216B08"/>
    <w:rsid w:val="00221954"/>
    <w:rsid w:val="0023178B"/>
    <w:rsid w:val="00232AAA"/>
    <w:rsid w:val="00233782"/>
    <w:rsid w:val="00233C0E"/>
    <w:rsid w:val="00233E81"/>
    <w:rsid w:val="002454E7"/>
    <w:rsid w:val="002476A8"/>
    <w:rsid w:val="00255D19"/>
    <w:rsid w:val="00260326"/>
    <w:rsid w:val="002603E9"/>
    <w:rsid w:val="0026327C"/>
    <w:rsid w:val="00264D1A"/>
    <w:rsid w:val="00266635"/>
    <w:rsid w:val="00270442"/>
    <w:rsid w:val="00272912"/>
    <w:rsid w:val="00274B1A"/>
    <w:rsid w:val="00274B56"/>
    <w:rsid w:val="00284108"/>
    <w:rsid w:val="00290D71"/>
    <w:rsid w:val="00291D3C"/>
    <w:rsid w:val="002A4E84"/>
    <w:rsid w:val="002A62C7"/>
    <w:rsid w:val="002A7706"/>
    <w:rsid w:val="002B3A39"/>
    <w:rsid w:val="002B4E23"/>
    <w:rsid w:val="002C0282"/>
    <w:rsid w:val="002C2307"/>
    <w:rsid w:val="002D2185"/>
    <w:rsid w:val="002D402C"/>
    <w:rsid w:val="002D4B9E"/>
    <w:rsid w:val="002D5C14"/>
    <w:rsid w:val="002D6588"/>
    <w:rsid w:val="002E49AA"/>
    <w:rsid w:val="002E69FF"/>
    <w:rsid w:val="002F192A"/>
    <w:rsid w:val="0030099E"/>
    <w:rsid w:val="00300CEE"/>
    <w:rsid w:val="00303670"/>
    <w:rsid w:val="003069EE"/>
    <w:rsid w:val="00307C17"/>
    <w:rsid w:val="00307D95"/>
    <w:rsid w:val="0032353F"/>
    <w:rsid w:val="00325AF7"/>
    <w:rsid w:val="003260E9"/>
    <w:rsid w:val="00327B08"/>
    <w:rsid w:val="00333492"/>
    <w:rsid w:val="00333748"/>
    <w:rsid w:val="00344262"/>
    <w:rsid w:val="0034746E"/>
    <w:rsid w:val="00367667"/>
    <w:rsid w:val="0037089C"/>
    <w:rsid w:val="003727F8"/>
    <w:rsid w:val="00374564"/>
    <w:rsid w:val="0038334F"/>
    <w:rsid w:val="003922A1"/>
    <w:rsid w:val="003945C2"/>
    <w:rsid w:val="00395868"/>
    <w:rsid w:val="003A0234"/>
    <w:rsid w:val="003A2697"/>
    <w:rsid w:val="003A4CBC"/>
    <w:rsid w:val="003A7929"/>
    <w:rsid w:val="003A7FE2"/>
    <w:rsid w:val="003B2BDF"/>
    <w:rsid w:val="003B4C27"/>
    <w:rsid w:val="003C025A"/>
    <w:rsid w:val="003C04AF"/>
    <w:rsid w:val="003C3271"/>
    <w:rsid w:val="003C4730"/>
    <w:rsid w:val="003C69B0"/>
    <w:rsid w:val="003D5829"/>
    <w:rsid w:val="003E0AE3"/>
    <w:rsid w:val="003E4286"/>
    <w:rsid w:val="004057C8"/>
    <w:rsid w:val="004113B3"/>
    <w:rsid w:val="00416A4B"/>
    <w:rsid w:val="00421F83"/>
    <w:rsid w:val="00433358"/>
    <w:rsid w:val="00434F61"/>
    <w:rsid w:val="0044137C"/>
    <w:rsid w:val="00442F4B"/>
    <w:rsid w:val="00444D9E"/>
    <w:rsid w:val="0045676A"/>
    <w:rsid w:val="004575C6"/>
    <w:rsid w:val="00464C93"/>
    <w:rsid w:val="00481F8C"/>
    <w:rsid w:val="00483FFA"/>
    <w:rsid w:val="004858E0"/>
    <w:rsid w:val="00486C75"/>
    <w:rsid w:val="00486E5A"/>
    <w:rsid w:val="00487017"/>
    <w:rsid w:val="00490F36"/>
    <w:rsid w:val="00492F5E"/>
    <w:rsid w:val="00494AF9"/>
    <w:rsid w:val="00496526"/>
    <w:rsid w:val="004A4DFA"/>
    <w:rsid w:val="004A6074"/>
    <w:rsid w:val="004B07AF"/>
    <w:rsid w:val="004B17FC"/>
    <w:rsid w:val="004B1A0B"/>
    <w:rsid w:val="004B45D0"/>
    <w:rsid w:val="004B4859"/>
    <w:rsid w:val="004B4939"/>
    <w:rsid w:val="004B5F7F"/>
    <w:rsid w:val="004B75B7"/>
    <w:rsid w:val="004B7DA5"/>
    <w:rsid w:val="004C1461"/>
    <w:rsid w:val="004C2EA3"/>
    <w:rsid w:val="004C6989"/>
    <w:rsid w:val="004C78A8"/>
    <w:rsid w:val="004D345F"/>
    <w:rsid w:val="004D5520"/>
    <w:rsid w:val="004D6850"/>
    <w:rsid w:val="004E4047"/>
    <w:rsid w:val="004E4194"/>
    <w:rsid w:val="004F12A0"/>
    <w:rsid w:val="004F1696"/>
    <w:rsid w:val="004F1E38"/>
    <w:rsid w:val="004F5425"/>
    <w:rsid w:val="005008B5"/>
    <w:rsid w:val="00503A38"/>
    <w:rsid w:val="00503F11"/>
    <w:rsid w:val="00504F4F"/>
    <w:rsid w:val="00505744"/>
    <w:rsid w:val="005059B5"/>
    <w:rsid w:val="005251A9"/>
    <w:rsid w:val="0052597D"/>
    <w:rsid w:val="0053240D"/>
    <w:rsid w:val="005341AC"/>
    <w:rsid w:val="00535AC0"/>
    <w:rsid w:val="00540434"/>
    <w:rsid w:val="00540530"/>
    <w:rsid w:val="00541D39"/>
    <w:rsid w:val="00542221"/>
    <w:rsid w:val="00551688"/>
    <w:rsid w:val="00557A3B"/>
    <w:rsid w:val="00561650"/>
    <w:rsid w:val="0056281D"/>
    <w:rsid w:val="00564C96"/>
    <w:rsid w:val="00565D25"/>
    <w:rsid w:val="00570C51"/>
    <w:rsid w:val="00571C64"/>
    <w:rsid w:val="00584CBD"/>
    <w:rsid w:val="00584ECC"/>
    <w:rsid w:val="00586AA5"/>
    <w:rsid w:val="00592C39"/>
    <w:rsid w:val="00592D80"/>
    <w:rsid w:val="005A0AE6"/>
    <w:rsid w:val="005A6986"/>
    <w:rsid w:val="005A720E"/>
    <w:rsid w:val="005B63ED"/>
    <w:rsid w:val="005B7A11"/>
    <w:rsid w:val="005C6EC2"/>
    <w:rsid w:val="005C77F5"/>
    <w:rsid w:val="005D026A"/>
    <w:rsid w:val="005D2C9C"/>
    <w:rsid w:val="005D49A8"/>
    <w:rsid w:val="005E40E9"/>
    <w:rsid w:val="005F1E2F"/>
    <w:rsid w:val="005F38E3"/>
    <w:rsid w:val="005F3F2A"/>
    <w:rsid w:val="005F6F5D"/>
    <w:rsid w:val="00602DF7"/>
    <w:rsid w:val="006034EA"/>
    <w:rsid w:val="006035E9"/>
    <w:rsid w:val="00603E2C"/>
    <w:rsid w:val="0060672D"/>
    <w:rsid w:val="00630CD1"/>
    <w:rsid w:val="00631D39"/>
    <w:rsid w:val="0063497A"/>
    <w:rsid w:val="00635618"/>
    <w:rsid w:val="00640665"/>
    <w:rsid w:val="00640E6A"/>
    <w:rsid w:val="00645848"/>
    <w:rsid w:val="0065195B"/>
    <w:rsid w:val="00652B00"/>
    <w:rsid w:val="00654D87"/>
    <w:rsid w:val="0065579A"/>
    <w:rsid w:val="00666AAB"/>
    <w:rsid w:val="0066753A"/>
    <w:rsid w:val="0066787A"/>
    <w:rsid w:val="006745FF"/>
    <w:rsid w:val="00683100"/>
    <w:rsid w:val="00686965"/>
    <w:rsid w:val="0069014F"/>
    <w:rsid w:val="0069370D"/>
    <w:rsid w:val="00695682"/>
    <w:rsid w:val="00695E13"/>
    <w:rsid w:val="006A106E"/>
    <w:rsid w:val="006A231D"/>
    <w:rsid w:val="006A4A08"/>
    <w:rsid w:val="006A7503"/>
    <w:rsid w:val="006A7B29"/>
    <w:rsid w:val="006B267A"/>
    <w:rsid w:val="006B675D"/>
    <w:rsid w:val="006C273F"/>
    <w:rsid w:val="006D6012"/>
    <w:rsid w:val="006D6758"/>
    <w:rsid w:val="006E32FC"/>
    <w:rsid w:val="006E6C65"/>
    <w:rsid w:val="006F2600"/>
    <w:rsid w:val="006F505C"/>
    <w:rsid w:val="006F6334"/>
    <w:rsid w:val="0070550D"/>
    <w:rsid w:val="007102BE"/>
    <w:rsid w:val="00717861"/>
    <w:rsid w:val="00720F3A"/>
    <w:rsid w:val="007224D1"/>
    <w:rsid w:val="00724242"/>
    <w:rsid w:val="0072606A"/>
    <w:rsid w:val="007306AE"/>
    <w:rsid w:val="00736D2D"/>
    <w:rsid w:val="00740504"/>
    <w:rsid w:val="007500D3"/>
    <w:rsid w:val="00750FD8"/>
    <w:rsid w:val="00753F11"/>
    <w:rsid w:val="007546AE"/>
    <w:rsid w:val="007546C9"/>
    <w:rsid w:val="007576C6"/>
    <w:rsid w:val="00761959"/>
    <w:rsid w:val="00762877"/>
    <w:rsid w:val="00763931"/>
    <w:rsid w:val="00767F96"/>
    <w:rsid w:val="00772D10"/>
    <w:rsid w:val="007864AB"/>
    <w:rsid w:val="00786DFF"/>
    <w:rsid w:val="00791571"/>
    <w:rsid w:val="0079350D"/>
    <w:rsid w:val="007A0E1E"/>
    <w:rsid w:val="007A58F9"/>
    <w:rsid w:val="007B6910"/>
    <w:rsid w:val="007C1766"/>
    <w:rsid w:val="007C28E3"/>
    <w:rsid w:val="007C3F90"/>
    <w:rsid w:val="007C645A"/>
    <w:rsid w:val="007C6782"/>
    <w:rsid w:val="007D1608"/>
    <w:rsid w:val="007D2C50"/>
    <w:rsid w:val="007D2C6A"/>
    <w:rsid w:val="007D4C43"/>
    <w:rsid w:val="007D6F26"/>
    <w:rsid w:val="007F1A54"/>
    <w:rsid w:val="007F1E5A"/>
    <w:rsid w:val="007F218C"/>
    <w:rsid w:val="007F3606"/>
    <w:rsid w:val="008006D0"/>
    <w:rsid w:val="00801004"/>
    <w:rsid w:val="00807D37"/>
    <w:rsid w:val="008113FA"/>
    <w:rsid w:val="00814EF4"/>
    <w:rsid w:val="008203FB"/>
    <w:rsid w:val="008233F6"/>
    <w:rsid w:val="00826C41"/>
    <w:rsid w:val="008274C2"/>
    <w:rsid w:val="00831434"/>
    <w:rsid w:val="008324D7"/>
    <w:rsid w:val="008332CA"/>
    <w:rsid w:val="0083647A"/>
    <w:rsid w:val="008368CA"/>
    <w:rsid w:val="00837784"/>
    <w:rsid w:val="008423B5"/>
    <w:rsid w:val="00843F48"/>
    <w:rsid w:val="0084641A"/>
    <w:rsid w:val="00847D79"/>
    <w:rsid w:val="0085286D"/>
    <w:rsid w:val="00861FE7"/>
    <w:rsid w:val="008627CC"/>
    <w:rsid w:val="00863C91"/>
    <w:rsid w:val="00872932"/>
    <w:rsid w:val="00877C32"/>
    <w:rsid w:val="008806DE"/>
    <w:rsid w:val="008A7600"/>
    <w:rsid w:val="008B4DC5"/>
    <w:rsid w:val="008D1491"/>
    <w:rsid w:val="008D53C1"/>
    <w:rsid w:val="008D6D1A"/>
    <w:rsid w:val="008E6B1D"/>
    <w:rsid w:val="008F2ACC"/>
    <w:rsid w:val="00902A32"/>
    <w:rsid w:val="00905FBB"/>
    <w:rsid w:val="00907B1B"/>
    <w:rsid w:val="00910DE0"/>
    <w:rsid w:val="0091496E"/>
    <w:rsid w:val="00921892"/>
    <w:rsid w:val="00923F5D"/>
    <w:rsid w:val="00926C81"/>
    <w:rsid w:val="00927501"/>
    <w:rsid w:val="0093067B"/>
    <w:rsid w:val="00930DE7"/>
    <w:rsid w:val="009323F1"/>
    <w:rsid w:val="00933FD7"/>
    <w:rsid w:val="00936B09"/>
    <w:rsid w:val="00937CEB"/>
    <w:rsid w:val="00941CE1"/>
    <w:rsid w:val="0094349E"/>
    <w:rsid w:val="009470AC"/>
    <w:rsid w:val="00951B63"/>
    <w:rsid w:val="00954872"/>
    <w:rsid w:val="00954CF1"/>
    <w:rsid w:val="0096211B"/>
    <w:rsid w:val="00962201"/>
    <w:rsid w:val="00966563"/>
    <w:rsid w:val="00967E71"/>
    <w:rsid w:val="00975091"/>
    <w:rsid w:val="009777E1"/>
    <w:rsid w:val="00977F6D"/>
    <w:rsid w:val="00981A95"/>
    <w:rsid w:val="00982379"/>
    <w:rsid w:val="00982572"/>
    <w:rsid w:val="00983E39"/>
    <w:rsid w:val="00992B8D"/>
    <w:rsid w:val="00996E91"/>
    <w:rsid w:val="009A4537"/>
    <w:rsid w:val="009B0480"/>
    <w:rsid w:val="009B472D"/>
    <w:rsid w:val="009B7C4C"/>
    <w:rsid w:val="009C0F77"/>
    <w:rsid w:val="009C30D4"/>
    <w:rsid w:val="009C57FB"/>
    <w:rsid w:val="009C5FCD"/>
    <w:rsid w:val="009D118F"/>
    <w:rsid w:val="009D3B78"/>
    <w:rsid w:val="009E6074"/>
    <w:rsid w:val="009E6E89"/>
    <w:rsid w:val="009F2757"/>
    <w:rsid w:val="009F306A"/>
    <w:rsid w:val="009F4361"/>
    <w:rsid w:val="009F5599"/>
    <w:rsid w:val="009F5D58"/>
    <w:rsid w:val="00A0321D"/>
    <w:rsid w:val="00A0399A"/>
    <w:rsid w:val="00A07B5E"/>
    <w:rsid w:val="00A116E3"/>
    <w:rsid w:val="00A11F65"/>
    <w:rsid w:val="00A15761"/>
    <w:rsid w:val="00A2204D"/>
    <w:rsid w:val="00A30010"/>
    <w:rsid w:val="00A34C76"/>
    <w:rsid w:val="00A35BB5"/>
    <w:rsid w:val="00A44819"/>
    <w:rsid w:val="00A52E22"/>
    <w:rsid w:val="00A53CDF"/>
    <w:rsid w:val="00A55E3F"/>
    <w:rsid w:val="00A5758D"/>
    <w:rsid w:val="00A63C99"/>
    <w:rsid w:val="00A63CDD"/>
    <w:rsid w:val="00A65656"/>
    <w:rsid w:val="00A67518"/>
    <w:rsid w:val="00A7030F"/>
    <w:rsid w:val="00A70D18"/>
    <w:rsid w:val="00A8560C"/>
    <w:rsid w:val="00A86018"/>
    <w:rsid w:val="00A87030"/>
    <w:rsid w:val="00A87D0F"/>
    <w:rsid w:val="00A95567"/>
    <w:rsid w:val="00A957B7"/>
    <w:rsid w:val="00A96EC4"/>
    <w:rsid w:val="00AA228F"/>
    <w:rsid w:val="00AB01A1"/>
    <w:rsid w:val="00AB0679"/>
    <w:rsid w:val="00AB71E0"/>
    <w:rsid w:val="00AB783D"/>
    <w:rsid w:val="00AC07CF"/>
    <w:rsid w:val="00AC493E"/>
    <w:rsid w:val="00AD3ABE"/>
    <w:rsid w:val="00AD4CF8"/>
    <w:rsid w:val="00AE1C1F"/>
    <w:rsid w:val="00AE3F8B"/>
    <w:rsid w:val="00AE749D"/>
    <w:rsid w:val="00AE7A86"/>
    <w:rsid w:val="00AF0AA6"/>
    <w:rsid w:val="00AF1049"/>
    <w:rsid w:val="00AF183D"/>
    <w:rsid w:val="00AF78D3"/>
    <w:rsid w:val="00AF7DA5"/>
    <w:rsid w:val="00B0371A"/>
    <w:rsid w:val="00B144E5"/>
    <w:rsid w:val="00B24F59"/>
    <w:rsid w:val="00B251A2"/>
    <w:rsid w:val="00B261E0"/>
    <w:rsid w:val="00B334A8"/>
    <w:rsid w:val="00B35F7B"/>
    <w:rsid w:val="00B36063"/>
    <w:rsid w:val="00B36103"/>
    <w:rsid w:val="00B404A4"/>
    <w:rsid w:val="00B43EF7"/>
    <w:rsid w:val="00B4615B"/>
    <w:rsid w:val="00B502A3"/>
    <w:rsid w:val="00B51ACB"/>
    <w:rsid w:val="00B5320C"/>
    <w:rsid w:val="00B6183A"/>
    <w:rsid w:val="00B6274D"/>
    <w:rsid w:val="00B63D47"/>
    <w:rsid w:val="00B65A3B"/>
    <w:rsid w:val="00B7202B"/>
    <w:rsid w:val="00B76D3C"/>
    <w:rsid w:val="00B825C4"/>
    <w:rsid w:val="00B826D7"/>
    <w:rsid w:val="00B945AD"/>
    <w:rsid w:val="00B94F2A"/>
    <w:rsid w:val="00B952BF"/>
    <w:rsid w:val="00B95D06"/>
    <w:rsid w:val="00B96AE0"/>
    <w:rsid w:val="00BA5374"/>
    <w:rsid w:val="00BB6E26"/>
    <w:rsid w:val="00BB79D6"/>
    <w:rsid w:val="00BC11C5"/>
    <w:rsid w:val="00BD136D"/>
    <w:rsid w:val="00BD4917"/>
    <w:rsid w:val="00BD5090"/>
    <w:rsid w:val="00BD662B"/>
    <w:rsid w:val="00BE14DD"/>
    <w:rsid w:val="00BE2EE4"/>
    <w:rsid w:val="00BF7B31"/>
    <w:rsid w:val="00C002D1"/>
    <w:rsid w:val="00C04501"/>
    <w:rsid w:val="00C057BF"/>
    <w:rsid w:val="00C110B5"/>
    <w:rsid w:val="00C116AF"/>
    <w:rsid w:val="00C15067"/>
    <w:rsid w:val="00C15F20"/>
    <w:rsid w:val="00C225F9"/>
    <w:rsid w:val="00C23CAC"/>
    <w:rsid w:val="00C30118"/>
    <w:rsid w:val="00C44058"/>
    <w:rsid w:val="00C46375"/>
    <w:rsid w:val="00C46549"/>
    <w:rsid w:val="00C53A13"/>
    <w:rsid w:val="00C55354"/>
    <w:rsid w:val="00C57FAA"/>
    <w:rsid w:val="00C70809"/>
    <w:rsid w:val="00C747EA"/>
    <w:rsid w:val="00C81D94"/>
    <w:rsid w:val="00C904CD"/>
    <w:rsid w:val="00C90828"/>
    <w:rsid w:val="00CA2EB1"/>
    <w:rsid w:val="00CB603A"/>
    <w:rsid w:val="00CC3B2F"/>
    <w:rsid w:val="00CD1855"/>
    <w:rsid w:val="00CD1975"/>
    <w:rsid w:val="00CE2FEA"/>
    <w:rsid w:val="00CE38A3"/>
    <w:rsid w:val="00CF6B3C"/>
    <w:rsid w:val="00D1007B"/>
    <w:rsid w:val="00D14B14"/>
    <w:rsid w:val="00D1508C"/>
    <w:rsid w:val="00D158BC"/>
    <w:rsid w:val="00D201BF"/>
    <w:rsid w:val="00D2050B"/>
    <w:rsid w:val="00D25FC7"/>
    <w:rsid w:val="00D26F59"/>
    <w:rsid w:val="00D274EB"/>
    <w:rsid w:val="00D27C35"/>
    <w:rsid w:val="00D30E16"/>
    <w:rsid w:val="00D33951"/>
    <w:rsid w:val="00D34DF6"/>
    <w:rsid w:val="00D35237"/>
    <w:rsid w:val="00D35569"/>
    <w:rsid w:val="00D44ADA"/>
    <w:rsid w:val="00D4582D"/>
    <w:rsid w:val="00D53CC5"/>
    <w:rsid w:val="00D541B8"/>
    <w:rsid w:val="00D6471D"/>
    <w:rsid w:val="00D67FB2"/>
    <w:rsid w:val="00D72D0B"/>
    <w:rsid w:val="00D76026"/>
    <w:rsid w:val="00D82ED6"/>
    <w:rsid w:val="00D85366"/>
    <w:rsid w:val="00D9073E"/>
    <w:rsid w:val="00D93BC3"/>
    <w:rsid w:val="00DA06FE"/>
    <w:rsid w:val="00DA1392"/>
    <w:rsid w:val="00DA3F8A"/>
    <w:rsid w:val="00DA44EB"/>
    <w:rsid w:val="00DA57F1"/>
    <w:rsid w:val="00DC009E"/>
    <w:rsid w:val="00DC1888"/>
    <w:rsid w:val="00DD2BFC"/>
    <w:rsid w:val="00DD34C2"/>
    <w:rsid w:val="00DD43B9"/>
    <w:rsid w:val="00DF0D64"/>
    <w:rsid w:val="00DF4904"/>
    <w:rsid w:val="00DF5D64"/>
    <w:rsid w:val="00DF7251"/>
    <w:rsid w:val="00E116B4"/>
    <w:rsid w:val="00E11CD2"/>
    <w:rsid w:val="00E131B4"/>
    <w:rsid w:val="00E14F94"/>
    <w:rsid w:val="00E23241"/>
    <w:rsid w:val="00E2663F"/>
    <w:rsid w:val="00E2775F"/>
    <w:rsid w:val="00E30692"/>
    <w:rsid w:val="00E33621"/>
    <w:rsid w:val="00E33E19"/>
    <w:rsid w:val="00E36AAB"/>
    <w:rsid w:val="00E439FB"/>
    <w:rsid w:val="00E43DEA"/>
    <w:rsid w:val="00E62D9D"/>
    <w:rsid w:val="00E6531F"/>
    <w:rsid w:val="00E73E10"/>
    <w:rsid w:val="00E73FF5"/>
    <w:rsid w:val="00E74BD5"/>
    <w:rsid w:val="00E805A1"/>
    <w:rsid w:val="00E815C8"/>
    <w:rsid w:val="00E82D62"/>
    <w:rsid w:val="00E8320F"/>
    <w:rsid w:val="00E844EA"/>
    <w:rsid w:val="00E87456"/>
    <w:rsid w:val="00E92C26"/>
    <w:rsid w:val="00E9782A"/>
    <w:rsid w:val="00E978D4"/>
    <w:rsid w:val="00E97B6E"/>
    <w:rsid w:val="00EA076B"/>
    <w:rsid w:val="00EA34EF"/>
    <w:rsid w:val="00EA7780"/>
    <w:rsid w:val="00EB0903"/>
    <w:rsid w:val="00EB247F"/>
    <w:rsid w:val="00EB6026"/>
    <w:rsid w:val="00EC381E"/>
    <w:rsid w:val="00EC57B8"/>
    <w:rsid w:val="00ED7489"/>
    <w:rsid w:val="00EE0272"/>
    <w:rsid w:val="00EE274A"/>
    <w:rsid w:val="00EF0D8A"/>
    <w:rsid w:val="00EF21F4"/>
    <w:rsid w:val="00EF2247"/>
    <w:rsid w:val="00EF73CD"/>
    <w:rsid w:val="00F05491"/>
    <w:rsid w:val="00F0595F"/>
    <w:rsid w:val="00F0598F"/>
    <w:rsid w:val="00F06F88"/>
    <w:rsid w:val="00F07C10"/>
    <w:rsid w:val="00F13195"/>
    <w:rsid w:val="00F15AEE"/>
    <w:rsid w:val="00F26176"/>
    <w:rsid w:val="00F346F2"/>
    <w:rsid w:val="00F4393C"/>
    <w:rsid w:val="00F46737"/>
    <w:rsid w:val="00F52595"/>
    <w:rsid w:val="00F53092"/>
    <w:rsid w:val="00F530FC"/>
    <w:rsid w:val="00F5452D"/>
    <w:rsid w:val="00F54BDA"/>
    <w:rsid w:val="00F6125F"/>
    <w:rsid w:val="00F61DCA"/>
    <w:rsid w:val="00F66D25"/>
    <w:rsid w:val="00F677DE"/>
    <w:rsid w:val="00F73235"/>
    <w:rsid w:val="00F74517"/>
    <w:rsid w:val="00F76894"/>
    <w:rsid w:val="00F84DB6"/>
    <w:rsid w:val="00F85FFB"/>
    <w:rsid w:val="00F863F1"/>
    <w:rsid w:val="00F867A3"/>
    <w:rsid w:val="00F90D56"/>
    <w:rsid w:val="00F96FCA"/>
    <w:rsid w:val="00F97648"/>
    <w:rsid w:val="00FA2194"/>
    <w:rsid w:val="00FA5114"/>
    <w:rsid w:val="00FA6897"/>
    <w:rsid w:val="00FA7C26"/>
    <w:rsid w:val="00FB2C53"/>
    <w:rsid w:val="00FB2DC0"/>
    <w:rsid w:val="00FB3AB3"/>
    <w:rsid w:val="00FB649C"/>
    <w:rsid w:val="00FC2C8B"/>
    <w:rsid w:val="00FC7214"/>
    <w:rsid w:val="00FD2788"/>
    <w:rsid w:val="00FD335F"/>
    <w:rsid w:val="00FD77AF"/>
    <w:rsid w:val="00FE396A"/>
    <w:rsid w:val="00FE53D4"/>
    <w:rsid w:val="00FE6034"/>
    <w:rsid w:val="00FF038A"/>
    <w:rsid w:val="00FF47F5"/>
    <w:rsid w:val="00FF5986"/>
    <w:rsid w:val="00FF687D"/>
    <w:rsid w:val="19B34150"/>
    <w:rsid w:val="2D56E7D4"/>
    <w:rsid w:val="2FC5C4D9"/>
    <w:rsid w:val="551A77D0"/>
    <w:rsid w:val="5C0D12D7"/>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20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0428459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22034790">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B\Documents\Work\Drawdown\Biochar%20model%202021%20Update%20draft%207%20-%208%20april%20202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b="1"/>
              <a:t>World adoption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autoTitleDeleted val="0"/>
    <c:plotArea>
      <c:layout/>
      <c:scatterChart>
        <c:scatterStyle val="smoothMarker"/>
        <c:varyColors val="0"/>
        <c:ser>
          <c:idx val="0"/>
          <c:order val="0"/>
          <c:tx>
            <c:strRef>
              <c:f>'Graphs for TR'!$D$2</c:f>
              <c:strCache>
                <c:ptCount val="1"/>
                <c:pt idx="0">
                  <c:v>PDS1</c:v>
                </c:pt>
              </c:strCache>
            </c:strRef>
          </c:tx>
          <c:spPr>
            <a:ln w="25400" cap="rnd">
              <a:solidFill>
                <a:schemeClr val="accent1">
                  <a:lumMod val="50000"/>
                </a:schemeClr>
              </a:solidFill>
              <a:round/>
            </a:ln>
            <a:effectLst/>
          </c:spPr>
          <c:marker>
            <c:symbol val="none"/>
          </c:marker>
          <c:xVal>
            <c:numRef>
              <c:f>'Graphs for TR'!$C$8:$C$48</c:f>
              <c:numCache>
                <c:formatCode>General</c:formatCode>
                <c:ptCount val="4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numCache>
            </c:numRef>
          </c:xVal>
          <c:yVal>
            <c:numRef>
              <c:f>'Graphs for TR'!$D$8:$D$48</c:f>
              <c:numCache>
                <c:formatCode>_-* #,##0_-;\-* #,##0_-;_-* "-"??_-;_-@_-</c:formatCode>
                <c:ptCount val="41"/>
                <c:pt idx="0">
                  <c:v>1308975.0330771569</c:v>
                </c:pt>
                <c:pt idx="1">
                  <c:v>2225789.553043202</c:v>
                </c:pt>
                <c:pt idx="2">
                  <c:v>3159656.6306092478</c:v>
                </c:pt>
                <c:pt idx="3">
                  <c:v>4111591.7606286271</c:v>
                </c:pt>
                <c:pt idx="4">
                  <c:v>5082811.9744253391</c:v>
                </c:pt>
                <c:pt idx="5">
                  <c:v>6074776.068963184</c:v>
                </c:pt>
                <c:pt idx="6">
                  <c:v>7089232.8779424727</c:v>
                </c:pt>
                <c:pt idx="7">
                  <c:v>8128279.1930145146</c:v>
                </c:pt>
                <c:pt idx="8">
                  <c:v>9194429.2649323661</c:v>
                </c:pt>
                <c:pt idx="9">
                  <c:v>10290698.20040975</c:v>
                </c:pt>
                <c:pt idx="10">
                  <c:v>11420702.033603704</c:v>
                </c:pt>
                <c:pt idx="11">
                  <c:v>12588777.806908248</c:v>
                </c:pt>
                <c:pt idx="12">
                  <c:v>13800127.662672089</c:v>
                </c:pt>
                <c:pt idx="13">
                  <c:v>15060991.747763336</c:v>
                </c:pt>
                <c:pt idx="14">
                  <c:v>16378855.69327586</c:v>
                </c:pt>
                <c:pt idx="15">
                  <c:v>17762699.584117059</c:v>
                </c:pt>
                <c:pt idx="16">
                  <c:v>19223296.716150302</c:v>
                </c:pt>
                <c:pt idx="17">
                  <c:v>20773572.09808486</c:v>
                </c:pt>
                <c:pt idx="18">
                  <c:v>22429032.646728709</c:v>
                </c:pt>
                <c:pt idx="19">
                  <c:v>24208283.413926166</c:v>
                </c:pt>
                <c:pt idx="20">
                  <c:v>26133647.051148843</c:v>
                </c:pt>
                <c:pt idx="21">
                  <c:v>28231907.158884067</c:v>
                </c:pt>
                <c:pt idx="22">
                  <c:v>30535200.297374085</c:v>
                </c:pt>
                <c:pt idx="23">
                  <c:v>33082086.390549887</c:v>
                </c:pt>
                <c:pt idx="24">
                  <c:v>35918833.201351039</c:v>
                </c:pt>
                <c:pt idx="25">
                  <c:v>39100957.692238413</c:v>
                </c:pt>
                <c:pt idx="26">
                  <c:v>42695075.647445239</c:v>
                </c:pt>
                <c:pt idx="27">
                  <c:v>46781121.208795488</c:v>
                </c:pt>
                <c:pt idx="28">
                  <c:v>51455010.307259284</c:v>
                </c:pt>
                <c:pt idx="29">
                  <c:v>56831836.768821158</c:v>
                </c:pt>
                <c:pt idx="30">
                  <c:v>63049707.628924005</c:v>
                </c:pt>
                <c:pt idx="31">
                  <c:v>70274345.496573746</c:v>
                </c:pt>
                <c:pt idx="32">
                  <c:v>78704611.377375767</c:v>
                </c:pt>
                <c:pt idx="33">
                  <c:v>88579132.046594635</c:v>
                </c:pt>
                <c:pt idx="34">
                  <c:v>100184252.88151284</c:v>
                </c:pt>
                <c:pt idx="35">
                  <c:v>113863581.24418272</c:v>
                </c:pt>
                <c:pt idx="36">
                  <c:v>130029438.52384599</c:v>
                </c:pt>
                <c:pt idx="37">
                  <c:v>149176602.57011065</c:v>
                </c:pt>
                <c:pt idx="38">
                  <c:v>171898798.59414998</c:v>
                </c:pt>
                <c:pt idx="39">
                  <c:v>198908488.23059812</c:v>
                </c:pt>
                <c:pt idx="40">
                  <c:v>231060616.39130315</c:v>
                </c:pt>
              </c:numCache>
            </c:numRef>
          </c:yVal>
          <c:smooth val="1"/>
          <c:extLst>
            <c:ext xmlns:c16="http://schemas.microsoft.com/office/drawing/2014/chart" uri="{C3380CC4-5D6E-409C-BE32-E72D297353CC}">
              <c16:uniqueId val="{00000000-5584-AE4E-8E54-E49A2AD11CEB}"/>
            </c:ext>
          </c:extLst>
        </c:ser>
        <c:ser>
          <c:idx val="1"/>
          <c:order val="1"/>
          <c:tx>
            <c:strRef>
              <c:f>'Graphs for TR'!$E$2</c:f>
              <c:strCache>
                <c:ptCount val="1"/>
                <c:pt idx="0">
                  <c:v>PDS2</c:v>
                </c:pt>
              </c:strCache>
            </c:strRef>
          </c:tx>
          <c:spPr>
            <a:ln w="25400" cap="rnd">
              <a:solidFill>
                <a:schemeClr val="accent1"/>
              </a:solidFill>
              <a:round/>
            </a:ln>
            <a:effectLst/>
          </c:spPr>
          <c:marker>
            <c:symbol val="none"/>
          </c:marker>
          <c:xVal>
            <c:numRef>
              <c:f>'Graphs for TR'!$C$8:$C$48</c:f>
              <c:numCache>
                <c:formatCode>General</c:formatCode>
                <c:ptCount val="4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numCache>
            </c:numRef>
          </c:xVal>
          <c:yVal>
            <c:numRef>
              <c:f>'Graphs for TR'!$E$8:$E$48</c:f>
              <c:numCache>
                <c:formatCode>_-* #,##0_-;\-* #,##0_-;_-* "-"??_-;_-@_-</c:formatCode>
                <c:ptCount val="41"/>
                <c:pt idx="0">
                  <c:v>2920055.8529170137</c:v>
                </c:pt>
                <c:pt idx="1">
                  <c:v>5559036.1407897435</c:v>
                </c:pt>
                <c:pt idx="2">
                  <c:v>8220245.5022701491</c:v>
                </c:pt>
                <c:pt idx="3">
                  <c:v>10896425.716355087</c:v>
                </c:pt>
                <c:pt idx="4">
                  <c:v>13586952.524775129</c:v>
                </c:pt>
                <c:pt idx="5">
                  <c:v>16292350.605895244</c:v>
                </c:pt>
                <c:pt idx="6">
                  <c:v>19013584.405962564</c:v>
                </c:pt>
                <c:pt idx="7">
                  <c:v>21751916.045049168</c:v>
                </c:pt>
                <c:pt idx="8">
                  <c:v>24508893.798391771</c:v>
                </c:pt>
                <c:pt idx="9">
                  <c:v>27286389.256371297</c:v>
                </c:pt>
                <c:pt idx="10">
                  <c:v>30086664.690919399</c:v>
                </c:pt>
                <c:pt idx="11">
                  <c:v>32912468.977981336</c:v>
                </c:pt>
                <c:pt idx="12">
                  <c:v>35767167.237266675</c:v>
                </c:pt>
                <c:pt idx="13">
                  <c:v>38654914.059029832</c:v>
                </c:pt>
                <c:pt idx="14">
                  <c:v>41580885.185509287</c:v>
                </c:pt>
                <c:pt idx="15">
                  <c:v>44551588.977989532</c:v>
                </c:pt>
                <c:pt idx="16">
                  <c:v>47575287.944918364</c:v>
                </c:pt>
                <c:pt idx="17">
                  <c:v>50662573.252638966</c:v>
                </c:pt>
                <c:pt idx="18">
                  <c:v>53827153.111579984</c:v>
                </c:pt>
                <c:pt idx="19">
                  <c:v>57086941.388839006</c:v>
                </c:pt>
                <c:pt idx="20">
                  <c:v>60465568.470860422</c:v>
                </c:pt>
                <c:pt idx="21">
                  <c:v>63994485.307311565</c:v>
                </c:pt>
                <c:pt idx="22">
                  <c:v>67715895.978213191</c:v>
                </c:pt>
                <c:pt idx="23">
                  <c:v>71686832.781168252</c:v>
                </c:pt>
                <c:pt idx="24">
                  <c:v>75984769.710902333</c:v>
                </c:pt>
                <c:pt idx="25">
                  <c:v>80715222.505548924</c:v>
                </c:pt>
                <c:pt idx="26">
                  <c:v>86021733.105999887</c:v>
                </c:pt>
                <c:pt idx="27">
                  <c:v>92098354.018697888</c:v>
                </c:pt>
                <c:pt idx="28">
                  <c:v>99204070.817997977</c:v>
                </c:pt>
                <c:pt idx="29">
                  <c:v>107677474.47155721</c:v>
                </c:pt>
                <c:pt idx="30">
                  <c:v>117948799.95198022</c:v>
                </c:pt>
                <c:pt idx="31">
                  <c:v>130546303.32423389</c:v>
                </c:pt>
                <c:pt idx="32">
                  <c:v>146096238.50761628</c:v>
                </c:pt>
                <c:pt idx="33">
                  <c:v>165320255.79609409</c:v>
                </c:pt>
                <c:pt idx="34">
                  <c:v>189037813.94128805</c:v>
                </c:pt>
                <c:pt idx="35">
                  <c:v>218180593.80613023</c:v>
                </c:pt>
                <c:pt idx="36">
                  <c:v>253821295.56904453</c:v>
                </c:pt>
                <c:pt idx="37">
                  <c:v>297214777.42443049</c:v>
                </c:pt>
                <c:pt idx="38">
                  <c:v>311046375.86047786</c:v>
                </c:pt>
                <c:pt idx="39">
                  <c:v>311656813.50980568</c:v>
                </c:pt>
                <c:pt idx="40">
                  <c:v>312311612.99049741</c:v>
                </c:pt>
              </c:numCache>
            </c:numRef>
          </c:yVal>
          <c:smooth val="1"/>
          <c:extLst>
            <c:ext xmlns:c16="http://schemas.microsoft.com/office/drawing/2014/chart" uri="{C3380CC4-5D6E-409C-BE32-E72D297353CC}">
              <c16:uniqueId val="{00000001-5584-AE4E-8E54-E49A2AD11CEB}"/>
            </c:ext>
          </c:extLst>
        </c:ser>
        <c:ser>
          <c:idx val="2"/>
          <c:order val="2"/>
          <c:tx>
            <c:strRef>
              <c:f>'Graphs for TR'!$F$2</c:f>
              <c:strCache>
                <c:ptCount val="1"/>
                <c:pt idx="0">
                  <c:v>PDS3</c:v>
                </c:pt>
              </c:strCache>
            </c:strRef>
          </c:tx>
          <c:spPr>
            <a:ln w="25400" cap="rnd">
              <a:solidFill>
                <a:schemeClr val="accent1">
                  <a:lumMod val="40000"/>
                  <a:lumOff val="60000"/>
                </a:schemeClr>
              </a:solidFill>
              <a:round/>
            </a:ln>
            <a:effectLst/>
          </c:spPr>
          <c:marker>
            <c:symbol val="none"/>
          </c:marker>
          <c:xVal>
            <c:numRef>
              <c:f>'Graphs for TR'!$C$8:$C$48</c:f>
              <c:numCache>
                <c:formatCode>General</c:formatCode>
                <c:ptCount val="4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numCache>
            </c:numRef>
          </c:xVal>
          <c:yVal>
            <c:numRef>
              <c:f>'Graphs for TR'!$F$8:$F$48</c:f>
              <c:numCache>
                <c:formatCode>_-* #,##0_-;\-* #,##0_-;_-* "-"??_-;_-@_-</c:formatCode>
                <c:ptCount val="41"/>
                <c:pt idx="0">
                  <c:v>4780017.8917962732</c:v>
                </c:pt>
                <c:pt idx="1">
                  <c:v>9560035.7835925464</c:v>
                </c:pt>
                <c:pt idx="2">
                  <c:v>14340053.67538882</c:v>
                </c:pt>
                <c:pt idx="3">
                  <c:v>19120071.567185093</c:v>
                </c:pt>
                <c:pt idx="4">
                  <c:v>23900089.458981365</c:v>
                </c:pt>
                <c:pt idx="5">
                  <c:v>28680107.350777637</c:v>
                </c:pt>
                <c:pt idx="6">
                  <c:v>33460125.242573909</c:v>
                </c:pt>
                <c:pt idx="7">
                  <c:v>38240143.134370185</c:v>
                </c:pt>
                <c:pt idx="8">
                  <c:v>43020161.026166461</c:v>
                </c:pt>
                <c:pt idx="9">
                  <c:v>47800178.917962737</c:v>
                </c:pt>
                <c:pt idx="10">
                  <c:v>52580196.809759013</c:v>
                </c:pt>
                <c:pt idx="11">
                  <c:v>57360214.701555289</c:v>
                </c:pt>
                <c:pt idx="12">
                  <c:v>62140232.593351565</c:v>
                </c:pt>
                <c:pt idx="13">
                  <c:v>66920250.485147841</c:v>
                </c:pt>
                <c:pt idx="14">
                  <c:v>71700268.37694411</c:v>
                </c:pt>
                <c:pt idx="15">
                  <c:v>76480286.268740386</c:v>
                </c:pt>
                <c:pt idx="16">
                  <c:v>81260304.160536662</c:v>
                </c:pt>
                <c:pt idx="17">
                  <c:v>86040322.052332938</c:v>
                </c:pt>
                <c:pt idx="18">
                  <c:v>90820339.944129214</c:v>
                </c:pt>
                <c:pt idx="19">
                  <c:v>95600357.83592549</c:v>
                </c:pt>
                <c:pt idx="20">
                  <c:v>100380375.72772177</c:v>
                </c:pt>
                <c:pt idx="21">
                  <c:v>105160393.61951804</c:v>
                </c:pt>
                <c:pt idx="22">
                  <c:v>109940411.51131432</c:v>
                </c:pt>
                <c:pt idx="23">
                  <c:v>114720429.40311059</c:v>
                </c:pt>
                <c:pt idx="24">
                  <c:v>119500447.29490687</c:v>
                </c:pt>
                <c:pt idx="25">
                  <c:v>124280465.18670315</c:v>
                </c:pt>
                <c:pt idx="26">
                  <c:v>129060483.07849942</c:v>
                </c:pt>
                <c:pt idx="27">
                  <c:v>133840500.9702957</c:v>
                </c:pt>
                <c:pt idx="28">
                  <c:v>138620518.86209196</c:v>
                </c:pt>
                <c:pt idx="29">
                  <c:v>143400536.75388822</c:v>
                </c:pt>
                <c:pt idx="30">
                  <c:v>148180554.64568448</c:v>
                </c:pt>
                <c:pt idx="31">
                  <c:v>152960572.53748074</c:v>
                </c:pt>
                <c:pt idx="32">
                  <c:v>157740590.429277</c:v>
                </c:pt>
                <c:pt idx="33">
                  <c:v>162520608.32107326</c:v>
                </c:pt>
                <c:pt idx="34">
                  <c:v>167300626.21286952</c:v>
                </c:pt>
                <c:pt idx="35">
                  <c:v>172080644.10466579</c:v>
                </c:pt>
                <c:pt idx="36">
                  <c:v>176860661.99646205</c:v>
                </c:pt>
                <c:pt idx="37">
                  <c:v>181640679.88825831</c:v>
                </c:pt>
                <c:pt idx="38">
                  <c:v>186420697.78005457</c:v>
                </c:pt>
                <c:pt idx="39">
                  <c:v>191200715.67185083</c:v>
                </c:pt>
                <c:pt idx="40">
                  <c:v>195980733.56364709</c:v>
                </c:pt>
              </c:numCache>
            </c:numRef>
          </c:yVal>
          <c:smooth val="1"/>
          <c:extLst>
            <c:ext xmlns:c16="http://schemas.microsoft.com/office/drawing/2014/chart" uri="{C3380CC4-5D6E-409C-BE32-E72D297353CC}">
              <c16:uniqueId val="{00000002-5584-AE4E-8E54-E49A2AD11CEB}"/>
            </c:ext>
          </c:extLst>
        </c:ser>
        <c:ser>
          <c:idx val="3"/>
          <c:order val="3"/>
          <c:tx>
            <c:strRef>
              <c:f>'Graphs for TR'!$G$2</c:f>
              <c:strCache>
                <c:ptCount val="1"/>
                <c:pt idx="0">
                  <c:v>REF</c:v>
                </c:pt>
              </c:strCache>
            </c:strRef>
          </c:tx>
          <c:spPr>
            <a:ln w="25400" cap="rnd">
              <a:solidFill>
                <a:schemeClr val="tx1"/>
              </a:solidFill>
              <a:round/>
            </a:ln>
            <a:effectLst/>
          </c:spPr>
          <c:marker>
            <c:symbol val="none"/>
          </c:marker>
          <c:xVal>
            <c:numRef>
              <c:f>'Graphs for TR'!$C$8:$C$48</c:f>
              <c:numCache>
                <c:formatCode>General</c:formatCode>
                <c:ptCount val="4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numCache>
            </c:numRef>
          </c:xVal>
          <c:yVal>
            <c:numRef>
              <c:f>'Graphs for TR'!$G$8:$G$48</c:f>
              <c:numCache>
                <c:formatCode>_-* #,##0_-;\-* #,##0_-;_-* "-"??_-;_-@_-</c:formatCode>
                <c:ptCount val="41"/>
                <c:pt idx="0">
                  <c:v>85000</c:v>
                </c:pt>
                <c:pt idx="1">
                  <c:v>85000</c:v>
                </c:pt>
                <c:pt idx="2">
                  <c:v>85000</c:v>
                </c:pt>
                <c:pt idx="3">
                  <c:v>85000</c:v>
                </c:pt>
                <c:pt idx="4">
                  <c:v>85000</c:v>
                </c:pt>
                <c:pt idx="5">
                  <c:v>85000</c:v>
                </c:pt>
                <c:pt idx="6">
                  <c:v>85000</c:v>
                </c:pt>
                <c:pt idx="7">
                  <c:v>85000</c:v>
                </c:pt>
                <c:pt idx="8">
                  <c:v>85000</c:v>
                </c:pt>
                <c:pt idx="9">
                  <c:v>85000</c:v>
                </c:pt>
                <c:pt idx="10">
                  <c:v>85000</c:v>
                </c:pt>
                <c:pt idx="11">
                  <c:v>85000</c:v>
                </c:pt>
                <c:pt idx="12">
                  <c:v>85000</c:v>
                </c:pt>
                <c:pt idx="13">
                  <c:v>85000</c:v>
                </c:pt>
                <c:pt idx="14">
                  <c:v>85000</c:v>
                </c:pt>
                <c:pt idx="15">
                  <c:v>85000</c:v>
                </c:pt>
                <c:pt idx="16">
                  <c:v>85000</c:v>
                </c:pt>
                <c:pt idx="17">
                  <c:v>85000</c:v>
                </c:pt>
                <c:pt idx="18">
                  <c:v>85000</c:v>
                </c:pt>
                <c:pt idx="19">
                  <c:v>85000</c:v>
                </c:pt>
                <c:pt idx="20">
                  <c:v>85000</c:v>
                </c:pt>
                <c:pt idx="21">
                  <c:v>85000</c:v>
                </c:pt>
                <c:pt idx="22">
                  <c:v>85000</c:v>
                </c:pt>
                <c:pt idx="23">
                  <c:v>85000</c:v>
                </c:pt>
                <c:pt idx="24">
                  <c:v>85000</c:v>
                </c:pt>
                <c:pt idx="25">
                  <c:v>85000</c:v>
                </c:pt>
                <c:pt idx="26">
                  <c:v>85000</c:v>
                </c:pt>
                <c:pt idx="27">
                  <c:v>85000</c:v>
                </c:pt>
                <c:pt idx="28">
                  <c:v>85000</c:v>
                </c:pt>
                <c:pt idx="29">
                  <c:v>85000</c:v>
                </c:pt>
                <c:pt idx="30">
                  <c:v>85000</c:v>
                </c:pt>
                <c:pt idx="31">
                  <c:v>85000</c:v>
                </c:pt>
                <c:pt idx="32">
                  <c:v>85000</c:v>
                </c:pt>
                <c:pt idx="33">
                  <c:v>85000</c:v>
                </c:pt>
                <c:pt idx="34">
                  <c:v>85000</c:v>
                </c:pt>
                <c:pt idx="35">
                  <c:v>85000</c:v>
                </c:pt>
                <c:pt idx="36">
                  <c:v>85000</c:v>
                </c:pt>
                <c:pt idx="37">
                  <c:v>85000</c:v>
                </c:pt>
                <c:pt idx="38">
                  <c:v>85000</c:v>
                </c:pt>
                <c:pt idx="39">
                  <c:v>85000</c:v>
                </c:pt>
                <c:pt idx="40">
                  <c:v>85000</c:v>
                </c:pt>
              </c:numCache>
            </c:numRef>
          </c:yVal>
          <c:smooth val="1"/>
          <c:extLst>
            <c:ext xmlns:c16="http://schemas.microsoft.com/office/drawing/2014/chart" uri="{C3380CC4-5D6E-409C-BE32-E72D297353CC}">
              <c16:uniqueId val="{00000003-5584-AE4E-8E54-E49A2AD11CEB}"/>
            </c:ext>
          </c:extLst>
        </c:ser>
        <c:ser>
          <c:idx val="4"/>
          <c:order val="4"/>
          <c:tx>
            <c:strRef>
              <c:f>'Graphs for TR'!$H$2</c:f>
              <c:strCache>
                <c:ptCount val="1"/>
                <c:pt idx="0">
                  <c:v>TAM</c:v>
                </c:pt>
              </c:strCache>
            </c:strRef>
          </c:tx>
          <c:spPr>
            <a:ln w="19050" cap="rnd">
              <a:solidFill>
                <a:schemeClr val="tx1"/>
              </a:solidFill>
              <a:prstDash val="sysDash"/>
              <a:round/>
            </a:ln>
            <a:effectLst/>
          </c:spPr>
          <c:marker>
            <c:symbol val="none"/>
          </c:marker>
          <c:xVal>
            <c:numRef>
              <c:f>'Graphs for TR'!$C$8:$C$48</c:f>
              <c:numCache>
                <c:formatCode>General</c:formatCode>
                <c:ptCount val="4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numCache>
            </c:numRef>
          </c:xVal>
          <c:yVal>
            <c:numRef>
              <c:f>'Graphs for TR'!$H$8:$H$48</c:f>
              <c:numCache>
                <c:formatCode>_-* #,##0_-;\-* #,##0_-;_-* "-"??_-;_-@_-</c:formatCode>
                <c:ptCount val="41"/>
                <c:pt idx="0">
                  <c:v>64188827.912047334</c:v>
                </c:pt>
                <c:pt idx="1">
                  <c:v>74880328.412359759</c:v>
                </c:pt>
                <c:pt idx="2">
                  <c:v>85770048.992929325</c:v>
                </c:pt>
                <c:pt idx="3">
                  <c:v>96513334.967507914</c:v>
                </c:pt>
                <c:pt idx="4">
                  <c:v>107506689.30820094</c:v>
                </c:pt>
                <c:pt idx="5">
                  <c:v>116718583.55615796</c:v>
                </c:pt>
                <c:pt idx="6">
                  <c:v>127851242.97012295</c:v>
                </c:pt>
                <c:pt idx="7">
                  <c:v>137007946.13177946</c:v>
                </c:pt>
                <c:pt idx="8">
                  <c:v>148458473.67243367</c:v>
                </c:pt>
                <c:pt idx="9">
                  <c:v>159389414.98723328</c:v>
                </c:pt>
                <c:pt idx="10">
                  <c:v>171143833.47168511</c:v>
                </c:pt>
                <c:pt idx="11">
                  <c:v>179079002.74120075</c:v>
                </c:pt>
                <c:pt idx="12">
                  <c:v>185542114.33574277</c:v>
                </c:pt>
                <c:pt idx="13">
                  <c:v>193694488.54666939</c:v>
                </c:pt>
                <c:pt idx="14">
                  <c:v>202276748.99138334</c:v>
                </c:pt>
                <c:pt idx="15">
                  <c:v>209899492.90592042</c:v>
                </c:pt>
                <c:pt idx="16">
                  <c:v>216431340.74271592</c:v>
                </c:pt>
                <c:pt idx="17">
                  <c:v>222234529.00708446</c:v>
                </c:pt>
                <c:pt idx="18">
                  <c:v>228540105.59692365</c:v>
                </c:pt>
                <c:pt idx="19">
                  <c:v>234365445.08399835</c:v>
                </c:pt>
                <c:pt idx="20">
                  <c:v>240724873.54163226</c:v>
                </c:pt>
                <c:pt idx="21">
                  <c:v>246602419.79397398</c:v>
                </c:pt>
                <c:pt idx="22">
                  <c:v>252953904.64277285</c:v>
                </c:pt>
                <c:pt idx="23">
                  <c:v>258181339.31241462</c:v>
                </c:pt>
                <c:pt idx="24">
                  <c:v>263962671.97599125</c:v>
                </c:pt>
                <c:pt idx="25">
                  <c:v>269210551.39870942</c:v>
                </c:pt>
                <c:pt idx="26">
                  <c:v>274876600.52789038</c:v>
                </c:pt>
                <c:pt idx="27">
                  <c:v>279978477.10127831</c:v>
                </c:pt>
                <c:pt idx="28">
                  <c:v>285693012.19315612</c:v>
                </c:pt>
                <c:pt idx="29">
                  <c:v>290789870.04875231</c:v>
                </c:pt>
                <c:pt idx="30">
                  <c:v>296531109.29136896</c:v>
                </c:pt>
                <c:pt idx="31">
                  <c:v>298442591.99668306</c:v>
                </c:pt>
                <c:pt idx="32">
                  <c:v>301006512.54164058</c:v>
                </c:pt>
                <c:pt idx="33">
                  <c:v>302917326.05426282</c:v>
                </c:pt>
                <c:pt idx="34">
                  <c:v>305490293.98377287</c:v>
                </c:pt>
                <c:pt idx="35">
                  <c:v>307408571.8063888</c:v>
                </c:pt>
                <c:pt idx="36">
                  <c:v>309360067.52595806</c:v>
                </c:pt>
                <c:pt idx="37">
                  <c:v>310405754.20043647</c:v>
                </c:pt>
                <c:pt idx="38">
                  <c:v>311046375.86047786</c:v>
                </c:pt>
                <c:pt idx="39">
                  <c:v>311656813.50980568</c:v>
                </c:pt>
                <c:pt idx="40">
                  <c:v>312311612.99049741</c:v>
                </c:pt>
              </c:numCache>
            </c:numRef>
          </c:yVal>
          <c:smooth val="1"/>
          <c:extLst>
            <c:ext xmlns:c16="http://schemas.microsoft.com/office/drawing/2014/chart" uri="{C3380CC4-5D6E-409C-BE32-E72D297353CC}">
              <c16:uniqueId val="{00000004-5584-AE4E-8E54-E49A2AD11CEB}"/>
            </c:ext>
          </c:extLst>
        </c:ser>
        <c:dLbls>
          <c:showLegendKey val="0"/>
          <c:showVal val="0"/>
          <c:showCatName val="0"/>
          <c:showSerName val="0"/>
          <c:showPercent val="0"/>
          <c:showBubbleSize val="0"/>
        </c:dLbls>
        <c:axId val="373390016"/>
        <c:axId val="373391584"/>
      </c:scatterChart>
      <c:valAx>
        <c:axId val="373390016"/>
        <c:scaling>
          <c:orientation val="minMax"/>
          <c:max val="2050"/>
          <c:min val="202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b="1"/>
                  <a:t>Year</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373391584"/>
        <c:crosses val="autoZero"/>
        <c:crossBetween val="midCat"/>
        <c:majorUnit val="5"/>
      </c:valAx>
      <c:valAx>
        <c:axId val="373391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Cambria" panose="02040503050406030204" pitchFamily="18" charset="0"/>
                    <a:ea typeface="Cambria" panose="02040503050406030204" pitchFamily="18" charset="0"/>
                    <a:cs typeface="+mn-cs"/>
                  </a:defRPr>
                </a:pPr>
                <a:r>
                  <a:rPr lang="en-US" b="1"/>
                  <a:t>Million tonnes biochar</a:t>
                </a:r>
              </a:p>
            </c:rich>
          </c:tx>
          <c:layout>
            <c:manualLayout>
              <c:xMode val="edge"/>
              <c:yMode val="edge"/>
              <c:x val="3.0555555555555555E-2"/>
              <c:y val="0.206971784776902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crossAx val="373390016"/>
        <c:crosses val="autoZero"/>
        <c:crossBetween val="midCat"/>
        <c:dispUnits>
          <c:builtInUnit val="millions"/>
        </c:dispUnits>
      </c:valAx>
      <c:spPr>
        <a:noFill/>
        <a:ln>
          <a:solidFill>
            <a:schemeClr val="bg2"/>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BBF5CFD-E3D0-4A4E-A364-602151B29231}">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0</TotalTime>
  <Pages>22</Pages>
  <Words>35732</Words>
  <Characters>203679</Characters>
  <Application>Microsoft Office Word</Application>
  <DocSecurity>0</DocSecurity>
  <Lines>1697</Lines>
  <Paragraphs>477</Paragraphs>
  <ScaleCrop>false</ScaleCrop>
  <Company/>
  <LinksUpToDate>false</LinksUpToDate>
  <CharactersWithSpaces>238934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4</cp:revision>
  <cp:lastPrinted>2021-03-09T20:52:00Z</cp:lastPrinted>
  <dcterms:created xsi:type="dcterms:W3CDTF">2021-04-08T22:24:00Z</dcterms:created>
  <dcterms:modified xsi:type="dcterms:W3CDTF">2021-11-29T23:59:00Z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zotero-version="5.0.96"&gt;&lt;session id="XwLwl9LD"/&gt;&lt;style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