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BF56E5">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B97EEE" w:rsidRPr="00E91BE1" w:rsidRDefault="00B97EEE"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1ACB8C1" w:rsidR="00B97EEE" w:rsidRPr="00E91BE1" w:rsidRDefault="00B97EE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Perennial biomass</w:t>
                            </w:r>
                          </w:p>
                          <w:p w14:paraId="6774E85B" w14:textId="77777777" w:rsidR="00B97EEE" w:rsidRPr="00EB247F" w:rsidRDefault="00B97EEE" w:rsidP="00EB247F">
                            <w:pPr>
                              <w:spacing w:line="240" w:lineRule="auto"/>
                              <w:jc w:val="center"/>
                              <w:rPr>
                                <w:rFonts w:cs="Times New Roman"/>
                                <w:smallCaps/>
                                <w:color w:val="404040" w:themeColor="text1" w:themeTint="BF"/>
                                <w:sz w:val="36"/>
                                <w:szCs w:val="36"/>
                              </w:rPr>
                            </w:pPr>
                          </w:p>
                          <w:p w14:paraId="4699D449" w14:textId="488B360C" w:rsidR="00B97EEE" w:rsidRPr="00E91BE1" w:rsidRDefault="00B97EE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5E1FC11E" w:rsidR="00B97EEE" w:rsidRPr="00E91BE1" w:rsidRDefault="00B97EE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and land manager</w:t>
                            </w:r>
                          </w:p>
                          <w:p w14:paraId="29D510C4" w14:textId="6C69B90F" w:rsidR="00B97EEE" w:rsidRPr="00E91BE1" w:rsidRDefault="00B97EE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proofErr w:type="spellStart"/>
                            <w:r w:rsidR="00B87B18">
                              <w:rPr>
                                <w:rFonts w:cs="Times New Roman"/>
                                <w:smallCaps/>
                                <w:color w:val="404040" w:themeColor="text1" w:themeTint="BF"/>
                                <w:sz w:val="36"/>
                                <w:szCs w:val="36"/>
                              </w:rPr>
                              <w:t>Biosequestration</w:t>
                            </w:r>
                            <w:proofErr w:type="spellEnd"/>
                            <w:r w:rsidR="00B87B18">
                              <w:rPr>
                                <w:rFonts w:cs="Times New Roman"/>
                                <w:smallCaps/>
                                <w:color w:val="404040" w:themeColor="text1" w:themeTint="BF"/>
                                <w:sz w:val="36"/>
                                <w:szCs w:val="36"/>
                              </w:rPr>
                              <w:t>, Biomass Crops</w:t>
                            </w:r>
                          </w:p>
                          <w:p w14:paraId="6DF0E7C6" w14:textId="77777777" w:rsidR="00B97EEE" w:rsidRDefault="00B97EEE" w:rsidP="00FB2C53"/>
                          <w:p w14:paraId="4DF87617" w14:textId="77777777" w:rsidR="00B97EEE" w:rsidRDefault="00B97EEE" w:rsidP="00FB2C53"/>
                          <w:p w14:paraId="4FD71E35" w14:textId="77777777" w:rsidR="00B97EEE" w:rsidRDefault="00B97EEE" w:rsidP="00FB2C53"/>
                          <w:p w14:paraId="0AAEA688" w14:textId="77777777" w:rsidR="00B97EEE" w:rsidRDefault="00B97EEE" w:rsidP="00FB2C53"/>
                          <w:p w14:paraId="693769A0" w14:textId="34610839" w:rsidR="00B97EEE" w:rsidRPr="00E91BE1" w:rsidRDefault="00B97EEE"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August,</w:t>
                            </w:r>
                            <w:proofErr w:type="gramEnd"/>
                            <w:r>
                              <w:rPr>
                                <w:rFonts w:cs="Times New Roman"/>
                                <w:smallCaps/>
                                <w:color w:val="404040" w:themeColor="text1" w:themeTint="BF"/>
                                <w:sz w:val="36"/>
                                <w:szCs w:val="36"/>
                              </w:rPr>
                              <w:t xml:space="preserve"> 2019</w:t>
                            </w:r>
                          </w:p>
                          <w:p w14:paraId="0DDBFE23" w14:textId="77777777" w:rsidR="00B97EEE" w:rsidRPr="000829DC" w:rsidRDefault="00B97EEE" w:rsidP="00FB2C53"/>
                          <w:p w14:paraId="4BB1447A" w14:textId="77777777" w:rsidR="00B97EEE" w:rsidRDefault="00B97EEE" w:rsidP="00FB2C53"/>
                          <w:p w14:paraId="6A9CEC43" w14:textId="77777777" w:rsidR="00B97EEE" w:rsidRDefault="00B97EEE" w:rsidP="00FB2C53"/>
                          <w:p w14:paraId="2120AE6B" w14:textId="77777777" w:rsidR="00B97EEE" w:rsidRDefault="00B97EEE" w:rsidP="00FB2C53"/>
                          <w:p w14:paraId="7DCFFDCF" w14:textId="77777777" w:rsidR="00B97EEE" w:rsidRDefault="00B97EEE" w:rsidP="00FB2C53"/>
                          <w:p w14:paraId="2F48DE38" w14:textId="77777777" w:rsidR="00B97EEE" w:rsidRPr="000829DC" w:rsidRDefault="00B97EEE" w:rsidP="00FB2C53"/>
                          <w:p w14:paraId="1981D31A" w14:textId="62691F5E" w:rsidR="00B97EEE" w:rsidRDefault="00B97EEE"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75E54DE2" w14:textId="3599ECFD" w:rsidR="006D4D05" w:rsidRPr="00381E9F" w:rsidRDefault="006D4D05" w:rsidP="00FB2C53">
                            <w:pPr>
                              <w:spacing w:after="0" w:line="240" w:lineRule="auto"/>
                              <w:rPr>
                                <w:rFonts w:cs="Times New Roman"/>
                                <w:bCs/>
                                <w:smallCaps/>
                                <w:color w:val="404040" w:themeColor="text1" w:themeTint="BF"/>
                              </w:rPr>
                            </w:pPr>
                            <w:proofErr w:type="spellStart"/>
                            <w:r w:rsidRPr="00381E9F">
                              <w:rPr>
                                <w:rFonts w:cs="Times New Roman"/>
                                <w:bCs/>
                                <w:smallCaps/>
                                <w:color w:val="404040" w:themeColor="text1" w:themeTint="BF"/>
                              </w:rPr>
                              <w:t>Noorie</w:t>
                            </w:r>
                            <w:proofErr w:type="spellEnd"/>
                            <w:r w:rsidRPr="00381E9F">
                              <w:rPr>
                                <w:rFonts w:cs="Times New Roman"/>
                                <w:bCs/>
                                <w:smallCaps/>
                                <w:color w:val="404040" w:themeColor="text1" w:themeTint="BF"/>
                              </w:rPr>
                              <w:t xml:space="preserve"> </w:t>
                            </w:r>
                            <w:proofErr w:type="spellStart"/>
                            <w:r w:rsidRPr="00381E9F">
                              <w:rPr>
                                <w:rFonts w:cs="Times New Roman"/>
                                <w:bCs/>
                                <w:smallCaps/>
                                <w:color w:val="404040" w:themeColor="text1" w:themeTint="BF"/>
                              </w:rPr>
                              <w:t>Rajvanshi</w:t>
                            </w:r>
                            <w:proofErr w:type="spellEnd"/>
                            <w:r w:rsidRPr="00381E9F">
                              <w:rPr>
                                <w:rFonts w:cs="Times New Roman"/>
                                <w:bCs/>
                                <w:smallCaps/>
                                <w:color w:val="404040" w:themeColor="text1" w:themeTint="BF"/>
                              </w:rPr>
                              <w:t>, Research Fellow</w:t>
                            </w:r>
                          </w:p>
                          <w:p w14:paraId="248C4E3C" w14:textId="76DDA4CC" w:rsidR="00B97EEE" w:rsidRPr="00381E9F" w:rsidRDefault="00B97EEE" w:rsidP="00FB2C53">
                            <w:pPr>
                              <w:spacing w:after="0" w:line="240" w:lineRule="auto"/>
                              <w:rPr>
                                <w:rFonts w:cs="Times New Roman"/>
                                <w:smallCaps/>
                                <w:color w:val="404040" w:themeColor="text1" w:themeTint="BF"/>
                              </w:rPr>
                            </w:pPr>
                            <w:r w:rsidRPr="00381E9F">
                              <w:rPr>
                                <w:rFonts w:cs="Times New Roman"/>
                                <w:smallCaps/>
                                <w:color w:val="404040" w:themeColor="text1" w:themeTint="BF"/>
                              </w:rPr>
                              <w:t>Mamta Mehra, Senior Fellow</w:t>
                            </w:r>
                          </w:p>
                          <w:p w14:paraId="6C4588F0" w14:textId="1CA78A16" w:rsidR="00B97EEE" w:rsidRPr="00EB247F" w:rsidRDefault="00B97EEE" w:rsidP="000829DC">
                            <w:pPr>
                              <w:rPr>
                                <w:rFonts w:cs="Times New Roman"/>
                                <w:smallCaps/>
                                <w:color w:val="404040" w:themeColor="text1" w:themeTint="BF"/>
                              </w:rPr>
                            </w:pPr>
                            <w:r>
                              <w:rPr>
                                <w:rFonts w:cs="Times New Roman"/>
                                <w:smallCaps/>
                                <w:color w:val="404040" w:themeColor="text1" w:themeTint="BF"/>
                              </w:rPr>
                              <w:t xml:space="preserve">Martina </w:t>
                            </w:r>
                            <w:proofErr w:type="spellStart"/>
                            <w:r>
                              <w:rPr>
                                <w:rFonts w:cs="Times New Roman"/>
                                <w:smallCaps/>
                                <w:color w:val="404040" w:themeColor="text1" w:themeTint="BF"/>
                              </w:rPr>
                              <w:t>Grecequet</w:t>
                            </w:r>
                            <w:proofErr w:type="spellEnd"/>
                            <w:r>
                              <w:rPr>
                                <w:rFonts w:cs="Times New Roman"/>
                                <w:smallCaps/>
                                <w:color w:val="404040" w:themeColor="text1" w:themeTint="BF"/>
                              </w:rPr>
                              <w:t xml:space="preserve">, Research Fellow </w:t>
                            </w:r>
                          </w:p>
                          <w:p w14:paraId="1C3CFB47" w14:textId="77777777" w:rsidR="00B97EEE" w:rsidRPr="00EB247F" w:rsidRDefault="00B97EEE" w:rsidP="007864AB">
                            <w:pPr>
                              <w:rPr>
                                <w:rFonts w:cs="Times New Roman"/>
                                <w:smallCaps/>
                                <w:color w:val="404040" w:themeColor="text1" w:themeTint="BF"/>
                              </w:rPr>
                            </w:pPr>
                          </w:p>
                          <w:p w14:paraId="4481356F" w14:textId="6C098178" w:rsidR="00B97EEE" w:rsidRPr="00EB247F" w:rsidRDefault="00B97EEE"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B97EEE" w:rsidRPr="00E6531F" w:rsidRDefault="00B97EEE"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B97EEE" w:rsidRPr="00E6531F" w:rsidRDefault="00B97EEE" w:rsidP="00C81D94">
                            <w:pPr>
                              <w:rPr>
                                <w:rFonts w:cs="Times New Roman"/>
                                <w:smallCaps/>
                                <w:color w:val="404040" w:themeColor="text1" w:themeTint="BF"/>
                                <w:sz w:val="36"/>
                                <w:szCs w:val="36"/>
                                <w:lang w:val="pt-PT"/>
                              </w:rPr>
                            </w:pPr>
                          </w:p>
                          <w:p w14:paraId="3D97FBF6" w14:textId="77777777" w:rsidR="00B97EEE" w:rsidRPr="00E6531F" w:rsidRDefault="00B97EEE"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B97EEE" w:rsidRPr="00E91BE1" w:rsidRDefault="00B97EEE"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1ACB8C1" w:rsidR="00B97EEE" w:rsidRPr="00E91BE1" w:rsidRDefault="00B97EE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Perennial biomass</w:t>
                      </w:r>
                    </w:p>
                    <w:p w14:paraId="6774E85B" w14:textId="77777777" w:rsidR="00B97EEE" w:rsidRPr="00EB247F" w:rsidRDefault="00B97EEE" w:rsidP="00EB247F">
                      <w:pPr>
                        <w:spacing w:line="240" w:lineRule="auto"/>
                        <w:jc w:val="center"/>
                        <w:rPr>
                          <w:rFonts w:cs="Times New Roman"/>
                          <w:smallCaps/>
                          <w:color w:val="404040" w:themeColor="text1" w:themeTint="BF"/>
                          <w:sz w:val="36"/>
                          <w:szCs w:val="36"/>
                        </w:rPr>
                      </w:pPr>
                    </w:p>
                    <w:p w14:paraId="4699D449" w14:textId="488B360C" w:rsidR="00B97EEE" w:rsidRPr="00E91BE1" w:rsidRDefault="00B97EE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5E1FC11E" w:rsidR="00B97EEE" w:rsidRPr="00E91BE1" w:rsidRDefault="00B97EE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and land manager</w:t>
                      </w:r>
                    </w:p>
                    <w:p w14:paraId="29D510C4" w14:textId="6C69B90F" w:rsidR="00B97EEE" w:rsidRPr="00E91BE1" w:rsidRDefault="00B97EE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proofErr w:type="spellStart"/>
                      <w:r w:rsidR="00B87B18">
                        <w:rPr>
                          <w:rFonts w:cs="Times New Roman"/>
                          <w:smallCaps/>
                          <w:color w:val="404040" w:themeColor="text1" w:themeTint="BF"/>
                          <w:sz w:val="36"/>
                          <w:szCs w:val="36"/>
                        </w:rPr>
                        <w:t>Biosequestration</w:t>
                      </w:r>
                      <w:proofErr w:type="spellEnd"/>
                      <w:r w:rsidR="00B87B18">
                        <w:rPr>
                          <w:rFonts w:cs="Times New Roman"/>
                          <w:smallCaps/>
                          <w:color w:val="404040" w:themeColor="text1" w:themeTint="BF"/>
                          <w:sz w:val="36"/>
                          <w:szCs w:val="36"/>
                        </w:rPr>
                        <w:t>, Biomass Crops</w:t>
                      </w:r>
                    </w:p>
                    <w:p w14:paraId="6DF0E7C6" w14:textId="77777777" w:rsidR="00B97EEE" w:rsidRDefault="00B97EEE" w:rsidP="00FB2C53"/>
                    <w:p w14:paraId="4DF87617" w14:textId="77777777" w:rsidR="00B97EEE" w:rsidRDefault="00B97EEE" w:rsidP="00FB2C53"/>
                    <w:p w14:paraId="4FD71E35" w14:textId="77777777" w:rsidR="00B97EEE" w:rsidRDefault="00B97EEE" w:rsidP="00FB2C53"/>
                    <w:p w14:paraId="0AAEA688" w14:textId="77777777" w:rsidR="00B97EEE" w:rsidRDefault="00B97EEE" w:rsidP="00FB2C53"/>
                    <w:p w14:paraId="693769A0" w14:textId="34610839" w:rsidR="00B97EEE" w:rsidRPr="00E91BE1" w:rsidRDefault="00B97EEE"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August,</w:t>
                      </w:r>
                      <w:proofErr w:type="gramEnd"/>
                      <w:r>
                        <w:rPr>
                          <w:rFonts w:cs="Times New Roman"/>
                          <w:smallCaps/>
                          <w:color w:val="404040" w:themeColor="text1" w:themeTint="BF"/>
                          <w:sz w:val="36"/>
                          <w:szCs w:val="36"/>
                        </w:rPr>
                        <w:t xml:space="preserve"> 2019</w:t>
                      </w:r>
                    </w:p>
                    <w:p w14:paraId="0DDBFE23" w14:textId="77777777" w:rsidR="00B97EEE" w:rsidRPr="000829DC" w:rsidRDefault="00B97EEE" w:rsidP="00FB2C53"/>
                    <w:p w14:paraId="4BB1447A" w14:textId="77777777" w:rsidR="00B97EEE" w:rsidRDefault="00B97EEE" w:rsidP="00FB2C53"/>
                    <w:p w14:paraId="6A9CEC43" w14:textId="77777777" w:rsidR="00B97EEE" w:rsidRDefault="00B97EEE" w:rsidP="00FB2C53"/>
                    <w:p w14:paraId="2120AE6B" w14:textId="77777777" w:rsidR="00B97EEE" w:rsidRDefault="00B97EEE" w:rsidP="00FB2C53"/>
                    <w:p w14:paraId="7DCFFDCF" w14:textId="77777777" w:rsidR="00B97EEE" w:rsidRDefault="00B97EEE" w:rsidP="00FB2C53"/>
                    <w:p w14:paraId="2F48DE38" w14:textId="77777777" w:rsidR="00B97EEE" w:rsidRPr="000829DC" w:rsidRDefault="00B97EEE" w:rsidP="00FB2C53"/>
                    <w:p w14:paraId="1981D31A" w14:textId="62691F5E" w:rsidR="00B97EEE" w:rsidRDefault="00B97EEE"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75E54DE2" w14:textId="3599ECFD" w:rsidR="006D4D05" w:rsidRPr="00381E9F" w:rsidRDefault="006D4D05" w:rsidP="00FB2C53">
                      <w:pPr>
                        <w:spacing w:after="0" w:line="240" w:lineRule="auto"/>
                        <w:rPr>
                          <w:rFonts w:cs="Times New Roman"/>
                          <w:bCs/>
                          <w:smallCaps/>
                          <w:color w:val="404040" w:themeColor="text1" w:themeTint="BF"/>
                        </w:rPr>
                      </w:pPr>
                      <w:proofErr w:type="spellStart"/>
                      <w:r w:rsidRPr="00381E9F">
                        <w:rPr>
                          <w:rFonts w:cs="Times New Roman"/>
                          <w:bCs/>
                          <w:smallCaps/>
                          <w:color w:val="404040" w:themeColor="text1" w:themeTint="BF"/>
                        </w:rPr>
                        <w:t>Noorie</w:t>
                      </w:r>
                      <w:proofErr w:type="spellEnd"/>
                      <w:r w:rsidRPr="00381E9F">
                        <w:rPr>
                          <w:rFonts w:cs="Times New Roman"/>
                          <w:bCs/>
                          <w:smallCaps/>
                          <w:color w:val="404040" w:themeColor="text1" w:themeTint="BF"/>
                        </w:rPr>
                        <w:t xml:space="preserve"> </w:t>
                      </w:r>
                      <w:proofErr w:type="spellStart"/>
                      <w:r w:rsidRPr="00381E9F">
                        <w:rPr>
                          <w:rFonts w:cs="Times New Roman"/>
                          <w:bCs/>
                          <w:smallCaps/>
                          <w:color w:val="404040" w:themeColor="text1" w:themeTint="BF"/>
                        </w:rPr>
                        <w:t>Rajvanshi</w:t>
                      </w:r>
                      <w:proofErr w:type="spellEnd"/>
                      <w:r w:rsidRPr="00381E9F">
                        <w:rPr>
                          <w:rFonts w:cs="Times New Roman"/>
                          <w:bCs/>
                          <w:smallCaps/>
                          <w:color w:val="404040" w:themeColor="text1" w:themeTint="BF"/>
                        </w:rPr>
                        <w:t>, Research Fellow</w:t>
                      </w:r>
                    </w:p>
                    <w:p w14:paraId="248C4E3C" w14:textId="76DDA4CC" w:rsidR="00B97EEE" w:rsidRPr="00381E9F" w:rsidRDefault="00B97EEE" w:rsidP="00FB2C53">
                      <w:pPr>
                        <w:spacing w:after="0" w:line="240" w:lineRule="auto"/>
                        <w:rPr>
                          <w:rFonts w:cs="Times New Roman"/>
                          <w:smallCaps/>
                          <w:color w:val="404040" w:themeColor="text1" w:themeTint="BF"/>
                        </w:rPr>
                      </w:pPr>
                      <w:r w:rsidRPr="00381E9F">
                        <w:rPr>
                          <w:rFonts w:cs="Times New Roman"/>
                          <w:smallCaps/>
                          <w:color w:val="404040" w:themeColor="text1" w:themeTint="BF"/>
                        </w:rPr>
                        <w:t>Mamta Mehra, Senior Fellow</w:t>
                      </w:r>
                    </w:p>
                    <w:p w14:paraId="6C4588F0" w14:textId="1CA78A16" w:rsidR="00B97EEE" w:rsidRPr="00EB247F" w:rsidRDefault="00B97EEE" w:rsidP="000829DC">
                      <w:pPr>
                        <w:rPr>
                          <w:rFonts w:cs="Times New Roman"/>
                          <w:smallCaps/>
                          <w:color w:val="404040" w:themeColor="text1" w:themeTint="BF"/>
                        </w:rPr>
                      </w:pPr>
                      <w:r>
                        <w:rPr>
                          <w:rFonts w:cs="Times New Roman"/>
                          <w:smallCaps/>
                          <w:color w:val="404040" w:themeColor="text1" w:themeTint="BF"/>
                        </w:rPr>
                        <w:t xml:space="preserve">Martina </w:t>
                      </w:r>
                      <w:proofErr w:type="spellStart"/>
                      <w:r>
                        <w:rPr>
                          <w:rFonts w:cs="Times New Roman"/>
                          <w:smallCaps/>
                          <w:color w:val="404040" w:themeColor="text1" w:themeTint="BF"/>
                        </w:rPr>
                        <w:t>Grecequet</w:t>
                      </w:r>
                      <w:proofErr w:type="spellEnd"/>
                      <w:r>
                        <w:rPr>
                          <w:rFonts w:cs="Times New Roman"/>
                          <w:smallCaps/>
                          <w:color w:val="404040" w:themeColor="text1" w:themeTint="BF"/>
                        </w:rPr>
                        <w:t xml:space="preserve">, Research Fellow </w:t>
                      </w:r>
                    </w:p>
                    <w:p w14:paraId="1C3CFB47" w14:textId="77777777" w:rsidR="00B97EEE" w:rsidRPr="00EB247F" w:rsidRDefault="00B97EEE" w:rsidP="007864AB">
                      <w:pPr>
                        <w:rPr>
                          <w:rFonts w:cs="Times New Roman"/>
                          <w:smallCaps/>
                          <w:color w:val="404040" w:themeColor="text1" w:themeTint="BF"/>
                        </w:rPr>
                      </w:pPr>
                    </w:p>
                    <w:p w14:paraId="4481356F" w14:textId="6C098178" w:rsidR="00B97EEE" w:rsidRPr="00EB247F" w:rsidRDefault="00B97EEE"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B97EEE" w:rsidRPr="00E6531F" w:rsidRDefault="00B97EEE"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B97EEE" w:rsidRPr="00E6531F" w:rsidRDefault="00B97EEE" w:rsidP="00C81D94">
                      <w:pPr>
                        <w:rPr>
                          <w:rFonts w:cs="Times New Roman"/>
                          <w:smallCaps/>
                          <w:color w:val="404040" w:themeColor="text1" w:themeTint="BF"/>
                          <w:sz w:val="36"/>
                          <w:szCs w:val="36"/>
                          <w:lang w:val="pt-PT"/>
                        </w:rPr>
                      </w:pPr>
                    </w:p>
                    <w:p w14:paraId="3D97FBF6" w14:textId="77777777" w:rsidR="00B97EEE" w:rsidRPr="00E6531F" w:rsidRDefault="00B97EEE" w:rsidP="00C81D94">
                      <w:pPr>
                        <w:rPr>
                          <w:rFonts w:cs="Times New Roman"/>
                          <w:smallCaps/>
                          <w:color w:val="404040" w:themeColor="text1" w:themeTint="BF"/>
                          <w:sz w:val="36"/>
                          <w:szCs w:val="36"/>
                          <w:lang w:val="pt-PT"/>
                        </w:rPr>
                      </w:pPr>
                    </w:p>
                  </w:txbxContent>
                </v:textbox>
                <w10:wrap type="square" anchorx="page" anchory="page"/>
              </v:shape>
            </w:pict>
          </mc:Fallback>
        </mc:AlternateContent>
      </w:r>
    </w:p>
    <w:bookmarkStart w:id="0" w:name="_Toc25888653" w:displacedByCustomXml="next"/>
    <w:sdt>
      <w:sdtPr>
        <w:rPr>
          <w:rFonts w:ascii="Times New Roman" w:eastAsiaTheme="minorEastAsia" w:hAnsi="Times New Roman" w:cstheme="minorBidi"/>
          <w:b w:val="0"/>
          <w:bCs w:val="0"/>
          <w:smallCaps w:val="0"/>
          <w:color w:val="auto"/>
          <w:sz w:val="22"/>
          <w:szCs w:val="22"/>
        </w:rPr>
        <w:id w:val="2083251820"/>
        <w:docPartObj>
          <w:docPartGallery w:val="Table of Contents"/>
          <w:docPartUnique/>
        </w:docPartObj>
      </w:sdtPr>
      <w:sdtEndPr>
        <w:rPr>
          <w:noProof/>
        </w:rPr>
      </w:sdtEndPr>
      <w:sdtContent>
        <w:p w14:paraId="7D03DB7A" w14:textId="65C12786" w:rsidR="00485FB2" w:rsidRDefault="00485FB2" w:rsidP="0047117A">
          <w:pPr>
            <w:pStyle w:val="Heading1"/>
            <w:numPr>
              <w:ilvl w:val="0"/>
              <w:numId w:val="0"/>
            </w:numPr>
          </w:pPr>
          <w:r>
            <w:t>Table of Contents</w:t>
          </w:r>
          <w:bookmarkEnd w:id="0"/>
        </w:p>
        <w:bookmarkStart w:id="1" w:name="_GoBack"/>
        <w:bookmarkEnd w:id="1"/>
        <w:p w14:paraId="6E37CA9E" w14:textId="7356CB13" w:rsidR="00DA00D3" w:rsidRDefault="00485FB2">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25888653" w:history="1">
            <w:r w:rsidR="00DA00D3" w:rsidRPr="002D4BA3">
              <w:rPr>
                <w:rStyle w:val="Hyperlink"/>
                <w:noProof/>
              </w:rPr>
              <w:t>Table of Contents</w:t>
            </w:r>
            <w:r w:rsidR="00DA00D3">
              <w:rPr>
                <w:noProof/>
                <w:webHidden/>
              </w:rPr>
              <w:tab/>
            </w:r>
            <w:r w:rsidR="00DA00D3">
              <w:rPr>
                <w:noProof/>
                <w:webHidden/>
              </w:rPr>
              <w:fldChar w:fldCharType="begin"/>
            </w:r>
            <w:r w:rsidR="00DA00D3">
              <w:rPr>
                <w:noProof/>
                <w:webHidden/>
              </w:rPr>
              <w:instrText xml:space="preserve"> PAGEREF _Toc25888653 \h </w:instrText>
            </w:r>
            <w:r w:rsidR="00DA00D3">
              <w:rPr>
                <w:noProof/>
                <w:webHidden/>
              </w:rPr>
            </w:r>
            <w:r w:rsidR="00DA00D3">
              <w:rPr>
                <w:noProof/>
                <w:webHidden/>
              </w:rPr>
              <w:fldChar w:fldCharType="separate"/>
            </w:r>
            <w:r w:rsidR="00872721">
              <w:rPr>
                <w:noProof/>
                <w:webHidden/>
              </w:rPr>
              <w:t>2</w:t>
            </w:r>
            <w:r w:rsidR="00DA00D3">
              <w:rPr>
                <w:noProof/>
                <w:webHidden/>
              </w:rPr>
              <w:fldChar w:fldCharType="end"/>
            </w:r>
          </w:hyperlink>
        </w:p>
        <w:p w14:paraId="6D650C14" w14:textId="3DA8E09E" w:rsidR="00DA00D3" w:rsidRDefault="00DA00D3">
          <w:pPr>
            <w:pStyle w:val="TOC1"/>
            <w:tabs>
              <w:tab w:val="right" w:leader="dot" w:pos="9350"/>
            </w:tabs>
            <w:rPr>
              <w:rFonts w:asciiTheme="minorHAnsi" w:hAnsiTheme="minorHAnsi"/>
              <w:noProof/>
              <w:lang w:eastAsia="en-US"/>
            </w:rPr>
          </w:pPr>
          <w:hyperlink w:anchor="_Toc25888654" w:history="1">
            <w:r w:rsidRPr="002D4BA3">
              <w:rPr>
                <w:rStyle w:val="Hyperlink"/>
                <w:noProof/>
              </w:rPr>
              <w:t>List of Figures</w:t>
            </w:r>
            <w:r>
              <w:rPr>
                <w:noProof/>
                <w:webHidden/>
              </w:rPr>
              <w:tab/>
            </w:r>
            <w:r>
              <w:rPr>
                <w:noProof/>
                <w:webHidden/>
              </w:rPr>
              <w:fldChar w:fldCharType="begin"/>
            </w:r>
            <w:r>
              <w:rPr>
                <w:noProof/>
                <w:webHidden/>
              </w:rPr>
              <w:instrText xml:space="preserve"> PAGEREF _Toc25888654 \h </w:instrText>
            </w:r>
            <w:r>
              <w:rPr>
                <w:noProof/>
                <w:webHidden/>
              </w:rPr>
            </w:r>
            <w:r>
              <w:rPr>
                <w:noProof/>
                <w:webHidden/>
              </w:rPr>
              <w:fldChar w:fldCharType="separate"/>
            </w:r>
            <w:r w:rsidR="00872721">
              <w:rPr>
                <w:noProof/>
                <w:webHidden/>
              </w:rPr>
              <w:t>4</w:t>
            </w:r>
            <w:r>
              <w:rPr>
                <w:noProof/>
                <w:webHidden/>
              </w:rPr>
              <w:fldChar w:fldCharType="end"/>
            </w:r>
          </w:hyperlink>
        </w:p>
        <w:p w14:paraId="588D3EB2" w14:textId="17B67F5B" w:rsidR="00DA00D3" w:rsidRDefault="00DA00D3">
          <w:pPr>
            <w:pStyle w:val="TOC1"/>
            <w:tabs>
              <w:tab w:val="right" w:leader="dot" w:pos="9350"/>
            </w:tabs>
            <w:rPr>
              <w:rFonts w:asciiTheme="minorHAnsi" w:hAnsiTheme="minorHAnsi"/>
              <w:noProof/>
              <w:lang w:eastAsia="en-US"/>
            </w:rPr>
          </w:pPr>
          <w:hyperlink w:anchor="_Toc25888655" w:history="1">
            <w:r w:rsidRPr="002D4BA3">
              <w:rPr>
                <w:rStyle w:val="Hyperlink"/>
                <w:noProof/>
              </w:rPr>
              <w:t>List of Tables</w:t>
            </w:r>
            <w:r>
              <w:rPr>
                <w:noProof/>
                <w:webHidden/>
              </w:rPr>
              <w:tab/>
            </w:r>
            <w:r>
              <w:rPr>
                <w:noProof/>
                <w:webHidden/>
              </w:rPr>
              <w:fldChar w:fldCharType="begin"/>
            </w:r>
            <w:r>
              <w:rPr>
                <w:noProof/>
                <w:webHidden/>
              </w:rPr>
              <w:instrText xml:space="preserve"> PAGEREF _Toc25888655 \h </w:instrText>
            </w:r>
            <w:r>
              <w:rPr>
                <w:noProof/>
                <w:webHidden/>
              </w:rPr>
            </w:r>
            <w:r>
              <w:rPr>
                <w:noProof/>
                <w:webHidden/>
              </w:rPr>
              <w:fldChar w:fldCharType="separate"/>
            </w:r>
            <w:r w:rsidR="00872721">
              <w:rPr>
                <w:noProof/>
                <w:webHidden/>
              </w:rPr>
              <w:t>4</w:t>
            </w:r>
            <w:r>
              <w:rPr>
                <w:noProof/>
                <w:webHidden/>
              </w:rPr>
              <w:fldChar w:fldCharType="end"/>
            </w:r>
          </w:hyperlink>
        </w:p>
        <w:p w14:paraId="3DAB0E01" w14:textId="797777EF" w:rsidR="00DA00D3" w:rsidRDefault="00DA00D3">
          <w:pPr>
            <w:pStyle w:val="TOC1"/>
            <w:tabs>
              <w:tab w:val="right" w:leader="dot" w:pos="9350"/>
            </w:tabs>
            <w:rPr>
              <w:rFonts w:asciiTheme="minorHAnsi" w:hAnsiTheme="minorHAnsi"/>
              <w:noProof/>
              <w:lang w:eastAsia="en-US"/>
            </w:rPr>
          </w:pPr>
          <w:hyperlink w:anchor="_Toc25888656" w:history="1">
            <w:r w:rsidRPr="002D4BA3">
              <w:rPr>
                <w:rStyle w:val="Hyperlink"/>
                <w:noProof/>
              </w:rPr>
              <w:t>Executive Summary</w:t>
            </w:r>
            <w:r>
              <w:rPr>
                <w:noProof/>
                <w:webHidden/>
              </w:rPr>
              <w:tab/>
            </w:r>
            <w:r>
              <w:rPr>
                <w:noProof/>
                <w:webHidden/>
              </w:rPr>
              <w:fldChar w:fldCharType="begin"/>
            </w:r>
            <w:r>
              <w:rPr>
                <w:noProof/>
                <w:webHidden/>
              </w:rPr>
              <w:instrText xml:space="preserve"> PAGEREF _Toc25888656 \h </w:instrText>
            </w:r>
            <w:r>
              <w:rPr>
                <w:noProof/>
                <w:webHidden/>
              </w:rPr>
            </w:r>
            <w:r>
              <w:rPr>
                <w:noProof/>
                <w:webHidden/>
              </w:rPr>
              <w:fldChar w:fldCharType="separate"/>
            </w:r>
            <w:r w:rsidR="00872721">
              <w:rPr>
                <w:noProof/>
                <w:webHidden/>
              </w:rPr>
              <w:t>5</w:t>
            </w:r>
            <w:r>
              <w:rPr>
                <w:noProof/>
                <w:webHidden/>
              </w:rPr>
              <w:fldChar w:fldCharType="end"/>
            </w:r>
          </w:hyperlink>
        </w:p>
        <w:p w14:paraId="6644FFF2" w14:textId="172C26A3" w:rsidR="00DA00D3" w:rsidRDefault="00DA00D3">
          <w:pPr>
            <w:pStyle w:val="TOC1"/>
            <w:tabs>
              <w:tab w:val="left" w:pos="440"/>
              <w:tab w:val="right" w:leader="dot" w:pos="9350"/>
            </w:tabs>
            <w:rPr>
              <w:rFonts w:asciiTheme="minorHAnsi" w:hAnsiTheme="minorHAnsi"/>
              <w:noProof/>
              <w:lang w:eastAsia="en-US"/>
            </w:rPr>
          </w:pPr>
          <w:hyperlink w:anchor="_Toc25888657" w:history="1">
            <w:r w:rsidRPr="002D4BA3">
              <w:rPr>
                <w:rStyle w:val="Hyperlink"/>
                <w:noProof/>
              </w:rPr>
              <w:t>1.</w:t>
            </w:r>
            <w:r>
              <w:rPr>
                <w:rFonts w:asciiTheme="minorHAnsi" w:hAnsiTheme="minorHAnsi"/>
                <w:noProof/>
                <w:lang w:eastAsia="en-US"/>
              </w:rPr>
              <w:tab/>
            </w:r>
            <w:r w:rsidRPr="002D4BA3">
              <w:rPr>
                <w:rStyle w:val="Hyperlink"/>
                <w:noProof/>
              </w:rPr>
              <w:t>Literature Review</w:t>
            </w:r>
            <w:r>
              <w:rPr>
                <w:noProof/>
                <w:webHidden/>
              </w:rPr>
              <w:tab/>
            </w:r>
            <w:r>
              <w:rPr>
                <w:noProof/>
                <w:webHidden/>
              </w:rPr>
              <w:fldChar w:fldCharType="begin"/>
            </w:r>
            <w:r>
              <w:rPr>
                <w:noProof/>
                <w:webHidden/>
              </w:rPr>
              <w:instrText xml:space="preserve"> PAGEREF _Toc25888657 \h </w:instrText>
            </w:r>
            <w:r>
              <w:rPr>
                <w:noProof/>
                <w:webHidden/>
              </w:rPr>
            </w:r>
            <w:r>
              <w:rPr>
                <w:noProof/>
                <w:webHidden/>
              </w:rPr>
              <w:fldChar w:fldCharType="separate"/>
            </w:r>
            <w:r w:rsidR="00872721">
              <w:rPr>
                <w:noProof/>
                <w:webHidden/>
              </w:rPr>
              <w:t>6</w:t>
            </w:r>
            <w:r>
              <w:rPr>
                <w:noProof/>
                <w:webHidden/>
              </w:rPr>
              <w:fldChar w:fldCharType="end"/>
            </w:r>
          </w:hyperlink>
        </w:p>
        <w:p w14:paraId="001BE0FA" w14:textId="1D35D852" w:rsidR="00DA00D3" w:rsidRDefault="00DA00D3">
          <w:pPr>
            <w:pStyle w:val="TOC2"/>
            <w:tabs>
              <w:tab w:val="left" w:pos="880"/>
              <w:tab w:val="right" w:leader="dot" w:pos="9350"/>
            </w:tabs>
            <w:rPr>
              <w:rFonts w:asciiTheme="minorHAnsi" w:hAnsiTheme="minorHAnsi"/>
              <w:noProof/>
              <w:lang w:eastAsia="en-US"/>
            </w:rPr>
          </w:pPr>
          <w:hyperlink w:anchor="_Toc25888658" w:history="1">
            <w:r w:rsidRPr="002D4BA3">
              <w:rPr>
                <w:rStyle w:val="Hyperlink"/>
                <w:noProof/>
              </w:rPr>
              <w:t>1.1.</w:t>
            </w:r>
            <w:r>
              <w:rPr>
                <w:rFonts w:asciiTheme="minorHAnsi" w:hAnsiTheme="minorHAnsi"/>
                <w:noProof/>
                <w:lang w:eastAsia="en-US"/>
              </w:rPr>
              <w:tab/>
            </w:r>
            <w:r w:rsidRPr="002D4BA3">
              <w:rPr>
                <w:rStyle w:val="Hyperlink"/>
                <w:noProof/>
              </w:rPr>
              <w:t>State of the Practice</w:t>
            </w:r>
            <w:r>
              <w:rPr>
                <w:noProof/>
                <w:webHidden/>
              </w:rPr>
              <w:tab/>
            </w:r>
            <w:r>
              <w:rPr>
                <w:noProof/>
                <w:webHidden/>
              </w:rPr>
              <w:fldChar w:fldCharType="begin"/>
            </w:r>
            <w:r>
              <w:rPr>
                <w:noProof/>
                <w:webHidden/>
              </w:rPr>
              <w:instrText xml:space="preserve"> PAGEREF _Toc25888658 \h </w:instrText>
            </w:r>
            <w:r>
              <w:rPr>
                <w:noProof/>
                <w:webHidden/>
              </w:rPr>
            </w:r>
            <w:r>
              <w:rPr>
                <w:noProof/>
                <w:webHidden/>
              </w:rPr>
              <w:fldChar w:fldCharType="separate"/>
            </w:r>
            <w:r w:rsidR="00872721">
              <w:rPr>
                <w:noProof/>
                <w:webHidden/>
              </w:rPr>
              <w:t>6</w:t>
            </w:r>
            <w:r>
              <w:rPr>
                <w:noProof/>
                <w:webHidden/>
              </w:rPr>
              <w:fldChar w:fldCharType="end"/>
            </w:r>
          </w:hyperlink>
        </w:p>
        <w:p w14:paraId="4892862D" w14:textId="03D01CD7" w:rsidR="00DA00D3" w:rsidRDefault="00DA00D3">
          <w:pPr>
            <w:pStyle w:val="TOC2"/>
            <w:tabs>
              <w:tab w:val="left" w:pos="880"/>
              <w:tab w:val="right" w:leader="dot" w:pos="9350"/>
            </w:tabs>
            <w:rPr>
              <w:rFonts w:asciiTheme="minorHAnsi" w:hAnsiTheme="minorHAnsi"/>
              <w:noProof/>
              <w:lang w:eastAsia="en-US"/>
            </w:rPr>
          </w:pPr>
          <w:hyperlink w:anchor="_Toc25888659" w:history="1">
            <w:r w:rsidRPr="002D4BA3">
              <w:rPr>
                <w:rStyle w:val="Hyperlink"/>
                <w:noProof/>
              </w:rPr>
              <w:t>1.2.</w:t>
            </w:r>
            <w:r>
              <w:rPr>
                <w:rFonts w:asciiTheme="minorHAnsi" w:hAnsiTheme="minorHAnsi"/>
                <w:noProof/>
                <w:lang w:eastAsia="en-US"/>
              </w:rPr>
              <w:tab/>
            </w:r>
            <w:r w:rsidRPr="002D4BA3">
              <w:rPr>
                <w:rStyle w:val="Hyperlink"/>
                <w:noProof/>
              </w:rPr>
              <w:t>Adoption Path</w:t>
            </w:r>
            <w:r>
              <w:rPr>
                <w:noProof/>
                <w:webHidden/>
              </w:rPr>
              <w:tab/>
            </w:r>
            <w:r>
              <w:rPr>
                <w:noProof/>
                <w:webHidden/>
              </w:rPr>
              <w:fldChar w:fldCharType="begin"/>
            </w:r>
            <w:r>
              <w:rPr>
                <w:noProof/>
                <w:webHidden/>
              </w:rPr>
              <w:instrText xml:space="preserve"> PAGEREF _Toc25888659 \h </w:instrText>
            </w:r>
            <w:r>
              <w:rPr>
                <w:noProof/>
                <w:webHidden/>
              </w:rPr>
            </w:r>
            <w:r>
              <w:rPr>
                <w:noProof/>
                <w:webHidden/>
              </w:rPr>
              <w:fldChar w:fldCharType="separate"/>
            </w:r>
            <w:r w:rsidR="00872721">
              <w:rPr>
                <w:noProof/>
                <w:webHidden/>
              </w:rPr>
              <w:t>8</w:t>
            </w:r>
            <w:r>
              <w:rPr>
                <w:noProof/>
                <w:webHidden/>
              </w:rPr>
              <w:fldChar w:fldCharType="end"/>
            </w:r>
          </w:hyperlink>
        </w:p>
        <w:p w14:paraId="38323E65" w14:textId="2C46025B" w:rsidR="00DA00D3" w:rsidRDefault="00DA00D3">
          <w:pPr>
            <w:pStyle w:val="TOC3"/>
            <w:tabs>
              <w:tab w:val="right" w:leader="dot" w:pos="9350"/>
            </w:tabs>
            <w:rPr>
              <w:rFonts w:asciiTheme="minorHAnsi" w:hAnsiTheme="minorHAnsi"/>
              <w:noProof/>
              <w:lang w:eastAsia="en-US"/>
            </w:rPr>
          </w:pPr>
          <w:hyperlink w:anchor="_Toc25888660" w:history="1">
            <w:r w:rsidRPr="002D4BA3">
              <w:rPr>
                <w:rStyle w:val="Hyperlink"/>
                <w:noProof/>
              </w:rPr>
              <w:t>Trends to Accelerate Adoption.</w:t>
            </w:r>
            <w:r>
              <w:rPr>
                <w:noProof/>
                <w:webHidden/>
              </w:rPr>
              <w:tab/>
            </w:r>
            <w:r>
              <w:rPr>
                <w:noProof/>
                <w:webHidden/>
              </w:rPr>
              <w:fldChar w:fldCharType="begin"/>
            </w:r>
            <w:r>
              <w:rPr>
                <w:noProof/>
                <w:webHidden/>
              </w:rPr>
              <w:instrText xml:space="preserve"> PAGEREF _Toc25888660 \h </w:instrText>
            </w:r>
            <w:r>
              <w:rPr>
                <w:noProof/>
                <w:webHidden/>
              </w:rPr>
            </w:r>
            <w:r>
              <w:rPr>
                <w:noProof/>
                <w:webHidden/>
              </w:rPr>
              <w:fldChar w:fldCharType="separate"/>
            </w:r>
            <w:r w:rsidR="00872721">
              <w:rPr>
                <w:noProof/>
                <w:webHidden/>
              </w:rPr>
              <w:t>8</w:t>
            </w:r>
            <w:r>
              <w:rPr>
                <w:noProof/>
                <w:webHidden/>
              </w:rPr>
              <w:fldChar w:fldCharType="end"/>
            </w:r>
          </w:hyperlink>
        </w:p>
        <w:p w14:paraId="7A908CF1" w14:textId="4E805714" w:rsidR="00DA00D3" w:rsidRDefault="00DA00D3">
          <w:pPr>
            <w:pStyle w:val="TOC3"/>
            <w:tabs>
              <w:tab w:val="right" w:leader="dot" w:pos="9350"/>
            </w:tabs>
            <w:rPr>
              <w:rFonts w:asciiTheme="minorHAnsi" w:hAnsiTheme="minorHAnsi"/>
              <w:noProof/>
              <w:lang w:eastAsia="en-US"/>
            </w:rPr>
          </w:pPr>
          <w:hyperlink w:anchor="_Toc25888661" w:history="1">
            <w:r w:rsidRPr="002D4BA3">
              <w:rPr>
                <w:rStyle w:val="Hyperlink"/>
                <w:noProof/>
              </w:rPr>
              <w:t>Barriers to Adoption</w:t>
            </w:r>
            <w:r>
              <w:rPr>
                <w:noProof/>
                <w:webHidden/>
              </w:rPr>
              <w:tab/>
            </w:r>
            <w:r>
              <w:rPr>
                <w:noProof/>
                <w:webHidden/>
              </w:rPr>
              <w:fldChar w:fldCharType="begin"/>
            </w:r>
            <w:r>
              <w:rPr>
                <w:noProof/>
                <w:webHidden/>
              </w:rPr>
              <w:instrText xml:space="preserve"> PAGEREF _Toc25888661 \h </w:instrText>
            </w:r>
            <w:r>
              <w:rPr>
                <w:noProof/>
                <w:webHidden/>
              </w:rPr>
            </w:r>
            <w:r>
              <w:rPr>
                <w:noProof/>
                <w:webHidden/>
              </w:rPr>
              <w:fldChar w:fldCharType="separate"/>
            </w:r>
            <w:r w:rsidR="00872721">
              <w:rPr>
                <w:noProof/>
                <w:webHidden/>
              </w:rPr>
              <w:t>8</w:t>
            </w:r>
            <w:r>
              <w:rPr>
                <w:noProof/>
                <w:webHidden/>
              </w:rPr>
              <w:fldChar w:fldCharType="end"/>
            </w:r>
          </w:hyperlink>
        </w:p>
        <w:p w14:paraId="167BFB1B" w14:textId="14811312" w:rsidR="00DA00D3" w:rsidRDefault="00DA00D3">
          <w:pPr>
            <w:pStyle w:val="TOC3"/>
            <w:tabs>
              <w:tab w:val="right" w:leader="dot" w:pos="9350"/>
            </w:tabs>
            <w:rPr>
              <w:rFonts w:asciiTheme="minorHAnsi" w:hAnsiTheme="minorHAnsi"/>
              <w:noProof/>
              <w:lang w:eastAsia="en-US"/>
            </w:rPr>
          </w:pPr>
          <w:hyperlink w:anchor="_Toc25888662" w:history="1">
            <w:r w:rsidRPr="002D4BA3">
              <w:rPr>
                <w:rStyle w:val="Hyperlink"/>
                <w:noProof/>
              </w:rPr>
              <w:t>Adoption Potential</w:t>
            </w:r>
            <w:r>
              <w:rPr>
                <w:noProof/>
                <w:webHidden/>
              </w:rPr>
              <w:tab/>
            </w:r>
            <w:r>
              <w:rPr>
                <w:noProof/>
                <w:webHidden/>
              </w:rPr>
              <w:fldChar w:fldCharType="begin"/>
            </w:r>
            <w:r>
              <w:rPr>
                <w:noProof/>
                <w:webHidden/>
              </w:rPr>
              <w:instrText xml:space="preserve"> PAGEREF _Toc25888662 \h </w:instrText>
            </w:r>
            <w:r>
              <w:rPr>
                <w:noProof/>
                <w:webHidden/>
              </w:rPr>
            </w:r>
            <w:r>
              <w:rPr>
                <w:noProof/>
                <w:webHidden/>
              </w:rPr>
              <w:fldChar w:fldCharType="separate"/>
            </w:r>
            <w:r w:rsidR="00872721">
              <w:rPr>
                <w:noProof/>
                <w:webHidden/>
              </w:rPr>
              <w:t>9</w:t>
            </w:r>
            <w:r>
              <w:rPr>
                <w:noProof/>
                <w:webHidden/>
              </w:rPr>
              <w:fldChar w:fldCharType="end"/>
            </w:r>
          </w:hyperlink>
        </w:p>
        <w:p w14:paraId="2D5CF089" w14:textId="4D97FC8D" w:rsidR="00DA00D3" w:rsidRDefault="00DA00D3">
          <w:pPr>
            <w:pStyle w:val="TOC2"/>
            <w:tabs>
              <w:tab w:val="left" w:pos="880"/>
              <w:tab w:val="right" w:leader="dot" w:pos="9350"/>
            </w:tabs>
            <w:rPr>
              <w:rFonts w:asciiTheme="minorHAnsi" w:hAnsiTheme="minorHAnsi"/>
              <w:noProof/>
              <w:lang w:eastAsia="en-US"/>
            </w:rPr>
          </w:pPr>
          <w:hyperlink w:anchor="_Toc25888663" w:history="1">
            <w:r w:rsidRPr="002D4BA3">
              <w:rPr>
                <w:rStyle w:val="Hyperlink"/>
                <w:noProof/>
              </w:rPr>
              <w:t>1.1.</w:t>
            </w:r>
            <w:r>
              <w:rPr>
                <w:rFonts w:asciiTheme="minorHAnsi" w:hAnsiTheme="minorHAnsi"/>
                <w:noProof/>
                <w:lang w:eastAsia="en-US"/>
              </w:rPr>
              <w:tab/>
            </w:r>
            <w:r w:rsidRPr="002D4BA3">
              <w:rPr>
                <w:rStyle w:val="Hyperlink"/>
                <w:noProof/>
              </w:rPr>
              <w:t>Advantages  and disadvantages of  Perennial Biomass</w:t>
            </w:r>
            <w:r>
              <w:rPr>
                <w:noProof/>
                <w:webHidden/>
              </w:rPr>
              <w:tab/>
            </w:r>
            <w:r>
              <w:rPr>
                <w:noProof/>
                <w:webHidden/>
              </w:rPr>
              <w:fldChar w:fldCharType="begin"/>
            </w:r>
            <w:r>
              <w:rPr>
                <w:noProof/>
                <w:webHidden/>
              </w:rPr>
              <w:instrText xml:space="preserve"> PAGEREF _Toc25888663 \h </w:instrText>
            </w:r>
            <w:r>
              <w:rPr>
                <w:noProof/>
                <w:webHidden/>
              </w:rPr>
            </w:r>
            <w:r>
              <w:rPr>
                <w:noProof/>
                <w:webHidden/>
              </w:rPr>
              <w:fldChar w:fldCharType="separate"/>
            </w:r>
            <w:r w:rsidR="00872721">
              <w:rPr>
                <w:noProof/>
                <w:webHidden/>
              </w:rPr>
              <w:t>9</w:t>
            </w:r>
            <w:r>
              <w:rPr>
                <w:noProof/>
                <w:webHidden/>
              </w:rPr>
              <w:fldChar w:fldCharType="end"/>
            </w:r>
          </w:hyperlink>
        </w:p>
        <w:p w14:paraId="6184744F" w14:textId="27B6BABA" w:rsidR="00DA00D3" w:rsidRDefault="00DA00D3">
          <w:pPr>
            <w:pStyle w:val="TOC3"/>
            <w:tabs>
              <w:tab w:val="right" w:leader="dot" w:pos="9350"/>
            </w:tabs>
            <w:rPr>
              <w:rFonts w:asciiTheme="minorHAnsi" w:hAnsiTheme="minorHAnsi"/>
              <w:noProof/>
              <w:lang w:eastAsia="en-US"/>
            </w:rPr>
          </w:pPr>
          <w:hyperlink w:anchor="_Toc25888664" w:history="1">
            <w:r w:rsidRPr="002D4BA3">
              <w:rPr>
                <w:rStyle w:val="Hyperlink"/>
                <w:noProof/>
              </w:rPr>
              <w:t>Similar Solutions</w:t>
            </w:r>
            <w:r>
              <w:rPr>
                <w:noProof/>
                <w:webHidden/>
              </w:rPr>
              <w:tab/>
            </w:r>
            <w:r>
              <w:rPr>
                <w:noProof/>
                <w:webHidden/>
              </w:rPr>
              <w:fldChar w:fldCharType="begin"/>
            </w:r>
            <w:r>
              <w:rPr>
                <w:noProof/>
                <w:webHidden/>
              </w:rPr>
              <w:instrText xml:space="preserve"> PAGEREF _Toc25888664 \h </w:instrText>
            </w:r>
            <w:r>
              <w:rPr>
                <w:noProof/>
                <w:webHidden/>
              </w:rPr>
            </w:r>
            <w:r>
              <w:rPr>
                <w:noProof/>
                <w:webHidden/>
              </w:rPr>
              <w:fldChar w:fldCharType="separate"/>
            </w:r>
            <w:r w:rsidR="00872721">
              <w:rPr>
                <w:noProof/>
                <w:webHidden/>
              </w:rPr>
              <w:t>11</w:t>
            </w:r>
            <w:r>
              <w:rPr>
                <w:noProof/>
                <w:webHidden/>
              </w:rPr>
              <w:fldChar w:fldCharType="end"/>
            </w:r>
          </w:hyperlink>
        </w:p>
        <w:p w14:paraId="316EF1E9" w14:textId="5D872B14" w:rsidR="00DA00D3" w:rsidRDefault="00DA00D3">
          <w:pPr>
            <w:pStyle w:val="TOC3"/>
            <w:tabs>
              <w:tab w:val="right" w:leader="dot" w:pos="9350"/>
            </w:tabs>
            <w:rPr>
              <w:rFonts w:asciiTheme="minorHAnsi" w:hAnsiTheme="minorHAnsi"/>
              <w:noProof/>
              <w:lang w:eastAsia="en-US"/>
            </w:rPr>
          </w:pPr>
          <w:hyperlink w:anchor="_Toc25888665" w:history="1">
            <w:r w:rsidRPr="002D4BA3">
              <w:rPr>
                <w:rStyle w:val="Hyperlink"/>
                <w:noProof/>
              </w:rPr>
              <w:t>Arguments for Adoption</w:t>
            </w:r>
            <w:r>
              <w:rPr>
                <w:noProof/>
                <w:webHidden/>
              </w:rPr>
              <w:tab/>
            </w:r>
            <w:r>
              <w:rPr>
                <w:noProof/>
                <w:webHidden/>
              </w:rPr>
              <w:fldChar w:fldCharType="begin"/>
            </w:r>
            <w:r>
              <w:rPr>
                <w:noProof/>
                <w:webHidden/>
              </w:rPr>
              <w:instrText xml:space="preserve"> PAGEREF _Toc25888665 \h </w:instrText>
            </w:r>
            <w:r>
              <w:rPr>
                <w:noProof/>
                <w:webHidden/>
              </w:rPr>
            </w:r>
            <w:r>
              <w:rPr>
                <w:noProof/>
                <w:webHidden/>
              </w:rPr>
              <w:fldChar w:fldCharType="separate"/>
            </w:r>
            <w:r w:rsidR="00872721">
              <w:rPr>
                <w:noProof/>
                <w:webHidden/>
              </w:rPr>
              <w:t>11</w:t>
            </w:r>
            <w:r>
              <w:rPr>
                <w:noProof/>
                <w:webHidden/>
              </w:rPr>
              <w:fldChar w:fldCharType="end"/>
            </w:r>
          </w:hyperlink>
        </w:p>
        <w:p w14:paraId="0843511D" w14:textId="19A06D35" w:rsidR="00DA00D3" w:rsidRDefault="00DA00D3">
          <w:pPr>
            <w:pStyle w:val="TOC3"/>
            <w:tabs>
              <w:tab w:val="right" w:leader="dot" w:pos="9350"/>
            </w:tabs>
            <w:rPr>
              <w:rFonts w:asciiTheme="minorHAnsi" w:hAnsiTheme="minorHAnsi"/>
              <w:noProof/>
              <w:lang w:eastAsia="en-US"/>
            </w:rPr>
          </w:pPr>
          <w:hyperlink w:anchor="_Toc25888666" w:history="1">
            <w:r w:rsidRPr="002D4BA3">
              <w:rPr>
                <w:rStyle w:val="Hyperlink"/>
                <w:noProof/>
              </w:rPr>
              <w:t>Additional Benefits and Burdens</w:t>
            </w:r>
            <w:r>
              <w:rPr>
                <w:noProof/>
                <w:webHidden/>
              </w:rPr>
              <w:tab/>
            </w:r>
            <w:r>
              <w:rPr>
                <w:noProof/>
                <w:webHidden/>
              </w:rPr>
              <w:fldChar w:fldCharType="begin"/>
            </w:r>
            <w:r>
              <w:rPr>
                <w:noProof/>
                <w:webHidden/>
              </w:rPr>
              <w:instrText xml:space="preserve"> PAGEREF _Toc25888666 \h </w:instrText>
            </w:r>
            <w:r>
              <w:rPr>
                <w:noProof/>
                <w:webHidden/>
              </w:rPr>
            </w:r>
            <w:r>
              <w:rPr>
                <w:noProof/>
                <w:webHidden/>
              </w:rPr>
              <w:fldChar w:fldCharType="separate"/>
            </w:r>
            <w:r w:rsidR="00872721">
              <w:rPr>
                <w:noProof/>
                <w:webHidden/>
              </w:rPr>
              <w:t>11</w:t>
            </w:r>
            <w:r>
              <w:rPr>
                <w:noProof/>
                <w:webHidden/>
              </w:rPr>
              <w:fldChar w:fldCharType="end"/>
            </w:r>
          </w:hyperlink>
        </w:p>
        <w:p w14:paraId="198B745E" w14:textId="6515B91A" w:rsidR="00DA00D3" w:rsidRDefault="00DA00D3">
          <w:pPr>
            <w:pStyle w:val="TOC1"/>
            <w:tabs>
              <w:tab w:val="left" w:pos="440"/>
              <w:tab w:val="right" w:leader="dot" w:pos="9350"/>
            </w:tabs>
            <w:rPr>
              <w:rFonts w:asciiTheme="minorHAnsi" w:hAnsiTheme="minorHAnsi"/>
              <w:noProof/>
              <w:lang w:eastAsia="en-US"/>
            </w:rPr>
          </w:pPr>
          <w:hyperlink w:anchor="_Toc25888667" w:history="1">
            <w:r w:rsidRPr="002D4BA3">
              <w:rPr>
                <w:rStyle w:val="Hyperlink"/>
                <w:noProof/>
              </w:rPr>
              <w:t>2.</w:t>
            </w:r>
            <w:r>
              <w:rPr>
                <w:rFonts w:asciiTheme="minorHAnsi" w:hAnsiTheme="minorHAnsi"/>
                <w:noProof/>
                <w:lang w:eastAsia="en-US"/>
              </w:rPr>
              <w:tab/>
            </w:r>
            <w:r w:rsidRPr="002D4BA3">
              <w:rPr>
                <w:rStyle w:val="Hyperlink"/>
                <w:noProof/>
              </w:rPr>
              <w:t>Methodology</w:t>
            </w:r>
            <w:r>
              <w:rPr>
                <w:noProof/>
                <w:webHidden/>
              </w:rPr>
              <w:tab/>
            </w:r>
            <w:r>
              <w:rPr>
                <w:noProof/>
                <w:webHidden/>
              </w:rPr>
              <w:fldChar w:fldCharType="begin"/>
            </w:r>
            <w:r>
              <w:rPr>
                <w:noProof/>
                <w:webHidden/>
              </w:rPr>
              <w:instrText xml:space="preserve"> PAGEREF _Toc25888667 \h </w:instrText>
            </w:r>
            <w:r>
              <w:rPr>
                <w:noProof/>
                <w:webHidden/>
              </w:rPr>
            </w:r>
            <w:r>
              <w:rPr>
                <w:noProof/>
                <w:webHidden/>
              </w:rPr>
              <w:fldChar w:fldCharType="separate"/>
            </w:r>
            <w:r w:rsidR="00872721">
              <w:rPr>
                <w:noProof/>
                <w:webHidden/>
              </w:rPr>
              <w:t>13</w:t>
            </w:r>
            <w:r>
              <w:rPr>
                <w:noProof/>
                <w:webHidden/>
              </w:rPr>
              <w:fldChar w:fldCharType="end"/>
            </w:r>
          </w:hyperlink>
        </w:p>
        <w:p w14:paraId="15FC01C8" w14:textId="5F85B403" w:rsidR="00DA00D3" w:rsidRDefault="00DA00D3">
          <w:pPr>
            <w:pStyle w:val="TOC2"/>
            <w:tabs>
              <w:tab w:val="right" w:leader="dot" w:pos="9350"/>
            </w:tabs>
            <w:rPr>
              <w:rFonts w:asciiTheme="minorHAnsi" w:hAnsiTheme="minorHAnsi"/>
              <w:noProof/>
              <w:lang w:eastAsia="en-US"/>
            </w:rPr>
          </w:pPr>
          <w:hyperlink w:anchor="_Toc25888668" w:history="1">
            <w:r w:rsidRPr="002D4BA3">
              <w:rPr>
                <w:rStyle w:val="Hyperlink"/>
                <w:noProof/>
              </w:rPr>
              <w:t>2.1 Introduction</w:t>
            </w:r>
            <w:r>
              <w:rPr>
                <w:noProof/>
                <w:webHidden/>
              </w:rPr>
              <w:tab/>
            </w:r>
            <w:r>
              <w:rPr>
                <w:noProof/>
                <w:webHidden/>
              </w:rPr>
              <w:fldChar w:fldCharType="begin"/>
            </w:r>
            <w:r>
              <w:rPr>
                <w:noProof/>
                <w:webHidden/>
              </w:rPr>
              <w:instrText xml:space="preserve"> PAGEREF _Toc25888668 \h </w:instrText>
            </w:r>
            <w:r>
              <w:rPr>
                <w:noProof/>
                <w:webHidden/>
              </w:rPr>
            </w:r>
            <w:r>
              <w:rPr>
                <w:noProof/>
                <w:webHidden/>
              </w:rPr>
              <w:fldChar w:fldCharType="separate"/>
            </w:r>
            <w:r w:rsidR="00872721">
              <w:rPr>
                <w:noProof/>
                <w:webHidden/>
              </w:rPr>
              <w:t>13</w:t>
            </w:r>
            <w:r>
              <w:rPr>
                <w:noProof/>
                <w:webHidden/>
              </w:rPr>
              <w:fldChar w:fldCharType="end"/>
            </w:r>
          </w:hyperlink>
        </w:p>
        <w:p w14:paraId="7FDD2201" w14:textId="6BF197B2" w:rsidR="00DA00D3" w:rsidRDefault="00DA00D3">
          <w:pPr>
            <w:pStyle w:val="TOC2"/>
            <w:tabs>
              <w:tab w:val="right" w:leader="dot" w:pos="9350"/>
            </w:tabs>
            <w:rPr>
              <w:rFonts w:asciiTheme="minorHAnsi" w:hAnsiTheme="minorHAnsi"/>
              <w:noProof/>
              <w:lang w:eastAsia="en-US"/>
            </w:rPr>
          </w:pPr>
          <w:hyperlink w:anchor="_Toc25888669" w:history="1">
            <w:r w:rsidRPr="002D4BA3">
              <w:rPr>
                <w:rStyle w:val="Hyperlink"/>
                <w:noProof/>
              </w:rPr>
              <w:t>2.2  Data Sources</w:t>
            </w:r>
            <w:r>
              <w:rPr>
                <w:noProof/>
                <w:webHidden/>
              </w:rPr>
              <w:tab/>
            </w:r>
            <w:r>
              <w:rPr>
                <w:noProof/>
                <w:webHidden/>
              </w:rPr>
              <w:fldChar w:fldCharType="begin"/>
            </w:r>
            <w:r>
              <w:rPr>
                <w:noProof/>
                <w:webHidden/>
              </w:rPr>
              <w:instrText xml:space="preserve"> PAGEREF _Toc25888669 \h </w:instrText>
            </w:r>
            <w:r>
              <w:rPr>
                <w:noProof/>
                <w:webHidden/>
              </w:rPr>
            </w:r>
            <w:r>
              <w:rPr>
                <w:noProof/>
                <w:webHidden/>
              </w:rPr>
              <w:fldChar w:fldCharType="separate"/>
            </w:r>
            <w:r w:rsidR="00872721">
              <w:rPr>
                <w:noProof/>
                <w:webHidden/>
              </w:rPr>
              <w:t>13</w:t>
            </w:r>
            <w:r>
              <w:rPr>
                <w:noProof/>
                <w:webHidden/>
              </w:rPr>
              <w:fldChar w:fldCharType="end"/>
            </w:r>
          </w:hyperlink>
        </w:p>
        <w:p w14:paraId="616E8416" w14:textId="2261205D" w:rsidR="00DA00D3" w:rsidRDefault="00DA00D3">
          <w:pPr>
            <w:pStyle w:val="TOC2"/>
            <w:tabs>
              <w:tab w:val="right" w:leader="dot" w:pos="9350"/>
            </w:tabs>
            <w:rPr>
              <w:rFonts w:asciiTheme="minorHAnsi" w:hAnsiTheme="minorHAnsi"/>
              <w:noProof/>
              <w:lang w:eastAsia="en-US"/>
            </w:rPr>
          </w:pPr>
          <w:hyperlink w:anchor="_Toc25888670" w:history="1">
            <w:r w:rsidRPr="002D4BA3">
              <w:rPr>
                <w:rStyle w:val="Hyperlink"/>
                <w:noProof/>
              </w:rPr>
              <w:t>2.3 Total Available Land</w:t>
            </w:r>
            <w:r>
              <w:rPr>
                <w:noProof/>
                <w:webHidden/>
              </w:rPr>
              <w:tab/>
            </w:r>
            <w:r>
              <w:rPr>
                <w:noProof/>
                <w:webHidden/>
              </w:rPr>
              <w:fldChar w:fldCharType="begin"/>
            </w:r>
            <w:r>
              <w:rPr>
                <w:noProof/>
                <w:webHidden/>
              </w:rPr>
              <w:instrText xml:space="preserve"> PAGEREF _Toc25888670 \h </w:instrText>
            </w:r>
            <w:r>
              <w:rPr>
                <w:noProof/>
                <w:webHidden/>
              </w:rPr>
            </w:r>
            <w:r>
              <w:rPr>
                <w:noProof/>
                <w:webHidden/>
              </w:rPr>
              <w:fldChar w:fldCharType="separate"/>
            </w:r>
            <w:r w:rsidR="00872721">
              <w:rPr>
                <w:noProof/>
                <w:webHidden/>
              </w:rPr>
              <w:t>13</w:t>
            </w:r>
            <w:r>
              <w:rPr>
                <w:noProof/>
                <w:webHidden/>
              </w:rPr>
              <w:fldChar w:fldCharType="end"/>
            </w:r>
          </w:hyperlink>
        </w:p>
        <w:p w14:paraId="67CE266B" w14:textId="7CA13E72" w:rsidR="00DA00D3" w:rsidRDefault="00DA00D3">
          <w:pPr>
            <w:pStyle w:val="TOC2"/>
            <w:tabs>
              <w:tab w:val="left" w:pos="880"/>
              <w:tab w:val="right" w:leader="dot" w:pos="9350"/>
            </w:tabs>
            <w:rPr>
              <w:rFonts w:asciiTheme="minorHAnsi" w:hAnsiTheme="minorHAnsi"/>
              <w:noProof/>
              <w:lang w:eastAsia="en-US"/>
            </w:rPr>
          </w:pPr>
          <w:hyperlink w:anchor="_Toc25888671" w:history="1">
            <w:r w:rsidRPr="002D4BA3">
              <w:rPr>
                <w:rStyle w:val="Hyperlink"/>
                <w:noProof/>
              </w:rPr>
              <w:t>2.3</w:t>
            </w:r>
            <w:r>
              <w:rPr>
                <w:rFonts w:asciiTheme="minorHAnsi" w:hAnsiTheme="minorHAnsi"/>
                <w:noProof/>
                <w:lang w:eastAsia="en-US"/>
              </w:rPr>
              <w:tab/>
            </w:r>
            <w:r w:rsidRPr="002D4BA3">
              <w:rPr>
                <w:rStyle w:val="Hyperlink"/>
                <w:noProof/>
              </w:rPr>
              <w:t>Adoption Scenarios</w:t>
            </w:r>
            <w:r>
              <w:rPr>
                <w:noProof/>
                <w:webHidden/>
              </w:rPr>
              <w:tab/>
            </w:r>
            <w:r>
              <w:rPr>
                <w:noProof/>
                <w:webHidden/>
              </w:rPr>
              <w:fldChar w:fldCharType="begin"/>
            </w:r>
            <w:r>
              <w:rPr>
                <w:noProof/>
                <w:webHidden/>
              </w:rPr>
              <w:instrText xml:space="preserve"> PAGEREF _Toc25888671 \h </w:instrText>
            </w:r>
            <w:r>
              <w:rPr>
                <w:noProof/>
                <w:webHidden/>
              </w:rPr>
            </w:r>
            <w:r>
              <w:rPr>
                <w:noProof/>
                <w:webHidden/>
              </w:rPr>
              <w:fldChar w:fldCharType="separate"/>
            </w:r>
            <w:r w:rsidR="00872721">
              <w:rPr>
                <w:noProof/>
                <w:webHidden/>
              </w:rPr>
              <w:t>14</w:t>
            </w:r>
            <w:r>
              <w:rPr>
                <w:noProof/>
                <w:webHidden/>
              </w:rPr>
              <w:fldChar w:fldCharType="end"/>
            </w:r>
          </w:hyperlink>
        </w:p>
        <w:p w14:paraId="6AA4BC52" w14:textId="1308CB3B" w:rsidR="00DA00D3" w:rsidRDefault="00DA00D3">
          <w:pPr>
            <w:pStyle w:val="TOC3"/>
            <w:tabs>
              <w:tab w:val="right" w:leader="dot" w:pos="9350"/>
            </w:tabs>
            <w:rPr>
              <w:rFonts w:asciiTheme="minorHAnsi" w:hAnsiTheme="minorHAnsi"/>
              <w:noProof/>
              <w:lang w:eastAsia="en-US"/>
            </w:rPr>
          </w:pPr>
          <w:hyperlink w:anchor="_Toc25888672" w:history="1">
            <w:r w:rsidRPr="002D4BA3">
              <w:rPr>
                <w:rStyle w:val="Hyperlink"/>
                <w:noProof/>
              </w:rPr>
              <w:t>Reference Case / Current Adoption</w:t>
            </w:r>
            <w:r>
              <w:rPr>
                <w:noProof/>
                <w:webHidden/>
              </w:rPr>
              <w:tab/>
            </w:r>
            <w:r>
              <w:rPr>
                <w:noProof/>
                <w:webHidden/>
              </w:rPr>
              <w:fldChar w:fldCharType="begin"/>
            </w:r>
            <w:r>
              <w:rPr>
                <w:noProof/>
                <w:webHidden/>
              </w:rPr>
              <w:instrText xml:space="preserve"> PAGEREF _Toc25888672 \h </w:instrText>
            </w:r>
            <w:r>
              <w:rPr>
                <w:noProof/>
                <w:webHidden/>
              </w:rPr>
            </w:r>
            <w:r>
              <w:rPr>
                <w:noProof/>
                <w:webHidden/>
              </w:rPr>
              <w:fldChar w:fldCharType="separate"/>
            </w:r>
            <w:r w:rsidR="00872721">
              <w:rPr>
                <w:noProof/>
                <w:webHidden/>
              </w:rPr>
              <w:t>14</w:t>
            </w:r>
            <w:r>
              <w:rPr>
                <w:noProof/>
                <w:webHidden/>
              </w:rPr>
              <w:fldChar w:fldCharType="end"/>
            </w:r>
          </w:hyperlink>
        </w:p>
        <w:p w14:paraId="4CD993BE" w14:textId="092B627C" w:rsidR="00DA00D3" w:rsidRDefault="00DA00D3">
          <w:pPr>
            <w:pStyle w:val="TOC2"/>
            <w:tabs>
              <w:tab w:val="left" w:pos="880"/>
              <w:tab w:val="right" w:leader="dot" w:pos="9350"/>
            </w:tabs>
            <w:rPr>
              <w:rFonts w:asciiTheme="minorHAnsi" w:hAnsiTheme="minorHAnsi"/>
              <w:noProof/>
              <w:lang w:eastAsia="en-US"/>
            </w:rPr>
          </w:pPr>
          <w:hyperlink w:anchor="_Toc25888673" w:history="1">
            <w:r w:rsidRPr="002D4BA3">
              <w:rPr>
                <w:rStyle w:val="Hyperlink"/>
                <w:noProof/>
              </w:rPr>
              <w:t>2.4</w:t>
            </w:r>
            <w:r>
              <w:rPr>
                <w:rFonts w:asciiTheme="minorHAnsi" w:hAnsiTheme="minorHAnsi"/>
                <w:noProof/>
                <w:lang w:eastAsia="en-US"/>
              </w:rPr>
              <w:tab/>
            </w:r>
            <w:r w:rsidRPr="002D4BA3">
              <w:rPr>
                <w:rStyle w:val="Hyperlink"/>
                <w:noProof/>
              </w:rPr>
              <w:t>Inputs</w:t>
            </w:r>
            <w:r>
              <w:rPr>
                <w:noProof/>
                <w:webHidden/>
              </w:rPr>
              <w:tab/>
            </w:r>
            <w:r>
              <w:rPr>
                <w:noProof/>
                <w:webHidden/>
              </w:rPr>
              <w:fldChar w:fldCharType="begin"/>
            </w:r>
            <w:r>
              <w:rPr>
                <w:noProof/>
                <w:webHidden/>
              </w:rPr>
              <w:instrText xml:space="preserve"> PAGEREF _Toc25888673 \h </w:instrText>
            </w:r>
            <w:r>
              <w:rPr>
                <w:noProof/>
                <w:webHidden/>
              </w:rPr>
            </w:r>
            <w:r>
              <w:rPr>
                <w:noProof/>
                <w:webHidden/>
              </w:rPr>
              <w:fldChar w:fldCharType="separate"/>
            </w:r>
            <w:r w:rsidR="00872721">
              <w:rPr>
                <w:noProof/>
                <w:webHidden/>
              </w:rPr>
              <w:t>15</w:t>
            </w:r>
            <w:r>
              <w:rPr>
                <w:noProof/>
                <w:webHidden/>
              </w:rPr>
              <w:fldChar w:fldCharType="end"/>
            </w:r>
          </w:hyperlink>
        </w:p>
        <w:p w14:paraId="5205C6D3" w14:textId="7255E353" w:rsidR="00DA00D3" w:rsidRDefault="00DA00D3">
          <w:pPr>
            <w:pStyle w:val="TOC3"/>
            <w:tabs>
              <w:tab w:val="right" w:leader="dot" w:pos="9350"/>
            </w:tabs>
            <w:rPr>
              <w:rFonts w:asciiTheme="minorHAnsi" w:hAnsiTheme="minorHAnsi"/>
              <w:noProof/>
              <w:lang w:eastAsia="en-US"/>
            </w:rPr>
          </w:pPr>
          <w:hyperlink w:anchor="_Toc25888674" w:history="1">
            <w:r w:rsidRPr="002D4BA3">
              <w:rPr>
                <w:rStyle w:val="Hyperlink"/>
                <w:noProof/>
              </w:rPr>
              <w:t>Climate Inputs</w:t>
            </w:r>
            <w:r>
              <w:rPr>
                <w:noProof/>
                <w:webHidden/>
              </w:rPr>
              <w:tab/>
            </w:r>
            <w:r>
              <w:rPr>
                <w:noProof/>
                <w:webHidden/>
              </w:rPr>
              <w:fldChar w:fldCharType="begin"/>
            </w:r>
            <w:r>
              <w:rPr>
                <w:noProof/>
                <w:webHidden/>
              </w:rPr>
              <w:instrText xml:space="preserve"> PAGEREF _Toc25888674 \h </w:instrText>
            </w:r>
            <w:r>
              <w:rPr>
                <w:noProof/>
                <w:webHidden/>
              </w:rPr>
            </w:r>
            <w:r>
              <w:rPr>
                <w:noProof/>
                <w:webHidden/>
              </w:rPr>
              <w:fldChar w:fldCharType="separate"/>
            </w:r>
            <w:r w:rsidR="00872721">
              <w:rPr>
                <w:noProof/>
                <w:webHidden/>
              </w:rPr>
              <w:t>15</w:t>
            </w:r>
            <w:r>
              <w:rPr>
                <w:noProof/>
                <w:webHidden/>
              </w:rPr>
              <w:fldChar w:fldCharType="end"/>
            </w:r>
          </w:hyperlink>
        </w:p>
        <w:p w14:paraId="42A96E95" w14:textId="41E223B4" w:rsidR="00DA00D3" w:rsidRDefault="00DA00D3">
          <w:pPr>
            <w:pStyle w:val="TOC3"/>
            <w:tabs>
              <w:tab w:val="right" w:leader="dot" w:pos="9350"/>
            </w:tabs>
            <w:rPr>
              <w:rFonts w:asciiTheme="minorHAnsi" w:hAnsiTheme="minorHAnsi"/>
              <w:noProof/>
              <w:lang w:eastAsia="en-US"/>
            </w:rPr>
          </w:pPr>
          <w:hyperlink w:anchor="_Toc25888675" w:history="1">
            <w:r w:rsidRPr="002D4BA3">
              <w:rPr>
                <w:rStyle w:val="Hyperlink"/>
                <w:noProof/>
              </w:rPr>
              <w:t>Financial Inputs</w:t>
            </w:r>
            <w:r>
              <w:rPr>
                <w:noProof/>
                <w:webHidden/>
              </w:rPr>
              <w:tab/>
            </w:r>
            <w:r>
              <w:rPr>
                <w:noProof/>
                <w:webHidden/>
              </w:rPr>
              <w:fldChar w:fldCharType="begin"/>
            </w:r>
            <w:r>
              <w:rPr>
                <w:noProof/>
                <w:webHidden/>
              </w:rPr>
              <w:instrText xml:space="preserve"> PAGEREF _Toc25888675 \h </w:instrText>
            </w:r>
            <w:r>
              <w:rPr>
                <w:noProof/>
                <w:webHidden/>
              </w:rPr>
            </w:r>
            <w:r>
              <w:rPr>
                <w:noProof/>
                <w:webHidden/>
              </w:rPr>
              <w:fldChar w:fldCharType="separate"/>
            </w:r>
            <w:r w:rsidR="00872721">
              <w:rPr>
                <w:noProof/>
                <w:webHidden/>
              </w:rPr>
              <w:t>17</w:t>
            </w:r>
            <w:r>
              <w:rPr>
                <w:noProof/>
                <w:webHidden/>
              </w:rPr>
              <w:fldChar w:fldCharType="end"/>
            </w:r>
          </w:hyperlink>
        </w:p>
        <w:p w14:paraId="7904337A" w14:textId="2DE1E3FE" w:rsidR="00DA00D3" w:rsidRDefault="00DA00D3">
          <w:pPr>
            <w:pStyle w:val="TOC3"/>
            <w:tabs>
              <w:tab w:val="right" w:leader="dot" w:pos="9350"/>
            </w:tabs>
            <w:rPr>
              <w:rFonts w:asciiTheme="minorHAnsi" w:hAnsiTheme="minorHAnsi"/>
              <w:noProof/>
              <w:lang w:eastAsia="en-US"/>
            </w:rPr>
          </w:pPr>
          <w:hyperlink w:anchor="_Toc25888676" w:history="1">
            <w:r w:rsidRPr="002D4BA3">
              <w:rPr>
                <w:rStyle w:val="Hyperlink"/>
                <w:noProof/>
              </w:rPr>
              <w:t>Yield Inputs</w:t>
            </w:r>
            <w:r>
              <w:rPr>
                <w:noProof/>
                <w:webHidden/>
              </w:rPr>
              <w:tab/>
            </w:r>
            <w:r>
              <w:rPr>
                <w:noProof/>
                <w:webHidden/>
              </w:rPr>
              <w:fldChar w:fldCharType="begin"/>
            </w:r>
            <w:r>
              <w:rPr>
                <w:noProof/>
                <w:webHidden/>
              </w:rPr>
              <w:instrText xml:space="preserve"> PAGEREF _Toc25888676 \h </w:instrText>
            </w:r>
            <w:r>
              <w:rPr>
                <w:noProof/>
                <w:webHidden/>
              </w:rPr>
            </w:r>
            <w:r>
              <w:rPr>
                <w:noProof/>
                <w:webHidden/>
              </w:rPr>
              <w:fldChar w:fldCharType="separate"/>
            </w:r>
            <w:r w:rsidR="00872721">
              <w:rPr>
                <w:noProof/>
                <w:webHidden/>
              </w:rPr>
              <w:t>18</w:t>
            </w:r>
            <w:r>
              <w:rPr>
                <w:noProof/>
                <w:webHidden/>
              </w:rPr>
              <w:fldChar w:fldCharType="end"/>
            </w:r>
          </w:hyperlink>
        </w:p>
        <w:p w14:paraId="3137B7FF" w14:textId="33B441E8" w:rsidR="00DA00D3" w:rsidRDefault="00DA00D3">
          <w:pPr>
            <w:pStyle w:val="TOC2"/>
            <w:tabs>
              <w:tab w:val="left" w:pos="880"/>
              <w:tab w:val="right" w:leader="dot" w:pos="9350"/>
            </w:tabs>
            <w:rPr>
              <w:rFonts w:asciiTheme="minorHAnsi" w:hAnsiTheme="minorHAnsi"/>
              <w:noProof/>
              <w:lang w:eastAsia="en-US"/>
            </w:rPr>
          </w:pPr>
          <w:hyperlink w:anchor="_Toc25888677" w:history="1">
            <w:r w:rsidRPr="002D4BA3">
              <w:rPr>
                <w:rStyle w:val="Hyperlink"/>
                <w:noProof/>
              </w:rPr>
              <w:t>2.5</w:t>
            </w:r>
            <w:r>
              <w:rPr>
                <w:rFonts w:asciiTheme="minorHAnsi" w:hAnsiTheme="minorHAnsi"/>
                <w:noProof/>
                <w:lang w:eastAsia="en-US"/>
              </w:rPr>
              <w:tab/>
            </w:r>
            <w:r w:rsidRPr="002D4BA3">
              <w:rPr>
                <w:rStyle w:val="Hyperlink"/>
                <w:noProof/>
              </w:rPr>
              <w:t>Assumptions</w:t>
            </w:r>
            <w:r>
              <w:rPr>
                <w:noProof/>
                <w:webHidden/>
              </w:rPr>
              <w:tab/>
            </w:r>
            <w:r>
              <w:rPr>
                <w:noProof/>
                <w:webHidden/>
              </w:rPr>
              <w:fldChar w:fldCharType="begin"/>
            </w:r>
            <w:r>
              <w:rPr>
                <w:noProof/>
                <w:webHidden/>
              </w:rPr>
              <w:instrText xml:space="preserve"> PAGEREF _Toc25888677 \h </w:instrText>
            </w:r>
            <w:r>
              <w:rPr>
                <w:noProof/>
                <w:webHidden/>
              </w:rPr>
            </w:r>
            <w:r>
              <w:rPr>
                <w:noProof/>
                <w:webHidden/>
              </w:rPr>
              <w:fldChar w:fldCharType="separate"/>
            </w:r>
            <w:r w:rsidR="00872721">
              <w:rPr>
                <w:noProof/>
                <w:webHidden/>
              </w:rPr>
              <w:t>18</w:t>
            </w:r>
            <w:r>
              <w:rPr>
                <w:noProof/>
                <w:webHidden/>
              </w:rPr>
              <w:fldChar w:fldCharType="end"/>
            </w:r>
          </w:hyperlink>
        </w:p>
        <w:p w14:paraId="419A8209" w14:textId="35F1A17B" w:rsidR="00DA00D3" w:rsidRDefault="00DA00D3">
          <w:pPr>
            <w:pStyle w:val="TOC2"/>
            <w:tabs>
              <w:tab w:val="left" w:pos="880"/>
              <w:tab w:val="right" w:leader="dot" w:pos="9350"/>
            </w:tabs>
            <w:rPr>
              <w:rFonts w:asciiTheme="minorHAnsi" w:hAnsiTheme="minorHAnsi"/>
              <w:noProof/>
              <w:lang w:eastAsia="en-US"/>
            </w:rPr>
          </w:pPr>
          <w:hyperlink w:anchor="_Toc25888678" w:history="1">
            <w:r w:rsidRPr="002D4BA3">
              <w:rPr>
                <w:rStyle w:val="Hyperlink"/>
                <w:noProof/>
              </w:rPr>
              <w:t>2.6</w:t>
            </w:r>
            <w:r>
              <w:rPr>
                <w:rFonts w:asciiTheme="minorHAnsi" w:hAnsiTheme="minorHAnsi"/>
                <w:noProof/>
                <w:lang w:eastAsia="en-US"/>
              </w:rPr>
              <w:tab/>
            </w:r>
            <w:r w:rsidRPr="002D4BA3">
              <w:rPr>
                <w:rStyle w:val="Hyperlink"/>
                <w:noProof/>
              </w:rPr>
              <w:t>Integration</w:t>
            </w:r>
            <w:r>
              <w:rPr>
                <w:noProof/>
                <w:webHidden/>
              </w:rPr>
              <w:tab/>
            </w:r>
            <w:r>
              <w:rPr>
                <w:noProof/>
                <w:webHidden/>
              </w:rPr>
              <w:fldChar w:fldCharType="begin"/>
            </w:r>
            <w:r>
              <w:rPr>
                <w:noProof/>
                <w:webHidden/>
              </w:rPr>
              <w:instrText xml:space="preserve"> PAGEREF _Toc25888678 \h </w:instrText>
            </w:r>
            <w:r>
              <w:rPr>
                <w:noProof/>
                <w:webHidden/>
              </w:rPr>
            </w:r>
            <w:r>
              <w:rPr>
                <w:noProof/>
                <w:webHidden/>
              </w:rPr>
              <w:fldChar w:fldCharType="separate"/>
            </w:r>
            <w:r w:rsidR="00872721">
              <w:rPr>
                <w:noProof/>
                <w:webHidden/>
              </w:rPr>
              <w:t>18</w:t>
            </w:r>
            <w:r>
              <w:rPr>
                <w:noProof/>
                <w:webHidden/>
              </w:rPr>
              <w:fldChar w:fldCharType="end"/>
            </w:r>
          </w:hyperlink>
        </w:p>
        <w:p w14:paraId="5F7B6949" w14:textId="7701E003" w:rsidR="00DA00D3" w:rsidRDefault="00DA00D3">
          <w:pPr>
            <w:pStyle w:val="TOC2"/>
            <w:tabs>
              <w:tab w:val="left" w:pos="880"/>
              <w:tab w:val="right" w:leader="dot" w:pos="9350"/>
            </w:tabs>
            <w:rPr>
              <w:rFonts w:asciiTheme="minorHAnsi" w:hAnsiTheme="minorHAnsi"/>
              <w:noProof/>
              <w:lang w:eastAsia="en-US"/>
            </w:rPr>
          </w:pPr>
          <w:hyperlink w:anchor="_Toc25888679" w:history="1">
            <w:r w:rsidRPr="002D4BA3">
              <w:rPr>
                <w:rStyle w:val="Hyperlink"/>
                <w:noProof/>
              </w:rPr>
              <w:t>2.7</w:t>
            </w:r>
            <w:r>
              <w:rPr>
                <w:rFonts w:asciiTheme="minorHAnsi" w:hAnsiTheme="minorHAnsi"/>
                <w:noProof/>
                <w:lang w:eastAsia="en-US"/>
              </w:rPr>
              <w:tab/>
            </w:r>
            <w:r w:rsidRPr="002D4BA3">
              <w:rPr>
                <w:rStyle w:val="Hyperlink"/>
                <w:noProof/>
              </w:rPr>
              <w:t>Limitations/Further Development</w:t>
            </w:r>
            <w:r>
              <w:rPr>
                <w:noProof/>
                <w:webHidden/>
              </w:rPr>
              <w:tab/>
            </w:r>
            <w:r>
              <w:rPr>
                <w:noProof/>
                <w:webHidden/>
              </w:rPr>
              <w:fldChar w:fldCharType="begin"/>
            </w:r>
            <w:r>
              <w:rPr>
                <w:noProof/>
                <w:webHidden/>
              </w:rPr>
              <w:instrText xml:space="preserve"> PAGEREF _Toc25888679 \h </w:instrText>
            </w:r>
            <w:r>
              <w:rPr>
                <w:noProof/>
                <w:webHidden/>
              </w:rPr>
            </w:r>
            <w:r>
              <w:rPr>
                <w:noProof/>
                <w:webHidden/>
              </w:rPr>
              <w:fldChar w:fldCharType="separate"/>
            </w:r>
            <w:r w:rsidR="00872721">
              <w:rPr>
                <w:noProof/>
                <w:webHidden/>
              </w:rPr>
              <w:t>21</w:t>
            </w:r>
            <w:r>
              <w:rPr>
                <w:noProof/>
                <w:webHidden/>
              </w:rPr>
              <w:fldChar w:fldCharType="end"/>
            </w:r>
          </w:hyperlink>
        </w:p>
        <w:p w14:paraId="1C830371" w14:textId="61F6C9C8" w:rsidR="00DA00D3" w:rsidRDefault="00DA00D3">
          <w:pPr>
            <w:pStyle w:val="TOC1"/>
            <w:tabs>
              <w:tab w:val="left" w:pos="440"/>
              <w:tab w:val="right" w:leader="dot" w:pos="9350"/>
            </w:tabs>
            <w:rPr>
              <w:rFonts w:asciiTheme="minorHAnsi" w:hAnsiTheme="minorHAnsi"/>
              <w:noProof/>
              <w:lang w:eastAsia="en-US"/>
            </w:rPr>
          </w:pPr>
          <w:hyperlink w:anchor="_Toc25888680" w:history="1">
            <w:r w:rsidRPr="002D4BA3">
              <w:rPr>
                <w:rStyle w:val="Hyperlink"/>
                <w:noProof/>
              </w:rPr>
              <w:t>3.</w:t>
            </w:r>
            <w:r>
              <w:rPr>
                <w:rFonts w:asciiTheme="minorHAnsi" w:hAnsiTheme="minorHAnsi"/>
                <w:noProof/>
                <w:lang w:eastAsia="en-US"/>
              </w:rPr>
              <w:tab/>
            </w:r>
            <w:r w:rsidRPr="002D4BA3">
              <w:rPr>
                <w:rStyle w:val="Hyperlink"/>
                <w:noProof/>
              </w:rPr>
              <w:t>Results</w:t>
            </w:r>
            <w:r>
              <w:rPr>
                <w:noProof/>
                <w:webHidden/>
              </w:rPr>
              <w:tab/>
            </w:r>
            <w:r>
              <w:rPr>
                <w:noProof/>
                <w:webHidden/>
              </w:rPr>
              <w:fldChar w:fldCharType="begin"/>
            </w:r>
            <w:r>
              <w:rPr>
                <w:noProof/>
                <w:webHidden/>
              </w:rPr>
              <w:instrText xml:space="preserve"> PAGEREF _Toc25888680 \h </w:instrText>
            </w:r>
            <w:r>
              <w:rPr>
                <w:noProof/>
                <w:webHidden/>
              </w:rPr>
            </w:r>
            <w:r>
              <w:rPr>
                <w:noProof/>
                <w:webHidden/>
              </w:rPr>
              <w:fldChar w:fldCharType="separate"/>
            </w:r>
            <w:r w:rsidR="00872721">
              <w:rPr>
                <w:noProof/>
                <w:webHidden/>
              </w:rPr>
              <w:t>21</w:t>
            </w:r>
            <w:r>
              <w:rPr>
                <w:noProof/>
                <w:webHidden/>
              </w:rPr>
              <w:fldChar w:fldCharType="end"/>
            </w:r>
          </w:hyperlink>
        </w:p>
        <w:p w14:paraId="6927CB6F" w14:textId="69DA8B1B" w:rsidR="00DA00D3" w:rsidRDefault="00DA00D3">
          <w:pPr>
            <w:pStyle w:val="TOC2"/>
            <w:tabs>
              <w:tab w:val="left" w:pos="880"/>
              <w:tab w:val="right" w:leader="dot" w:pos="9350"/>
            </w:tabs>
            <w:rPr>
              <w:rFonts w:asciiTheme="minorHAnsi" w:hAnsiTheme="minorHAnsi"/>
              <w:noProof/>
              <w:lang w:eastAsia="en-US"/>
            </w:rPr>
          </w:pPr>
          <w:hyperlink w:anchor="_Toc25888681" w:history="1">
            <w:r w:rsidRPr="002D4BA3">
              <w:rPr>
                <w:rStyle w:val="Hyperlink"/>
                <w:noProof/>
              </w:rPr>
              <w:t>3.1</w:t>
            </w:r>
            <w:r>
              <w:rPr>
                <w:rFonts w:asciiTheme="minorHAnsi" w:hAnsiTheme="minorHAnsi"/>
                <w:noProof/>
                <w:lang w:eastAsia="en-US"/>
              </w:rPr>
              <w:tab/>
            </w:r>
            <w:r w:rsidRPr="002D4BA3">
              <w:rPr>
                <w:rStyle w:val="Hyperlink"/>
                <w:noProof/>
              </w:rPr>
              <w:t>Adoption</w:t>
            </w:r>
            <w:r>
              <w:rPr>
                <w:noProof/>
                <w:webHidden/>
              </w:rPr>
              <w:tab/>
            </w:r>
            <w:r>
              <w:rPr>
                <w:noProof/>
                <w:webHidden/>
              </w:rPr>
              <w:fldChar w:fldCharType="begin"/>
            </w:r>
            <w:r>
              <w:rPr>
                <w:noProof/>
                <w:webHidden/>
              </w:rPr>
              <w:instrText xml:space="preserve"> PAGEREF _Toc25888681 \h </w:instrText>
            </w:r>
            <w:r>
              <w:rPr>
                <w:noProof/>
                <w:webHidden/>
              </w:rPr>
            </w:r>
            <w:r>
              <w:rPr>
                <w:noProof/>
                <w:webHidden/>
              </w:rPr>
              <w:fldChar w:fldCharType="separate"/>
            </w:r>
            <w:r w:rsidR="00872721">
              <w:rPr>
                <w:noProof/>
                <w:webHidden/>
              </w:rPr>
              <w:t>21</w:t>
            </w:r>
            <w:r>
              <w:rPr>
                <w:noProof/>
                <w:webHidden/>
              </w:rPr>
              <w:fldChar w:fldCharType="end"/>
            </w:r>
          </w:hyperlink>
        </w:p>
        <w:p w14:paraId="36B442CF" w14:textId="21D8284A" w:rsidR="00DA00D3" w:rsidRDefault="00DA00D3">
          <w:pPr>
            <w:pStyle w:val="TOC2"/>
            <w:tabs>
              <w:tab w:val="left" w:pos="880"/>
              <w:tab w:val="right" w:leader="dot" w:pos="9350"/>
            </w:tabs>
            <w:rPr>
              <w:rFonts w:asciiTheme="minorHAnsi" w:hAnsiTheme="minorHAnsi"/>
              <w:noProof/>
              <w:lang w:eastAsia="en-US"/>
            </w:rPr>
          </w:pPr>
          <w:hyperlink w:anchor="_Toc25888682" w:history="1">
            <w:r w:rsidRPr="002D4BA3">
              <w:rPr>
                <w:rStyle w:val="Hyperlink"/>
                <w:noProof/>
              </w:rPr>
              <w:t>3.2</w:t>
            </w:r>
            <w:r>
              <w:rPr>
                <w:rFonts w:asciiTheme="minorHAnsi" w:hAnsiTheme="minorHAnsi"/>
                <w:noProof/>
                <w:lang w:eastAsia="en-US"/>
              </w:rPr>
              <w:tab/>
            </w:r>
            <w:r w:rsidRPr="002D4BA3">
              <w:rPr>
                <w:rStyle w:val="Hyperlink"/>
                <w:noProof/>
              </w:rPr>
              <w:t>Climate Impacts</w:t>
            </w:r>
            <w:r>
              <w:rPr>
                <w:noProof/>
                <w:webHidden/>
              </w:rPr>
              <w:tab/>
            </w:r>
            <w:r>
              <w:rPr>
                <w:noProof/>
                <w:webHidden/>
              </w:rPr>
              <w:fldChar w:fldCharType="begin"/>
            </w:r>
            <w:r>
              <w:rPr>
                <w:noProof/>
                <w:webHidden/>
              </w:rPr>
              <w:instrText xml:space="preserve"> PAGEREF _Toc25888682 \h </w:instrText>
            </w:r>
            <w:r>
              <w:rPr>
                <w:noProof/>
                <w:webHidden/>
              </w:rPr>
            </w:r>
            <w:r>
              <w:rPr>
                <w:noProof/>
                <w:webHidden/>
              </w:rPr>
              <w:fldChar w:fldCharType="separate"/>
            </w:r>
            <w:r w:rsidR="00872721">
              <w:rPr>
                <w:noProof/>
                <w:webHidden/>
              </w:rPr>
              <w:t>23</w:t>
            </w:r>
            <w:r>
              <w:rPr>
                <w:noProof/>
                <w:webHidden/>
              </w:rPr>
              <w:fldChar w:fldCharType="end"/>
            </w:r>
          </w:hyperlink>
        </w:p>
        <w:p w14:paraId="3C73BEBD" w14:textId="7F476132" w:rsidR="00DA00D3" w:rsidRDefault="00DA00D3">
          <w:pPr>
            <w:pStyle w:val="TOC2"/>
            <w:tabs>
              <w:tab w:val="left" w:pos="880"/>
              <w:tab w:val="right" w:leader="dot" w:pos="9350"/>
            </w:tabs>
            <w:rPr>
              <w:rFonts w:asciiTheme="minorHAnsi" w:hAnsiTheme="minorHAnsi"/>
              <w:noProof/>
              <w:lang w:eastAsia="en-US"/>
            </w:rPr>
          </w:pPr>
          <w:hyperlink w:anchor="_Toc25888683" w:history="1">
            <w:r w:rsidRPr="002D4BA3">
              <w:rPr>
                <w:rStyle w:val="Hyperlink"/>
                <w:noProof/>
              </w:rPr>
              <w:t>3.3</w:t>
            </w:r>
            <w:r>
              <w:rPr>
                <w:rFonts w:asciiTheme="minorHAnsi" w:hAnsiTheme="minorHAnsi"/>
                <w:noProof/>
                <w:lang w:eastAsia="en-US"/>
              </w:rPr>
              <w:tab/>
            </w:r>
            <w:r w:rsidRPr="002D4BA3">
              <w:rPr>
                <w:rStyle w:val="Hyperlink"/>
                <w:noProof/>
              </w:rPr>
              <w:t>Financial Impacts</w:t>
            </w:r>
            <w:r>
              <w:rPr>
                <w:noProof/>
                <w:webHidden/>
              </w:rPr>
              <w:tab/>
            </w:r>
            <w:r>
              <w:rPr>
                <w:noProof/>
                <w:webHidden/>
              </w:rPr>
              <w:fldChar w:fldCharType="begin"/>
            </w:r>
            <w:r>
              <w:rPr>
                <w:noProof/>
                <w:webHidden/>
              </w:rPr>
              <w:instrText xml:space="preserve"> PAGEREF _Toc25888683 \h </w:instrText>
            </w:r>
            <w:r>
              <w:rPr>
                <w:noProof/>
                <w:webHidden/>
              </w:rPr>
            </w:r>
            <w:r>
              <w:rPr>
                <w:noProof/>
                <w:webHidden/>
              </w:rPr>
              <w:fldChar w:fldCharType="separate"/>
            </w:r>
            <w:r w:rsidR="00872721">
              <w:rPr>
                <w:noProof/>
                <w:webHidden/>
              </w:rPr>
              <w:t>25</w:t>
            </w:r>
            <w:r>
              <w:rPr>
                <w:noProof/>
                <w:webHidden/>
              </w:rPr>
              <w:fldChar w:fldCharType="end"/>
            </w:r>
          </w:hyperlink>
        </w:p>
        <w:p w14:paraId="3F6933B3" w14:textId="7C5EDD19" w:rsidR="00DA00D3" w:rsidRDefault="00DA00D3">
          <w:pPr>
            <w:pStyle w:val="TOC1"/>
            <w:tabs>
              <w:tab w:val="left" w:pos="440"/>
              <w:tab w:val="right" w:leader="dot" w:pos="9350"/>
            </w:tabs>
            <w:rPr>
              <w:rFonts w:asciiTheme="minorHAnsi" w:hAnsiTheme="minorHAnsi"/>
              <w:noProof/>
              <w:lang w:eastAsia="en-US"/>
            </w:rPr>
          </w:pPr>
          <w:hyperlink w:anchor="_Toc25888684" w:history="1">
            <w:r w:rsidRPr="002D4BA3">
              <w:rPr>
                <w:rStyle w:val="Hyperlink"/>
                <w:noProof/>
              </w:rPr>
              <w:t>4.</w:t>
            </w:r>
            <w:r>
              <w:rPr>
                <w:rFonts w:asciiTheme="minorHAnsi" w:hAnsiTheme="minorHAnsi"/>
                <w:noProof/>
                <w:lang w:eastAsia="en-US"/>
              </w:rPr>
              <w:tab/>
            </w:r>
            <w:r w:rsidRPr="002D4BA3">
              <w:rPr>
                <w:rStyle w:val="Hyperlink"/>
                <w:noProof/>
              </w:rPr>
              <w:t>Discussion</w:t>
            </w:r>
            <w:r>
              <w:rPr>
                <w:noProof/>
                <w:webHidden/>
              </w:rPr>
              <w:tab/>
            </w:r>
            <w:r>
              <w:rPr>
                <w:noProof/>
                <w:webHidden/>
              </w:rPr>
              <w:fldChar w:fldCharType="begin"/>
            </w:r>
            <w:r>
              <w:rPr>
                <w:noProof/>
                <w:webHidden/>
              </w:rPr>
              <w:instrText xml:space="preserve"> PAGEREF _Toc25888684 \h </w:instrText>
            </w:r>
            <w:r>
              <w:rPr>
                <w:noProof/>
                <w:webHidden/>
              </w:rPr>
            </w:r>
            <w:r>
              <w:rPr>
                <w:noProof/>
                <w:webHidden/>
              </w:rPr>
              <w:fldChar w:fldCharType="separate"/>
            </w:r>
            <w:r w:rsidR="00872721">
              <w:rPr>
                <w:noProof/>
                <w:webHidden/>
              </w:rPr>
              <w:t>27</w:t>
            </w:r>
            <w:r>
              <w:rPr>
                <w:noProof/>
                <w:webHidden/>
              </w:rPr>
              <w:fldChar w:fldCharType="end"/>
            </w:r>
          </w:hyperlink>
        </w:p>
        <w:p w14:paraId="41F1281A" w14:textId="010E948B" w:rsidR="00DA00D3" w:rsidRDefault="00DA00D3">
          <w:pPr>
            <w:pStyle w:val="TOC2"/>
            <w:tabs>
              <w:tab w:val="right" w:leader="dot" w:pos="9350"/>
            </w:tabs>
            <w:rPr>
              <w:rFonts w:asciiTheme="minorHAnsi" w:hAnsiTheme="minorHAnsi"/>
              <w:noProof/>
              <w:lang w:eastAsia="en-US"/>
            </w:rPr>
          </w:pPr>
          <w:hyperlink w:anchor="_Toc25888685" w:history="1">
            <w:r w:rsidRPr="002D4BA3">
              <w:rPr>
                <w:rStyle w:val="Hyperlink"/>
                <w:noProof/>
              </w:rPr>
              <w:t>4.1 Limitations</w:t>
            </w:r>
            <w:r>
              <w:rPr>
                <w:noProof/>
                <w:webHidden/>
              </w:rPr>
              <w:tab/>
            </w:r>
            <w:r>
              <w:rPr>
                <w:noProof/>
                <w:webHidden/>
              </w:rPr>
              <w:fldChar w:fldCharType="begin"/>
            </w:r>
            <w:r>
              <w:rPr>
                <w:noProof/>
                <w:webHidden/>
              </w:rPr>
              <w:instrText xml:space="preserve"> PAGEREF _Toc25888685 \h </w:instrText>
            </w:r>
            <w:r>
              <w:rPr>
                <w:noProof/>
                <w:webHidden/>
              </w:rPr>
            </w:r>
            <w:r>
              <w:rPr>
                <w:noProof/>
                <w:webHidden/>
              </w:rPr>
              <w:fldChar w:fldCharType="separate"/>
            </w:r>
            <w:r w:rsidR="00872721">
              <w:rPr>
                <w:noProof/>
                <w:webHidden/>
              </w:rPr>
              <w:t>27</w:t>
            </w:r>
            <w:r>
              <w:rPr>
                <w:noProof/>
                <w:webHidden/>
              </w:rPr>
              <w:fldChar w:fldCharType="end"/>
            </w:r>
          </w:hyperlink>
        </w:p>
        <w:p w14:paraId="5B9C51A0" w14:textId="74D578FB" w:rsidR="00DA00D3" w:rsidRDefault="00DA00D3">
          <w:pPr>
            <w:pStyle w:val="TOC2"/>
            <w:tabs>
              <w:tab w:val="right" w:leader="dot" w:pos="9350"/>
            </w:tabs>
            <w:rPr>
              <w:rFonts w:asciiTheme="minorHAnsi" w:hAnsiTheme="minorHAnsi"/>
              <w:noProof/>
              <w:lang w:eastAsia="en-US"/>
            </w:rPr>
          </w:pPr>
          <w:hyperlink w:anchor="_Toc25888686" w:history="1">
            <w:r w:rsidRPr="002D4BA3">
              <w:rPr>
                <w:rStyle w:val="Hyperlink"/>
                <w:noProof/>
              </w:rPr>
              <w:t>4.2 Benchmarks</w:t>
            </w:r>
            <w:r>
              <w:rPr>
                <w:noProof/>
                <w:webHidden/>
              </w:rPr>
              <w:tab/>
            </w:r>
            <w:r>
              <w:rPr>
                <w:noProof/>
                <w:webHidden/>
              </w:rPr>
              <w:fldChar w:fldCharType="begin"/>
            </w:r>
            <w:r>
              <w:rPr>
                <w:noProof/>
                <w:webHidden/>
              </w:rPr>
              <w:instrText xml:space="preserve"> PAGEREF _Toc25888686 \h </w:instrText>
            </w:r>
            <w:r>
              <w:rPr>
                <w:noProof/>
                <w:webHidden/>
              </w:rPr>
            </w:r>
            <w:r>
              <w:rPr>
                <w:noProof/>
                <w:webHidden/>
              </w:rPr>
              <w:fldChar w:fldCharType="separate"/>
            </w:r>
            <w:r w:rsidR="00872721">
              <w:rPr>
                <w:noProof/>
                <w:webHidden/>
              </w:rPr>
              <w:t>27</w:t>
            </w:r>
            <w:r>
              <w:rPr>
                <w:noProof/>
                <w:webHidden/>
              </w:rPr>
              <w:fldChar w:fldCharType="end"/>
            </w:r>
          </w:hyperlink>
        </w:p>
        <w:p w14:paraId="16F43B59" w14:textId="5A3E386C" w:rsidR="00DA00D3" w:rsidRDefault="00DA00D3">
          <w:pPr>
            <w:pStyle w:val="TOC1"/>
            <w:tabs>
              <w:tab w:val="left" w:pos="440"/>
              <w:tab w:val="right" w:leader="dot" w:pos="9350"/>
            </w:tabs>
            <w:rPr>
              <w:rFonts w:asciiTheme="minorHAnsi" w:hAnsiTheme="minorHAnsi"/>
              <w:noProof/>
              <w:lang w:eastAsia="en-US"/>
            </w:rPr>
          </w:pPr>
          <w:hyperlink w:anchor="_Toc25888687" w:history="1">
            <w:r w:rsidRPr="002D4BA3">
              <w:rPr>
                <w:rStyle w:val="Hyperlink"/>
                <w:noProof/>
              </w:rPr>
              <w:t>5.</w:t>
            </w:r>
            <w:r>
              <w:rPr>
                <w:rFonts w:asciiTheme="minorHAnsi" w:hAnsiTheme="minorHAnsi"/>
                <w:noProof/>
                <w:lang w:eastAsia="en-US"/>
              </w:rPr>
              <w:tab/>
            </w:r>
            <w:r w:rsidRPr="002D4BA3">
              <w:rPr>
                <w:rStyle w:val="Hyperlink"/>
                <w:noProof/>
              </w:rPr>
              <w:t>References</w:t>
            </w:r>
            <w:r>
              <w:rPr>
                <w:noProof/>
                <w:webHidden/>
              </w:rPr>
              <w:tab/>
            </w:r>
            <w:r>
              <w:rPr>
                <w:noProof/>
                <w:webHidden/>
              </w:rPr>
              <w:fldChar w:fldCharType="begin"/>
            </w:r>
            <w:r>
              <w:rPr>
                <w:noProof/>
                <w:webHidden/>
              </w:rPr>
              <w:instrText xml:space="preserve"> PAGEREF _Toc25888687 \h </w:instrText>
            </w:r>
            <w:r>
              <w:rPr>
                <w:noProof/>
                <w:webHidden/>
              </w:rPr>
            </w:r>
            <w:r>
              <w:rPr>
                <w:noProof/>
                <w:webHidden/>
              </w:rPr>
              <w:fldChar w:fldCharType="separate"/>
            </w:r>
            <w:r w:rsidR="00872721">
              <w:rPr>
                <w:noProof/>
                <w:webHidden/>
              </w:rPr>
              <w:t>28</w:t>
            </w:r>
            <w:r>
              <w:rPr>
                <w:noProof/>
                <w:webHidden/>
              </w:rPr>
              <w:fldChar w:fldCharType="end"/>
            </w:r>
          </w:hyperlink>
        </w:p>
        <w:p w14:paraId="32957F1A" w14:textId="58BBE9B3" w:rsidR="00DA00D3" w:rsidRDefault="00DA00D3">
          <w:pPr>
            <w:pStyle w:val="TOC1"/>
            <w:tabs>
              <w:tab w:val="left" w:pos="440"/>
              <w:tab w:val="right" w:leader="dot" w:pos="9350"/>
            </w:tabs>
            <w:rPr>
              <w:rFonts w:asciiTheme="minorHAnsi" w:hAnsiTheme="minorHAnsi"/>
              <w:noProof/>
              <w:lang w:eastAsia="en-US"/>
            </w:rPr>
          </w:pPr>
          <w:hyperlink w:anchor="_Toc25888688" w:history="1">
            <w:r w:rsidRPr="002D4BA3">
              <w:rPr>
                <w:rStyle w:val="Hyperlink"/>
                <w:noProof/>
              </w:rPr>
              <w:t>6.</w:t>
            </w:r>
            <w:r>
              <w:rPr>
                <w:rFonts w:asciiTheme="minorHAnsi" w:hAnsiTheme="minorHAnsi"/>
                <w:noProof/>
                <w:lang w:eastAsia="en-US"/>
              </w:rPr>
              <w:tab/>
            </w:r>
            <w:r w:rsidRPr="002D4BA3">
              <w:rPr>
                <w:rStyle w:val="Hyperlink"/>
                <w:noProof/>
              </w:rPr>
              <w:t>Glossary</w:t>
            </w:r>
            <w:r>
              <w:rPr>
                <w:noProof/>
                <w:webHidden/>
              </w:rPr>
              <w:tab/>
            </w:r>
            <w:r>
              <w:rPr>
                <w:noProof/>
                <w:webHidden/>
              </w:rPr>
              <w:fldChar w:fldCharType="begin"/>
            </w:r>
            <w:r>
              <w:rPr>
                <w:noProof/>
                <w:webHidden/>
              </w:rPr>
              <w:instrText xml:space="preserve"> PAGEREF _Toc25888688 \h </w:instrText>
            </w:r>
            <w:r>
              <w:rPr>
                <w:noProof/>
                <w:webHidden/>
              </w:rPr>
            </w:r>
            <w:r>
              <w:rPr>
                <w:noProof/>
                <w:webHidden/>
              </w:rPr>
              <w:fldChar w:fldCharType="separate"/>
            </w:r>
            <w:r w:rsidR="00872721">
              <w:rPr>
                <w:noProof/>
                <w:webHidden/>
              </w:rPr>
              <w:t>30</w:t>
            </w:r>
            <w:r>
              <w:rPr>
                <w:noProof/>
                <w:webHidden/>
              </w:rPr>
              <w:fldChar w:fldCharType="end"/>
            </w:r>
          </w:hyperlink>
        </w:p>
        <w:p w14:paraId="1807CE9C" w14:textId="2C39E402" w:rsidR="00485FB2" w:rsidRDefault="00485FB2">
          <w:r>
            <w:rPr>
              <w:b/>
              <w:bCs/>
              <w:noProof/>
            </w:rPr>
            <w:fldChar w:fldCharType="end"/>
          </w:r>
        </w:p>
      </w:sdtContent>
    </w:sdt>
    <w:p w14:paraId="1827C10C" w14:textId="3B09BCA5" w:rsidR="00F15AEE" w:rsidRDefault="00F15AEE" w:rsidP="00BF56E5">
      <w:pPr>
        <w:spacing w:after="0"/>
      </w:pPr>
      <w:r>
        <w:br w:type="page"/>
      </w:r>
    </w:p>
    <w:p w14:paraId="325B3971" w14:textId="673DD9F4" w:rsidR="2D56E7D4" w:rsidRDefault="00C23CAC" w:rsidP="0047117A">
      <w:pPr>
        <w:pStyle w:val="Heading1"/>
        <w:numPr>
          <w:ilvl w:val="0"/>
          <w:numId w:val="0"/>
        </w:numPr>
        <w:rPr>
          <w:noProof/>
        </w:rPr>
      </w:pPr>
      <w:bookmarkStart w:id="2" w:name="_Toc25888654"/>
      <w:r>
        <w:rPr>
          <w:noProof/>
        </w:rPr>
        <w:lastRenderedPageBreak/>
        <w:t xml:space="preserve">List of </w:t>
      </w:r>
      <w:r w:rsidR="2D56E7D4" w:rsidRPr="2D56E7D4">
        <w:rPr>
          <w:noProof/>
        </w:rPr>
        <w:t>Figures</w:t>
      </w:r>
      <w:bookmarkEnd w:id="2"/>
    </w:p>
    <w:p w14:paraId="205C286A" w14:textId="43C564A5" w:rsidR="006B54F1" w:rsidRDefault="00F15AEE">
      <w:pPr>
        <w:pStyle w:val="TableofFigures"/>
        <w:tabs>
          <w:tab w:val="right" w:leader="dot" w:pos="9350"/>
        </w:tabs>
        <w:rPr>
          <w:rFonts w:asciiTheme="minorHAnsi" w:hAnsiTheme="minorHAnsi"/>
          <w:noProof/>
          <w:lang w:eastAsia="en-US"/>
        </w:rPr>
      </w:pPr>
      <w:r w:rsidRPr="00CA4AAD">
        <w:rPr>
          <w:highlight w:val="yellow"/>
        </w:rPr>
        <w:fldChar w:fldCharType="begin"/>
      </w:r>
      <w:r w:rsidRPr="00CA4AAD">
        <w:rPr>
          <w:highlight w:val="yellow"/>
        </w:rPr>
        <w:instrText xml:space="preserve"> TOC \h \z \c "Figure" </w:instrText>
      </w:r>
      <w:r w:rsidRPr="00CA4AAD">
        <w:rPr>
          <w:highlight w:val="yellow"/>
        </w:rPr>
        <w:fldChar w:fldCharType="separate"/>
      </w:r>
      <w:hyperlink w:anchor="_Toc18444702" w:history="1">
        <w:r w:rsidR="006B54F1" w:rsidRPr="00AB7F2F">
          <w:rPr>
            <w:rStyle w:val="Hyperlink"/>
            <w:noProof/>
          </w:rPr>
          <w:t>Figure 3.1:World Annual Adoption 2020-2050 in Mha (a) and as a percentage of TLA (b)</w:t>
        </w:r>
        <w:r w:rsidR="006B54F1">
          <w:rPr>
            <w:noProof/>
            <w:webHidden/>
          </w:rPr>
          <w:tab/>
        </w:r>
        <w:r w:rsidR="006B54F1">
          <w:rPr>
            <w:noProof/>
            <w:webHidden/>
          </w:rPr>
          <w:fldChar w:fldCharType="begin"/>
        </w:r>
        <w:r w:rsidR="006B54F1">
          <w:rPr>
            <w:noProof/>
            <w:webHidden/>
          </w:rPr>
          <w:instrText xml:space="preserve"> PAGEREF _Toc18444702 \h </w:instrText>
        </w:r>
        <w:r w:rsidR="006B54F1">
          <w:rPr>
            <w:noProof/>
            <w:webHidden/>
          </w:rPr>
        </w:r>
        <w:r w:rsidR="006B54F1">
          <w:rPr>
            <w:noProof/>
            <w:webHidden/>
          </w:rPr>
          <w:fldChar w:fldCharType="separate"/>
        </w:r>
        <w:r w:rsidR="00872721">
          <w:rPr>
            <w:noProof/>
            <w:webHidden/>
          </w:rPr>
          <w:t>23</w:t>
        </w:r>
        <w:r w:rsidR="006B54F1">
          <w:rPr>
            <w:noProof/>
            <w:webHidden/>
          </w:rPr>
          <w:fldChar w:fldCharType="end"/>
        </w:r>
      </w:hyperlink>
    </w:p>
    <w:p w14:paraId="0A872D92" w14:textId="171F8497" w:rsidR="006B54F1" w:rsidRDefault="00CE1040">
      <w:pPr>
        <w:pStyle w:val="TableofFigures"/>
        <w:tabs>
          <w:tab w:val="right" w:leader="dot" w:pos="9350"/>
        </w:tabs>
        <w:rPr>
          <w:rFonts w:asciiTheme="minorHAnsi" w:hAnsiTheme="minorHAnsi"/>
          <w:noProof/>
          <w:lang w:eastAsia="en-US"/>
        </w:rPr>
      </w:pPr>
      <w:hyperlink w:anchor="_Toc18444703" w:history="1">
        <w:r w:rsidR="006B54F1" w:rsidRPr="00AB7F2F">
          <w:rPr>
            <w:rStyle w:val="Hyperlink"/>
            <w:noProof/>
          </w:rPr>
          <w:t>Figure 3.2 World Annual Greenhouse Gas Emissions Reduction</w:t>
        </w:r>
        <w:r w:rsidR="006B54F1">
          <w:rPr>
            <w:noProof/>
            <w:webHidden/>
          </w:rPr>
          <w:tab/>
        </w:r>
        <w:r w:rsidR="006B54F1">
          <w:rPr>
            <w:noProof/>
            <w:webHidden/>
          </w:rPr>
          <w:fldChar w:fldCharType="begin"/>
        </w:r>
        <w:r w:rsidR="006B54F1">
          <w:rPr>
            <w:noProof/>
            <w:webHidden/>
          </w:rPr>
          <w:instrText xml:space="preserve"> PAGEREF _Toc18444703 \h </w:instrText>
        </w:r>
        <w:r w:rsidR="006B54F1">
          <w:rPr>
            <w:noProof/>
            <w:webHidden/>
          </w:rPr>
        </w:r>
        <w:r w:rsidR="006B54F1">
          <w:rPr>
            <w:noProof/>
            <w:webHidden/>
          </w:rPr>
          <w:fldChar w:fldCharType="separate"/>
        </w:r>
        <w:r w:rsidR="00872721">
          <w:rPr>
            <w:noProof/>
            <w:webHidden/>
          </w:rPr>
          <w:t>25</w:t>
        </w:r>
        <w:r w:rsidR="006B54F1">
          <w:rPr>
            <w:noProof/>
            <w:webHidden/>
          </w:rPr>
          <w:fldChar w:fldCharType="end"/>
        </w:r>
      </w:hyperlink>
    </w:p>
    <w:p w14:paraId="7EEC0351" w14:textId="216B0A95" w:rsidR="006B54F1" w:rsidRDefault="00CE1040">
      <w:pPr>
        <w:pStyle w:val="TableofFigures"/>
        <w:tabs>
          <w:tab w:val="right" w:leader="dot" w:pos="9350"/>
        </w:tabs>
        <w:rPr>
          <w:rFonts w:asciiTheme="minorHAnsi" w:hAnsiTheme="minorHAnsi"/>
          <w:noProof/>
          <w:lang w:eastAsia="en-US"/>
        </w:rPr>
      </w:pPr>
      <w:hyperlink w:anchor="_Toc18444704" w:history="1">
        <w:r w:rsidR="006B54F1" w:rsidRPr="00AB7F2F">
          <w:rPr>
            <w:rStyle w:val="Hyperlink"/>
            <w:noProof/>
            <w:lang w:val="fr-FR"/>
          </w:rPr>
          <w:t>Figure 3.3:Net Profit Margin Solution vs. Conventional</w:t>
        </w:r>
        <w:r w:rsidR="006B54F1">
          <w:rPr>
            <w:noProof/>
            <w:webHidden/>
          </w:rPr>
          <w:tab/>
        </w:r>
        <w:r w:rsidR="006B54F1">
          <w:rPr>
            <w:noProof/>
            <w:webHidden/>
          </w:rPr>
          <w:fldChar w:fldCharType="begin"/>
        </w:r>
        <w:r w:rsidR="006B54F1">
          <w:rPr>
            <w:noProof/>
            <w:webHidden/>
          </w:rPr>
          <w:instrText xml:space="preserve"> PAGEREF _Toc18444704 \h </w:instrText>
        </w:r>
        <w:r w:rsidR="006B54F1">
          <w:rPr>
            <w:noProof/>
            <w:webHidden/>
          </w:rPr>
        </w:r>
        <w:r w:rsidR="006B54F1">
          <w:rPr>
            <w:noProof/>
            <w:webHidden/>
          </w:rPr>
          <w:fldChar w:fldCharType="separate"/>
        </w:r>
        <w:r w:rsidR="00872721">
          <w:rPr>
            <w:noProof/>
            <w:webHidden/>
          </w:rPr>
          <w:t>26</w:t>
        </w:r>
        <w:r w:rsidR="006B54F1">
          <w:rPr>
            <w:noProof/>
            <w:webHidden/>
          </w:rPr>
          <w:fldChar w:fldCharType="end"/>
        </w:r>
      </w:hyperlink>
    </w:p>
    <w:p w14:paraId="5AD133BD" w14:textId="7AFB93A5" w:rsidR="00640665" w:rsidRPr="003A0234" w:rsidRDefault="00F15AEE" w:rsidP="00BF56E5">
      <w:r w:rsidRPr="00CA4AAD">
        <w:rPr>
          <w:highlight w:val="yellow"/>
        </w:rPr>
        <w:fldChar w:fldCharType="end"/>
      </w:r>
    </w:p>
    <w:p w14:paraId="6055DED9" w14:textId="24973E3A" w:rsidR="006A4A08" w:rsidRPr="003A0234" w:rsidRDefault="00C23CAC" w:rsidP="0047117A">
      <w:pPr>
        <w:pStyle w:val="Heading1"/>
        <w:numPr>
          <w:ilvl w:val="0"/>
          <w:numId w:val="0"/>
        </w:numPr>
      </w:pPr>
      <w:bookmarkStart w:id="3" w:name="_Toc25888655"/>
      <w:r w:rsidRPr="003A0234">
        <w:t xml:space="preserve">List of </w:t>
      </w:r>
      <w:r w:rsidR="2D56E7D4" w:rsidRPr="003A0234">
        <w:t>Tables</w:t>
      </w:r>
      <w:bookmarkEnd w:id="3"/>
    </w:p>
    <w:p w14:paraId="09D10518" w14:textId="66009233" w:rsidR="006B54F1"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4705" w:history="1">
        <w:r w:rsidR="006B54F1" w:rsidRPr="00AC5462">
          <w:rPr>
            <w:rStyle w:val="Hyperlink"/>
            <w:noProof/>
          </w:rPr>
          <w:t>Table 1.1: Common perennial crops used in this study</w:t>
        </w:r>
        <w:r w:rsidR="006B54F1" w:rsidRPr="00AC5462">
          <w:rPr>
            <w:rStyle w:val="Hyperlink"/>
            <w:noProof/>
            <w:vertAlign w:val="superscript"/>
          </w:rPr>
          <w:t>,</w:t>
        </w:r>
        <w:r w:rsidR="006B54F1">
          <w:rPr>
            <w:noProof/>
            <w:webHidden/>
          </w:rPr>
          <w:tab/>
        </w:r>
        <w:r w:rsidR="006B54F1">
          <w:rPr>
            <w:noProof/>
            <w:webHidden/>
          </w:rPr>
          <w:fldChar w:fldCharType="begin"/>
        </w:r>
        <w:r w:rsidR="006B54F1">
          <w:rPr>
            <w:noProof/>
            <w:webHidden/>
          </w:rPr>
          <w:instrText xml:space="preserve"> PAGEREF _Toc18444705 \h </w:instrText>
        </w:r>
        <w:r w:rsidR="006B54F1">
          <w:rPr>
            <w:noProof/>
            <w:webHidden/>
          </w:rPr>
        </w:r>
        <w:r w:rsidR="006B54F1">
          <w:rPr>
            <w:noProof/>
            <w:webHidden/>
          </w:rPr>
          <w:fldChar w:fldCharType="separate"/>
        </w:r>
        <w:r w:rsidR="00872721">
          <w:rPr>
            <w:noProof/>
            <w:webHidden/>
          </w:rPr>
          <w:t>7</w:t>
        </w:r>
        <w:r w:rsidR="006B54F1">
          <w:rPr>
            <w:noProof/>
            <w:webHidden/>
          </w:rPr>
          <w:fldChar w:fldCharType="end"/>
        </w:r>
      </w:hyperlink>
    </w:p>
    <w:p w14:paraId="32BD0E49" w14:textId="6EEA33E2" w:rsidR="006B54F1" w:rsidRDefault="00CE1040">
      <w:pPr>
        <w:pStyle w:val="TableofFigures"/>
        <w:tabs>
          <w:tab w:val="right" w:leader="dot" w:pos="9350"/>
        </w:tabs>
        <w:rPr>
          <w:rFonts w:asciiTheme="minorHAnsi" w:hAnsiTheme="minorHAnsi"/>
          <w:noProof/>
          <w:lang w:eastAsia="en-US"/>
        </w:rPr>
      </w:pPr>
      <w:hyperlink w:anchor="_Toc18444706" w:history="1">
        <w:r w:rsidR="006B54F1" w:rsidRPr="00AC5462">
          <w:rPr>
            <w:rStyle w:val="Hyperlink"/>
            <w:noProof/>
          </w:rPr>
          <w:t>Table 1.2:Typical fertilizer and herbicide application rates and soil erosion rates for annual and perennial cropping systems</w:t>
        </w:r>
        <w:r w:rsidR="006B54F1">
          <w:rPr>
            <w:noProof/>
            <w:webHidden/>
          </w:rPr>
          <w:tab/>
        </w:r>
        <w:r w:rsidR="006B54F1">
          <w:rPr>
            <w:noProof/>
            <w:webHidden/>
          </w:rPr>
          <w:fldChar w:fldCharType="begin"/>
        </w:r>
        <w:r w:rsidR="006B54F1">
          <w:rPr>
            <w:noProof/>
            <w:webHidden/>
          </w:rPr>
          <w:instrText xml:space="preserve"> PAGEREF _Toc18444706 \h </w:instrText>
        </w:r>
        <w:r w:rsidR="006B54F1">
          <w:rPr>
            <w:noProof/>
            <w:webHidden/>
          </w:rPr>
        </w:r>
        <w:r w:rsidR="006B54F1">
          <w:rPr>
            <w:noProof/>
            <w:webHidden/>
          </w:rPr>
          <w:fldChar w:fldCharType="separate"/>
        </w:r>
        <w:r w:rsidR="00872721">
          <w:rPr>
            <w:noProof/>
            <w:webHidden/>
          </w:rPr>
          <w:t>10</w:t>
        </w:r>
        <w:r w:rsidR="006B54F1">
          <w:rPr>
            <w:noProof/>
            <w:webHidden/>
          </w:rPr>
          <w:fldChar w:fldCharType="end"/>
        </w:r>
      </w:hyperlink>
    </w:p>
    <w:p w14:paraId="19D9D293" w14:textId="7960014E" w:rsidR="006B54F1" w:rsidRDefault="00CE1040">
      <w:pPr>
        <w:pStyle w:val="TableofFigures"/>
        <w:tabs>
          <w:tab w:val="right" w:leader="dot" w:pos="9350"/>
        </w:tabs>
        <w:rPr>
          <w:rFonts w:asciiTheme="minorHAnsi" w:hAnsiTheme="minorHAnsi"/>
          <w:noProof/>
          <w:lang w:eastAsia="en-US"/>
        </w:rPr>
      </w:pPr>
      <w:hyperlink w:anchor="_Toc18444707" w:history="1">
        <w:r w:rsidR="006B54F1" w:rsidRPr="00AC5462">
          <w:rPr>
            <w:rStyle w:val="Hyperlink"/>
            <w:noProof/>
          </w:rPr>
          <w:t>Table 1.3: Land Use Solutions Comparison: Economic Impacts</w:t>
        </w:r>
        <w:r w:rsidR="006B54F1">
          <w:rPr>
            <w:noProof/>
            <w:webHidden/>
          </w:rPr>
          <w:tab/>
        </w:r>
        <w:r w:rsidR="006B54F1">
          <w:rPr>
            <w:noProof/>
            <w:webHidden/>
          </w:rPr>
          <w:fldChar w:fldCharType="begin"/>
        </w:r>
        <w:r w:rsidR="006B54F1">
          <w:rPr>
            <w:noProof/>
            <w:webHidden/>
          </w:rPr>
          <w:instrText xml:space="preserve"> PAGEREF _Toc18444707 \h </w:instrText>
        </w:r>
        <w:r w:rsidR="006B54F1">
          <w:rPr>
            <w:noProof/>
            <w:webHidden/>
          </w:rPr>
        </w:r>
        <w:r w:rsidR="006B54F1">
          <w:rPr>
            <w:noProof/>
            <w:webHidden/>
          </w:rPr>
          <w:fldChar w:fldCharType="separate"/>
        </w:r>
        <w:r w:rsidR="00872721">
          <w:rPr>
            <w:noProof/>
            <w:webHidden/>
          </w:rPr>
          <w:t>11</w:t>
        </w:r>
        <w:r w:rsidR="006B54F1">
          <w:rPr>
            <w:noProof/>
            <w:webHidden/>
          </w:rPr>
          <w:fldChar w:fldCharType="end"/>
        </w:r>
      </w:hyperlink>
    </w:p>
    <w:p w14:paraId="547012E4" w14:textId="094319B7" w:rsidR="006B54F1" w:rsidRDefault="00CE1040">
      <w:pPr>
        <w:pStyle w:val="TableofFigures"/>
        <w:tabs>
          <w:tab w:val="right" w:leader="dot" w:pos="9350"/>
        </w:tabs>
        <w:rPr>
          <w:rFonts w:asciiTheme="minorHAnsi" w:hAnsiTheme="minorHAnsi"/>
          <w:noProof/>
          <w:lang w:eastAsia="en-US"/>
        </w:rPr>
      </w:pPr>
      <w:hyperlink w:anchor="_Toc18444708" w:history="1">
        <w:r w:rsidR="006B54F1" w:rsidRPr="00AC5462">
          <w:rPr>
            <w:rStyle w:val="Hyperlink"/>
            <w:noProof/>
          </w:rPr>
          <w:t>Table 1.4: Land Use Solutions Comparison: Social and Climate Impacts</w:t>
        </w:r>
        <w:r w:rsidR="006B54F1">
          <w:rPr>
            <w:noProof/>
            <w:webHidden/>
          </w:rPr>
          <w:tab/>
        </w:r>
        <w:r w:rsidR="006B54F1">
          <w:rPr>
            <w:noProof/>
            <w:webHidden/>
          </w:rPr>
          <w:fldChar w:fldCharType="begin"/>
        </w:r>
        <w:r w:rsidR="006B54F1">
          <w:rPr>
            <w:noProof/>
            <w:webHidden/>
          </w:rPr>
          <w:instrText xml:space="preserve"> PAGEREF _Toc18444708 \h </w:instrText>
        </w:r>
        <w:r w:rsidR="006B54F1">
          <w:rPr>
            <w:noProof/>
            <w:webHidden/>
          </w:rPr>
        </w:r>
        <w:r w:rsidR="006B54F1">
          <w:rPr>
            <w:noProof/>
            <w:webHidden/>
          </w:rPr>
          <w:fldChar w:fldCharType="separate"/>
        </w:r>
        <w:r w:rsidR="00872721">
          <w:rPr>
            <w:noProof/>
            <w:webHidden/>
          </w:rPr>
          <w:t>12</w:t>
        </w:r>
        <w:r w:rsidR="006B54F1">
          <w:rPr>
            <w:noProof/>
            <w:webHidden/>
          </w:rPr>
          <w:fldChar w:fldCharType="end"/>
        </w:r>
      </w:hyperlink>
    </w:p>
    <w:p w14:paraId="6A918539" w14:textId="6206FDBF" w:rsidR="006B54F1" w:rsidRDefault="00CE1040">
      <w:pPr>
        <w:pStyle w:val="TableofFigures"/>
        <w:tabs>
          <w:tab w:val="right" w:leader="dot" w:pos="9350"/>
        </w:tabs>
        <w:rPr>
          <w:rFonts w:asciiTheme="minorHAnsi" w:hAnsiTheme="minorHAnsi"/>
          <w:noProof/>
          <w:lang w:eastAsia="en-US"/>
        </w:rPr>
      </w:pPr>
      <w:hyperlink w:anchor="_Toc18444709" w:history="1">
        <w:r w:rsidR="006B54F1" w:rsidRPr="00AC5462">
          <w:rPr>
            <w:rStyle w:val="Hyperlink"/>
            <w:noProof/>
          </w:rPr>
          <w:t>Table 2.1: Climate Inputs</w:t>
        </w:r>
        <w:r w:rsidR="006B54F1">
          <w:rPr>
            <w:noProof/>
            <w:webHidden/>
          </w:rPr>
          <w:tab/>
        </w:r>
        <w:r w:rsidR="006B54F1">
          <w:rPr>
            <w:noProof/>
            <w:webHidden/>
          </w:rPr>
          <w:fldChar w:fldCharType="begin"/>
        </w:r>
        <w:r w:rsidR="006B54F1">
          <w:rPr>
            <w:noProof/>
            <w:webHidden/>
          </w:rPr>
          <w:instrText xml:space="preserve"> PAGEREF _Toc18444709 \h </w:instrText>
        </w:r>
        <w:r w:rsidR="006B54F1">
          <w:rPr>
            <w:noProof/>
            <w:webHidden/>
          </w:rPr>
        </w:r>
        <w:r w:rsidR="006B54F1">
          <w:rPr>
            <w:noProof/>
            <w:webHidden/>
          </w:rPr>
          <w:fldChar w:fldCharType="separate"/>
        </w:r>
        <w:r w:rsidR="00872721">
          <w:rPr>
            <w:noProof/>
            <w:webHidden/>
          </w:rPr>
          <w:t>16</w:t>
        </w:r>
        <w:r w:rsidR="006B54F1">
          <w:rPr>
            <w:noProof/>
            <w:webHidden/>
          </w:rPr>
          <w:fldChar w:fldCharType="end"/>
        </w:r>
      </w:hyperlink>
    </w:p>
    <w:p w14:paraId="6BB0D816" w14:textId="055F115E" w:rsidR="006B54F1" w:rsidRDefault="00CE1040">
      <w:pPr>
        <w:pStyle w:val="TableofFigures"/>
        <w:tabs>
          <w:tab w:val="right" w:leader="dot" w:pos="9350"/>
        </w:tabs>
        <w:rPr>
          <w:rFonts w:asciiTheme="minorHAnsi" w:hAnsiTheme="minorHAnsi"/>
          <w:noProof/>
          <w:lang w:eastAsia="en-US"/>
        </w:rPr>
      </w:pPr>
      <w:hyperlink w:anchor="_Toc18444710" w:history="1">
        <w:r w:rsidR="006B54F1" w:rsidRPr="00AC5462">
          <w:rPr>
            <w:rStyle w:val="Hyperlink"/>
            <w:noProof/>
          </w:rPr>
          <w:t>Table 2.2 Financial Inputs for Conventional Practice (Grazing on Degraded Lands)</w:t>
        </w:r>
        <w:r w:rsidR="006B54F1">
          <w:rPr>
            <w:noProof/>
            <w:webHidden/>
          </w:rPr>
          <w:tab/>
        </w:r>
        <w:r w:rsidR="006B54F1">
          <w:rPr>
            <w:noProof/>
            <w:webHidden/>
          </w:rPr>
          <w:fldChar w:fldCharType="begin"/>
        </w:r>
        <w:r w:rsidR="006B54F1">
          <w:rPr>
            <w:noProof/>
            <w:webHidden/>
          </w:rPr>
          <w:instrText xml:space="preserve"> PAGEREF _Toc18444710 \h </w:instrText>
        </w:r>
        <w:r w:rsidR="006B54F1">
          <w:rPr>
            <w:noProof/>
            <w:webHidden/>
          </w:rPr>
        </w:r>
        <w:r w:rsidR="006B54F1">
          <w:rPr>
            <w:noProof/>
            <w:webHidden/>
          </w:rPr>
          <w:fldChar w:fldCharType="separate"/>
        </w:r>
        <w:r w:rsidR="00872721">
          <w:rPr>
            <w:noProof/>
            <w:webHidden/>
          </w:rPr>
          <w:t>17</w:t>
        </w:r>
        <w:r w:rsidR="006B54F1">
          <w:rPr>
            <w:noProof/>
            <w:webHidden/>
          </w:rPr>
          <w:fldChar w:fldCharType="end"/>
        </w:r>
      </w:hyperlink>
    </w:p>
    <w:p w14:paraId="7A5EB1E9" w14:textId="013B0895" w:rsidR="006B54F1" w:rsidRDefault="00CE1040">
      <w:pPr>
        <w:pStyle w:val="TableofFigures"/>
        <w:tabs>
          <w:tab w:val="right" w:leader="dot" w:pos="9350"/>
        </w:tabs>
        <w:rPr>
          <w:rFonts w:asciiTheme="minorHAnsi" w:hAnsiTheme="minorHAnsi"/>
          <w:noProof/>
          <w:lang w:eastAsia="en-US"/>
        </w:rPr>
      </w:pPr>
      <w:hyperlink w:anchor="_Toc18444711" w:history="1">
        <w:r w:rsidR="006B54F1" w:rsidRPr="00AC5462">
          <w:rPr>
            <w:rStyle w:val="Hyperlink"/>
            <w:noProof/>
          </w:rPr>
          <w:t>Table 2.3:Financial Inputs for Solution</w:t>
        </w:r>
        <w:r w:rsidR="006B54F1">
          <w:rPr>
            <w:noProof/>
            <w:webHidden/>
          </w:rPr>
          <w:tab/>
        </w:r>
        <w:r w:rsidR="006B54F1">
          <w:rPr>
            <w:noProof/>
            <w:webHidden/>
          </w:rPr>
          <w:fldChar w:fldCharType="begin"/>
        </w:r>
        <w:r w:rsidR="006B54F1">
          <w:rPr>
            <w:noProof/>
            <w:webHidden/>
          </w:rPr>
          <w:instrText xml:space="preserve"> PAGEREF _Toc18444711 \h </w:instrText>
        </w:r>
        <w:r w:rsidR="006B54F1">
          <w:rPr>
            <w:noProof/>
            <w:webHidden/>
          </w:rPr>
        </w:r>
        <w:r w:rsidR="006B54F1">
          <w:rPr>
            <w:noProof/>
            <w:webHidden/>
          </w:rPr>
          <w:fldChar w:fldCharType="separate"/>
        </w:r>
        <w:r w:rsidR="00872721">
          <w:rPr>
            <w:noProof/>
            <w:webHidden/>
          </w:rPr>
          <w:t>17</w:t>
        </w:r>
        <w:r w:rsidR="006B54F1">
          <w:rPr>
            <w:noProof/>
            <w:webHidden/>
          </w:rPr>
          <w:fldChar w:fldCharType="end"/>
        </w:r>
      </w:hyperlink>
    </w:p>
    <w:p w14:paraId="1DDC2378" w14:textId="2B997C78" w:rsidR="006B54F1" w:rsidRDefault="00CE1040">
      <w:pPr>
        <w:pStyle w:val="TableofFigures"/>
        <w:tabs>
          <w:tab w:val="right" w:leader="dot" w:pos="9350"/>
        </w:tabs>
        <w:rPr>
          <w:rFonts w:asciiTheme="minorHAnsi" w:hAnsiTheme="minorHAnsi"/>
          <w:noProof/>
          <w:lang w:eastAsia="en-US"/>
        </w:rPr>
      </w:pPr>
      <w:hyperlink w:anchor="_Toc18444712" w:history="1">
        <w:r w:rsidR="006B54F1" w:rsidRPr="00AC5462">
          <w:rPr>
            <w:rStyle w:val="Hyperlink"/>
            <w:noProof/>
          </w:rPr>
          <w:t>Table 3.1:World Adoption of the Solution</w:t>
        </w:r>
        <w:r w:rsidR="006B54F1">
          <w:rPr>
            <w:noProof/>
            <w:webHidden/>
          </w:rPr>
          <w:tab/>
        </w:r>
        <w:r w:rsidR="006B54F1">
          <w:rPr>
            <w:noProof/>
            <w:webHidden/>
          </w:rPr>
          <w:fldChar w:fldCharType="begin"/>
        </w:r>
        <w:r w:rsidR="006B54F1">
          <w:rPr>
            <w:noProof/>
            <w:webHidden/>
          </w:rPr>
          <w:instrText xml:space="preserve"> PAGEREF _Toc18444712 \h </w:instrText>
        </w:r>
        <w:r w:rsidR="006B54F1">
          <w:rPr>
            <w:noProof/>
            <w:webHidden/>
          </w:rPr>
        </w:r>
        <w:r w:rsidR="006B54F1">
          <w:rPr>
            <w:noProof/>
            <w:webHidden/>
          </w:rPr>
          <w:fldChar w:fldCharType="separate"/>
        </w:r>
        <w:r w:rsidR="00872721">
          <w:rPr>
            <w:noProof/>
            <w:webHidden/>
          </w:rPr>
          <w:t>22</w:t>
        </w:r>
        <w:r w:rsidR="006B54F1">
          <w:rPr>
            <w:noProof/>
            <w:webHidden/>
          </w:rPr>
          <w:fldChar w:fldCharType="end"/>
        </w:r>
      </w:hyperlink>
    </w:p>
    <w:p w14:paraId="214974C2" w14:textId="17B85F9D" w:rsidR="006B54F1" w:rsidRDefault="00CE1040">
      <w:pPr>
        <w:pStyle w:val="TableofFigures"/>
        <w:tabs>
          <w:tab w:val="right" w:leader="dot" w:pos="9350"/>
        </w:tabs>
        <w:rPr>
          <w:rFonts w:asciiTheme="minorHAnsi" w:hAnsiTheme="minorHAnsi"/>
          <w:noProof/>
          <w:lang w:eastAsia="en-US"/>
        </w:rPr>
      </w:pPr>
      <w:hyperlink w:anchor="_Toc18444713" w:history="1">
        <w:r w:rsidR="006B54F1" w:rsidRPr="00AC5462">
          <w:rPr>
            <w:rStyle w:val="Hyperlink"/>
            <w:noProof/>
          </w:rPr>
          <w:t>Table 3.2:Climate Impacts</w:t>
        </w:r>
        <w:r w:rsidR="006B54F1">
          <w:rPr>
            <w:noProof/>
            <w:webHidden/>
          </w:rPr>
          <w:tab/>
        </w:r>
        <w:r w:rsidR="006B54F1">
          <w:rPr>
            <w:noProof/>
            <w:webHidden/>
          </w:rPr>
          <w:fldChar w:fldCharType="begin"/>
        </w:r>
        <w:r w:rsidR="006B54F1">
          <w:rPr>
            <w:noProof/>
            <w:webHidden/>
          </w:rPr>
          <w:instrText xml:space="preserve"> PAGEREF _Toc18444713 \h </w:instrText>
        </w:r>
        <w:r w:rsidR="006B54F1">
          <w:rPr>
            <w:noProof/>
            <w:webHidden/>
          </w:rPr>
        </w:r>
        <w:r w:rsidR="006B54F1">
          <w:rPr>
            <w:noProof/>
            <w:webHidden/>
          </w:rPr>
          <w:fldChar w:fldCharType="separate"/>
        </w:r>
        <w:r w:rsidR="00872721">
          <w:rPr>
            <w:noProof/>
            <w:webHidden/>
          </w:rPr>
          <w:t>23</w:t>
        </w:r>
        <w:r w:rsidR="006B54F1">
          <w:rPr>
            <w:noProof/>
            <w:webHidden/>
          </w:rPr>
          <w:fldChar w:fldCharType="end"/>
        </w:r>
      </w:hyperlink>
    </w:p>
    <w:p w14:paraId="1A10F8DE" w14:textId="7785F3DA" w:rsidR="006B54F1" w:rsidRDefault="00CE1040">
      <w:pPr>
        <w:pStyle w:val="TableofFigures"/>
        <w:tabs>
          <w:tab w:val="right" w:leader="dot" w:pos="9350"/>
        </w:tabs>
        <w:rPr>
          <w:rFonts w:asciiTheme="minorHAnsi" w:hAnsiTheme="minorHAnsi"/>
          <w:noProof/>
          <w:lang w:eastAsia="en-US"/>
        </w:rPr>
      </w:pPr>
      <w:hyperlink w:anchor="_Toc18444714" w:history="1">
        <w:r w:rsidR="006B54F1" w:rsidRPr="00AC5462">
          <w:rPr>
            <w:rStyle w:val="Hyperlink"/>
            <w:noProof/>
          </w:rPr>
          <w:t>Table 3.3 Impacts on Atmospheric Concentrations of CO2-eq</w:t>
        </w:r>
        <w:r w:rsidR="006B54F1">
          <w:rPr>
            <w:noProof/>
            <w:webHidden/>
          </w:rPr>
          <w:tab/>
        </w:r>
        <w:r w:rsidR="006B54F1">
          <w:rPr>
            <w:noProof/>
            <w:webHidden/>
          </w:rPr>
          <w:fldChar w:fldCharType="begin"/>
        </w:r>
        <w:r w:rsidR="006B54F1">
          <w:rPr>
            <w:noProof/>
            <w:webHidden/>
          </w:rPr>
          <w:instrText xml:space="preserve"> PAGEREF _Toc18444714 \h </w:instrText>
        </w:r>
        <w:r w:rsidR="006B54F1">
          <w:rPr>
            <w:noProof/>
            <w:webHidden/>
          </w:rPr>
        </w:r>
        <w:r w:rsidR="006B54F1">
          <w:rPr>
            <w:noProof/>
            <w:webHidden/>
          </w:rPr>
          <w:fldChar w:fldCharType="separate"/>
        </w:r>
        <w:r w:rsidR="00872721">
          <w:rPr>
            <w:noProof/>
            <w:webHidden/>
          </w:rPr>
          <w:t>24</w:t>
        </w:r>
        <w:r w:rsidR="006B54F1">
          <w:rPr>
            <w:noProof/>
            <w:webHidden/>
          </w:rPr>
          <w:fldChar w:fldCharType="end"/>
        </w:r>
      </w:hyperlink>
    </w:p>
    <w:p w14:paraId="18280D94" w14:textId="4BB0A47D" w:rsidR="006B54F1" w:rsidRDefault="00CE1040">
      <w:pPr>
        <w:pStyle w:val="TableofFigures"/>
        <w:tabs>
          <w:tab w:val="right" w:leader="dot" w:pos="9350"/>
        </w:tabs>
        <w:rPr>
          <w:rFonts w:asciiTheme="minorHAnsi" w:hAnsiTheme="minorHAnsi"/>
          <w:noProof/>
          <w:lang w:eastAsia="en-US"/>
        </w:rPr>
      </w:pPr>
      <w:hyperlink w:anchor="_Toc18444715" w:history="1">
        <w:r w:rsidR="006B54F1" w:rsidRPr="00AC5462">
          <w:rPr>
            <w:rStyle w:val="Hyperlink"/>
            <w:noProof/>
          </w:rPr>
          <w:t>Table 3.4:Financial Impacts</w:t>
        </w:r>
        <w:r w:rsidR="006B54F1">
          <w:rPr>
            <w:noProof/>
            <w:webHidden/>
          </w:rPr>
          <w:tab/>
        </w:r>
        <w:r w:rsidR="006B54F1">
          <w:rPr>
            <w:noProof/>
            <w:webHidden/>
          </w:rPr>
          <w:fldChar w:fldCharType="begin"/>
        </w:r>
        <w:r w:rsidR="006B54F1">
          <w:rPr>
            <w:noProof/>
            <w:webHidden/>
          </w:rPr>
          <w:instrText xml:space="preserve"> PAGEREF _Toc18444715 \h </w:instrText>
        </w:r>
        <w:r w:rsidR="006B54F1">
          <w:rPr>
            <w:noProof/>
            <w:webHidden/>
          </w:rPr>
        </w:r>
        <w:r w:rsidR="006B54F1">
          <w:rPr>
            <w:noProof/>
            <w:webHidden/>
          </w:rPr>
          <w:fldChar w:fldCharType="separate"/>
        </w:r>
        <w:r w:rsidR="00872721">
          <w:rPr>
            <w:noProof/>
            <w:webHidden/>
          </w:rPr>
          <w:t>26</w:t>
        </w:r>
        <w:r w:rsidR="006B54F1">
          <w:rPr>
            <w:noProof/>
            <w:webHidden/>
          </w:rPr>
          <w:fldChar w:fldCharType="end"/>
        </w:r>
      </w:hyperlink>
    </w:p>
    <w:p w14:paraId="59531BD3" w14:textId="4194F03C" w:rsidR="006A4A08" w:rsidRPr="003A0234" w:rsidRDefault="006A4A08" w:rsidP="00BF56E5">
      <w:r w:rsidRPr="003A0234">
        <w:fldChar w:fldCharType="end"/>
      </w:r>
    </w:p>
    <w:p w14:paraId="4825AD3F" w14:textId="55B69E71" w:rsidR="00640665" w:rsidRDefault="00640665" w:rsidP="00BF56E5">
      <w:pPr>
        <w:rPr>
          <w:rFonts w:asciiTheme="majorHAnsi" w:eastAsiaTheme="majorEastAsia" w:hAnsiTheme="majorHAnsi" w:cstheme="majorBidi"/>
          <w:b/>
          <w:bCs/>
          <w:smallCaps/>
          <w:color w:val="000000" w:themeColor="text1"/>
          <w:sz w:val="36"/>
          <w:szCs w:val="36"/>
        </w:rPr>
      </w:pPr>
    </w:p>
    <w:p w14:paraId="25BC328C" w14:textId="77777777" w:rsidR="00FB2C53" w:rsidRDefault="00FB2C53" w:rsidP="00BF56E5">
      <w:pPr>
        <w:spacing w:after="160"/>
        <w:jc w:val="left"/>
        <w:rPr>
          <w:rFonts w:asciiTheme="majorHAnsi" w:eastAsiaTheme="majorEastAsia" w:hAnsiTheme="majorHAnsi" w:cs="Times New Roman (Headings CS)"/>
          <w:b/>
          <w:bCs/>
          <w:smallCaps/>
          <w:color w:val="4F81BD" w:themeColor="accent1"/>
          <w:sz w:val="36"/>
          <w:szCs w:val="36"/>
        </w:rPr>
      </w:pPr>
      <w:r>
        <w:br w:type="page"/>
      </w:r>
    </w:p>
    <w:p w14:paraId="5F5B2EF0" w14:textId="2FECC589" w:rsidR="00F52595" w:rsidRDefault="551A77D0" w:rsidP="0047117A">
      <w:pPr>
        <w:pStyle w:val="Heading1"/>
        <w:numPr>
          <w:ilvl w:val="0"/>
          <w:numId w:val="0"/>
        </w:numPr>
      </w:pPr>
      <w:bookmarkStart w:id="4" w:name="_Toc25888656"/>
      <w:r>
        <w:lastRenderedPageBreak/>
        <w:t>Executive Summary</w:t>
      </w:r>
      <w:bookmarkEnd w:id="4"/>
    </w:p>
    <w:p w14:paraId="05E64BCE" w14:textId="2D4E80D0" w:rsidR="00CA4AAD" w:rsidRPr="00BF4C8D" w:rsidRDefault="00AB3767" w:rsidP="00BF4C8D">
      <w:pPr>
        <w:shd w:val="clear" w:color="auto" w:fill="FFFFFF"/>
        <w:spacing w:after="180"/>
        <w:rPr>
          <w:rFonts w:eastAsia="Times New Roman" w:cs="Times New Roman"/>
          <w:color w:val="000000" w:themeColor="text1"/>
          <w:lang w:eastAsia="zh-CN"/>
        </w:rPr>
      </w:pPr>
      <w:r w:rsidRPr="00BF4C8D">
        <w:rPr>
          <w:rFonts w:eastAsia="Times New Roman" w:cs="Times New Roman"/>
          <w:color w:val="000000" w:themeColor="text1"/>
          <w:lang w:eastAsia="zh-CN"/>
        </w:rPr>
        <w:t>Biomass feedstock</w:t>
      </w:r>
      <w:r w:rsidR="00CA4AAD" w:rsidRPr="00BF4C8D">
        <w:rPr>
          <w:rFonts w:eastAsia="Times New Roman" w:cs="Times New Roman"/>
          <w:color w:val="000000" w:themeColor="text1"/>
          <w:lang w:eastAsia="zh-CN"/>
        </w:rPr>
        <w:t xml:space="preserve"> </w:t>
      </w:r>
      <w:r w:rsidRPr="00BF4C8D">
        <w:rPr>
          <w:rFonts w:eastAsia="Times New Roman" w:cs="Times New Roman"/>
          <w:color w:val="000000" w:themeColor="text1"/>
          <w:lang w:eastAsia="zh-CN"/>
        </w:rPr>
        <w:t>may contribute up to 2</w:t>
      </w:r>
      <w:r w:rsidR="00CA4AAD" w:rsidRPr="00BF4C8D">
        <w:rPr>
          <w:rFonts w:eastAsia="Times New Roman" w:cs="Times New Roman"/>
          <w:color w:val="000000" w:themeColor="text1"/>
          <w:lang w:eastAsia="zh-CN"/>
        </w:rPr>
        <w:t xml:space="preserve">% </w:t>
      </w:r>
      <w:r w:rsidRPr="00BF4C8D">
        <w:rPr>
          <w:rFonts w:eastAsia="Times New Roman" w:cs="Times New Roman"/>
          <w:color w:val="000000" w:themeColor="text1"/>
          <w:lang w:eastAsia="zh-CN"/>
        </w:rPr>
        <w:t>to the</w:t>
      </w:r>
      <w:r w:rsidR="00CA4AAD" w:rsidRPr="00BF4C8D">
        <w:rPr>
          <w:rFonts w:eastAsia="Times New Roman" w:cs="Times New Roman"/>
          <w:color w:val="000000" w:themeColor="text1"/>
          <w:lang w:eastAsia="zh-CN"/>
        </w:rPr>
        <w:t xml:space="preserve"> world’s</w:t>
      </w:r>
      <w:r w:rsidR="005B3AB5">
        <w:rPr>
          <w:rFonts w:eastAsia="Times New Roman" w:cs="Times New Roman"/>
          <w:color w:val="000000" w:themeColor="text1"/>
          <w:lang w:eastAsia="zh-CN"/>
        </w:rPr>
        <w:t xml:space="preserve"> energy</w:t>
      </w:r>
      <w:r w:rsidRPr="00BF4C8D">
        <w:rPr>
          <w:rFonts w:eastAsia="Times New Roman" w:cs="Times New Roman"/>
          <w:color w:val="000000" w:themeColor="text1"/>
          <w:lang w:eastAsia="zh-CN"/>
        </w:rPr>
        <w:t xml:space="preserve"> generation</w:t>
      </w:r>
      <w:r w:rsidR="00CA4AAD" w:rsidRPr="00BF4C8D">
        <w:rPr>
          <w:rFonts w:eastAsia="Times New Roman" w:cs="Times New Roman"/>
          <w:color w:val="000000" w:themeColor="text1"/>
          <w:lang w:eastAsia="zh-CN"/>
        </w:rPr>
        <w:t xml:space="preserve"> </w:t>
      </w:r>
      <w:r w:rsidR="005B3AB5">
        <w:rPr>
          <w:rFonts w:eastAsia="Times New Roman" w:cs="Times New Roman"/>
          <w:color w:val="000000" w:themeColor="text1"/>
          <w:lang w:eastAsia="zh-CN"/>
        </w:rPr>
        <w:t>by</w:t>
      </w:r>
      <w:r w:rsidR="00CA4AAD" w:rsidRPr="00BF4C8D">
        <w:rPr>
          <w:rFonts w:eastAsia="Times New Roman" w:cs="Times New Roman"/>
          <w:color w:val="000000" w:themeColor="text1"/>
          <w:lang w:eastAsia="zh-CN"/>
        </w:rPr>
        <w:t xml:space="preserve"> 2050</w:t>
      </w:r>
      <w:r w:rsidRPr="00BF4C8D">
        <w:rPr>
          <w:rFonts w:eastAsia="Times New Roman" w:cs="Times New Roman"/>
          <w:color w:val="000000" w:themeColor="text1"/>
          <w:lang w:eastAsia="zh-CN"/>
        </w:rPr>
        <w:t>.</w:t>
      </w:r>
      <w:r w:rsidR="00CA4AAD" w:rsidRPr="00BF4C8D">
        <w:rPr>
          <w:rFonts w:eastAsia="Times New Roman" w:cs="Times New Roman"/>
          <w:color w:val="000000" w:themeColor="text1"/>
          <w:lang w:eastAsia="zh-CN"/>
        </w:rPr>
        <w:t xml:space="preserve"> </w:t>
      </w:r>
      <w:r w:rsidRPr="00BF4C8D">
        <w:rPr>
          <w:rFonts w:eastAsia="Times New Roman" w:cs="Times New Roman"/>
          <w:color w:val="000000" w:themeColor="text1"/>
          <w:lang w:eastAsia="zh-CN"/>
        </w:rPr>
        <w:t xml:space="preserve">Key to this goal are </w:t>
      </w:r>
      <w:r w:rsidR="00CA4AAD" w:rsidRPr="00BF4C8D">
        <w:rPr>
          <w:rFonts w:eastAsia="Times New Roman" w:cs="Times New Roman"/>
          <w:color w:val="000000" w:themeColor="text1"/>
          <w:lang w:eastAsia="zh-CN"/>
        </w:rPr>
        <w:t xml:space="preserve">perennial </w:t>
      </w:r>
      <w:r w:rsidR="007941CC">
        <w:rPr>
          <w:rFonts w:eastAsia="Times New Roman" w:cs="Times New Roman"/>
          <w:color w:val="000000" w:themeColor="text1"/>
          <w:lang w:eastAsia="zh-CN"/>
        </w:rPr>
        <w:t xml:space="preserve">biomass </w:t>
      </w:r>
      <w:r w:rsidR="00CA4AAD" w:rsidRPr="00BF4C8D">
        <w:rPr>
          <w:rFonts w:eastAsia="Times New Roman" w:cs="Times New Roman"/>
          <w:color w:val="000000" w:themeColor="text1"/>
          <w:lang w:eastAsia="zh-CN"/>
        </w:rPr>
        <w:t>crops</w:t>
      </w:r>
      <w:r w:rsidR="00573D8E">
        <w:rPr>
          <w:rFonts w:eastAsia="Times New Roman" w:cs="Times New Roman"/>
          <w:color w:val="000000" w:themeColor="text1"/>
          <w:lang w:eastAsia="zh-CN"/>
        </w:rPr>
        <w:t>,</w:t>
      </w:r>
      <w:r w:rsidR="00CA4AAD" w:rsidRPr="00BF4C8D">
        <w:rPr>
          <w:rFonts w:eastAsia="Times New Roman" w:cs="Times New Roman"/>
          <w:color w:val="000000" w:themeColor="text1"/>
          <w:lang w:eastAsia="zh-CN"/>
        </w:rPr>
        <w:t xml:space="preserve"> an</w:t>
      </w:r>
      <w:r w:rsidRPr="00BF4C8D">
        <w:rPr>
          <w:rFonts w:eastAsia="Times New Roman" w:cs="Times New Roman"/>
          <w:color w:val="000000" w:themeColor="text1"/>
          <w:lang w:eastAsia="zh-CN"/>
        </w:rPr>
        <w:t xml:space="preserve"> important</w:t>
      </w:r>
      <w:r w:rsidR="00CA4AAD" w:rsidRPr="00BF4C8D">
        <w:rPr>
          <w:rFonts w:eastAsia="Times New Roman" w:cs="Times New Roman"/>
          <w:color w:val="000000" w:themeColor="text1"/>
          <w:lang w:eastAsia="zh-CN"/>
        </w:rPr>
        <w:t xml:space="preserve"> alternative to annual cropping system</w:t>
      </w:r>
      <w:r w:rsidR="00A61F26">
        <w:rPr>
          <w:rFonts w:eastAsia="Times New Roman" w:cs="Times New Roman"/>
          <w:color w:val="000000" w:themeColor="text1"/>
          <w:lang w:eastAsia="zh-CN"/>
        </w:rPr>
        <w:t xml:space="preserve"> which produces biomass feedstock like maize stalks</w:t>
      </w:r>
      <w:r w:rsidR="00B27E19">
        <w:rPr>
          <w:rFonts w:eastAsia="Times New Roman" w:cs="Times New Roman"/>
          <w:color w:val="000000" w:themeColor="text1"/>
          <w:lang w:eastAsia="zh-CN"/>
        </w:rPr>
        <w:t xml:space="preserve"> and wheat straw</w:t>
      </w:r>
      <w:r w:rsidR="00CA4AAD" w:rsidRPr="00BF4C8D">
        <w:rPr>
          <w:rFonts w:eastAsia="Times New Roman" w:cs="Times New Roman"/>
          <w:color w:val="000000" w:themeColor="text1"/>
          <w:lang w:eastAsia="zh-CN"/>
        </w:rPr>
        <w:t xml:space="preserve">. Perennial grasses </w:t>
      </w:r>
      <w:r w:rsidRPr="00BF4C8D">
        <w:rPr>
          <w:rFonts w:eastAsia="Times New Roman" w:cs="Times New Roman"/>
          <w:color w:val="000000" w:themeColor="text1"/>
          <w:lang w:eastAsia="zh-CN"/>
        </w:rPr>
        <w:t>(e.g., miscanthus)</w:t>
      </w:r>
      <w:r w:rsidR="0079063A" w:rsidRPr="00BF4C8D">
        <w:rPr>
          <w:rFonts w:eastAsia="Times New Roman" w:cs="Times New Roman"/>
          <w:color w:val="000000" w:themeColor="text1"/>
          <w:lang w:eastAsia="zh-CN"/>
        </w:rPr>
        <w:t xml:space="preserve"> </w:t>
      </w:r>
      <w:r w:rsidRPr="00BF4C8D">
        <w:rPr>
          <w:rFonts w:eastAsia="Times New Roman" w:cs="Times New Roman"/>
          <w:color w:val="000000" w:themeColor="text1"/>
          <w:lang w:eastAsia="zh-CN"/>
        </w:rPr>
        <w:t>and</w:t>
      </w:r>
      <w:r w:rsidR="00CA4AAD" w:rsidRPr="00BF4C8D">
        <w:rPr>
          <w:rFonts w:eastAsia="Times New Roman" w:cs="Times New Roman"/>
          <w:color w:val="000000" w:themeColor="text1"/>
          <w:lang w:eastAsia="zh-CN"/>
        </w:rPr>
        <w:t xml:space="preserve"> woody plants</w:t>
      </w:r>
      <w:r w:rsidRPr="00BF4C8D">
        <w:rPr>
          <w:rFonts w:eastAsia="Times New Roman" w:cs="Times New Roman"/>
          <w:color w:val="000000" w:themeColor="text1"/>
          <w:lang w:eastAsia="zh-CN"/>
        </w:rPr>
        <w:t xml:space="preserve"> (e.g., willow)</w:t>
      </w:r>
      <w:r w:rsidR="00CA4AAD" w:rsidRPr="00BF4C8D">
        <w:rPr>
          <w:rFonts w:eastAsia="Times New Roman" w:cs="Times New Roman"/>
          <w:color w:val="000000" w:themeColor="text1"/>
          <w:lang w:eastAsia="zh-CN"/>
        </w:rPr>
        <w:t xml:space="preserve"> have naturally high productivity, need </w:t>
      </w:r>
      <w:r w:rsidRPr="00BF4C8D">
        <w:rPr>
          <w:rFonts w:eastAsia="Times New Roman" w:cs="Times New Roman"/>
          <w:color w:val="000000" w:themeColor="text1"/>
          <w:lang w:eastAsia="zh-CN"/>
        </w:rPr>
        <w:t>less fertilizers</w:t>
      </w:r>
      <w:r w:rsidR="00CA4AAD" w:rsidRPr="00BF4C8D">
        <w:rPr>
          <w:rFonts w:eastAsia="Times New Roman" w:cs="Times New Roman"/>
          <w:color w:val="000000" w:themeColor="text1"/>
          <w:lang w:eastAsia="zh-CN"/>
        </w:rPr>
        <w:t xml:space="preserve"> and </w:t>
      </w:r>
      <w:r w:rsidR="00716CC9">
        <w:rPr>
          <w:rFonts w:eastAsia="Times New Roman" w:cs="Times New Roman"/>
          <w:color w:val="000000" w:themeColor="text1"/>
          <w:lang w:eastAsia="zh-CN"/>
        </w:rPr>
        <w:t>irrigation</w:t>
      </w:r>
      <w:r w:rsidR="005B3AB5">
        <w:rPr>
          <w:rFonts w:eastAsia="Times New Roman" w:cs="Times New Roman"/>
          <w:color w:val="000000" w:themeColor="text1"/>
          <w:lang w:eastAsia="zh-CN"/>
        </w:rPr>
        <w:t xml:space="preserve">. Perennial crops can reduce climate change </w:t>
      </w:r>
      <w:r w:rsidR="00F93172">
        <w:rPr>
          <w:rFonts w:eastAsia="Times New Roman" w:cs="Times New Roman"/>
          <w:color w:val="000000" w:themeColor="text1"/>
          <w:lang w:eastAsia="zh-CN"/>
        </w:rPr>
        <w:t>by removing</w:t>
      </w:r>
      <w:r w:rsidR="005B3AB5">
        <w:rPr>
          <w:rFonts w:eastAsia="Times New Roman" w:cs="Times New Roman"/>
          <w:color w:val="000000" w:themeColor="text1"/>
          <w:lang w:eastAsia="zh-CN"/>
        </w:rPr>
        <w:t xml:space="preserve"> carbon dioxide from the atmosphere and storing it in the soils and root systems </w:t>
      </w:r>
      <w:r w:rsidR="00F93172">
        <w:rPr>
          <w:rFonts w:eastAsia="Times New Roman" w:cs="Times New Roman"/>
          <w:color w:val="000000" w:themeColor="text1"/>
          <w:lang w:eastAsia="zh-CN"/>
        </w:rPr>
        <w:t>a</w:t>
      </w:r>
      <w:r w:rsidR="002A5C32">
        <w:rPr>
          <w:rFonts w:eastAsia="Times New Roman" w:cs="Times New Roman"/>
          <w:color w:val="000000" w:themeColor="text1"/>
          <w:lang w:eastAsia="zh-CN"/>
        </w:rPr>
        <w:t>s</w:t>
      </w:r>
      <w:r w:rsidR="00F93172">
        <w:rPr>
          <w:rFonts w:eastAsia="Times New Roman" w:cs="Times New Roman"/>
          <w:color w:val="000000" w:themeColor="text1"/>
          <w:lang w:eastAsia="zh-CN"/>
        </w:rPr>
        <w:t xml:space="preserve"> they</w:t>
      </w:r>
      <w:r w:rsidR="005B3AB5">
        <w:rPr>
          <w:rFonts w:eastAsia="Times New Roman" w:cs="Times New Roman"/>
          <w:color w:val="000000" w:themeColor="text1"/>
          <w:lang w:eastAsia="zh-CN"/>
        </w:rPr>
        <w:t xml:space="preserve"> displace fossil fuel use and eliminate fossil fuel greenhouse gas emissions. </w:t>
      </w:r>
    </w:p>
    <w:p w14:paraId="50368F2E" w14:textId="4915458F" w:rsidR="00BF4C8D" w:rsidRDefault="00CA4AAD" w:rsidP="00BF56E5">
      <w:pPr>
        <w:shd w:val="clear" w:color="auto" w:fill="FFFFFF"/>
        <w:spacing w:after="180"/>
        <w:rPr>
          <w:rFonts w:eastAsia="Times New Roman" w:cs="Times New Roman"/>
          <w:color w:val="000000" w:themeColor="text1"/>
          <w:lang w:eastAsia="zh-CN"/>
        </w:rPr>
      </w:pPr>
      <w:r w:rsidRPr="00BF4C8D">
        <w:rPr>
          <w:rFonts w:eastAsia="Times New Roman" w:cs="Times New Roman"/>
          <w:color w:val="000000" w:themeColor="text1"/>
          <w:lang w:eastAsia="zh-CN"/>
        </w:rPr>
        <w:t>Perennials</w:t>
      </w:r>
      <w:r w:rsidR="00BF4C8D">
        <w:rPr>
          <w:rFonts w:eastAsia="Times New Roman" w:cs="Times New Roman"/>
          <w:color w:val="000000" w:themeColor="text1"/>
          <w:lang w:eastAsia="zh-CN"/>
        </w:rPr>
        <w:t xml:space="preserve"> crops</w:t>
      </w:r>
      <w:r w:rsidRPr="00BF4C8D">
        <w:rPr>
          <w:rFonts w:eastAsia="Times New Roman" w:cs="Times New Roman"/>
          <w:color w:val="000000" w:themeColor="text1"/>
          <w:lang w:eastAsia="zh-CN"/>
        </w:rPr>
        <w:t xml:space="preserve"> are generally defined by their lifetime </w:t>
      </w:r>
      <w:r w:rsidR="00F93172" w:rsidRPr="00BF4C8D">
        <w:rPr>
          <w:rFonts w:eastAsia="Times New Roman" w:cs="Times New Roman"/>
          <w:color w:val="000000" w:themeColor="text1"/>
          <w:lang w:eastAsia="zh-CN"/>
        </w:rPr>
        <w:t xml:space="preserve">of </w:t>
      </w:r>
      <w:r w:rsidR="00F93172">
        <w:rPr>
          <w:rFonts w:eastAsia="Times New Roman" w:cs="Times New Roman"/>
          <w:color w:val="000000" w:themeColor="text1"/>
          <w:lang w:eastAsia="zh-CN"/>
        </w:rPr>
        <w:t>three</w:t>
      </w:r>
      <w:r w:rsidRPr="00BF4C8D">
        <w:rPr>
          <w:rFonts w:eastAsia="Times New Roman" w:cs="Times New Roman"/>
          <w:color w:val="000000" w:themeColor="text1"/>
          <w:lang w:eastAsia="zh-CN"/>
        </w:rPr>
        <w:t xml:space="preserve"> or more years. This study focuses on two types of perennial energy crops: herbaceous crops (in this case mostly giant grasses) and short rotation coppice (SRC), in which re</w:t>
      </w:r>
      <w:r w:rsidR="00BF4C8D">
        <w:rPr>
          <w:rFonts w:eastAsia="Times New Roman" w:cs="Times New Roman"/>
          <w:color w:val="000000" w:themeColor="text1"/>
          <w:lang w:eastAsia="zh-CN"/>
        </w:rPr>
        <w:t>-</w:t>
      </w:r>
      <w:r w:rsidRPr="00BF4C8D">
        <w:rPr>
          <w:rFonts w:eastAsia="Times New Roman" w:cs="Times New Roman"/>
          <w:color w:val="000000" w:themeColor="text1"/>
          <w:lang w:eastAsia="zh-CN"/>
        </w:rPr>
        <w:t xml:space="preserve">sprouting woody crops are harvested mechanically on a </w:t>
      </w:r>
      <w:r w:rsidR="00F93172" w:rsidRPr="00BF4C8D">
        <w:rPr>
          <w:rFonts w:eastAsia="Times New Roman" w:cs="Times New Roman"/>
          <w:color w:val="000000" w:themeColor="text1"/>
          <w:lang w:eastAsia="zh-CN"/>
        </w:rPr>
        <w:t>2-3-year</w:t>
      </w:r>
      <w:r w:rsidRPr="00BF4C8D">
        <w:rPr>
          <w:rFonts w:eastAsia="Times New Roman" w:cs="Times New Roman"/>
          <w:color w:val="000000" w:themeColor="text1"/>
          <w:lang w:eastAsia="zh-CN"/>
        </w:rPr>
        <w:t xml:space="preserve"> rotation. There are many advantages of perennial crops. Studies have shown beneficial land use changes when perennial grasses and SRC replace annual crops that have high fertilizer and pesticide requirements. Some studies also indicate that perennial crops planted in degraded lands provide a potential to improve soil carbon and abate erosion and salinity issues. There are also some potential barriers to adoption specifically around low return on investment for biomass. </w:t>
      </w:r>
      <w:bookmarkStart w:id="5" w:name="_Hlk532673418"/>
    </w:p>
    <w:p w14:paraId="4AC809A2" w14:textId="5EC77E30" w:rsidR="009A1AF0" w:rsidRPr="006F6AFA" w:rsidRDefault="009A1AF0" w:rsidP="00BF56E5">
      <w:pPr>
        <w:shd w:val="clear" w:color="auto" w:fill="FFFFFF"/>
        <w:spacing w:after="180"/>
        <w:rPr>
          <w:rFonts w:eastAsia="Times New Roman" w:cs="Times New Roman"/>
          <w:color w:val="000000" w:themeColor="text1"/>
          <w:lang w:eastAsia="zh-CN"/>
        </w:rPr>
      </w:pPr>
      <w:r w:rsidRPr="006F6AFA">
        <w:rPr>
          <w:rFonts w:eastAsia="Times New Roman" w:cs="Times New Roman"/>
          <w:color w:val="000000" w:themeColor="text1"/>
          <w:lang w:eastAsia="zh-CN"/>
        </w:rPr>
        <w:t>Total adoption</w:t>
      </w:r>
      <w:r w:rsidR="00951A59" w:rsidRPr="006F6AFA">
        <w:rPr>
          <w:rFonts w:eastAsia="Times New Roman" w:cs="Times New Roman"/>
          <w:color w:val="000000" w:themeColor="text1"/>
          <w:lang w:eastAsia="zh-CN"/>
        </w:rPr>
        <w:t xml:space="preserve"> of the </w:t>
      </w:r>
      <w:r w:rsidR="00BF4C8D" w:rsidRPr="006F6AFA">
        <w:rPr>
          <w:rFonts w:eastAsia="Times New Roman" w:cs="Times New Roman"/>
          <w:color w:val="000000" w:themeColor="text1"/>
          <w:lang w:eastAsia="zh-CN"/>
        </w:rPr>
        <w:t>perennial bio</w:t>
      </w:r>
      <w:r w:rsidR="00DA00D3">
        <w:rPr>
          <w:rFonts w:eastAsia="Times New Roman" w:cs="Times New Roman"/>
          <w:color w:val="000000" w:themeColor="text1"/>
          <w:lang w:eastAsia="zh-CN"/>
        </w:rPr>
        <w:t>mass</w:t>
      </w:r>
      <w:r w:rsidR="006F6AFA" w:rsidRPr="006F6AFA">
        <w:rPr>
          <w:rFonts w:eastAsia="Times New Roman" w:cs="Times New Roman"/>
          <w:color w:val="000000" w:themeColor="text1"/>
          <w:lang w:eastAsia="zh-CN"/>
        </w:rPr>
        <w:t xml:space="preserve"> in</w:t>
      </w:r>
      <w:r w:rsidRPr="006F6AFA">
        <w:rPr>
          <w:rFonts w:eastAsia="Times New Roman" w:cs="Times New Roman"/>
          <w:color w:val="000000" w:themeColor="text1"/>
          <w:lang w:eastAsia="zh-CN"/>
        </w:rPr>
        <w:t xml:space="preserve"> the </w:t>
      </w:r>
      <w:r w:rsidRPr="006F6AFA">
        <w:rPr>
          <w:rFonts w:eastAsia="Times New Roman" w:cs="Times New Roman"/>
          <w:i/>
          <w:iCs/>
          <w:color w:val="000000" w:themeColor="text1"/>
          <w:lang w:eastAsia="zh-CN"/>
        </w:rPr>
        <w:t>Plausible</w:t>
      </w:r>
      <w:r w:rsidRPr="006F6AFA">
        <w:rPr>
          <w:rFonts w:eastAsia="Times New Roman" w:cs="Times New Roman"/>
          <w:color w:val="000000" w:themeColor="text1"/>
          <w:lang w:eastAsia="zh-CN"/>
        </w:rPr>
        <w:t xml:space="preserve"> Scenario </w:t>
      </w:r>
      <w:r w:rsidR="006F6AFA" w:rsidRPr="006F6AFA">
        <w:rPr>
          <w:rFonts w:eastAsia="Times New Roman" w:cs="Times New Roman"/>
          <w:color w:val="000000" w:themeColor="text1"/>
          <w:lang w:eastAsia="zh-CN"/>
        </w:rPr>
        <w:t xml:space="preserve">is </w:t>
      </w:r>
      <w:r w:rsidR="007A2373">
        <w:rPr>
          <w:rFonts w:eastAsia="Times New Roman" w:cs="Times New Roman"/>
          <w:color w:val="000000" w:themeColor="text1"/>
          <w:lang w:eastAsia="zh-CN"/>
        </w:rPr>
        <w:t>96.39</w:t>
      </w:r>
      <w:r w:rsidR="00C675A0" w:rsidRPr="006F6AFA">
        <w:rPr>
          <w:rFonts w:eastAsia="Times New Roman" w:cs="Times New Roman"/>
          <w:color w:val="000000" w:themeColor="text1"/>
          <w:lang w:eastAsia="zh-CN"/>
        </w:rPr>
        <w:t xml:space="preserve"> million </w:t>
      </w:r>
      <w:r w:rsidR="003702BF" w:rsidRPr="006F6AFA">
        <w:rPr>
          <w:rFonts w:eastAsia="Times New Roman" w:cs="Times New Roman"/>
          <w:color w:val="000000" w:themeColor="text1"/>
          <w:lang w:eastAsia="zh-CN"/>
        </w:rPr>
        <w:t>hectares in</w:t>
      </w:r>
      <w:r w:rsidRPr="006F6AFA">
        <w:rPr>
          <w:rFonts w:eastAsia="Times New Roman" w:cs="Times New Roman"/>
          <w:color w:val="000000" w:themeColor="text1"/>
          <w:lang w:eastAsia="zh-CN"/>
        </w:rPr>
        <w:t xml:space="preserve"> 2050. Of this,</w:t>
      </w:r>
      <w:r w:rsidR="003702BF">
        <w:rPr>
          <w:rFonts w:eastAsia="Times New Roman" w:cs="Times New Roman"/>
          <w:color w:val="000000" w:themeColor="text1"/>
          <w:lang w:eastAsia="zh-CN"/>
        </w:rPr>
        <w:t xml:space="preserve"> </w:t>
      </w:r>
      <w:r w:rsidR="00B257CA">
        <w:rPr>
          <w:rFonts w:eastAsia="Times New Roman" w:cs="Times New Roman"/>
          <w:color w:val="000000" w:themeColor="text1"/>
          <w:lang w:eastAsia="zh-CN"/>
        </w:rPr>
        <w:t>96.12</w:t>
      </w:r>
      <w:r w:rsidRPr="006F6AFA">
        <w:rPr>
          <w:rFonts w:eastAsia="Times New Roman" w:cs="Times New Roman"/>
          <w:color w:val="000000" w:themeColor="text1"/>
          <w:lang w:eastAsia="zh-CN"/>
        </w:rPr>
        <w:t xml:space="preserve"> hectares are adopted from 2020-2050. The </w:t>
      </w:r>
      <w:r w:rsidR="00D952D8" w:rsidRPr="006F6AFA">
        <w:rPr>
          <w:rFonts w:eastAsia="Times New Roman" w:cs="Times New Roman"/>
          <w:color w:val="000000" w:themeColor="text1"/>
          <w:lang w:eastAsia="zh-CN"/>
        </w:rPr>
        <w:t>combined</w:t>
      </w:r>
      <w:r w:rsidR="00FF7B3A" w:rsidRPr="006F6AFA">
        <w:rPr>
          <w:rFonts w:eastAsia="Times New Roman" w:cs="Times New Roman"/>
          <w:color w:val="000000" w:themeColor="text1"/>
          <w:lang w:eastAsia="zh-CN"/>
        </w:rPr>
        <w:t xml:space="preserve"> carbon</w:t>
      </w:r>
      <w:r w:rsidR="00D952D8" w:rsidRPr="006F6AFA">
        <w:rPr>
          <w:rFonts w:eastAsia="Times New Roman" w:cs="Times New Roman"/>
          <w:color w:val="000000" w:themeColor="text1"/>
          <w:lang w:eastAsia="zh-CN"/>
        </w:rPr>
        <w:t xml:space="preserve"> sequestration and emissions reduction</w:t>
      </w:r>
      <w:r w:rsidRPr="006F6AFA">
        <w:rPr>
          <w:rFonts w:eastAsia="Times New Roman" w:cs="Times New Roman"/>
          <w:color w:val="000000" w:themeColor="text1"/>
          <w:lang w:eastAsia="zh-CN"/>
        </w:rPr>
        <w:t xml:space="preserve"> impact of this scenario is</w:t>
      </w:r>
      <w:r w:rsidR="007F03F0">
        <w:rPr>
          <w:rFonts w:eastAsia="Times New Roman" w:cs="Times New Roman"/>
          <w:color w:val="000000" w:themeColor="text1"/>
          <w:lang w:eastAsia="zh-CN"/>
        </w:rPr>
        <w:t xml:space="preserve"> </w:t>
      </w:r>
      <w:r w:rsidR="007A2373" w:rsidRPr="007A2373">
        <w:rPr>
          <w:rFonts w:eastAsia="Times New Roman" w:cs="Times New Roman"/>
          <w:color w:val="000000" w:themeColor="text1"/>
          <w:lang w:eastAsia="zh-CN"/>
        </w:rPr>
        <w:t>3.76</w:t>
      </w:r>
      <w:r w:rsidRPr="006F6AFA">
        <w:rPr>
          <w:rFonts w:eastAsia="Times New Roman" w:cs="Times New Roman"/>
          <w:color w:val="000000" w:themeColor="text1"/>
          <w:lang w:eastAsia="zh-CN"/>
        </w:rPr>
        <w:t xml:space="preserve"> gigatons of carbon dioxide-equivalent </w:t>
      </w:r>
      <w:r w:rsidR="00A5055F" w:rsidRPr="006F6AFA">
        <w:rPr>
          <w:rFonts w:eastAsia="Times New Roman" w:cs="Times New Roman"/>
          <w:color w:val="000000" w:themeColor="text1"/>
          <w:lang w:eastAsia="zh-CN"/>
        </w:rPr>
        <w:t>between 2020-</w:t>
      </w:r>
      <w:r w:rsidRPr="006F6AFA">
        <w:rPr>
          <w:rFonts w:eastAsia="Times New Roman" w:cs="Times New Roman"/>
          <w:color w:val="000000" w:themeColor="text1"/>
          <w:lang w:eastAsia="zh-CN"/>
        </w:rPr>
        <w:t xml:space="preserve">2050. </w:t>
      </w:r>
      <w:r w:rsidR="00DF450E" w:rsidRPr="006F6AFA">
        <w:rPr>
          <w:rFonts w:eastAsia="Times New Roman" w:cs="Times New Roman"/>
          <w:color w:val="000000" w:themeColor="text1"/>
          <w:lang w:eastAsia="zh-CN"/>
        </w:rPr>
        <w:t>Net profit margin is</w:t>
      </w:r>
      <w:r w:rsidR="007F03F0">
        <w:rPr>
          <w:rFonts w:eastAsia="Times New Roman" w:cs="Times New Roman"/>
          <w:color w:val="000000" w:themeColor="text1"/>
          <w:lang w:eastAsia="zh-CN"/>
        </w:rPr>
        <w:t xml:space="preserve"> </w:t>
      </w:r>
      <w:r w:rsidR="007A2373">
        <w:rPr>
          <w:rFonts w:eastAsia="Times New Roman" w:cs="Times New Roman"/>
          <w:color w:val="000000" w:themeColor="text1"/>
          <w:lang w:eastAsia="zh-CN"/>
        </w:rPr>
        <w:t>724.56</w:t>
      </w:r>
      <w:r w:rsidR="00DF450E" w:rsidRPr="006F6AFA">
        <w:rPr>
          <w:rFonts w:eastAsia="Times New Roman" w:cs="Times New Roman"/>
          <w:color w:val="000000" w:themeColor="text1"/>
          <w:lang w:eastAsia="zh-CN"/>
        </w:rPr>
        <w:t xml:space="preserve"> 2014 USD.</w:t>
      </w:r>
    </w:p>
    <w:p w14:paraId="656AEAF6" w14:textId="52ACD5E0" w:rsidR="00B6271F" w:rsidRPr="00BF4C8D" w:rsidRDefault="009A1AF0" w:rsidP="00BF56E5">
      <w:pPr>
        <w:shd w:val="clear" w:color="auto" w:fill="FFFFFF"/>
        <w:spacing w:after="180"/>
        <w:rPr>
          <w:rFonts w:eastAsia="Times New Roman" w:cs="Times New Roman"/>
          <w:color w:val="000000" w:themeColor="text1"/>
          <w:highlight w:val="yellow"/>
          <w:lang w:eastAsia="zh-CN"/>
        </w:rPr>
      </w:pPr>
      <w:r w:rsidRPr="009F78A6">
        <w:rPr>
          <w:rFonts w:eastAsia="Times New Roman" w:cs="Times New Roman"/>
          <w:color w:val="000000" w:themeColor="text1"/>
          <w:lang w:eastAsia="zh-CN"/>
        </w:rPr>
        <w:t>Total adoption in the </w:t>
      </w:r>
      <w:r w:rsidRPr="009F78A6">
        <w:rPr>
          <w:rFonts w:eastAsia="Times New Roman" w:cs="Times New Roman"/>
          <w:i/>
          <w:iCs/>
          <w:color w:val="000000" w:themeColor="text1"/>
          <w:lang w:eastAsia="zh-CN"/>
        </w:rPr>
        <w:t>Drawdown</w:t>
      </w:r>
      <w:r w:rsidRPr="009F78A6">
        <w:rPr>
          <w:rFonts w:eastAsia="Times New Roman" w:cs="Times New Roman"/>
          <w:color w:val="000000" w:themeColor="text1"/>
          <w:lang w:eastAsia="zh-CN"/>
        </w:rPr>
        <w:t> Scenario is</w:t>
      </w:r>
      <w:r w:rsidR="003702BF" w:rsidRPr="009F78A6">
        <w:rPr>
          <w:rFonts w:eastAsia="Times New Roman" w:cs="Times New Roman"/>
          <w:color w:val="000000" w:themeColor="text1"/>
          <w:lang w:eastAsia="zh-CN"/>
        </w:rPr>
        <w:t xml:space="preserve"> </w:t>
      </w:r>
      <w:r w:rsidR="007A2373" w:rsidRPr="007A2373">
        <w:rPr>
          <w:rFonts w:eastAsia="Times New Roman" w:cs="Times New Roman"/>
          <w:color w:val="000000" w:themeColor="text1"/>
          <w:lang w:eastAsia="zh-CN"/>
        </w:rPr>
        <w:t xml:space="preserve">143.55 </w:t>
      </w:r>
      <w:r w:rsidR="00485FB2" w:rsidRPr="009F78A6">
        <w:rPr>
          <w:rFonts w:eastAsia="Times New Roman" w:cs="Times New Roman"/>
          <w:color w:val="000000" w:themeColor="text1"/>
          <w:lang w:eastAsia="zh-CN"/>
        </w:rPr>
        <w:t>hectares</w:t>
      </w:r>
      <w:r w:rsidRPr="009F78A6">
        <w:rPr>
          <w:rFonts w:eastAsia="Times New Roman" w:cs="Times New Roman"/>
          <w:color w:val="000000" w:themeColor="text1"/>
          <w:lang w:eastAsia="zh-CN"/>
        </w:rPr>
        <w:t xml:space="preserve"> in 2050, representing </w:t>
      </w:r>
      <w:r w:rsidR="007A2373">
        <w:rPr>
          <w:rFonts w:eastAsia="Times New Roman" w:cs="Times New Roman"/>
          <w:color w:val="000000" w:themeColor="text1"/>
          <w:lang w:eastAsia="zh-CN"/>
        </w:rPr>
        <w:t>93</w:t>
      </w:r>
      <w:r w:rsidRPr="009F78A6">
        <w:rPr>
          <w:rFonts w:eastAsia="Times New Roman" w:cs="Times New Roman"/>
          <w:color w:val="000000" w:themeColor="text1"/>
          <w:lang w:eastAsia="zh-CN"/>
        </w:rPr>
        <w:t xml:space="preserve"> percent of the total suitable land. Of </w:t>
      </w:r>
      <w:r w:rsidR="00485FB2" w:rsidRPr="009F78A6">
        <w:rPr>
          <w:rFonts w:eastAsia="Times New Roman" w:cs="Times New Roman"/>
          <w:color w:val="000000" w:themeColor="text1"/>
          <w:lang w:eastAsia="zh-CN"/>
        </w:rPr>
        <w:t>this, 1</w:t>
      </w:r>
      <w:r w:rsidR="00B257CA">
        <w:rPr>
          <w:rFonts w:eastAsia="Times New Roman" w:cs="Times New Roman"/>
          <w:color w:val="000000" w:themeColor="text1"/>
          <w:lang w:eastAsia="zh-CN"/>
        </w:rPr>
        <w:t xml:space="preserve">43.28 </w:t>
      </w:r>
      <w:r w:rsidR="00485FB2" w:rsidRPr="009F78A6">
        <w:rPr>
          <w:rFonts w:eastAsia="Times New Roman" w:cs="Times New Roman"/>
          <w:color w:val="000000" w:themeColor="text1"/>
          <w:lang w:eastAsia="zh-CN"/>
        </w:rPr>
        <w:t>million</w:t>
      </w:r>
      <w:r w:rsidRPr="009F78A6">
        <w:rPr>
          <w:rFonts w:eastAsia="Times New Roman" w:cs="Times New Roman"/>
          <w:color w:val="000000" w:themeColor="text1"/>
          <w:lang w:eastAsia="zh-CN"/>
        </w:rPr>
        <w:t xml:space="preserve"> hectares are adopted from 2020-2050. </w:t>
      </w:r>
      <w:r w:rsidR="00B6271F" w:rsidRPr="009F78A6">
        <w:rPr>
          <w:rFonts w:eastAsia="Times New Roman" w:cs="Times New Roman"/>
          <w:color w:val="000000" w:themeColor="text1"/>
          <w:lang w:eastAsia="zh-CN"/>
        </w:rPr>
        <w:t xml:space="preserve">The combined sequestration and emissions reduction impact of this scenario is </w:t>
      </w:r>
      <w:r w:rsidR="007A2373">
        <w:rPr>
          <w:rFonts w:eastAsia="Times New Roman" w:cs="Times New Roman"/>
          <w:color w:val="000000" w:themeColor="text1"/>
          <w:lang w:eastAsia="zh-CN"/>
        </w:rPr>
        <w:t>5.58</w:t>
      </w:r>
      <w:r w:rsidR="00BF4C8D" w:rsidRPr="009F78A6">
        <w:rPr>
          <w:rFonts w:eastAsia="Times New Roman" w:cs="Times New Roman"/>
          <w:color w:val="000000" w:themeColor="text1"/>
          <w:lang w:eastAsia="zh-CN"/>
        </w:rPr>
        <w:t xml:space="preserve"> </w:t>
      </w:r>
      <w:r w:rsidR="00B6271F" w:rsidRPr="009F78A6">
        <w:rPr>
          <w:rFonts w:eastAsia="Times New Roman" w:cs="Times New Roman"/>
          <w:color w:val="000000" w:themeColor="text1"/>
          <w:lang w:eastAsia="zh-CN"/>
        </w:rPr>
        <w:t>gigatons of carbon dioxide-equivalent between 2020-2050. Net profit margin is</w:t>
      </w:r>
      <w:r w:rsidR="00485FB2">
        <w:rPr>
          <w:rFonts w:eastAsia="Times New Roman" w:cs="Times New Roman"/>
          <w:color w:val="000000" w:themeColor="text1"/>
          <w:lang w:eastAsia="zh-CN"/>
        </w:rPr>
        <w:t xml:space="preserve"> </w:t>
      </w:r>
      <w:r w:rsidR="007A2373">
        <w:rPr>
          <w:rFonts w:eastAsia="Times New Roman" w:cs="Times New Roman"/>
          <w:color w:val="000000" w:themeColor="text1"/>
          <w:lang w:eastAsia="zh-CN"/>
        </w:rPr>
        <w:t>1091.43</w:t>
      </w:r>
      <w:r w:rsidR="00485FB2" w:rsidRPr="009F78A6">
        <w:rPr>
          <w:rFonts w:eastAsia="Times New Roman" w:cs="Times New Roman"/>
          <w:color w:val="000000" w:themeColor="text1"/>
          <w:lang w:eastAsia="zh-CN"/>
        </w:rPr>
        <w:t xml:space="preserve"> billion</w:t>
      </w:r>
      <w:r w:rsidR="00B6271F" w:rsidRPr="009F78A6">
        <w:rPr>
          <w:rFonts w:eastAsia="Times New Roman" w:cs="Times New Roman"/>
          <w:color w:val="000000" w:themeColor="text1"/>
          <w:lang w:eastAsia="zh-CN"/>
        </w:rPr>
        <w:t xml:space="preserve"> 2014 US</w:t>
      </w:r>
      <w:r w:rsidR="00B6271F" w:rsidRPr="00485FB2">
        <w:rPr>
          <w:rFonts w:eastAsia="Times New Roman" w:cs="Times New Roman"/>
          <w:color w:val="000000" w:themeColor="text1"/>
          <w:lang w:eastAsia="zh-CN"/>
        </w:rPr>
        <w:t>D.</w:t>
      </w:r>
    </w:p>
    <w:p w14:paraId="35505542" w14:textId="2F387A42" w:rsidR="00B6271F" w:rsidRDefault="00B6271F" w:rsidP="00BF56E5">
      <w:pPr>
        <w:shd w:val="clear" w:color="auto" w:fill="FFFFFF"/>
        <w:spacing w:after="180"/>
        <w:rPr>
          <w:rFonts w:eastAsia="Times New Roman" w:cs="Times New Roman"/>
          <w:color w:val="000000" w:themeColor="text1"/>
          <w:lang w:eastAsia="zh-CN"/>
        </w:rPr>
      </w:pPr>
      <w:r w:rsidRPr="00485FB2">
        <w:rPr>
          <w:rFonts w:eastAsia="Times New Roman" w:cs="Times New Roman"/>
          <w:color w:val="000000" w:themeColor="text1"/>
          <w:lang w:eastAsia="zh-CN"/>
        </w:rPr>
        <w:t>Total adoption in the </w:t>
      </w:r>
      <w:r w:rsidRPr="00485FB2">
        <w:rPr>
          <w:rFonts w:eastAsia="Times New Roman" w:cs="Times New Roman"/>
          <w:i/>
          <w:iCs/>
          <w:color w:val="000000" w:themeColor="text1"/>
          <w:lang w:eastAsia="zh-CN"/>
        </w:rPr>
        <w:t>Optimum</w:t>
      </w:r>
      <w:r w:rsidRPr="00485FB2">
        <w:rPr>
          <w:rFonts w:eastAsia="Times New Roman" w:cs="Times New Roman"/>
          <w:color w:val="000000" w:themeColor="text1"/>
          <w:lang w:eastAsia="zh-CN"/>
        </w:rPr>
        <w:t xml:space="preserve"> Scenario </w:t>
      </w:r>
      <w:r w:rsidR="00485FB2" w:rsidRPr="00485FB2">
        <w:rPr>
          <w:rFonts w:eastAsia="Times New Roman" w:cs="Times New Roman"/>
          <w:color w:val="000000" w:themeColor="text1"/>
          <w:lang w:eastAsia="zh-CN"/>
        </w:rPr>
        <w:t xml:space="preserve">is </w:t>
      </w:r>
      <w:r w:rsidR="007A2373">
        <w:rPr>
          <w:rFonts w:eastAsia="Times New Roman" w:cs="Times New Roman"/>
          <w:color w:val="000000" w:themeColor="text1"/>
          <w:lang w:eastAsia="zh-CN"/>
        </w:rPr>
        <w:t>154</w:t>
      </w:r>
      <w:r w:rsidR="00BF4C8D" w:rsidRPr="00485FB2">
        <w:rPr>
          <w:rFonts w:eastAsia="Times New Roman" w:cs="Times New Roman"/>
          <w:color w:val="000000" w:themeColor="text1"/>
          <w:lang w:eastAsia="zh-CN"/>
        </w:rPr>
        <w:t xml:space="preserve"> </w:t>
      </w:r>
      <w:r w:rsidRPr="00485FB2">
        <w:rPr>
          <w:rFonts w:eastAsia="Times New Roman" w:cs="Times New Roman"/>
          <w:color w:val="000000" w:themeColor="text1"/>
          <w:lang w:eastAsia="zh-CN"/>
        </w:rPr>
        <w:t xml:space="preserve">million hectares in 2050, representing </w:t>
      </w:r>
      <w:r w:rsidR="00C771E4" w:rsidRPr="00485FB2">
        <w:rPr>
          <w:rFonts w:eastAsia="Times New Roman" w:cs="Times New Roman"/>
          <w:color w:val="000000" w:themeColor="text1"/>
          <w:lang w:eastAsia="zh-CN"/>
        </w:rPr>
        <w:t>100</w:t>
      </w:r>
      <w:r w:rsidRPr="00485FB2">
        <w:rPr>
          <w:rFonts w:eastAsia="Times New Roman" w:cs="Times New Roman"/>
          <w:color w:val="000000" w:themeColor="text1"/>
          <w:lang w:eastAsia="zh-CN"/>
        </w:rPr>
        <w:t xml:space="preserve"> percent of the total suitable land. Of this,</w:t>
      </w:r>
      <w:r w:rsidR="00485FB2" w:rsidRPr="00485FB2">
        <w:rPr>
          <w:rFonts w:eastAsia="Times New Roman" w:cs="Times New Roman"/>
          <w:color w:val="000000" w:themeColor="text1"/>
          <w:lang w:eastAsia="zh-CN"/>
        </w:rPr>
        <w:t xml:space="preserve"> </w:t>
      </w:r>
      <w:r w:rsidR="00B257CA">
        <w:rPr>
          <w:rFonts w:eastAsia="Times New Roman" w:cs="Times New Roman"/>
          <w:color w:val="000000" w:themeColor="text1"/>
          <w:lang w:eastAsia="zh-CN"/>
        </w:rPr>
        <w:t>154.06</w:t>
      </w:r>
      <w:r w:rsidR="00485FB2">
        <w:rPr>
          <w:rFonts w:eastAsia="Times New Roman" w:cs="Times New Roman"/>
          <w:color w:val="000000" w:themeColor="text1"/>
          <w:lang w:eastAsia="zh-CN"/>
        </w:rPr>
        <w:t xml:space="preserve"> </w:t>
      </w:r>
      <w:r w:rsidR="00971899" w:rsidRPr="00485FB2">
        <w:rPr>
          <w:rFonts w:eastAsia="Times New Roman" w:cs="Times New Roman"/>
          <w:color w:val="000000" w:themeColor="text1"/>
          <w:lang w:eastAsia="zh-CN"/>
        </w:rPr>
        <w:t>million</w:t>
      </w:r>
      <w:r w:rsidRPr="00485FB2">
        <w:rPr>
          <w:rFonts w:eastAsia="Times New Roman" w:cs="Times New Roman"/>
          <w:color w:val="000000" w:themeColor="text1"/>
          <w:lang w:eastAsia="zh-CN"/>
        </w:rPr>
        <w:t xml:space="preserve"> hectares are adopted from 2020-2050. The combined sequestration and emissions reduction impact of this scenario is</w:t>
      </w:r>
      <w:r w:rsidR="007A2373">
        <w:rPr>
          <w:rFonts w:eastAsia="Times New Roman" w:cs="Times New Roman"/>
          <w:color w:val="000000" w:themeColor="text1"/>
          <w:lang w:eastAsia="zh-CN"/>
        </w:rPr>
        <w:t xml:space="preserve"> 5.92 </w:t>
      </w:r>
      <w:r w:rsidRPr="00485FB2">
        <w:rPr>
          <w:rFonts w:eastAsia="Times New Roman" w:cs="Times New Roman"/>
          <w:color w:val="000000" w:themeColor="text1"/>
          <w:lang w:eastAsia="zh-CN"/>
        </w:rPr>
        <w:t xml:space="preserve">gigatons of carbon dioxide-equivalent between 2020-2050. Net profit margin is </w:t>
      </w:r>
      <w:r w:rsidR="007A2373">
        <w:rPr>
          <w:rFonts w:eastAsia="Times New Roman" w:cs="Times New Roman"/>
          <w:color w:val="000000" w:themeColor="text1"/>
          <w:lang w:eastAsia="zh-CN"/>
        </w:rPr>
        <w:t>1071.92</w:t>
      </w:r>
      <w:r w:rsidR="00BF4C8D" w:rsidRPr="00485FB2">
        <w:rPr>
          <w:rFonts w:eastAsia="Times New Roman" w:cs="Times New Roman"/>
          <w:color w:val="000000" w:themeColor="text1"/>
          <w:lang w:eastAsia="zh-CN"/>
        </w:rPr>
        <w:t xml:space="preserve"> </w:t>
      </w:r>
      <w:r w:rsidRPr="00485FB2">
        <w:rPr>
          <w:rFonts w:eastAsia="Times New Roman" w:cs="Times New Roman"/>
          <w:color w:val="000000" w:themeColor="text1"/>
          <w:lang w:eastAsia="zh-CN"/>
        </w:rPr>
        <w:t>billion 2014 USD.</w:t>
      </w:r>
    </w:p>
    <w:p w14:paraId="34916870" w14:textId="1201219B" w:rsidR="00E815C8" w:rsidRDefault="551A77D0" w:rsidP="0047117A">
      <w:pPr>
        <w:pStyle w:val="Heading1"/>
      </w:pPr>
      <w:bookmarkStart w:id="6" w:name="_Toc25888657"/>
      <w:bookmarkEnd w:id="5"/>
      <w:r w:rsidRPr="00EB247F">
        <w:lastRenderedPageBreak/>
        <w:t>Literature Review</w:t>
      </w:r>
      <w:bookmarkEnd w:id="6"/>
    </w:p>
    <w:p w14:paraId="05406D4C" w14:textId="3D145BD1" w:rsidR="006A4A08" w:rsidRPr="00EB247F" w:rsidRDefault="551A77D0" w:rsidP="0047117A">
      <w:pPr>
        <w:pStyle w:val="Heading2"/>
      </w:pPr>
      <w:bookmarkStart w:id="7" w:name="_Toc25888658"/>
      <w:r w:rsidRPr="00EB247F">
        <w:t xml:space="preserve">State of </w:t>
      </w:r>
      <w:r w:rsidR="0088139D" w:rsidRPr="0088139D">
        <w:t>the Practice</w:t>
      </w:r>
      <w:bookmarkEnd w:id="7"/>
    </w:p>
    <w:p w14:paraId="4F20F000" w14:textId="5230C663" w:rsidR="00C22F81" w:rsidRDefault="007117BC" w:rsidP="00A9574A">
      <w:pPr>
        <w:rPr>
          <w:bCs/>
        </w:rPr>
      </w:pPr>
      <w:r>
        <w:rPr>
          <w:rFonts w:eastAsia="Times New Roman" w:cs="Times New Roman"/>
          <w:color w:val="000000" w:themeColor="text1"/>
          <w:lang w:eastAsia="zh-CN"/>
        </w:rPr>
        <w:t>Global demand for biomass for bioenergy is increasing</w:t>
      </w:r>
      <w:r w:rsidR="0019335A">
        <w:rPr>
          <w:rFonts w:eastAsia="Times New Roman" w:cs="Times New Roman"/>
          <w:color w:val="000000" w:themeColor="text1"/>
          <w:lang w:eastAsia="zh-CN"/>
        </w:rPr>
        <w:t>,</w:t>
      </w:r>
      <w:r>
        <w:rPr>
          <w:rFonts w:eastAsia="Times New Roman" w:cs="Times New Roman"/>
          <w:color w:val="000000" w:themeColor="text1"/>
          <w:lang w:eastAsia="zh-CN"/>
        </w:rPr>
        <w:t xml:space="preserve"> particularly in industrialized countries. </w:t>
      </w:r>
      <w:r w:rsidR="00644691" w:rsidRPr="00BF4C8D">
        <w:rPr>
          <w:rFonts w:eastAsia="Times New Roman" w:cs="Times New Roman"/>
          <w:color w:val="000000" w:themeColor="text1"/>
          <w:lang w:eastAsia="zh-CN"/>
        </w:rPr>
        <w:t>Biomass feedstock may contribute up to 2% to the world’s</w:t>
      </w:r>
      <w:r w:rsidR="00644691">
        <w:rPr>
          <w:rFonts w:eastAsia="Times New Roman" w:cs="Times New Roman"/>
          <w:color w:val="000000" w:themeColor="text1"/>
          <w:lang w:eastAsia="zh-CN"/>
        </w:rPr>
        <w:t xml:space="preserve"> energy</w:t>
      </w:r>
      <w:r w:rsidR="00644691" w:rsidRPr="00BF4C8D">
        <w:rPr>
          <w:rFonts w:eastAsia="Times New Roman" w:cs="Times New Roman"/>
          <w:color w:val="000000" w:themeColor="text1"/>
          <w:lang w:eastAsia="zh-CN"/>
        </w:rPr>
        <w:t xml:space="preserve"> generation </w:t>
      </w:r>
      <w:r w:rsidR="00644691">
        <w:rPr>
          <w:rFonts w:eastAsia="Times New Roman" w:cs="Times New Roman"/>
          <w:color w:val="000000" w:themeColor="text1"/>
          <w:lang w:eastAsia="zh-CN"/>
        </w:rPr>
        <w:t>by</w:t>
      </w:r>
      <w:r w:rsidR="00644691" w:rsidRPr="00BF4C8D">
        <w:rPr>
          <w:rFonts w:eastAsia="Times New Roman" w:cs="Times New Roman"/>
          <w:color w:val="000000" w:themeColor="text1"/>
          <w:lang w:eastAsia="zh-CN"/>
        </w:rPr>
        <w:t xml:space="preserve"> 2050</w:t>
      </w:r>
      <w:r w:rsidR="00A9574A" w:rsidRPr="002C6777">
        <w:rPr>
          <w:bCs/>
        </w:rPr>
        <w:t>1</w:t>
      </w:r>
      <w:r w:rsidR="00A9574A">
        <w:rPr>
          <w:rStyle w:val="FootnoteReference"/>
          <w:bCs/>
        </w:rPr>
        <w:footnoteReference w:id="1"/>
      </w:r>
      <w:r w:rsidR="00A9574A">
        <w:rPr>
          <w:bCs/>
        </w:rPr>
        <w:t xml:space="preserve">. </w:t>
      </w:r>
      <w:r>
        <w:rPr>
          <w:bCs/>
        </w:rPr>
        <w:t>P</w:t>
      </w:r>
      <w:r w:rsidR="00A9574A">
        <w:rPr>
          <w:bCs/>
        </w:rPr>
        <w:t>erennial</w:t>
      </w:r>
      <w:r>
        <w:rPr>
          <w:bCs/>
        </w:rPr>
        <w:t xml:space="preserve"> energy</w:t>
      </w:r>
      <w:r w:rsidR="00A9574A">
        <w:rPr>
          <w:bCs/>
        </w:rPr>
        <w:t xml:space="preserve"> crops </w:t>
      </w:r>
      <w:r>
        <w:rPr>
          <w:bCs/>
        </w:rPr>
        <w:t>grown on abandoned and degraded land can replace fossil fuel use and contribute to low carbon future</w:t>
      </w:r>
      <w:r w:rsidR="00A9574A">
        <w:rPr>
          <w:bCs/>
        </w:rPr>
        <w:t>. Perennial biomass energy crops</w:t>
      </w:r>
      <w:r>
        <w:rPr>
          <w:bCs/>
        </w:rPr>
        <w:t xml:space="preserve"> such as willow, poplar, miscanthus have </w:t>
      </w:r>
      <w:r w:rsidR="00A9574A">
        <w:rPr>
          <w:bCs/>
        </w:rPr>
        <w:t>naturally high productivity</w:t>
      </w:r>
      <w:r>
        <w:rPr>
          <w:bCs/>
        </w:rPr>
        <w:t xml:space="preserve"> – high energy </w:t>
      </w:r>
      <w:r w:rsidR="00C22F81">
        <w:rPr>
          <w:bCs/>
        </w:rPr>
        <w:t>output</w:t>
      </w:r>
      <w:r w:rsidR="00A9574A">
        <w:rPr>
          <w:bCs/>
        </w:rPr>
        <w:t>,</w:t>
      </w:r>
      <w:r w:rsidR="00C22F81">
        <w:rPr>
          <w:bCs/>
        </w:rPr>
        <w:t xml:space="preserve"> low greenhouse gas emissions,</w:t>
      </w:r>
      <w:r w:rsidR="00A9574A">
        <w:rPr>
          <w:bCs/>
        </w:rPr>
        <w:t xml:space="preserve"> need</w:t>
      </w:r>
      <w:r w:rsidR="00C22F81">
        <w:rPr>
          <w:bCs/>
        </w:rPr>
        <w:t xml:space="preserve"> less fertilizers and pesticides when compared to </w:t>
      </w:r>
      <w:r w:rsidR="004E395C">
        <w:rPr>
          <w:bCs/>
        </w:rPr>
        <w:t>annual crops like maize and rapeseed</w:t>
      </w:r>
      <w:r w:rsidR="0061673E">
        <w:rPr>
          <w:bCs/>
        </w:rPr>
        <w:t>.</w:t>
      </w:r>
      <w:r w:rsidR="00A9574A">
        <w:rPr>
          <w:rStyle w:val="FootnoteReference"/>
          <w:bCs/>
        </w:rPr>
        <w:footnoteReference w:id="2"/>
      </w:r>
      <w:r w:rsidR="00A9574A">
        <w:rPr>
          <w:bCs/>
        </w:rPr>
        <w:t xml:space="preserve"> A study by </w:t>
      </w:r>
      <w:proofErr w:type="spellStart"/>
      <w:r w:rsidR="00A9574A">
        <w:rPr>
          <w:bCs/>
        </w:rPr>
        <w:t>Zucaro</w:t>
      </w:r>
      <w:proofErr w:type="spellEnd"/>
      <w:r w:rsidR="00A9574A">
        <w:rPr>
          <w:bCs/>
        </w:rPr>
        <w:t xml:space="preserve"> et al</w:t>
      </w:r>
      <w:bookmarkStart w:id="8" w:name="_Ref464639965"/>
      <w:r w:rsidR="00A9574A">
        <w:rPr>
          <w:rStyle w:val="FootnoteReference"/>
          <w:bCs/>
        </w:rPr>
        <w:footnoteReference w:id="3"/>
      </w:r>
      <w:bookmarkEnd w:id="8"/>
      <w:r w:rsidR="00A9574A">
        <w:rPr>
          <w:bCs/>
        </w:rPr>
        <w:t xml:space="preserve"> clearly shows through a direct comparison of sorghum (annual crop) and giant reed (perennial crop) in the Mediterranean region that the p</w:t>
      </w:r>
      <w:r w:rsidR="00A9574A" w:rsidRPr="00AE5554">
        <w:rPr>
          <w:bCs/>
        </w:rPr>
        <w:t xml:space="preserve">erennial </w:t>
      </w:r>
      <w:r w:rsidR="00A9574A">
        <w:rPr>
          <w:bCs/>
        </w:rPr>
        <w:t>crop resulted in substan</w:t>
      </w:r>
      <w:r w:rsidR="00A9574A" w:rsidRPr="00AE5554">
        <w:rPr>
          <w:bCs/>
        </w:rPr>
        <w:t xml:space="preserve">tially higher environmental beneﬁts than </w:t>
      </w:r>
      <w:r w:rsidR="00A9574A">
        <w:rPr>
          <w:bCs/>
        </w:rPr>
        <w:t>corn</w:t>
      </w:r>
      <w:r w:rsidR="00A9574A" w:rsidRPr="00AE5554">
        <w:rPr>
          <w:bCs/>
        </w:rPr>
        <w:t xml:space="preserve"> due to</w:t>
      </w:r>
      <w:r w:rsidR="00A9574A">
        <w:rPr>
          <w:bCs/>
        </w:rPr>
        <w:t xml:space="preserve"> </w:t>
      </w:r>
      <w:r w:rsidR="00A9574A" w:rsidRPr="00AE5554">
        <w:rPr>
          <w:bCs/>
        </w:rPr>
        <w:t>reduced input</w:t>
      </w:r>
      <w:r w:rsidR="00A9574A">
        <w:rPr>
          <w:bCs/>
        </w:rPr>
        <w:t>s</w:t>
      </w:r>
      <w:r w:rsidR="00A9574A" w:rsidRPr="00AE5554">
        <w:rPr>
          <w:bCs/>
        </w:rPr>
        <w:t xml:space="preserve"> and emissions fr</w:t>
      </w:r>
      <w:r w:rsidR="00A9574A">
        <w:rPr>
          <w:bCs/>
        </w:rPr>
        <w:t>om</w:t>
      </w:r>
      <w:r w:rsidR="00A9574A" w:rsidRPr="00AE5554">
        <w:rPr>
          <w:bCs/>
        </w:rPr>
        <w:t xml:space="preserve"> establishing crops</w:t>
      </w:r>
      <w:r w:rsidR="00A9574A">
        <w:rPr>
          <w:bCs/>
        </w:rPr>
        <w:t xml:space="preserve">, as well as </w:t>
      </w:r>
      <w:r w:rsidR="00A9574A" w:rsidRPr="00AE5554">
        <w:rPr>
          <w:bCs/>
        </w:rPr>
        <w:t>the potential of CO</w:t>
      </w:r>
      <w:r w:rsidR="00A9574A" w:rsidRPr="00E66DC5">
        <w:rPr>
          <w:bCs/>
          <w:vertAlign w:val="subscript"/>
        </w:rPr>
        <w:t>2</w:t>
      </w:r>
      <w:r w:rsidR="00A9574A">
        <w:rPr>
          <w:bCs/>
        </w:rPr>
        <w:t xml:space="preserve"> </w:t>
      </w:r>
      <w:r w:rsidR="00A9574A" w:rsidRPr="00AE5554">
        <w:rPr>
          <w:bCs/>
        </w:rPr>
        <w:t>sequestration in soil organic matter.</w:t>
      </w:r>
    </w:p>
    <w:p w14:paraId="356C0EFF" w14:textId="2F71768F" w:rsidR="00C22F81" w:rsidRDefault="00C22F81" w:rsidP="00C22F81">
      <w:pPr>
        <w:rPr>
          <w:bCs/>
        </w:rPr>
      </w:pPr>
      <w:r>
        <w:rPr>
          <w:bCs/>
        </w:rPr>
        <w:t xml:space="preserve">Perennial energy crops considered in this study are of two types: </w:t>
      </w:r>
    </w:p>
    <w:p w14:paraId="0D882E1F" w14:textId="77777777" w:rsidR="00C22F81" w:rsidRPr="00FC7820" w:rsidRDefault="00C22F81" w:rsidP="0043499D">
      <w:pPr>
        <w:pStyle w:val="ListParagraph"/>
        <w:numPr>
          <w:ilvl w:val="0"/>
          <w:numId w:val="6"/>
        </w:numPr>
        <w:spacing w:after="160" w:line="259" w:lineRule="auto"/>
        <w:jc w:val="left"/>
        <w:rPr>
          <w:b/>
          <w:bCs/>
        </w:rPr>
      </w:pPr>
      <w:r w:rsidRPr="00FC7820">
        <w:rPr>
          <w:b/>
          <w:bCs/>
        </w:rPr>
        <w:t xml:space="preserve">Herbaceous energy crops </w:t>
      </w:r>
    </w:p>
    <w:p w14:paraId="3C5E1ACD" w14:textId="77777777" w:rsidR="00C22F81" w:rsidRPr="00FC7820" w:rsidRDefault="00C22F81" w:rsidP="00C22F81">
      <w:pPr>
        <w:ind w:left="720"/>
        <w:rPr>
          <w:bCs/>
        </w:rPr>
      </w:pPr>
      <w:r w:rsidRPr="00FC7820">
        <w:rPr>
          <w:bCs/>
        </w:rPr>
        <w:t>Herbaceous crops contain no woody tissues and can regrow from their roots without requiring re-planting for long periods of time (&gt;15 years)</w:t>
      </w:r>
      <w:bookmarkStart w:id="9" w:name="_Ref462588792"/>
      <w:r>
        <w:rPr>
          <w:rStyle w:val="FootnoteReference"/>
          <w:bCs/>
        </w:rPr>
        <w:footnoteReference w:id="4"/>
      </w:r>
      <w:bookmarkEnd w:id="9"/>
      <w:r w:rsidRPr="00FC7820">
        <w:rPr>
          <w:bCs/>
        </w:rPr>
        <w:t xml:space="preserve">. These crops are mostly harvested like hay at the end of growing season when important nutrients such as nitrogen have been translocated to roots. </w:t>
      </w:r>
    </w:p>
    <w:p w14:paraId="01370584" w14:textId="77777777" w:rsidR="00C22F81" w:rsidRDefault="00C22F81" w:rsidP="0043499D">
      <w:pPr>
        <w:pStyle w:val="ListParagraph"/>
        <w:numPr>
          <w:ilvl w:val="0"/>
          <w:numId w:val="6"/>
        </w:numPr>
        <w:spacing w:after="160" w:line="259" w:lineRule="auto"/>
        <w:jc w:val="left"/>
        <w:rPr>
          <w:bCs/>
        </w:rPr>
      </w:pPr>
      <w:r w:rsidRPr="00FC7820">
        <w:rPr>
          <w:b/>
          <w:bCs/>
        </w:rPr>
        <w:t>Short rotation woody crops or coppice (SRC).</w:t>
      </w:r>
      <w:r w:rsidRPr="00FC7820">
        <w:rPr>
          <w:bCs/>
        </w:rPr>
        <w:t xml:space="preserve"> </w:t>
      </w:r>
    </w:p>
    <w:p w14:paraId="144C9DF1" w14:textId="0873C9F1" w:rsidR="00C22F81" w:rsidRDefault="00C22F81" w:rsidP="00C22F81">
      <w:pPr>
        <w:pStyle w:val="ListParagraph"/>
        <w:rPr>
          <w:bCs/>
        </w:rPr>
      </w:pPr>
      <w:r w:rsidRPr="00FC7820">
        <w:rPr>
          <w:bCs/>
        </w:rPr>
        <w:t xml:space="preserve">SRC are fast growing woody plants with great range of adaptability. They have a lifetime of 20-30 years </w:t>
      </w:r>
      <w:r w:rsidR="008036D6">
        <w:rPr>
          <w:bCs/>
        </w:rPr>
        <w:t>(</w:t>
      </w:r>
      <w:r w:rsidRPr="00FC7820">
        <w:rPr>
          <w:bCs/>
        </w:rPr>
        <w:t>unlike traditional coppice</w:t>
      </w:r>
      <w:r w:rsidR="008036D6">
        <w:rPr>
          <w:bCs/>
        </w:rPr>
        <w:t>, which</w:t>
      </w:r>
      <w:r w:rsidRPr="00FC7820">
        <w:rPr>
          <w:bCs/>
        </w:rPr>
        <w:t xml:space="preserve"> can live for centuries</w:t>
      </w:r>
      <w:r w:rsidR="008036D6">
        <w:rPr>
          <w:bCs/>
        </w:rPr>
        <w:t>)</w:t>
      </w:r>
      <w:r w:rsidRPr="00FC7820">
        <w:rPr>
          <w:bCs/>
        </w:rPr>
        <w:t>. The total sequestration rates for SRC are higher than the herbaceous crops.</w:t>
      </w:r>
    </w:p>
    <w:p w14:paraId="5A53DFDF" w14:textId="77777777" w:rsidR="00C22F81" w:rsidRDefault="00C22F81" w:rsidP="00C22F81">
      <w:pPr>
        <w:pStyle w:val="ListParagraph"/>
        <w:rPr>
          <w:bCs/>
        </w:rPr>
      </w:pPr>
    </w:p>
    <w:p w14:paraId="252B658E" w14:textId="40F87181" w:rsidR="00C22F81" w:rsidRPr="00B257CA" w:rsidRDefault="0047117A" w:rsidP="0047117A">
      <w:pPr>
        <w:pStyle w:val="Caption"/>
      </w:pPr>
      <w:bookmarkStart w:id="10" w:name="_Toc18444705"/>
      <w:r>
        <w:lastRenderedPageBreak/>
        <w:t xml:space="preserve">Table </w:t>
      </w:r>
      <w:r w:rsidR="00CE1040">
        <w:fldChar w:fldCharType="begin"/>
      </w:r>
      <w:r w:rsidR="00CE1040">
        <w:instrText xml:space="preserve"> STYLEREF 1 \s </w:instrText>
      </w:r>
      <w:r w:rsidR="00CE1040">
        <w:fldChar w:fldCharType="separate"/>
      </w:r>
      <w:r w:rsidR="00872721">
        <w:rPr>
          <w:noProof/>
        </w:rPr>
        <w:t>1</w:t>
      </w:r>
      <w:r w:rsidR="00CE1040">
        <w:rPr>
          <w:noProof/>
        </w:rPr>
        <w:fldChar w:fldCharType="end"/>
      </w:r>
      <w:r>
        <w:t>.</w:t>
      </w:r>
      <w:r w:rsidR="00CE1040">
        <w:fldChar w:fldCharType="begin"/>
      </w:r>
      <w:r w:rsidR="00CE1040">
        <w:instrText xml:space="preserve"> SEQ Table \* ARABIC \s 1 </w:instrText>
      </w:r>
      <w:r w:rsidR="00CE1040">
        <w:fldChar w:fldCharType="separate"/>
      </w:r>
      <w:r w:rsidR="00872721">
        <w:rPr>
          <w:noProof/>
        </w:rPr>
        <w:t>1</w:t>
      </w:r>
      <w:r w:rsidR="00CE1040">
        <w:rPr>
          <w:noProof/>
        </w:rPr>
        <w:fldChar w:fldCharType="end"/>
      </w:r>
      <w:r>
        <w:t xml:space="preserve">: </w:t>
      </w:r>
      <w:r w:rsidRPr="00824E12">
        <w:t>Common perennial crops used in this study</w:t>
      </w:r>
      <w:r w:rsidRPr="00485FB2">
        <w:rPr>
          <w:rStyle w:val="FootnoteReference"/>
        </w:rPr>
        <w:footnoteReference w:id="5"/>
      </w:r>
      <w:r w:rsidRPr="00485FB2">
        <w:rPr>
          <w:vertAlign w:val="superscript"/>
        </w:rPr>
        <w:t>,</w:t>
      </w:r>
      <w:r w:rsidRPr="00485FB2">
        <w:fldChar w:fldCharType="begin"/>
      </w:r>
      <w:r w:rsidRPr="00485FB2">
        <w:instrText xml:space="preserve"> NOTEREF _Ref462588792 \f \h  \* MERGEFORMAT </w:instrText>
      </w:r>
      <w:r w:rsidRPr="00485FB2">
        <w:fldChar w:fldCharType="separate"/>
      </w:r>
      <w:r w:rsidR="00872721" w:rsidRPr="00872721">
        <w:rPr>
          <w:rStyle w:val="FootnoteReference"/>
        </w:rPr>
        <w:t>4</w:t>
      </w:r>
      <w:bookmarkEnd w:id="10"/>
      <w:r w:rsidRPr="00485FB2">
        <w:fldChar w:fldCharType="end"/>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4190"/>
        <w:gridCol w:w="2929"/>
      </w:tblGrid>
      <w:tr w:rsidR="00902BBF" w:rsidRPr="00902BBF" w14:paraId="245FE8FC" w14:textId="77777777" w:rsidTr="001B2C08">
        <w:tc>
          <w:tcPr>
            <w:tcW w:w="2284" w:type="dxa"/>
            <w:tcBorders>
              <w:top w:val="single" w:sz="4" w:space="0" w:color="auto"/>
              <w:bottom w:val="single" w:sz="4" w:space="0" w:color="auto"/>
            </w:tcBorders>
          </w:tcPr>
          <w:p w14:paraId="0CE3BE33" w14:textId="77777777" w:rsidR="00C22F81" w:rsidRPr="00902BBF" w:rsidRDefault="00C22F81" w:rsidP="001B2C08">
            <w:pPr>
              <w:widowControl w:val="0"/>
              <w:autoSpaceDE w:val="0"/>
              <w:autoSpaceDN w:val="0"/>
              <w:adjustRightInd w:val="0"/>
              <w:spacing w:after="240"/>
            </w:pPr>
            <w:r w:rsidRPr="00902BBF">
              <w:t>Type</w:t>
            </w:r>
          </w:p>
        </w:tc>
        <w:tc>
          <w:tcPr>
            <w:tcW w:w="4304" w:type="dxa"/>
            <w:tcBorders>
              <w:top w:val="single" w:sz="4" w:space="0" w:color="auto"/>
              <w:bottom w:val="single" w:sz="4" w:space="0" w:color="auto"/>
            </w:tcBorders>
          </w:tcPr>
          <w:p w14:paraId="18045431" w14:textId="77777777" w:rsidR="00C22F81" w:rsidRPr="00902BBF" w:rsidRDefault="00C22F81" w:rsidP="001B2C08">
            <w:pPr>
              <w:widowControl w:val="0"/>
              <w:autoSpaceDE w:val="0"/>
              <w:autoSpaceDN w:val="0"/>
              <w:adjustRightInd w:val="0"/>
              <w:spacing w:after="240"/>
            </w:pPr>
            <w:r w:rsidRPr="00902BBF">
              <w:t>Examples</w:t>
            </w:r>
          </w:p>
        </w:tc>
        <w:tc>
          <w:tcPr>
            <w:tcW w:w="2988" w:type="dxa"/>
            <w:tcBorders>
              <w:top w:val="single" w:sz="4" w:space="0" w:color="auto"/>
              <w:bottom w:val="single" w:sz="4" w:space="0" w:color="auto"/>
            </w:tcBorders>
          </w:tcPr>
          <w:p w14:paraId="791E8EF9" w14:textId="77777777" w:rsidR="00C22F81" w:rsidRPr="00902BBF" w:rsidRDefault="00C22F81" w:rsidP="001B2C08">
            <w:pPr>
              <w:widowControl w:val="0"/>
              <w:autoSpaceDE w:val="0"/>
              <w:autoSpaceDN w:val="0"/>
              <w:adjustRightInd w:val="0"/>
              <w:spacing w:after="240"/>
            </w:pPr>
            <w:r w:rsidRPr="00902BBF">
              <w:t>Region</w:t>
            </w:r>
          </w:p>
        </w:tc>
      </w:tr>
      <w:tr w:rsidR="00902BBF" w:rsidRPr="00902BBF" w14:paraId="777BD3C9" w14:textId="77777777" w:rsidTr="001B2C08">
        <w:tc>
          <w:tcPr>
            <w:tcW w:w="2284" w:type="dxa"/>
            <w:tcBorders>
              <w:top w:val="single" w:sz="4" w:space="0" w:color="auto"/>
            </w:tcBorders>
          </w:tcPr>
          <w:p w14:paraId="0E79CF36" w14:textId="77777777" w:rsidR="00C22F81" w:rsidRPr="00902BBF" w:rsidRDefault="00C22F81" w:rsidP="001B2C08">
            <w:pPr>
              <w:widowControl w:val="0"/>
              <w:autoSpaceDE w:val="0"/>
              <w:autoSpaceDN w:val="0"/>
              <w:adjustRightInd w:val="0"/>
              <w:spacing w:after="240"/>
            </w:pPr>
            <w:r w:rsidRPr="00902BBF">
              <w:t>Herbaceous energy crops</w:t>
            </w:r>
          </w:p>
        </w:tc>
        <w:tc>
          <w:tcPr>
            <w:tcW w:w="4304" w:type="dxa"/>
            <w:tcBorders>
              <w:top w:val="single" w:sz="4" w:space="0" w:color="auto"/>
            </w:tcBorders>
          </w:tcPr>
          <w:p w14:paraId="720EFEEA" w14:textId="77777777" w:rsidR="00C22F81" w:rsidRPr="00902BBF" w:rsidRDefault="00C22F81" w:rsidP="001B2C08">
            <w:pPr>
              <w:widowControl w:val="0"/>
              <w:autoSpaceDE w:val="0"/>
              <w:autoSpaceDN w:val="0"/>
              <w:adjustRightInd w:val="0"/>
            </w:pPr>
            <w:r w:rsidRPr="00902BBF">
              <w:t>switchgrass (</w:t>
            </w:r>
            <w:r w:rsidRPr="00902BBF">
              <w:rPr>
                <w:i/>
              </w:rPr>
              <w:t>Panicum virgatum L.</w:t>
            </w:r>
            <w:r w:rsidRPr="00902BBF">
              <w:t>)</w:t>
            </w:r>
          </w:p>
          <w:p w14:paraId="44564EF8" w14:textId="77777777" w:rsidR="00C22F81" w:rsidRPr="00902BBF" w:rsidRDefault="00C22F81" w:rsidP="001B2C08">
            <w:pPr>
              <w:widowControl w:val="0"/>
              <w:autoSpaceDE w:val="0"/>
              <w:autoSpaceDN w:val="0"/>
              <w:adjustRightInd w:val="0"/>
            </w:pPr>
            <w:r w:rsidRPr="00902BBF">
              <w:t>giant miscanthus (</w:t>
            </w:r>
            <w:r w:rsidRPr="00902BBF">
              <w:rPr>
                <w:i/>
              </w:rPr>
              <w:t>Miscanthus spp</w:t>
            </w:r>
            <w:r w:rsidRPr="00902BBF">
              <w:t>.),</w:t>
            </w:r>
          </w:p>
          <w:p w14:paraId="3E205297" w14:textId="77777777" w:rsidR="00C22F81" w:rsidRPr="00902BBF" w:rsidRDefault="00C22F81" w:rsidP="001B2C08">
            <w:pPr>
              <w:widowControl w:val="0"/>
              <w:autoSpaceDE w:val="0"/>
              <w:autoSpaceDN w:val="0"/>
              <w:adjustRightInd w:val="0"/>
            </w:pPr>
            <w:r w:rsidRPr="00902BBF">
              <w:t>giant reed (</w:t>
            </w:r>
            <w:r w:rsidRPr="00902BBF">
              <w:rPr>
                <w:i/>
              </w:rPr>
              <w:t xml:space="preserve">Arundo </w:t>
            </w:r>
            <w:proofErr w:type="spellStart"/>
            <w:r w:rsidRPr="00902BBF">
              <w:rPr>
                <w:i/>
              </w:rPr>
              <w:t>donax</w:t>
            </w:r>
            <w:proofErr w:type="spellEnd"/>
            <w:r w:rsidRPr="00902BBF">
              <w:t>)</w:t>
            </w:r>
          </w:p>
          <w:p w14:paraId="790D442B" w14:textId="77777777" w:rsidR="00C22F81" w:rsidRPr="00902BBF" w:rsidRDefault="00C22F81" w:rsidP="001B2C08">
            <w:pPr>
              <w:widowControl w:val="0"/>
              <w:autoSpaceDE w:val="0"/>
              <w:autoSpaceDN w:val="0"/>
              <w:adjustRightInd w:val="0"/>
            </w:pPr>
            <w:r w:rsidRPr="00902BBF">
              <w:t>cardoon (</w:t>
            </w:r>
            <w:r w:rsidRPr="00902BBF">
              <w:rPr>
                <w:i/>
              </w:rPr>
              <w:t xml:space="preserve">Cynara </w:t>
            </w:r>
            <w:proofErr w:type="spellStart"/>
            <w:r w:rsidRPr="00902BBF">
              <w:rPr>
                <w:i/>
              </w:rPr>
              <w:t>cardunculus</w:t>
            </w:r>
            <w:proofErr w:type="spellEnd"/>
            <w:r w:rsidRPr="00902BBF">
              <w:t>)</w:t>
            </w:r>
          </w:p>
          <w:p w14:paraId="0CFD133F" w14:textId="77777777" w:rsidR="00C22F81" w:rsidRPr="00902BBF" w:rsidRDefault="00C22F81" w:rsidP="001B2C08">
            <w:pPr>
              <w:widowControl w:val="0"/>
              <w:autoSpaceDE w:val="0"/>
              <w:autoSpaceDN w:val="0"/>
              <w:adjustRightInd w:val="0"/>
            </w:pPr>
          </w:p>
        </w:tc>
        <w:tc>
          <w:tcPr>
            <w:tcW w:w="2988" w:type="dxa"/>
            <w:tcBorders>
              <w:top w:val="single" w:sz="4" w:space="0" w:color="auto"/>
            </w:tcBorders>
          </w:tcPr>
          <w:p w14:paraId="63D80178" w14:textId="77777777" w:rsidR="00C22F81" w:rsidRPr="00902BBF" w:rsidRDefault="00C22F81" w:rsidP="001B2C08">
            <w:pPr>
              <w:widowControl w:val="0"/>
              <w:autoSpaceDE w:val="0"/>
              <w:autoSpaceDN w:val="0"/>
              <w:adjustRightInd w:val="0"/>
            </w:pPr>
            <w:r w:rsidRPr="00902BBF">
              <w:t>North America</w:t>
            </w:r>
          </w:p>
          <w:p w14:paraId="70BD5186" w14:textId="77777777" w:rsidR="00C22F81" w:rsidRPr="00902BBF" w:rsidRDefault="00C22F81" w:rsidP="001B2C08">
            <w:pPr>
              <w:widowControl w:val="0"/>
              <w:autoSpaceDE w:val="0"/>
              <w:autoSpaceDN w:val="0"/>
              <w:adjustRightInd w:val="0"/>
            </w:pPr>
            <w:r w:rsidRPr="00902BBF">
              <w:t>East Asia</w:t>
            </w:r>
          </w:p>
          <w:p w14:paraId="29ED8854" w14:textId="77777777" w:rsidR="00C22F81" w:rsidRPr="00902BBF" w:rsidRDefault="00C22F81" w:rsidP="001B2C08">
            <w:pPr>
              <w:widowControl w:val="0"/>
              <w:autoSpaceDE w:val="0"/>
              <w:autoSpaceDN w:val="0"/>
              <w:adjustRightInd w:val="0"/>
            </w:pPr>
            <w:r w:rsidRPr="00902BBF">
              <w:t>Europe, Asia</w:t>
            </w:r>
          </w:p>
          <w:p w14:paraId="1893C1BB" w14:textId="77777777" w:rsidR="00C22F81" w:rsidRPr="00902BBF" w:rsidRDefault="00C22F81" w:rsidP="001B2C08">
            <w:pPr>
              <w:widowControl w:val="0"/>
              <w:autoSpaceDE w:val="0"/>
              <w:autoSpaceDN w:val="0"/>
              <w:adjustRightInd w:val="0"/>
            </w:pPr>
            <w:r w:rsidRPr="00902BBF">
              <w:t>Mediterranean, North Africa</w:t>
            </w:r>
          </w:p>
        </w:tc>
      </w:tr>
      <w:tr w:rsidR="00902BBF" w:rsidRPr="003506CB" w14:paraId="07EFF1C4" w14:textId="77777777" w:rsidTr="001B2C08">
        <w:tc>
          <w:tcPr>
            <w:tcW w:w="2284" w:type="dxa"/>
          </w:tcPr>
          <w:p w14:paraId="6478B057" w14:textId="77777777" w:rsidR="00C22F81" w:rsidRPr="00902BBF" w:rsidRDefault="00C22F81" w:rsidP="001B2C08">
            <w:pPr>
              <w:widowControl w:val="0"/>
              <w:autoSpaceDE w:val="0"/>
              <w:autoSpaceDN w:val="0"/>
              <w:adjustRightInd w:val="0"/>
              <w:spacing w:after="240"/>
            </w:pPr>
            <w:r w:rsidRPr="00902BBF">
              <w:t xml:space="preserve">Short rotation woody crops (SRC) </w:t>
            </w:r>
          </w:p>
        </w:tc>
        <w:tc>
          <w:tcPr>
            <w:tcW w:w="4304" w:type="dxa"/>
          </w:tcPr>
          <w:p w14:paraId="0511F039" w14:textId="77777777" w:rsidR="00C22F81" w:rsidRPr="00902BBF" w:rsidRDefault="00C22F81" w:rsidP="001B2C08">
            <w:pPr>
              <w:widowControl w:val="0"/>
              <w:autoSpaceDE w:val="0"/>
              <w:autoSpaceDN w:val="0"/>
              <w:adjustRightInd w:val="0"/>
            </w:pPr>
            <w:r w:rsidRPr="00902BBF">
              <w:t>poplar (</w:t>
            </w:r>
            <w:proofErr w:type="spellStart"/>
            <w:r w:rsidRPr="00902BBF">
              <w:rPr>
                <w:i/>
              </w:rPr>
              <w:t>Populus</w:t>
            </w:r>
            <w:proofErr w:type="spellEnd"/>
            <w:r w:rsidRPr="00902BBF">
              <w:t xml:space="preserve"> </w:t>
            </w:r>
            <w:proofErr w:type="spellStart"/>
            <w:r w:rsidRPr="00902BBF">
              <w:t>spp</w:t>
            </w:r>
            <w:proofErr w:type="spellEnd"/>
            <w:r w:rsidRPr="00902BBF">
              <w:t>)</w:t>
            </w:r>
          </w:p>
          <w:p w14:paraId="1C395C6D" w14:textId="77777777" w:rsidR="00C22F81" w:rsidRPr="00902BBF" w:rsidRDefault="00C22F81" w:rsidP="001B2C08">
            <w:pPr>
              <w:widowControl w:val="0"/>
              <w:autoSpaceDE w:val="0"/>
              <w:autoSpaceDN w:val="0"/>
              <w:adjustRightInd w:val="0"/>
            </w:pPr>
            <w:r w:rsidRPr="00902BBF">
              <w:t>willow (</w:t>
            </w:r>
            <w:r w:rsidRPr="00902BBF">
              <w:rPr>
                <w:i/>
              </w:rPr>
              <w:t>Salix</w:t>
            </w:r>
            <w:r w:rsidRPr="00902BBF">
              <w:t xml:space="preserve"> spp.)</w:t>
            </w:r>
          </w:p>
          <w:p w14:paraId="5F9B9165" w14:textId="77777777" w:rsidR="00C22F81" w:rsidRPr="00902BBF" w:rsidRDefault="00C22F81" w:rsidP="001B2C08">
            <w:pPr>
              <w:widowControl w:val="0"/>
              <w:autoSpaceDE w:val="0"/>
              <w:autoSpaceDN w:val="0"/>
              <w:adjustRightInd w:val="0"/>
              <w:rPr>
                <w:u w:val="single"/>
              </w:rPr>
            </w:pPr>
            <w:r w:rsidRPr="00902BBF">
              <w:t>eucalyptus (</w:t>
            </w:r>
            <w:r w:rsidRPr="00902BBF">
              <w:rPr>
                <w:i/>
              </w:rPr>
              <w:t xml:space="preserve">Eucalyptus </w:t>
            </w:r>
            <w:r w:rsidRPr="00902BBF">
              <w:rPr>
                <w:u w:val="single"/>
              </w:rPr>
              <w:t>spp.)</w:t>
            </w:r>
          </w:p>
          <w:p w14:paraId="6E25BAB0" w14:textId="77777777" w:rsidR="00C22F81" w:rsidRPr="00902BBF" w:rsidRDefault="00C22F81" w:rsidP="001B2C08">
            <w:pPr>
              <w:widowControl w:val="0"/>
              <w:autoSpaceDE w:val="0"/>
              <w:autoSpaceDN w:val="0"/>
              <w:adjustRightInd w:val="0"/>
            </w:pPr>
            <w:r w:rsidRPr="00902BBF">
              <w:t>black locust (</w:t>
            </w:r>
            <w:proofErr w:type="spellStart"/>
            <w:r w:rsidRPr="00902BBF">
              <w:rPr>
                <w:i/>
              </w:rPr>
              <w:t>Robinia</w:t>
            </w:r>
            <w:proofErr w:type="spellEnd"/>
            <w:r w:rsidRPr="00902BBF">
              <w:rPr>
                <w:i/>
              </w:rPr>
              <w:t xml:space="preserve"> </w:t>
            </w:r>
            <w:proofErr w:type="spellStart"/>
            <w:r w:rsidRPr="00902BBF">
              <w:rPr>
                <w:i/>
              </w:rPr>
              <w:t>pseudoacacia</w:t>
            </w:r>
            <w:proofErr w:type="spellEnd"/>
            <w:r w:rsidRPr="00902BBF">
              <w:t>)</w:t>
            </w:r>
          </w:p>
        </w:tc>
        <w:tc>
          <w:tcPr>
            <w:tcW w:w="2988" w:type="dxa"/>
          </w:tcPr>
          <w:p w14:paraId="3877DA77" w14:textId="77777777" w:rsidR="00C22F81" w:rsidRPr="00902BBF" w:rsidRDefault="00C22F81" w:rsidP="001B2C08">
            <w:pPr>
              <w:widowControl w:val="0"/>
              <w:autoSpaceDE w:val="0"/>
              <w:autoSpaceDN w:val="0"/>
              <w:adjustRightInd w:val="0"/>
              <w:rPr>
                <w:lang w:val="it-IT"/>
              </w:rPr>
            </w:pPr>
            <w:r w:rsidRPr="00902BBF">
              <w:rPr>
                <w:lang w:val="it-IT"/>
              </w:rPr>
              <w:t>USA</w:t>
            </w:r>
          </w:p>
          <w:p w14:paraId="6904C9B1" w14:textId="77777777" w:rsidR="00C22F81" w:rsidRPr="00902BBF" w:rsidRDefault="00C22F81" w:rsidP="001B2C08">
            <w:pPr>
              <w:widowControl w:val="0"/>
              <w:autoSpaceDE w:val="0"/>
              <w:autoSpaceDN w:val="0"/>
              <w:adjustRightInd w:val="0"/>
              <w:rPr>
                <w:lang w:val="it-IT"/>
              </w:rPr>
            </w:pPr>
            <w:r w:rsidRPr="00902BBF">
              <w:rPr>
                <w:lang w:val="it-IT"/>
              </w:rPr>
              <w:t>North America</w:t>
            </w:r>
          </w:p>
          <w:p w14:paraId="77BA698F" w14:textId="77777777" w:rsidR="00C22F81" w:rsidRPr="00902BBF" w:rsidRDefault="00C22F81" w:rsidP="001B2C08">
            <w:pPr>
              <w:widowControl w:val="0"/>
              <w:autoSpaceDE w:val="0"/>
              <w:autoSpaceDN w:val="0"/>
              <w:adjustRightInd w:val="0"/>
              <w:rPr>
                <w:lang w:val="it-IT"/>
              </w:rPr>
            </w:pPr>
            <w:r w:rsidRPr="00902BBF">
              <w:rPr>
                <w:lang w:val="it-IT"/>
              </w:rPr>
              <w:t>Australia</w:t>
            </w:r>
          </w:p>
          <w:p w14:paraId="4570801F" w14:textId="77777777" w:rsidR="00C22F81" w:rsidRPr="00902BBF" w:rsidRDefault="00C22F81" w:rsidP="001B2C08">
            <w:pPr>
              <w:widowControl w:val="0"/>
              <w:autoSpaceDE w:val="0"/>
              <w:autoSpaceDN w:val="0"/>
              <w:adjustRightInd w:val="0"/>
              <w:rPr>
                <w:lang w:val="it-IT"/>
              </w:rPr>
            </w:pPr>
            <w:r w:rsidRPr="00902BBF">
              <w:rPr>
                <w:lang w:val="it-IT"/>
              </w:rPr>
              <w:t>Germany</w:t>
            </w:r>
          </w:p>
        </w:tc>
      </w:tr>
    </w:tbl>
    <w:p w14:paraId="1B1AB124" w14:textId="05B72815" w:rsidR="00C22F81" w:rsidRDefault="00C22F81" w:rsidP="00C22F81">
      <w:pPr>
        <w:spacing w:after="0"/>
        <w:rPr>
          <w:bCs/>
          <w:lang w:val="it-IT"/>
        </w:rPr>
      </w:pPr>
    </w:p>
    <w:p w14:paraId="43D448AA" w14:textId="4605C35B" w:rsidR="00A17C47" w:rsidRPr="00B87B18" w:rsidRDefault="00A17C47" w:rsidP="00C22F81">
      <w:pPr>
        <w:spacing w:after="0"/>
        <w:rPr>
          <w:b/>
          <w:bCs/>
        </w:rPr>
      </w:pPr>
      <w:r w:rsidRPr="00B87B18">
        <w:rPr>
          <w:b/>
          <w:bCs/>
        </w:rPr>
        <w:t>Climate benefits</w:t>
      </w:r>
    </w:p>
    <w:p w14:paraId="66246534" w14:textId="77777777" w:rsidR="00435FF5" w:rsidRPr="00B87B18" w:rsidRDefault="00435FF5" w:rsidP="00C22F81">
      <w:pPr>
        <w:spacing w:after="0"/>
        <w:rPr>
          <w:b/>
          <w:bCs/>
        </w:rPr>
      </w:pPr>
    </w:p>
    <w:p w14:paraId="5E895E1B" w14:textId="3D59746A" w:rsidR="00A17C47" w:rsidRPr="00B87B18" w:rsidRDefault="00A17C47" w:rsidP="00C22F81">
      <w:pPr>
        <w:spacing w:after="0"/>
        <w:rPr>
          <w:bCs/>
          <w:i/>
        </w:rPr>
      </w:pPr>
      <w:r w:rsidRPr="00B87B18">
        <w:rPr>
          <w:bCs/>
          <w:i/>
        </w:rPr>
        <w:t xml:space="preserve">Soil Nitrous </w:t>
      </w:r>
      <w:r w:rsidR="00A44D43">
        <w:rPr>
          <w:bCs/>
          <w:i/>
        </w:rPr>
        <w:t>O</w:t>
      </w:r>
      <w:r w:rsidRPr="00B87B18">
        <w:rPr>
          <w:bCs/>
          <w:i/>
        </w:rPr>
        <w:t xml:space="preserve">xide </w:t>
      </w:r>
      <w:r w:rsidR="00A44D43">
        <w:rPr>
          <w:bCs/>
          <w:i/>
        </w:rPr>
        <w:t>E</w:t>
      </w:r>
      <w:r w:rsidRPr="00B87B18">
        <w:rPr>
          <w:bCs/>
          <w:i/>
        </w:rPr>
        <w:t>missions</w:t>
      </w:r>
    </w:p>
    <w:p w14:paraId="3BC7E4D8" w14:textId="1E8056B3" w:rsidR="00A17C47" w:rsidRPr="00B87B18" w:rsidRDefault="00A17C47" w:rsidP="00C22F81">
      <w:pPr>
        <w:spacing w:after="0"/>
        <w:rPr>
          <w:bCs/>
        </w:rPr>
      </w:pPr>
      <w:r w:rsidRPr="00B87B18">
        <w:rPr>
          <w:bCs/>
        </w:rPr>
        <w:t>Nitrous oxide emiss</w:t>
      </w:r>
      <w:r w:rsidR="00B74BB9">
        <w:rPr>
          <w:bCs/>
        </w:rPr>
        <w:t>i</w:t>
      </w:r>
      <w:r w:rsidRPr="00B87B18">
        <w:rPr>
          <w:bCs/>
        </w:rPr>
        <w:t>ons ha</w:t>
      </w:r>
      <w:r w:rsidR="00DF6ABB">
        <w:rPr>
          <w:bCs/>
        </w:rPr>
        <w:t>ve</w:t>
      </w:r>
      <w:r w:rsidRPr="00B87B18">
        <w:rPr>
          <w:bCs/>
        </w:rPr>
        <w:t xml:space="preserve"> a global warming potential 298 times greater over 100 years than carbon dioxide emissions.</w:t>
      </w:r>
      <w:r w:rsidR="00435FF5" w:rsidRPr="00B87B18">
        <w:rPr>
          <w:bCs/>
        </w:rPr>
        <w:t xml:space="preserve"> Perennial energy </w:t>
      </w:r>
      <w:proofErr w:type="gramStart"/>
      <w:r w:rsidR="00435FF5" w:rsidRPr="00B87B18">
        <w:rPr>
          <w:bCs/>
        </w:rPr>
        <w:t>crops  have</w:t>
      </w:r>
      <w:proofErr w:type="gramEnd"/>
      <w:r w:rsidR="00435FF5" w:rsidRPr="00B87B18">
        <w:rPr>
          <w:bCs/>
        </w:rPr>
        <w:t xml:space="preserve"> in gen</w:t>
      </w:r>
      <w:r w:rsidR="006C36B0">
        <w:rPr>
          <w:bCs/>
        </w:rPr>
        <w:t>e</w:t>
      </w:r>
      <w:r w:rsidR="00435FF5" w:rsidRPr="00B87B18">
        <w:rPr>
          <w:bCs/>
        </w:rPr>
        <w:t xml:space="preserve">ral lower nitrous oxide emissions than annual crops. </w:t>
      </w:r>
      <w:proofErr w:type="spellStart"/>
      <w:r w:rsidR="00435FF5" w:rsidRPr="00B87B18">
        <w:rPr>
          <w:bCs/>
        </w:rPr>
        <w:t>Drewer</w:t>
      </w:r>
      <w:proofErr w:type="spellEnd"/>
      <w:r w:rsidR="00435FF5" w:rsidRPr="00B87B18">
        <w:rPr>
          <w:bCs/>
        </w:rPr>
        <w:t xml:space="preserve"> et al. (2012), found that mean nitrous oxide </w:t>
      </w:r>
      <w:r w:rsidR="0055145B" w:rsidRPr="00B87B18">
        <w:rPr>
          <w:bCs/>
        </w:rPr>
        <w:t>emissions</w:t>
      </w:r>
      <w:r w:rsidR="00435FF5" w:rsidRPr="00B87B18">
        <w:rPr>
          <w:bCs/>
        </w:rPr>
        <w:t xml:space="preserve"> from miscanthus and willow cultivation </w:t>
      </w:r>
      <w:r w:rsidR="0055145B">
        <w:rPr>
          <w:bCs/>
        </w:rPr>
        <w:t>are</w:t>
      </w:r>
      <w:r w:rsidR="00435FF5" w:rsidRPr="00B87B18">
        <w:rPr>
          <w:bCs/>
        </w:rPr>
        <w:t xml:space="preserve"> five time lower than </w:t>
      </w:r>
      <w:r w:rsidR="0055145B">
        <w:rPr>
          <w:bCs/>
        </w:rPr>
        <w:t xml:space="preserve">those from </w:t>
      </w:r>
      <w:r w:rsidR="00435FF5" w:rsidRPr="00B87B18">
        <w:rPr>
          <w:bCs/>
        </w:rPr>
        <w:t>annual crops.</w:t>
      </w:r>
      <w:r w:rsidR="00536957" w:rsidRPr="00B87B18">
        <w:rPr>
          <w:bCs/>
        </w:rPr>
        <w:t xml:space="preserve"> </w:t>
      </w:r>
      <w:r w:rsidR="001B44D2">
        <w:rPr>
          <w:bCs/>
        </w:rPr>
        <w:t xml:space="preserve">Use of synthetic nitrogen fertilizer </w:t>
      </w:r>
      <w:proofErr w:type="gramStart"/>
      <w:r w:rsidR="001B44D2">
        <w:rPr>
          <w:bCs/>
        </w:rPr>
        <w:t>in</w:t>
      </w:r>
      <w:r w:rsidR="00536957" w:rsidRPr="00B87B18">
        <w:rPr>
          <w:bCs/>
        </w:rPr>
        <w:t xml:space="preserve">  </w:t>
      </w:r>
      <w:r w:rsidR="001B44D2" w:rsidRPr="00B87B18">
        <w:rPr>
          <w:bCs/>
        </w:rPr>
        <w:t>perennial</w:t>
      </w:r>
      <w:proofErr w:type="gramEnd"/>
      <w:r w:rsidR="00536957" w:rsidRPr="00B87B18">
        <w:rPr>
          <w:bCs/>
        </w:rPr>
        <w:t xml:space="preserve"> energy crops cause</w:t>
      </w:r>
      <w:r w:rsidR="00711AA4">
        <w:rPr>
          <w:bCs/>
        </w:rPr>
        <w:t>s</w:t>
      </w:r>
      <w:r w:rsidR="00536957" w:rsidRPr="00B87B18">
        <w:rPr>
          <w:bCs/>
        </w:rPr>
        <w:t xml:space="preserve"> GHG emissions from soil, for example </w:t>
      </w:r>
      <w:proofErr w:type="spellStart"/>
      <w:r w:rsidR="00536957" w:rsidRPr="00B87B18">
        <w:rPr>
          <w:bCs/>
        </w:rPr>
        <w:t>Gauder</w:t>
      </w:r>
      <w:proofErr w:type="spellEnd"/>
      <w:r w:rsidR="00536957" w:rsidRPr="00B87B18">
        <w:rPr>
          <w:bCs/>
        </w:rPr>
        <w:t xml:space="preserve"> et al., 2012 found that  </w:t>
      </w:r>
      <w:r w:rsidR="00B510D9" w:rsidRPr="00B87B18">
        <w:rPr>
          <w:bCs/>
        </w:rPr>
        <w:t>nitrous</w:t>
      </w:r>
      <w:r w:rsidR="00536957" w:rsidRPr="00B87B18">
        <w:rPr>
          <w:bCs/>
        </w:rPr>
        <w:t xml:space="preserve"> oxide </w:t>
      </w:r>
      <w:r w:rsidR="00B510D9" w:rsidRPr="00B87B18">
        <w:rPr>
          <w:bCs/>
        </w:rPr>
        <w:t>emissions</w:t>
      </w:r>
      <w:r w:rsidR="00536957" w:rsidRPr="00B87B18">
        <w:rPr>
          <w:bCs/>
        </w:rPr>
        <w:t xml:space="preserve"> from </w:t>
      </w:r>
      <w:r w:rsidR="00B510D9" w:rsidRPr="00B87B18">
        <w:rPr>
          <w:bCs/>
        </w:rPr>
        <w:t>fertilized</w:t>
      </w:r>
      <w:r w:rsidR="00536957" w:rsidRPr="00B87B18">
        <w:rPr>
          <w:bCs/>
        </w:rPr>
        <w:t xml:space="preserve"> field</w:t>
      </w:r>
      <w:r w:rsidR="00B510D9">
        <w:rPr>
          <w:bCs/>
        </w:rPr>
        <w:t>s</w:t>
      </w:r>
      <w:r w:rsidR="00536957" w:rsidRPr="00B87B18">
        <w:rPr>
          <w:bCs/>
        </w:rPr>
        <w:t xml:space="preserve"> of </w:t>
      </w:r>
      <w:r w:rsidR="00B510D9">
        <w:rPr>
          <w:bCs/>
        </w:rPr>
        <w:t>m</w:t>
      </w:r>
      <w:r w:rsidR="00536957" w:rsidRPr="00B87B18">
        <w:rPr>
          <w:bCs/>
        </w:rPr>
        <w:t>iscant</w:t>
      </w:r>
      <w:r w:rsidR="00B510D9">
        <w:rPr>
          <w:bCs/>
        </w:rPr>
        <w:t>h</w:t>
      </w:r>
      <w:r w:rsidR="00536957" w:rsidRPr="00B87B18">
        <w:rPr>
          <w:bCs/>
        </w:rPr>
        <w:t xml:space="preserve">us increased in comparison to </w:t>
      </w:r>
      <w:r w:rsidR="004F04D8" w:rsidRPr="00B87B18">
        <w:rPr>
          <w:bCs/>
        </w:rPr>
        <w:t>unfertilized</w:t>
      </w:r>
      <w:r w:rsidR="00536957" w:rsidRPr="00B87B18">
        <w:rPr>
          <w:bCs/>
        </w:rPr>
        <w:t xml:space="preserve"> field however, </w:t>
      </w:r>
      <w:r w:rsidR="002B3E79" w:rsidRPr="00B87B18">
        <w:rPr>
          <w:bCs/>
        </w:rPr>
        <w:t>nitro</w:t>
      </w:r>
      <w:r w:rsidR="002B3E79">
        <w:rPr>
          <w:bCs/>
        </w:rPr>
        <w:t>us</w:t>
      </w:r>
      <w:r w:rsidR="00536957" w:rsidRPr="00B87B18">
        <w:rPr>
          <w:bCs/>
        </w:rPr>
        <w:t xml:space="preserve"> ox</w:t>
      </w:r>
      <w:r w:rsidR="004F04D8">
        <w:rPr>
          <w:bCs/>
        </w:rPr>
        <w:t>i</w:t>
      </w:r>
      <w:r w:rsidR="00536957" w:rsidRPr="00B87B18">
        <w:rPr>
          <w:bCs/>
        </w:rPr>
        <w:t xml:space="preserve">de </w:t>
      </w:r>
      <w:r w:rsidR="004F04D8" w:rsidRPr="00B87B18">
        <w:rPr>
          <w:bCs/>
        </w:rPr>
        <w:t>emissions</w:t>
      </w:r>
      <w:r w:rsidR="00536957" w:rsidRPr="00B87B18">
        <w:rPr>
          <w:bCs/>
        </w:rPr>
        <w:t xml:space="preserve"> were s</w:t>
      </w:r>
      <w:r w:rsidR="004F04D8">
        <w:rPr>
          <w:bCs/>
        </w:rPr>
        <w:t>t</w:t>
      </w:r>
      <w:r w:rsidR="00536957" w:rsidRPr="00B87B18">
        <w:rPr>
          <w:bCs/>
        </w:rPr>
        <w:t xml:space="preserve">ill 30% lower than </w:t>
      </w:r>
      <w:r w:rsidR="004F04D8" w:rsidRPr="00B87B18">
        <w:rPr>
          <w:bCs/>
        </w:rPr>
        <w:t>fertilized</w:t>
      </w:r>
      <w:r w:rsidR="00536957" w:rsidRPr="00B87B18">
        <w:rPr>
          <w:bCs/>
        </w:rPr>
        <w:t xml:space="preserve"> maize. Similarly, Yang et al., 2018 found increase in soil </w:t>
      </w:r>
      <w:r w:rsidR="002B3E79" w:rsidRPr="00B87B18">
        <w:rPr>
          <w:bCs/>
        </w:rPr>
        <w:t>nitrous</w:t>
      </w:r>
      <w:r w:rsidR="00536957" w:rsidRPr="00B87B18">
        <w:rPr>
          <w:bCs/>
        </w:rPr>
        <w:t xml:space="preserve"> oxide emissions relative to </w:t>
      </w:r>
      <w:r w:rsidR="00952814">
        <w:rPr>
          <w:bCs/>
        </w:rPr>
        <w:t>a</w:t>
      </w:r>
      <w:r w:rsidR="00536957" w:rsidRPr="00B87B18">
        <w:rPr>
          <w:bCs/>
        </w:rPr>
        <w:t xml:space="preserve"> control </w:t>
      </w:r>
      <w:r w:rsidR="00952814" w:rsidRPr="00B87B18">
        <w:rPr>
          <w:bCs/>
        </w:rPr>
        <w:t>unfertilized</w:t>
      </w:r>
      <w:r w:rsidR="00536957" w:rsidRPr="00B87B18">
        <w:rPr>
          <w:bCs/>
        </w:rPr>
        <w:t xml:space="preserve"> field, yet this increase lead to an increase o</w:t>
      </w:r>
      <w:r w:rsidR="00C14EBB">
        <w:rPr>
          <w:bCs/>
        </w:rPr>
        <w:t>f</w:t>
      </w:r>
      <w:r w:rsidR="00536957" w:rsidRPr="00B87B18">
        <w:rPr>
          <w:bCs/>
        </w:rPr>
        <w:t xml:space="preserve"> carbon storage in root and in the soil and increase biomass yield. The irrigated and moderate nitrogen addition</w:t>
      </w:r>
      <w:r w:rsidR="0033562D">
        <w:rPr>
          <w:bCs/>
        </w:rPr>
        <w:t xml:space="preserve"> treatment</w:t>
      </w:r>
      <w:r w:rsidR="00536957" w:rsidRPr="00B87B18">
        <w:rPr>
          <w:bCs/>
        </w:rPr>
        <w:t xml:space="preserve"> </w:t>
      </w:r>
      <w:r w:rsidR="0033562D" w:rsidRPr="00B87B18">
        <w:rPr>
          <w:bCs/>
        </w:rPr>
        <w:t>increase</w:t>
      </w:r>
      <w:r w:rsidR="0033562D">
        <w:rPr>
          <w:bCs/>
        </w:rPr>
        <w:t>d</w:t>
      </w:r>
      <w:r w:rsidR="00536957" w:rsidRPr="00B87B18">
        <w:rPr>
          <w:bCs/>
        </w:rPr>
        <w:t xml:space="preserve"> greenhouse gas </w:t>
      </w:r>
      <w:r w:rsidR="0033562D" w:rsidRPr="00B87B18">
        <w:rPr>
          <w:bCs/>
        </w:rPr>
        <w:t>emissions</w:t>
      </w:r>
      <w:r w:rsidR="00536957" w:rsidRPr="00B87B18">
        <w:rPr>
          <w:bCs/>
        </w:rPr>
        <w:t xml:space="preserve"> by 0.77 Mg carbon dioxide equivalents per hectare per year, of which half were nitrous oxide emissions and half were emissions from energy needed for </w:t>
      </w:r>
      <w:r w:rsidR="0033562D" w:rsidRPr="00B87B18">
        <w:rPr>
          <w:bCs/>
        </w:rPr>
        <w:t>fertilizer</w:t>
      </w:r>
      <w:r w:rsidR="00536957" w:rsidRPr="00B87B18">
        <w:rPr>
          <w:bCs/>
        </w:rPr>
        <w:t xml:space="preserve"> manufacturing</w:t>
      </w:r>
      <w:r w:rsidR="00B02E83" w:rsidRPr="00B87B18">
        <w:rPr>
          <w:bCs/>
        </w:rPr>
        <w:t xml:space="preserve"> and application.</w:t>
      </w:r>
    </w:p>
    <w:p w14:paraId="52FB3D65" w14:textId="0B6F27A2" w:rsidR="00CC11B0" w:rsidRPr="00B87B18" w:rsidRDefault="00CC11B0" w:rsidP="00C22F81">
      <w:pPr>
        <w:spacing w:after="0"/>
        <w:rPr>
          <w:bCs/>
        </w:rPr>
      </w:pPr>
    </w:p>
    <w:p w14:paraId="2C87C304" w14:textId="38E83CE7" w:rsidR="00C22F81" w:rsidRPr="00140FD3" w:rsidRDefault="00C22F81" w:rsidP="00C22F81">
      <w:pPr>
        <w:pStyle w:val="Heading2"/>
        <w:spacing w:before="0" w:line="240" w:lineRule="auto"/>
        <w:ind w:left="0" w:firstLine="0"/>
        <w:jc w:val="left"/>
      </w:pPr>
      <w:bookmarkStart w:id="11" w:name="_Toc462861054"/>
      <w:bookmarkStart w:id="12" w:name="_Toc25888659"/>
      <w:r>
        <w:lastRenderedPageBreak/>
        <w:t>Adoption Path</w:t>
      </w:r>
      <w:bookmarkEnd w:id="11"/>
      <w:bookmarkEnd w:id="12"/>
    </w:p>
    <w:p w14:paraId="784062B6" w14:textId="77777777" w:rsidR="00435FF5" w:rsidRDefault="00435FF5" w:rsidP="00C22F81">
      <w:pPr>
        <w:spacing w:after="0"/>
        <w:rPr>
          <w:bCs/>
        </w:rPr>
      </w:pPr>
    </w:p>
    <w:p w14:paraId="53B5343F" w14:textId="09E13296" w:rsidR="00C01189" w:rsidRDefault="00B54AA2" w:rsidP="00C22F81">
      <w:pPr>
        <w:spacing w:after="0"/>
        <w:rPr>
          <w:bCs/>
        </w:rPr>
      </w:pPr>
      <w:r>
        <w:rPr>
          <w:bCs/>
        </w:rPr>
        <w:t>Based on literature review we estimated that current area used for perennial energy crops</w:t>
      </w:r>
      <w:r w:rsidR="00C22F81">
        <w:rPr>
          <w:bCs/>
        </w:rPr>
        <w:t xml:space="preserve"> </w:t>
      </w:r>
      <w:r>
        <w:rPr>
          <w:bCs/>
        </w:rPr>
        <w:t>is</w:t>
      </w:r>
      <w:r w:rsidR="00E27E57">
        <w:rPr>
          <w:bCs/>
        </w:rPr>
        <w:t xml:space="preserve"> 0.2 million hectares.</w:t>
      </w:r>
    </w:p>
    <w:p w14:paraId="20B651DB" w14:textId="66071EEE" w:rsidR="00455DC3" w:rsidRDefault="00140FD3" w:rsidP="00140FD3">
      <w:pPr>
        <w:pStyle w:val="Heading3"/>
      </w:pPr>
      <w:bookmarkStart w:id="13" w:name="_Toc25888660"/>
      <w:r w:rsidRPr="0026327C">
        <w:t>Trends to Accelerate Adoption</w:t>
      </w:r>
      <w:r>
        <w:t>.</w:t>
      </w:r>
      <w:bookmarkEnd w:id="13"/>
      <w:r>
        <w:t xml:space="preserve"> </w:t>
      </w:r>
    </w:p>
    <w:p w14:paraId="0901B3F8" w14:textId="77777777" w:rsidR="00455DC3" w:rsidRDefault="00455DC3" w:rsidP="00455DC3"/>
    <w:p w14:paraId="700DD231" w14:textId="12727CC8" w:rsidR="00455DC3" w:rsidRDefault="00455DC3" w:rsidP="0043499D">
      <w:pPr>
        <w:pStyle w:val="ListParagraph"/>
        <w:numPr>
          <w:ilvl w:val="0"/>
          <w:numId w:val="7"/>
        </w:numPr>
      </w:pPr>
      <w:r>
        <w:t>There is need for policy that provides incentives for bioelectricity generation. In US Several policies have the potential to create markets for the  bioenergy feedstocks: (1) the national Renewable Fuel Standard (RFS) with incentives for ethanol derived from cellulosic biomass; (2) a Renewable Portfolio Standard (RPS) for electricity generation</w:t>
      </w:r>
      <w:r w:rsidRPr="00455DC3">
        <w:t xml:space="preserve"> </w:t>
      </w:r>
      <w:r>
        <w:t>(3) a climate policy with a cap on emissions of carbon dioxide (CO2); and (4) a subsidy on bioelectricity</w:t>
      </w:r>
      <w:r w:rsidR="00F25684">
        <w:t xml:space="preserve"> (USDA, 2017)</w:t>
      </w:r>
      <w:r>
        <w:t>.</w:t>
      </w:r>
    </w:p>
    <w:p w14:paraId="53689B03" w14:textId="2A927B55" w:rsidR="00140FD3" w:rsidRDefault="00F25684" w:rsidP="0043499D">
      <w:pPr>
        <w:pStyle w:val="ListParagraph"/>
        <w:numPr>
          <w:ilvl w:val="0"/>
          <w:numId w:val="7"/>
        </w:numPr>
      </w:pPr>
      <w:r>
        <w:t>Perennial energy</w:t>
      </w:r>
      <w:r w:rsidR="00455DC3">
        <w:t xml:space="preserve"> crops would be grown in regions where they have a comparative yield advantage relative to other crops.</w:t>
      </w:r>
      <w:r w:rsidR="00140FD3">
        <w:t xml:space="preserve"> </w:t>
      </w:r>
    </w:p>
    <w:p w14:paraId="509229B2" w14:textId="79486C12" w:rsidR="00ED7776" w:rsidRDefault="00ED7776" w:rsidP="0043499D">
      <w:pPr>
        <w:pStyle w:val="ListParagraph"/>
        <w:numPr>
          <w:ilvl w:val="0"/>
          <w:numId w:val="7"/>
        </w:numPr>
      </w:pPr>
      <w:r>
        <w:t>The Danish Government has included the promotion of growing perennial energy crops in its Green Growth Agreement from June 2009.</w:t>
      </w:r>
      <w:r w:rsidRPr="00ED7776">
        <w:t xml:space="preserve"> </w:t>
      </w:r>
      <w:r>
        <w:t>The government subsidize perennial energy crops and established a preference to plantation of perennial energy crops in areas vulnerable to nitrogen leaching. The agreement also includes initiatives to equalize tax rules for perennial energy crops and annual crops an allows growing perennial energy crops on marginalized areas like buffer-strips alongside streams, ponds and lakes without using fertilizers or pesticides (The Danish Ministry of Agriculture and Fisheries, 2010).</w:t>
      </w:r>
    </w:p>
    <w:p w14:paraId="6A66EE4A" w14:textId="77777777" w:rsidR="00ED7776" w:rsidRDefault="00ED7776" w:rsidP="00ED7776">
      <w:pPr>
        <w:pStyle w:val="ListParagraph"/>
      </w:pPr>
    </w:p>
    <w:p w14:paraId="6F3669D1" w14:textId="160530EE" w:rsidR="00140FD3" w:rsidRPr="00D572E2" w:rsidRDefault="00140FD3" w:rsidP="00D572E2">
      <w:pPr>
        <w:pStyle w:val="Heading3"/>
      </w:pPr>
      <w:bookmarkStart w:id="14" w:name="_Toc25888661"/>
      <w:r w:rsidRPr="551A77D0">
        <w:t>Barriers to Adoption</w:t>
      </w:r>
      <w:bookmarkEnd w:id="14"/>
    </w:p>
    <w:p w14:paraId="211C0FBE" w14:textId="6A447F33" w:rsidR="00B54AA2" w:rsidRPr="00ED7776" w:rsidRDefault="00D572E2" w:rsidP="0043499D">
      <w:pPr>
        <w:pStyle w:val="ListParagraph"/>
        <w:numPr>
          <w:ilvl w:val="0"/>
          <w:numId w:val="8"/>
        </w:numPr>
        <w:rPr>
          <w:bCs/>
        </w:rPr>
      </w:pPr>
      <w:r>
        <w:rPr>
          <w:bCs/>
        </w:rPr>
        <w:t>A k</w:t>
      </w:r>
      <w:r w:rsidR="00455DC3" w:rsidRPr="00ED7776">
        <w:rPr>
          <w:bCs/>
        </w:rPr>
        <w:t>ey barrier in adoption of perennial energy crops is lack of market for large scale use of this resource. The p</w:t>
      </w:r>
      <w:r w:rsidR="00B54AA2" w:rsidRPr="00ED7776">
        <w:rPr>
          <w:bCs/>
        </w:rPr>
        <w:t>rice obtained for dedicated energy crop feedstocks such as switchgrass, miscanthus and willow</w:t>
      </w:r>
      <w:r w:rsidR="00455DC3" w:rsidRPr="00ED7776">
        <w:rPr>
          <w:bCs/>
        </w:rPr>
        <w:t xml:space="preserve"> is too low</w:t>
      </w:r>
      <w:r w:rsidR="00954F42">
        <w:rPr>
          <w:bCs/>
        </w:rPr>
        <w:t xml:space="preserve"> for farmers</w:t>
      </w:r>
      <w:r w:rsidR="00B54AA2" w:rsidRPr="00ED7776">
        <w:rPr>
          <w:bCs/>
        </w:rPr>
        <w:t xml:space="preserve">. </w:t>
      </w:r>
    </w:p>
    <w:p w14:paraId="7DA37890" w14:textId="77777777" w:rsidR="00B54AA2" w:rsidRDefault="00B54AA2" w:rsidP="0043499D">
      <w:pPr>
        <w:pStyle w:val="ListParagraph"/>
        <w:numPr>
          <w:ilvl w:val="0"/>
          <w:numId w:val="8"/>
        </w:numPr>
      </w:pPr>
      <w:r>
        <w:t>Another important barrier is the discussion regarding land usage for food vs. fuel.  A recent study</w:t>
      </w:r>
      <w:r>
        <w:rPr>
          <w:rStyle w:val="FootnoteReference"/>
        </w:rPr>
        <w:footnoteReference w:id="6"/>
      </w:r>
      <w:r>
        <w:t xml:space="preserve"> has shown that even low levels of bioenergy production of around 5EJ/</w:t>
      </w:r>
      <w:proofErr w:type="spellStart"/>
      <w:r>
        <w:t>yr</w:t>
      </w:r>
      <w:proofErr w:type="spellEnd"/>
      <w:r>
        <w:t xml:space="preserve"> from dedicated land use (which is less than 1% of total world’s energy production in 2014</w:t>
      </w:r>
      <w:r>
        <w:rPr>
          <w:rStyle w:val="FootnoteReference"/>
        </w:rPr>
        <w:footnoteReference w:id="7"/>
      </w:r>
      <w:r>
        <w:t xml:space="preserve">) have contributed to rising food </w:t>
      </w:r>
      <w:r>
        <w:lastRenderedPageBreak/>
        <w:t xml:space="preserve">prices. Based in a study by </w:t>
      </w:r>
      <w:proofErr w:type="spellStart"/>
      <w:r>
        <w:t>Wirseniu</w:t>
      </w:r>
      <w:proofErr w:type="spellEnd"/>
      <w:r>
        <w:rPr>
          <w:rStyle w:val="FootnoteReference"/>
        </w:rPr>
        <w:footnoteReference w:id="8"/>
      </w:r>
      <w:r>
        <w:t xml:space="preserve">, considering the reference scenario developed by FAO projections, only about 5% land expansion of agricultural land area will be needed for food security in 2030 because most of the global increase in biomass comes from raised yields and extraction per unit area rather than expansion of the agricultural area. </w:t>
      </w:r>
    </w:p>
    <w:p w14:paraId="34222FBE" w14:textId="64AB14E4" w:rsidR="00D1508C" w:rsidRPr="00C80E50" w:rsidRDefault="00796194" w:rsidP="00BF56E5">
      <w:pPr>
        <w:pStyle w:val="Heading3"/>
      </w:pPr>
      <w:bookmarkStart w:id="15" w:name="_Toc25888662"/>
      <w:r>
        <w:t>A</w:t>
      </w:r>
      <w:r w:rsidR="551A77D0" w:rsidRPr="00C80E50">
        <w:t>doption</w:t>
      </w:r>
      <w:r w:rsidR="006E6C65" w:rsidRPr="00C80E50">
        <w:t xml:space="preserve"> </w:t>
      </w:r>
      <w:r w:rsidR="551A77D0" w:rsidRPr="00C80E50">
        <w:t>Potential</w:t>
      </w:r>
      <w:bookmarkEnd w:id="15"/>
    </w:p>
    <w:p w14:paraId="7287B30E" w14:textId="06203282" w:rsidR="00951C96" w:rsidRPr="003959AB" w:rsidRDefault="00AB3328" w:rsidP="00951C96">
      <w:bookmarkStart w:id="16" w:name="_Hlk532465217"/>
      <w:r>
        <w:t xml:space="preserve">Adoption potential </w:t>
      </w:r>
      <w:r w:rsidR="00127F32">
        <w:t>of this solution is usually combined with forest plantations rather than projected independently.</w:t>
      </w:r>
      <w:r w:rsidR="00951C96" w:rsidRPr="003959AB">
        <w:t xml:space="preserve"> </w:t>
      </w:r>
    </w:p>
    <w:p w14:paraId="12A2F24A" w14:textId="490165D0" w:rsidR="001C49CB" w:rsidRDefault="551A77D0" w:rsidP="0043499D">
      <w:pPr>
        <w:pStyle w:val="Heading2"/>
        <w:numPr>
          <w:ilvl w:val="1"/>
          <w:numId w:val="4"/>
        </w:numPr>
        <w:ind w:firstLine="0"/>
      </w:pPr>
      <w:bookmarkStart w:id="17" w:name="_Toc25888663"/>
      <w:bookmarkEnd w:id="16"/>
      <w:proofErr w:type="gramStart"/>
      <w:r w:rsidRPr="00483FFA">
        <w:t>Advantages  and</w:t>
      </w:r>
      <w:proofErr w:type="gramEnd"/>
      <w:r w:rsidRPr="00483FFA">
        <w:t xml:space="preserve"> disadvantages of</w:t>
      </w:r>
      <w:r w:rsidR="00DB4CC8">
        <w:t xml:space="preserve"> </w:t>
      </w:r>
      <w:r w:rsidR="00577674">
        <w:t xml:space="preserve"> </w:t>
      </w:r>
      <w:r w:rsidR="00DA00D3">
        <w:t>Perennial Biomass</w:t>
      </w:r>
      <w:bookmarkEnd w:id="17"/>
    </w:p>
    <w:p w14:paraId="3389F943" w14:textId="77EB53ED" w:rsidR="00305FB9" w:rsidRPr="00305FB9" w:rsidRDefault="007F3797" w:rsidP="00C207E3">
      <w:pPr>
        <w:spacing w:before="240"/>
        <w:rPr>
          <w:bCs/>
        </w:rPr>
      </w:pPr>
      <w:r w:rsidRPr="007F3797">
        <w:rPr>
          <w:bCs/>
        </w:rPr>
        <w:t>Perennial biomass energy crops have naturally high productivity, need fewer</w:t>
      </w:r>
      <w:r w:rsidR="00902BBF">
        <w:rPr>
          <w:bCs/>
        </w:rPr>
        <w:t xml:space="preserve"> fertilizers and pesticides, less</w:t>
      </w:r>
      <w:r w:rsidRPr="007F3797">
        <w:rPr>
          <w:bCs/>
        </w:rPr>
        <w:t xml:space="preserve"> water. A study by </w:t>
      </w:r>
      <w:proofErr w:type="spellStart"/>
      <w:r w:rsidRPr="007F3797">
        <w:rPr>
          <w:bCs/>
        </w:rPr>
        <w:t>Zucaro</w:t>
      </w:r>
      <w:proofErr w:type="spellEnd"/>
      <w:r w:rsidRPr="007F3797">
        <w:rPr>
          <w:bCs/>
        </w:rPr>
        <w:t xml:space="preserve"> et al</w:t>
      </w:r>
      <w:r w:rsidRPr="007F3797">
        <w:rPr>
          <w:bCs/>
        </w:rPr>
        <w:fldChar w:fldCharType="begin"/>
      </w:r>
      <w:r w:rsidRPr="007F3797">
        <w:rPr>
          <w:bCs/>
        </w:rPr>
        <w:instrText xml:space="preserve"> NOTEREF _Ref464639965 \f \h </w:instrText>
      </w:r>
      <w:r w:rsidRPr="007F3797">
        <w:rPr>
          <w:bCs/>
        </w:rPr>
      </w:r>
      <w:r w:rsidRPr="007F3797">
        <w:rPr>
          <w:bCs/>
        </w:rPr>
        <w:fldChar w:fldCharType="separate"/>
      </w:r>
      <w:r w:rsidR="00872721" w:rsidRPr="00872721">
        <w:rPr>
          <w:rStyle w:val="FootnoteReference"/>
        </w:rPr>
        <w:t>3</w:t>
      </w:r>
      <w:r w:rsidRPr="007F3797">
        <w:rPr>
          <w:bCs/>
        </w:rPr>
        <w:fldChar w:fldCharType="end"/>
      </w:r>
      <w:r w:rsidRPr="007F3797">
        <w:rPr>
          <w:bCs/>
        </w:rPr>
        <w:t xml:space="preserve">  clearly shows through a direct comparison of sorghum (annual crop) and giant reed (perennial crop) in Mediterranean region that the perennial </w:t>
      </w:r>
      <w:r w:rsidR="00083BDB">
        <w:rPr>
          <w:bCs/>
        </w:rPr>
        <w:t>crop</w:t>
      </w:r>
      <w:r w:rsidRPr="007F3797">
        <w:rPr>
          <w:bCs/>
        </w:rPr>
        <w:t xml:space="preserve"> resulted in substantially higher environmental beneﬁts than annual crops due to reduced input and emissions for establishing crops and the potential of </w:t>
      </w:r>
      <w:r w:rsidR="00902BBF">
        <w:rPr>
          <w:bCs/>
        </w:rPr>
        <w:t>carbon</w:t>
      </w:r>
      <w:r w:rsidRPr="007F3797">
        <w:rPr>
          <w:bCs/>
        </w:rPr>
        <w:t xml:space="preserve"> sequestration in soil organic matter.</w:t>
      </w:r>
      <w:r w:rsidR="00902BBF">
        <w:rPr>
          <w:bCs/>
        </w:rPr>
        <w:t xml:space="preserve"> In addition, perennial crops can be cultivated on abandoned or degraded land</w:t>
      </w:r>
      <w:r w:rsidR="00305FB9">
        <w:rPr>
          <w:bCs/>
        </w:rPr>
        <w:t xml:space="preserve"> </w:t>
      </w:r>
      <w:proofErr w:type="gramStart"/>
      <w:r w:rsidR="00305FB9">
        <w:rPr>
          <w:bCs/>
        </w:rPr>
        <w:t>and  where</w:t>
      </w:r>
      <w:proofErr w:type="gramEnd"/>
      <w:r w:rsidR="00305FB9">
        <w:rPr>
          <w:bCs/>
        </w:rPr>
        <w:t xml:space="preserve"> they can</w:t>
      </w:r>
      <w:r w:rsidR="00305FB9" w:rsidRPr="00305FB9">
        <w:rPr>
          <w:bCs/>
        </w:rPr>
        <w:t xml:space="preserve"> improve soil carbon and abate erosion and salinity issues</w:t>
      </w:r>
      <w:r w:rsidR="00305FB9">
        <w:rPr>
          <w:rStyle w:val="FootnoteReference"/>
          <w:bCs/>
        </w:rPr>
        <w:footnoteReference w:id="9"/>
      </w:r>
      <w:r w:rsidR="00305FB9" w:rsidRPr="00305FB9">
        <w:rPr>
          <w:bCs/>
          <w:vertAlign w:val="superscript"/>
        </w:rPr>
        <w:t>,</w:t>
      </w:r>
      <w:r w:rsidR="00305FB9">
        <w:rPr>
          <w:rStyle w:val="FootnoteReference"/>
          <w:bCs/>
        </w:rPr>
        <w:footnoteReference w:id="10"/>
      </w:r>
      <w:r w:rsidR="00305FB9" w:rsidRPr="00305FB9">
        <w:rPr>
          <w:bCs/>
        </w:rPr>
        <w:t>. A comparison of soil erosion rates, fertilizer and herbicide application rates for annual crop (corn) and perennial crops both herbaceous and SRC are shown in Table 2</w:t>
      </w:r>
      <w:bookmarkStart w:id="18" w:name="_Ref462589350"/>
      <w:r w:rsidR="00305FB9">
        <w:rPr>
          <w:rStyle w:val="FootnoteReference"/>
          <w:bCs/>
        </w:rPr>
        <w:footnoteReference w:id="11"/>
      </w:r>
      <w:bookmarkEnd w:id="18"/>
      <w:r w:rsidR="00305FB9" w:rsidRPr="00305FB9">
        <w:rPr>
          <w:bCs/>
        </w:rPr>
        <w:t>. According to IPCC</w:t>
      </w:r>
      <w:r w:rsidR="00305FB9">
        <w:rPr>
          <w:rStyle w:val="FootnoteReference"/>
          <w:bCs/>
        </w:rPr>
        <w:footnoteReference w:id="12"/>
      </w:r>
      <w:r w:rsidR="00305FB9" w:rsidRPr="00305FB9">
        <w:rPr>
          <w:bCs/>
        </w:rPr>
        <w:t xml:space="preserve">, perennial cropping systems have a medium technical mitigation potential in terms of impacts on greenhouse gas emissions. Beneficial land use changes can also be observed when perennial grasses and short rotation woody crops replace annual crops that have high fertilizer and pesticide requirements. </w:t>
      </w:r>
    </w:p>
    <w:p w14:paraId="5194CA97" w14:textId="77777777" w:rsidR="00050D65" w:rsidRDefault="00050D65" w:rsidP="00305FB9">
      <w:pPr>
        <w:pStyle w:val="Caption"/>
        <w:jc w:val="center"/>
        <w:rPr>
          <w:b/>
          <w:i w:val="0"/>
          <w:color w:val="auto"/>
        </w:rPr>
      </w:pPr>
      <w:bookmarkStart w:id="19" w:name="_Toc462590237"/>
    </w:p>
    <w:p w14:paraId="7EF1140E" w14:textId="6C435912" w:rsidR="00305FB9" w:rsidRPr="00050D65" w:rsidRDefault="00B257CA" w:rsidP="00B257CA">
      <w:pPr>
        <w:pStyle w:val="Caption"/>
        <w:rPr>
          <w:i w:val="0"/>
          <w:color w:val="auto"/>
          <w:sz w:val="24"/>
          <w:szCs w:val="24"/>
        </w:rPr>
      </w:pPr>
      <w:bookmarkStart w:id="20" w:name="_Toc18444706"/>
      <w:bookmarkEnd w:id="19"/>
      <w:r>
        <w:lastRenderedPageBreak/>
        <w:t xml:space="preserve">Table </w:t>
      </w:r>
      <w:r w:rsidR="00CE1040">
        <w:fldChar w:fldCharType="begin"/>
      </w:r>
      <w:r w:rsidR="00CE1040">
        <w:instrText xml:space="preserve"> STYLEREF 1 \s </w:instrText>
      </w:r>
      <w:r w:rsidR="00CE1040">
        <w:fldChar w:fldCharType="separate"/>
      </w:r>
      <w:r w:rsidR="00872721">
        <w:rPr>
          <w:noProof/>
        </w:rPr>
        <w:t>1</w:t>
      </w:r>
      <w:r w:rsidR="00CE1040">
        <w:rPr>
          <w:noProof/>
        </w:rPr>
        <w:fldChar w:fldCharType="end"/>
      </w:r>
      <w:r w:rsidR="0047117A">
        <w:t>.</w:t>
      </w:r>
      <w:r w:rsidR="00CE1040">
        <w:fldChar w:fldCharType="begin"/>
      </w:r>
      <w:r w:rsidR="00CE1040">
        <w:instrText xml:space="preserve"> SEQ Table \* ARABIC \s 1 </w:instrText>
      </w:r>
      <w:r w:rsidR="00CE1040">
        <w:fldChar w:fldCharType="separate"/>
      </w:r>
      <w:r w:rsidR="00872721">
        <w:rPr>
          <w:noProof/>
        </w:rPr>
        <w:t>2</w:t>
      </w:r>
      <w:r w:rsidR="00CE1040">
        <w:rPr>
          <w:noProof/>
        </w:rPr>
        <w:fldChar w:fldCharType="end"/>
      </w:r>
      <w:r>
        <w:t>:</w:t>
      </w:r>
      <w:r w:rsidRPr="00E31CF6">
        <w:t>Typical fertilizer and herbicide application rates and soil erosion rates for annual and perennial cropping systems</w:t>
      </w:r>
      <w:r w:rsidRPr="00050D65">
        <w:rPr>
          <w:i w:val="0"/>
          <w:color w:val="auto"/>
          <w:sz w:val="24"/>
          <w:szCs w:val="24"/>
        </w:rPr>
        <w:fldChar w:fldCharType="begin"/>
      </w:r>
      <w:r w:rsidRPr="00050D65">
        <w:rPr>
          <w:i w:val="0"/>
          <w:color w:val="auto"/>
          <w:sz w:val="24"/>
          <w:szCs w:val="24"/>
        </w:rPr>
        <w:instrText xml:space="preserve"> NOTEREF _Ref462589350 \f \h  \* MERGEFORMAT </w:instrText>
      </w:r>
      <w:r w:rsidRPr="00050D65">
        <w:rPr>
          <w:i w:val="0"/>
          <w:color w:val="auto"/>
          <w:sz w:val="24"/>
          <w:szCs w:val="24"/>
        </w:rPr>
      </w:r>
      <w:r w:rsidRPr="00050D65">
        <w:rPr>
          <w:i w:val="0"/>
          <w:color w:val="auto"/>
          <w:sz w:val="24"/>
          <w:szCs w:val="24"/>
        </w:rPr>
        <w:fldChar w:fldCharType="separate"/>
      </w:r>
      <w:r w:rsidR="00872721" w:rsidRPr="00872721">
        <w:rPr>
          <w:rStyle w:val="FootnoteReference"/>
          <w:i w:val="0"/>
          <w:color w:val="auto"/>
          <w:sz w:val="24"/>
          <w:szCs w:val="24"/>
        </w:rPr>
        <w:t>11</w:t>
      </w:r>
      <w:bookmarkEnd w:id="20"/>
      <w:r w:rsidRPr="00050D65">
        <w:rPr>
          <w:i w:val="0"/>
          <w:color w:val="auto"/>
          <w:sz w:val="24"/>
          <w:szCs w:val="24"/>
        </w:rPr>
        <w:fldChar w:fldCharType="end"/>
      </w:r>
    </w:p>
    <w:tbl>
      <w:tblPr>
        <w:tblStyle w:val="TableGrid"/>
        <w:tblW w:w="8837" w:type="dxa"/>
        <w:tblInd w:w="529" w:type="dxa"/>
        <w:tblBorders>
          <w:left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686"/>
        <w:gridCol w:w="1659"/>
        <w:gridCol w:w="2161"/>
        <w:gridCol w:w="2331"/>
      </w:tblGrid>
      <w:tr w:rsidR="00305FB9" w:rsidRPr="00305FB9" w14:paraId="423B3B3D" w14:textId="77777777" w:rsidTr="00305FB9">
        <w:trPr>
          <w:trHeight w:val="1258"/>
        </w:trPr>
        <w:tc>
          <w:tcPr>
            <w:tcW w:w="2686" w:type="dxa"/>
            <w:tcBorders>
              <w:top w:val="single" w:sz="4" w:space="0" w:color="auto"/>
              <w:bottom w:val="single" w:sz="4" w:space="0" w:color="auto"/>
            </w:tcBorders>
          </w:tcPr>
          <w:p w14:paraId="019B592C" w14:textId="77777777" w:rsidR="00305FB9" w:rsidRPr="00305FB9" w:rsidRDefault="00305FB9" w:rsidP="001B2C08">
            <w:pPr>
              <w:widowControl w:val="0"/>
              <w:autoSpaceDE w:val="0"/>
              <w:autoSpaceDN w:val="0"/>
              <w:adjustRightInd w:val="0"/>
              <w:jc w:val="center"/>
            </w:pPr>
            <w:r w:rsidRPr="00305FB9">
              <w:t>Cropping system</w:t>
            </w:r>
          </w:p>
        </w:tc>
        <w:tc>
          <w:tcPr>
            <w:tcW w:w="1659" w:type="dxa"/>
            <w:tcBorders>
              <w:top w:val="single" w:sz="4" w:space="0" w:color="auto"/>
              <w:bottom w:val="single" w:sz="4" w:space="0" w:color="auto"/>
            </w:tcBorders>
          </w:tcPr>
          <w:p w14:paraId="3FB898AB" w14:textId="77777777" w:rsidR="00305FB9" w:rsidRPr="00305FB9" w:rsidRDefault="00305FB9" w:rsidP="001B2C08">
            <w:pPr>
              <w:widowControl w:val="0"/>
              <w:autoSpaceDE w:val="0"/>
              <w:autoSpaceDN w:val="0"/>
              <w:adjustRightInd w:val="0"/>
              <w:jc w:val="center"/>
              <w:rPr>
                <w:lang w:val="nb-NO"/>
              </w:rPr>
            </w:pPr>
            <w:r w:rsidRPr="00305FB9">
              <w:rPr>
                <w:lang w:val="nb-NO"/>
              </w:rPr>
              <w:t>Soil erosion rates</w:t>
            </w:r>
          </w:p>
          <w:p w14:paraId="27C5ADFE" w14:textId="77777777" w:rsidR="00305FB9" w:rsidRPr="00305FB9" w:rsidRDefault="00305FB9" w:rsidP="001B2C08">
            <w:pPr>
              <w:widowControl w:val="0"/>
              <w:autoSpaceDE w:val="0"/>
              <w:autoSpaceDN w:val="0"/>
              <w:adjustRightInd w:val="0"/>
              <w:jc w:val="center"/>
              <w:rPr>
                <w:lang w:val="nb-NO"/>
              </w:rPr>
            </w:pPr>
            <w:r w:rsidRPr="00305FB9">
              <w:rPr>
                <w:lang w:val="nb-NO"/>
              </w:rPr>
              <w:t>(Mg ha</w:t>
            </w:r>
            <w:r w:rsidRPr="00305FB9">
              <w:rPr>
                <w:vertAlign w:val="superscript"/>
                <w:lang w:val="nb-NO"/>
              </w:rPr>
              <w:t>-1</w:t>
            </w:r>
            <w:r w:rsidRPr="00305FB9">
              <w:rPr>
                <w:lang w:val="nb-NO"/>
              </w:rPr>
              <w:t xml:space="preserve"> yr</w:t>
            </w:r>
            <w:r w:rsidRPr="00305FB9">
              <w:rPr>
                <w:vertAlign w:val="superscript"/>
                <w:lang w:val="nb-NO"/>
              </w:rPr>
              <w:t>-1</w:t>
            </w:r>
            <w:r w:rsidRPr="00305FB9">
              <w:rPr>
                <w:lang w:val="nb-NO"/>
              </w:rPr>
              <w:t>)</w:t>
            </w:r>
          </w:p>
        </w:tc>
        <w:tc>
          <w:tcPr>
            <w:tcW w:w="2161" w:type="dxa"/>
            <w:tcBorders>
              <w:top w:val="single" w:sz="4" w:space="0" w:color="auto"/>
              <w:bottom w:val="single" w:sz="4" w:space="0" w:color="auto"/>
            </w:tcBorders>
          </w:tcPr>
          <w:p w14:paraId="65B0AE5B" w14:textId="77777777" w:rsidR="00305FB9" w:rsidRPr="00305FB9" w:rsidRDefault="00305FB9" w:rsidP="001B2C08">
            <w:pPr>
              <w:widowControl w:val="0"/>
              <w:autoSpaceDE w:val="0"/>
              <w:autoSpaceDN w:val="0"/>
              <w:adjustRightInd w:val="0"/>
              <w:jc w:val="center"/>
            </w:pPr>
            <w:r w:rsidRPr="00305FB9">
              <w:t>N-P-K Application rates</w:t>
            </w:r>
          </w:p>
          <w:p w14:paraId="461DC508" w14:textId="77777777" w:rsidR="00305FB9" w:rsidRPr="00305FB9" w:rsidRDefault="00305FB9" w:rsidP="001B2C08">
            <w:pPr>
              <w:widowControl w:val="0"/>
              <w:autoSpaceDE w:val="0"/>
              <w:autoSpaceDN w:val="0"/>
              <w:adjustRightInd w:val="0"/>
              <w:jc w:val="center"/>
            </w:pPr>
            <w:r w:rsidRPr="00305FB9">
              <w:t>(kg ha</w:t>
            </w:r>
            <w:r w:rsidRPr="00305FB9">
              <w:rPr>
                <w:vertAlign w:val="superscript"/>
              </w:rPr>
              <w:t>-1</w:t>
            </w:r>
            <w:r w:rsidRPr="00305FB9">
              <w:t xml:space="preserve"> yr</w:t>
            </w:r>
            <w:r w:rsidRPr="00305FB9">
              <w:rPr>
                <w:vertAlign w:val="superscript"/>
              </w:rPr>
              <w:t>-1</w:t>
            </w:r>
            <w:r w:rsidRPr="00305FB9">
              <w:t>)</w:t>
            </w:r>
          </w:p>
        </w:tc>
        <w:tc>
          <w:tcPr>
            <w:tcW w:w="2331" w:type="dxa"/>
            <w:tcBorders>
              <w:top w:val="single" w:sz="4" w:space="0" w:color="auto"/>
              <w:bottom w:val="single" w:sz="4" w:space="0" w:color="auto"/>
            </w:tcBorders>
          </w:tcPr>
          <w:p w14:paraId="7F1C93ED" w14:textId="77777777" w:rsidR="00305FB9" w:rsidRPr="00305FB9" w:rsidRDefault="00305FB9" w:rsidP="001B2C08">
            <w:pPr>
              <w:widowControl w:val="0"/>
              <w:autoSpaceDE w:val="0"/>
              <w:autoSpaceDN w:val="0"/>
              <w:adjustRightInd w:val="0"/>
              <w:jc w:val="center"/>
            </w:pPr>
            <w:r w:rsidRPr="00305FB9">
              <w:t>Herbicide application rates</w:t>
            </w:r>
          </w:p>
          <w:p w14:paraId="0663EB01" w14:textId="77777777" w:rsidR="00305FB9" w:rsidRPr="00305FB9" w:rsidRDefault="00305FB9" w:rsidP="001B2C08">
            <w:pPr>
              <w:widowControl w:val="0"/>
              <w:autoSpaceDE w:val="0"/>
              <w:autoSpaceDN w:val="0"/>
              <w:adjustRightInd w:val="0"/>
              <w:jc w:val="center"/>
            </w:pPr>
            <w:r w:rsidRPr="00305FB9">
              <w:t>(kg ha</w:t>
            </w:r>
            <w:r w:rsidRPr="00305FB9">
              <w:rPr>
                <w:vertAlign w:val="superscript"/>
              </w:rPr>
              <w:t>-1</w:t>
            </w:r>
            <w:r w:rsidRPr="00305FB9">
              <w:t xml:space="preserve"> yr</w:t>
            </w:r>
            <w:r w:rsidRPr="00305FB9">
              <w:rPr>
                <w:vertAlign w:val="superscript"/>
              </w:rPr>
              <w:t>-1</w:t>
            </w:r>
            <w:r w:rsidRPr="00305FB9">
              <w:t>)</w:t>
            </w:r>
          </w:p>
        </w:tc>
      </w:tr>
      <w:tr w:rsidR="00305FB9" w:rsidRPr="00305FB9" w14:paraId="19FC0E37" w14:textId="77777777" w:rsidTr="00305FB9">
        <w:trPr>
          <w:trHeight w:val="1372"/>
        </w:trPr>
        <w:tc>
          <w:tcPr>
            <w:tcW w:w="2686" w:type="dxa"/>
            <w:tcBorders>
              <w:top w:val="single" w:sz="4" w:space="0" w:color="auto"/>
            </w:tcBorders>
          </w:tcPr>
          <w:p w14:paraId="755C5DA3" w14:textId="77777777" w:rsidR="00305FB9" w:rsidRPr="00305FB9" w:rsidRDefault="00305FB9" w:rsidP="001B2C08">
            <w:pPr>
              <w:widowControl w:val="0"/>
              <w:autoSpaceDE w:val="0"/>
              <w:autoSpaceDN w:val="0"/>
              <w:adjustRightInd w:val="0"/>
              <w:rPr>
                <w:b/>
                <w:i/>
                <w:szCs w:val="21"/>
              </w:rPr>
            </w:pPr>
            <w:r w:rsidRPr="00305FB9">
              <w:rPr>
                <w:b/>
                <w:i/>
                <w:szCs w:val="21"/>
              </w:rPr>
              <w:t>Annual crops</w:t>
            </w:r>
          </w:p>
          <w:p w14:paraId="7381252E" w14:textId="77777777" w:rsidR="00305FB9" w:rsidRPr="00305FB9" w:rsidRDefault="00305FB9" w:rsidP="001B2C08">
            <w:pPr>
              <w:widowControl w:val="0"/>
              <w:autoSpaceDE w:val="0"/>
              <w:autoSpaceDN w:val="0"/>
              <w:adjustRightInd w:val="0"/>
              <w:ind w:left="360"/>
              <w:rPr>
                <w:szCs w:val="21"/>
              </w:rPr>
            </w:pPr>
            <w:r w:rsidRPr="00305FB9">
              <w:rPr>
                <w:szCs w:val="21"/>
              </w:rPr>
              <w:t>Corn</w:t>
            </w:r>
          </w:p>
          <w:p w14:paraId="3C7C565D" w14:textId="77777777" w:rsidR="00305FB9" w:rsidRPr="00305FB9" w:rsidRDefault="00305FB9" w:rsidP="001B2C08">
            <w:pPr>
              <w:widowControl w:val="0"/>
              <w:autoSpaceDE w:val="0"/>
              <w:autoSpaceDN w:val="0"/>
              <w:adjustRightInd w:val="0"/>
              <w:ind w:left="360"/>
              <w:rPr>
                <w:szCs w:val="21"/>
              </w:rPr>
            </w:pPr>
            <w:r w:rsidRPr="00305FB9">
              <w:rPr>
                <w:szCs w:val="21"/>
              </w:rPr>
              <w:t>Soybean</w:t>
            </w:r>
          </w:p>
        </w:tc>
        <w:tc>
          <w:tcPr>
            <w:tcW w:w="1659" w:type="dxa"/>
            <w:tcBorders>
              <w:top w:val="single" w:sz="4" w:space="0" w:color="auto"/>
            </w:tcBorders>
          </w:tcPr>
          <w:p w14:paraId="090A02FB" w14:textId="77777777" w:rsidR="00305FB9" w:rsidRPr="00305FB9" w:rsidRDefault="00305FB9" w:rsidP="001B2C08">
            <w:pPr>
              <w:widowControl w:val="0"/>
              <w:autoSpaceDE w:val="0"/>
              <w:autoSpaceDN w:val="0"/>
              <w:adjustRightInd w:val="0"/>
              <w:rPr>
                <w:szCs w:val="21"/>
              </w:rPr>
            </w:pPr>
          </w:p>
          <w:p w14:paraId="60211ED0" w14:textId="77777777" w:rsidR="00305FB9" w:rsidRPr="00305FB9" w:rsidRDefault="00305FB9" w:rsidP="001B2C08">
            <w:pPr>
              <w:widowControl w:val="0"/>
              <w:autoSpaceDE w:val="0"/>
              <w:autoSpaceDN w:val="0"/>
              <w:adjustRightInd w:val="0"/>
              <w:jc w:val="center"/>
              <w:rPr>
                <w:szCs w:val="21"/>
              </w:rPr>
            </w:pPr>
            <w:r w:rsidRPr="00305FB9">
              <w:rPr>
                <w:szCs w:val="21"/>
              </w:rPr>
              <w:t>21.8</w:t>
            </w:r>
          </w:p>
          <w:p w14:paraId="71A80446" w14:textId="77777777" w:rsidR="00305FB9" w:rsidRPr="00305FB9" w:rsidRDefault="00305FB9" w:rsidP="001B2C08">
            <w:pPr>
              <w:widowControl w:val="0"/>
              <w:autoSpaceDE w:val="0"/>
              <w:autoSpaceDN w:val="0"/>
              <w:adjustRightInd w:val="0"/>
              <w:jc w:val="center"/>
              <w:rPr>
                <w:szCs w:val="21"/>
              </w:rPr>
            </w:pPr>
            <w:r w:rsidRPr="00305FB9">
              <w:rPr>
                <w:szCs w:val="21"/>
              </w:rPr>
              <w:t>40.9</w:t>
            </w:r>
          </w:p>
        </w:tc>
        <w:tc>
          <w:tcPr>
            <w:tcW w:w="2161" w:type="dxa"/>
            <w:tcBorders>
              <w:top w:val="single" w:sz="4" w:space="0" w:color="auto"/>
            </w:tcBorders>
          </w:tcPr>
          <w:p w14:paraId="55B8F527" w14:textId="77777777" w:rsidR="00305FB9" w:rsidRPr="00305FB9" w:rsidRDefault="00305FB9" w:rsidP="001B2C08">
            <w:pPr>
              <w:widowControl w:val="0"/>
              <w:autoSpaceDE w:val="0"/>
              <w:autoSpaceDN w:val="0"/>
              <w:adjustRightInd w:val="0"/>
              <w:jc w:val="center"/>
              <w:rPr>
                <w:szCs w:val="21"/>
              </w:rPr>
            </w:pPr>
          </w:p>
          <w:p w14:paraId="33A1BF99" w14:textId="77777777" w:rsidR="00305FB9" w:rsidRPr="00305FB9" w:rsidRDefault="00305FB9" w:rsidP="001B2C08">
            <w:pPr>
              <w:widowControl w:val="0"/>
              <w:autoSpaceDE w:val="0"/>
              <w:autoSpaceDN w:val="0"/>
              <w:adjustRightInd w:val="0"/>
              <w:jc w:val="center"/>
              <w:rPr>
                <w:szCs w:val="21"/>
              </w:rPr>
            </w:pPr>
            <w:r w:rsidRPr="00305FB9">
              <w:rPr>
                <w:szCs w:val="21"/>
              </w:rPr>
              <w:t>135-60-80</w:t>
            </w:r>
          </w:p>
          <w:p w14:paraId="5F400FAC" w14:textId="77777777" w:rsidR="00305FB9" w:rsidRPr="00305FB9" w:rsidRDefault="00305FB9" w:rsidP="001B2C08">
            <w:pPr>
              <w:widowControl w:val="0"/>
              <w:autoSpaceDE w:val="0"/>
              <w:autoSpaceDN w:val="0"/>
              <w:adjustRightInd w:val="0"/>
              <w:jc w:val="center"/>
              <w:rPr>
                <w:szCs w:val="21"/>
              </w:rPr>
            </w:pPr>
            <w:r w:rsidRPr="00305FB9">
              <w:rPr>
                <w:szCs w:val="21"/>
              </w:rPr>
              <w:t>20-45-70</w:t>
            </w:r>
          </w:p>
        </w:tc>
        <w:tc>
          <w:tcPr>
            <w:tcW w:w="2331" w:type="dxa"/>
            <w:tcBorders>
              <w:top w:val="single" w:sz="4" w:space="0" w:color="auto"/>
            </w:tcBorders>
          </w:tcPr>
          <w:p w14:paraId="37A61114" w14:textId="77777777" w:rsidR="00305FB9" w:rsidRPr="00305FB9" w:rsidRDefault="00305FB9" w:rsidP="001B2C08">
            <w:pPr>
              <w:widowControl w:val="0"/>
              <w:autoSpaceDE w:val="0"/>
              <w:autoSpaceDN w:val="0"/>
              <w:adjustRightInd w:val="0"/>
              <w:jc w:val="center"/>
              <w:rPr>
                <w:szCs w:val="21"/>
              </w:rPr>
            </w:pPr>
          </w:p>
          <w:p w14:paraId="78E9ECB3" w14:textId="77777777" w:rsidR="00305FB9" w:rsidRPr="00305FB9" w:rsidRDefault="00305FB9" w:rsidP="001B2C08">
            <w:pPr>
              <w:widowControl w:val="0"/>
              <w:autoSpaceDE w:val="0"/>
              <w:autoSpaceDN w:val="0"/>
              <w:adjustRightInd w:val="0"/>
              <w:jc w:val="center"/>
              <w:rPr>
                <w:szCs w:val="21"/>
              </w:rPr>
            </w:pPr>
            <w:r w:rsidRPr="00305FB9">
              <w:rPr>
                <w:szCs w:val="21"/>
              </w:rPr>
              <w:t>3.06</w:t>
            </w:r>
          </w:p>
          <w:p w14:paraId="412A9752" w14:textId="77777777" w:rsidR="00305FB9" w:rsidRPr="00305FB9" w:rsidRDefault="00305FB9" w:rsidP="001B2C08">
            <w:pPr>
              <w:widowControl w:val="0"/>
              <w:autoSpaceDE w:val="0"/>
              <w:autoSpaceDN w:val="0"/>
              <w:adjustRightInd w:val="0"/>
              <w:jc w:val="center"/>
              <w:rPr>
                <w:szCs w:val="21"/>
              </w:rPr>
            </w:pPr>
            <w:r w:rsidRPr="00305FB9">
              <w:rPr>
                <w:szCs w:val="21"/>
              </w:rPr>
              <w:t>1.83</w:t>
            </w:r>
          </w:p>
        </w:tc>
      </w:tr>
      <w:tr w:rsidR="00305FB9" w:rsidRPr="00305FB9" w14:paraId="7EC8FE99" w14:textId="77777777" w:rsidTr="00305FB9">
        <w:trPr>
          <w:trHeight w:val="1372"/>
        </w:trPr>
        <w:tc>
          <w:tcPr>
            <w:tcW w:w="2686" w:type="dxa"/>
          </w:tcPr>
          <w:p w14:paraId="75BA1D42" w14:textId="77777777" w:rsidR="00305FB9" w:rsidRPr="00305FB9" w:rsidRDefault="00305FB9" w:rsidP="001B2C08">
            <w:pPr>
              <w:widowControl w:val="0"/>
              <w:autoSpaceDE w:val="0"/>
              <w:autoSpaceDN w:val="0"/>
              <w:adjustRightInd w:val="0"/>
              <w:rPr>
                <w:b/>
                <w:i/>
                <w:szCs w:val="21"/>
              </w:rPr>
            </w:pPr>
            <w:r w:rsidRPr="00305FB9">
              <w:rPr>
                <w:b/>
                <w:i/>
                <w:szCs w:val="21"/>
              </w:rPr>
              <w:t xml:space="preserve">Perennial crops </w:t>
            </w:r>
          </w:p>
          <w:p w14:paraId="00015F8C" w14:textId="77777777" w:rsidR="00305FB9" w:rsidRPr="00305FB9" w:rsidRDefault="00305FB9" w:rsidP="001B2C08">
            <w:pPr>
              <w:widowControl w:val="0"/>
              <w:autoSpaceDE w:val="0"/>
              <w:autoSpaceDN w:val="0"/>
              <w:adjustRightInd w:val="0"/>
              <w:ind w:left="360"/>
              <w:rPr>
                <w:szCs w:val="21"/>
              </w:rPr>
            </w:pPr>
            <w:r w:rsidRPr="00305FB9">
              <w:rPr>
                <w:szCs w:val="21"/>
              </w:rPr>
              <w:t>Herbaceous energy crops</w:t>
            </w:r>
          </w:p>
          <w:p w14:paraId="4FBB26FF" w14:textId="77777777" w:rsidR="00305FB9" w:rsidRPr="00305FB9" w:rsidRDefault="00305FB9" w:rsidP="001B2C08">
            <w:pPr>
              <w:widowControl w:val="0"/>
              <w:autoSpaceDE w:val="0"/>
              <w:autoSpaceDN w:val="0"/>
              <w:adjustRightInd w:val="0"/>
              <w:ind w:left="360"/>
              <w:rPr>
                <w:szCs w:val="21"/>
              </w:rPr>
            </w:pPr>
            <w:r w:rsidRPr="00305FB9">
              <w:rPr>
                <w:szCs w:val="21"/>
              </w:rPr>
              <w:t>SRC</w:t>
            </w:r>
          </w:p>
        </w:tc>
        <w:tc>
          <w:tcPr>
            <w:tcW w:w="1659" w:type="dxa"/>
          </w:tcPr>
          <w:p w14:paraId="59D3D3C3" w14:textId="77777777" w:rsidR="00305FB9" w:rsidRPr="00305FB9" w:rsidRDefault="00305FB9" w:rsidP="001B2C08">
            <w:pPr>
              <w:widowControl w:val="0"/>
              <w:autoSpaceDE w:val="0"/>
              <w:autoSpaceDN w:val="0"/>
              <w:adjustRightInd w:val="0"/>
              <w:jc w:val="center"/>
              <w:rPr>
                <w:szCs w:val="21"/>
              </w:rPr>
            </w:pPr>
          </w:p>
          <w:p w14:paraId="2E6FC059" w14:textId="77777777" w:rsidR="00305FB9" w:rsidRPr="00305FB9" w:rsidRDefault="00305FB9" w:rsidP="001B2C08">
            <w:pPr>
              <w:widowControl w:val="0"/>
              <w:autoSpaceDE w:val="0"/>
              <w:autoSpaceDN w:val="0"/>
              <w:adjustRightInd w:val="0"/>
              <w:jc w:val="center"/>
              <w:rPr>
                <w:szCs w:val="21"/>
              </w:rPr>
            </w:pPr>
            <w:r w:rsidRPr="00305FB9">
              <w:rPr>
                <w:szCs w:val="21"/>
              </w:rPr>
              <w:t>0.2</w:t>
            </w:r>
          </w:p>
          <w:p w14:paraId="1032EE60" w14:textId="77777777" w:rsidR="00305FB9" w:rsidRPr="00305FB9" w:rsidRDefault="00305FB9" w:rsidP="001B2C08">
            <w:pPr>
              <w:widowControl w:val="0"/>
              <w:autoSpaceDE w:val="0"/>
              <w:autoSpaceDN w:val="0"/>
              <w:adjustRightInd w:val="0"/>
              <w:jc w:val="center"/>
              <w:rPr>
                <w:szCs w:val="21"/>
              </w:rPr>
            </w:pPr>
            <w:r w:rsidRPr="00305FB9">
              <w:rPr>
                <w:szCs w:val="21"/>
              </w:rPr>
              <w:t>2.0</w:t>
            </w:r>
          </w:p>
        </w:tc>
        <w:tc>
          <w:tcPr>
            <w:tcW w:w="2161" w:type="dxa"/>
          </w:tcPr>
          <w:p w14:paraId="0CEF9CC3" w14:textId="77777777" w:rsidR="00305FB9" w:rsidRPr="00305FB9" w:rsidRDefault="00305FB9" w:rsidP="001B2C08">
            <w:pPr>
              <w:widowControl w:val="0"/>
              <w:autoSpaceDE w:val="0"/>
              <w:autoSpaceDN w:val="0"/>
              <w:adjustRightInd w:val="0"/>
              <w:jc w:val="center"/>
              <w:rPr>
                <w:szCs w:val="21"/>
              </w:rPr>
            </w:pPr>
          </w:p>
          <w:p w14:paraId="5F5DAE0B" w14:textId="77777777" w:rsidR="00305FB9" w:rsidRPr="00305FB9" w:rsidRDefault="00305FB9" w:rsidP="001B2C08">
            <w:pPr>
              <w:widowControl w:val="0"/>
              <w:autoSpaceDE w:val="0"/>
              <w:autoSpaceDN w:val="0"/>
              <w:adjustRightInd w:val="0"/>
              <w:jc w:val="center"/>
              <w:rPr>
                <w:szCs w:val="21"/>
              </w:rPr>
            </w:pPr>
            <w:r w:rsidRPr="00305FB9">
              <w:rPr>
                <w:szCs w:val="21"/>
              </w:rPr>
              <w:t>50-60-60</w:t>
            </w:r>
          </w:p>
          <w:p w14:paraId="27EAC798" w14:textId="77777777" w:rsidR="00305FB9" w:rsidRPr="00305FB9" w:rsidRDefault="00305FB9" w:rsidP="001B2C08">
            <w:pPr>
              <w:widowControl w:val="0"/>
              <w:autoSpaceDE w:val="0"/>
              <w:autoSpaceDN w:val="0"/>
              <w:adjustRightInd w:val="0"/>
              <w:jc w:val="center"/>
              <w:rPr>
                <w:szCs w:val="21"/>
              </w:rPr>
            </w:pPr>
            <w:r w:rsidRPr="00305FB9">
              <w:rPr>
                <w:szCs w:val="21"/>
              </w:rPr>
              <w:t>60-15-15</w:t>
            </w:r>
          </w:p>
        </w:tc>
        <w:tc>
          <w:tcPr>
            <w:tcW w:w="2331" w:type="dxa"/>
          </w:tcPr>
          <w:p w14:paraId="74F7E5C3" w14:textId="77777777" w:rsidR="00305FB9" w:rsidRPr="00305FB9" w:rsidRDefault="00305FB9" w:rsidP="001B2C08">
            <w:pPr>
              <w:widowControl w:val="0"/>
              <w:autoSpaceDE w:val="0"/>
              <w:autoSpaceDN w:val="0"/>
              <w:adjustRightInd w:val="0"/>
              <w:jc w:val="center"/>
              <w:rPr>
                <w:szCs w:val="21"/>
              </w:rPr>
            </w:pPr>
          </w:p>
          <w:p w14:paraId="653657FC" w14:textId="77777777" w:rsidR="00305FB9" w:rsidRPr="00305FB9" w:rsidRDefault="00305FB9" w:rsidP="001B2C08">
            <w:pPr>
              <w:widowControl w:val="0"/>
              <w:autoSpaceDE w:val="0"/>
              <w:autoSpaceDN w:val="0"/>
              <w:adjustRightInd w:val="0"/>
              <w:jc w:val="center"/>
              <w:rPr>
                <w:szCs w:val="21"/>
              </w:rPr>
            </w:pPr>
            <w:r w:rsidRPr="00305FB9">
              <w:rPr>
                <w:szCs w:val="21"/>
              </w:rPr>
              <w:t>0.25</w:t>
            </w:r>
          </w:p>
          <w:p w14:paraId="70DA38FC" w14:textId="77777777" w:rsidR="00305FB9" w:rsidRPr="00305FB9" w:rsidRDefault="00305FB9" w:rsidP="001B2C08">
            <w:pPr>
              <w:widowControl w:val="0"/>
              <w:autoSpaceDE w:val="0"/>
              <w:autoSpaceDN w:val="0"/>
              <w:adjustRightInd w:val="0"/>
              <w:jc w:val="center"/>
              <w:rPr>
                <w:szCs w:val="21"/>
              </w:rPr>
            </w:pPr>
            <w:r w:rsidRPr="00305FB9">
              <w:rPr>
                <w:szCs w:val="21"/>
              </w:rPr>
              <w:t>0.39</w:t>
            </w:r>
          </w:p>
        </w:tc>
      </w:tr>
    </w:tbl>
    <w:p w14:paraId="08482FDD" w14:textId="77777777" w:rsidR="00305FB9" w:rsidRDefault="00305FB9" w:rsidP="00305FB9">
      <w:pPr>
        <w:spacing w:before="240"/>
        <w:rPr>
          <w:bCs/>
        </w:rPr>
      </w:pPr>
      <w:r w:rsidRPr="00C42047">
        <w:rPr>
          <w:bCs/>
        </w:rPr>
        <w:t xml:space="preserve">There </w:t>
      </w:r>
      <w:r>
        <w:rPr>
          <w:bCs/>
        </w:rPr>
        <w:t xml:space="preserve">are also some disadvantages of considering perennial crops for energy. </w:t>
      </w:r>
    </w:p>
    <w:p w14:paraId="5460F552" w14:textId="47AA4B01" w:rsidR="00305FB9" w:rsidRPr="00E267C8" w:rsidRDefault="00305FB9" w:rsidP="00E267C8">
      <w:pPr>
        <w:spacing w:before="240"/>
        <w:rPr>
          <w:bCs/>
        </w:rPr>
      </w:pPr>
      <w:r w:rsidRPr="00E267C8">
        <w:rPr>
          <w:bCs/>
        </w:rPr>
        <w:t xml:space="preserve">Herbaceous crops such as switchgrass and miscanthus have </w:t>
      </w:r>
      <w:r w:rsidR="00F23C29">
        <w:rPr>
          <w:bCs/>
        </w:rPr>
        <w:t>limited</w:t>
      </w:r>
      <w:r w:rsidRPr="00E267C8">
        <w:rPr>
          <w:bCs/>
        </w:rPr>
        <w:t xml:space="preserve"> application</w:t>
      </w:r>
      <w:r w:rsidR="00F23C29">
        <w:rPr>
          <w:bCs/>
        </w:rPr>
        <w:t>s</w:t>
      </w:r>
      <w:r w:rsidRPr="00E267C8">
        <w:rPr>
          <w:bCs/>
        </w:rPr>
        <w:t xml:space="preserve"> other than for bioenergy production. In United States, it has been suggested that switchgrass could be used as fodder but same cannot be done for miscanthus due to sharp edges on the leaves.</w:t>
      </w:r>
      <w:bookmarkStart w:id="21" w:name="_Ref462689355"/>
      <w:r w:rsidRPr="00E267C8">
        <w:rPr>
          <w:vertAlign w:val="superscript"/>
        </w:rPr>
        <w:footnoteReference w:id="13"/>
      </w:r>
      <w:bookmarkEnd w:id="21"/>
      <w:r w:rsidRPr="00E267C8">
        <w:rPr>
          <w:bCs/>
        </w:rPr>
        <w:t xml:space="preserve"> However during processing of perennial biomass there is potential of converting leaf protein concentrate from certain types of herbaceous crops into edible protein for humans and livestock.</w:t>
      </w:r>
      <w:r w:rsidRPr="00E267C8">
        <w:rPr>
          <w:bCs/>
          <w:vertAlign w:val="superscript"/>
        </w:rPr>
        <w:t xml:space="preserve"> </w:t>
      </w:r>
      <w:r w:rsidRPr="00E267C8">
        <w:rPr>
          <w:bCs/>
          <w:vertAlign w:val="superscript"/>
        </w:rPr>
        <w:fldChar w:fldCharType="begin"/>
      </w:r>
      <w:r w:rsidRPr="00E267C8">
        <w:rPr>
          <w:bCs/>
          <w:vertAlign w:val="superscript"/>
        </w:rPr>
        <w:instrText xml:space="preserve"> NOTEREF _Ref462588914 \f \h </w:instrText>
      </w:r>
      <w:r w:rsidR="00E267C8" w:rsidRPr="00E267C8">
        <w:rPr>
          <w:bCs/>
          <w:vertAlign w:val="superscript"/>
        </w:rPr>
        <w:instrText xml:space="preserve"> \* MERGEFORMAT </w:instrText>
      </w:r>
      <w:r w:rsidRPr="00E267C8">
        <w:rPr>
          <w:bCs/>
          <w:vertAlign w:val="superscript"/>
        </w:rPr>
        <w:fldChar w:fldCharType="separate"/>
      </w:r>
      <w:r w:rsidR="00872721">
        <w:rPr>
          <w:b/>
          <w:vertAlign w:val="superscript"/>
        </w:rPr>
        <w:t>Error! Bookmark not defined.</w:t>
      </w:r>
      <w:r w:rsidRPr="00E267C8">
        <w:rPr>
          <w:bCs/>
          <w:vertAlign w:val="superscript"/>
        </w:rPr>
        <w:fldChar w:fldCharType="end"/>
      </w:r>
    </w:p>
    <w:p w14:paraId="26B021EF" w14:textId="0413580D" w:rsidR="00305FB9" w:rsidRPr="00E267C8" w:rsidRDefault="00305FB9" w:rsidP="00E267C8">
      <w:pPr>
        <w:spacing w:before="240"/>
        <w:rPr>
          <w:bCs/>
        </w:rPr>
      </w:pPr>
      <w:r w:rsidRPr="00E267C8">
        <w:rPr>
          <w:bCs/>
        </w:rPr>
        <w:t xml:space="preserve">Another disadvantage or barrier to large-scale adoption is the perception of low ﬁnancial returns on investment and lack of robust supply chains as also explained </w:t>
      </w:r>
      <w:r w:rsidR="00E267C8">
        <w:rPr>
          <w:bCs/>
        </w:rPr>
        <w:t>above</w:t>
      </w:r>
      <w:r w:rsidRPr="00E267C8">
        <w:rPr>
          <w:bCs/>
        </w:rPr>
        <w:t>.</w:t>
      </w:r>
    </w:p>
    <w:p w14:paraId="4E128AD1" w14:textId="4E71901E" w:rsidR="00305FB9" w:rsidRPr="00E267C8" w:rsidRDefault="00305FB9" w:rsidP="00E267C8">
      <w:pPr>
        <w:spacing w:before="240"/>
        <w:rPr>
          <w:bCs/>
          <w:vertAlign w:val="superscript"/>
        </w:rPr>
      </w:pPr>
      <w:r w:rsidRPr="00E267C8">
        <w:rPr>
          <w:bCs/>
        </w:rPr>
        <w:t xml:space="preserve">Unlike annual grain crops used for comparison in this report, perennial grasses and SRC cannot be propagated by seeds or and need to be </w:t>
      </w:r>
      <w:proofErr w:type="spellStart"/>
      <w:r w:rsidRPr="00E267C8">
        <w:rPr>
          <w:bCs/>
        </w:rPr>
        <w:t>vegetatively</w:t>
      </w:r>
      <w:proofErr w:type="spellEnd"/>
      <w:r w:rsidRPr="00E267C8">
        <w:rPr>
          <w:bCs/>
        </w:rPr>
        <w:t xml:space="preserve"> propagated. This increases the cost and deters farmers from large scale adoption</w:t>
      </w:r>
      <w:r w:rsidRPr="00E267C8">
        <w:rPr>
          <w:bCs/>
          <w:vertAlign w:val="superscript"/>
        </w:rPr>
        <w:fldChar w:fldCharType="begin"/>
      </w:r>
      <w:r w:rsidRPr="00E267C8">
        <w:rPr>
          <w:bCs/>
          <w:vertAlign w:val="superscript"/>
        </w:rPr>
        <w:instrText xml:space="preserve"> NOTEREF _Ref462689355 \f \h </w:instrText>
      </w:r>
      <w:r w:rsidR="00E267C8" w:rsidRPr="00E267C8">
        <w:rPr>
          <w:bCs/>
          <w:vertAlign w:val="superscript"/>
        </w:rPr>
        <w:instrText xml:space="preserve"> \* MERGEFORMAT </w:instrText>
      </w:r>
      <w:r w:rsidRPr="00E267C8">
        <w:rPr>
          <w:bCs/>
          <w:vertAlign w:val="superscript"/>
        </w:rPr>
      </w:r>
      <w:r w:rsidRPr="00E267C8">
        <w:rPr>
          <w:bCs/>
          <w:vertAlign w:val="superscript"/>
        </w:rPr>
        <w:fldChar w:fldCharType="separate"/>
      </w:r>
      <w:r w:rsidR="00872721" w:rsidRPr="00872721">
        <w:rPr>
          <w:bCs/>
        </w:rPr>
        <w:t>13</w:t>
      </w:r>
      <w:r w:rsidRPr="00E267C8">
        <w:rPr>
          <w:bCs/>
          <w:vertAlign w:val="superscript"/>
        </w:rPr>
        <w:fldChar w:fldCharType="end"/>
      </w:r>
      <w:r w:rsidRPr="00E267C8">
        <w:rPr>
          <w:bCs/>
          <w:vertAlign w:val="superscript"/>
        </w:rPr>
        <w:t>.</w:t>
      </w:r>
    </w:p>
    <w:p w14:paraId="2A2650E9" w14:textId="77777777" w:rsidR="00305FB9" w:rsidRDefault="00305FB9" w:rsidP="00305FB9">
      <w:pPr>
        <w:spacing w:before="240"/>
        <w:rPr>
          <w:bCs/>
        </w:rPr>
      </w:pPr>
      <w:r w:rsidRPr="001B2F9E">
        <w:rPr>
          <w:bCs/>
        </w:rPr>
        <w:t xml:space="preserve">Other </w:t>
      </w:r>
      <w:r>
        <w:rPr>
          <w:bCs/>
        </w:rPr>
        <w:t xml:space="preserve">disadvantage of considering any biomass-based electricity generation is the comparison of other renewable electricity generation pathways such as hydropower or wind. It has been shown that GHG </w:t>
      </w:r>
      <w:r>
        <w:rPr>
          <w:bCs/>
        </w:rPr>
        <w:lastRenderedPageBreak/>
        <w:t xml:space="preserve">emissions from </w:t>
      </w:r>
      <w:proofErr w:type="gramStart"/>
      <w:r>
        <w:rPr>
          <w:bCs/>
        </w:rPr>
        <w:t>biomass based</w:t>
      </w:r>
      <w:proofErr w:type="gramEnd"/>
      <w:r>
        <w:rPr>
          <w:bCs/>
        </w:rPr>
        <w:t xml:space="preserve"> electricity generation (range of 8.5-130 kg/MWh) is higher than both hydropower (2-20 kg/MWh) and wind (3-41 kg/MWh) when you consider the entire lifecycle</w:t>
      </w:r>
      <w:r>
        <w:rPr>
          <w:rStyle w:val="FootnoteReference"/>
          <w:bCs/>
        </w:rPr>
        <w:footnoteReference w:id="14"/>
      </w:r>
      <w:r>
        <w:rPr>
          <w:bCs/>
        </w:rPr>
        <w:t>.</w:t>
      </w:r>
    </w:p>
    <w:p w14:paraId="473285D3" w14:textId="431A472F" w:rsidR="00202788" w:rsidRPr="00C22561" w:rsidRDefault="551A77D0" w:rsidP="00BF56E5">
      <w:pPr>
        <w:pStyle w:val="Heading3"/>
      </w:pPr>
      <w:bookmarkStart w:id="22" w:name="_Toc25888664"/>
      <w:r w:rsidRPr="00C22561">
        <w:t>Similar Solutions</w:t>
      </w:r>
      <w:bookmarkEnd w:id="22"/>
    </w:p>
    <w:p w14:paraId="6229BC33" w14:textId="7BEE501D" w:rsidR="00C80E50" w:rsidRPr="00C22561" w:rsidRDefault="00757101" w:rsidP="00BF56E5">
      <w:r w:rsidRPr="00C22561">
        <w:t>To a certain degree</w:t>
      </w:r>
      <w:r w:rsidR="009E3BCD">
        <w:t xml:space="preserve"> perennial energy crop</w:t>
      </w:r>
      <w:r w:rsidRPr="00C22561">
        <w:t xml:space="preserve">s solution is also </w:t>
      </w:r>
      <w:proofErr w:type="gramStart"/>
      <w:r w:rsidRPr="00C22561">
        <w:t>similar to</w:t>
      </w:r>
      <w:proofErr w:type="gramEnd"/>
      <w:r w:rsidR="009E3BCD">
        <w:t xml:space="preserve"> biomass energy</w:t>
      </w:r>
      <w:r w:rsidR="00902BBF">
        <w:t xml:space="preserve"> solution in electricity generation sector</w:t>
      </w:r>
      <w:r w:rsidR="009E3BCD">
        <w:t>, and perennial</w:t>
      </w:r>
      <w:r w:rsidR="00902BBF">
        <w:t xml:space="preserve"> food</w:t>
      </w:r>
      <w:r w:rsidR="009E3BCD">
        <w:t xml:space="preserve"> crops</w:t>
      </w:r>
      <w:bookmarkStart w:id="23" w:name="_Hlk532470382"/>
      <w:r w:rsidR="00902BBF">
        <w:t xml:space="preserve"> that sequester carbon and leave soil intact</w:t>
      </w:r>
      <w:r w:rsidR="00C22561">
        <w:t>.</w:t>
      </w:r>
    </w:p>
    <w:p w14:paraId="66FEF337" w14:textId="77777777" w:rsidR="000330C6" w:rsidRDefault="551A77D0" w:rsidP="00BF56E5">
      <w:pPr>
        <w:pStyle w:val="Heading3"/>
      </w:pPr>
      <w:bookmarkStart w:id="24" w:name="_Toc25888665"/>
      <w:bookmarkEnd w:id="23"/>
      <w:r w:rsidRPr="551A77D0">
        <w:t>Arguments for Adoption</w:t>
      </w:r>
      <w:bookmarkEnd w:id="24"/>
    </w:p>
    <w:p w14:paraId="1794B737" w14:textId="54059F40" w:rsidR="00E03A15" w:rsidRDefault="00E03A15" w:rsidP="00BF56E5">
      <w:pPr>
        <w:autoSpaceDE w:val="0"/>
        <w:spacing w:after="0"/>
        <w:rPr>
          <w:rFonts w:eastAsia="Times New Roman"/>
          <w:bCs/>
          <w:color w:val="000000"/>
        </w:rPr>
      </w:pPr>
      <w:r w:rsidRPr="00366C50">
        <w:rPr>
          <w:rFonts w:eastAsia="Times New Roman"/>
          <w:bCs/>
          <w:color w:val="000000"/>
        </w:rPr>
        <w:t xml:space="preserve">The solution </w:t>
      </w:r>
      <w:r w:rsidR="00902BBF">
        <w:rPr>
          <w:rFonts w:eastAsia="Times New Roman"/>
          <w:bCs/>
          <w:color w:val="000000"/>
        </w:rPr>
        <w:t>is</w:t>
      </w:r>
      <w:r w:rsidRPr="00366C50">
        <w:rPr>
          <w:rFonts w:eastAsia="Times New Roman"/>
          <w:bCs/>
          <w:color w:val="000000"/>
        </w:rPr>
        <w:t xml:space="preserve"> based on scientific evidence and are tested in different </w:t>
      </w:r>
      <w:r w:rsidR="009B190A" w:rsidRPr="00366C50">
        <w:rPr>
          <w:rFonts w:eastAsia="Times New Roman"/>
          <w:bCs/>
          <w:color w:val="000000"/>
        </w:rPr>
        <w:t>geographies</w:t>
      </w:r>
      <w:r w:rsidR="00902BBF">
        <w:rPr>
          <w:rFonts w:eastAsia="Times New Roman"/>
          <w:bCs/>
          <w:color w:val="000000"/>
        </w:rPr>
        <w:t xml:space="preserve"> </w:t>
      </w:r>
      <w:proofErr w:type="gramStart"/>
      <w:r w:rsidR="00902BBF">
        <w:rPr>
          <w:rFonts w:eastAsia="Times New Roman"/>
          <w:bCs/>
          <w:color w:val="000000"/>
        </w:rPr>
        <w:t>( US</w:t>
      </w:r>
      <w:proofErr w:type="gramEnd"/>
      <w:r w:rsidR="00902BBF">
        <w:rPr>
          <w:rFonts w:eastAsia="Times New Roman"/>
          <w:bCs/>
          <w:color w:val="000000"/>
        </w:rPr>
        <w:t>, Europe, Africa) a</w:t>
      </w:r>
      <w:r w:rsidRPr="00366C50">
        <w:rPr>
          <w:rFonts w:eastAsia="Times New Roman"/>
          <w:bCs/>
          <w:color w:val="000000"/>
        </w:rPr>
        <w:t xml:space="preserve"> both at scientist’s experimental plots as well as on farmers’ plots. They have </w:t>
      </w:r>
      <w:r w:rsidR="0098371D">
        <w:rPr>
          <w:rFonts w:eastAsia="Times New Roman"/>
          <w:bCs/>
          <w:color w:val="000000"/>
        </w:rPr>
        <w:t>greenhouse gas emissions reduction</w:t>
      </w:r>
      <w:r w:rsidRPr="00366C50">
        <w:rPr>
          <w:rFonts w:eastAsia="Times New Roman"/>
          <w:bCs/>
          <w:color w:val="000000"/>
        </w:rPr>
        <w:t xml:space="preserve"> potential as well as saving on costs of cultivation and (sometimes), thus proving to be more trustworthy for up scaling at a larger scale. </w:t>
      </w:r>
    </w:p>
    <w:p w14:paraId="30F802B4" w14:textId="77777777" w:rsidR="006820B9" w:rsidRDefault="006820B9" w:rsidP="006820B9">
      <w:pPr>
        <w:pStyle w:val="Heading3"/>
      </w:pPr>
      <w:bookmarkStart w:id="25" w:name="_Toc533862126"/>
      <w:bookmarkStart w:id="26" w:name="_Toc25888666"/>
      <w:r w:rsidRPr="551A77D0">
        <w:t>Additional Benefits and Burdens</w:t>
      </w:r>
      <w:bookmarkStart w:id="27" w:name="_Toc524993438"/>
      <w:bookmarkEnd w:id="25"/>
      <w:bookmarkEnd w:id="26"/>
    </w:p>
    <w:p w14:paraId="358C7FBE" w14:textId="073A12CD" w:rsidR="006820B9" w:rsidRPr="00EF1970" w:rsidRDefault="006820B9" w:rsidP="006820B9">
      <w:r>
        <w:t xml:space="preserve">Here this solution is compared with other solutions in the biomass production cluster for farm, ecosystem, and social impacts. Perennial biomass is </w:t>
      </w:r>
      <w:proofErr w:type="gramStart"/>
      <w:r>
        <w:t>similar to</w:t>
      </w:r>
      <w:proofErr w:type="gramEnd"/>
      <w:r>
        <w:t xml:space="preserve"> the other </w:t>
      </w:r>
      <w:r w:rsidR="00F1670B">
        <w:t xml:space="preserve">biomass production </w:t>
      </w:r>
      <w:r>
        <w:t>solutions</w:t>
      </w:r>
      <w:r w:rsidR="00F1670B">
        <w:t xml:space="preserve">, </w:t>
      </w:r>
      <w:r>
        <w:t xml:space="preserve">but has a shorter period until profitability than afforestation, and </w:t>
      </w:r>
      <w:r w:rsidR="00A01693">
        <w:t>poorer</w:t>
      </w:r>
      <w:r>
        <w:t xml:space="preserve"> ecosystem services than </w:t>
      </w:r>
      <w:r w:rsidR="00A01693">
        <w:t>bamboo and forest plantations.</w:t>
      </w:r>
      <w:r>
        <w:t xml:space="preserve"> </w:t>
      </w:r>
      <w:r w:rsidR="00F1670B">
        <w:t>Compared to all other land use solutions it has the poorest ecosystem service value.</w:t>
      </w:r>
    </w:p>
    <w:p w14:paraId="02A9B27D" w14:textId="670118CE" w:rsidR="00F1670B" w:rsidRDefault="0047117A" w:rsidP="0047117A">
      <w:pPr>
        <w:pStyle w:val="Caption"/>
        <w:keepNext/>
        <w:jc w:val="left"/>
      </w:pPr>
      <w:bookmarkStart w:id="28" w:name="_Toc18444707"/>
      <w:bookmarkEnd w:id="27"/>
      <w:r>
        <w:t xml:space="preserve">Table </w:t>
      </w:r>
      <w:r w:rsidR="00CE1040">
        <w:fldChar w:fldCharType="begin"/>
      </w:r>
      <w:r w:rsidR="00CE1040">
        <w:instrText xml:space="preserve"> STYLEREF 1 \s </w:instrText>
      </w:r>
      <w:r w:rsidR="00CE1040">
        <w:fldChar w:fldCharType="separate"/>
      </w:r>
      <w:r w:rsidR="00872721">
        <w:rPr>
          <w:noProof/>
        </w:rPr>
        <w:t>1</w:t>
      </w:r>
      <w:r w:rsidR="00CE1040">
        <w:rPr>
          <w:noProof/>
        </w:rPr>
        <w:fldChar w:fldCharType="end"/>
      </w:r>
      <w:r>
        <w:t>.</w:t>
      </w:r>
      <w:r w:rsidR="00CE1040">
        <w:fldChar w:fldCharType="begin"/>
      </w:r>
      <w:r w:rsidR="00CE1040">
        <w:instrText xml:space="preserve"> SEQ Table \* ARABIC \s 1 </w:instrText>
      </w:r>
      <w:r w:rsidR="00CE1040">
        <w:fldChar w:fldCharType="separate"/>
      </w:r>
      <w:r w:rsidR="00872721">
        <w:rPr>
          <w:noProof/>
        </w:rPr>
        <w:t>3</w:t>
      </w:r>
      <w:r w:rsidR="00CE1040">
        <w:rPr>
          <w:noProof/>
        </w:rPr>
        <w:fldChar w:fldCharType="end"/>
      </w:r>
      <w:r>
        <w:t xml:space="preserve">: </w:t>
      </w:r>
      <w:r w:rsidR="00F1670B">
        <w:t>Land Use</w:t>
      </w:r>
      <w:r w:rsidR="00F1670B" w:rsidRPr="009734C3">
        <w:t xml:space="preserve"> Solutions Comparison: </w:t>
      </w:r>
      <w:r w:rsidR="00F1670B">
        <w:t>Economic</w:t>
      </w:r>
      <w:r w:rsidR="00F1670B" w:rsidRPr="009734C3">
        <w:t xml:space="preserve"> Impacts</w:t>
      </w:r>
      <w:bookmarkEnd w:id="28"/>
    </w:p>
    <w:p w14:paraId="433124CD" w14:textId="77777777" w:rsidR="00F1670B" w:rsidRPr="003016AA" w:rsidRDefault="00F1670B" w:rsidP="00F1670B">
      <w:r w:rsidRPr="002E13FF">
        <w:rPr>
          <w:rFonts w:cstheme="minorHAnsi"/>
          <w:b/>
          <w:color w:val="000000" w:themeColor="text1"/>
          <w:sz w:val="18"/>
          <w:szCs w:val="18"/>
        </w:rPr>
        <w:t>First Cost</w:t>
      </w:r>
      <w:r w:rsidRPr="002E13FF">
        <w:rPr>
          <w:rFonts w:cstheme="minorHAnsi"/>
          <w:color w:val="000000" w:themeColor="text1"/>
          <w:sz w:val="18"/>
          <w:szCs w:val="18"/>
        </w:rPr>
        <w:t>: Free is $0</w:t>
      </w:r>
      <w:r w:rsidRPr="002E13FF">
        <w:rPr>
          <w:rFonts w:cstheme="minorHAnsi"/>
          <w:b/>
          <w:color w:val="000000" w:themeColor="text1"/>
          <w:sz w:val="18"/>
          <w:szCs w:val="18"/>
        </w:rPr>
        <w:t xml:space="preserve">, </w:t>
      </w:r>
      <w:r w:rsidRPr="00A26C98">
        <w:rPr>
          <w:rFonts w:cstheme="minorHAnsi"/>
          <w:color w:val="000000" w:themeColor="text1"/>
          <w:sz w:val="18"/>
          <w:szCs w:val="18"/>
        </w:rPr>
        <w:t>Low is $1-100</w:t>
      </w:r>
      <w:r>
        <w:rPr>
          <w:rFonts w:cstheme="minorHAnsi"/>
          <w:color w:val="000000" w:themeColor="text1"/>
          <w:sz w:val="18"/>
          <w:szCs w:val="18"/>
        </w:rPr>
        <w:t xml:space="preserve">, </w:t>
      </w:r>
      <w:r w:rsidRPr="002E13FF">
        <w:rPr>
          <w:rFonts w:cstheme="minorHAnsi"/>
          <w:color w:val="000000" w:themeColor="text1"/>
          <w:sz w:val="18"/>
          <w:szCs w:val="18"/>
        </w:rPr>
        <w:t>Medium is $100-500, Expensive is $500+.</w:t>
      </w:r>
      <w:r>
        <w:rPr>
          <w:rFonts w:cstheme="minorHAnsi"/>
          <w:color w:val="000000" w:themeColor="text1"/>
          <w:sz w:val="18"/>
          <w:szCs w:val="18"/>
        </w:rPr>
        <w:t xml:space="preserve"> </w:t>
      </w:r>
      <w:r w:rsidRPr="002E13FF">
        <w:rPr>
          <w:rFonts w:cstheme="minorHAnsi"/>
          <w:b/>
          <w:color w:val="000000" w:themeColor="text1"/>
          <w:sz w:val="18"/>
          <w:szCs w:val="18"/>
        </w:rPr>
        <w:t xml:space="preserve">Net Profit Margin: </w:t>
      </w:r>
      <w:r w:rsidRPr="002E13FF">
        <w:rPr>
          <w:rFonts w:cstheme="minorHAnsi"/>
          <w:color w:val="000000" w:themeColor="text1"/>
          <w:sz w:val="18"/>
          <w:szCs w:val="18"/>
        </w:rPr>
        <w:t xml:space="preserve">Low is $0-100/ha, Medium is $100-500, High is $500+. </w:t>
      </w:r>
      <w:r>
        <w:rPr>
          <w:rFonts w:cstheme="minorHAnsi"/>
          <w:b/>
          <w:color w:val="000000" w:themeColor="text1"/>
          <w:sz w:val="18"/>
          <w:szCs w:val="18"/>
        </w:rPr>
        <w:t xml:space="preserve">Value of Ecosystem Services: </w:t>
      </w:r>
      <w:r>
        <w:rPr>
          <w:rFonts w:cstheme="minorHAnsi"/>
          <w:color w:val="000000" w:themeColor="text1"/>
          <w:sz w:val="18"/>
          <w:szCs w:val="18"/>
        </w:rPr>
        <w:t xml:space="preserve">Set values for very high, high, medium, low. </w:t>
      </w:r>
      <w:r>
        <w:rPr>
          <w:rFonts w:cstheme="minorHAnsi"/>
          <w:b/>
          <w:bCs/>
          <w:color w:val="000000" w:themeColor="text1"/>
          <w:sz w:val="18"/>
          <w:szCs w:val="18"/>
        </w:rPr>
        <w:t xml:space="preserve">Timber and Biomass Production: </w:t>
      </w:r>
      <w:r>
        <w:rPr>
          <w:rFonts w:cstheme="minorHAnsi"/>
          <w:color w:val="000000" w:themeColor="text1"/>
          <w:sz w:val="18"/>
          <w:szCs w:val="18"/>
        </w:rPr>
        <w:t>Decrease indicates restriction of logging where it currently occurs; Increase indicates new commercial biomass production where it does not currently occur.</w:t>
      </w:r>
    </w:p>
    <w:tbl>
      <w:tblPr>
        <w:tblStyle w:val="TableGrid"/>
        <w:tblW w:w="9350" w:type="dxa"/>
        <w:tblLook w:val="04A0" w:firstRow="1" w:lastRow="0" w:firstColumn="1" w:lastColumn="0" w:noHBand="0" w:noVBand="1"/>
      </w:tblPr>
      <w:tblGrid>
        <w:gridCol w:w="2875"/>
        <w:gridCol w:w="1620"/>
        <w:gridCol w:w="1620"/>
        <w:gridCol w:w="1620"/>
        <w:gridCol w:w="1615"/>
      </w:tblGrid>
      <w:tr w:rsidR="00F1670B" w:rsidRPr="00E91BE1" w14:paraId="568B8541" w14:textId="77777777" w:rsidTr="008E70A0">
        <w:trPr>
          <w:cantSplit/>
          <w:trHeight w:val="594"/>
          <w:tblHeader/>
        </w:trPr>
        <w:tc>
          <w:tcPr>
            <w:tcW w:w="2875" w:type="dxa"/>
            <w:shd w:val="clear" w:color="auto" w:fill="4F81BD" w:themeFill="accent1"/>
          </w:tcPr>
          <w:p w14:paraId="4F5D9993" w14:textId="77777777" w:rsidR="00F1670B" w:rsidRPr="00E91BE1" w:rsidRDefault="00F1670B" w:rsidP="008E70A0">
            <w:pPr>
              <w:jc w:val="center"/>
              <w:rPr>
                <w:b/>
                <w:color w:val="FFFFFF" w:themeColor="background1"/>
                <w:sz w:val="20"/>
                <w:szCs w:val="20"/>
              </w:rPr>
            </w:pPr>
          </w:p>
        </w:tc>
        <w:tc>
          <w:tcPr>
            <w:tcW w:w="1620" w:type="dxa"/>
            <w:shd w:val="clear" w:color="auto" w:fill="4F81BD" w:themeFill="accent1"/>
          </w:tcPr>
          <w:p w14:paraId="54D989B9" w14:textId="77777777" w:rsidR="00F1670B" w:rsidRPr="00E91BE1" w:rsidRDefault="00F1670B" w:rsidP="008E70A0">
            <w:pPr>
              <w:jc w:val="center"/>
              <w:rPr>
                <w:b/>
                <w:color w:val="FFFFFF" w:themeColor="background1"/>
                <w:sz w:val="20"/>
                <w:szCs w:val="20"/>
              </w:rPr>
            </w:pPr>
            <w:r>
              <w:rPr>
                <w:b/>
                <w:color w:val="FFFFFF" w:themeColor="background1"/>
                <w:sz w:val="20"/>
                <w:szCs w:val="20"/>
              </w:rPr>
              <w:t>First Cost $/ha</w:t>
            </w:r>
          </w:p>
        </w:tc>
        <w:tc>
          <w:tcPr>
            <w:tcW w:w="1620" w:type="dxa"/>
            <w:shd w:val="clear" w:color="auto" w:fill="4F81BD" w:themeFill="accent1"/>
          </w:tcPr>
          <w:p w14:paraId="38855892" w14:textId="77777777" w:rsidR="00F1670B" w:rsidRPr="00E91BE1" w:rsidRDefault="00F1670B" w:rsidP="008E70A0">
            <w:pPr>
              <w:jc w:val="center"/>
              <w:rPr>
                <w:b/>
                <w:color w:val="FFFFFF" w:themeColor="background1"/>
                <w:sz w:val="20"/>
                <w:szCs w:val="20"/>
              </w:rPr>
            </w:pPr>
            <w:r>
              <w:rPr>
                <w:b/>
                <w:color w:val="FFFFFF" w:themeColor="background1"/>
                <w:sz w:val="20"/>
                <w:szCs w:val="20"/>
              </w:rPr>
              <w:t>Net Profit $/ha</w:t>
            </w:r>
          </w:p>
        </w:tc>
        <w:tc>
          <w:tcPr>
            <w:tcW w:w="1620" w:type="dxa"/>
            <w:shd w:val="clear" w:color="auto" w:fill="4F81BD" w:themeFill="accent1"/>
          </w:tcPr>
          <w:p w14:paraId="6EA3B520" w14:textId="77777777" w:rsidR="00F1670B" w:rsidRPr="00E91BE1" w:rsidRDefault="00F1670B" w:rsidP="008E70A0">
            <w:pPr>
              <w:jc w:val="center"/>
              <w:rPr>
                <w:b/>
                <w:color w:val="FFFFFF" w:themeColor="background1"/>
                <w:sz w:val="20"/>
                <w:szCs w:val="20"/>
              </w:rPr>
            </w:pPr>
            <w:r>
              <w:rPr>
                <w:b/>
                <w:color w:val="FFFFFF" w:themeColor="background1"/>
                <w:sz w:val="20"/>
                <w:szCs w:val="20"/>
              </w:rPr>
              <w:t>Value of Ecosystem Services</w:t>
            </w:r>
          </w:p>
        </w:tc>
        <w:tc>
          <w:tcPr>
            <w:tcW w:w="1615" w:type="dxa"/>
            <w:shd w:val="clear" w:color="auto" w:fill="4F81BD" w:themeFill="accent1"/>
          </w:tcPr>
          <w:p w14:paraId="19686F88" w14:textId="77777777" w:rsidR="00F1670B" w:rsidRDefault="00F1670B" w:rsidP="008E70A0">
            <w:pPr>
              <w:jc w:val="center"/>
              <w:rPr>
                <w:b/>
                <w:color w:val="FFFFFF" w:themeColor="background1"/>
                <w:sz w:val="20"/>
                <w:szCs w:val="20"/>
              </w:rPr>
            </w:pPr>
            <w:r>
              <w:rPr>
                <w:b/>
                <w:color w:val="FFFFFF" w:themeColor="background1"/>
                <w:sz w:val="20"/>
                <w:szCs w:val="20"/>
              </w:rPr>
              <w:t>Timber and Biomass Production</w:t>
            </w:r>
          </w:p>
        </w:tc>
      </w:tr>
      <w:tr w:rsidR="00F1670B" w:rsidRPr="00E91BE1" w14:paraId="6C0809DC" w14:textId="77777777" w:rsidTr="008E70A0">
        <w:trPr>
          <w:trHeight w:val="315"/>
        </w:trPr>
        <w:tc>
          <w:tcPr>
            <w:tcW w:w="2875" w:type="dxa"/>
          </w:tcPr>
          <w:p w14:paraId="4183E814" w14:textId="77777777" w:rsidR="00F1670B" w:rsidRDefault="00F1670B" w:rsidP="008E70A0">
            <w:pPr>
              <w:rPr>
                <w:sz w:val="20"/>
                <w:szCs w:val="20"/>
              </w:rPr>
            </w:pPr>
            <w:r>
              <w:rPr>
                <w:sz w:val="20"/>
                <w:szCs w:val="20"/>
              </w:rPr>
              <w:t>Afforestation</w:t>
            </w:r>
          </w:p>
        </w:tc>
        <w:tc>
          <w:tcPr>
            <w:tcW w:w="1620" w:type="dxa"/>
          </w:tcPr>
          <w:p w14:paraId="7C6B1C75" w14:textId="77777777" w:rsidR="00F1670B" w:rsidRPr="003D2054" w:rsidRDefault="00F1670B" w:rsidP="008E70A0">
            <w:pPr>
              <w:jc w:val="center"/>
              <w:rPr>
                <w:sz w:val="20"/>
                <w:szCs w:val="20"/>
              </w:rPr>
            </w:pPr>
            <w:r>
              <w:rPr>
                <w:sz w:val="20"/>
                <w:szCs w:val="20"/>
              </w:rPr>
              <w:t>Expensive</w:t>
            </w:r>
          </w:p>
        </w:tc>
        <w:tc>
          <w:tcPr>
            <w:tcW w:w="1620" w:type="dxa"/>
          </w:tcPr>
          <w:p w14:paraId="342FA280" w14:textId="77777777" w:rsidR="00F1670B" w:rsidRPr="003D2054" w:rsidRDefault="00F1670B" w:rsidP="008E70A0">
            <w:pPr>
              <w:jc w:val="center"/>
              <w:rPr>
                <w:sz w:val="20"/>
                <w:szCs w:val="20"/>
              </w:rPr>
            </w:pPr>
            <w:r>
              <w:rPr>
                <w:sz w:val="20"/>
                <w:szCs w:val="20"/>
              </w:rPr>
              <w:t>Medium</w:t>
            </w:r>
          </w:p>
        </w:tc>
        <w:tc>
          <w:tcPr>
            <w:tcW w:w="1620" w:type="dxa"/>
          </w:tcPr>
          <w:p w14:paraId="2279D4DB" w14:textId="77777777" w:rsidR="00F1670B" w:rsidRPr="003D2054" w:rsidRDefault="00F1670B" w:rsidP="008E70A0">
            <w:pPr>
              <w:jc w:val="center"/>
              <w:rPr>
                <w:sz w:val="20"/>
                <w:szCs w:val="20"/>
              </w:rPr>
            </w:pPr>
            <w:r>
              <w:rPr>
                <w:sz w:val="20"/>
                <w:szCs w:val="20"/>
              </w:rPr>
              <w:t>High</w:t>
            </w:r>
          </w:p>
        </w:tc>
        <w:tc>
          <w:tcPr>
            <w:tcW w:w="1615" w:type="dxa"/>
          </w:tcPr>
          <w:p w14:paraId="36E78C8F" w14:textId="77777777" w:rsidR="00F1670B" w:rsidRDefault="00F1670B" w:rsidP="008E70A0">
            <w:pPr>
              <w:jc w:val="center"/>
              <w:rPr>
                <w:sz w:val="20"/>
                <w:szCs w:val="20"/>
              </w:rPr>
            </w:pPr>
            <w:r>
              <w:rPr>
                <w:sz w:val="20"/>
                <w:szCs w:val="20"/>
              </w:rPr>
              <w:t>Increase</w:t>
            </w:r>
          </w:p>
        </w:tc>
      </w:tr>
      <w:tr w:rsidR="00F1670B" w:rsidRPr="00E91BE1" w14:paraId="0B98F189" w14:textId="77777777" w:rsidTr="008E70A0">
        <w:trPr>
          <w:trHeight w:val="334"/>
        </w:trPr>
        <w:tc>
          <w:tcPr>
            <w:tcW w:w="2875" w:type="dxa"/>
          </w:tcPr>
          <w:p w14:paraId="0B6F3ACE" w14:textId="77777777" w:rsidR="00F1670B" w:rsidRDefault="00F1670B" w:rsidP="008E70A0">
            <w:pPr>
              <w:rPr>
                <w:sz w:val="20"/>
                <w:szCs w:val="20"/>
              </w:rPr>
            </w:pPr>
            <w:r>
              <w:rPr>
                <w:sz w:val="20"/>
                <w:szCs w:val="20"/>
              </w:rPr>
              <w:t>Bamboo</w:t>
            </w:r>
          </w:p>
        </w:tc>
        <w:tc>
          <w:tcPr>
            <w:tcW w:w="1620" w:type="dxa"/>
          </w:tcPr>
          <w:p w14:paraId="452FAA4E" w14:textId="77777777" w:rsidR="00F1670B" w:rsidRPr="003D2054" w:rsidRDefault="00F1670B" w:rsidP="008E70A0">
            <w:pPr>
              <w:jc w:val="center"/>
              <w:rPr>
                <w:sz w:val="20"/>
                <w:szCs w:val="20"/>
              </w:rPr>
            </w:pPr>
            <w:r>
              <w:rPr>
                <w:sz w:val="20"/>
                <w:szCs w:val="20"/>
              </w:rPr>
              <w:t>Expensive</w:t>
            </w:r>
          </w:p>
        </w:tc>
        <w:tc>
          <w:tcPr>
            <w:tcW w:w="1620" w:type="dxa"/>
          </w:tcPr>
          <w:p w14:paraId="50A55863" w14:textId="77777777" w:rsidR="00F1670B" w:rsidRPr="003D2054" w:rsidRDefault="00F1670B" w:rsidP="008E70A0">
            <w:pPr>
              <w:jc w:val="center"/>
              <w:rPr>
                <w:sz w:val="20"/>
                <w:szCs w:val="20"/>
              </w:rPr>
            </w:pPr>
            <w:r>
              <w:rPr>
                <w:sz w:val="20"/>
                <w:szCs w:val="20"/>
              </w:rPr>
              <w:t>Medium</w:t>
            </w:r>
          </w:p>
        </w:tc>
        <w:tc>
          <w:tcPr>
            <w:tcW w:w="1620" w:type="dxa"/>
          </w:tcPr>
          <w:p w14:paraId="723CB6F0" w14:textId="77777777" w:rsidR="00F1670B" w:rsidRPr="003D2054" w:rsidRDefault="00F1670B" w:rsidP="008E70A0">
            <w:pPr>
              <w:jc w:val="center"/>
              <w:rPr>
                <w:sz w:val="20"/>
                <w:szCs w:val="20"/>
              </w:rPr>
            </w:pPr>
            <w:r>
              <w:rPr>
                <w:sz w:val="20"/>
                <w:szCs w:val="20"/>
              </w:rPr>
              <w:t>High</w:t>
            </w:r>
          </w:p>
        </w:tc>
        <w:tc>
          <w:tcPr>
            <w:tcW w:w="1615" w:type="dxa"/>
          </w:tcPr>
          <w:p w14:paraId="1E430163" w14:textId="77777777" w:rsidR="00F1670B" w:rsidRDefault="00F1670B" w:rsidP="008E70A0">
            <w:pPr>
              <w:jc w:val="center"/>
              <w:rPr>
                <w:sz w:val="20"/>
                <w:szCs w:val="20"/>
              </w:rPr>
            </w:pPr>
            <w:r>
              <w:rPr>
                <w:sz w:val="20"/>
                <w:szCs w:val="20"/>
              </w:rPr>
              <w:t>Increase</w:t>
            </w:r>
          </w:p>
        </w:tc>
      </w:tr>
      <w:tr w:rsidR="00F1670B" w:rsidRPr="00E91BE1" w14:paraId="75B17023" w14:textId="77777777" w:rsidTr="008E70A0">
        <w:trPr>
          <w:trHeight w:val="315"/>
        </w:trPr>
        <w:tc>
          <w:tcPr>
            <w:tcW w:w="2875" w:type="dxa"/>
          </w:tcPr>
          <w:p w14:paraId="0576BB96" w14:textId="77777777" w:rsidR="00F1670B" w:rsidRDefault="00F1670B" w:rsidP="008E70A0">
            <w:pPr>
              <w:rPr>
                <w:sz w:val="20"/>
                <w:szCs w:val="20"/>
              </w:rPr>
            </w:pPr>
            <w:r>
              <w:rPr>
                <w:sz w:val="20"/>
                <w:szCs w:val="20"/>
              </w:rPr>
              <w:t>Forest Protection</w:t>
            </w:r>
          </w:p>
        </w:tc>
        <w:tc>
          <w:tcPr>
            <w:tcW w:w="1620" w:type="dxa"/>
          </w:tcPr>
          <w:p w14:paraId="3707206A" w14:textId="77777777" w:rsidR="00F1670B" w:rsidRPr="003D2054" w:rsidRDefault="00F1670B" w:rsidP="008E70A0">
            <w:pPr>
              <w:jc w:val="center"/>
              <w:rPr>
                <w:sz w:val="20"/>
                <w:szCs w:val="20"/>
              </w:rPr>
            </w:pPr>
            <w:r>
              <w:rPr>
                <w:sz w:val="20"/>
                <w:szCs w:val="20"/>
              </w:rPr>
              <w:t>Not calculated</w:t>
            </w:r>
          </w:p>
        </w:tc>
        <w:tc>
          <w:tcPr>
            <w:tcW w:w="1620" w:type="dxa"/>
          </w:tcPr>
          <w:p w14:paraId="277361D2" w14:textId="77777777" w:rsidR="00F1670B" w:rsidRPr="003D2054" w:rsidRDefault="00F1670B" w:rsidP="008E70A0">
            <w:pPr>
              <w:jc w:val="center"/>
              <w:rPr>
                <w:sz w:val="20"/>
                <w:szCs w:val="20"/>
              </w:rPr>
            </w:pPr>
            <w:r>
              <w:rPr>
                <w:sz w:val="20"/>
                <w:szCs w:val="20"/>
              </w:rPr>
              <w:t>Not calculated</w:t>
            </w:r>
          </w:p>
        </w:tc>
        <w:tc>
          <w:tcPr>
            <w:tcW w:w="1620" w:type="dxa"/>
          </w:tcPr>
          <w:p w14:paraId="107C6A91" w14:textId="77777777" w:rsidR="00F1670B" w:rsidRPr="003D2054" w:rsidRDefault="00F1670B" w:rsidP="008E70A0">
            <w:pPr>
              <w:jc w:val="center"/>
              <w:rPr>
                <w:sz w:val="20"/>
                <w:szCs w:val="20"/>
              </w:rPr>
            </w:pPr>
            <w:r>
              <w:rPr>
                <w:sz w:val="20"/>
                <w:szCs w:val="20"/>
              </w:rPr>
              <w:t>Very high</w:t>
            </w:r>
          </w:p>
        </w:tc>
        <w:tc>
          <w:tcPr>
            <w:tcW w:w="1615" w:type="dxa"/>
          </w:tcPr>
          <w:p w14:paraId="1010F5C6" w14:textId="77777777" w:rsidR="00F1670B" w:rsidRPr="003D2054" w:rsidRDefault="00F1670B" w:rsidP="008E70A0">
            <w:pPr>
              <w:jc w:val="center"/>
              <w:rPr>
                <w:sz w:val="20"/>
                <w:szCs w:val="20"/>
              </w:rPr>
            </w:pPr>
            <w:r>
              <w:rPr>
                <w:sz w:val="20"/>
                <w:szCs w:val="20"/>
              </w:rPr>
              <w:t>Decrease</w:t>
            </w:r>
          </w:p>
        </w:tc>
      </w:tr>
      <w:tr w:rsidR="00F1670B" w:rsidRPr="00E91BE1" w14:paraId="358792D7" w14:textId="77777777" w:rsidTr="008E70A0">
        <w:trPr>
          <w:trHeight w:val="315"/>
        </w:trPr>
        <w:tc>
          <w:tcPr>
            <w:tcW w:w="2875" w:type="dxa"/>
          </w:tcPr>
          <w:p w14:paraId="3327EC4C" w14:textId="77777777" w:rsidR="00F1670B" w:rsidRPr="003D2054" w:rsidRDefault="00F1670B" w:rsidP="008E70A0">
            <w:pPr>
              <w:rPr>
                <w:sz w:val="20"/>
                <w:szCs w:val="20"/>
              </w:rPr>
            </w:pPr>
            <w:r>
              <w:rPr>
                <w:sz w:val="20"/>
                <w:szCs w:val="20"/>
              </w:rPr>
              <w:lastRenderedPageBreak/>
              <w:t>Indigenous People’s Forest Management</w:t>
            </w:r>
          </w:p>
        </w:tc>
        <w:tc>
          <w:tcPr>
            <w:tcW w:w="1620" w:type="dxa"/>
          </w:tcPr>
          <w:p w14:paraId="1DA0E392" w14:textId="77777777" w:rsidR="00F1670B" w:rsidRPr="003D2054" w:rsidRDefault="00F1670B" w:rsidP="008E70A0">
            <w:pPr>
              <w:jc w:val="center"/>
              <w:rPr>
                <w:sz w:val="20"/>
                <w:szCs w:val="20"/>
              </w:rPr>
            </w:pPr>
            <w:r>
              <w:rPr>
                <w:sz w:val="20"/>
                <w:szCs w:val="20"/>
              </w:rPr>
              <w:t>Not calculated</w:t>
            </w:r>
          </w:p>
        </w:tc>
        <w:tc>
          <w:tcPr>
            <w:tcW w:w="1620" w:type="dxa"/>
          </w:tcPr>
          <w:p w14:paraId="40472836" w14:textId="77777777" w:rsidR="00F1670B" w:rsidRPr="003D2054" w:rsidRDefault="00F1670B" w:rsidP="008E70A0">
            <w:pPr>
              <w:jc w:val="center"/>
              <w:rPr>
                <w:sz w:val="20"/>
                <w:szCs w:val="20"/>
              </w:rPr>
            </w:pPr>
            <w:r>
              <w:rPr>
                <w:sz w:val="20"/>
                <w:szCs w:val="20"/>
              </w:rPr>
              <w:t>Not calculated</w:t>
            </w:r>
          </w:p>
        </w:tc>
        <w:tc>
          <w:tcPr>
            <w:tcW w:w="1620" w:type="dxa"/>
          </w:tcPr>
          <w:p w14:paraId="04DE8719" w14:textId="77777777" w:rsidR="00F1670B" w:rsidRPr="003D2054" w:rsidRDefault="00F1670B" w:rsidP="008E70A0">
            <w:pPr>
              <w:jc w:val="center"/>
              <w:rPr>
                <w:sz w:val="20"/>
                <w:szCs w:val="20"/>
              </w:rPr>
            </w:pPr>
            <w:r>
              <w:rPr>
                <w:sz w:val="20"/>
                <w:szCs w:val="20"/>
              </w:rPr>
              <w:t>Very high</w:t>
            </w:r>
          </w:p>
        </w:tc>
        <w:tc>
          <w:tcPr>
            <w:tcW w:w="1615" w:type="dxa"/>
          </w:tcPr>
          <w:p w14:paraId="67F177A3" w14:textId="77777777" w:rsidR="00F1670B" w:rsidRDefault="00F1670B" w:rsidP="008E70A0">
            <w:pPr>
              <w:jc w:val="center"/>
            </w:pPr>
            <w:r w:rsidRPr="00A839DF">
              <w:rPr>
                <w:sz w:val="20"/>
                <w:szCs w:val="20"/>
              </w:rPr>
              <w:t>Decrease</w:t>
            </w:r>
          </w:p>
        </w:tc>
      </w:tr>
      <w:tr w:rsidR="00F1670B" w:rsidRPr="00E91BE1" w14:paraId="6B2B1E14" w14:textId="77777777" w:rsidTr="008E70A0">
        <w:trPr>
          <w:trHeight w:val="352"/>
        </w:trPr>
        <w:tc>
          <w:tcPr>
            <w:tcW w:w="2875" w:type="dxa"/>
          </w:tcPr>
          <w:p w14:paraId="2D1907CA" w14:textId="77777777" w:rsidR="00F1670B" w:rsidRPr="003D2054" w:rsidRDefault="00F1670B" w:rsidP="008E70A0">
            <w:pPr>
              <w:rPr>
                <w:sz w:val="20"/>
                <w:szCs w:val="20"/>
              </w:rPr>
            </w:pPr>
            <w:r>
              <w:rPr>
                <w:sz w:val="20"/>
                <w:szCs w:val="20"/>
              </w:rPr>
              <w:t>Peatland Protection</w:t>
            </w:r>
          </w:p>
        </w:tc>
        <w:tc>
          <w:tcPr>
            <w:tcW w:w="1620" w:type="dxa"/>
          </w:tcPr>
          <w:p w14:paraId="344CA760" w14:textId="77777777" w:rsidR="00F1670B" w:rsidRPr="003D2054" w:rsidRDefault="00F1670B" w:rsidP="008E70A0">
            <w:pPr>
              <w:jc w:val="center"/>
              <w:rPr>
                <w:sz w:val="20"/>
                <w:szCs w:val="20"/>
              </w:rPr>
            </w:pPr>
            <w:r>
              <w:rPr>
                <w:sz w:val="20"/>
                <w:szCs w:val="20"/>
              </w:rPr>
              <w:t>Not calculated</w:t>
            </w:r>
          </w:p>
        </w:tc>
        <w:tc>
          <w:tcPr>
            <w:tcW w:w="1620" w:type="dxa"/>
          </w:tcPr>
          <w:p w14:paraId="7BBDE34A" w14:textId="77777777" w:rsidR="00F1670B" w:rsidRPr="003D2054" w:rsidRDefault="00F1670B" w:rsidP="008E70A0">
            <w:pPr>
              <w:jc w:val="center"/>
              <w:rPr>
                <w:sz w:val="20"/>
                <w:szCs w:val="20"/>
              </w:rPr>
            </w:pPr>
            <w:r>
              <w:rPr>
                <w:sz w:val="20"/>
                <w:szCs w:val="20"/>
              </w:rPr>
              <w:t>Not calculated</w:t>
            </w:r>
          </w:p>
        </w:tc>
        <w:tc>
          <w:tcPr>
            <w:tcW w:w="1620" w:type="dxa"/>
          </w:tcPr>
          <w:p w14:paraId="3EC590C8" w14:textId="77777777" w:rsidR="00F1670B" w:rsidRPr="003D2054" w:rsidRDefault="00F1670B" w:rsidP="008E70A0">
            <w:pPr>
              <w:jc w:val="center"/>
              <w:rPr>
                <w:sz w:val="20"/>
                <w:szCs w:val="20"/>
              </w:rPr>
            </w:pPr>
            <w:r>
              <w:rPr>
                <w:sz w:val="20"/>
                <w:szCs w:val="20"/>
              </w:rPr>
              <w:t>Very high</w:t>
            </w:r>
          </w:p>
        </w:tc>
        <w:tc>
          <w:tcPr>
            <w:tcW w:w="1615" w:type="dxa"/>
          </w:tcPr>
          <w:p w14:paraId="3C502F15" w14:textId="77777777" w:rsidR="00F1670B" w:rsidRDefault="00F1670B" w:rsidP="008E70A0">
            <w:pPr>
              <w:jc w:val="center"/>
            </w:pPr>
            <w:r w:rsidRPr="00A839DF">
              <w:rPr>
                <w:sz w:val="20"/>
                <w:szCs w:val="20"/>
              </w:rPr>
              <w:t>Decrease</w:t>
            </w:r>
          </w:p>
        </w:tc>
      </w:tr>
      <w:tr w:rsidR="00F1670B" w:rsidRPr="00E91BE1" w14:paraId="69DED57A" w14:textId="77777777" w:rsidTr="008E70A0">
        <w:trPr>
          <w:trHeight w:val="352"/>
        </w:trPr>
        <w:tc>
          <w:tcPr>
            <w:tcW w:w="2875" w:type="dxa"/>
          </w:tcPr>
          <w:p w14:paraId="702DE338" w14:textId="77777777" w:rsidR="00F1670B" w:rsidRDefault="00F1670B" w:rsidP="008E70A0">
            <w:pPr>
              <w:rPr>
                <w:sz w:val="20"/>
                <w:szCs w:val="20"/>
              </w:rPr>
            </w:pPr>
            <w:r>
              <w:rPr>
                <w:sz w:val="20"/>
                <w:szCs w:val="20"/>
              </w:rPr>
              <w:t>Perennial Biomass</w:t>
            </w:r>
          </w:p>
        </w:tc>
        <w:tc>
          <w:tcPr>
            <w:tcW w:w="1620" w:type="dxa"/>
          </w:tcPr>
          <w:p w14:paraId="2B72C239" w14:textId="77777777" w:rsidR="00F1670B" w:rsidRPr="003D2054" w:rsidRDefault="00F1670B" w:rsidP="008E70A0">
            <w:pPr>
              <w:jc w:val="center"/>
              <w:rPr>
                <w:sz w:val="20"/>
                <w:szCs w:val="20"/>
              </w:rPr>
            </w:pPr>
            <w:r>
              <w:rPr>
                <w:sz w:val="20"/>
                <w:szCs w:val="20"/>
              </w:rPr>
              <w:t>Expensive</w:t>
            </w:r>
          </w:p>
        </w:tc>
        <w:tc>
          <w:tcPr>
            <w:tcW w:w="1620" w:type="dxa"/>
          </w:tcPr>
          <w:p w14:paraId="6C91C751" w14:textId="77777777" w:rsidR="00F1670B" w:rsidRPr="003D2054" w:rsidRDefault="00F1670B" w:rsidP="008E70A0">
            <w:pPr>
              <w:jc w:val="center"/>
              <w:rPr>
                <w:sz w:val="20"/>
                <w:szCs w:val="20"/>
              </w:rPr>
            </w:pPr>
            <w:r>
              <w:rPr>
                <w:sz w:val="20"/>
                <w:szCs w:val="20"/>
              </w:rPr>
              <w:t>Medium</w:t>
            </w:r>
          </w:p>
        </w:tc>
        <w:tc>
          <w:tcPr>
            <w:tcW w:w="1620" w:type="dxa"/>
          </w:tcPr>
          <w:p w14:paraId="2F985AA0" w14:textId="77777777" w:rsidR="00F1670B" w:rsidRPr="003D2054" w:rsidRDefault="00F1670B" w:rsidP="008E70A0">
            <w:pPr>
              <w:jc w:val="center"/>
              <w:rPr>
                <w:sz w:val="20"/>
                <w:szCs w:val="20"/>
              </w:rPr>
            </w:pPr>
            <w:r>
              <w:rPr>
                <w:sz w:val="20"/>
                <w:szCs w:val="20"/>
              </w:rPr>
              <w:t>Medium</w:t>
            </w:r>
          </w:p>
        </w:tc>
        <w:tc>
          <w:tcPr>
            <w:tcW w:w="1615" w:type="dxa"/>
          </w:tcPr>
          <w:p w14:paraId="02D96AB2" w14:textId="77777777" w:rsidR="00F1670B" w:rsidRDefault="00F1670B" w:rsidP="008E70A0">
            <w:pPr>
              <w:jc w:val="center"/>
              <w:rPr>
                <w:sz w:val="20"/>
                <w:szCs w:val="20"/>
              </w:rPr>
            </w:pPr>
            <w:r>
              <w:rPr>
                <w:sz w:val="20"/>
                <w:szCs w:val="20"/>
              </w:rPr>
              <w:t>Increase</w:t>
            </w:r>
          </w:p>
        </w:tc>
      </w:tr>
      <w:tr w:rsidR="00F1670B" w:rsidRPr="00E91BE1" w14:paraId="793AA9CF" w14:textId="77777777" w:rsidTr="008E70A0">
        <w:trPr>
          <w:trHeight w:val="352"/>
        </w:trPr>
        <w:tc>
          <w:tcPr>
            <w:tcW w:w="2875" w:type="dxa"/>
          </w:tcPr>
          <w:p w14:paraId="24B0869C" w14:textId="77777777" w:rsidR="00F1670B" w:rsidRPr="003D2054" w:rsidRDefault="00F1670B" w:rsidP="008E70A0">
            <w:pPr>
              <w:rPr>
                <w:sz w:val="20"/>
                <w:szCs w:val="20"/>
              </w:rPr>
            </w:pPr>
            <w:r>
              <w:rPr>
                <w:sz w:val="20"/>
                <w:szCs w:val="20"/>
              </w:rPr>
              <w:t>Temperate Forest Restoration</w:t>
            </w:r>
          </w:p>
        </w:tc>
        <w:tc>
          <w:tcPr>
            <w:tcW w:w="1620" w:type="dxa"/>
          </w:tcPr>
          <w:p w14:paraId="2328DE9F" w14:textId="77777777" w:rsidR="00F1670B" w:rsidRPr="003D2054" w:rsidRDefault="00F1670B" w:rsidP="008E70A0">
            <w:pPr>
              <w:jc w:val="center"/>
              <w:rPr>
                <w:sz w:val="20"/>
                <w:szCs w:val="20"/>
              </w:rPr>
            </w:pPr>
            <w:r>
              <w:rPr>
                <w:sz w:val="20"/>
                <w:szCs w:val="20"/>
              </w:rPr>
              <w:t>Not calculated</w:t>
            </w:r>
          </w:p>
        </w:tc>
        <w:tc>
          <w:tcPr>
            <w:tcW w:w="1620" w:type="dxa"/>
          </w:tcPr>
          <w:p w14:paraId="71F14C54" w14:textId="77777777" w:rsidR="00F1670B" w:rsidRPr="003D2054" w:rsidRDefault="00F1670B" w:rsidP="008E70A0">
            <w:pPr>
              <w:jc w:val="center"/>
              <w:rPr>
                <w:sz w:val="20"/>
                <w:szCs w:val="20"/>
              </w:rPr>
            </w:pPr>
            <w:r>
              <w:rPr>
                <w:sz w:val="20"/>
                <w:szCs w:val="20"/>
              </w:rPr>
              <w:t>Not calculated</w:t>
            </w:r>
          </w:p>
        </w:tc>
        <w:tc>
          <w:tcPr>
            <w:tcW w:w="1620" w:type="dxa"/>
          </w:tcPr>
          <w:p w14:paraId="510A3929" w14:textId="77777777" w:rsidR="00F1670B" w:rsidRPr="003D2054" w:rsidRDefault="00F1670B" w:rsidP="008E70A0">
            <w:pPr>
              <w:jc w:val="center"/>
              <w:rPr>
                <w:sz w:val="20"/>
                <w:szCs w:val="20"/>
              </w:rPr>
            </w:pPr>
            <w:r>
              <w:rPr>
                <w:sz w:val="20"/>
                <w:szCs w:val="20"/>
              </w:rPr>
              <w:t>High</w:t>
            </w:r>
          </w:p>
        </w:tc>
        <w:tc>
          <w:tcPr>
            <w:tcW w:w="1615" w:type="dxa"/>
          </w:tcPr>
          <w:p w14:paraId="103FC379" w14:textId="77777777" w:rsidR="00F1670B" w:rsidRPr="003D2054" w:rsidRDefault="00F1670B" w:rsidP="008E70A0">
            <w:pPr>
              <w:jc w:val="center"/>
              <w:rPr>
                <w:sz w:val="20"/>
                <w:szCs w:val="20"/>
              </w:rPr>
            </w:pPr>
            <w:r>
              <w:rPr>
                <w:sz w:val="20"/>
                <w:szCs w:val="20"/>
              </w:rPr>
              <w:t>n/a</w:t>
            </w:r>
          </w:p>
        </w:tc>
      </w:tr>
      <w:tr w:rsidR="00F1670B" w:rsidRPr="00E91BE1" w14:paraId="6B2080EB" w14:textId="77777777" w:rsidTr="008E70A0">
        <w:trPr>
          <w:trHeight w:val="352"/>
        </w:trPr>
        <w:tc>
          <w:tcPr>
            <w:tcW w:w="2875" w:type="dxa"/>
          </w:tcPr>
          <w:p w14:paraId="5A915485" w14:textId="77777777" w:rsidR="00F1670B" w:rsidRPr="003D2054" w:rsidRDefault="00F1670B" w:rsidP="008E70A0">
            <w:pPr>
              <w:rPr>
                <w:sz w:val="20"/>
                <w:szCs w:val="20"/>
              </w:rPr>
            </w:pPr>
            <w:r>
              <w:rPr>
                <w:sz w:val="20"/>
                <w:szCs w:val="20"/>
              </w:rPr>
              <w:t>Tropical Forest Restoration</w:t>
            </w:r>
          </w:p>
        </w:tc>
        <w:tc>
          <w:tcPr>
            <w:tcW w:w="1620" w:type="dxa"/>
          </w:tcPr>
          <w:p w14:paraId="146468EE" w14:textId="77777777" w:rsidR="00F1670B" w:rsidRPr="003D2054" w:rsidRDefault="00F1670B" w:rsidP="008E70A0">
            <w:pPr>
              <w:jc w:val="center"/>
              <w:rPr>
                <w:sz w:val="20"/>
                <w:szCs w:val="20"/>
              </w:rPr>
            </w:pPr>
            <w:r>
              <w:rPr>
                <w:sz w:val="20"/>
                <w:szCs w:val="20"/>
              </w:rPr>
              <w:t>Not calculated</w:t>
            </w:r>
          </w:p>
        </w:tc>
        <w:tc>
          <w:tcPr>
            <w:tcW w:w="1620" w:type="dxa"/>
          </w:tcPr>
          <w:p w14:paraId="6B1A3A8A" w14:textId="77777777" w:rsidR="00F1670B" w:rsidRPr="003D2054" w:rsidRDefault="00F1670B" w:rsidP="008E70A0">
            <w:pPr>
              <w:jc w:val="center"/>
              <w:rPr>
                <w:sz w:val="20"/>
                <w:szCs w:val="20"/>
              </w:rPr>
            </w:pPr>
            <w:r>
              <w:rPr>
                <w:sz w:val="20"/>
                <w:szCs w:val="20"/>
              </w:rPr>
              <w:t>Not calculated</w:t>
            </w:r>
          </w:p>
        </w:tc>
        <w:tc>
          <w:tcPr>
            <w:tcW w:w="1620" w:type="dxa"/>
          </w:tcPr>
          <w:p w14:paraId="6844B64B" w14:textId="77777777" w:rsidR="00F1670B" w:rsidRPr="003D2054" w:rsidRDefault="00F1670B" w:rsidP="008E70A0">
            <w:pPr>
              <w:jc w:val="center"/>
              <w:rPr>
                <w:sz w:val="20"/>
                <w:szCs w:val="20"/>
              </w:rPr>
            </w:pPr>
            <w:r>
              <w:rPr>
                <w:sz w:val="20"/>
                <w:szCs w:val="20"/>
              </w:rPr>
              <w:t>High</w:t>
            </w:r>
          </w:p>
        </w:tc>
        <w:tc>
          <w:tcPr>
            <w:tcW w:w="1615" w:type="dxa"/>
          </w:tcPr>
          <w:p w14:paraId="2F124652" w14:textId="77777777" w:rsidR="00F1670B" w:rsidRPr="003D2054" w:rsidRDefault="00F1670B" w:rsidP="008E70A0">
            <w:pPr>
              <w:jc w:val="center"/>
              <w:rPr>
                <w:sz w:val="20"/>
                <w:szCs w:val="20"/>
              </w:rPr>
            </w:pPr>
            <w:r>
              <w:rPr>
                <w:sz w:val="20"/>
                <w:szCs w:val="20"/>
              </w:rPr>
              <w:t>n/a</w:t>
            </w:r>
          </w:p>
        </w:tc>
      </w:tr>
    </w:tbl>
    <w:p w14:paraId="58FE9C00" w14:textId="77777777" w:rsidR="00F1670B" w:rsidRDefault="00F1670B" w:rsidP="00F1670B">
      <w:pPr>
        <w:autoSpaceDE w:val="0"/>
        <w:spacing w:after="0"/>
        <w:rPr>
          <w:rFonts w:asciiTheme="majorHAnsi" w:eastAsiaTheme="majorEastAsia" w:hAnsiTheme="majorHAnsi" w:cstheme="majorBidi"/>
          <w:b/>
          <w:bCs/>
          <w:smallCaps/>
          <w:color w:val="000000" w:themeColor="text1"/>
          <w:sz w:val="36"/>
          <w:szCs w:val="36"/>
        </w:rPr>
      </w:pPr>
    </w:p>
    <w:p w14:paraId="3AB383BE" w14:textId="3D749B25" w:rsidR="00F1670B" w:rsidRDefault="0047117A" w:rsidP="0047117A">
      <w:pPr>
        <w:pStyle w:val="Caption"/>
        <w:keepNext/>
        <w:jc w:val="left"/>
      </w:pPr>
      <w:bookmarkStart w:id="29" w:name="_Toc18444708"/>
      <w:r>
        <w:t xml:space="preserve">Table </w:t>
      </w:r>
      <w:r w:rsidR="00CE1040">
        <w:fldChar w:fldCharType="begin"/>
      </w:r>
      <w:r w:rsidR="00CE1040">
        <w:instrText xml:space="preserve"> STYLEREF 1 \s </w:instrText>
      </w:r>
      <w:r w:rsidR="00CE1040">
        <w:fldChar w:fldCharType="separate"/>
      </w:r>
      <w:r w:rsidR="00872721">
        <w:rPr>
          <w:noProof/>
        </w:rPr>
        <w:t>1</w:t>
      </w:r>
      <w:r w:rsidR="00CE1040">
        <w:rPr>
          <w:noProof/>
        </w:rPr>
        <w:fldChar w:fldCharType="end"/>
      </w:r>
      <w:r>
        <w:t>.</w:t>
      </w:r>
      <w:r w:rsidR="00CE1040">
        <w:fldChar w:fldCharType="begin"/>
      </w:r>
      <w:r w:rsidR="00CE1040">
        <w:instrText xml:space="preserve"> SEQ Table \* ARABIC \s 1 </w:instrText>
      </w:r>
      <w:r w:rsidR="00CE1040">
        <w:fldChar w:fldCharType="separate"/>
      </w:r>
      <w:r w:rsidR="00872721">
        <w:rPr>
          <w:noProof/>
        </w:rPr>
        <w:t>4</w:t>
      </w:r>
      <w:r w:rsidR="00CE1040">
        <w:rPr>
          <w:noProof/>
        </w:rPr>
        <w:fldChar w:fldCharType="end"/>
      </w:r>
      <w:r>
        <w:t xml:space="preserve">: </w:t>
      </w:r>
      <w:r w:rsidR="00F1670B">
        <w:t>Land Use Solutions Comparison: Social and Climate Impacts</w:t>
      </w:r>
      <w:bookmarkEnd w:id="29"/>
    </w:p>
    <w:p w14:paraId="13D1DE67" w14:textId="77777777" w:rsidR="00F1670B" w:rsidRDefault="00F1670B" w:rsidP="00F1670B">
      <w:pPr>
        <w:rPr>
          <w:b/>
          <w:sz w:val="18"/>
          <w:szCs w:val="18"/>
        </w:rPr>
      </w:pPr>
      <w:r w:rsidRPr="00BB6182">
        <w:rPr>
          <w:rFonts w:cstheme="minorHAnsi"/>
          <w:b/>
          <w:color w:val="000000" w:themeColor="text1"/>
          <w:sz w:val="18"/>
          <w:szCs w:val="18"/>
        </w:rPr>
        <w:t>Carbon Stock Protected:</w:t>
      </w:r>
      <w:r>
        <w:rPr>
          <w:rFonts w:cstheme="minorHAnsi"/>
          <w:color w:val="000000" w:themeColor="text1"/>
          <w:sz w:val="18"/>
          <w:szCs w:val="18"/>
        </w:rPr>
        <w:t xml:space="preserve"> </w:t>
      </w:r>
      <w:r w:rsidRPr="00B9564C">
        <w:rPr>
          <w:rFonts w:cstheme="minorHAnsi"/>
          <w:color w:val="000000" w:themeColor="text1"/>
          <w:sz w:val="18"/>
          <w:szCs w:val="18"/>
        </w:rPr>
        <w:t>Low 0-500 Gt CO2-eq, Medium is 500-1000 Gt CO2-eq, high is 1000+ Gt CO2-eq.</w:t>
      </w:r>
    </w:p>
    <w:p w14:paraId="754DC8BE" w14:textId="77777777" w:rsidR="00F1670B" w:rsidRPr="00671B58" w:rsidRDefault="00F1670B" w:rsidP="00F1670B">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Pr>
          <w:sz w:val="18"/>
          <w:szCs w:val="18"/>
        </w:rPr>
        <w:t xml:space="preserve"> </w:t>
      </w:r>
      <w:r>
        <w:rPr>
          <w:b/>
          <w:sz w:val="18"/>
          <w:szCs w:val="18"/>
        </w:rPr>
        <w:t xml:space="preserve">Social Justice Benefits: </w:t>
      </w:r>
      <w:r>
        <w:rPr>
          <w:sz w:val="18"/>
          <w:szCs w:val="18"/>
        </w:rPr>
        <w:t xml:space="preserve">Is solution Targeted to disadvantaged producers like smallholders and women, Relevant to them, or Not Applicable (n/a). </w:t>
      </w:r>
      <w:r>
        <w:rPr>
          <w:b/>
          <w:sz w:val="18"/>
          <w:szCs w:val="18"/>
        </w:rPr>
        <w:t xml:space="preserve">Climate Impacts per Hectare: </w:t>
      </w:r>
      <w:r w:rsidRPr="007E2DF4">
        <w:rPr>
          <w:sz w:val="18"/>
          <w:szCs w:val="18"/>
        </w:rPr>
        <w:t>Low 0-3.7 t CO2-eq/ha/</w:t>
      </w:r>
      <w:proofErr w:type="spellStart"/>
      <w:r w:rsidRPr="007E2DF4">
        <w:rPr>
          <w:sz w:val="18"/>
          <w:szCs w:val="18"/>
        </w:rPr>
        <w:t>yr</w:t>
      </w:r>
      <w:proofErr w:type="spellEnd"/>
      <w:r>
        <w:rPr>
          <w:sz w:val="18"/>
          <w:szCs w:val="18"/>
        </w:rPr>
        <w:t xml:space="preserve"> (0-1tC)</w:t>
      </w:r>
      <w:r w:rsidRPr="007E2DF4">
        <w:rPr>
          <w:sz w:val="18"/>
          <w:szCs w:val="18"/>
        </w:rPr>
        <w:t>,</w:t>
      </w:r>
      <w:r>
        <w:rPr>
          <w:b/>
          <w:sz w:val="18"/>
          <w:szCs w:val="18"/>
        </w:rPr>
        <w:t xml:space="preserve"> </w:t>
      </w:r>
      <w:r w:rsidRPr="007E2DF4">
        <w:rPr>
          <w:sz w:val="18"/>
          <w:szCs w:val="18"/>
        </w:rPr>
        <w:t xml:space="preserve">Medium </w:t>
      </w:r>
      <w:r>
        <w:rPr>
          <w:sz w:val="18"/>
          <w:szCs w:val="18"/>
        </w:rPr>
        <w:t>3.8-11.0 t CO2-eq/</w:t>
      </w:r>
      <w:proofErr w:type="spellStart"/>
      <w:r>
        <w:rPr>
          <w:sz w:val="18"/>
          <w:szCs w:val="18"/>
        </w:rPr>
        <w:t>yr</w:t>
      </w:r>
      <w:proofErr w:type="spellEnd"/>
      <w:r>
        <w:rPr>
          <w:sz w:val="18"/>
          <w:szCs w:val="18"/>
        </w:rPr>
        <w:t xml:space="preserve"> (1-3 </w:t>
      </w:r>
      <w:proofErr w:type="spellStart"/>
      <w:r>
        <w:rPr>
          <w:sz w:val="18"/>
          <w:szCs w:val="18"/>
        </w:rPr>
        <w:t>tC</w:t>
      </w:r>
      <w:proofErr w:type="spellEnd"/>
      <w:r>
        <w:rPr>
          <w:sz w:val="18"/>
          <w:szCs w:val="18"/>
        </w:rPr>
        <w:t>), High 11.1-18.0 tCO2-eq/</w:t>
      </w:r>
      <w:proofErr w:type="spellStart"/>
      <w:r>
        <w:rPr>
          <w:sz w:val="18"/>
          <w:szCs w:val="18"/>
        </w:rPr>
        <w:t>yr</w:t>
      </w:r>
      <w:proofErr w:type="spellEnd"/>
      <w:r>
        <w:rPr>
          <w:sz w:val="18"/>
          <w:szCs w:val="18"/>
        </w:rPr>
        <w:t xml:space="preserve"> (3-5 </w:t>
      </w:r>
      <w:proofErr w:type="spellStart"/>
      <w:r>
        <w:rPr>
          <w:sz w:val="18"/>
          <w:szCs w:val="18"/>
        </w:rPr>
        <w:t>tC</w:t>
      </w:r>
      <w:proofErr w:type="spellEnd"/>
      <w:r>
        <w:rPr>
          <w:sz w:val="18"/>
          <w:szCs w:val="18"/>
        </w:rPr>
        <w:t>), Very High 18.1 tCO2-eq/</w:t>
      </w:r>
      <w:proofErr w:type="spellStart"/>
      <w:r>
        <w:rPr>
          <w:sz w:val="18"/>
          <w:szCs w:val="18"/>
        </w:rPr>
        <w:t>yr</w:t>
      </w:r>
      <w:proofErr w:type="spellEnd"/>
      <w:r>
        <w:rPr>
          <w:sz w:val="18"/>
          <w:szCs w:val="18"/>
        </w:rPr>
        <w:t xml:space="preserve"> (5tC+). </w:t>
      </w:r>
      <w:r w:rsidRPr="001B334C">
        <w:rPr>
          <w:rFonts w:cstheme="minorHAnsi"/>
          <w:b/>
          <w:color w:val="000000" w:themeColor="text1"/>
          <w:sz w:val="18"/>
          <w:szCs w:val="18"/>
        </w:rPr>
        <w:t>Global Adoption Potential:</w:t>
      </w:r>
      <w:r w:rsidRPr="001B334C">
        <w:rPr>
          <w:rFonts w:cstheme="minorHAnsi"/>
          <w:color w:val="000000" w:themeColor="text1"/>
          <w:sz w:val="18"/>
          <w:szCs w:val="18"/>
        </w:rPr>
        <w:t xml:space="preserve"> Low 0-100Mha, Medium 101-500 </w:t>
      </w:r>
      <w:proofErr w:type="spellStart"/>
      <w:r w:rsidRPr="001B334C">
        <w:rPr>
          <w:rFonts w:cstheme="minorHAnsi"/>
          <w:color w:val="000000" w:themeColor="text1"/>
          <w:sz w:val="18"/>
          <w:szCs w:val="18"/>
        </w:rPr>
        <w:t>Mha</w:t>
      </w:r>
      <w:proofErr w:type="spellEnd"/>
      <w:r w:rsidRPr="001B334C">
        <w:rPr>
          <w:rFonts w:cstheme="minorHAnsi"/>
          <w:color w:val="000000" w:themeColor="text1"/>
          <w:sz w:val="18"/>
          <w:szCs w:val="18"/>
        </w:rPr>
        <w:t xml:space="preserve">, High 500+ </w:t>
      </w:r>
      <w:proofErr w:type="spellStart"/>
      <w:r w:rsidRPr="001B334C">
        <w:rPr>
          <w:rFonts w:cstheme="minorHAnsi"/>
          <w:color w:val="000000" w:themeColor="text1"/>
          <w:sz w:val="18"/>
          <w:szCs w:val="18"/>
        </w:rPr>
        <w:t>Mha</w:t>
      </w:r>
      <w:proofErr w:type="spellEnd"/>
      <w:r>
        <w:rPr>
          <w:rFonts w:cstheme="minorHAnsi"/>
          <w:color w:val="000000" w:themeColor="text1"/>
          <w:sz w:val="18"/>
          <w:szCs w:val="18"/>
        </w:rPr>
        <w:t xml:space="preserve"> </w:t>
      </w:r>
    </w:p>
    <w:tbl>
      <w:tblPr>
        <w:tblStyle w:val="TableGrid"/>
        <w:tblW w:w="9350" w:type="dxa"/>
        <w:tblLook w:val="04A0" w:firstRow="1" w:lastRow="0" w:firstColumn="1" w:lastColumn="0" w:noHBand="0" w:noVBand="1"/>
      </w:tblPr>
      <w:tblGrid>
        <w:gridCol w:w="2873"/>
        <w:gridCol w:w="1620"/>
        <w:gridCol w:w="1619"/>
        <w:gridCol w:w="1620"/>
        <w:gridCol w:w="1618"/>
      </w:tblGrid>
      <w:tr w:rsidR="00F1670B" w:rsidRPr="00E91BE1" w14:paraId="3875364D" w14:textId="77777777" w:rsidTr="008E70A0">
        <w:trPr>
          <w:cantSplit/>
          <w:trHeight w:val="594"/>
          <w:tblHeader/>
        </w:trPr>
        <w:tc>
          <w:tcPr>
            <w:tcW w:w="2873" w:type="dxa"/>
            <w:shd w:val="clear" w:color="auto" w:fill="4F81BD" w:themeFill="accent1"/>
          </w:tcPr>
          <w:p w14:paraId="441B0B1F" w14:textId="77777777" w:rsidR="00F1670B" w:rsidRPr="00E91BE1" w:rsidRDefault="00F1670B" w:rsidP="008E70A0">
            <w:pPr>
              <w:jc w:val="center"/>
              <w:rPr>
                <w:b/>
                <w:color w:val="FFFFFF" w:themeColor="background1"/>
                <w:sz w:val="20"/>
                <w:szCs w:val="20"/>
              </w:rPr>
            </w:pPr>
          </w:p>
        </w:tc>
        <w:tc>
          <w:tcPr>
            <w:tcW w:w="1620" w:type="dxa"/>
            <w:shd w:val="clear" w:color="auto" w:fill="4F81BD" w:themeFill="accent1"/>
          </w:tcPr>
          <w:p w14:paraId="5C8685E4" w14:textId="77777777" w:rsidR="00F1670B" w:rsidRPr="00E91BE1" w:rsidRDefault="00F1670B" w:rsidP="008E70A0">
            <w:pPr>
              <w:jc w:val="center"/>
              <w:rPr>
                <w:b/>
                <w:color w:val="FFFFFF" w:themeColor="background1"/>
                <w:sz w:val="20"/>
                <w:szCs w:val="20"/>
              </w:rPr>
            </w:pPr>
            <w:r>
              <w:rPr>
                <w:b/>
                <w:color w:val="FFFFFF" w:themeColor="background1"/>
                <w:sz w:val="20"/>
                <w:szCs w:val="20"/>
              </w:rPr>
              <w:t>Carbon Stock Protected</w:t>
            </w:r>
          </w:p>
        </w:tc>
        <w:tc>
          <w:tcPr>
            <w:tcW w:w="1619" w:type="dxa"/>
            <w:shd w:val="clear" w:color="auto" w:fill="4F81BD" w:themeFill="accent1"/>
          </w:tcPr>
          <w:p w14:paraId="2FCB6FAB" w14:textId="77777777" w:rsidR="00F1670B" w:rsidRPr="00E91BE1" w:rsidRDefault="00F1670B" w:rsidP="008E70A0">
            <w:pPr>
              <w:jc w:val="center"/>
              <w:rPr>
                <w:b/>
                <w:color w:val="FFFFFF" w:themeColor="background1"/>
                <w:sz w:val="20"/>
                <w:szCs w:val="20"/>
              </w:rPr>
            </w:pPr>
            <w:r>
              <w:rPr>
                <w:b/>
                <w:color w:val="FFFFFF" w:themeColor="background1"/>
                <w:sz w:val="20"/>
                <w:szCs w:val="20"/>
              </w:rPr>
              <w:t>Social Justice Benefits</w:t>
            </w:r>
          </w:p>
        </w:tc>
        <w:tc>
          <w:tcPr>
            <w:tcW w:w="1620" w:type="dxa"/>
            <w:shd w:val="clear" w:color="auto" w:fill="4F81BD" w:themeFill="accent1"/>
          </w:tcPr>
          <w:p w14:paraId="2A87C5EB" w14:textId="77777777" w:rsidR="00F1670B" w:rsidRPr="00E91BE1" w:rsidRDefault="00F1670B" w:rsidP="008E70A0">
            <w:pPr>
              <w:jc w:val="center"/>
              <w:rPr>
                <w:b/>
                <w:color w:val="FFFFFF" w:themeColor="background1"/>
                <w:sz w:val="20"/>
                <w:szCs w:val="20"/>
              </w:rPr>
            </w:pPr>
            <w:r>
              <w:rPr>
                <w:b/>
                <w:color w:val="FFFFFF" w:themeColor="background1"/>
                <w:sz w:val="20"/>
                <w:szCs w:val="20"/>
              </w:rPr>
              <w:t>Climate Impact/ha</w:t>
            </w:r>
          </w:p>
        </w:tc>
        <w:tc>
          <w:tcPr>
            <w:tcW w:w="1618" w:type="dxa"/>
            <w:shd w:val="clear" w:color="auto" w:fill="4F81BD" w:themeFill="accent1"/>
          </w:tcPr>
          <w:p w14:paraId="35C09732" w14:textId="77777777" w:rsidR="00F1670B" w:rsidRPr="00E91BE1" w:rsidRDefault="00F1670B" w:rsidP="008E70A0">
            <w:pPr>
              <w:jc w:val="center"/>
              <w:rPr>
                <w:b/>
                <w:color w:val="FFFFFF" w:themeColor="background1"/>
                <w:sz w:val="20"/>
                <w:szCs w:val="20"/>
              </w:rPr>
            </w:pPr>
            <w:r>
              <w:rPr>
                <w:b/>
                <w:color w:val="FFFFFF" w:themeColor="background1"/>
                <w:sz w:val="20"/>
                <w:szCs w:val="20"/>
              </w:rPr>
              <w:t>Global Adoption Potential</w:t>
            </w:r>
          </w:p>
        </w:tc>
      </w:tr>
      <w:tr w:rsidR="00F1670B" w:rsidRPr="00E91BE1" w14:paraId="5BCBDA4A" w14:textId="77777777" w:rsidTr="008E70A0">
        <w:trPr>
          <w:trHeight w:val="315"/>
        </w:trPr>
        <w:tc>
          <w:tcPr>
            <w:tcW w:w="2873" w:type="dxa"/>
          </w:tcPr>
          <w:p w14:paraId="03B0F959" w14:textId="77777777" w:rsidR="00F1670B" w:rsidRDefault="00F1670B" w:rsidP="008E70A0">
            <w:pPr>
              <w:rPr>
                <w:sz w:val="20"/>
                <w:szCs w:val="20"/>
              </w:rPr>
            </w:pPr>
            <w:r>
              <w:rPr>
                <w:sz w:val="20"/>
                <w:szCs w:val="20"/>
              </w:rPr>
              <w:t>Afforestation</w:t>
            </w:r>
          </w:p>
        </w:tc>
        <w:tc>
          <w:tcPr>
            <w:tcW w:w="1620" w:type="dxa"/>
          </w:tcPr>
          <w:p w14:paraId="375A88D9" w14:textId="77777777" w:rsidR="00F1670B" w:rsidRPr="003D2054" w:rsidRDefault="00F1670B" w:rsidP="008E70A0">
            <w:pPr>
              <w:jc w:val="center"/>
              <w:rPr>
                <w:sz w:val="20"/>
                <w:szCs w:val="20"/>
              </w:rPr>
            </w:pPr>
            <w:r>
              <w:rPr>
                <w:sz w:val="20"/>
                <w:szCs w:val="20"/>
              </w:rPr>
              <w:t>Medium to High</w:t>
            </w:r>
          </w:p>
        </w:tc>
        <w:tc>
          <w:tcPr>
            <w:tcW w:w="1619" w:type="dxa"/>
          </w:tcPr>
          <w:p w14:paraId="2740CB8B" w14:textId="77777777" w:rsidR="00F1670B" w:rsidRPr="003D2054" w:rsidRDefault="00F1670B" w:rsidP="008E70A0">
            <w:pPr>
              <w:jc w:val="center"/>
              <w:rPr>
                <w:sz w:val="20"/>
                <w:szCs w:val="20"/>
              </w:rPr>
            </w:pPr>
            <w:r>
              <w:rPr>
                <w:sz w:val="20"/>
                <w:szCs w:val="20"/>
              </w:rPr>
              <w:t>Relevant</w:t>
            </w:r>
          </w:p>
        </w:tc>
        <w:tc>
          <w:tcPr>
            <w:tcW w:w="1620" w:type="dxa"/>
          </w:tcPr>
          <w:p w14:paraId="7BCD5DBF" w14:textId="77777777" w:rsidR="00F1670B" w:rsidRPr="003D2054" w:rsidRDefault="00F1670B" w:rsidP="008E70A0">
            <w:pPr>
              <w:jc w:val="center"/>
              <w:rPr>
                <w:sz w:val="20"/>
                <w:szCs w:val="20"/>
              </w:rPr>
            </w:pPr>
            <w:r>
              <w:rPr>
                <w:sz w:val="20"/>
                <w:szCs w:val="20"/>
              </w:rPr>
              <w:t>High</w:t>
            </w:r>
          </w:p>
        </w:tc>
        <w:tc>
          <w:tcPr>
            <w:tcW w:w="1618" w:type="dxa"/>
          </w:tcPr>
          <w:p w14:paraId="109268D1" w14:textId="77777777" w:rsidR="00F1670B" w:rsidRDefault="00F1670B" w:rsidP="008E70A0">
            <w:pPr>
              <w:jc w:val="center"/>
              <w:rPr>
                <w:sz w:val="20"/>
                <w:szCs w:val="20"/>
              </w:rPr>
            </w:pPr>
            <w:r>
              <w:rPr>
                <w:sz w:val="20"/>
                <w:szCs w:val="20"/>
              </w:rPr>
              <w:t>Medium</w:t>
            </w:r>
          </w:p>
        </w:tc>
      </w:tr>
      <w:tr w:rsidR="00F1670B" w:rsidRPr="00E91BE1" w14:paraId="3611E1DF" w14:textId="77777777" w:rsidTr="008E70A0">
        <w:trPr>
          <w:trHeight w:val="334"/>
        </w:trPr>
        <w:tc>
          <w:tcPr>
            <w:tcW w:w="2873" w:type="dxa"/>
          </w:tcPr>
          <w:p w14:paraId="368223D9" w14:textId="77777777" w:rsidR="00F1670B" w:rsidRDefault="00F1670B" w:rsidP="008E70A0">
            <w:pPr>
              <w:rPr>
                <w:sz w:val="20"/>
                <w:szCs w:val="20"/>
              </w:rPr>
            </w:pPr>
            <w:r>
              <w:rPr>
                <w:sz w:val="20"/>
                <w:szCs w:val="20"/>
              </w:rPr>
              <w:t>Bamboo</w:t>
            </w:r>
          </w:p>
        </w:tc>
        <w:tc>
          <w:tcPr>
            <w:tcW w:w="1620" w:type="dxa"/>
          </w:tcPr>
          <w:p w14:paraId="39A602F1" w14:textId="77777777" w:rsidR="00F1670B" w:rsidRPr="003D2054" w:rsidRDefault="00F1670B" w:rsidP="008E70A0">
            <w:pPr>
              <w:jc w:val="center"/>
              <w:rPr>
                <w:sz w:val="20"/>
                <w:szCs w:val="20"/>
              </w:rPr>
            </w:pPr>
            <w:r>
              <w:rPr>
                <w:sz w:val="20"/>
                <w:szCs w:val="20"/>
              </w:rPr>
              <w:t>Medium</w:t>
            </w:r>
          </w:p>
        </w:tc>
        <w:tc>
          <w:tcPr>
            <w:tcW w:w="1619" w:type="dxa"/>
          </w:tcPr>
          <w:p w14:paraId="30CB997D" w14:textId="77777777" w:rsidR="00F1670B" w:rsidRPr="003D2054" w:rsidRDefault="00F1670B" w:rsidP="008E70A0">
            <w:pPr>
              <w:jc w:val="center"/>
              <w:rPr>
                <w:sz w:val="20"/>
                <w:szCs w:val="20"/>
              </w:rPr>
            </w:pPr>
            <w:r>
              <w:rPr>
                <w:sz w:val="20"/>
                <w:szCs w:val="20"/>
              </w:rPr>
              <w:t>Relevant</w:t>
            </w:r>
          </w:p>
        </w:tc>
        <w:tc>
          <w:tcPr>
            <w:tcW w:w="1620" w:type="dxa"/>
          </w:tcPr>
          <w:p w14:paraId="0DCC2442" w14:textId="77777777" w:rsidR="00F1670B" w:rsidRPr="003D2054" w:rsidRDefault="00F1670B" w:rsidP="008E70A0">
            <w:pPr>
              <w:jc w:val="center"/>
              <w:rPr>
                <w:sz w:val="20"/>
                <w:szCs w:val="20"/>
              </w:rPr>
            </w:pPr>
            <w:r>
              <w:rPr>
                <w:sz w:val="20"/>
                <w:szCs w:val="20"/>
              </w:rPr>
              <w:t>High</w:t>
            </w:r>
          </w:p>
        </w:tc>
        <w:tc>
          <w:tcPr>
            <w:tcW w:w="1618" w:type="dxa"/>
          </w:tcPr>
          <w:p w14:paraId="6B97B544" w14:textId="77777777" w:rsidR="00F1670B" w:rsidRDefault="00F1670B" w:rsidP="008E70A0">
            <w:pPr>
              <w:jc w:val="center"/>
              <w:rPr>
                <w:sz w:val="20"/>
                <w:szCs w:val="20"/>
              </w:rPr>
            </w:pPr>
            <w:r>
              <w:rPr>
                <w:sz w:val="20"/>
                <w:szCs w:val="20"/>
              </w:rPr>
              <w:t>Medium</w:t>
            </w:r>
          </w:p>
        </w:tc>
      </w:tr>
      <w:tr w:rsidR="00F1670B" w:rsidRPr="00E91BE1" w14:paraId="7AB5C9C0" w14:textId="77777777" w:rsidTr="008E70A0">
        <w:trPr>
          <w:trHeight w:val="315"/>
        </w:trPr>
        <w:tc>
          <w:tcPr>
            <w:tcW w:w="2873" w:type="dxa"/>
          </w:tcPr>
          <w:p w14:paraId="6712FEB4" w14:textId="77777777" w:rsidR="00F1670B" w:rsidRDefault="00F1670B" w:rsidP="008E70A0">
            <w:pPr>
              <w:rPr>
                <w:sz w:val="20"/>
                <w:szCs w:val="20"/>
              </w:rPr>
            </w:pPr>
            <w:r>
              <w:rPr>
                <w:sz w:val="20"/>
                <w:szCs w:val="20"/>
              </w:rPr>
              <w:t>Forest Protection</w:t>
            </w:r>
          </w:p>
        </w:tc>
        <w:tc>
          <w:tcPr>
            <w:tcW w:w="1620" w:type="dxa"/>
          </w:tcPr>
          <w:p w14:paraId="5EC21F4C" w14:textId="77777777" w:rsidR="00F1670B" w:rsidRPr="003D2054" w:rsidRDefault="00F1670B" w:rsidP="008E70A0">
            <w:pPr>
              <w:jc w:val="center"/>
              <w:rPr>
                <w:sz w:val="20"/>
                <w:szCs w:val="20"/>
              </w:rPr>
            </w:pPr>
            <w:r>
              <w:rPr>
                <w:sz w:val="20"/>
                <w:szCs w:val="20"/>
              </w:rPr>
              <w:t>High</w:t>
            </w:r>
          </w:p>
        </w:tc>
        <w:tc>
          <w:tcPr>
            <w:tcW w:w="1619" w:type="dxa"/>
          </w:tcPr>
          <w:p w14:paraId="583793A1" w14:textId="77777777" w:rsidR="00F1670B" w:rsidRPr="003D2054" w:rsidRDefault="00F1670B" w:rsidP="008E70A0">
            <w:pPr>
              <w:jc w:val="center"/>
              <w:rPr>
                <w:sz w:val="20"/>
                <w:szCs w:val="20"/>
              </w:rPr>
            </w:pPr>
            <w:r>
              <w:rPr>
                <w:sz w:val="20"/>
                <w:szCs w:val="20"/>
              </w:rPr>
              <w:t>Relevant</w:t>
            </w:r>
          </w:p>
        </w:tc>
        <w:tc>
          <w:tcPr>
            <w:tcW w:w="1620" w:type="dxa"/>
          </w:tcPr>
          <w:p w14:paraId="67276C57" w14:textId="77777777" w:rsidR="00F1670B" w:rsidRPr="003D2054" w:rsidRDefault="00F1670B" w:rsidP="008E70A0">
            <w:pPr>
              <w:jc w:val="center"/>
              <w:rPr>
                <w:sz w:val="20"/>
                <w:szCs w:val="20"/>
              </w:rPr>
            </w:pPr>
            <w:r>
              <w:rPr>
                <w:sz w:val="20"/>
                <w:szCs w:val="20"/>
              </w:rPr>
              <w:t>Very High</w:t>
            </w:r>
          </w:p>
        </w:tc>
        <w:tc>
          <w:tcPr>
            <w:tcW w:w="1618" w:type="dxa"/>
          </w:tcPr>
          <w:p w14:paraId="6E74322D" w14:textId="77777777" w:rsidR="00F1670B" w:rsidRPr="003D2054" w:rsidRDefault="00F1670B" w:rsidP="008E70A0">
            <w:pPr>
              <w:jc w:val="center"/>
              <w:rPr>
                <w:sz w:val="20"/>
                <w:szCs w:val="20"/>
              </w:rPr>
            </w:pPr>
            <w:r>
              <w:rPr>
                <w:sz w:val="20"/>
                <w:szCs w:val="20"/>
              </w:rPr>
              <w:t>Medium</w:t>
            </w:r>
          </w:p>
        </w:tc>
      </w:tr>
      <w:tr w:rsidR="00F1670B" w:rsidRPr="00E91BE1" w14:paraId="0E1AA5E8" w14:textId="77777777" w:rsidTr="008E70A0">
        <w:trPr>
          <w:trHeight w:val="315"/>
        </w:trPr>
        <w:tc>
          <w:tcPr>
            <w:tcW w:w="2873" w:type="dxa"/>
          </w:tcPr>
          <w:p w14:paraId="2B09D00D" w14:textId="77777777" w:rsidR="00F1670B" w:rsidRPr="003D2054" w:rsidRDefault="00F1670B" w:rsidP="008E70A0">
            <w:pPr>
              <w:rPr>
                <w:sz w:val="20"/>
                <w:szCs w:val="20"/>
              </w:rPr>
            </w:pPr>
            <w:r>
              <w:rPr>
                <w:sz w:val="20"/>
                <w:szCs w:val="20"/>
              </w:rPr>
              <w:t>Indigenous People’s Forest Management</w:t>
            </w:r>
          </w:p>
        </w:tc>
        <w:tc>
          <w:tcPr>
            <w:tcW w:w="1620" w:type="dxa"/>
          </w:tcPr>
          <w:p w14:paraId="327F3B98" w14:textId="77777777" w:rsidR="00F1670B" w:rsidRDefault="00F1670B" w:rsidP="008E70A0">
            <w:pPr>
              <w:jc w:val="center"/>
              <w:rPr>
                <w:sz w:val="20"/>
                <w:szCs w:val="20"/>
              </w:rPr>
            </w:pPr>
            <w:r>
              <w:rPr>
                <w:sz w:val="20"/>
                <w:szCs w:val="20"/>
              </w:rPr>
              <w:t>High</w:t>
            </w:r>
          </w:p>
        </w:tc>
        <w:tc>
          <w:tcPr>
            <w:tcW w:w="1619" w:type="dxa"/>
          </w:tcPr>
          <w:p w14:paraId="561E0AE3" w14:textId="77777777" w:rsidR="00F1670B" w:rsidRPr="003D2054" w:rsidRDefault="00F1670B" w:rsidP="008E70A0">
            <w:pPr>
              <w:jc w:val="center"/>
              <w:rPr>
                <w:sz w:val="20"/>
                <w:szCs w:val="20"/>
              </w:rPr>
            </w:pPr>
            <w:r>
              <w:rPr>
                <w:sz w:val="20"/>
                <w:szCs w:val="20"/>
              </w:rPr>
              <w:t>Targeted</w:t>
            </w:r>
          </w:p>
        </w:tc>
        <w:tc>
          <w:tcPr>
            <w:tcW w:w="1620" w:type="dxa"/>
          </w:tcPr>
          <w:p w14:paraId="59948A0B" w14:textId="77777777" w:rsidR="00F1670B" w:rsidRPr="003D2054" w:rsidRDefault="00F1670B" w:rsidP="008E70A0">
            <w:pPr>
              <w:jc w:val="center"/>
              <w:rPr>
                <w:sz w:val="20"/>
                <w:szCs w:val="20"/>
              </w:rPr>
            </w:pPr>
            <w:r>
              <w:rPr>
                <w:sz w:val="20"/>
                <w:szCs w:val="20"/>
              </w:rPr>
              <w:t>Very High</w:t>
            </w:r>
          </w:p>
        </w:tc>
        <w:tc>
          <w:tcPr>
            <w:tcW w:w="1618" w:type="dxa"/>
          </w:tcPr>
          <w:p w14:paraId="3280B132" w14:textId="77777777" w:rsidR="00F1670B" w:rsidRPr="003D2054" w:rsidRDefault="00F1670B" w:rsidP="008E70A0">
            <w:pPr>
              <w:jc w:val="center"/>
              <w:rPr>
                <w:sz w:val="20"/>
                <w:szCs w:val="20"/>
              </w:rPr>
            </w:pPr>
            <w:r>
              <w:rPr>
                <w:sz w:val="20"/>
                <w:szCs w:val="20"/>
              </w:rPr>
              <w:t>Medium to High</w:t>
            </w:r>
          </w:p>
        </w:tc>
      </w:tr>
      <w:tr w:rsidR="00F1670B" w:rsidRPr="00E91BE1" w14:paraId="7CFBF731" w14:textId="77777777" w:rsidTr="008E70A0">
        <w:trPr>
          <w:trHeight w:val="352"/>
        </w:trPr>
        <w:tc>
          <w:tcPr>
            <w:tcW w:w="2873" w:type="dxa"/>
          </w:tcPr>
          <w:p w14:paraId="2F5B677C" w14:textId="77777777" w:rsidR="00F1670B" w:rsidRPr="003D2054" w:rsidRDefault="00F1670B" w:rsidP="008E70A0">
            <w:pPr>
              <w:rPr>
                <w:sz w:val="20"/>
                <w:szCs w:val="20"/>
              </w:rPr>
            </w:pPr>
            <w:r>
              <w:rPr>
                <w:sz w:val="20"/>
                <w:szCs w:val="20"/>
              </w:rPr>
              <w:t>Peatland Protection</w:t>
            </w:r>
          </w:p>
        </w:tc>
        <w:tc>
          <w:tcPr>
            <w:tcW w:w="1620" w:type="dxa"/>
          </w:tcPr>
          <w:p w14:paraId="609DCE58" w14:textId="77777777" w:rsidR="00F1670B" w:rsidRPr="003D2054" w:rsidRDefault="00F1670B" w:rsidP="008E70A0">
            <w:pPr>
              <w:jc w:val="center"/>
              <w:rPr>
                <w:sz w:val="20"/>
                <w:szCs w:val="20"/>
              </w:rPr>
            </w:pPr>
            <w:r>
              <w:rPr>
                <w:sz w:val="20"/>
                <w:szCs w:val="20"/>
              </w:rPr>
              <w:t>n/a</w:t>
            </w:r>
          </w:p>
        </w:tc>
        <w:tc>
          <w:tcPr>
            <w:tcW w:w="1619" w:type="dxa"/>
          </w:tcPr>
          <w:p w14:paraId="2101FF0E" w14:textId="77777777" w:rsidR="00F1670B" w:rsidRPr="003D2054" w:rsidRDefault="00F1670B" w:rsidP="008E70A0">
            <w:pPr>
              <w:jc w:val="center"/>
              <w:rPr>
                <w:sz w:val="20"/>
                <w:szCs w:val="20"/>
              </w:rPr>
            </w:pPr>
            <w:r>
              <w:rPr>
                <w:sz w:val="20"/>
                <w:szCs w:val="20"/>
              </w:rPr>
              <w:t>Relevant</w:t>
            </w:r>
          </w:p>
        </w:tc>
        <w:tc>
          <w:tcPr>
            <w:tcW w:w="1620" w:type="dxa"/>
          </w:tcPr>
          <w:p w14:paraId="64A283F1" w14:textId="77777777" w:rsidR="00F1670B" w:rsidRPr="003D2054" w:rsidRDefault="00F1670B" w:rsidP="008E70A0">
            <w:pPr>
              <w:jc w:val="center"/>
              <w:rPr>
                <w:sz w:val="20"/>
                <w:szCs w:val="20"/>
              </w:rPr>
            </w:pPr>
            <w:r>
              <w:rPr>
                <w:sz w:val="20"/>
                <w:szCs w:val="20"/>
              </w:rPr>
              <w:t>Very High</w:t>
            </w:r>
          </w:p>
        </w:tc>
        <w:tc>
          <w:tcPr>
            <w:tcW w:w="1618" w:type="dxa"/>
          </w:tcPr>
          <w:p w14:paraId="49AC95CF" w14:textId="77777777" w:rsidR="00F1670B" w:rsidRPr="003D2054" w:rsidRDefault="00F1670B" w:rsidP="008E70A0">
            <w:pPr>
              <w:jc w:val="center"/>
              <w:rPr>
                <w:sz w:val="20"/>
                <w:szCs w:val="20"/>
              </w:rPr>
            </w:pPr>
            <w:r>
              <w:rPr>
                <w:sz w:val="20"/>
                <w:szCs w:val="20"/>
              </w:rPr>
              <w:t>Medium</w:t>
            </w:r>
          </w:p>
        </w:tc>
      </w:tr>
      <w:tr w:rsidR="00F1670B" w:rsidRPr="00E91BE1" w14:paraId="621896FF" w14:textId="77777777" w:rsidTr="008E70A0">
        <w:trPr>
          <w:trHeight w:val="352"/>
        </w:trPr>
        <w:tc>
          <w:tcPr>
            <w:tcW w:w="2873" w:type="dxa"/>
          </w:tcPr>
          <w:p w14:paraId="69472090" w14:textId="77777777" w:rsidR="00F1670B" w:rsidRDefault="00F1670B" w:rsidP="008E70A0">
            <w:pPr>
              <w:rPr>
                <w:sz w:val="20"/>
                <w:szCs w:val="20"/>
              </w:rPr>
            </w:pPr>
            <w:r>
              <w:rPr>
                <w:sz w:val="20"/>
                <w:szCs w:val="20"/>
              </w:rPr>
              <w:t>Perennial Biomass</w:t>
            </w:r>
          </w:p>
        </w:tc>
        <w:tc>
          <w:tcPr>
            <w:tcW w:w="1620" w:type="dxa"/>
          </w:tcPr>
          <w:p w14:paraId="68B927A0" w14:textId="77777777" w:rsidR="00F1670B" w:rsidRPr="003D2054" w:rsidRDefault="00F1670B" w:rsidP="008E70A0">
            <w:pPr>
              <w:jc w:val="center"/>
              <w:rPr>
                <w:sz w:val="20"/>
                <w:szCs w:val="20"/>
              </w:rPr>
            </w:pPr>
            <w:r>
              <w:rPr>
                <w:sz w:val="20"/>
                <w:szCs w:val="20"/>
              </w:rPr>
              <w:t>n/a</w:t>
            </w:r>
          </w:p>
        </w:tc>
        <w:tc>
          <w:tcPr>
            <w:tcW w:w="1619" w:type="dxa"/>
          </w:tcPr>
          <w:p w14:paraId="223213DF" w14:textId="77777777" w:rsidR="00F1670B" w:rsidRPr="003D2054" w:rsidRDefault="00F1670B" w:rsidP="008E70A0">
            <w:pPr>
              <w:jc w:val="center"/>
              <w:rPr>
                <w:sz w:val="20"/>
                <w:szCs w:val="20"/>
              </w:rPr>
            </w:pPr>
            <w:r>
              <w:rPr>
                <w:sz w:val="20"/>
                <w:szCs w:val="20"/>
              </w:rPr>
              <w:t>Relevant</w:t>
            </w:r>
          </w:p>
        </w:tc>
        <w:tc>
          <w:tcPr>
            <w:tcW w:w="1620" w:type="dxa"/>
          </w:tcPr>
          <w:p w14:paraId="76311751" w14:textId="77777777" w:rsidR="00F1670B" w:rsidRPr="003D2054" w:rsidRDefault="00F1670B" w:rsidP="008E70A0">
            <w:pPr>
              <w:jc w:val="center"/>
              <w:rPr>
                <w:sz w:val="20"/>
                <w:szCs w:val="20"/>
              </w:rPr>
            </w:pPr>
            <w:r>
              <w:rPr>
                <w:sz w:val="20"/>
                <w:szCs w:val="20"/>
              </w:rPr>
              <w:t>Low</w:t>
            </w:r>
          </w:p>
        </w:tc>
        <w:tc>
          <w:tcPr>
            <w:tcW w:w="1618" w:type="dxa"/>
          </w:tcPr>
          <w:p w14:paraId="54587F4D" w14:textId="77777777" w:rsidR="00F1670B" w:rsidRDefault="00F1670B" w:rsidP="008E70A0">
            <w:pPr>
              <w:jc w:val="center"/>
              <w:rPr>
                <w:sz w:val="20"/>
                <w:szCs w:val="20"/>
              </w:rPr>
            </w:pPr>
            <w:r>
              <w:rPr>
                <w:sz w:val="20"/>
                <w:szCs w:val="20"/>
              </w:rPr>
              <w:t>Medium</w:t>
            </w:r>
          </w:p>
        </w:tc>
      </w:tr>
      <w:tr w:rsidR="00F1670B" w:rsidRPr="00E91BE1" w14:paraId="51535412" w14:textId="77777777" w:rsidTr="008E70A0">
        <w:trPr>
          <w:trHeight w:val="352"/>
        </w:trPr>
        <w:tc>
          <w:tcPr>
            <w:tcW w:w="2873" w:type="dxa"/>
          </w:tcPr>
          <w:p w14:paraId="64658F4C" w14:textId="77777777" w:rsidR="00F1670B" w:rsidRPr="003D2054" w:rsidRDefault="00F1670B" w:rsidP="008E70A0">
            <w:pPr>
              <w:rPr>
                <w:sz w:val="20"/>
                <w:szCs w:val="20"/>
              </w:rPr>
            </w:pPr>
            <w:r>
              <w:rPr>
                <w:sz w:val="20"/>
                <w:szCs w:val="20"/>
              </w:rPr>
              <w:t>Temperate Forest Restoration</w:t>
            </w:r>
          </w:p>
        </w:tc>
        <w:tc>
          <w:tcPr>
            <w:tcW w:w="1620" w:type="dxa"/>
          </w:tcPr>
          <w:p w14:paraId="27374E92" w14:textId="77777777" w:rsidR="00F1670B" w:rsidRPr="003D2054" w:rsidRDefault="00F1670B" w:rsidP="008E70A0">
            <w:pPr>
              <w:jc w:val="center"/>
              <w:rPr>
                <w:sz w:val="20"/>
                <w:szCs w:val="20"/>
              </w:rPr>
            </w:pPr>
            <w:r>
              <w:rPr>
                <w:sz w:val="20"/>
                <w:szCs w:val="20"/>
              </w:rPr>
              <w:t>n/a</w:t>
            </w:r>
          </w:p>
        </w:tc>
        <w:tc>
          <w:tcPr>
            <w:tcW w:w="1619" w:type="dxa"/>
          </w:tcPr>
          <w:p w14:paraId="0FCE0977" w14:textId="77777777" w:rsidR="00F1670B" w:rsidRPr="003D2054" w:rsidRDefault="00F1670B" w:rsidP="008E70A0">
            <w:pPr>
              <w:jc w:val="center"/>
              <w:rPr>
                <w:sz w:val="20"/>
                <w:szCs w:val="20"/>
              </w:rPr>
            </w:pPr>
            <w:r>
              <w:rPr>
                <w:sz w:val="20"/>
                <w:szCs w:val="20"/>
              </w:rPr>
              <w:t>Relevant</w:t>
            </w:r>
          </w:p>
        </w:tc>
        <w:tc>
          <w:tcPr>
            <w:tcW w:w="1620" w:type="dxa"/>
          </w:tcPr>
          <w:p w14:paraId="6E4DC636" w14:textId="77777777" w:rsidR="00F1670B" w:rsidRPr="003D2054" w:rsidRDefault="00F1670B" w:rsidP="008E70A0">
            <w:pPr>
              <w:jc w:val="center"/>
              <w:rPr>
                <w:sz w:val="20"/>
                <w:szCs w:val="20"/>
              </w:rPr>
            </w:pPr>
            <w:r>
              <w:rPr>
                <w:sz w:val="20"/>
                <w:szCs w:val="20"/>
              </w:rPr>
              <w:t>Medium</w:t>
            </w:r>
          </w:p>
        </w:tc>
        <w:tc>
          <w:tcPr>
            <w:tcW w:w="1618" w:type="dxa"/>
          </w:tcPr>
          <w:p w14:paraId="38B9F75C" w14:textId="77777777" w:rsidR="00F1670B" w:rsidRPr="003D2054" w:rsidRDefault="00F1670B" w:rsidP="008E70A0">
            <w:pPr>
              <w:jc w:val="center"/>
              <w:rPr>
                <w:sz w:val="20"/>
                <w:szCs w:val="20"/>
              </w:rPr>
            </w:pPr>
            <w:r>
              <w:rPr>
                <w:sz w:val="20"/>
                <w:szCs w:val="20"/>
              </w:rPr>
              <w:t>Low to Medium</w:t>
            </w:r>
          </w:p>
        </w:tc>
      </w:tr>
      <w:tr w:rsidR="00F1670B" w:rsidRPr="00E91BE1" w14:paraId="535697C8" w14:textId="77777777" w:rsidTr="008E70A0">
        <w:trPr>
          <w:trHeight w:val="352"/>
        </w:trPr>
        <w:tc>
          <w:tcPr>
            <w:tcW w:w="2873" w:type="dxa"/>
          </w:tcPr>
          <w:p w14:paraId="04CD139B" w14:textId="77777777" w:rsidR="00F1670B" w:rsidRPr="003D2054" w:rsidRDefault="00F1670B" w:rsidP="008E70A0">
            <w:pPr>
              <w:rPr>
                <w:sz w:val="20"/>
                <w:szCs w:val="20"/>
              </w:rPr>
            </w:pPr>
            <w:r>
              <w:rPr>
                <w:sz w:val="20"/>
                <w:szCs w:val="20"/>
              </w:rPr>
              <w:t>Tropical Forest Restoration</w:t>
            </w:r>
          </w:p>
        </w:tc>
        <w:tc>
          <w:tcPr>
            <w:tcW w:w="1620" w:type="dxa"/>
          </w:tcPr>
          <w:p w14:paraId="4A75C559" w14:textId="77777777" w:rsidR="00F1670B" w:rsidRPr="003D2054" w:rsidRDefault="00F1670B" w:rsidP="008E70A0">
            <w:pPr>
              <w:jc w:val="center"/>
              <w:rPr>
                <w:sz w:val="20"/>
                <w:szCs w:val="20"/>
              </w:rPr>
            </w:pPr>
            <w:r>
              <w:rPr>
                <w:sz w:val="20"/>
                <w:szCs w:val="20"/>
              </w:rPr>
              <w:t>n/a</w:t>
            </w:r>
          </w:p>
        </w:tc>
        <w:tc>
          <w:tcPr>
            <w:tcW w:w="1619" w:type="dxa"/>
          </w:tcPr>
          <w:p w14:paraId="2320CF56" w14:textId="77777777" w:rsidR="00F1670B" w:rsidRPr="003D2054" w:rsidRDefault="00F1670B" w:rsidP="008E70A0">
            <w:pPr>
              <w:jc w:val="center"/>
              <w:rPr>
                <w:sz w:val="20"/>
                <w:szCs w:val="20"/>
              </w:rPr>
            </w:pPr>
            <w:r>
              <w:rPr>
                <w:sz w:val="20"/>
                <w:szCs w:val="20"/>
              </w:rPr>
              <w:t>Relevant</w:t>
            </w:r>
          </w:p>
        </w:tc>
        <w:tc>
          <w:tcPr>
            <w:tcW w:w="1620" w:type="dxa"/>
          </w:tcPr>
          <w:p w14:paraId="3CBECE37" w14:textId="77777777" w:rsidR="00F1670B" w:rsidRPr="003D2054" w:rsidRDefault="00F1670B" w:rsidP="008E70A0">
            <w:pPr>
              <w:jc w:val="center"/>
              <w:rPr>
                <w:sz w:val="20"/>
                <w:szCs w:val="20"/>
              </w:rPr>
            </w:pPr>
            <w:r>
              <w:rPr>
                <w:sz w:val="20"/>
                <w:szCs w:val="20"/>
              </w:rPr>
              <w:t>High</w:t>
            </w:r>
          </w:p>
        </w:tc>
        <w:tc>
          <w:tcPr>
            <w:tcW w:w="1618" w:type="dxa"/>
          </w:tcPr>
          <w:p w14:paraId="7EF9E1C1" w14:textId="77777777" w:rsidR="00F1670B" w:rsidRPr="003D2054" w:rsidRDefault="00F1670B" w:rsidP="008E70A0">
            <w:pPr>
              <w:jc w:val="center"/>
              <w:rPr>
                <w:sz w:val="20"/>
                <w:szCs w:val="20"/>
              </w:rPr>
            </w:pPr>
            <w:r>
              <w:rPr>
                <w:sz w:val="20"/>
                <w:szCs w:val="20"/>
              </w:rPr>
              <w:t>Medium</w:t>
            </w:r>
          </w:p>
        </w:tc>
      </w:tr>
    </w:tbl>
    <w:p w14:paraId="51E4DD2B" w14:textId="77777777" w:rsidR="00381E9F" w:rsidRDefault="00381E9F">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56DEC01" w14:textId="60E1CF91" w:rsidR="00966563" w:rsidRDefault="551A77D0" w:rsidP="0047117A">
      <w:pPr>
        <w:pStyle w:val="Heading1"/>
      </w:pPr>
      <w:bookmarkStart w:id="30" w:name="_Toc25888667"/>
      <w:r>
        <w:lastRenderedPageBreak/>
        <w:t>Methodology</w:t>
      </w:r>
      <w:bookmarkEnd w:id="30"/>
    </w:p>
    <w:p w14:paraId="567926D6" w14:textId="707C0B02" w:rsidR="00BD136D" w:rsidRDefault="00236D28" w:rsidP="00236D28">
      <w:pPr>
        <w:pStyle w:val="Heading2"/>
        <w:numPr>
          <w:ilvl w:val="0"/>
          <w:numId w:val="0"/>
        </w:numPr>
        <w:ind w:left="1080" w:hanging="720"/>
      </w:pPr>
      <w:bookmarkStart w:id="31" w:name="_Toc25888668"/>
      <w:r>
        <w:t xml:space="preserve">2.1 </w:t>
      </w:r>
      <w:r w:rsidR="00686965">
        <w:t>Introduction</w:t>
      </w:r>
      <w:bookmarkEnd w:id="31"/>
    </w:p>
    <w:p w14:paraId="6CCEC8A9" w14:textId="77777777" w:rsidR="00882559" w:rsidRPr="00E35B23" w:rsidRDefault="00882559" w:rsidP="00BF56E5">
      <w:pPr>
        <w:rPr>
          <w:rFonts w:cs="Times New Roman"/>
        </w:rPr>
      </w:pPr>
      <w:r w:rsidRPr="00E35B23">
        <w:rPr>
          <w:rFonts w:cs="Times New Roman"/>
        </w:rPr>
        <w:t>Project Drawdown’s models are developed in Microsoft Excel using standard templates that allow easier integration with each other since integration is critical to the bottom-up approach used.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E35B23">
        <w:rPr>
          <w:rFonts w:cs="Times New Roman"/>
          <w:vertAlign w:val="superscript"/>
        </w:rPr>
        <w:footnoteReference w:id="15"/>
      </w:r>
      <w:r w:rsidRPr="00E35B23">
        <w:rPr>
          <w:rFonts w:cs="Times New Roman"/>
        </w:rPr>
        <w:t xml:space="preserve">) is what constituted the results. </w:t>
      </w:r>
    </w:p>
    <w:p w14:paraId="4DBDB822" w14:textId="77777777" w:rsidR="00882559" w:rsidRPr="00E35B23" w:rsidRDefault="00882559" w:rsidP="00BF56E5">
      <w:pPr>
        <w:rPr>
          <w:rFonts w:cs="Times New Roman"/>
          <w:i/>
          <w:color w:val="000000" w:themeColor="text1"/>
        </w:rPr>
      </w:pPr>
      <w:r w:rsidRPr="00E35B23">
        <w:rPr>
          <w:rFonts w:cs="Times New Roman"/>
          <w:i/>
          <w:color w:val="000000" w:themeColor="text1"/>
        </w:rPr>
        <w:t>Agency Level</w:t>
      </w:r>
    </w:p>
    <w:p w14:paraId="0A5AB220" w14:textId="07A549B5" w:rsidR="00882559" w:rsidRPr="00E35B23" w:rsidRDefault="00882559" w:rsidP="00BF56E5">
      <w:pPr>
        <w:rPr>
          <w:rFonts w:cs="Times New Roman"/>
          <w:color w:val="000000" w:themeColor="text1"/>
        </w:rPr>
      </w:pPr>
      <w:r w:rsidRPr="00E35B23">
        <w:rPr>
          <w:rFonts w:cs="Times New Roman"/>
          <w:color w:val="000000" w:themeColor="text1"/>
        </w:rPr>
        <w:t>The farmer</w:t>
      </w:r>
      <w:r w:rsidR="001B2C08">
        <w:rPr>
          <w:rFonts w:cs="Times New Roman"/>
          <w:color w:val="000000" w:themeColor="text1"/>
        </w:rPr>
        <w:t>s and land use managers are</w:t>
      </w:r>
      <w:r w:rsidRPr="00E35B23">
        <w:rPr>
          <w:rFonts w:cs="Times New Roman"/>
          <w:color w:val="000000" w:themeColor="text1"/>
        </w:rPr>
        <w:t xml:space="preserve"> selected as the agency level for this solution. Though certainly other agents can, do, and should play an important role in this solution, the decision-maker on the ground is the most critical player in implementation. </w:t>
      </w:r>
    </w:p>
    <w:p w14:paraId="298F46AB" w14:textId="6EC243E3" w:rsidR="00F52595" w:rsidRPr="00E35B23" w:rsidRDefault="00236D28" w:rsidP="00236D28">
      <w:pPr>
        <w:pStyle w:val="Heading2"/>
        <w:numPr>
          <w:ilvl w:val="0"/>
          <w:numId w:val="0"/>
        </w:numPr>
        <w:ind w:left="480"/>
      </w:pPr>
      <w:bookmarkStart w:id="32" w:name="_Toc25888669"/>
      <w:proofErr w:type="gramStart"/>
      <w:r>
        <w:t xml:space="preserve">2.2 </w:t>
      </w:r>
      <w:r w:rsidR="00485FB2">
        <w:t xml:space="preserve"> </w:t>
      </w:r>
      <w:r w:rsidR="00686965" w:rsidRPr="00E35B23">
        <w:t>Data</w:t>
      </w:r>
      <w:proofErr w:type="gramEnd"/>
      <w:r w:rsidR="00686965" w:rsidRPr="00E35B23">
        <w:t xml:space="preserve"> Sources</w:t>
      </w:r>
      <w:bookmarkEnd w:id="32"/>
    </w:p>
    <w:p w14:paraId="1D156B45" w14:textId="6B20C15E" w:rsidR="00896DC6" w:rsidRPr="00E35B23" w:rsidRDefault="00896DC6" w:rsidP="00896DC6">
      <w:r w:rsidRPr="00E35B23">
        <w:t xml:space="preserve">The FAO Statistical Service is a key dataset used in this study. </w:t>
      </w:r>
      <w:r w:rsidR="00E35B23" w:rsidRPr="003928A9">
        <w:t>A total of</w:t>
      </w:r>
      <w:r w:rsidR="00932153" w:rsidRPr="003928A9">
        <w:t xml:space="preserve"> </w:t>
      </w:r>
      <w:proofErr w:type="gramStart"/>
      <w:r w:rsidR="00932153" w:rsidRPr="003928A9">
        <w:t>83</w:t>
      </w:r>
      <w:r w:rsidR="00E35B23" w:rsidRPr="003928A9">
        <w:t xml:space="preserve">  peer</w:t>
      </w:r>
      <w:proofErr w:type="gramEnd"/>
      <w:r w:rsidR="00E35B23" w:rsidRPr="003928A9">
        <w:t>-reviewed studies were used in the model.</w:t>
      </w:r>
    </w:p>
    <w:p w14:paraId="3F6B79A0" w14:textId="5170C855" w:rsidR="00DF4904" w:rsidRPr="00E35B23" w:rsidRDefault="00236D28" w:rsidP="00236D28">
      <w:pPr>
        <w:pStyle w:val="Heading2"/>
        <w:numPr>
          <w:ilvl w:val="0"/>
          <w:numId w:val="0"/>
        </w:numPr>
        <w:ind w:left="1080" w:hanging="720"/>
      </w:pPr>
      <w:bookmarkStart w:id="33" w:name="_Toc25888670"/>
      <w:r>
        <w:t>2.3</w:t>
      </w:r>
      <w:r w:rsidR="00485FB2">
        <w:t xml:space="preserve"> </w:t>
      </w:r>
      <w:r w:rsidR="00686965" w:rsidRPr="00E35B23">
        <w:t xml:space="preserve">Total </w:t>
      </w:r>
      <w:r w:rsidR="00882559" w:rsidRPr="00E35B23">
        <w:t>Available Land</w:t>
      </w:r>
      <w:bookmarkEnd w:id="33"/>
    </w:p>
    <w:p w14:paraId="1CA5A2EF" w14:textId="77777777" w:rsidR="00882559" w:rsidRPr="00D57049" w:rsidRDefault="00882559" w:rsidP="00BF56E5">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based on the following factors: thermal climate, moisture regimes, soil quality, slope, cover type, and degradation status. These </w:t>
      </w:r>
      <w:r w:rsidRPr="00D57049">
        <w:rPr>
          <w:rFonts w:eastAsia="Times New Roman" w:cstheme="minorHAnsi"/>
          <w:color w:val="000000" w:themeColor="text1"/>
          <w:shd w:val="clear" w:color="auto" w:fill="FFFFFF"/>
          <w:lang w:eastAsia="zh-CN"/>
        </w:rPr>
        <w:lastRenderedPageBreak/>
        <w:t>characteristics influence the suitability of different practices, and solution adoption scenarios are restricted by one or more of these factors.</w:t>
      </w:r>
    </w:p>
    <w:p w14:paraId="4D4D7CD2" w14:textId="4EFE396C" w:rsidR="00E35B23" w:rsidRPr="00485FB2" w:rsidRDefault="00882559" w:rsidP="00485FB2">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w:t>
      </w:r>
      <w:proofErr w:type="gramStart"/>
      <w:r w:rsidRPr="00D57049">
        <w:rPr>
          <w:rFonts w:eastAsia="Times New Roman" w:cstheme="minorHAnsi"/>
          <w:color w:val="000000" w:themeColor="text1"/>
          <w:lang w:eastAsia="zh-CN"/>
        </w:rPr>
        <w:t>on:</w:t>
      </w:r>
      <w:proofErr w:type="gramEnd"/>
      <w:r w:rsidRPr="00D57049">
        <w:rPr>
          <w:rFonts w:eastAsia="Times New Roman" w:cstheme="minorHAnsi"/>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r w:rsidR="00485FB2">
        <w:rPr>
          <w:rFonts w:eastAsia="Times New Roman" w:cstheme="minorHAnsi"/>
          <w:color w:val="000000" w:themeColor="text1"/>
          <w:lang w:eastAsia="zh-CN"/>
        </w:rPr>
        <w:t xml:space="preserve"> </w:t>
      </w:r>
      <w:r w:rsidR="00E35B23" w:rsidRPr="006931A3">
        <w:rPr>
          <w:rFonts w:cs="Times New Roman"/>
          <w:color w:val="000000" w:themeColor="text1"/>
          <w:shd w:val="clear" w:color="auto" w:fill="FFFFFF"/>
        </w:rPr>
        <w:t xml:space="preserve">Total available land for this solution is </w:t>
      </w:r>
      <w:r w:rsidR="00B97EEE">
        <w:rPr>
          <w:rFonts w:cs="Times New Roman"/>
          <w:color w:val="000000" w:themeColor="text1"/>
          <w:shd w:val="clear" w:color="auto" w:fill="FFFFFF"/>
        </w:rPr>
        <w:t>154</w:t>
      </w:r>
      <w:r w:rsidR="00E35B23" w:rsidRPr="006931A3">
        <w:rPr>
          <w:rFonts w:cs="Times New Roman"/>
          <w:color w:val="000000" w:themeColor="text1"/>
          <w:shd w:val="clear" w:color="auto" w:fill="FFFFFF"/>
        </w:rPr>
        <w:t xml:space="preserve"> million hectares</w:t>
      </w:r>
      <w:r w:rsidR="00E267C8">
        <w:rPr>
          <w:rFonts w:cs="Times New Roman"/>
          <w:color w:val="000000" w:themeColor="text1"/>
          <w:shd w:val="clear" w:color="auto" w:fill="FFFFFF"/>
        </w:rPr>
        <w:t>.</w:t>
      </w:r>
    </w:p>
    <w:p w14:paraId="4303D5C0" w14:textId="5C215BCE" w:rsidR="00B144E5" w:rsidRDefault="00485FB2" w:rsidP="0043499D">
      <w:pPr>
        <w:pStyle w:val="Heading2"/>
        <w:numPr>
          <w:ilvl w:val="1"/>
          <w:numId w:val="9"/>
        </w:numPr>
      </w:pPr>
      <w:r>
        <w:t xml:space="preserve"> </w:t>
      </w:r>
      <w:bookmarkStart w:id="34" w:name="_Toc25888671"/>
      <w:r w:rsidR="00686965">
        <w:t>Adoption Scenarios</w:t>
      </w:r>
      <w:bookmarkEnd w:id="34"/>
    </w:p>
    <w:p w14:paraId="7F9AA39C" w14:textId="7CBF70EC" w:rsidR="00A3451A" w:rsidRDefault="00A3451A" w:rsidP="00BF56E5">
      <w:bookmarkStart w:id="35" w:name="_Hlk525033174"/>
      <w:r w:rsidRPr="00FA2CC3">
        <w:t xml:space="preserve">Two different types of adoption scenarios were developed: </w:t>
      </w:r>
      <w:proofErr w:type="gramStart"/>
      <w:r w:rsidRPr="00FA2CC3">
        <w:t>a</w:t>
      </w:r>
      <w:proofErr w:type="gramEnd"/>
      <w:r w:rsidRPr="00FA2CC3">
        <w:t xml:space="preserve">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BB095A5" w14:textId="73E2EDA3" w:rsidR="000875B5" w:rsidRDefault="000875B5" w:rsidP="00BF56E5">
      <w:pPr>
        <w:pStyle w:val="Heading3"/>
      </w:pPr>
      <w:bookmarkStart w:id="36" w:name="_Toc25888672"/>
      <w:bookmarkEnd w:id="35"/>
      <w:r>
        <w:t>Reference Case / Current Adoption</w:t>
      </w:r>
      <w:r w:rsidR="0047117A">
        <w:rPr>
          <w:rStyle w:val="FootnoteReference"/>
        </w:rPr>
        <w:footnoteReference w:id="16"/>
      </w:r>
      <w:bookmarkEnd w:id="36"/>
    </w:p>
    <w:p w14:paraId="1222F462" w14:textId="37F0C968" w:rsidR="00E94B0F" w:rsidRPr="003959AB" w:rsidRDefault="00F713C6" w:rsidP="00435FF5">
      <w:pPr>
        <w:spacing w:after="0"/>
        <w:jc w:val="left"/>
        <w:rPr>
          <w:rFonts w:eastAsia="Times New Roman" w:cs="Times New Roman"/>
          <w:lang w:eastAsia="zh-CN"/>
        </w:rPr>
      </w:pPr>
      <w:r w:rsidRPr="003959AB">
        <w:rPr>
          <w:rFonts w:eastAsia="Times New Roman" w:cs="Times New Roman"/>
          <w:lang w:eastAsia="zh-CN"/>
        </w:rPr>
        <w:t>C</w:t>
      </w:r>
      <w:r w:rsidR="00565852" w:rsidRPr="003959AB">
        <w:rPr>
          <w:rFonts w:eastAsia="Times New Roman" w:cs="Times New Roman"/>
          <w:lang w:eastAsia="zh-CN"/>
        </w:rPr>
        <w:t xml:space="preserve">urrent adoption </w:t>
      </w:r>
      <w:r w:rsidRPr="003959AB">
        <w:rPr>
          <w:rFonts w:eastAsia="Times New Roman" w:cs="Times New Roman"/>
          <w:lang w:eastAsia="zh-CN"/>
        </w:rPr>
        <w:t>data</w:t>
      </w:r>
      <w:r w:rsidR="00435FF5">
        <w:rPr>
          <w:rFonts w:eastAsia="Times New Roman" w:cs="Times New Roman"/>
          <w:lang w:eastAsia="zh-CN"/>
        </w:rPr>
        <w:t xml:space="preserve"> for perennial energy crops</w:t>
      </w:r>
      <w:r w:rsidRPr="003959AB">
        <w:rPr>
          <w:rFonts w:eastAsia="Times New Roman" w:cs="Times New Roman"/>
          <w:lang w:eastAsia="zh-CN"/>
        </w:rPr>
        <w:t xml:space="preserve"> </w:t>
      </w:r>
      <w:r w:rsidR="00435FF5">
        <w:rPr>
          <w:rFonts w:eastAsia="Times New Roman" w:cs="Times New Roman"/>
          <w:lang w:eastAsia="zh-CN"/>
        </w:rPr>
        <w:t xml:space="preserve">are </w:t>
      </w:r>
      <w:r w:rsidRPr="003959AB">
        <w:rPr>
          <w:rFonts w:eastAsia="Times New Roman" w:cs="Times New Roman"/>
          <w:lang w:eastAsia="zh-CN"/>
        </w:rPr>
        <w:t>available</w:t>
      </w:r>
      <w:r w:rsidR="00CA6504" w:rsidRPr="003959AB">
        <w:rPr>
          <w:rFonts w:eastAsia="Times New Roman" w:cs="Times New Roman"/>
          <w:lang w:eastAsia="zh-CN"/>
        </w:rPr>
        <w:t xml:space="preserve"> for the</w:t>
      </w:r>
      <w:r w:rsidR="003928A9">
        <w:rPr>
          <w:rFonts w:eastAsia="Times New Roman" w:cs="Times New Roman"/>
          <w:lang w:eastAsia="zh-CN"/>
        </w:rPr>
        <w:t xml:space="preserve"> bioenergy statistics of the</w:t>
      </w:r>
      <w:r w:rsidR="00435FF5">
        <w:rPr>
          <w:rFonts w:eastAsia="Times New Roman" w:cs="Times New Roman"/>
          <w:lang w:eastAsia="zh-CN"/>
        </w:rPr>
        <w:t xml:space="preserve"> EU Member States, US</w:t>
      </w:r>
      <w:r w:rsidR="003928A9">
        <w:rPr>
          <w:rFonts w:eastAsia="Times New Roman" w:cs="Times New Roman"/>
          <w:lang w:eastAsia="zh-CN"/>
        </w:rPr>
        <w:t>DA statistics on S</w:t>
      </w:r>
      <w:r w:rsidR="00435FF5">
        <w:rPr>
          <w:rFonts w:eastAsia="Times New Roman" w:cs="Times New Roman"/>
          <w:lang w:eastAsia="zh-CN"/>
        </w:rPr>
        <w:t>RC cultivation</w:t>
      </w:r>
      <w:r w:rsidR="0047117A">
        <w:rPr>
          <w:rFonts w:eastAsia="Times New Roman" w:cs="Times New Roman"/>
          <w:lang w:eastAsia="zh-CN"/>
        </w:rPr>
        <w:t xml:space="preserve"> and estimated as 0.27 million hectares</w:t>
      </w:r>
      <w:r w:rsidR="00435FF5">
        <w:rPr>
          <w:rFonts w:eastAsia="Times New Roman" w:cs="Times New Roman"/>
          <w:lang w:eastAsia="zh-CN"/>
        </w:rPr>
        <w:t xml:space="preserve">. Data are lacking for other world regions. </w:t>
      </w:r>
      <w:r w:rsidR="00CC70DA" w:rsidRPr="003959AB">
        <w:rPr>
          <w:rFonts w:eastAsia="Times New Roman" w:cs="Times New Roman"/>
          <w:lang w:eastAsia="zh-CN"/>
        </w:rPr>
        <w:t xml:space="preserve"> </w:t>
      </w:r>
    </w:p>
    <w:p w14:paraId="6C4B02EE" w14:textId="77777777" w:rsidR="00E94B0F" w:rsidRDefault="00E94B0F" w:rsidP="009A49CF">
      <w:pPr>
        <w:spacing w:after="0"/>
        <w:jc w:val="left"/>
        <w:rPr>
          <w:rFonts w:eastAsia="Times New Roman" w:cs="Times New Roman"/>
          <w:color w:val="FF0000"/>
          <w:lang w:eastAsia="zh-CN"/>
        </w:rPr>
      </w:pPr>
    </w:p>
    <w:p w14:paraId="2FE0BC9D" w14:textId="099C06F1" w:rsidR="000875B5" w:rsidRPr="005767A9" w:rsidRDefault="00D2050B" w:rsidP="00CC70DA">
      <w:pPr>
        <w:spacing w:after="0"/>
        <w:jc w:val="left"/>
        <w:rPr>
          <w:b/>
        </w:rPr>
      </w:pPr>
      <w:r w:rsidRPr="005767A9">
        <w:rPr>
          <w:b/>
        </w:rPr>
        <w:t>Project Drawdown</w:t>
      </w:r>
      <w:r w:rsidR="000875B5" w:rsidRPr="005767A9">
        <w:rPr>
          <w:b/>
        </w:rPr>
        <w:t xml:space="preserve"> Scenarios</w:t>
      </w:r>
    </w:p>
    <w:p w14:paraId="03869B95" w14:textId="4C8A2D63" w:rsidR="00565852" w:rsidRDefault="00565852" w:rsidP="00ED15DA">
      <w:pPr>
        <w:pStyle w:val="Heading4"/>
        <w:ind w:left="0" w:firstLine="0"/>
        <w:jc w:val="left"/>
        <w:rPr>
          <w:rFonts w:ascii="Times New Roman" w:eastAsia="Times New Roman" w:hAnsi="Times New Roman" w:cs="Times New Roman"/>
          <w:b w:val="0"/>
          <w:i w:val="0"/>
          <w:color w:val="000000" w:themeColor="text1"/>
          <w:lang w:eastAsia="zh-CN"/>
        </w:rPr>
      </w:pPr>
      <w:bookmarkStart w:id="37" w:name="_Toc507486009"/>
      <w:r w:rsidRPr="00554C6D">
        <w:rPr>
          <w:rFonts w:ascii="Times New Roman" w:eastAsia="Times New Roman" w:hAnsi="Times New Roman" w:cs="Times New Roman"/>
          <w:b w:val="0"/>
          <w:i w:val="0"/>
          <w:color w:val="000000" w:themeColor="text1"/>
          <w:lang w:eastAsia="zh-CN"/>
        </w:rPr>
        <w:t>Six custom adoption scenarios were developed based on the estimation of average and</w:t>
      </w:r>
      <w:r w:rsidR="00554C6D">
        <w:rPr>
          <w:rFonts w:ascii="Times New Roman" w:eastAsia="Times New Roman" w:hAnsi="Times New Roman" w:cs="Times New Roman"/>
          <w:b w:val="0"/>
          <w:i w:val="0"/>
          <w:color w:val="000000" w:themeColor="text1"/>
          <w:lang w:eastAsia="zh-CN"/>
        </w:rPr>
        <w:t xml:space="preserve"> </w:t>
      </w:r>
      <w:r w:rsidRPr="00554C6D">
        <w:rPr>
          <w:rFonts w:ascii="Times New Roman" w:eastAsia="Times New Roman" w:hAnsi="Times New Roman" w:cs="Times New Roman"/>
          <w:b w:val="0"/>
          <w:i w:val="0"/>
          <w:color w:val="000000" w:themeColor="text1"/>
          <w:lang w:eastAsia="zh-CN"/>
        </w:rPr>
        <w:t>low, medium, a</w:t>
      </w:r>
      <w:r w:rsidR="00B56A4B">
        <w:rPr>
          <w:rFonts w:ascii="Times New Roman" w:eastAsia="Times New Roman" w:hAnsi="Times New Roman" w:cs="Times New Roman"/>
          <w:b w:val="0"/>
          <w:i w:val="0"/>
          <w:color w:val="000000" w:themeColor="text1"/>
          <w:lang w:eastAsia="zh-CN"/>
        </w:rPr>
        <w:t xml:space="preserve">nd </w:t>
      </w:r>
      <w:r w:rsidRPr="00554C6D">
        <w:rPr>
          <w:rFonts w:ascii="Times New Roman" w:eastAsia="Times New Roman" w:hAnsi="Times New Roman" w:cs="Times New Roman"/>
          <w:b w:val="0"/>
          <w:i w:val="0"/>
          <w:color w:val="000000" w:themeColor="text1"/>
          <w:lang w:eastAsia="zh-CN"/>
        </w:rPr>
        <w:t xml:space="preserve">high adoption rates </w:t>
      </w:r>
      <w:r w:rsidR="00B97EEE">
        <w:rPr>
          <w:rFonts w:ascii="Times New Roman" w:eastAsia="Times New Roman" w:hAnsi="Times New Roman" w:cs="Times New Roman"/>
          <w:b w:val="0"/>
          <w:i w:val="0"/>
          <w:color w:val="000000" w:themeColor="text1"/>
          <w:lang w:eastAsia="zh-CN"/>
        </w:rPr>
        <w:t xml:space="preserve">for the </w:t>
      </w:r>
      <w:r w:rsidR="00B56A4B">
        <w:rPr>
          <w:rFonts w:ascii="Times New Roman" w:eastAsia="Times New Roman" w:hAnsi="Times New Roman" w:cs="Times New Roman"/>
          <w:b w:val="0"/>
          <w:i w:val="0"/>
          <w:color w:val="000000" w:themeColor="text1"/>
          <w:lang w:eastAsia="zh-CN"/>
        </w:rPr>
        <w:t xml:space="preserve">future </w:t>
      </w:r>
      <w:r w:rsidR="00B97EEE">
        <w:rPr>
          <w:rFonts w:ascii="Times New Roman" w:eastAsia="Times New Roman" w:hAnsi="Times New Roman" w:cs="Times New Roman"/>
          <w:b w:val="0"/>
          <w:i w:val="0"/>
          <w:color w:val="000000" w:themeColor="text1"/>
          <w:lang w:eastAsia="zh-CN"/>
        </w:rPr>
        <w:t>growth of</w:t>
      </w:r>
      <w:r w:rsidR="00B56A4B">
        <w:rPr>
          <w:rFonts w:ascii="Times New Roman" w:eastAsia="Times New Roman" w:hAnsi="Times New Roman" w:cs="Times New Roman"/>
          <w:b w:val="0"/>
          <w:i w:val="0"/>
          <w:color w:val="000000" w:themeColor="text1"/>
          <w:lang w:eastAsia="zh-CN"/>
        </w:rPr>
        <w:t xml:space="preserve"> perennial biomass cultivation within the EU and US and future potential in China, </w:t>
      </w:r>
      <w:r w:rsidRPr="00554C6D">
        <w:rPr>
          <w:rFonts w:ascii="Times New Roman" w:eastAsia="Times New Roman" w:hAnsi="Times New Roman" w:cs="Times New Roman"/>
          <w:b w:val="0"/>
          <w:i w:val="0"/>
          <w:color w:val="000000" w:themeColor="text1"/>
          <w:lang w:eastAsia="zh-CN"/>
        </w:rPr>
        <w:t>details</w:t>
      </w:r>
      <w:r w:rsidR="00B56A4B">
        <w:rPr>
          <w:rFonts w:ascii="Times New Roman" w:eastAsia="Times New Roman" w:hAnsi="Times New Roman" w:cs="Times New Roman"/>
          <w:b w:val="0"/>
          <w:i w:val="0"/>
          <w:color w:val="000000" w:themeColor="text1"/>
          <w:lang w:eastAsia="zh-CN"/>
        </w:rPr>
        <w:t xml:space="preserve"> on each </w:t>
      </w:r>
      <w:r w:rsidR="00EB26F8">
        <w:rPr>
          <w:rFonts w:ascii="Times New Roman" w:eastAsia="Times New Roman" w:hAnsi="Times New Roman" w:cs="Times New Roman"/>
          <w:b w:val="0"/>
          <w:i w:val="0"/>
          <w:color w:val="000000" w:themeColor="text1"/>
          <w:lang w:eastAsia="zh-CN"/>
        </w:rPr>
        <w:t>scenario</w:t>
      </w:r>
      <w:r w:rsidR="00B56A4B">
        <w:rPr>
          <w:rFonts w:ascii="Times New Roman" w:eastAsia="Times New Roman" w:hAnsi="Times New Roman" w:cs="Times New Roman"/>
          <w:b w:val="0"/>
          <w:i w:val="0"/>
          <w:color w:val="000000" w:themeColor="text1"/>
          <w:lang w:eastAsia="zh-CN"/>
        </w:rPr>
        <w:t xml:space="preserve"> are given below</w:t>
      </w:r>
      <w:r w:rsidRPr="00554C6D">
        <w:rPr>
          <w:rFonts w:ascii="Times New Roman" w:eastAsia="Times New Roman" w:hAnsi="Times New Roman" w:cs="Times New Roman"/>
          <w:b w:val="0"/>
          <w:i w:val="0"/>
          <w:color w:val="000000" w:themeColor="text1"/>
          <w:lang w:eastAsia="zh-CN"/>
        </w:rPr>
        <w:t>.</w:t>
      </w:r>
    </w:p>
    <w:p w14:paraId="29267F7E" w14:textId="77777777" w:rsidR="00ED15DA" w:rsidRPr="00ED15DA" w:rsidRDefault="00ED15DA" w:rsidP="00ED15DA">
      <w:pPr>
        <w:rPr>
          <w:lang w:eastAsia="zh-CN"/>
        </w:rPr>
      </w:pPr>
    </w:p>
    <w:p w14:paraId="5E0B67B0" w14:textId="2268AC69" w:rsidR="00565852" w:rsidRPr="00554C6D" w:rsidRDefault="00565852" w:rsidP="0043499D">
      <w:pPr>
        <w:numPr>
          <w:ilvl w:val="0"/>
          <w:numId w:val="5"/>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 xml:space="preserve">Custom adoption scenario </w:t>
      </w:r>
      <w:r w:rsidR="00ED15DA">
        <w:rPr>
          <w:rFonts w:eastAsia="Times New Roman" w:cs="Times New Roman"/>
          <w:b/>
          <w:bCs/>
          <w:i/>
          <w:iCs/>
          <w:color w:val="000000" w:themeColor="text1"/>
          <w:lang w:eastAsia="zh-CN"/>
        </w:rPr>
        <w:t>one</w:t>
      </w:r>
      <w:r w:rsidRPr="00554C6D">
        <w:rPr>
          <w:rFonts w:eastAsia="Times New Roman" w:cs="Times New Roman"/>
          <w:color w:val="000000" w:themeColor="text1"/>
          <w:lang w:eastAsia="zh-CN"/>
        </w:rPr>
        <w:t xml:space="preserve">: This scenario presents the results based on the </w:t>
      </w:r>
      <w:r w:rsidR="00ED15DA">
        <w:rPr>
          <w:rFonts w:eastAsia="Times New Roman" w:cs="Times New Roman"/>
          <w:color w:val="000000" w:themeColor="text1"/>
          <w:lang w:eastAsia="zh-CN"/>
        </w:rPr>
        <w:t>average</w:t>
      </w:r>
      <w:r w:rsidRPr="00554C6D">
        <w:rPr>
          <w:rFonts w:eastAsia="Times New Roman" w:cs="Times New Roman"/>
          <w:color w:val="000000" w:themeColor="text1"/>
          <w:lang w:eastAsia="zh-CN"/>
        </w:rPr>
        <w:t xml:space="preserve"> adoption rate. Thus, projecting </w:t>
      </w:r>
      <w:r w:rsidR="00ED15DA">
        <w:rPr>
          <w:rFonts w:eastAsia="Times New Roman" w:cs="Times New Roman"/>
          <w:color w:val="000000" w:themeColor="text1"/>
          <w:lang w:eastAsia="zh-CN"/>
        </w:rPr>
        <w:t>50</w:t>
      </w:r>
      <w:r w:rsidR="00EB26F8">
        <w:rPr>
          <w:rFonts w:eastAsia="Times New Roman" w:cs="Times New Roman"/>
          <w:color w:val="000000" w:themeColor="text1"/>
          <w:lang w:eastAsia="zh-CN"/>
        </w:rPr>
        <w:t>%</w:t>
      </w:r>
      <w:r w:rsidR="00EB26F8" w:rsidRPr="00554C6D">
        <w:rPr>
          <w:rFonts w:eastAsia="Times New Roman" w:cs="Times New Roman"/>
          <w:color w:val="000000" w:themeColor="text1"/>
          <w:lang w:eastAsia="zh-CN"/>
        </w:rPr>
        <w:t xml:space="preserve"> </w:t>
      </w:r>
      <w:r w:rsidR="00EB26F8">
        <w:rPr>
          <w:rFonts w:eastAsia="Times New Roman" w:cs="Times New Roman"/>
          <w:color w:val="000000" w:themeColor="text1"/>
          <w:lang w:eastAsia="zh-CN"/>
        </w:rPr>
        <w:t>(</w:t>
      </w:r>
      <w:r w:rsidR="00ED15DA">
        <w:rPr>
          <w:rFonts w:eastAsia="Times New Roman" w:cs="Times New Roman"/>
          <w:color w:val="000000" w:themeColor="text1"/>
          <w:lang w:eastAsia="zh-CN"/>
        </w:rPr>
        <w:t xml:space="preserve">38Mha) </w:t>
      </w:r>
      <w:r w:rsidRPr="00554C6D">
        <w:rPr>
          <w:rFonts w:eastAsia="Times New Roman" w:cs="Times New Roman"/>
          <w:color w:val="000000" w:themeColor="text1"/>
          <w:lang w:eastAsia="zh-CN"/>
        </w:rPr>
        <w:t>adoption of the solution by 2050.</w:t>
      </w:r>
    </w:p>
    <w:p w14:paraId="7695AC7E" w14:textId="1074EC61" w:rsidR="00565852" w:rsidRPr="00554C6D" w:rsidRDefault="00565852" w:rsidP="0043499D">
      <w:pPr>
        <w:numPr>
          <w:ilvl w:val="0"/>
          <w:numId w:val="5"/>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Custom adoption scenario t</w:t>
      </w:r>
      <w:r w:rsidR="00ED15DA">
        <w:rPr>
          <w:rFonts w:eastAsia="Times New Roman" w:cs="Times New Roman"/>
          <w:b/>
          <w:bCs/>
          <w:i/>
          <w:iCs/>
          <w:color w:val="000000" w:themeColor="text1"/>
          <w:lang w:eastAsia="zh-CN"/>
        </w:rPr>
        <w:t>wo</w:t>
      </w:r>
      <w:r w:rsidRPr="00554C6D">
        <w:rPr>
          <w:rFonts w:eastAsia="Times New Roman" w:cs="Times New Roman"/>
          <w:color w:val="000000" w:themeColor="text1"/>
          <w:lang w:eastAsia="zh-CN"/>
        </w:rPr>
        <w:t xml:space="preserve">: This scenario presents the results based on the average of the </w:t>
      </w:r>
      <w:r w:rsidR="00EB26F8" w:rsidRPr="00554C6D">
        <w:rPr>
          <w:rFonts w:eastAsia="Times New Roman" w:cs="Times New Roman"/>
          <w:color w:val="000000" w:themeColor="text1"/>
          <w:lang w:eastAsia="zh-CN"/>
        </w:rPr>
        <w:t>“</w:t>
      </w:r>
      <w:r w:rsidR="00EB26F8">
        <w:rPr>
          <w:rFonts w:eastAsia="Times New Roman" w:cs="Times New Roman"/>
          <w:color w:val="000000" w:themeColor="text1"/>
          <w:lang w:eastAsia="zh-CN"/>
        </w:rPr>
        <w:t>high</w:t>
      </w:r>
      <w:r w:rsidRPr="00554C6D">
        <w:rPr>
          <w:rFonts w:eastAsia="Times New Roman" w:cs="Times New Roman"/>
          <w:color w:val="000000" w:themeColor="text1"/>
          <w:lang w:eastAsia="zh-CN"/>
        </w:rPr>
        <w:t xml:space="preserve"> adoption” growth rate. Thus, projecting </w:t>
      </w:r>
      <w:r w:rsidR="00ED15DA">
        <w:rPr>
          <w:rFonts w:eastAsia="Times New Roman" w:cs="Times New Roman"/>
          <w:color w:val="000000" w:themeColor="text1"/>
          <w:lang w:eastAsia="zh-CN"/>
        </w:rPr>
        <w:t>100</w:t>
      </w:r>
      <w:r w:rsidR="00EB26F8">
        <w:rPr>
          <w:rFonts w:eastAsia="Times New Roman" w:cs="Times New Roman"/>
          <w:color w:val="000000" w:themeColor="text1"/>
          <w:lang w:eastAsia="zh-CN"/>
        </w:rPr>
        <w:t>%</w:t>
      </w:r>
      <w:r w:rsidR="00EB26F8" w:rsidRPr="00554C6D">
        <w:rPr>
          <w:rFonts w:eastAsia="Times New Roman" w:cs="Times New Roman"/>
          <w:color w:val="000000" w:themeColor="text1"/>
          <w:lang w:eastAsia="zh-CN"/>
        </w:rPr>
        <w:t xml:space="preserve"> adoption</w:t>
      </w:r>
      <w:r w:rsidRPr="00554C6D">
        <w:rPr>
          <w:rFonts w:eastAsia="Times New Roman" w:cs="Times New Roman"/>
          <w:color w:val="000000" w:themeColor="text1"/>
          <w:lang w:eastAsia="zh-CN"/>
        </w:rPr>
        <w:t xml:space="preserve"> of the solution by 2050.</w:t>
      </w:r>
    </w:p>
    <w:p w14:paraId="67074AA4" w14:textId="3E78C77D" w:rsidR="00565852" w:rsidRPr="00554C6D" w:rsidRDefault="00565852" w:rsidP="0043499D">
      <w:pPr>
        <w:numPr>
          <w:ilvl w:val="0"/>
          <w:numId w:val="5"/>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lastRenderedPageBreak/>
        <w:t xml:space="preserve">Custom adoption scenario </w:t>
      </w:r>
      <w:r w:rsidR="00ED15DA">
        <w:rPr>
          <w:rFonts w:eastAsia="Times New Roman" w:cs="Times New Roman"/>
          <w:b/>
          <w:bCs/>
          <w:i/>
          <w:iCs/>
          <w:color w:val="000000" w:themeColor="text1"/>
          <w:lang w:eastAsia="zh-CN"/>
        </w:rPr>
        <w:t>three</w:t>
      </w:r>
      <w:r w:rsidRPr="00554C6D">
        <w:rPr>
          <w:rFonts w:eastAsia="Times New Roman" w:cs="Times New Roman"/>
          <w:color w:val="000000" w:themeColor="text1"/>
          <w:lang w:eastAsia="zh-CN"/>
        </w:rPr>
        <w:t xml:space="preserve">: This is scenario </w:t>
      </w:r>
      <w:r w:rsidR="00ED15DA">
        <w:rPr>
          <w:rFonts w:eastAsia="Times New Roman" w:cs="Times New Roman"/>
          <w:color w:val="000000" w:themeColor="text1"/>
          <w:lang w:eastAsia="zh-CN"/>
        </w:rPr>
        <w:t>assume that bioenergy crops will be cultivated on 85% of allocated land by 2050</w:t>
      </w:r>
      <w:r w:rsidRPr="00554C6D">
        <w:rPr>
          <w:rFonts w:eastAsia="Times New Roman" w:cs="Times New Roman"/>
          <w:color w:val="000000" w:themeColor="text1"/>
          <w:lang w:eastAsia="zh-CN"/>
        </w:rPr>
        <w:t>.</w:t>
      </w:r>
    </w:p>
    <w:p w14:paraId="1DC772F0" w14:textId="7D45AAAF" w:rsidR="00565852" w:rsidRPr="00554C6D" w:rsidRDefault="00565852" w:rsidP="0043499D">
      <w:pPr>
        <w:numPr>
          <w:ilvl w:val="0"/>
          <w:numId w:val="5"/>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Custom adoption scenario f</w:t>
      </w:r>
      <w:r w:rsidR="00ED15DA">
        <w:rPr>
          <w:rFonts w:eastAsia="Times New Roman" w:cs="Times New Roman"/>
          <w:b/>
          <w:bCs/>
          <w:i/>
          <w:iCs/>
          <w:color w:val="000000" w:themeColor="text1"/>
          <w:lang w:eastAsia="zh-CN"/>
        </w:rPr>
        <w:t>our</w:t>
      </w:r>
      <w:r w:rsidRPr="00554C6D">
        <w:rPr>
          <w:rFonts w:eastAsia="Times New Roman" w:cs="Times New Roman"/>
          <w:color w:val="000000" w:themeColor="text1"/>
          <w:lang w:eastAsia="zh-CN"/>
        </w:rPr>
        <w:t xml:space="preserve">: This is scenario </w:t>
      </w:r>
      <w:r w:rsidR="00440C0B">
        <w:rPr>
          <w:rFonts w:eastAsia="Times New Roman" w:cs="Times New Roman"/>
          <w:color w:val="000000" w:themeColor="text1"/>
          <w:lang w:eastAsia="zh-CN"/>
        </w:rPr>
        <w:t>1</w:t>
      </w:r>
      <w:r w:rsidRPr="00554C6D">
        <w:rPr>
          <w:rFonts w:eastAsia="Times New Roman" w:cs="Times New Roman"/>
          <w:color w:val="000000" w:themeColor="text1"/>
          <w:lang w:eastAsia="zh-CN"/>
        </w:rPr>
        <w:t>, assuming 7</w:t>
      </w:r>
      <w:r w:rsidR="00440C0B">
        <w:rPr>
          <w:rFonts w:eastAsia="Times New Roman" w:cs="Times New Roman"/>
          <w:color w:val="000000" w:themeColor="text1"/>
          <w:lang w:eastAsia="zh-CN"/>
        </w:rPr>
        <w:t>0</w:t>
      </w:r>
      <w:r w:rsidRPr="00554C6D">
        <w:rPr>
          <w:rFonts w:eastAsia="Times New Roman" w:cs="Times New Roman"/>
          <w:color w:val="000000" w:themeColor="text1"/>
          <w:lang w:eastAsia="zh-CN"/>
        </w:rPr>
        <w:t xml:space="preserve"> percent adoption of the will be achieved by 2030.</w:t>
      </w:r>
    </w:p>
    <w:p w14:paraId="0791103F" w14:textId="06E0BCD2" w:rsidR="00565852" w:rsidRPr="00554C6D" w:rsidRDefault="00565852" w:rsidP="0043499D">
      <w:pPr>
        <w:numPr>
          <w:ilvl w:val="0"/>
          <w:numId w:val="5"/>
        </w:numPr>
        <w:shd w:val="clear" w:color="auto" w:fill="FFFFFF"/>
        <w:spacing w:after="18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 xml:space="preserve">Custom adoption scenario </w:t>
      </w:r>
      <w:r w:rsidR="00ED15DA">
        <w:rPr>
          <w:rFonts w:eastAsia="Times New Roman" w:cs="Times New Roman"/>
          <w:b/>
          <w:bCs/>
          <w:i/>
          <w:iCs/>
          <w:color w:val="000000" w:themeColor="text1"/>
          <w:lang w:eastAsia="zh-CN"/>
        </w:rPr>
        <w:t>five</w:t>
      </w:r>
      <w:r w:rsidRPr="00554C6D">
        <w:rPr>
          <w:rFonts w:eastAsia="Times New Roman" w:cs="Times New Roman"/>
          <w:color w:val="000000" w:themeColor="text1"/>
          <w:lang w:eastAsia="zh-CN"/>
        </w:rPr>
        <w:t>: This is</w:t>
      </w:r>
      <w:r w:rsidR="007171B9">
        <w:rPr>
          <w:rFonts w:eastAsia="Times New Roman" w:cs="Times New Roman"/>
          <w:color w:val="000000" w:themeColor="text1"/>
          <w:lang w:eastAsia="zh-CN"/>
        </w:rPr>
        <w:t xml:space="preserve"> scenario 3, assuming 70% adoption will be achieved by 2030.</w:t>
      </w:r>
    </w:p>
    <w:p w14:paraId="7119BD78" w14:textId="0D8C323C" w:rsidR="00565852" w:rsidRPr="00554C6D" w:rsidRDefault="00565852" w:rsidP="00554C6D">
      <w:pPr>
        <w:shd w:val="clear" w:color="auto" w:fill="FFFFFF"/>
        <w:spacing w:after="180"/>
        <w:jc w:val="left"/>
        <w:rPr>
          <w:rFonts w:eastAsia="Times New Roman" w:cs="Times New Roman"/>
          <w:color w:val="000000" w:themeColor="text1"/>
          <w:lang w:eastAsia="zh-CN"/>
        </w:rPr>
      </w:pPr>
      <w:r w:rsidRPr="00554C6D">
        <w:rPr>
          <w:rFonts w:eastAsia="Times New Roman" w:cs="Times New Roman"/>
          <w:color w:val="000000" w:themeColor="text1"/>
          <w:lang w:eastAsia="zh-CN"/>
        </w:rPr>
        <w:t>Impacts of increased adoption of </w:t>
      </w:r>
      <w:r w:rsidR="00B97EEE">
        <w:rPr>
          <w:rFonts w:eastAsia="Times New Roman" w:cs="Times New Roman"/>
          <w:i/>
          <w:iCs/>
          <w:color w:val="000000" w:themeColor="text1"/>
          <w:lang w:eastAsia="zh-CN"/>
        </w:rPr>
        <w:t xml:space="preserve">perennial biomass </w:t>
      </w:r>
      <w:r w:rsidRPr="00554C6D">
        <w:rPr>
          <w:rFonts w:eastAsia="Times New Roman" w:cs="Times New Roman"/>
          <w:color w:val="000000" w:themeColor="text1"/>
          <w:lang w:eastAsia="zh-CN"/>
        </w:rPr>
        <w:t>from 2020-2050 were generated based on three growth scenarios, which were assessed in comparison to</w:t>
      </w:r>
      <w:r w:rsidR="00554C6D" w:rsidRPr="00554C6D">
        <w:rPr>
          <w:rFonts w:eastAsia="Times New Roman" w:cs="Times New Roman"/>
          <w:color w:val="000000" w:themeColor="text1"/>
          <w:lang w:eastAsia="zh-CN"/>
        </w:rPr>
        <w:t xml:space="preserve"> </w:t>
      </w:r>
      <w:r w:rsidRPr="00554C6D">
        <w:rPr>
          <w:rFonts w:eastAsia="Times New Roman" w:cs="Times New Roman"/>
          <w:color w:val="000000" w:themeColor="text1"/>
          <w:lang w:eastAsia="zh-CN"/>
        </w:rPr>
        <w:t>a </w:t>
      </w:r>
      <w:r w:rsidRPr="00554C6D">
        <w:rPr>
          <w:rFonts w:eastAsia="Times New Roman" w:cs="Times New Roman"/>
          <w:i/>
          <w:iCs/>
          <w:color w:val="000000" w:themeColor="text1"/>
          <w:lang w:eastAsia="zh-CN"/>
        </w:rPr>
        <w:t>Reference </w:t>
      </w:r>
      <w:r w:rsidRPr="00554C6D">
        <w:rPr>
          <w:rFonts w:eastAsia="Times New Roman" w:cs="Times New Roman"/>
          <w:color w:val="000000" w:themeColor="text1"/>
          <w:lang w:eastAsia="zh-CN"/>
        </w:rPr>
        <w:t>Scenario where the solution’s market share was fixed at the current levels.</w:t>
      </w:r>
    </w:p>
    <w:p w14:paraId="07D866B7" w14:textId="494CF47A" w:rsidR="00A3451A" w:rsidRPr="007171B9" w:rsidRDefault="00AC493E" w:rsidP="00BF56E5">
      <w:pPr>
        <w:pStyle w:val="Heading4"/>
        <w:ind w:firstLine="0"/>
        <w:rPr>
          <w:b w:val="0"/>
          <w:i w:val="0"/>
          <w:color w:val="auto"/>
        </w:rPr>
      </w:pPr>
      <w:r w:rsidRPr="004B4939">
        <w:t>Plausible Scenario</w:t>
      </w:r>
      <w:bookmarkEnd w:id="37"/>
      <w:r w:rsidR="00FB2C53">
        <w:t xml:space="preserve"> </w:t>
      </w:r>
      <w:r w:rsidR="00786443">
        <w:t xml:space="preserve">- </w:t>
      </w:r>
      <w:r w:rsidR="00B97EEE" w:rsidRPr="00B97EEE">
        <w:rPr>
          <w:rFonts w:ascii="Times" w:hAnsi="Times" w:cs="Times"/>
          <w:b w:val="0"/>
          <w:i w:val="0"/>
          <w:color w:val="auto"/>
        </w:rPr>
        <w:t>A conservative approach is adopted for the plausible scenario, and future growth of the solution is estimated based on the “average of all” custom adoption scenarios as listed above.</w:t>
      </w:r>
    </w:p>
    <w:p w14:paraId="3BBC3BC0" w14:textId="57069377" w:rsidR="002C7A78" w:rsidRPr="007171B9" w:rsidRDefault="00AC493E" w:rsidP="002C7A78">
      <w:pPr>
        <w:pStyle w:val="Heading4"/>
        <w:ind w:firstLine="0"/>
        <w:rPr>
          <w:b w:val="0"/>
          <w:i w:val="0"/>
          <w:color w:val="auto"/>
        </w:rPr>
      </w:pPr>
      <w:bookmarkStart w:id="38" w:name="_Toc507486010"/>
      <w:r w:rsidRPr="004B4939">
        <w:t>Drawdown Scenario</w:t>
      </w:r>
      <w:bookmarkEnd w:id="38"/>
      <w:r w:rsidR="00FB2C53">
        <w:t xml:space="preserve"> </w:t>
      </w:r>
      <w:r w:rsidR="00A3451A">
        <w:t>–</w:t>
      </w:r>
      <w:r w:rsidR="00786443">
        <w:rPr>
          <w:b w:val="0"/>
          <w:i w:val="0"/>
        </w:rPr>
        <w:t xml:space="preserve"> </w:t>
      </w:r>
      <w:r w:rsidR="002C7A78" w:rsidRPr="00B97EEE">
        <w:rPr>
          <w:rFonts w:ascii="Times" w:hAnsi="Times" w:cs="Times"/>
          <w:b w:val="0"/>
          <w:i w:val="0"/>
          <w:color w:val="auto"/>
        </w:rPr>
        <w:t>A</w:t>
      </w:r>
      <w:r w:rsidR="002C7A78">
        <w:rPr>
          <w:rFonts w:ascii="Times" w:hAnsi="Times" w:cs="Times"/>
          <w:b w:val="0"/>
          <w:i w:val="0"/>
          <w:color w:val="auto"/>
        </w:rPr>
        <w:t>n ambitious</w:t>
      </w:r>
      <w:r w:rsidR="002C7A78" w:rsidRPr="00B97EEE">
        <w:rPr>
          <w:rFonts w:ascii="Times" w:hAnsi="Times" w:cs="Times"/>
          <w:b w:val="0"/>
          <w:i w:val="0"/>
          <w:color w:val="auto"/>
        </w:rPr>
        <w:t xml:space="preserve"> approach is adopted for the plausible scenario, and future growth of the solution is estimated based on the “</w:t>
      </w:r>
      <w:r w:rsidR="002C7A78">
        <w:rPr>
          <w:rFonts w:ascii="Times" w:hAnsi="Times" w:cs="Times"/>
          <w:b w:val="0"/>
          <w:i w:val="0"/>
          <w:color w:val="auto"/>
        </w:rPr>
        <w:t>high</w:t>
      </w:r>
      <w:r w:rsidR="002C7A78" w:rsidRPr="00B97EEE">
        <w:rPr>
          <w:rFonts w:ascii="Times" w:hAnsi="Times" w:cs="Times"/>
          <w:b w:val="0"/>
          <w:i w:val="0"/>
          <w:color w:val="auto"/>
        </w:rPr>
        <w:t xml:space="preserve"> of all” custom adoption scenarios as listed above.</w:t>
      </w:r>
    </w:p>
    <w:p w14:paraId="73045A07" w14:textId="61597897" w:rsidR="00A3451A" w:rsidRPr="00786443" w:rsidRDefault="00AC493E" w:rsidP="00BF56E5">
      <w:pPr>
        <w:pStyle w:val="Heading4"/>
        <w:ind w:firstLine="0"/>
        <w:rPr>
          <w:b w:val="0"/>
          <w:i w:val="0"/>
        </w:rPr>
      </w:pPr>
      <w:bookmarkStart w:id="39" w:name="_Toc507486011"/>
      <w:r w:rsidRPr="004B4939">
        <w:t>Optimum Scenario</w:t>
      </w:r>
      <w:bookmarkEnd w:id="39"/>
      <w:r w:rsidR="00FB2C53">
        <w:t xml:space="preserve"> </w:t>
      </w:r>
      <w:r w:rsidR="00EE630D">
        <w:t xml:space="preserve">– </w:t>
      </w:r>
      <w:r w:rsidR="002C7A78">
        <w:rPr>
          <w:b w:val="0"/>
          <w:i w:val="0"/>
          <w:color w:val="auto"/>
        </w:rPr>
        <w:t xml:space="preserve">Maximum growth is projected for the optimum </w:t>
      </w:r>
      <w:r w:rsidR="002C7A78" w:rsidRPr="00786443">
        <w:rPr>
          <w:rFonts w:ascii="Times" w:hAnsi="Times" w:cs="Times"/>
          <w:b w:val="0"/>
          <w:i w:val="0"/>
          <w:color w:val="auto"/>
        </w:rPr>
        <w:t>scenario</w:t>
      </w:r>
      <w:r w:rsidR="002C7A78">
        <w:rPr>
          <w:rFonts w:ascii="Times" w:hAnsi="Times" w:cs="Times"/>
          <w:b w:val="0"/>
          <w:i w:val="0"/>
          <w:color w:val="auto"/>
        </w:rPr>
        <w:t>, and future growth of the solution is estimated based on “custom adoption scenario 3”, as stated above that as</w:t>
      </w:r>
      <w:r w:rsidR="002C7A78" w:rsidRPr="00786443">
        <w:rPr>
          <w:rFonts w:ascii="Times" w:hAnsi="Times" w:cs="Times"/>
          <w:b w:val="0"/>
          <w:i w:val="0"/>
          <w:color w:val="auto"/>
        </w:rPr>
        <w:t xml:space="preserve">sume, </w:t>
      </w:r>
      <w:r w:rsidR="002C7A78">
        <w:rPr>
          <w:rFonts w:ascii="Times" w:hAnsi="Times" w:cs="Times"/>
          <w:b w:val="0"/>
          <w:i w:val="0"/>
          <w:color w:val="auto"/>
        </w:rPr>
        <w:t>100</w:t>
      </w:r>
      <w:r w:rsidR="002C7A78" w:rsidRPr="00786443">
        <w:rPr>
          <w:rFonts w:ascii="Times" w:hAnsi="Times" w:cs="Times"/>
          <w:b w:val="0"/>
          <w:i w:val="0"/>
          <w:color w:val="auto"/>
        </w:rPr>
        <w:t>% adoption of the solution by 2050</w:t>
      </w:r>
    </w:p>
    <w:p w14:paraId="5B61B0F2" w14:textId="1FA99C41" w:rsidR="00FB2C53" w:rsidRPr="00FB2C53" w:rsidRDefault="00EB26F8" w:rsidP="0043499D">
      <w:pPr>
        <w:pStyle w:val="Heading2"/>
        <w:numPr>
          <w:ilvl w:val="1"/>
          <w:numId w:val="9"/>
        </w:numPr>
      </w:pPr>
      <w:r>
        <w:t xml:space="preserve"> </w:t>
      </w:r>
      <w:bookmarkStart w:id="40" w:name="_Toc25888673"/>
      <w:r w:rsidR="00686965">
        <w:t>Inputs</w:t>
      </w:r>
      <w:bookmarkEnd w:id="40"/>
    </w:p>
    <w:p w14:paraId="3EBCEF57" w14:textId="02C335B0" w:rsidR="00FB3AB3" w:rsidRDefault="00686965" w:rsidP="00BF56E5">
      <w:pPr>
        <w:pStyle w:val="Heading3"/>
      </w:pPr>
      <w:bookmarkStart w:id="41" w:name="_Toc25888674"/>
      <w:r>
        <w:t>Climate Inputs</w:t>
      </w:r>
      <w:bookmarkEnd w:id="41"/>
    </w:p>
    <w:p w14:paraId="183BA70F" w14:textId="6F61D960" w:rsidR="00565852" w:rsidRDefault="00565852" w:rsidP="00BF56E5">
      <w:pPr>
        <w:pStyle w:val="NormalWeb"/>
        <w:shd w:val="clear" w:color="auto" w:fill="FFFFFF"/>
        <w:spacing w:before="0" w:beforeAutospacing="0" w:after="180" w:afterAutospacing="0"/>
        <w:rPr>
          <w:color w:val="000000" w:themeColor="text1"/>
          <w:sz w:val="22"/>
          <w:szCs w:val="22"/>
        </w:rPr>
      </w:pPr>
      <w:r w:rsidRPr="00BF16C1">
        <w:rPr>
          <w:color w:val="000000" w:themeColor="text1"/>
          <w:sz w:val="22"/>
          <w:szCs w:val="22"/>
        </w:rPr>
        <w:t xml:space="preserve">Sequestration rates are set at </w:t>
      </w:r>
      <w:r w:rsidR="00EE630D">
        <w:rPr>
          <w:color w:val="000000" w:themeColor="text1"/>
          <w:sz w:val="22"/>
          <w:szCs w:val="22"/>
        </w:rPr>
        <w:t>1.09</w:t>
      </w:r>
      <w:r w:rsidRPr="00BF16C1">
        <w:rPr>
          <w:color w:val="000000" w:themeColor="text1"/>
          <w:sz w:val="22"/>
          <w:szCs w:val="22"/>
        </w:rPr>
        <w:t xml:space="preserve"> tons of carbon per hectare per year, based on 2</w:t>
      </w:r>
      <w:r w:rsidR="001D54A2">
        <w:rPr>
          <w:color w:val="000000" w:themeColor="text1"/>
          <w:sz w:val="22"/>
          <w:szCs w:val="22"/>
        </w:rPr>
        <w:t>4</w:t>
      </w:r>
      <w:r w:rsidRPr="00BF16C1">
        <w:rPr>
          <w:color w:val="000000" w:themeColor="text1"/>
          <w:sz w:val="22"/>
          <w:szCs w:val="22"/>
        </w:rPr>
        <w:t xml:space="preserve"> data points from </w:t>
      </w:r>
      <w:r w:rsidR="00EE630D">
        <w:rPr>
          <w:color w:val="000000" w:themeColor="text1"/>
          <w:sz w:val="22"/>
          <w:szCs w:val="22"/>
        </w:rPr>
        <w:t>9</w:t>
      </w:r>
      <w:r w:rsidRPr="00BF16C1">
        <w:rPr>
          <w:color w:val="000000" w:themeColor="text1"/>
          <w:sz w:val="22"/>
          <w:szCs w:val="22"/>
        </w:rPr>
        <w:t xml:space="preserve"> sources.</w:t>
      </w:r>
      <w:r w:rsidR="00EE630D">
        <w:rPr>
          <w:color w:val="000000" w:themeColor="text1"/>
          <w:sz w:val="22"/>
          <w:szCs w:val="22"/>
        </w:rPr>
        <w:t xml:space="preserve"> We also collected data for nitrous oxide emissions from the fertilizer application and carbon dioxide emissions from on farm operations. These parameters are not considered in the final calculation, because they </w:t>
      </w:r>
      <w:r w:rsidR="00795470">
        <w:rPr>
          <w:color w:val="000000" w:themeColor="text1"/>
          <w:sz w:val="22"/>
          <w:szCs w:val="22"/>
        </w:rPr>
        <w:t>represent avoided emissions as compared to annual crop systems. Only one study Yang et al., 2018 compare nitrous oxide emissions and carbon dioxide emissions on degraded land only.</w:t>
      </w:r>
    </w:p>
    <w:p w14:paraId="106E6812" w14:textId="7AE108B0" w:rsidR="00B257CA" w:rsidRDefault="00B257CA" w:rsidP="00B257CA">
      <w:pPr>
        <w:pStyle w:val="Caption"/>
        <w:keepNext/>
        <w:jc w:val="center"/>
      </w:pPr>
      <w:bookmarkStart w:id="42" w:name="_Toc18444709"/>
      <w:r>
        <w:lastRenderedPageBreak/>
        <w:t xml:space="preserve">Table </w:t>
      </w:r>
      <w:r w:rsidR="00CE1040">
        <w:fldChar w:fldCharType="begin"/>
      </w:r>
      <w:r w:rsidR="00CE1040">
        <w:instrText xml:space="preserve"> STYLEREF 1 \s </w:instrText>
      </w:r>
      <w:r w:rsidR="00CE1040">
        <w:fldChar w:fldCharType="separate"/>
      </w:r>
      <w:r w:rsidR="00872721">
        <w:rPr>
          <w:noProof/>
        </w:rPr>
        <w:t>2</w:t>
      </w:r>
      <w:r w:rsidR="00CE1040">
        <w:rPr>
          <w:noProof/>
        </w:rPr>
        <w:fldChar w:fldCharType="end"/>
      </w:r>
      <w:r w:rsidR="0047117A">
        <w:t>.</w:t>
      </w:r>
      <w:r w:rsidR="00CE1040">
        <w:fldChar w:fldCharType="begin"/>
      </w:r>
      <w:r w:rsidR="00CE1040">
        <w:instrText xml:space="preserve"> SEQ Table \* ARABIC \s 1 </w:instrText>
      </w:r>
      <w:r w:rsidR="00CE1040">
        <w:fldChar w:fldCharType="separate"/>
      </w:r>
      <w:r w:rsidR="00872721">
        <w:rPr>
          <w:noProof/>
        </w:rPr>
        <w:t>1</w:t>
      </w:r>
      <w:r w:rsidR="00CE1040">
        <w:rPr>
          <w:noProof/>
        </w:rPr>
        <w:fldChar w:fldCharType="end"/>
      </w:r>
      <w:r>
        <w:t xml:space="preserve">: </w:t>
      </w:r>
      <w:r w:rsidRPr="00E06EEF">
        <w:t>Climate Inputs</w:t>
      </w:r>
      <w:bookmarkEnd w:id="42"/>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BF56E5">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BF56E5">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BF56E5">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BF56E5">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BF56E5">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BF56E5">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795470" w:rsidRPr="00FA5114" w14:paraId="51A24F17" w14:textId="77777777" w:rsidTr="003922A1">
        <w:trPr>
          <w:trHeight w:val="508"/>
        </w:trPr>
        <w:tc>
          <w:tcPr>
            <w:tcW w:w="2076" w:type="dxa"/>
            <w:vAlign w:val="center"/>
          </w:tcPr>
          <w:p w14:paraId="7BFC34F7" w14:textId="6A9113F9" w:rsidR="00795470" w:rsidRPr="00D134E3" w:rsidRDefault="00795470" w:rsidP="00BF56E5">
            <w:pPr>
              <w:spacing w:after="180"/>
              <w:jc w:val="center"/>
            </w:pPr>
            <w:r>
              <w:t>Carbon dioxide</w:t>
            </w:r>
            <w:r w:rsidR="001D54A2">
              <w:t xml:space="preserve"> – eq </w:t>
            </w:r>
            <w:r>
              <w:t>emissions</w:t>
            </w:r>
          </w:p>
        </w:tc>
        <w:tc>
          <w:tcPr>
            <w:tcW w:w="1427" w:type="dxa"/>
            <w:shd w:val="clear" w:color="auto" w:fill="auto"/>
            <w:vAlign w:val="center"/>
          </w:tcPr>
          <w:p w14:paraId="1588D5F4" w14:textId="1F755A3C" w:rsidR="00795470" w:rsidRDefault="00795470" w:rsidP="00BF56E5">
            <w:pPr>
              <w:spacing w:after="180"/>
              <w:jc w:val="center"/>
              <w:rPr>
                <w:rFonts w:eastAsia="Helvetica,Times New Roman" w:cstheme="minorHAnsi"/>
                <w:i/>
                <w:sz w:val="20"/>
                <w:szCs w:val="20"/>
              </w:rPr>
            </w:pPr>
            <w:r>
              <w:rPr>
                <w:rFonts w:eastAsia="Helvetica,Times New Roman" w:cstheme="minorHAnsi"/>
                <w:i/>
                <w:sz w:val="20"/>
                <w:szCs w:val="20"/>
              </w:rPr>
              <w:t>t/CO2/ha/</w:t>
            </w:r>
            <w:proofErr w:type="spellStart"/>
            <w:r>
              <w:rPr>
                <w:rFonts w:eastAsia="Helvetica,Times New Roman" w:cstheme="minorHAnsi"/>
                <w:i/>
                <w:sz w:val="20"/>
                <w:szCs w:val="20"/>
              </w:rPr>
              <w:t>yr</w:t>
            </w:r>
            <w:proofErr w:type="spellEnd"/>
          </w:p>
        </w:tc>
        <w:tc>
          <w:tcPr>
            <w:tcW w:w="1486" w:type="dxa"/>
            <w:vAlign w:val="center"/>
          </w:tcPr>
          <w:p w14:paraId="3D84AC9C" w14:textId="52415B68" w:rsidR="00795470" w:rsidRDefault="001D54A2" w:rsidP="001D54A2">
            <w:pPr>
              <w:spacing w:after="180"/>
              <w:jc w:val="center"/>
              <w:rPr>
                <w:rFonts w:eastAsia="Helvetica,Times New Roman" w:cstheme="minorHAnsi"/>
                <w:color w:val="000000" w:themeColor="text1"/>
                <w:sz w:val="20"/>
                <w:szCs w:val="20"/>
              </w:rPr>
            </w:pPr>
            <w:r w:rsidRPr="001D54A2">
              <w:rPr>
                <w:rFonts w:eastAsia="Helvetica,Times New Roman" w:cstheme="minorHAnsi"/>
                <w:color w:val="000000" w:themeColor="text1"/>
                <w:sz w:val="20"/>
                <w:szCs w:val="20"/>
              </w:rPr>
              <w:t>-2.14</w:t>
            </w:r>
            <w:r>
              <w:rPr>
                <w:rFonts w:eastAsia="Helvetica,Times New Roman" w:cstheme="minorHAnsi"/>
                <w:color w:val="000000" w:themeColor="text1"/>
                <w:sz w:val="20"/>
                <w:szCs w:val="20"/>
              </w:rPr>
              <w:t xml:space="preserve"> - </w:t>
            </w:r>
            <w:r w:rsidRPr="001D54A2">
              <w:rPr>
                <w:rFonts w:eastAsia="Helvetica,Times New Roman" w:cstheme="minorHAnsi"/>
                <w:color w:val="000000" w:themeColor="text1"/>
                <w:sz w:val="20"/>
                <w:szCs w:val="20"/>
              </w:rPr>
              <w:t>0.98</w:t>
            </w:r>
          </w:p>
        </w:tc>
        <w:tc>
          <w:tcPr>
            <w:tcW w:w="1467" w:type="dxa"/>
            <w:vAlign w:val="center"/>
          </w:tcPr>
          <w:p w14:paraId="25DEB4A4" w14:textId="25C270B4" w:rsidR="00795470" w:rsidRPr="003959AB" w:rsidRDefault="001D54A2" w:rsidP="00BF56E5">
            <w:pPr>
              <w:spacing w:after="180"/>
              <w:jc w:val="center"/>
              <w:rPr>
                <w:rFonts w:eastAsia="Helvetica,Times New Roman" w:cstheme="minorHAnsi"/>
                <w:sz w:val="20"/>
                <w:szCs w:val="20"/>
              </w:rPr>
            </w:pPr>
            <w:r>
              <w:rPr>
                <w:rFonts w:eastAsia="Helvetica,Times New Roman" w:cstheme="minorHAnsi"/>
                <w:sz w:val="20"/>
                <w:szCs w:val="20"/>
              </w:rPr>
              <w:t>-0.57</w:t>
            </w:r>
          </w:p>
        </w:tc>
        <w:tc>
          <w:tcPr>
            <w:tcW w:w="1366" w:type="dxa"/>
            <w:vAlign w:val="center"/>
          </w:tcPr>
          <w:p w14:paraId="6BC4B47E" w14:textId="2108E4D6" w:rsidR="00795470" w:rsidRPr="003959AB" w:rsidRDefault="00795470" w:rsidP="00795470">
            <w:pPr>
              <w:spacing w:after="180"/>
              <w:jc w:val="center"/>
              <w:rPr>
                <w:rFonts w:eastAsia="Helvetica,Times New Roman" w:cstheme="minorHAnsi"/>
                <w:sz w:val="20"/>
                <w:szCs w:val="20"/>
              </w:rPr>
            </w:pPr>
            <w:r>
              <w:rPr>
                <w:rFonts w:eastAsia="Helvetica,Times New Roman" w:cstheme="minorHAnsi"/>
                <w:sz w:val="20"/>
                <w:szCs w:val="20"/>
              </w:rPr>
              <w:t>1</w:t>
            </w:r>
            <w:r w:rsidR="001D54A2">
              <w:rPr>
                <w:rFonts w:eastAsia="Helvetica,Times New Roman" w:cstheme="minorHAnsi"/>
                <w:sz w:val="20"/>
                <w:szCs w:val="20"/>
              </w:rPr>
              <w:t>4</w:t>
            </w:r>
          </w:p>
        </w:tc>
        <w:tc>
          <w:tcPr>
            <w:tcW w:w="1528" w:type="dxa"/>
            <w:vAlign w:val="center"/>
          </w:tcPr>
          <w:p w14:paraId="744D3976" w14:textId="3EBFEA2B" w:rsidR="00795470" w:rsidRPr="003959AB" w:rsidRDefault="001D54A2" w:rsidP="00BF56E5">
            <w:pPr>
              <w:spacing w:after="180"/>
              <w:jc w:val="center"/>
              <w:rPr>
                <w:rFonts w:eastAsia="Helvetica,Times New Roman" w:cstheme="minorHAnsi"/>
                <w:sz w:val="20"/>
                <w:szCs w:val="20"/>
              </w:rPr>
            </w:pPr>
            <w:r>
              <w:rPr>
                <w:rFonts w:eastAsia="Helvetica,Times New Roman" w:cstheme="minorHAnsi"/>
                <w:sz w:val="20"/>
                <w:szCs w:val="20"/>
              </w:rPr>
              <w:t>6</w:t>
            </w:r>
          </w:p>
        </w:tc>
      </w:tr>
      <w:tr w:rsidR="003922A1" w:rsidRPr="00FA5114" w14:paraId="2A24A00A" w14:textId="77777777" w:rsidTr="003922A1">
        <w:trPr>
          <w:trHeight w:val="508"/>
        </w:trPr>
        <w:tc>
          <w:tcPr>
            <w:tcW w:w="2076" w:type="dxa"/>
            <w:vAlign w:val="center"/>
          </w:tcPr>
          <w:p w14:paraId="4F2A39BC" w14:textId="22B2FF46" w:rsidR="003922A1" w:rsidRPr="00D134E3" w:rsidRDefault="00E03A15" w:rsidP="00BF56E5">
            <w:pPr>
              <w:spacing w:after="180"/>
              <w:jc w:val="center"/>
              <w:rPr>
                <w:rFonts w:eastAsia="Helvetica,Times New Roman" w:cstheme="minorHAnsi"/>
                <w:color w:val="000000" w:themeColor="text1"/>
                <w:sz w:val="20"/>
                <w:szCs w:val="20"/>
              </w:rPr>
            </w:pPr>
            <w:proofErr w:type="spellStart"/>
            <w:r w:rsidRPr="00D134E3">
              <w:t>Biosequestration</w:t>
            </w:r>
            <w:proofErr w:type="spellEnd"/>
          </w:p>
        </w:tc>
        <w:tc>
          <w:tcPr>
            <w:tcW w:w="1427" w:type="dxa"/>
            <w:shd w:val="clear" w:color="auto" w:fill="auto"/>
            <w:vAlign w:val="center"/>
          </w:tcPr>
          <w:p w14:paraId="48D37B75" w14:textId="6A6579B7" w:rsidR="003922A1" w:rsidRPr="003922A1" w:rsidRDefault="00AE72D4" w:rsidP="00BF56E5">
            <w:pPr>
              <w:spacing w:after="180"/>
              <w:jc w:val="center"/>
              <w:rPr>
                <w:rFonts w:eastAsia="Helvetica,Times New Roman" w:cstheme="minorHAnsi"/>
                <w:i/>
                <w:sz w:val="20"/>
                <w:szCs w:val="20"/>
              </w:rPr>
            </w:pPr>
            <w:proofErr w:type="spellStart"/>
            <w:r w:rsidRPr="00D134E3">
              <w:rPr>
                <w:rFonts w:eastAsia="Helvetica,Times New Roman" w:cstheme="minorHAnsi"/>
                <w:i/>
                <w:sz w:val="20"/>
                <w:szCs w:val="20"/>
              </w:rPr>
              <w:t>tC</w:t>
            </w:r>
            <w:proofErr w:type="spellEnd"/>
            <w:r w:rsidRPr="00D134E3">
              <w:rPr>
                <w:rFonts w:eastAsia="Helvetica,Times New Roman" w:cstheme="minorHAnsi"/>
                <w:i/>
                <w:sz w:val="20"/>
                <w:szCs w:val="20"/>
              </w:rPr>
              <w:t>/ha/</w:t>
            </w:r>
            <w:proofErr w:type="spellStart"/>
            <w:r w:rsidRPr="00D134E3">
              <w:rPr>
                <w:rFonts w:eastAsia="Helvetica,Times New Roman" w:cstheme="minorHAnsi"/>
                <w:i/>
                <w:sz w:val="20"/>
                <w:szCs w:val="20"/>
              </w:rPr>
              <w:t>yr</w:t>
            </w:r>
            <w:proofErr w:type="spellEnd"/>
          </w:p>
        </w:tc>
        <w:tc>
          <w:tcPr>
            <w:tcW w:w="1486" w:type="dxa"/>
            <w:vAlign w:val="center"/>
          </w:tcPr>
          <w:p w14:paraId="21F5B106" w14:textId="305C7C39" w:rsidR="003922A1" w:rsidRPr="00FA5114" w:rsidRDefault="0079547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1D54A2">
              <w:rPr>
                <w:rFonts w:eastAsia="Helvetica,Times New Roman" w:cstheme="minorHAnsi"/>
                <w:color w:val="000000" w:themeColor="text1"/>
                <w:sz w:val="20"/>
                <w:szCs w:val="20"/>
              </w:rPr>
              <w:t xml:space="preserve">.18 </w:t>
            </w:r>
            <w:r>
              <w:rPr>
                <w:rFonts w:eastAsia="Helvetica,Times New Roman" w:cstheme="minorHAnsi"/>
                <w:color w:val="000000" w:themeColor="text1"/>
                <w:sz w:val="20"/>
                <w:szCs w:val="20"/>
              </w:rPr>
              <w:t>-</w:t>
            </w:r>
            <w:r w:rsidR="0009248B">
              <w:rPr>
                <w:rFonts w:eastAsia="Helvetica,Times New Roman" w:cstheme="minorHAnsi"/>
                <w:color w:val="000000" w:themeColor="text1"/>
                <w:sz w:val="20"/>
                <w:szCs w:val="20"/>
              </w:rPr>
              <w:t xml:space="preserve"> </w:t>
            </w:r>
            <w:r>
              <w:rPr>
                <w:rFonts w:eastAsia="Helvetica,Times New Roman" w:cstheme="minorHAnsi"/>
                <w:color w:val="000000" w:themeColor="text1"/>
                <w:sz w:val="20"/>
                <w:szCs w:val="20"/>
              </w:rPr>
              <w:t>1.</w:t>
            </w:r>
            <w:r w:rsidR="001D54A2">
              <w:rPr>
                <w:rFonts w:eastAsia="Helvetica,Times New Roman" w:cstheme="minorHAnsi"/>
                <w:color w:val="000000" w:themeColor="text1"/>
                <w:sz w:val="20"/>
                <w:szCs w:val="20"/>
              </w:rPr>
              <w:t>99</w:t>
            </w:r>
          </w:p>
        </w:tc>
        <w:tc>
          <w:tcPr>
            <w:tcW w:w="1467" w:type="dxa"/>
            <w:vAlign w:val="center"/>
          </w:tcPr>
          <w:p w14:paraId="11E87B1E" w14:textId="38C3A69D" w:rsidR="003922A1"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1.</w:t>
            </w:r>
            <w:r w:rsidR="00795470">
              <w:rPr>
                <w:rFonts w:eastAsia="Helvetica,Times New Roman" w:cstheme="minorHAnsi"/>
                <w:sz w:val="20"/>
                <w:szCs w:val="20"/>
              </w:rPr>
              <w:t>0</w:t>
            </w:r>
            <w:r w:rsidR="001D54A2">
              <w:rPr>
                <w:rFonts w:eastAsia="Helvetica,Times New Roman" w:cstheme="minorHAnsi"/>
                <w:sz w:val="20"/>
                <w:szCs w:val="20"/>
              </w:rPr>
              <w:t>9</w:t>
            </w:r>
          </w:p>
        </w:tc>
        <w:tc>
          <w:tcPr>
            <w:tcW w:w="1366" w:type="dxa"/>
            <w:vAlign w:val="center"/>
          </w:tcPr>
          <w:p w14:paraId="1EC7EFEA" w14:textId="37809F33" w:rsidR="003922A1" w:rsidRPr="003959AB" w:rsidRDefault="00D134E3" w:rsidP="00795470">
            <w:pPr>
              <w:spacing w:after="180"/>
              <w:jc w:val="center"/>
              <w:rPr>
                <w:rFonts w:eastAsia="Helvetica,Times New Roman" w:cstheme="minorHAnsi"/>
                <w:sz w:val="20"/>
                <w:szCs w:val="20"/>
              </w:rPr>
            </w:pPr>
            <w:r w:rsidRPr="003959AB">
              <w:rPr>
                <w:rFonts w:eastAsia="Helvetica,Times New Roman" w:cstheme="minorHAnsi"/>
                <w:sz w:val="20"/>
                <w:szCs w:val="20"/>
              </w:rPr>
              <w:t>2</w:t>
            </w:r>
            <w:r w:rsidR="001D54A2">
              <w:rPr>
                <w:rFonts w:eastAsia="Helvetica,Times New Roman" w:cstheme="minorHAnsi"/>
                <w:sz w:val="20"/>
                <w:szCs w:val="20"/>
              </w:rPr>
              <w:t>4</w:t>
            </w:r>
          </w:p>
        </w:tc>
        <w:tc>
          <w:tcPr>
            <w:tcW w:w="1528" w:type="dxa"/>
            <w:vAlign w:val="center"/>
          </w:tcPr>
          <w:p w14:paraId="774B9874" w14:textId="177EAB5F" w:rsidR="003922A1" w:rsidRPr="003959AB" w:rsidRDefault="00795470" w:rsidP="00BF56E5">
            <w:pPr>
              <w:spacing w:after="180"/>
              <w:jc w:val="center"/>
              <w:rPr>
                <w:rFonts w:eastAsia="Helvetica,Times New Roman" w:cstheme="minorHAnsi"/>
                <w:sz w:val="20"/>
                <w:szCs w:val="20"/>
              </w:rPr>
            </w:pPr>
            <w:r>
              <w:rPr>
                <w:rFonts w:eastAsia="Helvetica,Times New Roman" w:cstheme="minorHAnsi"/>
                <w:sz w:val="20"/>
                <w:szCs w:val="20"/>
              </w:rPr>
              <w:t>9</w:t>
            </w:r>
          </w:p>
        </w:tc>
      </w:tr>
    </w:tbl>
    <w:p w14:paraId="44CA1A82" w14:textId="321FC07E" w:rsidR="005C6EC2" w:rsidRDefault="003922A1" w:rsidP="00BF56E5">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17"/>
      </w:r>
      <w:r w:rsidR="00AB783D" w:rsidRPr="00DF0D64">
        <w:t>.</w:t>
      </w:r>
    </w:p>
    <w:p w14:paraId="0065035C" w14:textId="77777777" w:rsidR="00795470" w:rsidRDefault="00795470" w:rsidP="00BF56E5">
      <w:pPr>
        <w:shd w:val="clear" w:color="auto" w:fill="FFFFFF"/>
        <w:spacing w:after="135"/>
        <w:rPr>
          <w:rFonts w:eastAsia="Times New Roman" w:cs="Times New Roman"/>
          <w:i/>
          <w:iCs/>
          <w:color w:val="000000" w:themeColor="text1"/>
          <w:lang w:eastAsia="zh-CN"/>
        </w:rPr>
      </w:pPr>
    </w:p>
    <w:p w14:paraId="336F11FF" w14:textId="7181173A"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BF56E5">
      <w:pPr>
        <w:shd w:val="clear" w:color="auto" w:fill="FFFFFF"/>
        <w:spacing w:after="135"/>
        <w:rPr>
          <w:rFonts w:eastAsia="Times New Roman" w:cs="Times New Roman"/>
          <w:color w:val="000000" w:themeColor="text1"/>
          <w:lang w:eastAsia="zh-CN"/>
        </w:rPr>
      </w:pP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does not have limitless potential. In most cases, there is a maximum amount of carbon that can be stored in soils and aboveground perennial biomass before they become saturated. </w:t>
      </w: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continues after saturation but is offset by </w:t>
      </w:r>
      <w:proofErr w:type="gramStart"/>
      <w:r w:rsidRPr="00F44C6D">
        <w:rPr>
          <w:rFonts w:eastAsia="Times New Roman" w:cs="Times New Roman"/>
          <w:color w:val="000000" w:themeColor="text1"/>
          <w:lang w:eastAsia="zh-CN"/>
        </w:rPr>
        <w:t>more or less equal</w:t>
      </w:r>
      <w:proofErr w:type="gramEnd"/>
      <w:r w:rsidRPr="00F44C6D">
        <w:rPr>
          <w:rFonts w:eastAsia="Times New Roman" w:cs="Times New Roman"/>
          <w:color w:val="000000" w:themeColor="text1"/>
          <w:lang w:eastAsia="zh-CN"/>
        </w:rPr>
        <w:t xml:space="preserve">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proofErr w:type="spellStart"/>
      <w:r w:rsidRPr="00F44C6D">
        <w:rPr>
          <w:rFonts w:eastAsia="Times New Roman" w:cs="Times New Roman"/>
          <w:color w:val="000000" w:themeColor="text1"/>
          <w:lang w:eastAsia="zh-CN"/>
        </w:rPr>
        <w:t>multistrata</w:t>
      </w:r>
      <w:proofErr w:type="spellEnd"/>
      <w:r w:rsidRPr="00F44C6D">
        <w:rPr>
          <w:rFonts w:eastAsia="Times New Roman" w:cs="Times New Roman"/>
          <w:color w:val="000000" w:themeColor="text1"/>
          <w:lang w:eastAsia="zh-CN"/>
        </w:rPr>
        <w:t xml:space="preserve"> agroforestry) have already achieved </w:t>
      </w:r>
      <w:proofErr w:type="gramStart"/>
      <w:r w:rsidRPr="00F44C6D">
        <w:rPr>
          <w:rFonts w:eastAsia="Times New Roman" w:cs="Times New Roman"/>
          <w:color w:val="000000" w:themeColor="text1"/>
          <w:lang w:eastAsia="zh-CN"/>
        </w:rPr>
        <w:t>saturation, and</w:t>
      </w:r>
      <w:proofErr w:type="gramEnd"/>
      <w:r w:rsidRPr="00F44C6D">
        <w:rPr>
          <w:rFonts w:eastAsia="Times New Roman" w:cs="Times New Roman"/>
          <w:color w:val="000000" w:themeColor="text1"/>
          <w:lang w:eastAsia="zh-CN"/>
        </w:rPr>
        <w:t xml:space="preserve"> will not be contributing additional sequestration. New adopted land is assumed to sequester for at least 30 years before achieving saturation.</w:t>
      </w:r>
    </w:p>
    <w:p w14:paraId="44CA4B36" w14:textId="74B87245"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4A1F1C3C" w:rsidR="00F52595" w:rsidRDefault="00686965" w:rsidP="00BF56E5">
      <w:pPr>
        <w:pStyle w:val="Heading3"/>
      </w:pPr>
      <w:bookmarkStart w:id="43" w:name="_Toc25888675"/>
      <w:r>
        <w:lastRenderedPageBreak/>
        <w:t>Financial Inputs</w:t>
      </w:r>
      <w:bookmarkEnd w:id="43"/>
    </w:p>
    <w:p w14:paraId="091BE7AD" w14:textId="1DB02458" w:rsidR="0047117A" w:rsidRPr="007F49A0" w:rsidRDefault="0047117A" w:rsidP="0047117A">
      <w:pPr>
        <w:rPr>
          <w:rFonts w:ascii="Times" w:eastAsia="Helvetica Neue" w:hAnsi="Times" w:cs="Helvetica Neue"/>
          <w:color w:val="000000" w:themeColor="text1"/>
        </w:rPr>
      </w:pPr>
      <w:bookmarkStart w:id="44" w:name="_Hlk5788551"/>
      <w:r w:rsidRPr="007F49A0">
        <w:t xml:space="preserve">The present solution is allocated on degraded land area (grassland). Project Drawdown’s model assumes marginal conventional use of this degraded land areas, principally for grazing. In the absence of </w:t>
      </w:r>
      <w:proofErr w:type="gramStart"/>
      <w:r w:rsidRPr="007F49A0">
        <w:t>sufficient</w:t>
      </w:r>
      <w:proofErr w:type="gramEnd"/>
      <w:r w:rsidRPr="007F49A0">
        <w:t xml:space="preserve"> financial data sources documenting the implementation of grazing practices on degraded land, Drawdown’s </w:t>
      </w:r>
      <w:r>
        <w:rPr>
          <w:i/>
        </w:rPr>
        <w:t>perennial biomass</w:t>
      </w:r>
      <w:r w:rsidRPr="007F49A0">
        <w:rPr>
          <w:i/>
        </w:rPr>
        <w:t xml:space="preserve"> </w:t>
      </w:r>
      <w:r w:rsidRPr="007F49A0">
        <w:t xml:space="preserve">model uses conventional grazing data as a basis for comparison. </w:t>
      </w:r>
      <w:r w:rsidRPr="007F49A0">
        <w:rPr>
          <w:rFonts w:ascii="Times" w:eastAsia="Helvetica Neue" w:hAnsi="Times" w:cs="Helvetica Neue"/>
          <w:color w:val="000000" w:themeColor="text1"/>
        </w:rPr>
        <w:t xml:space="preserve">However, in order to model decreased productivity on degraded land, financial variables for conventional grazing are weighted value based on the proportion of total global grassland area (3514 </w:t>
      </w:r>
      <w:proofErr w:type="spellStart"/>
      <w:r w:rsidRPr="007F49A0">
        <w:rPr>
          <w:rFonts w:ascii="Times" w:eastAsia="Helvetica Neue" w:hAnsi="Times" w:cs="Helvetica Neue"/>
          <w:color w:val="000000" w:themeColor="text1"/>
        </w:rPr>
        <w:t>Mha</w:t>
      </w:r>
      <w:proofErr w:type="spellEnd"/>
      <w:r w:rsidRPr="007F49A0">
        <w:rPr>
          <w:rFonts w:ascii="Times" w:eastAsia="Helvetica Neue" w:hAnsi="Times" w:cs="Helvetica Neue"/>
          <w:color w:val="000000" w:themeColor="text1"/>
        </w:rPr>
        <w:t>) that is already degraded (</w:t>
      </w:r>
      <w:r>
        <w:rPr>
          <w:rFonts w:ascii="Times" w:eastAsia="Helvetica Neue" w:hAnsi="Times" w:cs="Helvetica Neue"/>
          <w:color w:val="000000" w:themeColor="text1"/>
        </w:rPr>
        <w:t>772</w:t>
      </w:r>
      <w:r w:rsidRPr="007F49A0">
        <w:rPr>
          <w:rFonts w:ascii="Times" w:eastAsia="Helvetica Neue" w:hAnsi="Times" w:cs="Helvetica Neue"/>
          <w:color w:val="000000" w:themeColor="text1"/>
        </w:rPr>
        <w:t xml:space="preserve"> </w:t>
      </w:r>
      <w:proofErr w:type="spellStart"/>
      <w:r w:rsidRPr="007F49A0">
        <w:rPr>
          <w:rFonts w:ascii="Times" w:eastAsia="Helvetica Neue" w:hAnsi="Times" w:cs="Helvetica Neue"/>
          <w:color w:val="000000" w:themeColor="text1"/>
        </w:rPr>
        <w:t>Mha</w:t>
      </w:r>
      <w:proofErr w:type="spellEnd"/>
      <w:r w:rsidRPr="007F49A0">
        <w:rPr>
          <w:rFonts w:ascii="Times" w:eastAsia="Helvetica Neue" w:hAnsi="Times" w:cs="Helvetica Neue"/>
          <w:color w:val="000000" w:themeColor="text1"/>
        </w:rPr>
        <w:t xml:space="preserve">), i.e. </w:t>
      </w:r>
      <w:r>
        <w:rPr>
          <w:rFonts w:ascii="Times" w:eastAsia="Helvetica Neue" w:hAnsi="Times" w:cs="Helvetica Neue"/>
          <w:color w:val="000000" w:themeColor="text1"/>
        </w:rPr>
        <w:t>21.97</w:t>
      </w:r>
      <w:r w:rsidRPr="007F49A0">
        <w:rPr>
          <w:rFonts w:ascii="Times" w:eastAsia="Helvetica Neue" w:hAnsi="Times" w:cs="Helvetica Neue"/>
          <w:color w:val="000000" w:themeColor="text1"/>
        </w:rPr>
        <w:t>%. This calculation is based on Project Drawdown's AEZ values.</w:t>
      </w:r>
    </w:p>
    <w:bookmarkEnd w:id="44"/>
    <w:p w14:paraId="093420B2" w14:textId="48DC1EAA" w:rsidR="00565852" w:rsidRDefault="00565852" w:rsidP="00BF56E5">
      <w:pPr>
        <w:spacing w:after="0"/>
        <w:jc w:val="left"/>
        <w:rPr>
          <w:rFonts w:eastAsia="Times New Roman" w:cs="Times New Roman"/>
          <w:color w:val="000000" w:themeColor="text1"/>
          <w:shd w:val="clear" w:color="auto" w:fill="FFFFFF"/>
          <w:lang w:eastAsia="zh-CN"/>
        </w:rPr>
      </w:pPr>
      <w:r w:rsidRPr="009B45D0">
        <w:rPr>
          <w:rFonts w:eastAsia="Times New Roman" w:cs="Times New Roman"/>
          <w:color w:val="000000" w:themeColor="text1"/>
          <w:shd w:val="clear" w:color="auto" w:fill="FFFFFF"/>
          <w:lang w:eastAsia="zh-CN"/>
        </w:rPr>
        <w:t>First costs of </w:t>
      </w:r>
      <w:r w:rsidR="008F5DE3">
        <w:rPr>
          <w:rFonts w:eastAsia="Times New Roman" w:cs="Times New Roman"/>
          <w:i/>
          <w:iCs/>
          <w:color w:val="000000" w:themeColor="text1"/>
          <w:shd w:val="clear" w:color="auto" w:fill="FFFFFF"/>
          <w:lang w:eastAsia="zh-CN"/>
        </w:rPr>
        <w:t>perennial energy cultivation is</w:t>
      </w:r>
      <w:r w:rsidRPr="009B45D0">
        <w:rPr>
          <w:rFonts w:eastAsia="Times New Roman" w:cs="Times New Roman"/>
          <w:i/>
          <w:iCs/>
          <w:color w:val="000000" w:themeColor="text1"/>
          <w:shd w:val="clear" w:color="auto" w:fill="FFFFFF"/>
          <w:lang w:eastAsia="zh-CN"/>
        </w:rPr>
        <w:t> </w:t>
      </w:r>
      <w:r w:rsidR="008F5DE3">
        <w:rPr>
          <w:rFonts w:eastAsia="Times New Roman" w:cs="Times New Roman"/>
          <w:color w:val="000000" w:themeColor="text1"/>
          <w:shd w:val="clear" w:color="auto" w:fill="FFFFFF"/>
          <w:lang w:eastAsia="zh-CN"/>
        </w:rPr>
        <w:t>estimated to be</w:t>
      </w:r>
      <w:r w:rsidRPr="009B45D0">
        <w:rPr>
          <w:rFonts w:eastAsia="Times New Roman" w:cs="Times New Roman"/>
          <w:color w:val="000000" w:themeColor="text1"/>
          <w:shd w:val="clear" w:color="auto" w:fill="FFFFFF"/>
          <w:lang w:eastAsia="zh-CN"/>
        </w:rPr>
        <w:t xml:space="preserve"> US$</w:t>
      </w:r>
      <w:r w:rsidR="008F5DE3">
        <w:rPr>
          <w:rFonts w:eastAsia="Times New Roman" w:cs="Times New Roman"/>
          <w:color w:val="000000" w:themeColor="text1"/>
          <w:shd w:val="clear" w:color="auto" w:fill="FFFFFF"/>
          <w:lang w:eastAsia="zh-CN"/>
        </w:rPr>
        <w:t>1294</w:t>
      </w:r>
      <w:r w:rsidRPr="009B45D0">
        <w:rPr>
          <w:rFonts w:eastAsia="Times New Roman" w:cs="Times New Roman"/>
          <w:color w:val="000000" w:themeColor="text1"/>
          <w:shd w:val="clear" w:color="auto" w:fill="FFFFFF"/>
          <w:lang w:eastAsia="zh-CN"/>
        </w:rPr>
        <w:t xml:space="preserve"> per hectare, as the</w:t>
      </w:r>
      <w:r w:rsidR="008F5DE3">
        <w:rPr>
          <w:rFonts w:eastAsia="Times New Roman" w:cs="Times New Roman"/>
          <w:color w:val="000000" w:themeColor="text1"/>
          <w:shd w:val="clear" w:color="auto" w:fill="FFFFFF"/>
          <w:lang w:eastAsia="zh-CN"/>
        </w:rPr>
        <w:t xml:space="preserve"> cultivation in the first year</w:t>
      </w:r>
      <w:r w:rsidRPr="009B45D0">
        <w:rPr>
          <w:rFonts w:eastAsia="Times New Roman" w:cs="Times New Roman"/>
          <w:color w:val="000000" w:themeColor="text1"/>
          <w:shd w:val="clear" w:color="auto" w:fill="FFFFFF"/>
          <w:lang w:eastAsia="zh-CN"/>
        </w:rPr>
        <w:t xml:space="preserve"> use</w:t>
      </w:r>
      <w:r w:rsidR="008F5DE3">
        <w:rPr>
          <w:rFonts w:eastAsia="Times New Roman" w:cs="Times New Roman"/>
          <w:color w:val="000000" w:themeColor="text1"/>
          <w:shd w:val="clear" w:color="auto" w:fill="FFFFFF"/>
          <w:lang w:eastAsia="zh-CN"/>
        </w:rPr>
        <w:t xml:space="preserve"> an</w:t>
      </w:r>
      <w:r w:rsidRPr="009B45D0">
        <w:rPr>
          <w:rFonts w:eastAsia="Times New Roman" w:cs="Times New Roman"/>
          <w:color w:val="000000" w:themeColor="text1"/>
          <w:shd w:val="clear" w:color="auto" w:fill="FFFFFF"/>
          <w:lang w:eastAsia="zh-CN"/>
        </w:rPr>
        <w:t xml:space="preserve"> equipment</w:t>
      </w:r>
      <w:r w:rsidR="008F5DE3">
        <w:rPr>
          <w:rFonts w:eastAsia="Times New Roman" w:cs="Times New Roman"/>
          <w:color w:val="000000" w:themeColor="text1"/>
          <w:shd w:val="clear" w:color="auto" w:fill="FFFFFF"/>
          <w:lang w:eastAsia="zh-CN"/>
        </w:rPr>
        <w:t xml:space="preserve"> (fertilizers, seeds,)</w:t>
      </w:r>
      <w:r w:rsidRPr="009B45D0">
        <w:rPr>
          <w:rFonts w:eastAsia="Times New Roman" w:cs="Times New Roman"/>
          <w:color w:val="000000" w:themeColor="text1"/>
          <w:shd w:val="clear" w:color="auto" w:fill="FFFFFF"/>
          <w:lang w:eastAsia="zh-CN"/>
        </w:rPr>
        <w:t xml:space="preserve"> and infrastructure</w:t>
      </w:r>
      <w:r w:rsidR="008F5DE3">
        <w:rPr>
          <w:rFonts w:eastAsia="Times New Roman" w:cs="Times New Roman"/>
          <w:color w:val="000000" w:themeColor="text1"/>
          <w:shd w:val="clear" w:color="auto" w:fill="FFFFFF"/>
          <w:lang w:eastAsia="zh-CN"/>
        </w:rPr>
        <w:t xml:space="preserve"> (machinery, fuels) and labor</w:t>
      </w:r>
      <w:r w:rsidRPr="009B45D0">
        <w:rPr>
          <w:rFonts w:eastAsia="Times New Roman" w:cs="Times New Roman"/>
          <w:color w:val="000000" w:themeColor="text1"/>
          <w:shd w:val="clear" w:color="auto" w:fill="FFFFFF"/>
          <w:lang w:eastAsia="zh-CN"/>
        </w:rPr>
        <w:t>.</w:t>
      </w:r>
      <w:r w:rsidRPr="009B45D0">
        <w:rPr>
          <w:rFonts w:eastAsia="Times New Roman" w:cs="Times New Roman"/>
          <w:color w:val="000000" w:themeColor="text1"/>
          <w:shd w:val="clear" w:color="auto" w:fill="FFFFFF"/>
          <w:vertAlign w:val="superscript"/>
          <w:lang w:eastAsia="zh-CN"/>
        </w:rPr>
        <w:t>2</w:t>
      </w:r>
      <w:r w:rsidRPr="009B45D0">
        <w:rPr>
          <w:rFonts w:eastAsia="Times New Roman" w:cs="Times New Roman"/>
          <w:color w:val="000000" w:themeColor="text1"/>
          <w:shd w:val="clear" w:color="auto" w:fill="FFFFFF"/>
          <w:lang w:eastAsia="zh-CN"/>
        </w:rPr>
        <w:t xml:space="preserve"> For all </w:t>
      </w:r>
      <w:r w:rsidR="008F5DE3">
        <w:rPr>
          <w:rFonts w:eastAsia="Times New Roman" w:cs="Times New Roman"/>
          <w:color w:val="000000" w:themeColor="text1"/>
          <w:shd w:val="clear" w:color="auto" w:fill="FFFFFF"/>
          <w:lang w:eastAsia="zh-CN"/>
        </w:rPr>
        <w:t xml:space="preserve">conventional </w:t>
      </w:r>
      <w:r w:rsidRPr="009B45D0">
        <w:rPr>
          <w:rFonts w:eastAsia="Times New Roman" w:cs="Times New Roman"/>
          <w:color w:val="000000" w:themeColor="text1"/>
          <w:shd w:val="clear" w:color="auto" w:fill="FFFFFF"/>
          <w:lang w:eastAsia="zh-CN"/>
        </w:rPr>
        <w:t>agricultural solutions, it is assumed that there is no conventional first cost, as agriculture is already in place on the land.</w:t>
      </w:r>
      <w:r w:rsidR="0075167F">
        <w:rPr>
          <w:rFonts w:eastAsia="Times New Roman" w:cs="Times New Roman"/>
          <w:color w:val="000000" w:themeColor="text1"/>
          <w:shd w:val="clear" w:color="auto" w:fill="FFFFFF"/>
          <w:lang w:eastAsia="zh-CN"/>
        </w:rPr>
        <w:t xml:space="preserve"> </w:t>
      </w:r>
      <w:r w:rsidR="008F5DE3" w:rsidRPr="0075167F">
        <w:rPr>
          <w:rFonts w:eastAsia="Times New Roman" w:cs="Times New Roman"/>
          <w:i/>
          <w:color w:val="000000" w:themeColor="text1"/>
          <w:shd w:val="clear" w:color="auto" w:fill="FFFFFF"/>
          <w:lang w:eastAsia="zh-CN"/>
        </w:rPr>
        <w:t>Operating cost</w:t>
      </w:r>
      <w:r w:rsidR="008F5DE3">
        <w:rPr>
          <w:rFonts w:eastAsia="Times New Roman" w:cs="Times New Roman"/>
          <w:color w:val="000000" w:themeColor="text1"/>
          <w:shd w:val="clear" w:color="auto" w:fill="FFFFFF"/>
          <w:lang w:eastAsia="zh-CN"/>
        </w:rPr>
        <w:t xml:space="preserve"> of the solutions is estimated to be US$599 per hectare</w:t>
      </w:r>
      <w:r w:rsidR="0075167F">
        <w:rPr>
          <w:rFonts w:eastAsia="Times New Roman" w:cs="Times New Roman"/>
          <w:color w:val="000000" w:themeColor="text1"/>
          <w:shd w:val="clear" w:color="auto" w:fill="FFFFFF"/>
          <w:lang w:eastAsia="zh-CN"/>
        </w:rPr>
        <w:t xml:space="preserve">. </w:t>
      </w:r>
      <w:r w:rsidR="008F5DE3">
        <w:rPr>
          <w:rFonts w:eastAsia="Times New Roman" w:cs="Times New Roman"/>
          <w:color w:val="000000" w:themeColor="text1"/>
          <w:shd w:val="clear" w:color="auto" w:fill="FFFFFF"/>
          <w:lang w:eastAsia="zh-CN"/>
        </w:rPr>
        <w:t xml:space="preserve"> while </w:t>
      </w:r>
      <w:r w:rsidR="008F5DE3" w:rsidRPr="0075167F">
        <w:rPr>
          <w:rFonts w:eastAsia="Times New Roman" w:cs="Times New Roman"/>
          <w:i/>
          <w:color w:val="000000" w:themeColor="text1"/>
          <w:shd w:val="clear" w:color="auto" w:fill="FFFFFF"/>
          <w:lang w:eastAsia="zh-CN"/>
        </w:rPr>
        <w:t>n</w:t>
      </w:r>
      <w:r w:rsidRPr="0075167F">
        <w:rPr>
          <w:rFonts w:eastAsia="Times New Roman" w:cs="Times New Roman"/>
          <w:i/>
          <w:color w:val="000000" w:themeColor="text1"/>
          <w:shd w:val="clear" w:color="auto" w:fill="FFFFFF"/>
          <w:lang w:eastAsia="zh-CN"/>
        </w:rPr>
        <w:t>et profit</w:t>
      </w:r>
      <w:r w:rsidRPr="009B45D0">
        <w:rPr>
          <w:rFonts w:eastAsia="Times New Roman" w:cs="Times New Roman"/>
          <w:color w:val="000000" w:themeColor="text1"/>
          <w:shd w:val="clear" w:color="auto" w:fill="FFFFFF"/>
          <w:lang w:eastAsia="zh-CN"/>
        </w:rPr>
        <w:t xml:space="preserve"> is calculated at US$</w:t>
      </w:r>
      <w:r w:rsidR="008F5DE3">
        <w:rPr>
          <w:rFonts w:eastAsia="Times New Roman" w:cs="Times New Roman"/>
          <w:color w:val="000000" w:themeColor="text1"/>
          <w:shd w:val="clear" w:color="auto" w:fill="FFFFFF"/>
          <w:lang w:eastAsia="zh-CN"/>
        </w:rPr>
        <w:t xml:space="preserve"> 363</w:t>
      </w:r>
      <w:r w:rsidRPr="009B45D0">
        <w:rPr>
          <w:rFonts w:eastAsia="Times New Roman" w:cs="Times New Roman"/>
          <w:color w:val="000000" w:themeColor="text1"/>
          <w:shd w:val="clear" w:color="auto" w:fill="FFFFFF"/>
          <w:lang w:eastAsia="zh-CN"/>
        </w:rPr>
        <w:t xml:space="preserve"> per hectare per year for the solution</w:t>
      </w:r>
      <w:r w:rsidR="0075167F">
        <w:rPr>
          <w:rFonts w:eastAsia="Times New Roman" w:cs="Times New Roman"/>
          <w:color w:val="000000" w:themeColor="text1"/>
          <w:shd w:val="clear" w:color="auto" w:fill="FFFFFF"/>
          <w:lang w:eastAsia="zh-CN"/>
        </w:rPr>
        <w:t>.</w:t>
      </w:r>
    </w:p>
    <w:p w14:paraId="3F914151" w14:textId="01D2287A" w:rsidR="00EB26F8" w:rsidRDefault="00EB26F8" w:rsidP="00BF56E5">
      <w:pPr>
        <w:spacing w:after="0"/>
        <w:jc w:val="left"/>
        <w:rPr>
          <w:rFonts w:eastAsia="Times New Roman" w:cs="Times New Roman"/>
          <w:color w:val="000000" w:themeColor="text1"/>
          <w:shd w:val="clear" w:color="auto" w:fill="FFFFFF"/>
          <w:lang w:eastAsia="zh-CN"/>
        </w:rPr>
      </w:pPr>
    </w:p>
    <w:p w14:paraId="73A92936" w14:textId="33CA936F" w:rsidR="0047117A" w:rsidRPr="0047117A" w:rsidRDefault="0047117A" w:rsidP="0047117A">
      <w:pPr>
        <w:pStyle w:val="Caption"/>
        <w:rPr>
          <w:i w:val="0"/>
          <w:sz w:val="20"/>
        </w:rPr>
      </w:pPr>
      <w:bookmarkStart w:id="45" w:name="_Toc18444710"/>
      <w:bookmarkStart w:id="46" w:name="_Hlk5806621"/>
      <w:r w:rsidRPr="0047117A">
        <w:t xml:space="preserve">Table </w:t>
      </w:r>
      <w:r w:rsidR="00CE1040">
        <w:fldChar w:fldCharType="begin"/>
      </w:r>
      <w:r w:rsidR="00CE1040">
        <w:instrText xml:space="preserve"> STYLEREF 1 \s </w:instrText>
      </w:r>
      <w:r w:rsidR="00CE1040">
        <w:fldChar w:fldCharType="separate"/>
      </w:r>
      <w:r w:rsidR="00872721">
        <w:rPr>
          <w:noProof/>
        </w:rPr>
        <w:t>2</w:t>
      </w:r>
      <w:r w:rsidR="00CE1040">
        <w:rPr>
          <w:noProof/>
        </w:rPr>
        <w:fldChar w:fldCharType="end"/>
      </w:r>
      <w:r>
        <w:t>.</w:t>
      </w:r>
      <w:r w:rsidR="00CE1040">
        <w:fldChar w:fldCharType="begin"/>
      </w:r>
      <w:r w:rsidR="00CE1040">
        <w:instrText xml:space="preserve"> SEQ Table \* ARABIC \s 1 </w:instrText>
      </w:r>
      <w:r w:rsidR="00CE1040">
        <w:fldChar w:fldCharType="separate"/>
      </w:r>
      <w:r w:rsidR="00872721">
        <w:rPr>
          <w:noProof/>
        </w:rPr>
        <w:t>2</w:t>
      </w:r>
      <w:r w:rsidR="00CE1040">
        <w:rPr>
          <w:noProof/>
        </w:rPr>
        <w:fldChar w:fldCharType="end"/>
      </w:r>
      <w:r w:rsidRPr="0047117A">
        <w:rPr>
          <w:sz w:val="20"/>
        </w:rPr>
        <w:t xml:space="preserve"> Financial Inputs for Conventional Practice (Grazing on Degraded Lands)</w:t>
      </w:r>
      <w:bookmarkEnd w:id="45"/>
    </w:p>
    <w:tbl>
      <w:tblPr>
        <w:tblStyle w:val="TableGrid"/>
        <w:tblW w:w="5043" w:type="pct"/>
        <w:jc w:val="center"/>
        <w:tblLook w:val="04A0" w:firstRow="1" w:lastRow="0" w:firstColumn="1" w:lastColumn="0" w:noHBand="0" w:noVBand="1"/>
      </w:tblPr>
      <w:tblGrid>
        <w:gridCol w:w="2694"/>
        <w:gridCol w:w="1232"/>
        <w:gridCol w:w="1624"/>
        <w:gridCol w:w="1624"/>
        <w:gridCol w:w="1164"/>
        <w:gridCol w:w="1092"/>
      </w:tblGrid>
      <w:tr w:rsidR="0047117A" w:rsidRPr="00057050" w14:paraId="4C150658" w14:textId="77777777" w:rsidTr="002A0E0D">
        <w:trPr>
          <w:cantSplit/>
          <w:trHeight w:val="1154"/>
          <w:tblHeader/>
          <w:jc w:val="center"/>
        </w:trPr>
        <w:tc>
          <w:tcPr>
            <w:tcW w:w="1428" w:type="pct"/>
            <w:shd w:val="clear" w:color="auto" w:fill="4F81BD" w:themeFill="accent1"/>
            <w:vAlign w:val="center"/>
          </w:tcPr>
          <w:p w14:paraId="3B9EF27B" w14:textId="77777777" w:rsidR="0047117A" w:rsidRPr="00057050" w:rsidRDefault="0047117A" w:rsidP="002A0E0D">
            <w:pPr>
              <w:spacing w:after="180"/>
              <w:jc w:val="center"/>
              <w:rPr>
                <w:rFonts w:eastAsia="Helvetica,Times New Roman" w:cstheme="minorHAnsi"/>
                <w:b/>
                <w:color w:val="000000" w:themeColor="text1"/>
                <w:sz w:val="20"/>
                <w:szCs w:val="20"/>
              </w:rPr>
            </w:pPr>
          </w:p>
        </w:tc>
        <w:tc>
          <w:tcPr>
            <w:tcW w:w="653" w:type="pct"/>
            <w:shd w:val="clear" w:color="auto" w:fill="4F81BD" w:themeFill="accent1"/>
            <w:vAlign w:val="center"/>
          </w:tcPr>
          <w:p w14:paraId="5BC927E2" w14:textId="77777777" w:rsidR="0047117A" w:rsidRPr="00D25FC7" w:rsidRDefault="0047117A" w:rsidP="002A0E0D">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4F0BE2B7" w14:textId="77777777" w:rsidR="0047117A" w:rsidRPr="005C6EC2" w:rsidRDefault="0047117A" w:rsidP="002A0E0D">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1605699D" w14:textId="77777777" w:rsidR="0047117A" w:rsidRPr="005C6EC2" w:rsidRDefault="0047117A" w:rsidP="002A0E0D">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68B16B6C" w14:textId="77777777" w:rsidR="0047117A" w:rsidRPr="005C6EC2" w:rsidRDefault="0047117A" w:rsidP="002A0E0D">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797301B2" w14:textId="77777777" w:rsidR="0047117A" w:rsidRPr="005C6EC2" w:rsidRDefault="0047117A" w:rsidP="002A0E0D">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7117A" w:rsidRPr="00057050" w14:paraId="4AD79F1A" w14:textId="77777777" w:rsidTr="002A0E0D">
        <w:trPr>
          <w:trHeight w:val="260"/>
          <w:jc w:val="center"/>
        </w:trPr>
        <w:tc>
          <w:tcPr>
            <w:tcW w:w="1428" w:type="pct"/>
            <w:vAlign w:val="bottom"/>
          </w:tcPr>
          <w:p w14:paraId="5DA14166" w14:textId="77777777" w:rsidR="0047117A" w:rsidRPr="00057050" w:rsidRDefault="0047117A" w:rsidP="002A0E0D">
            <w:pPr>
              <w:spacing w:after="180"/>
              <w:jc w:val="center"/>
              <w:rPr>
                <w:color w:val="000000" w:themeColor="text1"/>
                <w:sz w:val="20"/>
                <w:szCs w:val="20"/>
              </w:rPr>
            </w:pPr>
            <w:r w:rsidRPr="00057050">
              <w:rPr>
                <w:color w:val="000000" w:themeColor="text1"/>
                <w:sz w:val="20"/>
                <w:szCs w:val="20"/>
              </w:rPr>
              <w:t>First costs (Conventional)</w:t>
            </w:r>
          </w:p>
        </w:tc>
        <w:tc>
          <w:tcPr>
            <w:tcW w:w="653" w:type="pct"/>
            <w:vAlign w:val="bottom"/>
          </w:tcPr>
          <w:p w14:paraId="0E56C152" w14:textId="77777777" w:rsidR="0047117A" w:rsidRPr="00D25FC7" w:rsidRDefault="0047117A" w:rsidP="002A0E0D">
            <w:pPr>
              <w:spacing w:after="180"/>
              <w:jc w:val="center"/>
              <w:rPr>
                <w:rFonts w:eastAsia="Helvetica,Times New Roman" w:cstheme="minorHAnsi"/>
                <w:sz w:val="20"/>
                <w:szCs w:val="20"/>
              </w:rPr>
            </w:pPr>
            <w:r w:rsidRPr="00D25FC7">
              <w:rPr>
                <w:bCs/>
                <w:i/>
                <w:sz w:val="20"/>
                <w:szCs w:val="20"/>
              </w:rPr>
              <w:t>US$2014/</w:t>
            </w:r>
            <w:r>
              <w:rPr>
                <w:bCs/>
                <w:i/>
                <w:sz w:val="20"/>
                <w:szCs w:val="20"/>
              </w:rPr>
              <w:t>ha</w:t>
            </w:r>
          </w:p>
        </w:tc>
        <w:tc>
          <w:tcPr>
            <w:tcW w:w="861" w:type="pct"/>
            <w:vAlign w:val="center"/>
          </w:tcPr>
          <w:p w14:paraId="31432368"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77B22498"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0832D6EE"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216C17BE"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47117A" w:rsidRPr="00057050" w14:paraId="731444D8" w14:textId="77777777" w:rsidTr="002A0E0D">
        <w:trPr>
          <w:trHeight w:val="341"/>
          <w:jc w:val="center"/>
        </w:trPr>
        <w:tc>
          <w:tcPr>
            <w:tcW w:w="1428" w:type="pct"/>
            <w:vAlign w:val="bottom"/>
          </w:tcPr>
          <w:p w14:paraId="4CFF826F" w14:textId="77777777" w:rsidR="0047117A" w:rsidRPr="00057050" w:rsidRDefault="0047117A" w:rsidP="002A0E0D">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653" w:type="pct"/>
            <w:vAlign w:val="bottom"/>
          </w:tcPr>
          <w:p w14:paraId="013BBBF0" w14:textId="77777777" w:rsidR="0047117A" w:rsidRPr="00D25FC7" w:rsidRDefault="0047117A" w:rsidP="002A0E0D">
            <w:pPr>
              <w:spacing w:after="180"/>
              <w:jc w:val="center"/>
              <w:rPr>
                <w:rFonts w:eastAsia="Helvetica,Times New Roman" w:cstheme="minorHAnsi"/>
                <w:sz w:val="20"/>
                <w:szCs w:val="20"/>
              </w:rPr>
            </w:pPr>
            <w:r w:rsidRPr="005C0B26">
              <w:rPr>
                <w:bCs/>
                <w:i/>
                <w:sz w:val="20"/>
                <w:szCs w:val="20"/>
              </w:rPr>
              <w:t>US$2014/ha</w:t>
            </w:r>
          </w:p>
        </w:tc>
        <w:tc>
          <w:tcPr>
            <w:tcW w:w="861" w:type="pct"/>
            <w:vAlign w:val="center"/>
          </w:tcPr>
          <w:p w14:paraId="6BA590F8"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$69.49-$323.38</w:t>
            </w:r>
          </w:p>
        </w:tc>
        <w:tc>
          <w:tcPr>
            <w:tcW w:w="861" w:type="pct"/>
            <w:vAlign w:val="center"/>
          </w:tcPr>
          <w:p w14:paraId="49B76F6F"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$154.12</w:t>
            </w:r>
          </w:p>
        </w:tc>
        <w:tc>
          <w:tcPr>
            <w:tcW w:w="617" w:type="pct"/>
            <w:vAlign w:val="center"/>
          </w:tcPr>
          <w:p w14:paraId="1D3AC593"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579" w:type="pct"/>
            <w:vAlign w:val="center"/>
          </w:tcPr>
          <w:p w14:paraId="72BA607B"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47117A" w:rsidRPr="00057050" w14:paraId="5B5A09C2" w14:textId="77777777" w:rsidTr="002A0E0D">
        <w:trPr>
          <w:trHeight w:val="350"/>
          <w:jc w:val="center"/>
        </w:trPr>
        <w:tc>
          <w:tcPr>
            <w:tcW w:w="1428" w:type="pct"/>
            <w:vAlign w:val="bottom"/>
          </w:tcPr>
          <w:p w14:paraId="6BA1FD8A" w14:textId="77777777" w:rsidR="0047117A" w:rsidRPr="00910DE0" w:rsidRDefault="0047117A" w:rsidP="002A0E0D">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653" w:type="pct"/>
            <w:vAlign w:val="bottom"/>
          </w:tcPr>
          <w:p w14:paraId="408886B4" w14:textId="77777777" w:rsidR="0047117A" w:rsidRPr="00910DE0" w:rsidRDefault="0047117A" w:rsidP="002A0E0D">
            <w:pPr>
              <w:spacing w:after="180"/>
              <w:jc w:val="center"/>
              <w:rPr>
                <w:rFonts w:eastAsia="Helvetica,Times New Roman" w:cstheme="minorHAnsi"/>
                <w:sz w:val="20"/>
                <w:szCs w:val="20"/>
              </w:rPr>
            </w:pPr>
            <w:r w:rsidRPr="005C0B26">
              <w:rPr>
                <w:bCs/>
                <w:i/>
                <w:sz w:val="20"/>
                <w:szCs w:val="20"/>
              </w:rPr>
              <w:t>US$2014/ha</w:t>
            </w:r>
          </w:p>
        </w:tc>
        <w:tc>
          <w:tcPr>
            <w:tcW w:w="861" w:type="pct"/>
            <w:vAlign w:val="center"/>
          </w:tcPr>
          <w:p w14:paraId="50A46CB3"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$28.06-$684.58</w:t>
            </w:r>
          </w:p>
        </w:tc>
        <w:tc>
          <w:tcPr>
            <w:tcW w:w="861" w:type="pct"/>
            <w:vAlign w:val="center"/>
          </w:tcPr>
          <w:p w14:paraId="4EEAE98A"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$328.42</w:t>
            </w:r>
          </w:p>
        </w:tc>
        <w:tc>
          <w:tcPr>
            <w:tcW w:w="617" w:type="pct"/>
            <w:vAlign w:val="center"/>
          </w:tcPr>
          <w:p w14:paraId="250E3D29"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2E4D0232" w14:textId="77777777" w:rsidR="0047117A" w:rsidRPr="00057050" w:rsidRDefault="0047117A" w:rsidP="002A0E0D">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bookmarkEnd w:id="46"/>
    </w:tbl>
    <w:p w14:paraId="28355043" w14:textId="77777777" w:rsidR="0047117A" w:rsidRDefault="0047117A" w:rsidP="0047117A">
      <w:pPr>
        <w:shd w:val="clear" w:color="auto" w:fill="FFFFFF"/>
        <w:spacing w:after="180" w:line="240" w:lineRule="auto"/>
        <w:rPr>
          <w:b/>
          <w:i/>
          <w:sz w:val="20"/>
        </w:rPr>
      </w:pPr>
    </w:p>
    <w:p w14:paraId="46B2D9EA" w14:textId="78DB9244" w:rsidR="00B257CA" w:rsidRPr="00B257CA" w:rsidRDefault="00B257CA" w:rsidP="00B257CA">
      <w:pPr>
        <w:pStyle w:val="Caption"/>
        <w:jc w:val="center"/>
      </w:pPr>
      <w:bookmarkStart w:id="47" w:name="_Toc18444711"/>
      <w:r>
        <w:t xml:space="preserve">Table </w:t>
      </w:r>
      <w:r w:rsidR="00CE1040">
        <w:fldChar w:fldCharType="begin"/>
      </w:r>
      <w:r w:rsidR="00CE1040">
        <w:instrText xml:space="preserve"> STYLEREF 1 \s </w:instrText>
      </w:r>
      <w:r w:rsidR="00CE1040">
        <w:fldChar w:fldCharType="separate"/>
      </w:r>
      <w:r w:rsidR="00872721">
        <w:rPr>
          <w:noProof/>
        </w:rPr>
        <w:t>2</w:t>
      </w:r>
      <w:r w:rsidR="00CE1040">
        <w:rPr>
          <w:noProof/>
        </w:rPr>
        <w:fldChar w:fldCharType="end"/>
      </w:r>
      <w:r w:rsidR="0047117A">
        <w:t>.</w:t>
      </w:r>
      <w:r w:rsidR="00CE1040">
        <w:fldChar w:fldCharType="begin"/>
      </w:r>
      <w:r w:rsidR="00CE1040">
        <w:instrText xml:space="preserve"> SEQ Table \* ARABIC \s 1 </w:instrText>
      </w:r>
      <w:r w:rsidR="00CE1040">
        <w:fldChar w:fldCharType="separate"/>
      </w:r>
      <w:r w:rsidR="00872721">
        <w:rPr>
          <w:noProof/>
        </w:rPr>
        <w:t>3</w:t>
      </w:r>
      <w:r w:rsidR="00CE1040">
        <w:rPr>
          <w:noProof/>
        </w:rPr>
        <w:fldChar w:fldCharType="end"/>
      </w:r>
      <w:r>
        <w:t>:</w:t>
      </w:r>
      <w:r w:rsidRPr="005E0980">
        <w:t>Financial Inputs for Solution</w:t>
      </w:r>
      <w:bookmarkEnd w:id="47"/>
    </w:p>
    <w:tbl>
      <w:tblPr>
        <w:tblStyle w:val="TableGrid"/>
        <w:tblW w:w="5043" w:type="pct"/>
        <w:jc w:val="center"/>
        <w:tblLook w:val="04A0" w:firstRow="1" w:lastRow="0" w:firstColumn="1" w:lastColumn="0" w:noHBand="0" w:noVBand="1"/>
      </w:tblPr>
      <w:tblGrid>
        <w:gridCol w:w="2694"/>
        <w:gridCol w:w="1351"/>
        <w:gridCol w:w="1890"/>
        <w:gridCol w:w="1239"/>
        <w:gridCol w:w="1164"/>
        <w:gridCol w:w="1092"/>
      </w:tblGrid>
      <w:tr w:rsidR="00910DE0" w:rsidRPr="00057050" w14:paraId="5EBC0DC9" w14:textId="77777777" w:rsidTr="0075167F">
        <w:trPr>
          <w:cantSplit/>
          <w:trHeight w:val="1154"/>
          <w:tblHeader/>
          <w:jc w:val="center"/>
        </w:trPr>
        <w:tc>
          <w:tcPr>
            <w:tcW w:w="1428" w:type="pct"/>
            <w:shd w:val="clear" w:color="auto" w:fill="4F81BD" w:themeFill="accent1"/>
            <w:vAlign w:val="center"/>
          </w:tcPr>
          <w:p w14:paraId="74E672A4" w14:textId="77777777" w:rsidR="00910DE0" w:rsidRPr="00057050" w:rsidRDefault="00910DE0" w:rsidP="00BF56E5">
            <w:pPr>
              <w:spacing w:after="180"/>
              <w:jc w:val="center"/>
              <w:rPr>
                <w:rFonts w:eastAsia="Helvetica,Times New Roman" w:cstheme="minorHAnsi"/>
                <w:b/>
                <w:color w:val="000000" w:themeColor="text1"/>
                <w:sz w:val="20"/>
                <w:szCs w:val="20"/>
              </w:rPr>
            </w:pPr>
          </w:p>
        </w:tc>
        <w:tc>
          <w:tcPr>
            <w:tcW w:w="716" w:type="pct"/>
            <w:shd w:val="clear" w:color="auto" w:fill="4F81BD" w:themeFill="accent1"/>
            <w:vAlign w:val="center"/>
          </w:tcPr>
          <w:p w14:paraId="47C8F982" w14:textId="77777777" w:rsidR="00910DE0" w:rsidRPr="00D25FC7" w:rsidRDefault="00910DE0" w:rsidP="00BF56E5">
            <w:pPr>
              <w:spacing w:after="180"/>
              <w:jc w:val="center"/>
              <w:rPr>
                <w:b/>
                <w:bCs/>
                <w:sz w:val="20"/>
                <w:szCs w:val="20"/>
              </w:rPr>
            </w:pPr>
            <w:r w:rsidRPr="00910DE0">
              <w:rPr>
                <w:b/>
                <w:bCs/>
                <w:color w:val="FFFFFF" w:themeColor="background1"/>
                <w:sz w:val="20"/>
                <w:szCs w:val="20"/>
              </w:rPr>
              <w:t>Units</w:t>
            </w:r>
          </w:p>
        </w:tc>
        <w:tc>
          <w:tcPr>
            <w:tcW w:w="1002" w:type="pct"/>
            <w:shd w:val="clear" w:color="auto" w:fill="4F81BD" w:themeFill="accent1"/>
            <w:vAlign w:val="center"/>
          </w:tcPr>
          <w:p w14:paraId="0418DADA" w14:textId="42CB0C28" w:rsidR="00910DE0" w:rsidRPr="005C6EC2" w:rsidRDefault="00910DE0" w:rsidP="00BF56E5">
            <w:pPr>
              <w:spacing w:after="180"/>
              <w:jc w:val="center"/>
              <w:rPr>
                <w:b/>
                <w:bCs/>
                <w:color w:val="FFFFFF" w:themeColor="background1"/>
                <w:sz w:val="20"/>
                <w:szCs w:val="20"/>
              </w:rPr>
            </w:pPr>
            <w:r>
              <w:rPr>
                <w:b/>
                <w:bCs/>
                <w:color w:val="FFFFFF" w:themeColor="background1"/>
                <w:sz w:val="20"/>
                <w:szCs w:val="20"/>
              </w:rPr>
              <w:t>Project Drawdown Data Set Range</w:t>
            </w:r>
          </w:p>
        </w:tc>
        <w:tc>
          <w:tcPr>
            <w:tcW w:w="657" w:type="pct"/>
            <w:shd w:val="clear" w:color="auto" w:fill="4F81BD" w:themeFill="accent1"/>
            <w:vAlign w:val="center"/>
          </w:tcPr>
          <w:p w14:paraId="6FC568BA" w14:textId="77777777"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75167F">
        <w:trPr>
          <w:trHeight w:val="149"/>
          <w:jc w:val="center"/>
        </w:trPr>
        <w:tc>
          <w:tcPr>
            <w:tcW w:w="1428" w:type="pct"/>
            <w:vAlign w:val="center"/>
          </w:tcPr>
          <w:p w14:paraId="400D3B56" w14:textId="2F61C95E" w:rsidR="00910DE0" w:rsidRPr="00057050" w:rsidRDefault="00910DE0" w:rsidP="00BF56E5">
            <w:pPr>
              <w:spacing w:after="180"/>
              <w:jc w:val="center"/>
              <w:rPr>
                <w:color w:val="000000" w:themeColor="text1"/>
                <w:sz w:val="20"/>
                <w:szCs w:val="20"/>
              </w:rPr>
            </w:pPr>
            <w:r w:rsidRPr="00057050">
              <w:rPr>
                <w:color w:val="000000" w:themeColor="text1"/>
                <w:sz w:val="20"/>
                <w:szCs w:val="20"/>
              </w:rPr>
              <w:t>First costs (</w:t>
            </w:r>
            <w:r w:rsidR="0047117A">
              <w:rPr>
                <w:color w:val="000000" w:themeColor="text1"/>
                <w:sz w:val="20"/>
                <w:szCs w:val="20"/>
              </w:rPr>
              <w:t>solution)</w:t>
            </w:r>
          </w:p>
        </w:tc>
        <w:tc>
          <w:tcPr>
            <w:tcW w:w="716" w:type="pct"/>
            <w:vAlign w:val="center"/>
          </w:tcPr>
          <w:p w14:paraId="56AA3572" w14:textId="35307D91" w:rsidR="00910DE0" w:rsidRPr="00D25FC7" w:rsidRDefault="0032353F" w:rsidP="00BF56E5">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1002" w:type="pct"/>
            <w:vAlign w:val="center"/>
          </w:tcPr>
          <w:p w14:paraId="5AD14322" w14:textId="67485015" w:rsidR="00910DE0" w:rsidRPr="00057050" w:rsidRDefault="0075167F"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8F5DE3">
              <w:rPr>
                <w:rFonts w:eastAsia="Helvetica,Times New Roman" w:cstheme="minorHAnsi"/>
                <w:color w:val="000000" w:themeColor="text1"/>
                <w:sz w:val="20"/>
                <w:szCs w:val="20"/>
              </w:rPr>
              <w:t>3</w:t>
            </w:r>
            <w:r w:rsidR="001D54A2">
              <w:rPr>
                <w:rFonts w:eastAsia="Helvetica,Times New Roman" w:cstheme="minorHAnsi"/>
                <w:color w:val="000000" w:themeColor="text1"/>
                <w:sz w:val="20"/>
                <w:szCs w:val="20"/>
              </w:rPr>
              <w:t>22</w:t>
            </w:r>
            <w:r>
              <w:rPr>
                <w:rFonts w:eastAsia="Helvetica,Times New Roman" w:cstheme="minorHAnsi"/>
                <w:color w:val="000000" w:themeColor="text1"/>
                <w:sz w:val="20"/>
                <w:szCs w:val="20"/>
              </w:rPr>
              <w:t xml:space="preserve"> to $</w:t>
            </w:r>
            <w:r w:rsidR="008F5DE3">
              <w:rPr>
                <w:rFonts w:eastAsia="Helvetica,Times New Roman" w:cstheme="minorHAnsi"/>
                <w:color w:val="000000" w:themeColor="text1"/>
                <w:sz w:val="20"/>
                <w:szCs w:val="20"/>
              </w:rPr>
              <w:t>2266</w:t>
            </w:r>
          </w:p>
        </w:tc>
        <w:tc>
          <w:tcPr>
            <w:tcW w:w="657" w:type="pct"/>
            <w:vAlign w:val="center"/>
          </w:tcPr>
          <w:p w14:paraId="6782A95B" w14:textId="3BC2FDA2" w:rsidR="00910DE0" w:rsidRPr="00057050" w:rsidRDefault="0075167F"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8F5DE3">
              <w:rPr>
                <w:rFonts w:eastAsia="Helvetica,Times New Roman" w:cstheme="minorHAnsi"/>
                <w:color w:val="000000" w:themeColor="text1"/>
                <w:sz w:val="20"/>
                <w:szCs w:val="20"/>
              </w:rPr>
              <w:t>1294</w:t>
            </w:r>
          </w:p>
        </w:tc>
        <w:tc>
          <w:tcPr>
            <w:tcW w:w="617" w:type="pct"/>
            <w:vAlign w:val="center"/>
          </w:tcPr>
          <w:p w14:paraId="1AA7E7F8" w14:textId="7D88CA98" w:rsidR="00910DE0" w:rsidRPr="00057050" w:rsidRDefault="002829A3"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367ADBC1" w14:textId="5168EE53" w:rsidR="00910DE0" w:rsidRPr="00057050" w:rsidRDefault="00167EEE"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29BBD18C" w14:textId="77777777" w:rsidTr="0075167F">
        <w:trPr>
          <w:trHeight w:val="583"/>
          <w:jc w:val="center"/>
        </w:trPr>
        <w:tc>
          <w:tcPr>
            <w:tcW w:w="1428" w:type="pct"/>
            <w:vAlign w:val="center"/>
          </w:tcPr>
          <w:p w14:paraId="696E0629" w14:textId="6A706056" w:rsidR="00486CBB" w:rsidRPr="00057050" w:rsidRDefault="00486CBB" w:rsidP="00BF56E5">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sidR="0047117A" w:rsidRPr="00057050">
              <w:rPr>
                <w:color w:val="000000" w:themeColor="text1"/>
                <w:sz w:val="20"/>
                <w:szCs w:val="20"/>
              </w:rPr>
              <w:t>(</w:t>
            </w:r>
            <w:r w:rsidR="0047117A">
              <w:rPr>
                <w:color w:val="000000" w:themeColor="text1"/>
                <w:sz w:val="20"/>
                <w:szCs w:val="20"/>
              </w:rPr>
              <w:t>solution)</w:t>
            </w:r>
          </w:p>
        </w:tc>
        <w:tc>
          <w:tcPr>
            <w:tcW w:w="716" w:type="pct"/>
          </w:tcPr>
          <w:p w14:paraId="3CEF4190" w14:textId="099401A3" w:rsidR="00486CBB" w:rsidRPr="00D25FC7" w:rsidRDefault="00486CBB" w:rsidP="00BF56E5">
            <w:pPr>
              <w:spacing w:after="180"/>
              <w:jc w:val="center"/>
              <w:rPr>
                <w:rFonts w:eastAsia="Helvetica,Times New Roman" w:cstheme="minorHAnsi"/>
                <w:sz w:val="20"/>
                <w:szCs w:val="20"/>
              </w:rPr>
            </w:pPr>
            <w:r w:rsidRPr="005C0B26">
              <w:rPr>
                <w:bCs/>
                <w:i/>
                <w:sz w:val="20"/>
                <w:szCs w:val="20"/>
              </w:rPr>
              <w:t xml:space="preserve"> US$2014/ha</w:t>
            </w:r>
          </w:p>
        </w:tc>
        <w:tc>
          <w:tcPr>
            <w:tcW w:w="1002" w:type="pct"/>
            <w:vAlign w:val="center"/>
          </w:tcPr>
          <w:p w14:paraId="41B31604" w14:textId="0190F5DA"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75167F">
              <w:rPr>
                <w:rFonts w:eastAsia="Helvetica,Times New Roman" w:cstheme="minorHAnsi"/>
                <w:color w:val="000000" w:themeColor="text1"/>
                <w:sz w:val="20"/>
                <w:szCs w:val="20"/>
              </w:rPr>
              <w:t>305</w:t>
            </w:r>
            <w:r>
              <w:rPr>
                <w:rFonts w:eastAsia="Helvetica,Times New Roman" w:cstheme="minorHAnsi"/>
                <w:color w:val="000000" w:themeColor="text1"/>
                <w:sz w:val="20"/>
                <w:szCs w:val="20"/>
              </w:rPr>
              <w:t xml:space="preserve"> to $</w:t>
            </w:r>
            <w:r w:rsidR="0075167F">
              <w:rPr>
                <w:rFonts w:eastAsia="Helvetica,Times New Roman" w:cstheme="minorHAnsi"/>
                <w:color w:val="000000" w:themeColor="text1"/>
                <w:sz w:val="20"/>
                <w:szCs w:val="20"/>
              </w:rPr>
              <w:t>893</w:t>
            </w:r>
          </w:p>
        </w:tc>
        <w:tc>
          <w:tcPr>
            <w:tcW w:w="657" w:type="pct"/>
            <w:vAlign w:val="center"/>
          </w:tcPr>
          <w:p w14:paraId="259F13A5" w14:textId="68E6D34C"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75167F">
              <w:rPr>
                <w:rFonts w:eastAsia="Helvetica,Times New Roman" w:cstheme="minorHAnsi"/>
                <w:color w:val="000000" w:themeColor="text1"/>
                <w:sz w:val="20"/>
                <w:szCs w:val="20"/>
              </w:rPr>
              <w:t>599</w:t>
            </w:r>
          </w:p>
        </w:tc>
        <w:tc>
          <w:tcPr>
            <w:tcW w:w="617" w:type="pct"/>
            <w:vAlign w:val="center"/>
          </w:tcPr>
          <w:p w14:paraId="62C158C3" w14:textId="3B12D67F" w:rsidR="00486CBB" w:rsidRPr="00057050" w:rsidRDefault="002829A3" w:rsidP="0075167F">
            <w:pPr>
              <w:spacing w:after="180"/>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       1</w:t>
            </w:r>
            <w:r w:rsidR="001D54A2">
              <w:rPr>
                <w:rFonts w:eastAsia="Helvetica,Times New Roman" w:cstheme="minorHAnsi"/>
                <w:color w:val="000000" w:themeColor="text1"/>
                <w:sz w:val="20"/>
                <w:szCs w:val="20"/>
              </w:rPr>
              <w:t>1</w:t>
            </w:r>
          </w:p>
        </w:tc>
        <w:tc>
          <w:tcPr>
            <w:tcW w:w="579" w:type="pct"/>
            <w:vAlign w:val="center"/>
          </w:tcPr>
          <w:p w14:paraId="2E77170B" w14:textId="418BC5B0" w:rsidR="00486CBB" w:rsidRPr="00057050" w:rsidRDefault="00167EEE"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789E9F95" w14:textId="77777777" w:rsidTr="0075167F">
        <w:trPr>
          <w:trHeight w:val="149"/>
          <w:jc w:val="center"/>
        </w:trPr>
        <w:tc>
          <w:tcPr>
            <w:tcW w:w="1428" w:type="pct"/>
            <w:vAlign w:val="center"/>
          </w:tcPr>
          <w:p w14:paraId="564B7DFA" w14:textId="2A731800" w:rsidR="00486CBB" w:rsidRPr="00910DE0" w:rsidRDefault="00486CBB" w:rsidP="0075167F">
            <w:pPr>
              <w:spacing w:after="180"/>
              <w:jc w:val="left"/>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sidR="0047117A">
              <w:rPr>
                <w:color w:val="000000" w:themeColor="text1"/>
                <w:sz w:val="20"/>
                <w:szCs w:val="20"/>
              </w:rPr>
              <w:t>solution</w:t>
            </w:r>
            <w:r w:rsidRPr="00910DE0">
              <w:rPr>
                <w:color w:val="000000" w:themeColor="text1"/>
                <w:sz w:val="20"/>
                <w:szCs w:val="20"/>
              </w:rPr>
              <w:t>)</w:t>
            </w:r>
          </w:p>
        </w:tc>
        <w:tc>
          <w:tcPr>
            <w:tcW w:w="716" w:type="pct"/>
          </w:tcPr>
          <w:p w14:paraId="292CCBF2" w14:textId="03727FAF" w:rsidR="00486CBB" w:rsidRPr="00910DE0" w:rsidRDefault="00486CBB" w:rsidP="00BF56E5">
            <w:pPr>
              <w:spacing w:after="180"/>
              <w:jc w:val="center"/>
              <w:rPr>
                <w:rFonts w:eastAsia="Helvetica,Times New Roman" w:cstheme="minorHAnsi"/>
                <w:sz w:val="20"/>
                <w:szCs w:val="20"/>
              </w:rPr>
            </w:pPr>
            <w:r w:rsidRPr="005C0B26">
              <w:rPr>
                <w:bCs/>
                <w:i/>
                <w:sz w:val="20"/>
                <w:szCs w:val="20"/>
              </w:rPr>
              <w:t xml:space="preserve"> US$2014/ha</w:t>
            </w:r>
          </w:p>
        </w:tc>
        <w:tc>
          <w:tcPr>
            <w:tcW w:w="1002" w:type="pct"/>
            <w:vAlign w:val="center"/>
          </w:tcPr>
          <w:p w14:paraId="3698BA83" w14:textId="738438EB"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75167F">
              <w:rPr>
                <w:rFonts w:eastAsia="Helvetica,Times New Roman" w:cstheme="minorHAnsi"/>
                <w:color w:val="000000" w:themeColor="text1"/>
                <w:sz w:val="20"/>
                <w:szCs w:val="20"/>
              </w:rPr>
              <w:t>13</w:t>
            </w:r>
            <w:r w:rsidR="001D54A2">
              <w:rPr>
                <w:rFonts w:eastAsia="Helvetica,Times New Roman" w:cstheme="minorHAnsi"/>
                <w:color w:val="000000" w:themeColor="text1"/>
                <w:sz w:val="20"/>
                <w:szCs w:val="20"/>
              </w:rPr>
              <w:t>5</w:t>
            </w:r>
            <w:r>
              <w:rPr>
                <w:rFonts w:eastAsia="Helvetica,Times New Roman" w:cstheme="minorHAnsi"/>
                <w:color w:val="000000" w:themeColor="text1"/>
                <w:sz w:val="20"/>
                <w:szCs w:val="20"/>
              </w:rPr>
              <w:t xml:space="preserve"> to $</w:t>
            </w:r>
            <w:r w:rsidR="0075167F">
              <w:rPr>
                <w:rFonts w:eastAsia="Helvetica,Times New Roman" w:cstheme="minorHAnsi"/>
                <w:color w:val="000000" w:themeColor="text1"/>
                <w:sz w:val="20"/>
                <w:szCs w:val="20"/>
              </w:rPr>
              <w:t>5</w:t>
            </w:r>
            <w:r w:rsidR="001D54A2">
              <w:rPr>
                <w:rFonts w:eastAsia="Helvetica,Times New Roman" w:cstheme="minorHAnsi"/>
                <w:color w:val="000000" w:themeColor="text1"/>
                <w:sz w:val="20"/>
                <w:szCs w:val="20"/>
              </w:rPr>
              <w:t>89</w:t>
            </w:r>
          </w:p>
        </w:tc>
        <w:tc>
          <w:tcPr>
            <w:tcW w:w="657" w:type="pct"/>
            <w:vAlign w:val="center"/>
          </w:tcPr>
          <w:p w14:paraId="2C205561" w14:textId="33D80FBA"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75167F">
              <w:rPr>
                <w:rFonts w:eastAsia="Helvetica,Times New Roman" w:cstheme="minorHAnsi"/>
                <w:color w:val="000000" w:themeColor="text1"/>
                <w:sz w:val="20"/>
                <w:szCs w:val="20"/>
              </w:rPr>
              <w:t>363</w:t>
            </w:r>
          </w:p>
        </w:tc>
        <w:tc>
          <w:tcPr>
            <w:tcW w:w="617" w:type="pct"/>
            <w:vAlign w:val="center"/>
          </w:tcPr>
          <w:p w14:paraId="6F7826B4" w14:textId="23993B25" w:rsidR="00486CBB" w:rsidRPr="00057050" w:rsidRDefault="002829A3"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1D54A2">
              <w:rPr>
                <w:rFonts w:eastAsia="Helvetica,Times New Roman" w:cstheme="minorHAnsi"/>
                <w:color w:val="000000" w:themeColor="text1"/>
                <w:sz w:val="20"/>
                <w:szCs w:val="20"/>
              </w:rPr>
              <w:t>3</w:t>
            </w:r>
          </w:p>
        </w:tc>
        <w:tc>
          <w:tcPr>
            <w:tcW w:w="579" w:type="pct"/>
            <w:vAlign w:val="center"/>
          </w:tcPr>
          <w:p w14:paraId="6F71B7A1" w14:textId="2A2BBB1E" w:rsidR="00486CBB" w:rsidRPr="00057050" w:rsidRDefault="00167EEE"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bl>
    <w:p w14:paraId="7E13702C" w14:textId="77777777" w:rsidR="00D25FC7" w:rsidRPr="004858E0" w:rsidRDefault="00D25FC7" w:rsidP="00BF56E5">
      <w:pPr>
        <w:rPr>
          <w:bCs/>
          <w:sz w:val="21"/>
          <w:szCs w:val="21"/>
        </w:rPr>
      </w:pPr>
    </w:p>
    <w:p w14:paraId="3D8FFF3D" w14:textId="5D34F5E9" w:rsidR="0067661A" w:rsidRDefault="0067661A" w:rsidP="00BF56E5">
      <w:pPr>
        <w:pStyle w:val="Heading3"/>
      </w:pPr>
      <w:bookmarkStart w:id="48" w:name="_Toc25888676"/>
      <w:r>
        <w:lastRenderedPageBreak/>
        <w:t>Yield Inputs</w:t>
      </w:r>
      <w:bookmarkEnd w:id="48"/>
    </w:p>
    <w:p w14:paraId="487B4EEF" w14:textId="4AF1DB07" w:rsidR="0067661A" w:rsidRPr="00581F84" w:rsidRDefault="0067661A" w:rsidP="00BF56E5">
      <w:pPr>
        <w:shd w:val="clear" w:color="auto" w:fill="FFFFFF"/>
        <w:spacing w:after="180"/>
        <w:jc w:val="left"/>
        <w:rPr>
          <w:rFonts w:eastAsia="Times New Roman" w:cs="Times New Roman"/>
          <w:color w:val="000000" w:themeColor="text1"/>
          <w:lang w:eastAsia="zh-CN"/>
        </w:rPr>
      </w:pPr>
      <w:r w:rsidRPr="00581F84">
        <w:rPr>
          <w:rFonts w:eastAsia="Times New Roman" w:cs="Times New Roman"/>
          <w:color w:val="000000" w:themeColor="text1"/>
          <w:lang w:eastAsia="zh-CN"/>
        </w:rPr>
        <w:t>Yield</w:t>
      </w:r>
      <w:r w:rsidR="0075167F">
        <w:rPr>
          <w:rFonts w:eastAsia="Times New Roman" w:cs="Times New Roman"/>
          <w:color w:val="000000" w:themeColor="text1"/>
          <w:lang w:eastAsia="zh-CN"/>
        </w:rPr>
        <w:t xml:space="preserve"> data were collected for miscanthus, switch grass, poplar in different geographical regions, including EU, US, Turkey and India.  The average yield was estimated to be 17 tons per hectare, 49 data </w:t>
      </w:r>
      <w:r w:rsidR="007B24CC">
        <w:rPr>
          <w:rFonts w:eastAsia="Times New Roman" w:cs="Times New Roman"/>
          <w:color w:val="000000" w:themeColor="text1"/>
          <w:lang w:eastAsia="zh-CN"/>
        </w:rPr>
        <w:t>points were</w:t>
      </w:r>
      <w:r w:rsidR="0075167F">
        <w:rPr>
          <w:rFonts w:eastAsia="Times New Roman" w:cs="Times New Roman"/>
          <w:color w:val="000000" w:themeColor="text1"/>
          <w:lang w:eastAsia="zh-CN"/>
        </w:rPr>
        <w:t xml:space="preserve"> collected from 16 sources.</w:t>
      </w:r>
    </w:p>
    <w:p w14:paraId="4E32D218" w14:textId="12B11079" w:rsidR="00B144E5" w:rsidRDefault="00686965" w:rsidP="0043499D">
      <w:pPr>
        <w:pStyle w:val="Heading2"/>
        <w:numPr>
          <w:ilvl w:val="1"/>
          <w:numId w:val="9"/>
        </w:numPr>
        <w:ind w:firstLine="0"/>
      </w:pPr>
      <w:bookmarkStart w:id="49" w:name="_Toc25888677"/>
      <w:r>
        <w:t>Assumptions</w:t>
      </w:r>
      <w:bookmarkEnd w:id="49"/>
    </w:p>
    <w:p w14:paraId="1C71D5EB" w14:textId="5DFCDC28" w:rsidR="00E33621" w:rsidRDefault="00E33621" w:rsidP="00BF56E5">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4"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76E6594" w14:textId="77777777" w:rsidR="00BD7079" w:rsidRPr="00DC3559" w:rsidRDefault="00BD7079" w:rsidP="00BF56E5">
      <w:pPr>
        <w:spacing w:after="240"/>
      </w:pPr>
      <w:r>
        <w:t>Beyond these core assumptions, there are other important assumptions made for the modeling of this specific solution. These are detailed below.</w:t>
      </w:r>
    </w:p>
    <w:p w14:paraId="61D4B3CF" w14:textId="10D3AE9D" w:rsidR="00BD54C2" w:rsidRPr="00BD54C2" w:rsidRDefault="00BD54C2" w:rsidP="0043499D">
      <w:pPr>
        <w:pStyle w:val="ListParagraph"/>
        <w:numPr>
          <w:ilvl w:val="0"/>
          <w:numId w:val="2"/>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 xml:space="preserve">It is assumed that the land area for </w:t>
      </w:r>
      <w:r w:rsidR="00F64FB6">
        <w:rPr>
          <w:rFonts w:eastAsia="Times New Roman" w:cs="Times New Roman"/>
          <w:color w:val="000000"/>
          <w:lang w:eastAsia="zh-CN"/>
        </w:rPr>
        <w:t>perennial energy crops</w:t>
      </w:r>
      <w:r w:rsidRPr="00BD54C2">
        <w:rPr>
          <w:rFonts w:eastAsia="Times New Roman" w:cs="Times New Roman"/>
          <w:color w:val="000000"/>
          <w:lang w:eastAsia="zh-CN"/>
        </w:rPr>
        <w:t xml:space="preserve"> cultivation will </w:t>
      </w:r>
      <w:r w:rsidR="00F64FB6">
        <w:rPr>
          <w:rFonts w:eastAsia="Times New Roman" w:cs="Times New Roman"/>
          <w:color w:val="000000"/>
          <w:lang w:eastAsia="zh-CN"/>
        </w:rPr>
        <w:t xml:space="preserve">not exceed 74 </w:t>
      </w:r>
      <w:r w:rsidR="00EB26F8">
        <w:rPr>
          <w:rFonts w:eastAsia="Times New Roman" w:cs="Times New Roman"/>
          <w:color w:val="000000"/>
          <w:lang w:eastAsia="zh-CN"/>
        </w:rPr>
        <w:t>million</w:t>
      </w:r>
      <w:r w:rsidR="00F64FB6">
        <w:rPr>
          <w:rFonts w:eastAsia="Times New Roman" w:cs="Times New Roman"/>
          <w:color w:val="000000"/>
          <w:lang w:eastAsia="zh-CN"/>
        </w:rPr>
        <w:t xml:space="preserve"> </w:t>
      </w:r>
      <w:r w:rsidR="00EF6266">
        <w:rPr>
          <w:rFonts w:eastAsia="Times New Roman" w:cs="Times New Roman"/>
          <w:color w:val="000000"/>
          <w:lang w:eastAsia="zh-CN"/>
        </w:rPr>
        <w:t>hectares of degraded land</w:t>
      </w:r>
      <w:r w:rsidR="00F64FB6">
        <w:rPr>
          <w:rFonts w:eastAsia="Times New Roman" w:cs="Times New Roman"/>
          <w:color w:val="000000"/>
          <w:lang w:eastAsia="zh-CN"/>
        </w:rPr>
        <w:t xml:space="preserve">. </w:t>
      </w:r>
    </w:p>
    <w:p w14:paraId="19C19F57" w14:textId="267584AB" w:rsidR="00565852" w:rsidRPr="00BD54C2" w:rsidRDefault="00565852" w:rsidP="0043499D">
      <w:pPr>
        <w:pStyle w:val="ListParagraph"/>
        <w:numPr>
          <w:ilvl w:val="0"/>
          <w:numId w:val="2"/>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In the study</w:t>
      </w:r>
      <w:r w:rsidR="00EF6266">
        <w:rPr>
          <w:rFonts w:eastAsia="Times New Roman" w:cs="Times New Roman"/>
          <w:color w:val="000000"/>
          <w:lang w:eastAsia="zh-CN"/>
        </w:rPr>
        <w:t>, we use input information for</w:t>
      </w:r>
      <w:r w:rsidRPr="00BD54C2">
        <w:rPr>
          <w:rFonts w:eastAsia="Times New Roman" w:cs="Times New Roman"/>
          <w:color w:val="000000"/>
          <w:lang w:eastAsia="zh-CN"/>
        </w:rPr>
        <w:t xml:space="preserve"> </w:t>
      </w:r>
      <w:r w:rsidR="00EF6266">
        <w:rPr>
          <w:rFonts w:eastAsia="Times New Roman" w:cs="Times New Roman"/>
          <w:color w:val="000000"/>
          <w:lang w:eastAsia="zh-CN"/>
        </w:rPr>
        <w:t xml:space="preserve">miscanthus, switch grass, willow, and poplar cultivation in Europe, </w:t>
      </w:r>
      <w:r w:rsidR="00EB26F8">
        <w:rPr>
          <w:rFonts w:eastAsia="Times New Roman" w:cs="Times New Roman"/>
          <w:color w:val="000000"/>
          <w:lang w:eastAsia="zh-CN"/>
        </w:rPr>
        <w:t>US,</w:t>
      </w:r>
      <w:r w:rsidR="00EF6266">
        <w:rPr>
          <w:rFonts w:eastAsia="Times New Roman" w:cs="Times New Roman"/>
          <w:color w:val="000000"/>
          <w:lang w:eastAsia="zh-CN"/>
        </w:rPr>
        <w:t xml:space="preserve"> Turkey and </w:t>
      </w:r>
      <w:r w:rsidR="00EB26F8">
        <w:rPr>
          <w:rFonts w:eastAsia="Times New Roman" w:cs="Times New Roman"/>
          <w:color w:val="000000"/>
          <w:lang w:eastAsia="zh-CN"/>
        </w:rPr>
        <w:t>India.</w:t>
      </w:r>
    </w:p>
    <w:p w14:paraId="340A92E4" w14:textId="4C90E423" w:rsidR="00565852" w:rsidRPr="00BD54C2" w:rsidRDefault="00565852" w:rsidP="0043499D">
      <w:pPr>
        <w:pStyle w:val="ListParagraph"/>
        <w:numPr>
          <w:ilvl w:val="0"/>
          <w:numId w:val="2"/>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In this</w:t>
      </w:r>
      <w:r w:rsidR="00EF6266">
        <w:rPr>
          <w:rFonts w:eastAsia="Times New Roman" w:cs="Times New Roman"/>
          <w:color w:val="000000"/>
          <w:lang w:eastAsia="zh-CN"/>
        </w:rPr>
        <w:t xml:space="preserve"> solution</w:t>
      </w:r>
      <w:r w:rsidRPr="00BD54C2">
        <w:rPr>
          <w:rFonts w:eastAsia="Times New Roman" w:cs="Times New Roman"/>
          <w:color w:val="000000"/>
          <w:lang w:eastAsia="zh-CN"/>
        </w:rPr>
        <w:t xml:space="preserve">, </w:t>
      </w:r>
      <w:r w:rsidR="00EF6266">
        <w:rPr>
          <w:rFonts w:eastAsia="Times New Roman" w:cs="Times New Roman"/>
          <w:color w:val="000000"/>
          <w:lang w:eastAsia="zh-CN"/>
        </w:rPr>
        <w:t>climate impact of the perennial energy crops only considers carbon sequestrations. Avoided greenhouse gas emissions from fertilizer application and on-farm activities and avoided emissions from fossil fuel replacement are included in the model but not applied. Next version of the model may consider these inputs to expand climate impact of the perennial biomass</w:t>
      </w:r>
      <w:r w:rsidRPr="00BD54C2">
        <w:rPr>
          <w:rFonts w:eastAsia="Times New Roman" w:cs="Times New Roman"/>
          <w:color w:val="000000"/>
          <w:lang w:eastAsia="zh-CN"/>
        </w:rPr>
        <w:t>.</w:t>
      </w:r>
    </w:p>
    <w:p w14:paraId="0A5770EC" w14:textId="5331496A" w:rsidR="00565852" w:rsidRPr="00BD54C2" w:rsidRDefault="00EF6266" w:rsidP="0043499D">
      <w:pPr>
        <w:pStyle w:val="ListParagraph"/>
        <w:numPr>
          <w:ilvl w:val="0"/>
          <w:numId w:val="2"/>
        </w:numPr>
        <w:spacing w:after="0"/>
        <w:ind w:left="360" w:firstLine="0"/>
        <w:jc w:val="left"/>
        <w:rPr>
          <w:rFonts w:eastAsia="Times New Roman" w:cs="Times New Roman"/>
          <w:sz w:val="24"/>
          <w:szCs w:val="24"/>
          <w:lang w:eastAsia="zh-CN"/>
        </w:rPr>
      </w:pPr>
      <w:r>
        <w:rPr>
          <w:rFonts w:eastAsia="Times New Roman" w:cs="Times New Roman"/>
          <w:color w:val="000000"/>
          <w:lang w:eastAsia="zh-CN"/>
        </w:rPr>
        <w:t>The</w:t>
      </w:r>
      <w:r w:rsidR="00565852" w:rsidRPr="00BD54C2">
        <w:rPr>
          <w:rFonts w:eastAsia="Times New Roman" w:cs="Times New Roman"/>
          <w:color w:val="000000"/>
          <w:lang w:eastAsia="zh-CN"/>
        </w:rPr>
        <w:t xml:space="preserve"> future adoption scenarios were built based on the data available for</w:t>
      </w:r>
      <w:r>
        <w:rPr>
          <w:rFonts w:eastAsia="Times New Roman" w:cs="Times New Roman"/>
          <w:color w:val="000000"/>
          <w:lang w:eastAsia="zh-CN"/>
        </w:rPr>
        <w:t xml:space="preserve"> European countries</w:t>
      </w:r>
      <w:r w:rsidR="00565852" w:rsidRPr="00BD54C2">
        <w:rPr>
          <w:rFonts w:eastAsia="Times New Roman" w:cs="Times New Roman"/>
          <w:color w:val="000000"/>
          <w:lang w:eastAsia="zh-CN"/>
        </w:rPr>
        <w:t xml:space="preserve"> </w:t>
      </w:r>
      <w:r>
        <w:rPr>
          <w:rFonts w:eastAsia="Times New Roman" w:cs="Times New Roman"/>
          <w:color w:val="000000"/>
          <w:lang w:eastAsia="zh-CN"/>
        </w:rPr>
        <w:t>and US</w:t>
      </w:r>
      <w:r w:rsidR="00565852" w:rsidRPr="00BD54C2">
        <w:rPr>
          <w:rFonts w:eastAsia="Times New Roman" w:cs="Times New Roman"/>
          <w:color w:val="000000"/>
          <w:lang w:eastAsia="zh-CN"/>
        </w:rPr>
        <w:t xml:space="preserve">. </w:t>
      </w:r>
      <w:r w:rsidR="00F0150F">
        <w:rPr>
          <w:rFonts w:eastAsia="Times New Roman" w:cs="Times New Roman"/>
          <w:color w:val="000000"/>
          <w:lang w:eastAsia="zh-CN"/>
        </w:rPr>
        <w:t>I</w:t>
      </w:r>
      <w:r w:rsidR="00565852" w:rsidRPr="00BD54C2">
        <w:rPr>
          <w:rFonts w:eastAsia="Times New Roman" w:cs="Times New Roman"/>
          <w:color w:val="000000"/>
          <w:lang w:eastAsia="zh-CN"/>
        </w:rPr>
        <w:t>t was assumed that similar trends will be followed at the global scale.</w:t>
      </w:r>
    </w:p>
    <w:p w14:paraId="4896E1D2" w14:textId="5CB98637" w:rsidR="00BD7079" w:rsidRPr="00F0150F" w:rsidRDefault="00565852" w:rsidP="00F0150F">
      <w:pPr>
        <w:spacing w:after="0"/>
        <w:ind w:left="360"/>
        <w:jc w:val="left"/>
        <w:rPr>
          <w:rFonts w:eastAsia="Times New Roman" w:cs="Times New Roman"/>
          <w:sz w:val="24"/>
          <w:szCs w:val="24"/>
          <w:lang w:eastAsia="zh-CN"/>
        </w:rPr>
      </w:pPr>
      <w:r w:rsidRPr="00F0150F">
        <w:rPr>
          <w:rFonts w:eastAsia="Times New Roman" w:cs="Times New Roman"/>
          <w:lang w:eastAsia="zh-CN"/>
        </w:rPr>
        <w:t xml:space="preserve"> </w:t>
      </w:r>
    </w:p>
    <w:p w14:paraId="04FBF2E3" w14:textId="6267BB18" w:rsidR="009D118F" w:rsidRDefault="00686965" w:rsidP="0043499D">
      <w:pPr>
        <w:pStyle w:val="Heading2"/>
        <w:numPr>
          <w:ilvl w:val="1"/>
          <w:numId w:val="9"/>
        </w:numPr>
        <w:ind w:firstLine="0"/>
      </w:pPr>
      <w:bookmarkStart w:id="50" w:name="_Toc25888678"/>
      <w:r>
        <w:t>Integration</w:t>
      </w:r>
      <w:bookmarkEnd w:id="50"/>
    </w:p>
    <w:p w14:paraId="4F1C20E8" w14:textId="6CF22C6E" w:rsidR="0032353F" w:rsidRDefault="0032353F" w:rsidP="00BF56E5">
      <w:r w:rsidRPr="00DC3559">
        <w:t xml:space="preserve">The </w:t>
      </w:r>
      <w:r>
        <w:t xml:space="preserve">complete Project Drawdown integration documentation (will be available at </w:t>
      </w:r>
      <w:hyperlink r:id="rId15" w:history="1">
        <w:r w:rsidRPr="00835538">
          <w:rPr>
            <w:rStyle w:val="Hyperlink"/>
          </w:rPr>
          <w:t>www.drawdown.org</w:t>
        </w:r>
      </w:hyperlink>
      <w:r>
        <w:t xml:space="preserve">) details how all solution models in each sector are integrated, and how sectors are integrated to form a complete system. Those general notes are excluded from this document but should be referenced for a </w:t>
      </w:r>
      <w:r>
        <w:lastRenderedPageBreak/>
        <w:t>complete understanding of the integration process. Only key elements of the integration process that are needed to understand how this solution fits into the entire system are described here.</w:t>
      </w:r>
    </w:p>
    <w:p w14:paraId="3E17CB25" w14:textId="000285A5" w:rsidR="00BD7079" w:rsidRPr="00D067F6" w:rsidRDefault="00DA00D3" w:rsidP="00BF56E5">
      <w:pPr>
        <w:rPr>
          <w:color w:val="000000" w:themeColor="text1"/>
        </w:rPr>
      </w:pPr>
      <w:r>
        <w:rPr>
          <w:i/>
          <w:color w:val="000000" w:themeColor="text1"/>
        </w:rPr>
        <w:t xml:space="preserve">Perennial </w:t>
      </w:r>
      <w:proofErr w:type="spellStart"/>
      <w:r>
        <w:rPr>
          <w:i/>
          <w:color w:val="000000" w:themeColor="text1"/>
        </w:rPr>
        <w:t>Biomaas</w:t>
      </w:r>
      <w:proofErr w:type="spellEnd"/>
      <w:r w:rsidR="00BD7079" w:rsidRPr="00D067F6">
        <w:rPr>
          <w:i/>
          <w:color w:val="000000" w:themeColor="text1"/>
        </w:rPr>
        <w:t xml:space="preserve"> </w:t>
      </w:r>
      <w:r w:rsidR="00BD7079" w:rsidRPr="00D067F6">
        <w:rPr>
          <w:color w:val="000000" w:themeColor="text1"/>
        </w:rPr>
        <w:t xml:space="preserve">is part of Drawdown’s </w:t>
      </w:r>
      <w:r>
        <w:rPr>
          <w:color w:val="000000" w:themeColor="text1"/>
        </w:rPr>
        <w:t>Land</w:t>
      </w:r>
      <w:r w:rsidR="00BD7079" w:rsidRPr="00D067F6">
        <w:rPr>
          <w:color w:val="000000" w:themeColor="text1"/>
        </w:rPr>
        <w:t xml:space="preserve"> sector. </w:t>
      </w:r>
    </w:p>
    <w:p w14:paraId="31D91080" w14:textId="77777777" w:rsidR="00BD7079" w:rsidRPr="00D067F6" w:rsidRDefault="00BD7079" w:rsidP="00BF56E5">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approach seeks to model integration between and within </w:t>
      </w:r>
      <w:proofErr w:type="gramStart"/>
      <w:r w:rsidRPr="00D067F6">
        <w:rPr>
          <w:rFonts w:eastAsia="Times New Roman" w:cstheme="minorHAnsi"/>
          <w:color w:val="000000" w:themeColor="text1"/>
          <w:lang w:eastAsia="zh-CN"/>
        </w:rPr>
        <w:t>sectors, and</w:t>
      </w:r>
      <w:proofErr w:type="gramEnd"/>
      <w:r w:rsidRPr="00D067F6">
        <w:rPr>
          <w:rFonts w:eastAsia="Times New Roman" w:cstheme="minorHAnsi"/>
          <w:color w:val="000000" w:themeColor="text1"/>
          <w:lang w:eastAsia="zh-CN"/>
        </w:rPr>
        <w:t xml:space="preserve"> avoid double counting. Several tools were developed to assist in this effort. The Agroecological Zone (AEZ) model categorizes the world’s land </w:t>
      </w:r>
      <w:proofErr w:type="gramStart"/>
      <w:r w:rsidRPr="00D067F6">
        <w:rPr>
          <w:rFonts w:eastAsia="Times New Roman" w:cstheme="minorHAnsi"/>
          <w:color w:val="000000" w:themeColor="text1"/>
          <w:lang w:eastAsia="zh-CN"/>
        </w:rPr>
        <w:t>by:</w:t>
      </w:r>
      <w:proofErr w:type="gramEnd"/>
      <w:r w:rsidRPr="00D067F6">
        <w:rPr>
          <w:rFonts w:eastAsia="Times New Roman" w:cstheme="minorHAnsi"/>
          <w:color w:val="000000" w:themeColor="text1"/>
          <w:lang w:eastAsia="zh-CN"/>
        </w:rPr>
        <w:t xml:space="preserve">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w:t>
      </w:r>
      <w:proofErr w:type="gramStart"/>
      <w:r w:rsidRPr="00D067F6">
        <w:rPr>
          <w:rFonts w:eastAsia="Times New Roman" w:cstheme="minorHAnsi"/>
          <w:color w:val="000000" w:themeColor="text1"/>
          <w:lang w:eastAsia="zh-CN"/>
        </w:rPr>
        <w:t>generated</w:t>
      </w:r>
      <w:proofErr w:type="gramEnd"/>
      <w:r w:rsidRPr="00D067F6">
        <w:rPr>
          <w:rFonts w:eastAsia="Times New Roman" w:cstheme="minorHAnsi"/>
          <w:color w:val="000000" w:themeColor="text1"/>
          <w:lang w:eastAsia="zh-CN"/>
        </w:rPr>
        <w:t xml:space="preserve">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proofErr w:type="spellStart"/>
      <w:r w:rsidRPr="00D067F6">
        <w:rPr>
          <w:rFonts w:eastAsia="Times New Roman" w:cstheme="minorHAnsi"/>
          <w:i/>
          <w:iCs/>
          <w:color w:val="000000" w:themeColor="text1"/>
          <w:lang w:eastAsia="zh-CN"/>
        </w:rPr>
        <w:t>Multistrata</w:t>
      </w:r>
      <w:proofErr w:type="spellEnd"/>
      <w:r w:rsidRPr="00D067F6">
        <w:rPr>
          <w:rFonts w:eastAsia="Times New Roman" w:cstheme="minorHAnsi"/>
          <w:i/>
          <w:iCs/>
          <w:color w:val="000000" w:themeColor="text1"/>
          <w:lang w:eastAsia="zh-CN"/>
        </w:rPr>
        <w:t xml:space="preserve">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Each unit of land was allocated to a separate solution to avoid overlap between practices. The exception to this </w:t>
      </w:r>
      <w:proofErr w:type="gramStart"/>
      <w:r w:rsidRPr="00D067F6">
        <w:rPr>
          <w:rFonts w:eastAsia="Times New Roman" w:cstheme="minorHAnsi"/>
          <w:color w:val="000000" w:themeColor="text1"/>
          <w:lang w:eastAsia="zh-CN"/>
        </w:rPr>
        <w:t>are</w:t>
      </w:r>
      <w:proofErr w:type="gramEnd"/>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BF56E5">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BF56E5">
      <w:pPr>
        <w:spacing w:after="0"/>
        <w:rPr>
          <w:rFonts w:eastAsia="Times New Roman" w:cstheme="minorHAnsi"/>
          <w:color w:val="000000" w:themeColor="text1"/>
          <w:lang w:eastAsia="zh-CN"/>
        </w:rPr>
      </w:pPr>
    </w:p>
    <w:p w14:paraId="2FC8D641" w14:textId="267BCB03" w:rsidR="00BD7079" w:rsidRDefault="00BD7079" w:rsidP="00BF56E5">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w:t>
      </w:r>
      <w:proofErr w:type="gramStart"/>
      <w:r w:rsidRPr="00D57049">
        <w:rPr>
          <w:rFonts w:eastAsia="Times New Roman" w:cstheme="minorHAnsi"/>
          <w:color w:val="000000" w:themeColor="text1"/>
          <w:lang w:eastAsia="zh-CN"/>
        </w:rPr>
        <w:t>on:</w:t>
      </w:r>
      <w:proofErr w:type="gramEnd"/>
      <w:r w:rsidRPr="00D57049">
        <w:rPr>
          <w:rFonts w:eastAsia="Times New Roman" w:cstheme="minorHAnsi"/>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 xml:space="preserve">-Ecological Zone model, based on </w:t>
      </w:r>
      <w:r w:rsidRPr="00D57049">
        <w:rPr>
          <w:rFonts w:eastAsia="Times New Roman" w:cstheme="minorHAnsi"/>
          <w:color w:val="000000" w:themeColor="text1"/>
          <w:lang w:eastAsia="zh-CN"/>
        </w:rPr>
        <w:lastRenderedPageBreak/>
        <w:t>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46D03AB4" w14:textId="77777777" w:rsidR="00BD7079" w:rsidRDefault="00BD7079" w:rsidP="00BF56E5">
      <w:pPr>
        <w:spacing w:after="0"/>
        <w:rPr>
          <w:rFonts w:eastAsia="Times New Roman" w:cstheme="minorHAnsi"/>
          <w:color w:val="000000" w:themeColor="text1"/>
          <w:lang w:eastAsia="zh-CN"/>
        </w:rPr>
      </w:pPr>
    </w:p>
    <w:p w14:paraId="7BD89DFB" w14:textId="77777777" w:rsidR="00BD7079" w:rsidRPr="00D067F6" w:rsidRDefault="00BD7079" w:rsidP="00BF56E5">
      <w:pPr>
        <w:rPr>
          <w:rFonts w:cstheme="minorHAnsi"/>
          <w:b/>
          <w:i/>
          <w:color w:val="000000" w:themeColor="text1"/>
        </w:rPr>
      </w:pPr>
      <w:r w:rsidRPr="00D067F6">
        <w:rPr>
          <w:rFonts w:cstheme="minorHAnsi"/>
          <w:b/>
          <w:i/>
          <w:color w:val="000000" w:themeColor="text1"/>
        </w:rPr>
        <w:t xml:space="preserve">The Yield </w:t>
      </w:r>
      <w:proofErr w:type="gramStart"/>
      <w:r w:rsidRPr="00D067F6">
        <w:rPr>
          <w:rFonts w:cstheme="minorHAnsi"/>
          <w:b/>
          <w:i/>
          <w:color w:val="000000" w:themeColor="text1"/>
        </w:rPr>
        <w:t>model</w:t>
      </w:r>
      <w:proofErr w:type="gramEnd"/>
    </w:p>
    <w:p w14:paraId="4031AE7A" w14:textId="77777777" w:rsidR="00BD7079" w:rsidRPr="00D067F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w:t>
      </w:r>
      <w:proofErr w:type="gramStart"/>
      <w:r w:rsidRPr="00D067F6">
        <w:rPr>
          <w:rFonts w:eastAsia="Times New Roman" w:cstheme="minorHAnsi"/>
          <w:color w:val="000000" w:themeColor="text1"/>
          <w:lang w:eastAsia="zh-CN"/>
        </w:rPr>
        <w:t>amount</w:t>
      </w:r>
      <w:proofErr w:type="gramEnd"/>
      <w:r w:rsidRPr="00D067F6">
        <w:rPr>
          <w:rFonts w:eastAsia="Times New Roman" w:cstheme="minorHAnsi"/>
          <w:color w:val="000000" w:themeColor="text1"/>
          <w:lang w:eastAsia="zh-CN"/>
        </w:rPr>
        <w:t xml:space="preserve">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219F5F4A" w14:textId="7BCA58AF" w:rsidR="00BD7079" w:rsidRDefault="00BD7079" w:rsidP="00DD1A5E">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All three Drawdown scenarios show agricultural production </w:t>
      </w:r>
      <w:proofErr w:type="gramStart"/>
      <w:r w:rsidRPr="00D067F6">
        <w:rPr>
          <w:rFonts w:eastAsia="Times New Roman" w:cstheme="minorHAnsi"/>
          <w:color w:val="000000" w:themeColor="text1"/>
          <w:lang w:eastAsia="zh-CN"/>
        </w:rPr>
        <w:t>sufficient</w:t>
      </w:r>
      <w:proofErr w:type="gramEnd"/>
      <w:r w:rsidRPr="00D067F6">
        <w:rPr>
          <w:rFonts w:eastAsia="Times New Roman" w:cstheme="minorHAnsi"/>
          <w:color w:val="000000" w:themeColor="text1"/>
          <w:lang w:eastAsia="zh-CN"/>
        </w:rPr>
        <w:t xml:space="preserve">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1CB93081" w14:textId="725A2F68" w:rsidR="00DB26A7" w:rsidRDefault="00DB26A7" w:rsidP="00DD1A5E">
      <w:pPr>
        <w:shd w:val="clear" w:color="auto" w:fill="FFFFFF"/>
        <w:spacing w:after="135"/>
        <w:rPr>
          <w:rFonts w:eastAsia="Times New Roman" w:cstheme="minorHAnsi"/>
          <w:color w:val="000000" w:themeColor="text1"/>
          <w:lang w:eastAsia="zh-CN"/>
        </w:rPr>
      </w:pPr>
      <w:r>
        <w:rPr>
          <w:rFonts w:eastAsia="Times New Roman" w:cstheme="minorHAnsi"/>
          <w:color w:val="000000" w:themeColor="text1"/>
          <w:lang w:eastAsia="zh-CN"/>
        </w:rPr>
        <w:t>This solution is adopted on degraded grassland, and as a result displaces grazing, impacting global livestock production.</w:t>
      </w:r>
    </w:p>
    <w:p w14:paraId="2843B45C" w14:textId="77777777" w:rsidR="006953F7" w:rsidRPr="00AD789B" w:rsidRDefault="006953F7" w:rsidP="006953F7">
      <w:pPr>
        <w:shd w:val="clear" w:color="auto" w:fill="FFFFFF"/>
        <w:spacing w:after="135" w:line="330" w:lineRule="atLeast"/>
        <w:rPr>
          <w:rFonts w:eastAsia="Times New Roman" w:cs="Times New Roman"/>
          <w:color w:val="222222"/>
          <w:lang w:eastAsia="zh-CN"/>
        </w:rPr>
      </w:pPr>
      <w:r w:rsidRPr="00AD789B">
        <w:rPr>
          <w:rFonts w:eastAsia="Times New Roman" w:cs="Times New Roman"/>
          <w:b/>
          <w:bCs/>
          <w:i/>
          <w:iCs/>
          <w:color w:val="000000"/>
          <w:lang w:eastAsia="zh-CN"/>
        </w:rPr>
        <w:t>The Biomass Model</w:t>
      </w:r>
    </w:p>
    <w:p w14:paraId="486AF295" w14:textId="77777777" w:rsidR="006953F7" w:rsidRPr="00AD789B" w:rsidRDefault="006953F7" w:rsidP="006953F7">
      <w:pPr>
        <w:shd w:val="clear" w:color="auto" w:fill="FFFFFF"/>
        <w:spacing w:after="135" w:line="330" w:lineRule="atLeast"/>
        <w:rPr>
          <w:rFonts w:eastAsia="Times New Roman" w:cs="Times New Roman"/>
          <w:color w:val="222222"/>
          <w:lang w:eastAsia="zh-CN"/>
        </w:rPr>
      </w:pPr>
      <w:r w:rsidRPr="00AD789B">
        <w:rPr>
          <w:rFonts w:eastAsia="Times New Roman" w:cs="Times New Roman"/>
          <w:color w:val="000000"/>
          <w:lang w:eastAsia="zh-CN"/>
        </w:rPr>
        <w:t xml:space="preserve">Drawdown’s Biomass model begins with projected global biomass demand through 2060, based on FAO historical data and other sources, in categories including </w:t>
      </w:r>
      <w:proofErr w:type="spellStart"/>
      <w:r w:rsidRPr="00AD789B">
        <w:rPr>
          <w:rFonts w:eastAsia="Times New Roman" w:cs="Times New Roman"/>
          <w:color w:val="000000"/>
          <w:lang w:eastAsia="zh-CN"/>
        </w:rPr>
        <w:t>sawnwood</w:t>
      </w:r>
      <w:proofErr w:type="spellEnd"/>
      <w:r w:rsidRPr="00AD789B">
        <w:rPr>
          <w:rFonts w:eastAsia="Times New Roman" w:cs="Times New Roman"/>
          <w:color w:val="000000"/>
          <w:lang w:eastAsia="zh-CN"/>
        </w:rPr>
        <w:t>, other woody biomass, and herbaceous biomass (which includes crop residues). It determines the impact of demand reduction solutions including </w:t>
      </w:r>
      <w:r w:rsidRPr="00AD789B">
        <w:rPr>
          <w:rFonts w:eastAsia="Times New Roman" w:cs="Times New Roman"/>
          <w:i/>
          <w:iCs/>
          <w:color w:val="000000"/>
          <w:lang w:eastAsia="zh-CN"/>
        </w:rPr>
        <w:t>clean cookstoves</w:t>
      </w:r>
      <w:r w:rsidRPr="00AD789B">
        <w:rPr>
          <w:rFonts w:eastAsia="Times New Roman" w:cs="Times New Roman"/>
          <w:color w:val="000000"/>
          <w:lang w:eastAsia="zh-CN"/>
        </w:rPr>
        <w:t> and </w:t>
      </w:r>
      <w:r w:rsidRPr="00AD789B">
        <w:rPr>
          <w:rFonts w:eastAsia="Times New Roman" w:cs="Times New Roman"/>
          <w:i/>
          <w:iCs/>
          <w:color w:val="000000"/>
          <w:lang w:eastAsia="zh-CN"/>
        </w:rPr>
        <w:t>recycled paper</w:t>
      </w:r>
      <w:r w:rsidRPr="00AD789B">
        <w:rPr>
          <w:rFonts w:eastAsia="Times New Roman" w:cs="Times New Roman"/>
          <w:color w:val="000000"/>
          <w:lang w:eastAsia="zh-CN"/>
        </w:rPr>
        <w:t>, resulting in an adjusted demand projection through 2060. Biomass supply reductions are modeled as well, which result from protection of forests</w:t>
      </w:r>
      <w:r>
        <w:rPr>
          <w:rFonts w:eastAsia="Times New Roman" w:cs="Times New Roman"/>
          <w:color w:val="000000"/>
          <w:lang w:eastAsia="zh-CN"/>
        </w:rPr>
        <w:t xml:space="preserve"> from </w:t>
      </w:r>
      <w:r>
        <w:rPr>
          <w:rFonts w:eastAsia="Times New Roman" w:cs="Times New Roman"/>
          <w:i/>
          <w:iCs/>
          <w:color w:val="000000"/>
          <w:lang w:eastAsia="zh-CN"/>
        </w:rPr>
        <w:t xml:space="preserve">forest protection, Indigenous Peoples’ forest management, mangrove protection, </w:t>
      </w:r>
      <w:r w:rsidRPr="0003602E">
        <w:rPr>
          <w:rFonts w:eastAsia="Times New Roman" w:cs="Times New Roman"/>
          <w:color w:val="000000"/>
          <w:lang w:eastAsia="zh-CN"/>
        </w:rPr>
        <w:t>and</w:t>
      </w:r>
      <w:r>
        <w:rPr>
          <w:rFonts w:eastAsia="Times New Roman" w:cs="Times New Roman"/>
          <w:i/>
          <w:iCs/>
          <w:color w:val="000000"/>
          <w:lang w:eastAsia="zh-CN"/>
        </w:rPr>
        <w:t xml:space="preserve"> peatland protection</w:t>
      </w:r>
      <w:r w:rsidRPr="00AD789B">
        <w:rPr>
          <w:rFonts w:eastAsia="Times New Roman" w:cs="Times New Roman"/>
          <w:color w:val="000000"/>
          <w:lang w:eastAsia="zh-CN"/>
        </w:rPr>
        <w:t xml:space="preserve">, reducing biomass availability. Biomass supply increases are modeled through the increased adoption of </w:t>
      </w:r>
      <w:r w:rsidRPr="00AD789B">
        <w:rPr>
          <w:rFonts w:eastAsia="Times New Roman" w:cs="Times New Roman"/>
          <w:color w:val="000000"/>
          <w:lang w:eastAsia="zh-CN"/>
        </w:rPr>
        <w:lastRenderedPageBreak/>
        <w:t>solutions including </w:t>
      </w:r>
      <w:r w:rsidRPr="00AD789B">
        <w:rPr>
          <w:rFonts w:eastAsia="Times New Roman" w:cs="Times New Roman"/>
          <w:i/>
          <w:iCs/>
          <w:color w:val="000000"/>
          <w:lang w:eastAsia="zh-CN"/>
        </w:rPr>
        <w:t>afforestation, bamboo, perennial biomass </w:t>
      </w:r>
      <w:r w:rsidRPr="00AD789B">
        <w:rPr>
          <w:rFonts w:eastAsia="Times New Roman" w:cs="Times New Roman"/>
          <w:color w:val="000000"/>
          <w:lang w:eastAsia="zh-CN"/>
        </w:rPr>
        <w:t>and</w:t>
      </w:r>
      <w:r w:rsidRPr="00AD789B">
        <w:rPr>
          <w:rFonts w:eastAsia="Times New Roman" w:cs="Times New Roman"/>
          <w:i/>
          <w:iCs/>
          <w:color w:val="000000"/>
          <w:lang w:eastAsia="zh-CN"/>
        </w:rPr>
        <w:t> </w:t>
      </w:r>
      <w:r w:rsidRPr="00AD789B">
        <w:rPr>
          <w:rFonts w:eastAsia="Times New Roman" w:cs="Times New Roman"/>
          <w:color w:val="000000"/>
          <w:lang w:eastAsia="zh-CN"/>
        </w:rPr>
        <w:t>agroforestry solutions like </w:t>
      </w:r>
      <w:r w:rsidRPr="00AD789B">
        <w:rPr>
          <w:rFonts w:eastAsia="Times New Roman" w:cs="Times New Roman"/>
          <w:i/>
          <w:iCs/>
          <w:color w:val="000000"/>
          <w:lang w:eastAsia="zh-CN"/>
        </w:rPr>
        <w:t xml:space="preserve">tree intercropping, </w:t>
      </w:r>
      <w:proofErr w:type="spellStart"/>
      <w:r w:rsidRPr="00AD789B">
        <w:rPr>
          <w:rFonts w:eastAsia="Times New Roman" w:cs="Times New Roman"/>
          <w:i/>
          <w:iCs/>
          <w:color w:val="000000"/>
          <w:lang w:eastAsia="zh-CN"/>
        </w:rPr>
        <w:t>silvopasture</w:t>
      </w:r>
      <w:proofErr w:type="spellEnd"/>
      <w:r w:rsidRPr="00AD789B">
        <w:rPr>
          <w:rFonts w:eastAsia="Times New Roman" w:cs="Times New Roman"/>
          <w:i/>
          <w:iCs/>
          <w:color w:val="000000"/>
          <w:lang w:eastAsia="zh-CN"/>
        </w:rPr>
        <w:t>, </w:t>
      </w:r>
      <w:r w:rsidRPr="00AD789B">
        <w:rPr>
          <w:rFonts w:eastAsia="Times New Roman" w:cs="Times New Roman"/>
          <w:color w:val="000000"/>
          <w:lang w:eastAsia="zh-CN"/>
        </w:rPr>
        <w:t>and </w:t>
      </w:r>
      <w:proofErr w:type="spellStart"/>
      <w:r w:rsidRPr="00AD789B">
        <w:rPr>
          <w:rFonts w:eastAsia="Times New Roman" w:cs="Times New Roman"/>
          <w:i/>
          <w:iCs/>
          <w:color w:val="000000"/>
          <w:lang w:eastAsia="zh-CN"/>
        </w:rPr>
        <w:t>multistrata</w:t>
      </w:r>
      <w:proofErr w:type="spellEnd"/>
      <w:r w:rsidRPr="00AD789B">
        <w:rPr>
          <w:rFonts w:eastAsia="Times New Roman" w:cs="Times New Roman"/>
          <w:i/>
          <w:iCs/>
          <w:color w:val="000000"/>
          <w:lang w:eastAsia="zh-CN"/>
        </w:rPr>
        <w:t xml:space="preserve"> agroforestry. </w:t>
      </w:r>
      <w:r w:rsidRPr="00AD789B">
        <w:rPr>
          <w:rFonts w:eastAsia="Times New Roman" w:cs="Times New Roman"/>
          <w:color w:val="000000"/>
          <w:lang w:eastAsia="zh-CN"/>
        </w:rPr>
        <w:t>Biomass availability from crop residues, </w:t>
      </w:r>
      <w:r w:rsidRPr="00AD789B">
        <w:rPr>
          <w:rFonts w:eastAsia="Times New Roman" w:cs="Times New Roman"/>
          <w:i/>
          <w:iCs/>
          <w:color w:val="000000"/>
          <w:lang w:eastAsia="zh-CN"/>
        </w:rPr>
        <w:t>seaweed farming</w:t>
      </w:r>
      <w:r w:rsidRPr="00AD789B">
        <w:rPr>
          <w:rFonts w:eastAsia="Times New Roman" w:cs="Times New Roman"/>
          <w:color w:val="000000"/>
          <w:lang w:eastAsia="zh-CN"/>
        </w:rPr>
        <w:t>, and dedicated biomass crops planted on cropland freed up by </w:t>
      </w:r>
      <w:r w:rsidRPr="00AD789B">
        <w:rPr>
          <w:rFonts w:eastAsia="Times New Roman" w:cs="Times New Roman"/>
          <w:i/>
          <w:iCs/>
          <w:color w:val="000000"/>
          <w:lang w:eastAsia="zh-CN"/>
        </w:rPr>
        <w:t>sustainable intensification</w:t>
      </w:r>
      <w:r w:rsidRPr="00AD789B">
        <w:rPr>
          <w:rFonts w:eastAsia="Times New Roman" w:cs="Times New Roman"/>
          <w:color w:val="000000"/>
          <w:lang w:eastAsia="zh-CN"/>
        </w:rPr>
        <w:t> is also modeled.</w:t>
      </w:r>
    </w:p>
    <w:p w14:paraId="08D9AFCE" w14:textId="1C6C7F7C" w:rsidR="006953F7" w:rsidRPr="00DD1A5E" w:rsidRDefault="006953F7" w:rsidP="0047117A">
      <w:pPr>
        <w:shd w:val="clear" w:color="auto" w:fill="FFFFFF"/>
        <w:spacing w:after="135" w:line="330" w:lineRule="atLeast"/>
        <w:rPr>
          <w:rFonts w:eastAsia="Times New Roman" w:cstheme="minorHAnsi"/>
          <w:color w:val="000000" w:themeColor="text1"/>
          <w:lang w:eastAsia="zh-CN"/>
        </w:rPr>
      </w:pPr>
      <w:r w:rsidRPr="00AD789B">
        <w:rPr>
          <w:rFonts w:eastAsia="Times New Roman" w:cs="Times New Roman"/>
          <w:color w:val="000000"/>
          <w:lang w:eastAsia="zh-CN"/>
        </w:rPr>
        <w:t>Surplus biomass is allocated to climate solutions that require biomass as feedstock. These include </w:t>
      </w:r>
      <w:r w:rsidRPr="00AD789B">
        <w:rPr>
          <w:rFonts w:eastAsia="Times New Roman" w:cs="Times New Roman"/>
          <w:i/>
          <w:iCs/>
          <w:color w:val="000000"/>
          <w:lang w:eastAsia="zh-CN"/>
        </w:rPr>
        <w:t>biochar, biomass electricity, bioplastic, 2</w:t>
      </w:r>
      <w:r w:rsidRPr="00AD789B">
        <w:rPr>
          <w:rFonts w:eastAsia="Times New Roman" w:cs="Times New Roman"/>
          <w:i/>
          <w:iCs/>
          <w:color w:val="000000"/>
          <w:vertAlign w:val="superscript"/>
          <w:lang w:eastAsia="zh-CN"/>
        </w:rPr>
        <w:t>nd</w:t>
      </w:r>
      <w:r w:rsidRPr="00AD789B">
        <w:rPr>
          <w:rFonts w:eastAsia="Times New Roman" w:cs="Times New Roman"/>
          <w:i/>
          <w:iCs/>
          <w:color w:val="000000"/>
          <w:lang w:eastAsia="zh-CN"/>
        </w:rPr>
        <w:t> generation biofuels, building with wood, insulation, small-scale biogas, </w:t>
      </w:r>
      <w:r w:rsidRPr="00AD789B">
        <w:rPr>
          <w:rFonts w:eastAsia="Times New Roman" w:cs="Times New Roman"/>
          <w:color w:val="000000"/>
          <w:lang w:eastAsia="zh-CN"/>
        </w:rPr>
        <w:t>and </w:t>
      </w:r>
      <w:r w:rsidRPr="00AD789B">
        <w:rPr>
          <w:rFonts w:eastAsia="Times New Roman" w:cs="Times New Roman"/>
          <w:i/>
          <w:iCs/>
          <w:color w:val="000000"/>
          <w:lang w:eastAsia="zh-CN"/>
        </w:rPr>
        <w:t>district heating. </w:t>
      </w:r>
      <w:r w:rsidRPr="00AD789B">
        <w:rPr>
          <w:rFonts w:eastAsia="Times New Roman" w:cs="Times New Roman"/>
          <w:color w:val="000000"/>
          <w:lang w:eastAsia="zh-CN"/>
        </w:rPr>
        <w:t>This biomass feedstock allocation was a constraint to the adoption of this solution. </w:t>
      </w:r>
      <w:r w:rsidRPr="00AD789B">
        <w:rPr>
          <w:rFonts w:eastAsia="Times New Roman" w:cs="Times New Roman"/>
          <w:i/>
          <w:iCs/>
          <w:color w:val="000000"/>
          <w:lang w:eastAsia="zh-CN"/>
        </w:rPr>
        <w:t> </w:t>
      </w:r>
    </w:p>
    <w:p w14:paraId="0ED84BEA" w14:textId="7FCE4E73" w:rsidR="009D118F" w:rsidRDefault="00686965" w:rsidP="0043499D">
      <w:pPr>
        <w:pStyle w:val="Heading2"/>
        <w:numPr>
          <w:ilvl w:val="1"/>
          <w:numId w:val="9"/>
        </w:numPr>
        <w:ind w:firstLine="0"/>
      </w:pPr>
      <w:bookmarkStart w:id="51" w:name="_Toc25888679"/>
      <w:r>
        <w:t>Limitations/Further Development</w:t>
      </w:r>
      <w:bookmarkEnd w:id="51"/>
    </w:p>
    <w:p w14:paraId="34BE4080" w14:textId="521C6721" w:rsidR="008B7E2F" w:rsidRDefault="00971899" w:rsidP="00971899">
      <w:pPr>
        <w:spacing w:after="0"/>
        <w:jc w:val="left"/>
        <w:rPr>
          <w:rFonts w:cs="Times New Roman"/>
          <w:shd w:val="clear" w:color="auto" w:fill="FFFFFF"/>
        </w:rPr>
      </w:pPr>
      <w:r>
        <w:rPr>
          <w:rFonts w:eastAsia="Times New Roman" w:cs="Times New Roman"/>
          <w:lang w:eastAsia="zh-CN"/>
        </w:rPr>
        <w:t>There are l</w:t>
      </w:r>
      <w:r w:rsidR="00565852" w:rsidRPr="00971899">
        <w:rPr>
          <w:rFonts w:eastAsia="Times New Roman" w:cs="Times New Roman"/>
          <w:lang w:eastAsia="zh-CN"/>
        </w:rPr>
        <w:t xml:space="preserve">imited data availability </w:t>
      </w:r>
      <w:r w:rsidR="00DA00D3">
        <w:rPr>
          <w:rFonts w:eastAsia="Times New Roman" w:cs="Times New Roman"/>
          <w:lang w:eastAsia="zh-CN"/>
        </w:rPr>
        <w:t>on adoption</w:t>
      </w:r>
      <w:r w:rsidR="00D73D7F" w:rsidRPr="00971899">
        <w:rPr>
          <w:rFonts w:eastAsia="Times New Roman" w:cs="Times New Roman"/>
          <w:lang w:eastAsia="zh-CN"/>
        </w:rPr>
        <w:t>, that is used for</w:t>
      </w:r>
      <w:r w:rsidR="00565852" w:rsidRPr="00971899">
        <w:rPr>
          <w:rFonts w:eastAsia="Times New Roman" w:cs="Times New Roman"/>
          <w:lang w:eastAsia="zh-CN"/>
        </w:rPr>
        <w:t xml:space="preserve"> developing the future adoption scenario. </w:t>
      </w:r>
      <w:r w:rsidR="00D73D7F" w:rsidRPr="00971899">
        <w:rPr>
          <w:rFonts w:eastAsia="Times New Roman" w:cs="Times New Roman"/>
          <w:lang w:eastAsia="zh-CN"/>
        </w:rPr>
        <w:t xml:space="preserve">Current </w:t>
      </w:r>
      <w:r w:rsidR="00D73D7F" w:rsidRPr="00971899">
        <w:rPr>
          <w:rFonts w:cs="Times New Roman"/>
          <w:shd w:val="clear" w:color="auto" w:fill="FFFFFF"/>
        </w:rPr>
        <w:t>dataset</w:t>
      </w:r>
      <w:r w:rsidR="001F4A49" w:rsidRPr="00971899">
        <w:rPr>
          <w:rFonts w:cs="Times New Roman"/>
          <w:shd w:val="clear" w:color="auto" w:fill="FFFFFF"/>
        </w:rPr>
        <w:t xml:space="preserve"> </w:t>
      </w:r>
      <w:r w:rsidR="00D73D7F" w:rsidRPr="00971899">
        <w:rPr>
          <w:rFonts w:cs="Times New Roman"/>
          <w:shd w:val="clear" w:color="auto" w:fill="FFFFFF"/>
        </w:rPr>
        <w:t>needs to be updated, based on new scientific knowledge</w:t>
      </w:r>
      <w:r w:rsidR="001F4A49" w:rsidRPr="00971899">
        <w:rPr>
          <w:rFonts w:cs="Times New Roman"/>
          <w:shd w:val="clear" w:color="auto" w:fill="FFFFFF"/>
        </w:rPr>
        <w:t>. </w:t>
      </w:r>
    </w:p>
    <w:p w14:paraId="1DB99032" w14:textId="71752AA5" w:rsidR="0047117A" w:rsidRDefault="0047117A" w:rsidP="00971899">
      <w:pPr>
        <w:spacing w:after="0"/>
        <w:jc w:val="left"/>
        <w:rPr>
          <w:rFonts w:cs="Times New Roman"/>
          <w:shd w:val="clear" w:color="auto" w:fill="FFFFFF"/>
        </w:rPr>
      </w:pPr>
    </w:p>
    <w:p w14:paraId="36F1EB70" w14:textId="24E93342" w:rsidR="0047117A" w:rsidRDefault="0047117A" w:rsidP="00971899">
      <w:pPr>
        <w:spacing w:after="0"/>
        <w:jc w:val="left"/>
        <w:rPr>
          <w:rFonts w:cs="Times New Roman"/>
          <w:shd w:val="clear" w:color="auto" w:fill="FFFFFF"/>
        </w:rPr>
      </w:pPr>
    </w:p>
    <w:p w14:paraId="2160305D" w14:textId="32B35455" w:rsidR="0047117A" w:rsidRDefault="0047117A" w:rsidP="00971899">
      <w:pPr>
        <w:spacing w:after="0"/>
        <w:jc w:val="left"/>
        <w:rPr>
          <w:rFonts w:cs="Times New Roman"/>
          <w:shd w:val="clear" w:color="auto" w:fill="FFFFFF"/>
        </w:rPr>
      </w:pPr>
    </w:p>
    <w:p w14:paraId="24B6FF99" w14:textId="165F17CC" w:rsidR="0047117A" w:rsidRDefault="0047117A" w:rsidP="00971899">
      <w:pPr>
        <w:spacing w:after="0"/>
        <w:jc w:val="left"/>
        <w:rPr>
          <w:rFonts w:cs="Times New Roman"/>
          <w:shd w:val="clear" w:color="auto" w:fill="FFFFFF"/>
        </w:rPr>
      </w:pPr>
    </w:p>
    <w:p w14:paraId="59209B7D" w14:textId="14A240BF" w:rsidR="0047117A" w:rsidRDefault="0047117A" w:rsidP="00971899">
      <w:pPr>
        <w:spacing w:after="0"/>
        <w:jc w:val="left"/>
        <w:rPr>
          <w:rFonts w:cs="Times New Roman"/>
          <w:shd w:val="clear" w:color="auto" w:fill="FFFFFF"/>
        </w:rPr>
      </w:pPr>
    </w:p>
    <w:p w14:paraId="2F9A8E12" w14:textId="1C01B4F1" w:rsidR="0047117A" w:rsidRDefault="0047117A" w:rsidP="00971899">
      <w:pPr>
        <w:spacing w:after="0"/>
        <w:jc w:val="left"/>
        <w:rPr>
          <w:rFonts w:cs="Times New Roman"/>
          <w:shd w:val="clear" w:color="auto" w:fill="FFFFFF"/>
        </w:rPr>
      </w:pPr>
    </w:p>
    <w:p w14:paraId="08874883" w14:textId="04853176" w:rsidR="0047117A" w:rsidRDefault="0047117A" w:rsidP="00971899">
      <w:pPr>
        <w:spacing w:after="0"/>
        <w:jc w:val="left"/>
        <w:rPr>
          <w:rFonts w:cs="Times New Roman"/>
          <w:shd w:val="clear" w:color="auto" w:fill="FFFFFF"/>
        </w:rPr>
      </w:pPr>
    </w:p>
    <w:p w14:paraId="04C7265B" w14:textId="24D04FFD" w:rsidR="0047117A" w:rsidRDefault="0047117A" w:rsidP="00971899">
      <w:pPr>
        <w:spacing w:after="0"/>
        <w:jc w:val="left"/>
        <w:rPr>
          <w:rFonts w:cs="Times New Roman"/>
          <w:shd w:val="clear" w:color="auto" w:fill="FFFFFF"/>
        </w:rPr>
      </w:pPr>
    </w:p>
    <w:p w14:paraId="66996943" w14:textId="4A8A28DA" w:rsidR="0047117A" w:rsidRDefault="0047117A" w:rsidP="00971899">
      <w:pPr>
        <w:spacing w:after="0"/>
        <w:jc w:val="left"/>
        <w:rPr>
          <w:rFonts w:cs="Times New Roman"/>
          <w:shd w:val="clear" w:color="auto" w:fill="FFFFFF"/>
        </w:rPr>
      </w:pPr>
    </w:p>
    <w:p w14:paraId="314E1308" w14:textId="613BDE44" w:rsidR="0047117A" w:rsidRDefault="0047117A" w:rsidP="00971899">
      <w:pPr>
        <w:spacing w:after="0"/>
        <w:jc w:val="left"/>
        <w:rPr>
          <w:rFonts w:cs="Times New Roman"/>
          <w:shd w:val="clear" w:color="auto" w:fill="FFFFFF"/>
        </w:rPr>
      </w:pPr>
    </w:p>
    <w:p w14:paraId="50CACE96" w14:textId="7529E79F" w:rsidR="0047117A" w:rsidRDefault="0047117A" w:rsidP="00971899">
      <w:pPr>
        <w:spacing w:after="0"/>
        <w:jc w:val="left"/>
        <w:rPr>
          <w:rFonts w:cs="Times New Roman"/>
          <w:shd w:val="clear" w:color="auto" w:fill="FFFFFF"/>
        </w:rPr>
      </w:pPr>
    </w:p>
    <w:p w14:paraId="63A7B825" w14:textId="23196BFA" w:rsidR="0047117A" w:rsidRDefault="0047117A" w:rsidP="00971899">
      <w:pPr>
        <w:spacing w:after="0"/>
        <w:jc w:val="left"/>
        <w:rPr>
          <w:rFonts w:cs="Times New Roman"/>
          <w:shd w:val="clear" w:color="auto" w:fill="FFFFFF"/>
        </w:rPr>
      </w:pPr>
    </w:p>
    <w:p w14:paraId="215008C6" w14:textId="268E98AB" w:rsidR="0047117A" w:rsidRDefault="0047117A" w:rsidP="00971899">
      <w:pPr>
        <w:spacing w:after="0"/>
        <w:jc w:val="left"/>
        <w:rPr>
          <w:rFonts w:cs="Times New Roman"/>
          <w:shd w:val="clear" w:color="auto" w:fill="FFFFFF"/>
        </w:rPr>
      </w:pPr>
    </w:p>
    <w:p w14:paraId="4783963D" w14:textId="77777777" w:rsidR="0047117A" w:rsidRPr="00971899" w:rsidRDefault="0047117A" w:rsidP="00971899">
      <w:pPr>
        <w:spacing w:after="0"/>
        <w:jc w:val="left"/>
        <w:rPr>
          <w:rFonts w:cs="Times New Roman"/>
          <w:shd w:val="clear" w:color="auto" w:fill="FFFFFF"/>
        </w:rPr>
      </w:pPr>
    </w:p>
    <w:p w14:paraId="7CAFC693" w14:textId="34BB4C02" w:rsidR="007C645A" w:rsidRDefault="551A77D0" w:rsidP="0047117A">
      <w:pPr>
        <w:pStyle w:val="Heading1"/>
      </w:pPr>
      <w:bookmarkStart w:id="52" w:name="_Toc25888680"/>
      <w:r>
        <w:t>Results</w:t>
      </w:r>
      <w:bookmarkEnd w:id="52"/>
    </w:p>
    <w:p w14:paraId="7E39F2AB" w14:textId="00511488" w:rsidR="00B261E0" w:rsidRDefault="007C645A" w:rsidP="0043499D">
      <w:pPr>
        <w:pStyle w:val="Heading2"/>
        <w:numPr>
          <w:ilvl w:val="1"/>
          <w:numId w:val="10"/>
        </w:numPr>
      </w:pPr>
      <w:bookmarkStart w:id="53" w:name="_Toc25888681"/>
      <w:r>
        <w:t>Adoption</w:t>
      </w:r>
      <w:bookmarkEnd w:id="53"/>
    </w:p>
    <w:p w14:paraId="10EC0E5D" w14:textId="0FA1CCD6" w:rsidR="0032353F" w:rsidRDefault="0032353F" w:rsidP="00BF56E5">
      <w:pPr>
        <w:rPr>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0DF10ADF" w14:textId="15596A15" w:rsidR="00220BA1" w:rsidRPr="00AA3BB4" w:rsidRDefault="00220BA1" w:rsidP="00BF56E5">
      <w:pPr>
        <w:shd w:val="clear" w:color="auto" w:fill="FFFFFF"/>
        <w:spacing w:after="180"/>
        <w:rPr>
          <w:rFonts w:eastAsia="Times New Roman" w:cs="Times New Roman"/>
          <w:lang w:eastAsia="zh-CN"/>
        </w:rPr>
      </w:pPr>
      <w:r w:rsidRPr="00AA3BB4">
        <w:rPr>
          <w:rFonts w:eastAsia="Times New Roman" w:cs="Times New Roman"/>
          <w:lang w:eastAsia="zh-CN"/>
        </w:rPr>
        <w:lastRenderedPageBreak/>
        <w:t>Total adoption in the </w:t>
      </w:r>
      <w:r w:rsidRPr="00AA3BB4">
        <w:rPr>
          <w:rFonts w:eastAsia="Times New Roman" w:cs="Times New Roman"/>
          <w:i/>
          <w:iCs/>
          <w:lang w:eastAsia="zh-CN"/>
        </w:rPr>
        <w:t>Plausible</w:t>
      </w:r>
      <w:r w:rsidRPr="00AA3BB4">
        <w:rPr>
          <w:rFonts w:eastAsia="Times New Roman" w:cs="Times New Roman"/>
          <w:lang w:eastAsia="zh-CN"/>
        </w:rPr>
        <w:t xml:space="preserve"> Scenario is </w:t>
      </w:r>
      <w:r w:rsidR="001D54A2">
        <w:rPr>
          <w:rFonts w:eastAsia="Times New Roman" w:cs="Times New Roman"/>
          <w:lang w:eastAsia="zh-CN"/>
        </w:rPr>
        <w:t>96.39</w:t>
      </w:r>
      <w:r w:rsidRPr="00AA3BB4">
        <w:rPr>
          <w:rFonts w:eastAsia="Times New Roman" w:cs="Times New Roman"/>
          <w:lang w:eastAsia="zh-CN"/>
        </w:rPr>
        <w:t xml:space="preserve"> million hectares in 2050, representing </w:t>
      </w:r>
      <w:r w:rsidR="001D54A2">
        <w:rPr>
          <w:rFonts w:eastAsia="Times New Roman" w:cs="Times New Roman"/>
          <w:lang w:eastAsia="zh-CN"/>
        </w:rPr>
        <w:t>63</w:t>
      </w:r>
      <w:r w:rsidRPr="00AA3BB4">
        <w:rPr>
          <w:rFonts w:eastAsia="Times New Roman" w:cs="Times New Roman"/>
          <w:lang w:eastAsia="zh-CN"/>
        </w:rPr>
        <w:t xml:space="preserve"> percent of the total suitable land. Of this, </w:t>
      </w:r>
      <w:r w:rsidR="001D54A2">
        <w:rPr>
          <w:rFonts w:eastAsia="Times New Roman" w:cs="Times New Roman"/>
          <w:lang w:eastAsia="zh-CN"/>
        </w:rPr>
        <w:t>96.12</w:t>
      </w:r>
      <w:r w:rsidRPr="00AA3BB4">
        <w:rPr>
          <w:rFonts w:eastAsia="Times New Roman" w:cs="Times New Roman"/>
          <w:lang w:eastAsia="zh-CN"/>
        </w:rPr>
        <w:t xml:space="preserve"> million hectares are adopted from 2020-2050. </w:t>
      </w:r>
    </w:p>
    <w:p w14:paraId="733AC8F4" w14:textId="30246429" w:rsidR="00220BA1" w:rsidRPr="00AA3BB4" w:rsidRDefault="00220BA1" w:rsidP="00BF56E5">
      <w:pPr>
        <w:shd w:val="clear" w:color="auto" w:fill="FFFFFF"/>
        <w:spacing w:after="180"/>
        <w:rPr>
          <w:rFonts w:eastAsia="Times New Roman" w:cs="Times New Roman"/>
          <w:lang w:eastAsia="zh-CN"/>
        </w:rPr>
      </w:pPr>
      <w:r w:rsidRPr="00AA3BB4">
        <w:rPr>
          <w:rFonts w:eastAsia="Times New Roman" w:cs="Times New Roman"/>
          <w:lang w:eastAsia="zh-CN"/>
        </w:rPr>
        <w:t>Total adoption in the </w:t>
      </w:r>
      <w:r w:rsidRPr="00AA3BB4">
        <w:rPr>
          <w:rFonts w:eastAsia="Times New Roman" w:cs="Times New Roman"/>
          <w:i/>
          <w:iCs/>
          <w:lang w:eastAsia="zh-CN"/>
        </w:rPr>
        <w:t>Drawdown</w:t>
      </w:r>
      <w:r w:rsidRPr="00AA3BB4">
        <w:rPr>
          <w:rFonts w:eastAsia="Times New Roman" w:cs="Times New Roman"/>
          <w:lang w:eastAsia="zh-CN"/>
        </w:rPr>
        <w:t xml:space="preserve"> Scenario is </w:t>
      </w:r>
      <w:r w:rsidR="001D54A2" w:rsidRPr="001D54A2">
        <w:rPr>
          <w:rFonts w:eastAsia="Times New Roman" w:cs="Times New Roman"/>
          <w:lang w:eastAsia="zh-CN"/>
        </w:rPr>
        <w:t xml:space="preserve">143.55 </w:t>
      </w:r>
      <w:r w:rsidRPr="00AA3BB4">
        <w:rPr>
          <w:rFonts w:eastAsia="Times New Roman" w:cs="Times New Roman"/>
          <w:lang w:eastAsia="zh-CN"/>
        </w:rPr>
        <w:t xml:space="preserve">million hectares in 2050, representing </w:t>
      </w:r>
      <w:r w:rsidR="001D54A2">
        <w:rPr>
          <w:rFonts w:eastAsia="Times New Roman" w:cs="Times New Roman"/>
          <w:lang w:eastAsia="zh-CN"/>
        </w:rPr>
        <w:t>93</w:t>
      </w:r>
      <w:r w:rsidRPr="00AA3BB4">
        <w:rPr>
          <w:rFonts w:eastAsia="Times New Roman" w:cs="Times New Roman"/>
          <w:lang w:eastAsia="zh-CN"/>
        </w:rPr>
        <w:t xml:space="preserve"> percent of the total suitable land. Of this, </w:t>
      </w:r>
      <w:r w:rsidR="001D54A2" w:rsidRPr="001D54A2">
        <w:rPr>
          <w:rFonts w:eastAsia="Times New Roman" w:cs="Times New Roman"/>
          <w:lang w:eastAsia="zh-CN"/>
        </w:rPr>
        <w:t>143.28</w:t>
      </w:r>
      <w:r w:rsidRPr="00AA3BB4">
        <w:rPr>
          <w:rFonts w:eastAsia="Times New Roman" w:cs="Times New Roman"/>
          <w:lang w:eastAsia="zh-CN"/>
        </w:rPr>
        <w:t xml:space="preserve">million hectares are adopted from 2020-2050. </w:t>
      </w:r>
    </w:p>
    <w:p w14:paraId="4D63FADF" w14:textId="388B3469" w:rsidR="00341625" w:rsidRDefault="00220BA1" w:rsidP="00BF56E5">
      <w:pPr>
        <w:shd w:val="clear" w:color="auto" w:fill="FFFFFF"/>
        <w:spacing w:after="180"/>
        <w:rPr>
          <w:rFonts w:eastAsia="Times New Roman" w:cs="Times New Roman"/>
          <w:lang w:eastAsia="zh-CN"/>
        </w:rPr>
      </w:pPr>
      <w:r w:rsidRPr="00AA3BB4">
        <w:rPr>
          <w:rFonts w:eastAsia="Times New Roman" w:cs="Times New Roman"/>
          <w:lang w:eastAsia="zh-CN"/>
        </w:rPr>
        <w:t>Total adoption in the </w:t>
      </w:r>
      <w:r w:rsidRPr="00AA3BB4">
        <w:rPr>
          <w:rFonts w:eastAsia="Times New Roman" w:cs="Times New Roman"/>
          <w:i/>
          <w:iCs/>
          <w:lang w:eastAsia="zh-CN"/>
        </w:rPr>
        <w:t>Optimal</w:t>
      </w:r>
      <w:r w:rsidRPr="00AA3BB4">
        <w:rPr>
          <w:rFonts w:eastAsia="Times New Roman" w:cs="Times New Roman"/>
          <w:lang w:eastAsia="zh-CN"/>
        </w:rPr>
        <w:t xml:space="preserve"> Scenario is </w:t>
      </w:r>
      <w:r w:rsidR="001D54A2">
        <w:rPr>
          <w:rFonts w:eastAsia="Times New Roman" w:cs="Times New Roman"/>
          <w:lang w:eastAsia="zh-CN"/>
        </w:rPr>
        <w:t xml:space="preserve">154.33 </w:t>
      </w:r>
      <w:r w:rsidRPr="00AA3BB4">
        <w:rPr>
          <w:rFonts w:eastAsia="Times New Roman" w:cs="Times New Roman"/>
          <w:lang w:eastAsia="zh-CN"/>
        </w:rPr>
        <w:t xml:space="preserve">million hectares in 2050, representing 100 percent of the total suitable land. Of this, </w:t>
      </w:r>
      <w:r w:rsidR="001D54A2">
        <w:rPr>
          <w:rFonts w:eastAsia="Times New Roman" w:cs="Times New Roman"/>
          <w:lang w:eastAsia="zh-CN"/>
        </w:rPr>
        <w:t>154.06</w:t>
      </w:r>
      <w:r w:rsidRPr="00AA3BB4">
        <w:rPr>
          <w:rFonts w:eastAsia="Times New Roman" w:cs="Times New Roman"/>
          <w:lang w:eastAsia="zh-CN"/>
        </w:rPr>
        <w:t xml:space="preserve"> million hectares are adopted from 2020-2050. </w:t>
      </w:r>
    </w:p>
    <w:p w14:paraId="30A33329" w14:textId="0099C732" w:rsidR="00B257CA" w:rsidRDefault="00B257CA" w:rsidP="00B257CA">
      <w:pPr>
        <w:pStyle w:val="Caption"/>
        <w:keepNext/>
        <w:jc w:val="center"/>
      </w:pPr>
      <w:bookmarkStart w:id="54" w:name="_Toc18444712"/>
      <w:r>
        <w:t xml:space="preserve">Table </w:t>
      </w:r>
      <w:r w:rsidR="00CE1040">
        <w:fldChar w:fldCharType="begin"/>
      </w:r>
      <w:r w:rsidR="00CE1040">
        <w:instrText xml:space="preserve"> STYLEREF 1 \s </w:instrText>
      </w:r>
      <w:r w:rsidR="00CE1040">
        <w:fldChar w:fldCharType="separate"/>
      </w:r>
      <w:r w:rsidR="00872721">
        <w:rPr>
          <w:noProof/>
        </w:rPr>
        <w:t>3</w:t>
      </w:r>
      <w:r w:rsidR="00CE1040">
        <w:rPr>
          <w:noProof/>
        </w:rPr>
        <w:fldChar w:fldCharType="end"/>
      </w:r>
      <w:r w:rsidR="0047117A">
        <w:t>.</w:t>
      </w:r>
      <w:r w:rsidR="00CE1040">
        <w:fldChar w:fldCharType="begin"/>
      </w:r>
      <w:r w:rsidR="00CE1040">
        <w:instrText xml:space="preserve"> SEQ Table \* ARABIC \s 1 </w:instrText>
      </w:r>
      <w:r w:rsidR="00CE1040">
        <w:fldChar w:fldCharType="separate"/>
      </w:r>
      <w:r w:rsidR="00872721">
        <w:rPr>
          <w:noProof/>
        </w:rPr>
        <w:t>1</w:t>
      </w:r>
      <w:r w:rsidR="00CE1040">
        <w:rPr>
          <w:noProof/>
        </w:rPr>
        <w:fldChar w:fldCharType="end"/>
      </w:r>
      <w:r>
        <w:t>:</w:t>
      </w:r>
      <w:r w:rsidRPr="00E551BD">
        <w:t>World Adoption of the Solution</w:t>
      </w:r>
      <w:bookmarkEnd w:id="54"/>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BF56E5">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BF56E5">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BF56E5">
            <w:pPr>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4260" w:type="dxa"/>
            <w:gridSpan w:val="3"/>
            <w:shd w:val="clear" w:color="auto" w:fill="4F81BD" w:themeFill="accent1"/>
            <w:vAlign w:val="center"/>
          </w:tcPr>
          <w:p w14:paraId="1BAFBD47" w14:textId="25665941" w:rsidR="0032353F" w:rsidRPr="005C77F5" w:rsidRDefault="0061098C" w:rsidP="00BF56E5">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BF56E5">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BF56E5">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BF56E5">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BF56E5">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BF56E5">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BF56E5">
            <w:pPr>
              <w:jc w:val="center"/>
              <w:rPr>
                <w:b/>
                <w:bCs/>
                <w:iCs/>
                <w:color w:val="FFFFFF" w:themeColor="background1"/>
                <w:sz w:val="20"/>
                <w:szCs w:val="20"/>
              </w:rPr>
            </w:pPr>
            <w:r w:rsidRPr="005C77F5">
              <w:rPr>
                <w:b/>
                <w:bCs/>
                <w:iCs/>
                <w:color w:val="FFFFFF" w:themeColor="background1"/>
                <w:sz w:val="20"/>
                <w:szCs w:val="20"/>
              </w:rPr>
              <w:t>Optimum</w:t>
            </w:r>
          </w:p>
        </w:tc>
      </w:tr>
      <w:tr w:rsidR="001D54A2" w:rsidRPr="008D1491" w14:paraId="305C72A7" w14:textId="77777777" w:rsidTr="001D54A2">
        <w:trPr>
          <w:trHeight w:val="840"/>
        </w:trPr>
        <w:tc>
          <w:tcPr>
            <w:tcW w:w="1951" w:type="dxa"/>
            <w:vMerge w:val="restart"/>
            <w:vAlign w:val="center"/>
          </w:tcPr>
          <w:p w14:paraId="2B8FFE1B" w14:textId="3744D916" w:rsidR="001D54A2" w:rsidRPr="008D1491" w:rsidRDefault="00DA00D3" w:rsidP="001D54A2">
            <w:pPr>
              <w:jc w:val="center"/>
              <w:rPr>
                <w:sz w:val="20"/>
                <w:szCs w:val="20"/>
              </w:rPr>
            </w:pPr>
            <w:r>
              <w:rPr>
                <w:sz w:val="20"/>
                <w:szCs w:val="20"/>
              </w:rPr>
              <w:t xml:space="preserve">Perennial </w:t>
            </w:r>
            <w:proofErr w:type="spellStart"/>
            <w:r>
              <w:rPr>
                <w:sz w:val="20"/>
                <w:szCs w:val="20"/>
              </w:rPr>
              <w:t>Biomaas</w:t>
            </w:r>
            <w:proofErr w:type="spellEnd"/>
          </w:p>
        </w:tc>
        <w:tc>
          <w:tcPr>
            <w:tcW w:w="1730" w:type="dxa"/>
            <w:vAlign w:val="center"/>
          </w:tcPr>
          <w:p w14:paraId="5BDA7373" w14:textId="7A13D18D" w:rsidR="001D54A2" w:rsidRPr="00341625" w:rsidRDefault="001D54A2" w:rsidP="001D54A2">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4BF03DF8" w:rsidR="001D54A2" w:rsidRPr="001D54A2" w:rsidRDefault="001D54A2" w:rsidP="001D54A2">
            <w:pPr>
              <w:jc w:val="center"/>
              <w:rPr>
                <w:rFonts w:cstheme="minorHAnsi"/>
                <w:bCs/>
                <w:sz w:val="20"/>
                <w:szCs w:val="20"/>
              </w:rPr>
            </w:pPr>
            <w:r w:rsidRPr="001D54A2">
              <w:rPr>
                <w:sz w:val="20"/>
                <w:szCs w:val="20"/>
              </w:rPr>
              <w:t xml:space="preserve"> 0.27 </w:t>
            </w:r>
          </w:p>
        </w:tc>
        <w:tc>
          <w:tcPr>
            <w:tcW w:w="1417" w:type="dxa"/>
            <w:vAlign w:val="center"/>
          </w:tcPr>
          <w:p w14:paraId="2A8FE7A2" w14:textId="68D57A3A" w:rsidR="001D54A2" w:rsidRPr="001D54A2" w:rsidRDefault="001D54A2" w:rsidP="001D54A2">
            <w:pPr>
              <w:jc w:val="center"/>
              <w:rPr>
                <w:rFonts w:cstheme="minorHAnsi"/>
                <w:bCs/>
                <w:sz w:val="20"/>
                <w:szCs w:val="20"/>
              </w:rPr>
            </w:pPr>
            <w:r w:rsidRPr="001D54A2">
              <w:rPr>
                <w:sz w:val="20"/>
                <w:szCs w:val="20"/>
              </w:rPr>
              <w:t>96.12</w:t>
            </w:r>
          </w:p>
        </w:tc>
        <w:tc>
          <w:tcPr>
            <w:tcW w:w="1559" w:type="dxa"/>
            <w:vAlign w:val="center"/>
          </w:tcPr>
          <w:p w14:paraId="79EE8DDC" w14:textId="17BA2AF6" w:rsidR="001D54A2" w:rsidRPr="001D54A2" w:rsidRDefault="001D54A2" w:rsidP="001D54A2">
            <w:pPr>
              <w:jc w:val="center"/>
              <w:rPr>
                <w:rFonts w:cstheme="minorHAnsi"/>
                <w:bCs/>
                <w:sz w:val="20"/>
                <w:szCs w:val="20"/>
              </w:rPr>
            </w:pPr>
            <w:r w:rsidRPr="001D54A2">
              <w:rPr>
                <w:sz w:val="20"/>
                <w:szCs w:val="20"/>
              </w:rPr>
              <w:t>143.28</w:t>
            </w:r>
          </w:p>
        </w:tc>
        <w:tc>
          <w:tcPr>
            <w:tcW w:w="1284" w:type="dxa"/>
            <w:vAlign w:val="center"/>
          </w:tcPr>
          <w:p w14:paraId="5B002A1D" w14:textId="4333B22E" w:rsidR="001D54A2" w:rsidRPr="001D54A2" w:rsidRDefault="001D54A2" w:rsidP="001D54A2">
            <w:pPr>
              <w:jc w:val="center"/>
              <w:rPr>
                <w:rFonts w:cstheme="minorHAnsi"/>
                <w:bCs/>
                <w:sz w:val="20"/>
                <w:szCs w:val="20"/>
              </w:rPr>
            </w:pPr>
            <w:r w:rsidRPr="001D54A2">
              <w:rPr>
                <w:sz w:val="20"/>
                <w:szCs w:val="20"/>
              </w:rPr>
              <w:t>154.06</w:t>
            </w:r>
          </w:p>
        </w:tc>
      </w:tr>
      <w:tr w:rsidR="001D54A2" w:rsidRPr="008D1491" w14:paraId="59E1863D" w14:textId="77777777" w:rsidTr="001D54A2">
        <w:trPr>
          <w:trHeight w:val="32"/>
        </w:trPr>
        <w:tc>
          <w:tcPr>
            <w:tcW w:w="1951" w:type="dxa"/>
            <w:vMerge/>
            <w:vAlign w:val="center"/>
          </w:tcPr>
          <w:p w14:paraId="518ED63B" w14:textId="77777777" w:rsidR="001D54A2" w:rsidRDefault="001D54A2" w:rsidP="001D54A2">
            <w:pPr>
              <w:jc w:val="center"/>
              <w:rPr>
                <w:sz w:val="20"/>
                <w:szCs w:val="20"/>
              </w:rPr>
            </w:pPr>
          </w:p>
        </w:tc>
        <w:tc>
          <w:tcPr>
            <w:tcW w:w="1730" w:type="dxa"/>
            <w:vAlign w:val="center"/>
          </w:tcPr>
          <w:p w14:paraId="2352B4C1" w14:textId="73B014A0" w:rsidR="001D54A2" w:rsidRPr="005C77F5" w:rsidRDefault="001D54A2" w:rsidP="001D54A2">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1A54E87A" w:rsidR="001D54A2" w:rsidRPr="001D54A2" w:rsidRDefault="001D54A2" w:rsidP="001D54A2">
            <w:pPr>
              <w:jc w:val="center"/>
              <w:rPr>
                <w:rFonts w:cstheme="minorHAnsi"/>
                <w:bCs/>
                <w:sz w:val="20"/>
                <w:szCs w:val="20"/>
              </w:rPr>
            </w:pPr>
            <w:r w:rsidRPr="001D54A2">
              <w:rPr>
                <w:sz w:val="20"/>
                <w:szCs w:val="20"/>
              </w:rPr>
              <w:t>0.2%</w:t>
            </w:r>
          </w:p>
        </w:tc>
        <w:tc>
          <w:tcPr>
            <w:tcW w:w="1417" w:type="dxa"/>
            <w:vAlign w:val="center"/>
          </w:tcPr>
          <w:p w14:paraId="34CAFB53" w14:textId="042A8911" w:rsidR="001D54A2" w:rsidRPr="001D54A2" w:rsidRDefault="001D54A2" w:rsidP="001D54A2">
            <w:pPr>
              <w:jc w:val="center"/>
              <w:rPr>
                <w:rFonts w:cstheme="minorHAnsi"/>
                <w:bCs/>
                <w:sz w:val="20"/>
                <w:szCs w:val="20"/>
              </w:rPr>
            </w:pPr>
            <w:r w:rsidRPr="001D54A2">
              <w:rPr>
                <w:sz w:val="20"/>
                <w:szCs w:val="20"/>
              </w:rPr>
              <w:t>63%</w:t>
            </w:r>
          </w:p>
        </w:tc>
        <w:tc>
          <w:tcPr>
            <w:tcW w:w="1559" w:type="dxa"/>
            <w:vAlign w:val="center"/>
          </w:tcPr>
          <w:p w14:paraId="43B375D1" w14:textId="1823DA5E" w:rsidR="001D54A2" w:rsidRPr="001D54A2" w:rsidRDefault="001D54A2" w:rsidP="001D54A2">
            <w:pPr>
              <w:jc w:val="center"/>
              <w:rPr>
                <w:rFonts w:cstheme="minorHAnsi"/>
                <w:bCs/>
                <w:sz w:val="20"/>
                <w:szCs w:val="20"/>
              </w:rPr>
            </w:pPr>
            <w:r w:rsidRPr="001D54A2">
              <w:rPr>
                <w:sz w:val="20"/>
                <w:szCs w:val="20"/>
              </w:rPr>
              <w:t>93%</w:t>
            </w:r>
          </w:p>
        </w:tc>
        <w:tc>
          <w:tcPr>
            <w:tcW w:w="1284" w:type="dxa"/>
            <w:vAlign w:val="center"/>
          </w:tcPr>
          <w:p w14:paraId="7641EB01" w14:textId="002436EC" w:rsidR="001D54A2" w:rsidRPr="001D54A2" w:rsidRDefault="001D54A2" w:rsidP="001D54A2">
            <w:pPr>
              <w:jc w:val="center"/>
              <w:rPr>
                <w:rFonts w:cstheme="minorHAnsi"/>
                <w:bCs/>
                <w:sz w:val="20"/>
                <w:szCs w:val="20"/>
              </w:rPr>
            </w:pPr>
            <w:r w:rsidRPr="001D54A2">
              <w:rPr>
                <w:sz w:val="20"/>
                <w:szCs w:val="20"/>
              </w:rPr>
              <w:t>100%</w:t>
            </w:r>
          </w:p>
        </w:tc>
      </w:tr>
    </w:tbl>
    <w:p w14:paraId="0D817E1E" w14:textId="77777777" w:rsidR="0032353F" w:rsidRDefault="0032353F" w:rsidP="00BF56E5">
      <w:pPr>
        <w:pStyle w:val="Caption"/>
      </w:pPr>
    </w:p>
    <w:p w14:paraId="0D293E47" w14:textId="046A6E55" w:rsidR="001E64E6" w:rsidRDefault="001D54A2" w:rsidP="00BF56E5">
      <w:pPr>
        <w:pStyle w:val="Caption"/>
        <w:jc w:val="center"/>
      </w:pPr>
      <w:r>
        <w:rPr>
          <w:noProof/>
        </w:rPr>
        <w:drawing>
          <wp:inline distT="0" distB="0" distL="0" distR="0" wp14:anchorId="448B6CB4" wp14:editId="33D60F88">
            <wp:extent cx="4624917" cy="3253230"/>
            <wp:effectExtent l="0" t="0" r="4445" b="4445"/>
            <wp:docPr id="1" name="Chart 1">
              <a:extLst xmlns:a="http://schemas.openxmlformats.org/drawingml/2006/main">
                <a:ext uri="{FF2B5EF4-FFF2-40B4-BE49-F238E27FC236}">
                  <a16:creationId xmlns:a16="http://schemas.microsoft.com/office/drawing/2014/main" id="{7F235AB8-26AB-4571-9A31-5E6308A47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175580" w14:textId="329335DB" w:rsidR="001D54A2" w:rsidRPr="001D54A2" w:rsidRDefault="001D54A2" w:rsidP="001D54A2">
      <w:pPr>
        <w:jc w:val="center"/>
      </w:pPr>
      <w:r>
        <w:rPr>
          <w:noProof/>
        </w:rPr>
        <w:lastRenderedPageBreak/>
        <w:drawing>
          <wp:inline distT="0" distB="0" distL="0" distR="0" wp14:anchorId="5485DB17" wp14:editId="7CFEA835">
            <wp:extent cx="4639733" cy="3096597"/>
            <wp:effectExtent l="0" t="0" r="8890" b="8890"/>
            <wp:docPr id="2" name="Chart 2">
              <a:extLst xmlns:a="http://schemas.openxmlformats.org/drawingml/2006/main">
                <a:ext uri="{FF2B5EF4-FFF2-40B4-BE49-F238E27FC236}">
                  <a16:creationId xmlns:a16="http://schemas.microsoft.com/office/drawing/2014/main" id="{3D6D9EC6-823F-4DDA-99F4-702EF6A22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715BDB" w14:textId="6CE8E452" w:rsidR="00FE712D" w:rsidRPr="00FE712D" w:rsidRDefault="0047117A" w:rsidP="0047117A">
      <w:pPr>
        <w:pStyle w:val="Caption"/>
      </w:pPr>
      <w:bookmarkStart w:id="55" w:name="_Toc18444702"/>
      <w:r>
        <w:t xml:space="preserve">Figure </w:t>
      </w:r>
      <w:r w:rsidR="00CE1040">
        <w:fldChar w:fldCharType="begin"/>
      </w:r>
      <w:r w:rsidR="00CE1040">
        <w:instrText xml:space="preserve"> STYLEREF 1 \s </w:instrText>
      </w:r>
      <w:r w:rsidR="00CE1040">
        <w:fldChar w:fldCharType="separate"/>
      </w:r>
      <w:r w:rsidR="00872721">
        <w:rPr>
          <w:noProof/>
        </w:rPr>
        <w:t>3</w:t>
      </w:r>
      <w:r w:rsidR="00CE1040">
        <w:rPr>
          <w:noProof/>
        </w:rPr>
        <w:fldChar w:fldCharType="end"/>
      </w:r>
      <w:r>
        <w:t>.</w:t>
      </w:r>
      <w:r w:rsidR="00CE1040">
        <w:fldChar w:fldCharType="begin"/>
      </w:r>
      <w:r w:rsidR="00CE1040">
        <w:instrText xml:space="preserve"> SEQ Figure \* ARABIC \s 1 </w:instrText>
      </w:r>
      <w:r w:rsidR="00CE1040">
        <w:fldChar w:fldCharType="separate"/>
      </w:r>
      <w:r w:rsidR="00872721">
        <w:rPr>
          <w:noProof/>
        </w:rPr>
        <w:t>1</w:t>
      </w:r>
      <w:r w:rsidR="00CE1040">
        <w:rPr>
          <w:noProof/>
        </w:rPr>
        <w:fldChar w:fldCharType="end"/>
      </w:r>
      <w:r>
        <w:t>:</w:t>
      </w:r>
      <w:r w:rsidRPr="00E17331">
        <w:t xml:space="preserve">World Annual Adoption 2020-2050 in </w:t>
      </w:r>
      <w:proofErr w:type="spellStart"/>
      <w:r w:rsidRPr="00E17331">
        <w:t>Mha</w:t>
      </w:r>
      <w:proofErr w:type="spellEnd"/>
      <w:r w:rsidRPr="00E17331">
        <w:t xml:space="preserve"> (a) and as a percentage of TLA (b)</w:t>
      </w:r>
      <w:bookmarkEnd w:id="55"/>
    </w:p>
    <w:p w14:paraId="6B6F22E7" w14:textId="19002B27" w:rsidR="003A7929" w:rsidRPr="006D14A6" w:rsidRDefault="551A77D0" w:rsidP="0043499D">
      <w:pPr>
        <w:pStyle w:val="Heading2"/>
        <w:numPr>
          <w:ilvl w:val="1"/>
          <w:numId w:val="10"/>
        </w:numPr>
        <w:ind w:firstLine="0"/>
      </w:pPr>
      <w:bookmarkStart w:id="56" w:name="_Toc25888682"/>
      <w:r w:rsidRPr="006D14A6">
        <w:t>Climate Impacts</w:t>
      </w:r>
      <w:bookmarkEnd w:id="56"/>
    </w:p>
    <w:p w14:paraId="61041E32" w14:textId="0A60B62E" w:rsidR="0032353F" w:rsidRDefault="0032353F" w:rsidP="00BF56E5">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1CEC1691" w14:textId="4DA8E190" w:rsidR="00EB64C5" w:rsidRPr="00C66A24" w:rsidRDefault="00EB64C5" w:rsidP="00BF56E5">
      <w:pPr>
        <w:shd w:val="clear" w:color="auto" w:fill="FFFFFF"/>
        <w:spacing w:after="180"/>
        <w:rPr>
          <w:rFonts w:eastAsia="Helvetica Neue" w:cstheme="minorHAnsi"/>
          <w:color w:val="000000"/>
        </w:rPr>
      </w:pPr>
      <w:r>
        <w:rPr>
          <w:rFonts w:eastAsia="Helvetica Neue" w:cstheme="minorHAnsi"/>
          <w:color w:val="000000"/>
        </w:rPr>
        <w:t>Total</w:t>
      </w:r>
      <w:r w:rsidRPr="00C66A24">
        <w:rPr>
          <w:rFonts w:eastAsia="Helvetica Neue" w:cstheme="minorHAnsi"/>
          <w:color w:val="000000"/>
        </w:rPr>
        <w:t xml:space="preserve"> impact is </w:t>
      </w:r>
      <w:r w:rsidR="0083034C">
        <w:rPr>
          <w:rFonts w:eastAsia="Helvetica Neue" w:cstheme="minorHAnsi"/>
          <w:color w:val="000000"/>
        </w:rPr>
        <w:t>4.93</w:t>
      </w:r>
      <w:r w:rsidRPr="00C66A24">
        <w:rPr>
          <w:rFonts w:eastAsia="Helvetica Neue" w:cstheme="minorHAnsi"/>
          <w:color w:val="000000"/>
        </w:rPr>
        <w:t xml:space="preserve">, </w:t>
      </w:r>
      <w:r w:rsidR="0083034C">
        <w:rPr>
          <w:rFonts w:eastAsia="Helvetica Neue" w:cstheme="minorHAnsi"/>
          <w:color w:val="000000"/>
        </w:rPr>
        <w:t>7.52</w:t>
      </w:r>
      <w:r w:rsidRPr="00C66A24">
        <w:rPr>
          <w:rFonts w:eastAsia="Helvetica Neue" w:cstheme="minorHAnsi"/>
          <w:color w:val="000000"/>
        </w:rPr>
        <w:t xml:space="preserve">, and </w:t>
      </w:r>
      <w:r w:rsidR="0083034C">
        <w:rPr>
          <w:rFonts w:eastAsia="Helvetica Neue" w:cstheme="minorHAnsi"/>
          <w:color w:val="000000"/>
        </w:rPr>
        <w:t>8.07</w:t>
      </w:r>
      <w:r w:rsidRPr="00C66A24">
        <w:rPr>
          <w:rFonts w:eastAsia="Helvetica Neue" w:cstheme="minorHAnsi"/>
          <w:color w:val="000000"/>
        </w:rPr>
        <w:t xml:space="preserve"> gigatons of carbon-dioxide equivalent in the </w:t>
      </w:r>
      <w:r w:rsidRPr="00C66A24">
        <w:rPr>
          <w:rFonts w:eastAsia="Helvetica Neue" w:cstheme="minorHAnsi"/>
          <w:i/>
          <w:color w:val="000000"/>
        </w:rPr>
        <w:t xml:space="preserve">Plausible, Drawdown, </w:t>
      </w:r>
      <w:r w:rsidRPr="00C66A24">
        <w:rPr>
          <w:rFonts w:eastAsia="Helvetica Neue" w:cstheme="minorHAnsi"/>
          <w:color w:val="000000"/>
        </w:rPr>
        <w:t xml:space="preserve">and </w:t>
      </w:r>
      <w:r w:rsidRPr="00C66A24">
        <w:rPr>
          <w:rFonts w:eastAsia="Helvetica Neue" w:cstheme="minorHAnsi"/>
          <w:i/>
          <w:color w:val="000000"/>
        </w:rPr>
        <w:t>Optimum</w:t>
      </w:r>
      <w:r w:rsidRPr="00C66A24">
        <w:rPr>
          <w:rFonts w:eastAsia="Helvetica Neue" w:cstheme="minorHAnsi"/>
          <w:color w:val="000000"/>
        </w:rPr>
        <w:t xml:space="preserve"> Scenarios respectively.</w:t>
      </w:r>
    </w:p>
    <w:p w14:paraId="16CBC864" w14:textId="6360B916" w:rsidR="00B257CA" w:rsidRDefault="00B257CA" w:rsidP="00B257CA">
      <w:pPr>
        <w:pStyle w:val="Caption"/>
        <w:keepNext/>
        <w:jc w:val="center"/>
      </w:pPr>
      <w:bookmarkStart w:id="57" w:name="_Toc18444713"/>
      <w:r>
        <w:t xml:space="preserve">Table </w:t>
      </w:r>
      <w:r w:rsidR="00CE1040">
        <w:fldChar w:fldCharType="begin"/>
      </w:r>
      <w:r w:rsidR="00CE1040">
        <w:instrText xml:space="preserve"> STYLEREF 1 \s </w:instrText>
      </w:r>
      <w:r w:rsidR="00CE1040">
        <w:fldChar w:fldCharType="separate"/>
      </w:r>
      <w:r w:rsidR="00872721">
        <w:rPr>
          <w:noProof/>
        </w:rPr>
        <w:t>3</w:t>
      </w:r>
      <w:r w:rsidR="00CE1040">
        <w:rPr>
          <w:noProof/>
        </w:rPr>
        <w:fldChar w:fldCharType="end"/>
      </w:r>
      <w:r w:rsidR="0047117A">
        <w:t>.</w:t>
      </w:r>
      <w:r w:rsidR="00CE1040">
        <w:fldChar w:fldCharType="begin"/>
      </w:r>
      <w:r w:rsidR="00CE1040">
        <w:instrText xml:space="preserve"> SEQ Table \* ARABIC \s 1 </w:instrText>
      </w:r>
      <w:r w:rsidR="00CE1040">
        <w:fldChar w:fldCharType="separate"/>
      </w:r>
      <w:r w:rsidR="00872721">
        <w:rPr>
          <w:noProof/>
        </w:rPr>
        <w:t>2</w:t>
      </w:r>
      <w:r w:rsidR="00CE1040">
        <w:rPr>
          <w:noProof/>
        </w:rPr>
        <w:fldChar w:fldCharType="end"/>
      </w:r>
      <w:r>
        <w:t>:</w:t>
      </w:r>
      <w:r w:rsidRPr="00492149">
        <w:t>Climate Impacts</w:t>
      </w:r>
      <w:bookmarkEnd w:id="57"/>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1E06044"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735378DF"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BF56E5">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BF56E5">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BF56E5">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33796B" w:rsidRPr="006B675D" w14:paraId="354A2249" w14:textId="7B11184C" w:rsidTr="00DD4F5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33796B" w:rsidRPr="006B675D" w:rsidRDefault="0033796B" w:rsidP="0033796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5D58CC5C"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-0.23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621832D3"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-3.72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705B83AB"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0.37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5A88A0E5"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7.48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521D725D"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3.76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5983304C"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0.19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009E4D1B"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0.14 </w:t>
            </w:r>
          </w:p>
        </w:tc>
      </w:tr>
      <w:tr w:rsidR="0033796B" w:rsidRPr="006B675D" w14:paraId="7DCB0C2E" w14:textId="35D5AF3A" w:rsidTr="00DD4F5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33796B" w:rsidRPr="006B675D" w:rsidRDefault="0033796B" w:rsidP="0033796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lastRenderedPageBreak/>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79608FEF"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-0.35</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478724D6"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-5.72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346A4B41"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0.55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4ED8A500"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11.30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35796AB5"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5.58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3A48DE97"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0.29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6BEA0258"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0.20 </w:t>
            </w:r>
          </w:p>
        </w:tc>
      </w:tr>
      <w:tr w:rsidR="0033796B" w:rsidRPr="006B675D" w14:paraId="7CA1AA1B" w14:textId="3D7819CF" w:rsidTr="00DD4F5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33796B" w:rsidRPr="006B675D" w:rsidRDefault="0033796B" w:rsidP="0033796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018C59CB"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-0.31</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718137BA"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-4.84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5FFEC66E"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0.60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4CF28087"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10.75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1B695C96"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5.92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4F0138F1"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0.23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75F3AB79" w:rsidR="0033796B" w:rsidRPr="0033796B" w:rsidRDefault="0033796B" w:rsidP="0033796B">
            <w:pPr>
              <w:shd w:val="clear" w:color="auto" w:fill="FFFFFF"/>
              <w:spacing w:after="0"/>
              <w:jc w:val="center"/>
              <w:rPr>
                <w:rFonts w:eastAsia="Times New Roman" w:cstheme="minorHAnsi"/>
                <w:color w:val="000000" w:themeColor="text1"/>
                <w:sz w:val="20"/>
                <w:szCs w:val="20"/>
                <w:lang w:eastAsia="zh-CN"/>
              </w:rPr>
            </w:pPr>
            <w:r w:rsidRPr="0033796B">
              <w:rPr>
                <w:sz w:val="20"/>
                <w:szCs w:val="20"/>
              </w:rPr>
              <w:t xml:space="preserve"> 0.29 </w:t>
            </w:r>
          </w:p>
        </w:tc>
      </w:tr>
    </w:tbl>
    <w:p w14:paraId="43965544" w14:textId="77777777" w:rsidR="00BB79D6" w:rsidRDefault="00BB79D6" w:rsidP="00BF56E5">
      <w:pPr>
        <w:pStyle w:val="Caption"/>
      </w:pPr>
      <w:bookmarkStart w:id="58" w:name="_Toc524993443"/>
    </w:p>
    <w:p w14:paraId="30AFEE0B" w14:textId="1E8FD57E" w:rsidR="005C77F5" w:rsidRDefault="00087D3B" w:rsidP="00BF56E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05B49017" w14:textId="2D14DD4F" w:rsidR="0047117A" w:rsidRPr="0047117A" w:rsidRDefault="0047117A" w:rsidP="0047117A">
      <w:pPr>
        <w:pStyle w:val="Caption"/>
        <w:rPr>
          <w:i w:val="0"/>
          <w:sz w:val="20"/>
        </w:rPr>
      </w:pPr>
      <w:bookmarkStart w:id="59" w:name="_Toc18444714"/>
      <w:r w:rsidRPr="0047117A">
        <w:t xml:space="preserve">Table </w:t>
      </w:r>
      <w:r w:rsidR="00CE1040">
        <w:fldChar w:fldCharType="begin"/>
      </w:r>
      <w:r w:rsidR="00CE1040">
        <w:instrText xml:space="preserve"> STYLEREF 1 \s </w:instrText>
      </w:r>
      <w:r w:rsidR="00CE1040">
        <w:fldChar w:fldCharType="separate"/>
      </w:r>
      <w:r w:rsidR="00872721">
        <w:rPr>
          <w:noProof/>
        </w:rPr>
        <w:t>3</w:t>
      </w:r>
      <w:r w:rsidR="00CE1040">
        <w:rPr>
          <w:noProof/>
        </w:rPr>
        <w:fldChar w:fldCharType="end"/>
      </w:r>
      <w:r w:rsidRPr="0047117A">
        <w:t>.</w:t>
      </w:r>
      <w:r w:rsidR="00CE1040">
        <w:fldChar w:fldCharType="begin"/>
      </w:r>
      <w:r w:rsidR="00CE1040">
        <w:instrText xml:space="preserve"> SEQ Table \* ARABIC \s 1 </w:instrText>
      </w:r>
      <w:r w:rsidR="00CE1040">
        <w:fldChar w:fldCharType="separate"/>
      </w:r>
      <w:r w:rsidR="00872721">
        <w:rPr>
          <w:noProof/>
        </w:rPr>
        <w:t>3</w:t>
      </w:r>
      <w:r w:rsidR="00CE1040">
        <w:rPr>
          <w:noProof/>
        </w:rPr>
        <w:fldChar w:fldCharType="end"/>
      </w:r>
      <w:r w:rsidRPr="0047117A">
        <w:rPr>
          <w:sz w:val="20"/>
        </w:rPr>
        <w:t xml:space="preserve"> Impacts on Atmospheric Concentrations of CO2-eq</w:t>
      </w:r>
      <w:bookmarkEnd w:id="59"/>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47117A" w:rsidRPr="0066753A" w14:paraId="7FE5C1C1" w14:textId="77777777" w:rsidTr="002A0E0D">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B087049" w14:textId="77777777" w:rsidR="0047117A" w:rsidRPr="005C77F5" w:rsidRDefault="0047117A" w:rsidP="002A0E0D">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C887A0" w14:textId="77777777" w:rsidR="0047117A" w:rsidRPr="005C77F5" w:rsidRDefault="0047117A" w:rsidP="002A0E0D">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107B634" w14:textId="77777777" w:rsidR="0047117A" w:rsidRPr="005C77F5" w:rsidRDefault="0047117A" w:rsidP="002A0E0D">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47117A" w:rsidRPr="0066753A" w14:paraId="513D0075" w14:textId="77777777" w:rsidTr="002A0E0D">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2C46F34A" w14:textId="77777777" w:rsidR="0047117A" w:rsidRPr="00FB649C" w:rsidRDefault="0047117A" w:rsidP="002A0E0D">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8F02032" w14:textId="77777777" w:rsidR="0047117A" w:rsidRPr="00FB649C" w:rsidRDefault="0047117A" w:rsidP="002A0E0D">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F0FEE7C" w14:textId="77777777" w:rsidR="0047117A" w:rsidRPr="00FB649C" w:rsidRDefault="0047117A" w:rsidP="002A0E0D">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47117A" w:rsidRPr="0066753A" w14:paraId="53846904" w14:textId="77777777" w:rsidTr="002A0E0D">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477A9F" w14:textId="77777777" w:rsidR="0047117A" w:rsidRPr="0066753A" w:rsidRDefault="0047117A" w:rsidP="002A0E0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37F1BD" w14:textId="1A1A9A18" w:rsidR="0047117A" w:rsidRPr="00963421" w:rsidRDefault="0047117A" w:rsidP="0047117A">
            <w:pPr>
              <w:shd w:val="clear" w:color="auto" w:fill="FFFFFF"/>
              <w:spacing w:after="0"/>
              <w:jc w:val="center"/>
              <w:rPr>
                <w:rFonts w:eastAsia="Times New Roman" w:cstheme="minorHAnsi"/>
                <w:color w:val="000000" w:themeColor="text1"/>
                <w:sz w:val="20"/>
                <w:szCs w:val="20"/>
                <w:lang w:eastAsia="zh-CN"/>
              </w:rPr>
            </w:pPr>
            <w:r w:rsidRPr="0047117A">
              <w:rPr>
                <w:sz w:val="20"/>
                <w:szCs w:val="20"/>
              </w:rPr>
              <w:t xml:space="preserve">0.309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41C08A" w14:textId="6A4FFFF0" w:rsidR="0047117A" w:rsidRPr="00963421" w:rsidRDefault="0047117A" w:rsidP="002A0E0D">
            <w:pPr>
              <w:shd w:val="clear" w:color="auto" w:fill="FFFFFF"/>
              <w:spacing w:after="0"/>
              <w:jc w:val="center"/>
              <w:rPr>
                <w:rFonts w:eastAsia="Times New Roman" w:cstheme="minorHAnsi"/>
                <w:color w:val="000000" w:themeColor="text1"/>
                <w:sz w:val="20"/>
                <w:szCs w:val="20"/>
                <w:lang w:eastAsia="zh-CN"/>
              </w:rPr>
            </w:pPr>
            <w:r w:rsidRPr="0047117A">
              <w:rPr>
                <w:sz w:val="20"/>
                <w:szCs w:val="20"/>
              </w:rPr>
              <w:t>0.010</w:t>
            </w:r>
          </w:p>
        </w:tc>
      </w:tr>
      <w:tr w:rsidR="0047117A" w:rsidRPr="0066753A" w14:paraId="46FB41B6" w14:textId="77777777" w:rsidTr="002A0E0D">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BD9419" w14:textId="77777777" w:rsidR="0047117A" w:rsidRPr="0066753A" w:rsidRDefault="0047117A" w:rsidP="002A0E0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E74E2A" w14:textId="1BDE7E95" w:rsidR="0047117A" w:rsidRPr="00963421" w:rsidRDefault="0047117A" w:rsidP="0047117A">
            <w:pPr>
              <w:shd w:val="clear" w:color="auto" w:fill="FFFFFF"/>
              <w:spacing w:after="0"/>
              <w:jc w:val="center"/>
              <w:rPr>
                <w:rFonts w:eastAsia="Times New Roman" w:cstheme="minorHAnsi"/>
                <w:color w:val="000000" w:themeColor="text1"/>
                <w:sz w:val="20"/>
                <w:szCs w:val="20"/>
                <w:lang w:eastAsia="zh-CN"/>
              </w:rPr>
            </w:pPr>
            <w:r w:rsidRPr="0047117A">
              <w:rPr>
                <w:sz w:val="20"/>
                <w:szCs w:val="20"/>
              </w:rPr>
              <w:t xml:space="preserve">0.456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AE54E1" w14:textId="077E85C5" w:rsidR="0047117A" w:rsidRPr="00963421" w:rsidRDefault="0047117A" w:rsidP="002A0E0D">
            <w:pPr>
              <w:shd w:val="clear" w:color="auto" w:fill="FFFFFF"/>
              <w:spacing w:after="0"/>
              <w:jc w:val="center"/>
              <w:rPr>
                <w:rFonts w:eastAsia="Times New Roman" w:cstheme="minorHAnsi"/>
                <w:color w:val="000000" w:themeColor="text1"/>
                <w:sz w:val="20"/>
                <w:szCs w:val="20"/>
                <w:lang w:eastAsia="zh-CN"/>
              </w:rPr>
            </w:pPr>
            <w:r w:rsidRPr="0047117A">
              <w:rPr>
                <w:sz w:val="20"/>
                <w:szCs w:val="20"/>
              </w:rPr>
              <w:t>0.013</w:t>
            </w:r>
          </w:p>
        </w:tc>
      </w:tr>
      <w:tr w:rsidR="0047117A" w:rsidRPr="0066753A" w14:paraId="358EFCDE" w14:textId="77777777" w:rsidTr="002A0E0D">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14B444" w14:textId="77777777" w:rsidR="0047117A" w:rsidRPr="0066753A" w:rsidRDefault="0047117A" w:rsidP="002A0E0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5463AE" w14:textId="04F999BA" w:rsidR="0047117A" w:rsidRPr="00963421" w:rsidRDefault="0047117A" w:rsidP="0047117A">
            <w:pPr>
              <w:shd w:val="clear" w:color="auto" w:fill="FFFFFF"/>
              <w:spacing w:after="0"/>
              <w:jc w:val="center"/>
              <w:rPr>
                <w:rFonts w:eastAsia="Times New Roman" w:cstheme="minorHAnsi"/>
                <w:color w:val="000000" w:themeColor="text1"/>
                <w:sz w:val="20"/>
                <w:szCs w:val="20"/>
                <w:lang w:eastAsia="zh-CN"/>
              </w:rPr>
            </w:pPr>
            <w:r w:rsidRPr="0047117A">
              <w:rPr>
                <w:sz w:val="20"/>
                <w:szCs w:val="20"/>
              </w:rPr>
              <w:t xml:space="preserve">0.495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80CEEC" w14:textId="25CEAE18" w:rsidR="0047117A" w:rsidRPr="00963421" w:rsidRDefault="0047117A" w:rsidP="002A0E0D">
            <w:pPr>
              <w:shd w:val="clear" w:color="auto" w:fill="FFFFFF"/>
              <w:spacing w:after="0"/>
              <w:jc w:val="center"/>
              <w:rPr>
                <w:rFonts w:eastAsia="Times New Roman" w:cstheme="minorHAnsi"/>
                <w:color w:val="000000" w:themeColor="text1"/>
                <w:sz w:val="20"/>
                <w:szCs w:val="20"/>
                <w:lang w:eastAsia="zh-CN"/>
              </w:rPr>
            </w:pPr>
            <w:r w:rsidRPr="0047117A">
              <w:rPr>
                <w:sz w:val="20"/>
                <w:szCs w:val="20"/>
              </w:rPr>
              <w:t>0.022</w:t>
            </w:r>
          </w:p>
        </w:tc>
      </w:tr>
    </w:tbl>
    <w:p w14:paraId="49878EEA" w14:textId="77777777" w:rsidR="0047117A" w:rsidRDefault="0047117A" w:rsidP="0047117A"/>
    <w:p w14:paraId="70827EAC" w14:textId="1ADAF5AF" w:rsidR="0047117A" w:rsidRPr="00996E91" w:rsidRDefault="0047117A" w:rsidP="0047117A">
      <w:pPr>
        <w:jc w:val="center"/>
        <w:rPr>
          <w:highlight w:val="red"/>
        </w:rPr>
      </w:pPr>
      <w:r>
        <w:rPr>
          <w:noProof/>
        </w:rPr>
        <w:lastRenderedPageBreak/>
        <w:drawing>
          <wp:inline distT="0" distB="0" distL="0" distR="0" wp14:anchorId="5D0FF624" wp14:editId="3E51B5E2">
            <wp:extent cx="4538734" cy="3196996"/>
            <wp:effectExtent l="0" t="0" r="14605" b="3810"/>
            <wp:docPr id="4" name="Chart 4">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427A41" w14:textId="11D89785" w:rsidR="0047117A" w:rsidRPr="0047117A" w:rsidRDefault="0047117A" w:rsidP="0047117A">
      <w:pPr>
        <w:pStyle w:val="Caption"/>
        <w:rPr>
          <w:i w:val="0"/>
          <w:sz w:val="20"/>
        </w:rPr>
      </w:pPr>
      <w:bookmarkStart w:id="60" w:name="_Toc18444703"/>
      <w:r w:rsidRPr="0047117A">
        <w:t xml:space="preserve">Figure </w:t>
      </w:r>
      <w:r w:rsidR="00CE1040">
        <w:fldChar w:fldCharType="begin"/>
      </w:r>
      <w:r w:rsidR="00CE1040">
        <w:instrText xml:space="preserve"> STYLEREF 1 \s </w:instrText>
      </w:r>
      <w:r w:rsidR="00CE1040">
        <w:fldChar w:fldCharType="separate"/>
      </w:r>
      <w:r w:rsidR="00872721">
        <w:rPr>
          <w:noProof/>
        </w:rPr>
        <w:t>3</w:t>
      </w:r>
      <w:r w:rsidR="00CE1040">
        <w:rPr>
          <w:noProof/>
        </w:rPr>
        <w:fldChar w:fldCharType="end"/>
      </w:r>
      <w:r w:rsidRPr="0047117A">
        <w:t>.</w:t>
      </w:r>
      <w:r w:rsidR="00CE1040">
        <w:fldChar w:fldCharType="begin"/>
      </w:r>
      <w:r w:rsidR="00CE1040">
        <w:instrText xml:space="preserve"> SEQ Figure \* ARABIC \s 1 </w:instrText>
      </w:r>
      <w:r w:rsidR="00CE1040">
        <w:fldChar w:fldCharType="separate"/>
      </w:r>
      <w:r w:rsidR="00872721">
        <w:rPr>
          <w:noProof/>
        </w:rPr>
        <w:t>2</w:t>
      </w:r>
      <w:r w:rsidR="00CE1040">
        <w:rPr>
          <w:noProof/>
        </w:rPr>
        <w:fldChar w:fldCharType="end"/>
      </w:r>
      <w:r w:rsidRPr="0047117A">
        <w:rPr>
          <w:sz w:val="20"/>
        </w:rPr>
        <w:t xml:space="preserve"> World Annual Greenhouse Gas Emissions Reduction</w:t>
      </w:r>
      <w:bookmarkEnd w:id="60"/>
    </w:p>
    <w:p w14:paraId="1B36EA11" w14:textId="056251BA" w:rsidR="0047117A" w:rsidRPr="00F52A24" w:rsidRDefault="0047117A" w:rsidP="0047117A">
      <w:pPr>
        <w:shd w:val="clear" w:color="auto" w:fill="FFFFFF"/>
        <w:spacing w:after="180"/>
      </w:pPr>
      <w:r w:rsidRPr="00F52A24">
        <w:t xml:space="preserve">Note that the negative value in the later phase shows the emissions associated with the end of life of the </w:t>
      </w:r>
      <w:r>
        <w:t>perennial biomass</w:t>
      </w:r>
      <w:r w:rsidRPr="00F52A24">
        <w:t xml:space="preserve"> plantation and there is no new adoption.</w:t>
      </w:r>
    </w:p>
    <w:p w14:paraId="66EC2EBB" w14:textId="500D3397" w:rsidR="00B261E0" w:rsidRPr="00B82C7F" w:rsidRDefault="551A77D0" w:rsidP="0043499D">
      <w:pPr>
        <w:pStyle w:val="Heading2"/>
        <w:numPr>
          <w:ilvl w:val="1"/>
          <w:numId w:val="10"/>
        </w:numPr>
        <w:ind w:firstLine="0"/>
      </w:pPr>
      <w:bookmarkStart w:id="61" w:name="_Toc25888683"/>
      <w:bookmarkEnd w:id="58"/>
      <w:r w:rsidRPr="00B82C7F">
        <w:t>Financial Impacts</w:t>
      </w:r>
      <w:bookmarkEnd w:id="61"/>
    </w:p>
    <w:p w14:paraId="17C8816D" w14:textId="401ECC5C" w:rsidR="007631C9" w:rsidRPr="00587E6F" w:rsidRDefault="006B675D" w:rsidP="00587E6F">
      <w:r w:rsidRPr="00EC12A1">
        <w:t>Below are the financial results of the analysis for each scenario. For a detailed explanation of each result, please see the glossary.</w:t>
      </w:r>
      <w:r w:rsidR="00587E6F">
        <w:t xml:space="preserve"> </w:t>
      </w:r>
      <w:r w:rsidR="007631C9">
        <w:rPr>
          <w:rFonts w:eastAsia="Helvetica Neue" w:cstheme="minorHAnsi"/>
          <w:color w:val="000000" w:themeColor="text1"/>
        </w:rPr>
        <w:t xml:space="preserve">Note that the financial results have changed from those published in the first edition of the </w:t>
      </w:r>
      <w:r w:rsidR="007631C9">
        <w:rPr>
          <w:rFonts w:eastAsia="Helvetica Neue" w:cstheme="minorHAnsi"/>
          <w:i/>
          <w:color w:val="000000" w:themeColor="text1"/>
        </w:rPr>
        <w:t>Drawdown</w:t>
      </w:r>
      <w:r w:rsidR="007631C9">
        <w:rPr>
          <w:rFonts w:eastAsia="Helvetica Neue" w:cstheme="minorHAnsi"/>
          <w:color w:val="000000" w:themeColor="text1"/>
        </w:rPr>
        <w:t xml:space="preserve"> book.</w:t>
      </w:r>
    </w:p>
    <w:p w14:paraId="2C0C8447" w14:textId="23AF3CF7" w:rsidR="0033796B" w:rsidRPr="00D55BD2" w:rsidRDefault="0033796B" w:rsidP="007A2373">
      <w:pPr>
        <w:shd w:val="clear" w:color="auto" w:fill="FFFFFF"/>
        <w:rPr>
          <w:rFonts w:eastAsia="Helvetica Neue" w:cstheme="minorHAnsi"/>
          <w:color w:val="000000" w:themeColor="text1"/>
        </w:rPr>
      </w:pPr>
      <w:r w:rsidRPr="00D55BD2">
        <w:rPr>
          <w:rFonts w:eastAsia="Helvetica Neue" w:cstheme="minorHAnsi"/>
          <w:color w:val="000000" w:themeColor="text1"/>
        </w:rPr>
        <w:t xml:space="preserve">For the </w:t>
      </w:r>
      <w:r w:rsidRPr="00D55BD2">
        <w:rPr>
          <w:rFonts w:eastAsia="Helvetica Neue" w:cstheme="minorHAnsi"/>
          <w:i/>
          <w:color w:val="000000" w:themeColor="text1"/>
        </w:rPr>
        <w:t xml:space="preserve">Plausible </w:t>
      </w:r>
      <w:r w:rsidRPr="00D55BD2">
        <w:rPr>
          <w:rFonts w:eastAsia="Helvetica Neue" w:cstheme="minorHAnsi"/>
          <w:color w:val="000000" w:themeColor="text1"/>
        </w:rPr>
        <w:t>Scenario, cumulative first cost is US$</w:t>
      </w:r>
      <w:r w:rsidR="007A2373" w:rsidRPr="007A2373">
        <w:rPr>
          <w:rFonts w:eastAsia="Helvetica Neue" w:cstheme="minorHAnsi"/>
          <w:color w:val="000000" w:themeColor="text1"/>
        </w:rPr>
        <w:t xml:space="preserve">$235.55 </w:t>
      </w:r>
      <w:r w:rsidR="007A2373">
        <w:rPr>
          <w:rFonts w:eastAsia="Helvetica Neue" w:cstheme="minorHAnsi"/>
          <w:color w:val="000000" w:themeColor="text1"/>
        </w:rPr>
        <w:t>b</w:t>
      </w:r>
      <w:r w:rsidRPr="00D55BD2">
        <w:rPr>
          <w:rFonts w:eastAsia="Helvetica Neue" w:cstheme="minorHAnsi"/>
          <w:color w:val="000000" w:themeColor="text1"/>
        </w:rPr>
        <w:t>illion. Marginal first cost is the same as cumulative first cost. Net operating savings is US$-</w:t>
      </w:r>
      <w:r w:rsidR="007A2373">
        <w:rPr>
          <w:rFonts w:eastAsia="Helvetica Neue" w:cstheme="minorHAnsi"/>
          <w:color w:val="000000" w:themeColor="text1"/>
        </w:rPr>
        <w:t>522.24</w:t>
      </w:r>
      <w:r w:rsidRPr="00D55BD2">
        <w:rPr>
          <w:rFonts w:eastAsia="Helvetica Neue" w:cstheme="minorHAnsi"/>
          <w:color w:val="000000" w:themeColor="text1"/>
        </w:rPr>
        <w:t xml:space="preserve"> billion. Net profit margin is US</w:t>
      </w:r>
      <w:r w:rsidR="007A2373" w:rsidRPr="007A2373">
        <w:rPr>
          <w:rFonts w:eastAsia="Helvetica Neue" w:cstheme="minorHAnsi"/>
          <w:color w:val="000000" w:themeColor="text1"/>
        </w:rPr>
        <w:t>$522.24</w:t>
      </w:r>
      <w:r w:rsidR="007A2373">
        <w:rPr>
          <w:rFonts w:eastAsia="Helvetica Neue" w:cstheme="minorHAnsi"/>
          <w:color w:val="000000" w:themeColor="text1"/>
        </w:rPr>
        <w:t xml:space="preserve"> </w:t>
      </w:r>
      <w:r w:rsidRPr="00D55BD2">
        <w:rPr>
          <w:rFonts w:eastAsia="Helvetica Neue" w:cstheme="minorHAnsi"/>
          <w:color w:val="000000" w:themeColor="text1"/>
        </w:rPr>
        <w:t>billion, and lifetime profit margin is US</w:t>
      </w:r>
      <w:r w:rsidR="007A2373" w:rsidRPr="007A2373">
        <w:rPr>
          <w:rFonts w:eastAsia="Helvetica Neue" w:cstheme="minorHAnsi"/>
          <w:color w:val="000000" w:themeColor="text1"/>
        </w:rPr>
        <w:t>$724.56</w:t>
      </w:r>
      <w:r w:rsidRPr="00D55BD2">
        <w:rPr>
          <w:rFonts w:eastAsia="Helvetica Neue" w:cstheme="minorHAnsi"/>
          <w:color w:val="000000" w:themeColor="text1"/>
        </w:rPr>
        <w:t xml:space="preserve">. Lifetime cashflow savings NPV is </w:t>
      </w:r>
      <w:r w:rsidR="007A2373">
        <w:rPr>
          <w:rFonts w:eastAsia="Helvetica Neue" w:cstheme="minorHAnsi"/>
          <w:color w:val="000000" w:themeColor="text1"/>
        </w:rPr>
        <w:t>US</w:t>
      </w:r>
      <w:r w:rsidR="007A2373" w:rsidRPr="007A2373">
        <w:rPr>
          <w:rFonts w:eastAsia="Helvetica Neue" w:cstheme="minorHAnsi"/>
          <w:color w:val="000000" w:themeColor="text1"/>
        </w:rPr>
        <w:t>$-136.57</w:t>
      </w:r>
      <w:r w:rsidRPr="00D55BD2">
        <w:rPr>
          <w:rFonts w:eastAsia="Helvetica Neue" w:cstheme="minorHAnsi"/>
          <w:color w:val="000000" w:themeColor="text1"/>
        </w:rPr>
        <w:t>.</w:t>
      </w:r>
    </w:p>
    <w:p w14:paraId="773B5FCC" w14:textId="2E25E63A" w:rsidR="0033796B" w:rsidRPr="004B456F" w:rsidRDefault="0033796B" w:rsidP="007A2373">
      <w:pPr>
        <w:shd w:val="clear" w:color="auto" w:fill="FFFFFF"/>
        <w:rPr>
          <w:rFonts w:eastAsia="Helvetica Neue" w:cstheme="minorHAnsi"/>
          <w:color w:val="000000" w:themeColor="text1"/>
        </w:rPr>
      </w:pPr>
      <w:r w:rsidRPr="004B456F">
        <w:rPr>
          <w:rFonts w:eastAsia="Helvetica Neue" w:cstheme="minorHAnsi"/>
          <w:color w:val="000000" w:themeColor="text1"/>
        </w:rPr>
        <w:t xml:space="preserve">For the </w:t>
      </w:r>
      <w:r w:rsidRPr="004B456F">
        <w:rPr>
          <w:rFonts w:eastAsia="Helvetica Neue" w:cstheme="minorHAnsi"/>
          <w:i/>
          <w:color w:val="000000" w:themeColor="text1"/>
        </w:rPr>
        <w:t xml:space="preserve">Drawdown </w:t>
      </w:r>
      <w:r w:rsidRPr="004B456F">
        <w:rPr>
          <w:rFonts w:eastAsia="Helvetica Neue" w:cstheme="minorHAnsi"/>
          <w:color w:val="000000" w:themeColor="text1"/>
        </w:rPr>
        <w:t>Scenario, cumulative first cost is US$</w:t>
      </w:r>
      <w:r w:rsidR="007A2373" w:rsidRPr="007A2373">
        <w:rPr>
          <w:rFonts w:eastAsia="Helvetica Neue" w:cstheme="minorHAnsi"/>
          <w:color w:val="000000" w:themeColor="text1"/>
        </w:rPr>
        <w:t xml:space="preserve">$354.78 </w:t>
      </w:r>
      <w:r w:rsidRPr="004B456F">
        <w:rPr>
          <w:rFonts w:eastAsia="Helvetica Neue" w:cstheme="minorHAnsi"/>
          <w:color w:val="000000" w:themeColor="text1"/>
        </w:rPr>
        <w:t>billion. Marginal first cost is the same as cumulative first cost. Net operating savings is US</w:t>
      </w:r>
      <w:r w:rsidR="007A2373" w:rsidRPr="007A2373">
        <w:rPr>
          <w:rFonts w:eastAsia="Helvetica Neue" w:cstheme="minorHAnsi"/>
          <w:color w:val="000000" w:themeColor="text1"/>
        </w:rPr>
        <w:t>$-789.61</w:t>
      </w:r>
      <w:r w:rsidR="007A2373">
        <w:rPr>
          <w:rFonts w:eastAsia="Helvetica Neue" w:cstheme="minorHAnsi"/>
          <w:color w:val="000000" w:themeColor="text1"/>
        </w:rPr>
        <w:t xml:space="preserve"> </w:t>
      </w:r>
      <w:r w:rsidRPr="004B456F">
        <w:rPr>
          <w:rFonts w:eastAsia="Helvetica Neue" w:cstheme="minorHAnsi"/>
          <w:color w:val="000000" w:themeColor="text1"/>
        </w:rPr>
        <w:t>billion. Net profit margin is US$</w:t>
      </w:r>
      <w:r w:rsidR="007A2373" w:rsidRPr="007A2373">
        <w:rPr>
          <w:rFonts w:eastAsia="Helvetica Neue" w:cstheme="minorHAnsi"/>
          <w:color w:val="000000" w:themeColor="text1"/>
        </w:rPr>
        <w:t xml:space="preserve">789.61 </w:t>
      </w:r>
      <w:r w:rsidRPr="004B456F">
        <w:rPr>
          <w:rFonts w:eastAsia="Helvetica Neue" w:cstheme="minorHAnsi"/>
          <w:color w:val="000000" w:themeColor="text1"/>
        </w:rPr>
        <w:t>billion, and lifetime profit margin is US</w:t>
      </w:r>
      <w:r w:rsidR="007A2373" w:rsidRPr="007A2373">
        <w:rPr>
          <w:rFonts w:eastAsia="Helvetica Neue" w:cstheme="minorHAnsi"/>
          <w:color w:val="000000" w:themeColor="text1"/>
        </w:rPr>
        <w:t>$1,091.43</w:t>
      </w:r>
      <w:r w:rsidR="007A2373">
        <w:rPr>
          <w:rFonts w:eastAsia="Helvetica Neue" w:cstheme="minorHAnsi"/>
          <w:color w:val="000000" w:themeColor="text1"/>
        </w:rPr>
        <w:t xml:space="preserve"> </w:t>
      </w:r>
      <w:r w:rsidRPr="004B456F">
        <w:rPr>
          <w:rFonts w:eastAsia="Helvetica Neue" w:cstheme="minorHAnsi"/>
          <w:color w:val="000000" w:themeColor="text1"/>
        </w:rPr>
        <w:t xml:space="preserve">billion. Lifetime cashflow savings NPV is </w:t>
      </w:r>
      <w:r w:rsidR="007A2373">
        <w:rPr>
          <w:rFonts w:eastAsia="Helvetica Neue" w:cstheme="minorHAnsi"/>
          <w:color w:val="000000" w:themeColor="text1"/>
        </w:rPr>
        <w:t>US</w:t>
      </w:r>
      <w:r w:rsidR="007A2373" w:rsidRPr="007A2373">
        <w:rPr>
          <w:rFonts w:eastAsia="Helvetica Neue" w:cstheme="minorHAnsi"/>
          <w:color w:val="000000" w:themeColor="text1"/>
        </w:rPr>
        <w:t>$-209.07</w:t>
      </w:r>
      <w:r w:rsidR="007A2373">
        <w:rPr>
          <w:rFonts w:eastAsia="Helvetica Neue" w:cstheme="minorHAnsi"/>
          <w:color w:val="000000" w:themeColor="text1"/>
        </w:rPr>
        <w:t xml:space="preserve"> </w:t>
      </w:r>
      <w:r w:rsidRPr="004B456F">
        <w:rPr>
          <w:rFonts w:eastAsia="Helvetica Neue" w:cstheme="minorHAnsi"/>
          <w:color w:val="000000" w:themeColor="text1"/>
        </w:rPr>
        <w:t>billion.</w:t>
      </w:r>
    </w:p>
    <w:p w14:paraId="3BD7044E" w14:textId="1DADD92D" w:rsidR="0033796B" w:rsidRPr="00BB0CC0" w:rsidRDefault="0033796B" w:rsidP="0033796B">
      <w:pPr>
        <w:shd w:val="clear" w:color="auto" w:fill="FFFFFF"/>
        <w:rPr>
          <w:rFonts w:eastAsia="Helvetica Neue" w:cstheme="minorHAnsi"/>
          <w:color w:val="000000" w:themeColor="text1"/>
        </w:rPr>
      </w:pPr>
      <w:r w:rsidRPr="00BB0CC0">
        <w:rPr>
          <w:rFonts w:eastAsia="Helvetica Neue" w:cstheme="minorHAnsi"/>
          <w:color w:val="000000" w:themeColor="text1"/>
        </w:rPr>
        <w:t xml:space="preserve">For the </w:t>
      </w:r>
      <w:r w:rsidRPr="00BB0CC0">
        <w:rPr>
          <w:rFonts w:eastAsia="Helvetica Neue" w:cstheme="minorHAnsi"/>
          <w:i/>
          <w:color w:val="000000" w:themeColor="text1"/>
        </w:rPr>
        <w:t xml:space="preserve">Optimum </w:t>
      </w:r>
      <w:r w:rsidRPr="00BB0CC0">
        <w:rPr>
          <w:rFonts w:eastAsia="Helvetica Neue" w:cstheme="minorHAnsi"/>
          <w:color w:val="000000" w:themeColor="text1"/>
        </w:rPr>
        <w:t>Scenario, cumulative first cost is US$</w:t>
      </w:r>
      <w:r w:rsidRPr="0033796B">
        <w:rPr>
          <w:rFonts w:eastAsia="Helvetica Neue" w:cstheme="minorHAnsi"/>
          <w:color w:val="000000" w:themeColor="text1"/>
        </w:rPr>
        <w:t xml:space="preserve">348.95 </w:t>
      </w:r>
      <w:r w:rsidRPr="00BB0CC0">
        <w:rPr>
          <w:rFonts w:eastAsia="Helvetica Neue" w:cstheme="minorHAnsi"/>
          <w:color w:val="000000" w:themeColor="text1"/>
        </w:rPr>
        <w:t>billion. Marginal first cost is the same as cumulative first cost. Net operating savings is US$-</w:t>
      </w:r>
      <w:r>
        <w:rPr>
          <w:rFonts w:eastAsia="Helvetica Neue" w:cstheme="minorHAnsi"/>
          <w:color w:val="000000" w:themeColor="text1"/>
        </w:rPr>
        <w:t>748.26</w:t>
      </w:r>
      <w:r w:rsidRPr="00BB0CC0">
        <w:rPr>
          <w:rFonts w:eastAsia="Helvetica Neue" w:cstheme="minorHAnsi"/>
          <w:color w:val="000000" w:themeColor="text1"/>
        </w:rPr>
        <w:t xml:space="preserve"> billion. Net profit margin is US$</w:t>
      </w:r>
      <w:r w:rsidRPr="0033796B">
        <w:rPr>
          <w:rFonts w:eastAsia="Helvetica Neue" w:cstheme="minorHAnsi"/>
          <w:color w:val="000000" w:themeColor="text1"/>
        </w:rPr>
        <w:t xml:space="preserve"> 748.26 </w:t>
      </w:r>
      <w:r w:rsidRPr="00BB0CC0">
        <w:rPr>
          <w:rFonts w:eastAsia="Helvetica Neue" w:cstheme="minorHAnsi"/>
          <w:color w:val="000000" w:themeColor="text1"/>
        </w:rPr>
        <w:t>billion, and lifetime profit margin is US$</w:t>
      </w:r>
      <w:r w:rsidRPr="0033796B">
        <w:rPr>
          <w:rFonts w:eastAsia="Helvetica Neue" w:cstheme="minorHAnsi"/>
          <w:color w:val="000000" w:themeColor="text1"/>
        </w:rPr>
        <w:t>1,071.92</w:t>
      </w:r>
      <w:r w:rsidRPr="00BB0CC0">
        <w:rPr>
          <w:rFonts w:eastAsia="Helvetica Neue" w:cstheme="minorHAnsi"/>
          <w:color w:val="000000" w:themeColor="text1"/>
        </w:rPr>
        <w:t xml:space="preserve"> billion. Lifetime cashflow savings NPV is $-</w:t>
      </w:r>
      <w:r>
        <w:rPr>
          <w:rFonts w:eastAsia="Helvetica Neue" w:cstheme="minorHAnsi"/>
          <w:color w:val="000000" w:themeColor="text1"/>
        </w:rPr>
        <w:t>182.60</w:t>
      </w:r>
      <w:r w:rsidRPr="00BB0CC0">
        <w:rPr>
          <w:rFonts w:eastAsia="Helvetica Neue" w:cstheme="minorHAnsi"/>
          <w:color w:val="000000" w:themeColor="text1"/>
        </w:rPr>
        <w:t xml:space="preserve"> billion.</w:t>
      </w:r>
    </w:p>
    <w:p w14:paraId="4630B90A" w14:textId="4EA627C4" w:rsidR="00B257CA" w:rsidRDefault="00B257CA" w:rsidP="00B257CA">
      <w:pPr>
        <w:pStyle w:val="Caption"/>
        <w:keepNext/>
        <w:jc w:val="center"/>
      </w:pPr>
      <w:bookmarkStart w:id="62" w:name="_Toc18444715"/>
      <w:r>
        <w:lastRenderedPageBreak/>
        <w:t xml:space="preserve">Table </w:t>
      </w:r>
      <w:r w:rsidR="00CE1040">
        <w:fldChar w:fldCharType="begin"/>
      </w:r>
      <w:r w:rsidR="00CE1040">
        <w:instrText xml:space="preserve"> STYLEREF 1 \s </w:instrText>
      </w:r>
      <w:r w:rsidR="00CE1040">
        <w:fldChar w:fldCharType="separate"/>
      </w:r>
      <w:r w:rsidR="00872721">
        <w:rPr>
          <w:noProof/>
        </w:rPr>
        <w:t>3</w:t>
      </w:r>
      <w:r w:rsidR="00CE1040">
        <w:rPr>
          <w:noProof/>
        </w:rPr>
        <w:fldChar w:fldCharType="end"/>
      </w:r>
      <w:r w:rsidR="0047117A">
        <w:t>.</w:t>
      </w:r>
      <w:r w:rsidR="00CE1040">
        <w:fldChar w:fldCharType="begin"/>
      </w:r>
      <w:r w:rsidR="00CE1040">
        <w:instrText xml:space="preserve"> SEQ Table \* ARABIC \s 1 </w:instrText>
      </w:r>
      <w:r w:rsidR="00CE1040">
        <w:fldChar w:fldCharType="separate"/>
      </w:r>
      <w:r w:rsidR="00872721">
        <w:rPr>
          <w:noProof/>
        </w:rPr>
        <w:t>4</w:t>
      </w:r>
      <w:r w:rsidR="00CE1040">
        <w:rPr>
          <w:noProof/>
        </w:rPr>
        <w:fldChar w:fldCharType="end"/>
      </w:r>
      <w:r>
        <w:t>:</w:t>
      </w:r>
      <w:r w:rsidRPr="00EA2791">
        <w:t>Financial Impacts</w:t>
      </w:r>
      <w:bookmarkEnd w:id="62"/>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6B675D"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BF56E5">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BF56E5">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BF56E5">
            <w:pPr>
              <w:spacing w:after="0"/>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7A2373" w:rsidRPr="006B675D" w14:paraId="2CCDE781" w14:textId="77777777" w:rsidTr="00DD4F5C">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7A2373" w:rsidRPr="006B675D" w:rsidRDefault="007A2373" w:rsidP="007A2373">
            <w:pPr>
              <w:spacing w:after="0"/>
              <w:jc w:val="center"/>
              <w:rPr>
                <w:sz w:val="20"/>
                <w:szCs w:val="20"/>
                <w:lang w:eastAsia="zh-CN"/>
              </w:rPr>
            </w:pPr>
            <w:bookmarkStart w:id="63" w:name="_Hlk18020299"/>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DE86C" w14:textId="737B69EF" w:rsidR="007A2373" w:rsidRPr="007A2373"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7A2373">
              <w:rPr>
                <w:rFonts w:eastAsia="Arial" w:cstheme="minorHAnsi"/>
                <w:color w:val="000000" w:themeColor="text1"/>
                <w:sz w:val="18"/>
                <w:szCs w:val="18"/>
              </w:rPr>
              <w:t xml:space="preserve">235.55 </w:t>
            </w:r>
          </w:p>
          <w:p w14:paraId="0515D5F2" w14:textId="55A7E2A0" w:rsidR="007A2373" w:rsidRPr="006B675D" w:rsidRDefault="007A2373" w:rsidP="007A2373">
            <w:pPr>
              <w:spacing w:after="0"/>
              <w:jc w:val="center"/>
              <w:rPr>
                <w:rFonts w:eastAsia="Times New Roman" w:cstheme="minorHAnsi"/>
                <w:sz w:val="20"/>
                <w:szCs w:val="20"/>
                <w:lang w:eastAsia="zh-CN"/>
              </w:rPr>
            </w:pP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90FA92" w14:textId="14754F99" w:rsidR="007A2373" w:rsidRPr="007A2373"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7A2373">
              <w:rPr>
                <w:rFonts w:eastAsia="Arial" w:cstheme="minorHAnsi"/>
                <w:color w:val="000000" w:themeColor="text1"/>
                <w:sz w:val="18"/>
                <w:szCs w:val="18"/>
              </w:rPr>
              <w:t xml:space="preserve">235.55 </w:t>
            </w:r>
          </w:p>
          <w:p w14:paraId="31BD6A13" w14:textId="77237FB9" w:rsidR="007A2373" w:rsidRPr="006B675D" w:rsidRDefault="007A2373" w:rsidP="007A2373">
            <w:pPr>
              <w:spacing w:after="0"/>
              <w:jc w:val="center"/>
              <w:rPr>
                <w:rFonts w:eastAsia="Times New Roman" w:cstheme="minorHAnsi"/>
                <w:sz w:val="20"/>
                <w:szCs w:val="20"/>
                <w:lang w:eastAsia="zh-CN"/>
              </w:rPr>
            </w:pP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56320D08"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7A2373">
              <w:rPr>
                <w:rFonts w:eastAsia="Arial" w:cstheme="minorHAnsi"/>
                <w:color w:val="000000" w:themeColor="text1"/>
                <w:sz w:val="18"/>
                <w:szCs w:val="18"/>
              </w:rPr>
              <w:t>-522.24</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5AE592A6"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$522.24</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609BEF5B"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7A2373">
              <w:rPr>
                <w:rFonts w:eastAsia="Arial" w:cstheme="minorHAnsi"/>
                <w:color w:val="000000" w:themeColor="text1"/>
                <w:sz w:val="18"/>
                <w:szCs w:val="18"/>
              </w:rPr>
              <w:t>724.56</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7461F090"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7A2373">
              <w:rPr>
                <w:rFonts w:eastAsia="Arial" w:cstheme="minorHAnsi"/>
                <w:color w:val="000000" w:themeColor="text1"/>
                <w:sz w:val="18"/>
                <w:szCs w:val="18"/>
              </w:rPr>
              <w:t>-136.57</w:t>
            </w:r>
          </w:p>
        </w:tc>
      </w:tr>
      <w:bookmarkEnd w:id="63"/>
      <w:tr w:rsidR="007A2373" w:rsidRPr="006B675D" w14:paraId="6C3482B4" w14:textId="77777777" w:rsidTr="00DD4F5C">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7A2373" w:rsidRPr="006B675D" w:rsidRDefault="007A2373" w:rsidP="007A2373">
            <w:pPr>
              <w:spacing w:after="0"/>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0222E7" w14:textId="77777777" w:rsidR="007A2373" w:rsidRPr="007A2373"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7A2373">
              <w:rPr>
                <w:rFonts w:eastAsia="Arial" w:cstheme="minorHAnsi"/>
                <w:color w:val="000000" w:themeColor="text1"/>
                <w:sz w:val="18"/>
                <w:szCs w:val="18"/>
              </w:rPr>
              <w:t xml:space="preserve">354.78 </w:t>
            </w:r>
          </w:p>
          <w:p w14:paraId="4532B376" w14:textId="3EBA37F9" w:rsidR="007A2373" w:rsidRPr="006B675D" w:rsidRDefault="007A2373" w:rsidP="007A2373">
            <w:pPr>
              <w:spacing w:after="0"/>
              <w:jc w:val="center"/>
              <w:rPr>
                <w:rFonts w:eastAsia="Times New Roman" w:cstheme="minorHAnsi"/>
                <w:sz w:val="20"/>
                <w:szCs w:val="20"/>
                <w:lang w:eastAsia="zh-CN"/>
              </w:rPr>
            </w:pP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1F8896" w14:textId="5D3EB273" w:rsidR="007A2373" w:rsidRPr="007A2373"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7A2373">
              <w:rPr>
                <w:rFonts w:eastAsia="Arial" w:cstheme="minorHAnsi"/>
                <w:color w:val="000000" w:themeColor="text1"/>
                <w:sz w:val="18"/>
                <w:szCs w:val="18"/>
              </w:rPr>
              <w:t xml:space="preserve">354.78 </w:t>
            </w:r>
          </w:p>
          <w:p w14:paraId="451B939A" w14:textId="40BFD54B" w:rsidR="007A2373" w:rsidRPr="006B675D" w:rsidRDefault="007A2373" w:rsidP="007A2373">
            <w:pPr>
              <w:spacing w:after="0"/>
              <w:jc w:val="center"/>
              <w:rPr>
                <w:rFonts w:eastAsia="Times New Roman" w:cstheme="minorHAnsi"/>
                <w:sz w:val="20"/>
                <w:szCs w:val="20"/>
                <w:lang w:eastAsia="zh-CN"/>
              </w:rPr>
            </w:pP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724B5421"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7A2373">
              <w:rPr>
                <w:rFonts w:eastAsia="Arial" w:cstheme="minorHAnsi"/>
                <w:color w:val="000000" w:themeColor="text1"/>
                <w:sz w:val="18"/>
                <w:szCs w:val="18"/>
              </w:rPr>
              <w:t>-789.61</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F712D" w14:textId="77777777" w:rsidR="007A2373" w:rsidRPr="00DD2B88"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DD2B88">
              <w:rPr>
                <w:rFonts w:eastAsia="Arial" w:cstheme="minorHAnsi"/>
                <w:color w:val="000000" w:themeColor="text1"/>
                <w:sz w:val="18"/>
                <w:szCs w:val="18"/>
              </w:rPr>
              <w:t xml:space="preserve"> 789.61 </w:t>
            </w:r>
          </w:p>
          <w:p w14:paraId="2ED185B1" w14:textId="793D251A" w:rsidR="007A2373" w:rsidRPr="006B675D" w:rsidRDefault="007A2373" w:rsidP="007A2373">
            <w:pPr>
              <w:spacing w:after="0"/>
              <w:jc w:val="center"/>
              <w:rPr>
                <w:rFonts w:eastAsia="Times New Roman" w:cstheme="minorHAnsi"/>
                <w:sz w:val="20"/>
                <w:szCs w:val="20"/>
                <w:lang w:eastAsia="zh-CN"/>
              </w:rPr>
            </w:pPr>
            <w:r w:rsidRPr="00DD2B88">
              <w:rPr>
                <w:rFonts w:eastAsia="Arial" w:cstheme="minorHAnsi"/>
                <w:color w:val="000000" w:themeColor="text1"/>
                <w:sz w:val="18"/>
                <w:szCs w:val="18"/>
              </w:rPr>
              <w:t xml:space="preserve">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62BC6E7F"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DD2B88">
              <w:rPr>
                <w:rFonts w:eastAsia="Arial" w:cstheme="minorHAnsi"/>
                <w:color w:val="000000" w:themeColor="text1"/>
                <w:sz w:val="18"/>
                <w:szCs w:val="18"/>
              </w:rPr>
              <w:t>1,091.43</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593A67E0"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7A2373">
              <w:rPr>
                <w:rFonts w:eastAsia="Arial" w:cstheme="minorHAnsi"/>
                <w:color w:val="000000" w:themeColor="text1"/>
                <w:sz w:val="18"/>
                <w:szCs w:val="18"/>
              </w:rPr>
              <w:t>-209.07</w:t>
            </w:r>
          </w:p>
        </w:tc>
      </w:tr>
      <w:tr w:rsidR="007A2373" w:rsidRPr="006B675D" w14:paraId="76A27626" w14:textId="77777777" w:rsidTr="00DD4F5C">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7A2373" w:rsidRPr="006B675D" w:rsidRDefault="007A2373" w:rsidP="007A2373">
            <w:pPr>
              <w:spacing w:after="0"/>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F3B50C" w14:textId="77777777" w:rsidR="007A2373" w:rsidRPr="0033796B"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33796B">
              <w:rPr>
                <w:rFonts w:eastAsia="Arial" w:cstheme="minorHAnsi"/>
                <w:color w:val="000000" w:themeColor="text1"/>
                <w:sz w:val="18"/>
                <w:szCs w:val="18"/>
              </w:rPr>
              <w:t xml:space="preserve">348.95 </w:t>
            </w:r>
          </w:p>
          <w:p w14:paraId="1D3AF255" w14:textId="3201AA6C" w:rsidR="007A2373" w:rsidRPr="006B675D" w:rsidRDefault="007A2373" w:rsidP="007A2373">
            <w:pPr>
              <w:spacing w:after="0"/>
              <w:jc w:val="center"/>
              <w:rPr>
                <w:rFonts w:eastAsia="Times New Roman" w:cstheme="minorHAnsi"/>
                <w:sz w:val="20"/>
                <w:szCs w:val="20"/>
                <w:lang w:eastAsia="zh-CN"/>
              </w:rPr>
            </w:pP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A3785F" w14:textId="4950DAAA" w:rsidR="007A2373" w:rsidRPr="0033796B"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33796B">
              <w:rPr>
                <w:rFonts w:eastAsia="Arial" w:cstheme="minorHAnsi"/>
                <w:color w:val="000000" w:themeColor="text1"/>
                <w:sz w:val="18"/>
                <w:szCs w:val="18"/>
              </w:rPr>
              <w:t xml:space="preserve">348.95 </w:t>
            </w:r>
          </w:p>
          <w:p w14:paraId="796F6A9C" w14:textId="0B349D6C" w:rsidR="007A2373" w:rsidRPr="006B675D" w:rsidRDefault="007A2373" w:rsidP="007A2373">
            <w:pPr>
              <w:spacing w:after="0"/>
              <w:jc w:val="center"/>
              <w:rPr>
                <w:rFonts w:eastAsia="Times New Roman" w:cstheme="minorHAnsi"/>
                <w:sz w:val="20"/>
                <w:szCs w:val="20"/>
                <w:lang w:eastAsia="zh-CN"/>
              </w:rPr>
            </w:pP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1D4FAE59"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33796B">
              <w:rPr>
                <w:rFonts w:eastAsia="Arial" w:cstheme="minorHAnsi"/>
                <w:color w:val="000000" w:themeColor="text1"/>
                <w:sz w:val="18"/>
                <w:szCs w:val="18"/>
              </w:rPr>
              <w:t>-748.26</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8079B" w14:textId="77777777" w:rsidR="007A2373" w:rsidRPr="0033796B" w:rsidRDefault="007A2373" w:rsidP="007A2373">
            <w:pPr>
              <w:spacing w:after="0"/>
              <w:jc w:val="center"/>
              <w:rPr>
                <w:rFonts w:eastAsia="Arial" w:cstheme="minorHAnsi"/>
                <w:color w:val="000000" w:themeColor="text1"/>
                <w:sz w:val="18"/>
                <w:szCs w:val="18"/>
              </w:rPr>
            </w:pPr>
            <w:r>
              <w:rPr>
                <w:rFonts w:eastAsia="Arial" w:cstheme="minorHAnsi"/>
                <w:color w:val="000000" w:themeColor="text1"/>
                <w:sz w:val="18"/>
                <w:szCs w:val="18"/>
              </w:rPr>
              <w:t>$</w:t>
            </w:r>
            <w:r w:rsidRPr="0033796B">
              <w:rPr>
                <w:rFonts w:eastAsia="Arial" w:cstheme="minorHAnsi"/>
                <w:color w:val="000000" w:themeColor="text1"/>
                <w:sz w:val="18"/>
                <w:szCs w:val="18"/>
              </w:rPr>
              <w:t xml:space="preserve"> 748.26 </w:t>
            </w:r>
          </w:p>
          <w:p w14:paraId="7BD434F2" w14:textId="25BA4CBF" w:rsidR="007A2373" w:rsidRPr="006B675D" w:rsidRDefault="007A2373" w:rsidP="007A2373">
            <w:pPr>
              <w:spacing w:after="0"/>
              <w:jc w:val="center"/>
              <w:rPr>
                <w:rFonts w:eastAsia="Times New Roman" w:cstheme="minorHAnsi"/>
                <w:sz w:val="20"/>
                <w:szCs w:val="20"/>
                <w:lang w:eastAsia="zh-CN"/>
              </w:rPr>
            </w:pPr>
            <w:r w:rsidRPr="0033796B">
              <w:rPr>
                <w:rFonts w:eastAsia="Arial" w:cstheme="minorHAnsi"/>
                <w:color w:val="000000" w:themeColor="text1"/>
                <w:sz w:val="18"/>
                <w:szCs w:val="18"/>
              </w:rPr>
              <w:t xml:space="preserve">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469B712D"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33796B">
              <w:rPr>
                <w:rFonts w:eastAsia="Arial" w:cstheme="minorHAnsi"/>
                <w:color w:val="000000" w:themeColor="text1"/>
                <w:sz w:val="18"/>
                <w:szCs w:val="18"/>
              </w:rPr>
              <w:t>1,071.92</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64387378" w:rsidR="007A2373" w:rsidRPr="006B675D" w:rsidRDefault="007A2373" w:rsidP="007A2373">
            <w:pPr>
              <w:spacing w:after="0"/>
              <w:jc w:val="center"/>
              <w:rPr>
                <w:rFonts w:eastAsia="Times New Roman" w:cstheme="minorHAnsi"/>
                <w:sz w:val="20"/>
                <w:szCs w:val="20"/>
                <w:lang w:eastAsia="zh-CN"/>
              </w:rPr>
            </w:pPr>
            <w:r>
              <w:rPr>
                <w:rFonts w:eastAsia="Arial" w:cstheme="minorHAnsi"/>
                <w:color w:val="000000" w:themeColor="text1"/>
                <w:sz w:val="18"/>
                <w:szCs w:val="18"/>
              </w:rPr>
              <w:t>$-182.60</w:t>
            </w:r>
          </w:p>
        </w:tc>
      </w:tr>
    </w:tbl>
    <w:p w14:paraId="65064E23" w14:textId="77777777" w:rsidR="00E8320F" w:rsidRDefault="00E8320F" w:rsidP="00BF56E5">
      <w:pPr>
        <w:pStyle w:val="Caption"/>
      </w:pPr>
    </w:p>
    <w:p w14:paraId="6039AB12" w14:textId="1CB7BC22" w:rsidR="009E6074" w:rsidRPr="00AF7DE4" w:rsidRDefault="00B257CA" w:rsidP="00BF56E5">
      <w:pPr>
        <w:jc w:val="center"/>
      </w:pPr>
      <w:bookmarkStart w:id="64" w:name="_Toc524993434"/>
      <w:r>
        <w:rPr>
          <w:noProof/>
        </w:rPr>
        <w:drawing>
          <wp:inline distT="0" distB="0" distL="0" distR="0" wp14:anchorId="4FB933B3" wp14:editId="1A2854E9">
            <wp:extent cx="5943600" cy="3021330"/>
            <wp:effectExtent l="0" t="0" r="0" b="7620"/>
            <wp:docPr id="3" name="Chart 3">
              <a:extLst xmlns:a="http://schemas.openxmlformats.org/drawingml/2006/main">
                <a:ext uri="{FF2B5EF4-FFF2-40B4-BE49-F238E27FC236}">
                  <a16:creationId xmlns:a16="http://schemas.microsoft.com/office/drawing/2014/main" id="{697CDD60-EA3D-4B9F-A335-C620A5C4F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2D4F95" w14:textId="72470672" w:rsidR="006B675D" w:rsidRPr="006D4D05" w:rsidRDefault="00B257CA" w:rsidP="00B257CA">
      <w:pPr>
        <w:pStyle w:val="Caption"/>
        <w:jc w:val="center"/>
        <w:rPr>
          <w:lang w:val="fr-FR"/>
        </w:rPr>
      </w:pPr>
      <w:bookmarkStart w:id="65" w:name="_Toc18444704"/>
      <w:bookmarkStart w:id="66" w:name="_Toc524993435"/>
      <w:bookmarkEnd w:id="64"/>
      <w:r w:rsidRPr="006D4D05">
        <w:rPr>
          <w:lang w:val="fr-FR"/>
        </w:rPr>
        <w:t xml:space="preserve">Figure </w:t>
      </w:r>
      <w:r w:rsidR="0047117A">
        <w:rPr>
          <w:lang w:val="fr-FR"/>
        </w:rPr>
        <w:fldChar w:fldCharType="begin"/>
      </w:r>
      <w:r w:rsidR="0047117A">
        <w:rPr>
          <w:lang w:val="fr-FR"/>
        </w:rPr>
        <w:instrText xml:space="preserve"> STYLEREF 1 \s </w:instrText>
      </w:r>
      <w:r w:rsidR="0047117A">
        <w:rPr>
          <w:lang w:val="fr-FR"/>
        </w:rPr>
        <w:fldChar w:fldCharType="separate"/>
      </w:r>
      <w:r w:rsidR="00872721">
        <w:rPr>
          <w:noProof/>
          <w:lang w:val="fr-FR"/>
        </w:rPr>
        <w:t>3</w:t>
      </w:r>
      <w:r w:rsidR="0047117A">
        <w:rPr>
          <w:lang w:val="fr-FR"/>
        </w:rPr>
        <w:fldChar w:fldCharType="end"/>
      </w:r>
      <w:r w:rsidR="0047117A">
        <w:rPr>
          <w:lang w:val="fr-FR"/>
        </w:rPr>
        <w:t>.</w:t>
      </w:r>
      <w:r w:rsidR="0047117A">
        <w:rPr>
          <w:lang w:val="fr-FR"/>
        </w:rPr>
        <w:fldChar w:fldCharType="begin"/>
      </w:r>
      <w:r w:rsidR="0047117A">
        <w:rPr>
          <w:lang w:val="fr-FR"/>
        </w:rPr>
        <w:instrText xml:space="preserve"> SEQ Figure \* ARABIC \s 1 </w:instrText>
      </w:r>
      <w:r w:rsidR="0047117A">
        <w:rPr>
          <w:lang w:val="fr-FR"/>
        </w:rPr>
        <w:fldChar w:fldCharType="separate"/>
      </w:r>
      <w:r w:rsidR="00872721">
        <w:rPr>
          <w:noProof/>
          <w:lang w:val="fr-FR"/>
        </w:rPr>
        <w:t>3</w:t>
      </w:r>
      <w:r w:rsidR="0047117A">
        <w:rPr>
          <w:lang w:val="fr-FR"/>
        </w:rPr>
        <w:fldChar w:fldCharType="end"/>
      </w:r>
      <w:r w:rsidRPr="006D4D05">
        <w:rPr>
          <w:lang w:val="fr-FR"/>
        </w:rPr>
        <w:t xml:space="preserve">:Net Profit </w:t>
      </w:r>
      <w:proofErr w:type="spellStart"/>
      <w:r w:rsidRPr="006D4D05">
        <w:rPr>
          <w:lang w:val="fr-FR"/>
        </w:rPr>
        <w:t>Margin</w:t>
      </w:r>
      <w:proofErr w:type="spellEnd"/>
      <w:r w:rsidRPr="006D4D05">
        <w:rPr>
          <w:lang w:val="fr-FR"/>
        </w:rPr>
        <w:t xml:space="preserve"> Solution vs. </w:t>
      </w:r>
      <w:proofErr w:type="spellStart"/>
      <w:r w:rsidRPr="006D4D05">
        <w:rPr>
          <w:lang w:val="fr-FR"/>
        </w:rPr>
        <w:t>Conventional</w:t>
      </w:r>
      <w:bookmarkEnd w:id="65"/>
      <w:proofErr w:type="spellEnd"/>
    </w:p>
    <w:p w14:paraId="638C27B6" w14:textId="3760589C" w:rsidR="00F52595" w:rsidRPr="00310DC6" w:rsidRDefault="551A77D0" w:rsidP="0047117A">
      <w:pPr>
        <w:pStyle w:val="Heading1"/>
      </w:pPr>
      <w:bookmarkStart w:id="67" w:name="_Toc25888684"/>
      <w:bookmarkEnd w:id="66"/>
      <w:r w:rsidRPr="00310DC6">
        <w:lastRenderedPageBreak/>
        <w:t>Discussion</w:t>
      </w:r>
      <w:bookmarkEnd w:id="67"/>
    </w:p>
    <w:p w14:paraId="518D609F" w14:textId="7713411E" w:rsidR="00236D28" w:rsidRPr="00435C5A" w:rsidRDefault="00236D28" w:rsidP="00236D28">
      <w:pPr>
        <w:spacing w:after="0"/>
        <w:rPr>
          <w:bCs/>
        </w:rPr>
      </w:pPr>
      <w:r w:rsidRPr="00435C5A">
        <w:rPr>
          <w:bCs/>
        </w:rPr>
        <w:t>In conclusion, perennial energy crops are certainly an important replacement</w:t>
      </w:r>
      <w:r>
        <w:rPr>
          <w:bCs/>
        </w:rPr>
        <w:t xml:space="preserve"> of annual energy crops and fossil fuel</w:t>
      </w:r>
      <w:r w:rsidRPr="00435C5A">
        <w:rPr>
          <w:bCs/>
        </w:rPr>
        <w:t>. The results in the report suggest that under a conservative optimis</w:t>
      </w:r>
      <w:r>
        <w:rPr>
          <w:bCs/>
        </w:rPr>
        <w:t>tic scenario</w:t>
      </w:r>
      <w:r w:rsidRPr="00435C5A">
        <w:rPr>
          <w:bCs/>
        </w:rPr>
        <w:t xml:space="preserve">, </w:t>
      </w:r>
      <w:r w:rsidR="007A2373">
        <w:rPr>
          <w:bCs/>
        </w:rPr>
        <w:t xml:space="preserve">154 </w:t>
      </w:r>
      <w:r w:rsidRPr="00435C5A">
        <w:rPr>
          <w:bCs/>
        </w:rPr>
        <w:t xml:space="preserve">million hectares of land can be planted under perennial crops for bioenergy use and this </w:t>
      </w:r>
      <w:r>
        <w:rPr>
          <w:bCs/>
        </w:rPr>
        <w:t>will help sequester</w:t>
      </w:r>
      <w:r w:rsidRPr="00435C5A">
        <w:rPr>
          <w:bCs/>
        </w:rPr>
        <w:t xml:space="preserve"> </w:t>
      </w:r>
      <w:r>
        <w:t>8 Gt carbon dioxide equivalents in total. Though these impacts are modest, they must be paired with the emissions reductions from converting a portion of the energy supply from fossil fuels to biomass-based energy. For example, Yang at al., 2018, found climate impact of replacing fossil fuels by perennial energy crops to be 12 megatons per ha per year.</w:t>
      </w:r>
    </w:p>
    <w:p w14:paraId="37C09E9C" w14:textId="77777777" w:rsidR="00236D28" w:rsidRPr="00435C5A" w:rsidRDefault="00236D28" w:rsidP="00236D28">
      <w:pPr>
        <w:spacing w:after="0"/>
        <w:rPr>
          <w:bCs/>
        </w:rPr>
      </w:pPr>
    </w:p>
    <w:p w14:paraId="7391A142" w14:textId="77777777" w:rsidR="00236D28" w:rsidRDefault="00236D28" w:rsidP="00236D28">
      <w:pPr>
        <w:spacing w:after="0"/>
        <w:rPr>
          <w:bCs/>
        </w:rPr>
      </w:pPr>
      <w:r>
        <w:rPr>
          <w:bCs/>
        </w:rPr>
        <w:t>Also a</w:t>
      </w:r>
      <w:r w:rsidRPr="00435C5A">
        <w:rPr>
          <w:bCs/>
        </w:rPr>
        <w:t xml:space="preserve">s discussed in the report, both herbaceous crops and SRC offer many advantages over annual crops. Some examples of environmental benefits are reduction in fertilizer and pesticide use, reduction in water requirements, improved soil quality through increased carbon sequestration rates. </w:t>
      </w:r>
    </w:p>
    <w:p w14:paraId="34E451F8" w14:textId="77777777" w:rsidR="00236D28" w:rsidRDefault="00236D28" w:rsidP="00236D28">
      <w:pPr>
        <w:spacing w:after="0"/>
        <w:rPr>
          <w:bCs/>
        </w:rPr>
      </w:pPr>
    </w:p>
    <w:p w14:paraId="36296DA3" w14:textId="77777777" w:rsidR="00236D28" w:rsidRPr="00435C5A" w:rsidRDefault="00236D28" w:rsidP="00236D28">
      <w:pPr>
        <w:spacing w:after="0"/>
        <w:rPr>
          <w:bCs/>
        </w:rPr>
      </w:pPr>
      <w:r>
        <w:rPr>
          <w:bCs/>
        </w:rPr>
        <w:t>Overall, although the report is comprehensive in collecting data, there are certainly quite a few gaps and limitations especially related to data on current and future adoptions</w:t>
      </w:r>
    </w:p>
    <w:p w14:paraId="6E5FD82F" w14:textId="77777777" w:rsidR="00236D28" w:rsidRPr="00435C5A" w:rsidRDefault="00236D28" w:rsidP="00236D28">
      <w:pPr>
        <w:spacing w:after="0"/>
        <w:rPr>
          <w:bCs/>
        </w:rPr>
      </w:pPr>
    </w:p>
    <w:p w14:paraId="319DCBD8" w14:textId="2D343B33" w:rsidR="006745FF" w:rsidRDefault="00F82F87" w:rsidP="00F82F87">
      <w:pPr>
        <w:pStyle w:val="Heading2"/>
        <w:numPr>
          <w:ilvl w:val="0"/>
          <w:numId w:val="0"/>
        </w:numPr>
      </w:pPr>
      <w:bookmarkStart w:id="68" w:name="_Toc25888685"/>
      <w:r>
        <w:t xml:space="preserve">4.1 </w:t>
      </w:r>
      <w:r w:rsidR="006745FF" w:rsidRPr="551A77D0">
        <w:t>Limitations</w:t>
      </w:r>
      <w:bookmarkEnd w:id="68"/>
    </w:p>
    <w:p w14:paraId="70D52808" w14:textId="1DA11363" w:rsidR="002C3833" w:rsidRDefault="002C3833" w:rsidP="00BF56E5">
      <w:pPr>
        <w:shd w:val="clear" w:color="auto" w:fill="FFFFFF"/>
        <w:spacing w:after="180"/>
        <w:rPr>
          <w:rFonts w:eastAsia="Times New Roman" w:cs="Times New Roman"/>
          <w:lang w:eastAsia="zh-CN"/>
        </w:rPr>
      </w:pPr>
      <w:r w:rsidRPr="00236D28">
        <w:rPr>
          <w:rFonts w:eastAsia="Times New Roman" w:cs="Times New Roman"/>
          <w:lang w:eastAsia="zh-CN"/>
        </w:rPr>
        <w:t>It would be useful to obtain more</w:t>
      </w:r>
      <w:r w:rsidR="00236D28" w:rsidRPr="00236D28">
        <w:rPr>
          <w:rFonts w:eastAsia="Times New Roman" w:cs="Times New Roman"/>
          <w:lang w:eastAsia="zh-CN"/>
        </w:rPr>
        <w:t xml:space="preserve"> data on greenhouse gas emissions from perennial energy crop cultivation on degraded land. </w:t>
      </w:r>
      <w:r w:rsidRPr="00236D28">
        <w:rPr>
          <w:rFonts w:eastAsia="Times New Roman" w:cs="Times New Roman"/>
          <w:lang w:eastAsia="zh-CN"/>
        </w:rPr>
        <w:t xml:space="preserve"> Additional data on current and projected adoption </w:t>
      </w:r>
      <w:r w:rsidR="00236D28" w:rsidRPr="00236D28">
        <w:rPr>
          <w:rFonts w:eastAsia="Times New Roman" w:cs="Times New Roman"/>
          <w:lang w:eastAsia="zh-CN"/>
        </w:rPr>
        <w:t>needs to be updated annually</w:t>
      </w:r>
    </w:p>
    <w:p w14:paraId="183AC562" w14:textId="0EC3D8B5" w:rsidR="00F82F87" w:rsidRDefault="00F82F87" w:rsidP="00F82F87">
      <w:pPr>
        <w:pStyle w:val="Heading2"/>
        <w:numPr>
          <w:ilvl w:val="0"/>
          <w:numId w:val="0"/>
        </w:numPr>
      </w:pPr>
      <w:bookmarkStart w:id="69" w:name="_Toc17998518"/>
      <w:bookmarkStart w:id="70" w:name="_Toc25888686"/>
      <w:r>
        <w:t xml:space="preserve">4.2 </w:t>
      </w:r>
      <w:r w:rsidRPr="551A77D0">
        <w:t>Benchmarks</w:t>
      </w:r>
      <w:bookmarkEnd w:id="69"/>
      <w:bookmarkEnd w:id="70"/>
    </w:p>
    <w:p w14:paraId="02E5BCD7" w14:textId="06342CBF" w:rsidR="00F82F87" w:rsidRDefault="005049A6" w:rsidP="00F82F87">
      <w:pPr>
        <w:shd w:val="clear" w:color="auto" w:fill="FFFFFF"/>
        <w:spacing w:after="180"/>
      </w:pPr>
      <w:r>
        <w:t>Benchmarks for this solution are unavailable.</w:t>
      </w:r>
    </w:p>
    <w:p w14:paraId="1AA54739" w14:textId="51AA1326" w:rsidR="0047117A" w:rsidRDefault="0047117A" w:rsidP="00F82F87">
      <w:pPr>
        <w:shd w:val="clear" w:color="auto" w:fill="FFFFFF"/>
        <w:spacing w:after="180"/>
      </w:pPr>
    </w:p>
    <w:p w14:paraId="04AD708D" w14:textId="4CC79B25" w:rsidR="0047117A" w:rsidRDefault="0047117A" w:rsidP="00F82F87">
      <w:pPr>
        <w:shd w:val="clear" w:color="auto" w:fill="FFFFFF"/>
        <w:spacing w:after="180"/>
      </w:pPr>
    </w:p>
    <w:p w14:paraId="2097BC13" w14:textId="4C54962B" w:rsidR="0047117A" w:rsidRDefault="0047117A" w:rsidP="00F82F87">
      <w:pPr>
        <w:shd w:val="clear" w:color="auto" w:fill="FFFFFF"/>
        <w:spacing w:after="180"/>
      </w:pPr>
    </w:p>
    <w:p w14:paraId="6411D3B9" w14:textId="77777777" w:rsidR="0047117A" w:rsidRPr="00236D28" w:rsidRDefault="0047117A" w:rsidP="00F82F87">
      <w:pPr>
        <w:shd w:val="clear" w:color="auto" w:fill="FFFFFF"/>
        <w:spacing w:after="180"/>
        <w:rPr>
          <w:rFonts w:eastAsia="Times New Roman" w:cs="Times New Roman"/>
          <w:lang w:eastAsia="zh-CN"/>
        </w:rPr>
      </w:pPr>
    </w:p>
    <w:p w14:paraId="7454D80C" w14:textId="181DF9D0" w:rsidR="00434F61" w:rsidRPr="00367EF1" w:rsidRDefault="551A77D0" w:rsidP="0047117A">
      <w:pPr>
        <w:pStyle w:val="Heading1"/>
      </w:pPr>
      <w:bookmarkStart w:id="71" w:name="_Toc25888687"/>
      <w:r w:rsidRPr="00367EF1">
        <w:lastRenderedPageBreak/>
        <w:t>References</w:t>
      </w:r>
      <w:bookmarkEnd w:id="71"/>
    </w:p>
    <w:p w14:paraId="196E0ACB"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6D4D05">
        <w:rPr>
          <w:rFonts w:cs="Times New Roman"/>
          <w:sz w:val="20"/>
        </w:rPr>
        <w:t xml:space="preserve">Adams, P. W. R., &amp; </w:t>
      </w:r>
      <w:proofErr w:type="spellStart"/>
      <w:r w:rsidRPr="006D4D05">
        <w:rPr>
          <w:rFonts w:cs="Times New Roman"/>
          <w:sz w:val="20"/>
        </w:rPr>
        <w:t>Lindegaard</w:t>
      </w:r>
      <w:proofErr w:type="spellEnd"/>
      <w:r w:rsidRPr="006D4D05">
        <w:rPr>
          <w:rFonts w:cs="Times New Roman"/>
          <w:sz w:val="20"/>
        </w:rPr>
        <w:t xml:space="preserve">, K. (2016). </w:t>
      </w:r>
      <w:r w:rsidRPr="00E70D0B">
        <w:rPr>
          <w:rFonts w:cs="Times New Roman"/>
          <w:sz w:val="20"/>
        </w:rPr>
        <w:t xml:space="preserve">A critical appraisal of the effectiveness of UK perennial energy crops policy since 1990. Renewable and Sustainable Energy Reviews, 55, 188–202. </w:t>
      </w:r>
      <w:hyperlink r:id="rId20" w:history="1">
        <w:r w:rsidRPr="001550E8">
          <w:rPr>
            <w:rStyle w:val="Hyperlink"/>
            <w:rFonts w:cs="Times New Roman"/>
            <w:sz w:val="20"/>
          </w:rPr>
          <w:t>http://doi.org/10.1016/j.rser.2015.10.126</w:t>
        </w:r>
      </w:hyperlink>
      <w:r>
        <w:rPr>
          <w:rFonts w:cs="Times New Roman"/>
          <w:sz w:val="20"/>
        </w:rPr>
        <w:t xml:space="preserve"> </w:t>
      </w:r>
      <w:r w:rsidRPr="00E70D0B">
        <w:rPr>
          <w:rFonts w:cs="Times New Roman"/>
          <w:sz w:val="20"/>
        </w:rPr>
        <w:t xml:space="preserve"> </w:t>
      </w:r>
      <w:r>
        <w:rPr>
          <w:rFonts w:cs="Times New Roman"/>
          <w:sz w:val="20"/>
        </w:rPr>
        <w:t xml:space="preserve"> </w:t>
      </w:r>
    </w:p>
    <w:p w14:paraId="2DA0D5E7"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C813A4">
        <w:rPr>
          <w:rFonts w:cs="Times New Roman"/>
          <w:sz w:val="20"/>
          <w:lang w:val="it-IT"/>
        </w:rPr>
        <w:t xml:space="preserve">Adler, P. R., Grosso, S. J. D., &amp; Parton, W. J. (2007). </w:t>
      </w:r>
      <w:r w:rsidRPr="00E70D0B">
        <w:rPr>
          <w:rFonts w:cs="Times New Roman"/>
          <w:sz w:val="20"/>
        </w:rPr>
        <w:t>Life-cycle assessment of net greenhouse-gas flux for bioenergy cropping systems. Ecological Applications, 17(3), 675–691.</w:t>
      </w:r>
      <w:r>
        <w:rPr>
          <w:rFonts w:cs="Times New Roman"/>
          <w:sz w:val="20"/>
        </w:rPr>
        <w:t xml:space="preserve"> </w:t>
      </w:r>
    </w:p>
    <w:p w14:paraId="0E3AD5B0"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435C5A">
        <w:rPr>
          <w:rFonts w:cs="Times New Roman"/>
          <w:sz w:val="20"/>
        </w:rPr>
        <w:t xml:space="preserve">Alexander, P., Moran, D., Smith, P., Hastings, A., Wang, S., </w:t>
      </w:r>
      <w:proofErr w:type="spellStart"/>
      <w:r w:rsidRPr="00435C5A">
        <w:rPr>
          <w:rFonts w:cs="Times New Roman"/>
          <w:sz w:val="20"/>
        </w:rPr>
        <w:t>Sünnenberg</w:t>
      </w:r>
      <w:proofErr w:type="spellEnd"/>
      <w:r w:rsidRPr="00435C5A">
        <w:rPr>
          <w:rFonts w:cs="Times New Roman"/>
          <w:sz w:val="20"/>
        </w:rPr>
        <w:t xml:space="preserve">, G., … </w:t>
      </w:r>
      <w:proofErr w:type="spellStart"/>
      <w:r w:rsidRPr="00E70D0B">
        <w:rPr>
          <w:rFonts w:cs="Times New Roman"/>
          <w:sz w:val="20"/>
        </w:rPr>
        <w:t>Cisowska</w:t>
      </w:r>
      <w:proofErr w:type="spellEnd"/>
      <w:r w:rsidRPr="00E70D0B">
        <w:rPr>
          <w:rFonts w:cs="Times New Roman"/>
          <w:sz w:val="20"/>
        </w:rPr>
        <w:t xml:space="preserve">, I. (2014). Estimating UK perennial energy crop supply using farm-scale models with spatially disaggregated data. GCB Bioenergy, 6(2), 142–155. </w:t>
      </w:r>
      <w:hyperlink r:id="rId21" w:history="1">
        <w:r w:rsidRPr="001550E8">
          <w:rPr>
            <w:rStyle w:val="Hyperlink"/>
            <w:rFonts w:cs="Times New Roman"/>
            <w:sz w:val="20"/>
          </w:rPr>
          <w:t>http://doi.org/10.1111/gcbb.12121</w:t>
        </w:r>
      </w:hyperlink>
      <w:r>
        <w:rPr>
          <w:rFonts w:cs="Times New Roman"/>
          <w:sz w:val="20"/>
        </w:rPr>
        <w:t xml:space="preserve"> </w:t>
      </w:r>
      <w:r w:rsidRPr="00E70D0B">
        <w:rPr>
          <w:rFonts w:cs="Times New Roman"/>
          <w:sz w:val="20"/>
        </w:rPr>
        <w:t xml:space="preserve"> </w:t>
      </w:r>
    </w:p>
    <w:p w14:paraId="02248174"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Bangor University. (2010). Growing Miscanthus - Does it pay? Retrieved from </w:t>
      </w:r>
      <w:hyperlink r:id="rId22" w:history="1">
        <w:r w:rsidRPr="001550E8">
          <w:rPr>
            <w:rStyle w:val="Hyperlink"/>
            <w:rFonts w:cs="Times New Roman"/>
            <w:sz w:val="20"/>
          </w:rPr>
          <w:t>http://www.calu.bangor.ac.uk/Technical%20leaflets/Miscanthus%20-%20does%20it%20payv3.pdf</w:t>
        </w:r>
      </w:hyperlink>
      <w:r>
        <w:rPr>
          <w:rFonts w:cs="Times New Roman"/>
          <w:sz w:val="20"/>
        </w:rPr>
        <w:t xml:space="preserve"> </w:t>
      </w:r>
      <w:r w:rsidRPr="00E70D0B">
        <w:rPr>
          <w:rFonts w:cs="Times New Roman"/>
          <w:sz w:val="20"/>
        </w:rPr>
        <w:t xml:space="preserve"> </w:t>
      </w:r>
      <w:r>
        <w:rPr>
          <w:rFonts w:cs="Times New Roman"/>
          <w:sz w:val="20"/>
        </w:rPr>
        <w:t xml:space="preserve"> </w:t>
      </w:r>
    </w:p>
    <w:p w14:paraId="4D8701AD"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lang w:val="es-ES"/>
        </w:rPr>
        <w:t xml:space="preserve">Camargo, G. G. T., Ryan, M. R., &amp; Richard, T. L. (2013). </w:t>
      </w:r>
      <w:r w:rsidRPr="00E70D0B">
        <w:rPr>
          <w:rFonts w:cs="Times New Roman"/>
          <w:sz w:val="20"/>
        </w:rPr>
        <w:t xml:space="preserve">Energy Use and Greenhouse Gas Emissions from Crop Production Using the Farm Energy Analysis Tool. </w:t>
      </w:r>
      <w:proofErr w:type="spellStart"/>
      <w:r w:rsidRPr="00E70D0B">
        <w:rPr>
          <w:rFonts w:cs="Times New Roman"/>
          <w:sz w:val="20"/>
        </w:rPr>
        <w:t>BioScience</w:t>
      </w:r>
      <w:proofErr w:type="spellEnd"/>
      <w:r w:rsidRPr="00E70D0B">
        <w:rPr>
          <w:rFonts w:cs="Times New Roman"/>
          <w:sz w:val="20"/>
        </w:rPr>
        <w:t xml:space="preserve">, 63(4), 263–273. </w:t>
      </w:r>
      <w:hyperlink r:id="rId23" w:history="1">
        <w:r w:rsidRPr="001550E8">
          <w:rPr>
            <w:rStyle w:val="Hyperlink"/>
            <w:rFonts w:cs="Times New Roman"/>
            <w:sz w:val="20"/>
          </w:rPr>
          <w:t>http://doi.org/10.1525/bio.2013.63.4.6</w:t>
        </w:r>
      </w:hyperlink>
      <w:r>
        <w:rPr>
          <w:rFonts w:cs="Times New Roman"/>
          <w:sz w:val="20"/>
        </w:rPr>
        <w:t xml:space="preserve"> </w:t>
      </w:r>
      <w:r w:rsidRPr="00E70D0B">
        <w:rPr>
          <w:rFonts w:cs="Times New Roman"/>
          <w:sz w:val="20"/>
        </w:rPr>
        <w:t xml:space="preserve"> </w:t>
      </w:r>
    </w:p>
    <w:p w14:paraId="4F582F14"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E70D0B">
        <w:rPr>
          <w:rFonts w:cs="Times New Roman"/>
          <w:sz w:val="20"/>
        </w:rPr>
        <w:t>Coote</w:t>
      </w:r>
      <w:proofErr w:type="spellEnd"/>
      <w:r w:rsidRPr="00E70D0B">
        <w:rPr>
          <w:rFonts w:cs="Times New Roman"/>
          <w:sz w:val="20"/>
        </w:rPr>
        <w:t xml:space="preserve">, C. (n.d.). Costs and Returns of SRC Production. Retrieved from </w:t>
      </w:r>
      <w:hyperlink r:id="rId24" w:history="1">
        <w:r w:rsidRPr="001550E8">
          <w:rPr>
            <w:rStyle w:val="Hyperlink"/>
            <w:rFonts w:cs="Times New Roman"/>
            <w:sz w:val="20"/>
          </w:rPr>
          <w:t>http://citeseerx.ist.psu.edu/viewdoc/download?doi=10.1.1.549.7656&amp;rep=rep1&amp;type=pdf</w:t>
        </w:r>
      </w:hyperlink>
      <w:r>
        <w:rPr>
          <w:rFonts w:cs="Times New Roman"/>
          <w:sz w:val="20"/>
        </w:rPr>
        <w:t xml:space="preserve"> </w:t>
      </w:r>
    </w:p>
    <w:p w14:paraId="0512EBF5"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Danish Ministry. (2010). Perennial energy crops. The Danish Ministry of Food, Agriculture and Fisheries. Retrieved from </w:t>
      </w:r>
      <w:hyperlink r:id="rId25" w:history="1">
        <w:r w:rsidRPr="001550E8">
          <w:rPr>
            <w:rStyle w:val="Hyperlink"/>
            <w:rFonts w:cs="Times New Roman"/>
            <w:sz w:val="20"/>
          </w:rPr>
          <w:t>http://en.mfvm.dk/fileadmin/user_upload/ENGLISH_FVM.DK/Themes/Bioenergy/Perennial_energy_crops.pdf</w:t>
        </w:r>
      </w:hyperlink>
      <w:r>
        <w:rPr>
          <w:rFonts w:cs="Times New Roman"/>
          <w:sz w:val="20"/>
        </w:rPr>
        <w:t xml:space="preserve"> </w:t>
      </w:r>
      <w:r w:rsidRPr="00E70D0B">
        <w:rPr>
          <w:rFonts w:cs="Times New Roman"/>
          <w:sz w:val="20"/>
        </w:rPr>
        <w:t xml:space="preserve"> </w:t>
      </w:r>
    </w:p>
    <w:p w14:paraId="41F2D9BD" w14:textId="77777777" w:rsidR="001C7331"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C813A4">
        <w:rPr>
          <w:rFonts w:cs="Times New Roman"/>
          <w:sz w:val="20"/>
        </w:rPr>
        <w:t>DeCicco</w:t>
      </w:r>
      <w:proofErr w:type="spellEnd"/>
      <w:r w:rsidRPr="00C813A4">
        <w:rPr>
          <w:rFonts w:cs="Times New Roman"/>
          <w:sz w:val="20"/>
        </w:rPr>
        <w:t xml:space="preserve">, J. M., Liu, D. Y., </w:t>
      </w:r>
      <w:proofErr w:type="spellStart"/>
      <w:r w:rsidRPr="00C813A4">
        <w:rPr>
          <w:rFonts w:cs="Times New Roman"/>
          <w:sz w:val="20"/>
        </w:rPr>
        <w:t>Heo</w:t>
      </w:r>
      <w:proofErr w:type="spellEnd"/>
      <w:r w:rsidRPr="00C813A4">
        <w:rPr>
          <w:rFonts w:cs="Times New Roman"/>
          <w:sz w:val="20"/>
        </w:rPr>
        <w:t xml:space="preserve">, J., Krishnan, R., </w:t>
      </w:r>
      <w:proofErr w:type="spellStart"/>
      <w:r w:rsidRPr="00C813A4">
        <w:rPr>
          <w:rFonts w:cs="Times New Roman"/>
          <w:sz w:val="20"/>
        </w:rPr>
        <w:t>Kurthen</w:t>
      </w:r>
      <w:proofErr w:type="spellEnd"/>
      <w:r w:rsidRPr="00C813A4">
        <w:rPr>
          <w:rFonts w:cs="Times New Roman"/>
          <w:sz w:val="20"/>
        </w:rPr>
        <w:t xml:space="preserve">, A., &amp; Wang, L. (2016). </w:t>
      </w:r>
      <w:r w:rsidRPr="00AE5554">
        <w:rPr>
          <w:rFonts w:cs="Times New Roman"/>
          <w:sz w:val="20"/>
        </w:rPr>
        <w:t xml:space="preserve">Carbon balance effects of U.S. biofuel production and use. Climatic Change, 138(3–4), 667–680. </w:t>
      </w:r>
      <w:hyperlink r:id="rId26" w:history="1">
        <w:r w:rsidRPr="00596DD6">
          <w:rPr>
            <w:rStyle w:val="Hyperlink"/>
            <w:rFonts w:cs="Times New Roman"/>
            <w:sz w:val="20"/>
          </w:rPr>
          <w:t>https://doi.org/10.1007/s10584-016-1764-4</w:t>
        </w:r>
      </w:hyperlink>
      <w:r>
        <w:rPr>
          <w:rFonts w:cs="Times New Roman"/>
          <w:sz w:val="20"/>
        </w:rPr>
        <w:t xml:space="preserve"> </w:t>
      </w:r>
    </w:p>
    <w:p w14:paraId="1C98094B"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E70D0B">
        <w:rPr>
          <w:rFonts w:cs="Times New Roman"/>
          <w:sz w:val="20"/>
        </w:rPr>
        <w:t>Dhungel</w:t>
      </w:r>
      <w:proofErr w:type="spellEnd"/>
      <w:r w:rsidRPr="00E70D0B">
        <w:rPr>
          <w:rFonts w:cs="Times New Roman"/>
          <w:sz w:val="20"/>
        </w:rPr>
        <w:t xml:space="preserve">, S., &amp; </w:t>
      </w:r>
      <w:proofErr w:type="spellStart"/>
      <w:r w:rsidRPr="00E70D0B">
        <w:rPr>
          <w:rFonts w:cs="Times New Roman"/>
          <w:sz w:val="20"/>
        </w:rPr>
        <w:t>Anex</w:t>
      </w:r>
      <w:proofErr w:type="spellEnd"/>
      <w:r w:rsidRPr="00E70D0B">
        <w:rPr>
          <w:rFonts w:cs="Times New Roman"/>
          <w:sz w:val="20"/>
        </w:rPr>
        <w:t xml:space="preserve">, R. (2011). Life Cycle Comparison of Annual and Perennial Biofuel Cropping System. In Proceedings from the LCA XI International Conference. Chicago, IL, United States. Retrieved from </w:t>
      </w:r>
      <w:hyperlink r:id="rId27" w:history="1">
        <w:r w:rsidRPr="001550E8">
          <w:rPr>
            <w:rStyle w:val="Hyperlink"/>
            <w:rFonts w:cs="Times New Roman"/>
            <w:sz w:val="20"/>
          </w:rPr>
          <w:t>http://lcacenter.org/lcaxi/final/379.pdf</w:t>
        </w:r>
      </w:hyperlink>
      <w:r>
        <w:rPr>
          <w:rFonts w:cs="Times New Roman"/>
          <w:sz w:val="20"/>
        </w:rPr>
        <w:t xml:space="preserve"> </w:t>
      </w:r>
    </w:p>
    <w:p w14:paraId="0FA94FBA"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El Bassam, N. (2010). Handbook of bioenergy crops: a complete reference to species, development and applications. </w:t>
      </w:r>
      <w:proofErr w:type="gramStart"/>
      <w:r w:rsidRPr="00E70D0B">
        <w:rPr>
          <w:rFonts w:cs="Times New Roman"/>
          <w:sz w:val="20"/>
        </w:rPr>
        <w:t>London ;</w:t>
      </w:r>
      <w:proofErr w:type="gramEnd"/>
      <w:r w:rsidRPr="00E70D0B">
        <w:rPr>
          <w:rFonts w:cs="Times New Roman"/>
          <w:sz w:val="20"/>
        </w:rPr>
        <w:t xml:space="preserve"> Washington: Earthscan.</w:t>
      </w:r>
    </w:p>
    <w:p w14:paraId="6D643F00"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Energy Use and Greenhouse Gas Emissions from Crop Production Using the Farm Energy Analysis Tool. (2013). </w:t>
      </w:r>
      <w:proofErr w:type="spellStart"/>
      <w:r w:rsidRPr="00E70D0B">
        <w:rPr>
          <w:rFonts w:cs="Times New Roman"/>
          <w:sz w:val="20"/>
        </w:rPr>
        <w:t>BioScience</w:t>
      </w:r>
      <w:proofErr w:type="spellEnd"/>
      <w:r w:rsidRPr="00E70D0B">
        <w:rPr>
          <w:rFonts w:cs="Times New Roman"/>
          <w:sz w:val="20"/>
        </w:rPr>
        <w:t xml:space="preserve">, 63(4), 263–273. </w:t>
      </w:r>
      <w:hyperlink r:id="rId28" w:history="1">
        <w:r w:rsidRPr="001550E8">
          <w:rPr>
            <w:rStyle w:val="Hyperlink"/>
            <w:rFonts w:cs="Times New Roman"/>
            <w:sz w:val="20"/>
          </w:rPr>
          <w:t>http://doi.org/10.1525/bio.2013.63.4.6</w:t>
        </w:r>
      </w:hyperlink>
      <w:r>
        <w:rPr>
          <w:rFonts w:cs="Times New Roman"/>
          <w:sz w:val="20"/>
        </w:rPr>
        <w:t xml:space="preserve"> </w:t>
      </w:r>
    </w:p>
    <w:p w14:paraId="39D1D830"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Georgescu, M., Lobell, D. B., &amp; Field, C. B. (2011). Direct climate effects of perennial bioenergy crops in the United States. Proceedings of the National Academy of Sciences, 108(11), 4307–4312.</w:t>
      </w:r>
    </w:p>
    <w:p w14:paraId="425F8693"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lang w:val="de-DE"/>
        </w:rPr>
      </w:pPr>
      <w:r w:rsidRPr="00167AE0">
        <w:rPr>
          <w:rFonts w:cs="Times New Roman"/>
          <w:sz w:val="20"/>
        </w:rPr>
        <w:t xml:space="preserve">Hamelin, L., </w:t>
      </w:r>
      <w:proofErr w:type="spellStart"/>
      <w:r w:rsidRPr="00167AE0">
        <w:rPr>
          <w:rFonts w:cs="Times New Roman"/>
          <w:sz w:val="20"/>
        </w:rPr>
        <w:t>Jørgensen</w:t>
      </w:r>
      <w:proofErr w:type="spellEnd"/>
      <w:r w:rsidRPr="00167AE0">
        <w:rPr>
          <w:rFonts w:cs="Times New Roman"/>
          <w:sz w:val="20"/>
        </w:rPr>
        <w:t xml:space="preserve">, U., Petersen, B. M., Olesen, J. E., &amp; Wenzel, H. (2012). </w:t>
      </w:r>
      <w:r w:rsidRPr="00E70D0B">
        <w:rPr>
          <w:rFonts w:cs="Times New Roman"/>
          <w:sz w:val="20"/>
        </w:rPr>
        <w:t xml:space="preserve">Modelling the carbon and nitrogen balances of direct land use changes from energy crops in Denmark: a consequential life cycle inventory. </w:t>
      </w:r>
      <w:r w:rsidRPr="00E70D0B">
        <w:rPr>
          <w:rFonts w:cs="Times New Roman"/>
          <w:sz w:val="20"/>
          <w:lang w:val="de-DE"/>
        </w:rPr>
        <w:t xml:space="preserve">GCB Bioenergy, 4(6), 889–907. </w:t>
      </w:r>
      <w:r w:rsidR="00CE1040">
        <w:fldChar w:fldCharType="begin"/>
      </w:r>
      <w:r w:rsidR="00CE1040">
        <w:instrText xml:space="preserve"> HYPERLINK "http://doi.org/10.1111/j.1757-1707.2012.01174.x" </w:instrText>
      </w:r>
      <w:r w:rsidR="00CE1040">
        <w:fldChar w:fldCharType="separate"/>
      </w:r>
      <w:r w:rsidRPr="001550E8">
        <w:rPr>
          <w:rStyle w:val="Hyperlink"/>
          <w:rFonts w:cs="Times New Roman"/>
          <w:sz w:val="20"/>
          <w:lang w:val="de-DE"/>
        </w:rPr>
        <w:t>http://doi.org/10.1111/j.1757-1707.2012.01174.x</w:t>
      </w:r>
      <w:r w:rsidR="00CE1040">
        <w:rPr>
          <w:rStyle w:val="Hyperlink"/>
          <w:rFonts w:cs="Times New Roman"/>
          <w:sz w:val="20"/>
          <w:lang w:val="de-DE"/>
        </w:rPr>
        <w:fldChar w:fldCharType="end"/>
      </w:r>
      <w:r>
        <w:rPr>
          <w:rFonts w:cs="Times New Roman"/>
          <w:sz w:val="20"/>
          <w:lang w:val="de-DE"/>
        </w:rPr>
        <w:t xml:space="preserve"> </w:t>
      </w:r>
      <w:r w:rsidRPr="00E70D0B">
        <w:rPr>
          <w:rFonts w:cs="Times New Roman"/>
          <w:sz w:val="20"/>
          <w:lang w:val="de-DE"/>
        </w:rPr>
        <w:t xml:space="preserve"> </w:t>
      </w:r>
    </w:p>
    <w:p w14:paraId="65BA86C6" w14:textId="77777777" w:rsidR="001C7331" w:rsidRPr="00C813A4"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lang w:val="de-DE"/>
        </w:rPr>
        <w:t xml:space="preserve">Hohenstein, W. G., &amp; Wright, L. L. (1994). </w:t>
      </w:r>
      <w:r w:rsidRPr="00E70D0B">
        <w:rPr>
          <w:rFonts w:cs="Times New Roman"/>
          <w:sz w:val="20"/>
        </w:rPr>
        <w:t xml:space="preserve">Biomass energy production in the United States: an overview. </w:t>
      </w:r>
      <w:r w:rsidRPr="00C813A4">
        <w:rPr>
          <w:rFonts w:cs="Times New Roman"/>
          <w:sz w:val="20"/>
        </w:rPr>
        <w:t>Biomass and Bioenergy, 6(3), 161–173.</w:t>
      </w:r>
    </w:p>
    <w:p w14:paraId="3FD13DCF"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C813A4">
        <w:rPr>
          <w:rFonts w:cs="Times New Roman"/>
          <w:sz w:val="20"/>
        </w:rPr>
        <w:t>Immerzeel</w:t>
      </w:r>
      <w:proofErr w:type="spellEnd"/>
      <w:r w:rsidRPr="00C813A4">
        <w:rPr>
          <w:rFonts w:cs="Times New Roman"/>
          <w:sz w:val="20"/>
        </w:rPr>
        <w:t xml:space="preserve">, D. J., Verweij, P. A., van der </w:t>
      </w:r>
      <w:proofErr w:type="spellStart"/>
      <w:r w:rsidRPr="00C813A4">
        <w:rPr>
          <w:rFonts w:cs="Times New Roman"/>
          <w:sz w:val="20"/>
        </w:rPr>
        <w:t>Hilst</w:t>
      </w:r>
      <w:proofErr w:type="spellEnd"/>
      <w:r w:rsidRPr="00C813A4">
        <w:rPr>
          <w:rFonts w:cs="Times New Roman"/>
          <w:sz w:val="20"/>
        </w:rPr>
        <w:t xml:space="preserve">, F., &amp; </w:t>
      </w:r>
      <w:proofErr w:type="spellStart"/>
      <w:r w:rsidRPr="00C813A4">
        <w:rPr>
          <w:rFonts w:cs="Times New Roman"/>
          <w:sz w:val="20"/>
        </w:rPr>
        <w:t>Faaij</w:t>
      </w:r>
      <w:proofErr w:type="spellEnd"/>
      <w:r w:rsidRPr="00C813A4">
        <w:rPr>
          <w:rFonts w:cs="Times New Roman"/>
          <w:sz w:val="20"/>
        </w:rPr>
        <w:t xml:space="preserve">, A. P. C. (2014). </w:t>
      </w:r>
      <w:r w:rsidRPr="00E70D0B">
        <w:rPr>
          <w:rFonts w:cs="Times New Roman"/>
          <w:sz w:val="20"/>
        </w:rPr>
        <w:t xml:space="preserve">Biodiversity impacts of bioenergy crop </w:t>
      </w:r>
      <w:r w:rsidRPr="00E70D0B">
        <w:rPr>
          <w:rFonts w:cs="Times New Roman"/>
          <w:sz w:val="20"/>
        </w:rPr>
        <w:lastRenderedPageBreak/>
        <w:t xml:space="preserve">production: a state-of-the-art review. GCB Bioenergy, 6(3), 183–209. </w:t>
      </w:r>
      <w:hyperlink r:id="rId29" w:history="1">
        <w:r w:rsidRPr="001550E8">
          <w:rPr>
            <w:rStyle w:val="Hyperlink"/>
            <w:rFonts w:cs="Times New Roman"/>
            <w:sz w:val="20"/>
          </w:rPr>
          <w:t>http://doi.org/10.1111/gcbb.12067</w:t>
        </w:r>
      </w:hyperlink>
      <w:r>
        <w:rPr>
          <w:rFonts w:cs="Times New Roman"/>
          <w:sz w:val="20"/>
        </w:rPr>
        <w:t xml:space="preserve"> </w:t>
      </w:r>
      <w:r w:rsidRPr="00E70D0B">
        <w:rPr>
          <w:rFonts w:cs="Times New Roman"/>
          <w:sz w:val="20"/>
        </w:rPr>
        <w:t xml:space="preserve"> </w:t>
      </w:r>
    </w:p>
    <w:p w14:paraId="593D0CE8"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IPCC. (2014). Climate Change 2014: Mitigation of Climate Change: Contribution of Working group II to the Fifth Assessment Report of the </w:t>
      </w:r>
      <w:proofErr w:type="spellStart"/>
      <w:r w:rsidRPr="00E70D0B">
        <w:rPr>
          <w:rFonts w:cs="Times New Roman"/>
          <w:sz w:val="20"/>
        </w:rPr>
        <w:t>Intergovermental</w:t>
      </w:r>
      <w:proofErr w:type="spellEnd"/>
      <w:r w:rsidRPr="00E70D0B">
        <w:rPr>
          <w:rFonts w:cs="Times New Roman"/>
          <w:sz w:val="20"/>
        </w:rPr>
        <w:t xml:space="preserve"> Panel on Climate Change. Cambridge, UK: Cambridge University Press.</w:t>
      </w:r>
    </w:p>
    <w:p w14:paraId="162510E7" w14:textId="77777777" w:rsidR="001C7331"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A45229">
        <w:rPr>
          <w:rFonts w:cs="Times New Roman"/>
          <w:sz w:val="20"/>
        </w:rPr>
        <w:t>Kartha</w:t>
      </w:r>
      <w:proofErr w:type="spellEnd"/>
      <w:r w:rsidRPr="00A45229">
        <w:rPr>
          <w:rFonts w:cs="Times New Roman"/>
          <w:sz w:val="20"/>
        </w:rPr>
        <w:t xml:space="preserve">, Sivan, &amp; Dooley, Kate. (2016). The risks of relying on tomorrow’s negative </w:t>
      </w:r>
      <w:proofErr w:type="gramStart"/>
      <w:r w:rsidRPr="00A45229">
        <w:rPr>
          <w:rFonts w:cs="Times New Roman"/>
          <w:sz w:val="20"/>
        </w:rPr>
        <w:t>emissions’</w:t>
      </w:r>
      <w:proofErr w:type="gramEnd"/>
      <w:r w:rsidRPr="00A45229">
        <w:rPr>
          <w:rFonts w:cs="Times New Roman"/>
          <w:sz w:val="20"/>
        </w:rPr>
        <w:t xml:space="preserve"> to guide today’s mitigation action (</w:t>
      </w:r>
      <w:r>
        <w:rPr>
          <w:rFonts w:cs="Times New Roman"/>
          <w:sz w:val="20"/>
        </w:rPr>
        <w:t>Working Paper</w:t>
      </w:r>
      <w:r w:rsidRPr="00A45229">
        <w:rPr>
          <w:rFonts w:cs="Times New Roman"/>
          <w:sz w:val="20"/>
        </w:rPr>
        <w:t xml:space="preserve">. 2016-08). Stockholm Environment Institute. Retrieved from </w:t>
      </w:r>
      <w:hyperlink r:id="rId30" w:history="1">
        <w:r w:rsidRPr="004F0C36">
          <w:rPr>
            <w:rStyle w:val="Hyperlink"/>
            <w:rFonts w:cs="Times New Roman"/>
            <w:sz w:val="20"/>
          </w:rPr>
          <w:t>https://www.sei-international.org/mediamanager/documents/Publications/Climate/SEI-WP-2016-08-Negative-emissions.pdf</w:t>
        </w:r>
      </w:hyperlink>
      <w:r>
        <w:rPr>
          <w:rFonts w:cs="Times New Roman"/>
          <w:sz w:val="20"/>
        </w:rPr>
        <w:t xml:space="preserve"> </w:t>
      </w:r>
    </w:p>
    <w:p w14:paraId="2706219F"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Lemus, R., &amp; Lal, R. (2005). Bioenergy Crops and Carbon Sequestration. Critical Reviews in Plant Sciences, 24(1), 1–21. </w:t>
      </w:r>
      <w:hyperlink r:id="rId31" w:history="1">
        <w:r w:rsidRPr="001550E8">
          <w:rPr>
            <w:rStyle w:val="Hyperlink"/>
            <w:rFonts w:cs="Times New Roman"/>
            <w:sz w:val="20"/>
          </w:rPr>
          <w:t>http://doi.org/10.1080/07352680590910393</w:t>
        </w:r>
      </w:hyperlink>
      <w:r>
        <w:rPr>
          <w:rFonts w:cs="Times New Roman"/>
          <w:sz w:val="20"/>
        </w:rPr>
        <w:t xml:space="preserve"> </w:t>
      </w:r>
      <w:r w:rsidRPr="00E70D0B">
        <w:rPr>
          <w:rFonts w:cs="Times New Roman"/>
          <w:sz w:val="20"/>
        </w:rPr>
        <w:t xml:space="preserve"> </w:t>
      </w:r>
    </w:p>
    <w:p w14:paraId="314490FA"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435C5A">
        <w:rPr>
          <w:rFonts w:cs="Times New Roman"/>
          <w:sz w:val="20"/>
        </w:rPr>
        <w:t xml:space="preserve">Lovett, A., </w:t>
      </w:r>
      <w:proofErr w:type="spellStart"/>
      <w:r w:rsidRPr="00435C5A">
        <w:rPr>
          <w:rFonts w:cs="Times New Roman"/>
          <w:sz w:val="20"/>
        </w:rPr>
        <w:t>Sünnenberg</w:t>
      </w:r>
      <w:proofErr w:type="spellEnd"/>
      <w:r w:rsidRPr="00435C5A">
        <w:rPr>
          <w:rFonts w:cs="Times New Roman"/>
          <w:sz w:val="20"/>
        </w:rPr>
        <w:t xml:space="preserve">, G., &amp; </w:t>
      </w:r>
      <w:proofErr w:type="spellStart"/>
      <w:r w:rsidRPr="00435C5A">
        <w:rPr>
          <w:rFonts w:cs="Times New Roman"/>
          <w:sz w:val="20"/>
        </w:rPr>
        <w:t>Dockerty</w:t>
      </w:r>
      <w:proofErr w:type="spellEnd"/>
      <w:r w:rsidRPr="00435C5A">
        <w:rPr>
          <w:rFonts w:cs="Times New Roman"/>
          <w:sz w:val="20"/>
        </w:rPr>
        <w:t xml:space="preserve">, T. (2014). </w:t>
      </w:r>
      <w:r w:rsidRPr="00E70D0B">
        <w:rPr>
          <w:rFonts w:cs="Times New Roman"/>
          <w:sz w:val="20"/>
        </w:rPr>
        <w:t xml:space="preserve">The availability of land for perennial energy crops in Great Britain. GCB Bioenergy, 6(2), 99–107. </w:t>
      </w:r>
      <w:hyperlink r:id="rId32" w:history="1">
        <w:r w:rsidRPr="001550E8">
          <w:rPr>
            <w:rStyle w:val="Hyperlink"/>
            <w:rFonts w:cs="Times New Roman"/>
            <w:sz w:val="20"/>
          </w:rPr>
          <w:t>http://doi.org/10.1111/gcbb.12147</w:t>
        </w:r>
      </w:hyperlink>
      <w:r>
        <w:rPr>
          <w:rFonts w:cs="Times New Roman"/>
          <w:sz w:val="20"/>
        </w:rPr>
        <w:t xml:space="preserve"> </w:t>
      </w:r>
      <w:r w:rsidRPr="00E70D0B">
        <w:rPr>
          <w:rFonts w:cs="Times New Roman"/>
          <w:sz w:val="20"/>
        </w:rPr>
        <w:t xml:space="preserve"> </w:t>
      </w:r>
    </w:p>
    <w:p w14:paraId="2E7A93D9"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167AE0">
        <w:rPr>
          <w:rFonts w:cs="Times New Roman"/>
          <w:sz w:val="20"/>
        </w:rPr>
        <w:t>Lychnaras</w:t>
      </w:r>
      <w:proofErr w:type="spellEnd"/>
      <w:r w:rsidRPr="00167AE0">
        <w:rPr>
          <w:rFonts w:cs="Times New Roman"/>
          <w:sz w:val="20"/>
        </w:rPr>
        <w:t xml:space="preserve">, V., </w:t>
      </w:r>
      <w:proofErr w:type="spellStart"/>
      <w:r w:rsidRPr="00167AE0">
        <w:rPr>
          <w:rFonts w:cs="Times New Roman"/>
          <w:sz w:val="20"/>
        </w:rPr>
        <w:t>Rozakis</w:t>
      </w:r>
      <w:proofErr w:type="spellEnd"/>
      <w:r w:rsidRPr="00167AE0">
        <w:rPr>
          <w:rFonts w:cs="Times New Roman"/>
          <w:sz w:val="20"/>
        </w:rPr>
        <w:t xml:space="preserve">, S., </w:t>
      </w:r>
      <w:proofErr w:type="spellStart"/>
      <w:r w:rsidRPr="00167AE0">
        <w:rPr>
          <w:rFonts w:cs="Times New Roman"/>
          <w:sz w:val="20"/>
        </w:rPr>
        <w:t>Soldatos</w:t>
      </w:r>
      <w:proofErr w:type="spellEnd"/>
      <w:r w:rsidRPr="00167AE0">
        <w:rPr>
          <w:rFonts w:cs="Times New Roman"/>
          <w:sz w:val="20"/>
        </w:rPr>
        <w:t xml:space="preserve">, P., </w:t>
      </w:r>
      <w:proofErr w:type="spellStart"/>
      <w:r w:rsidRPr="00167AE0">
        <w:rPr>
          <w:rFonts w:cs="Times New Roman"/>
          <w:sz w:val="20"/>
        </w:rPr>
        <w:t>Tsiboukas</w:t>
      </w:r>
      <w:proofErr w:type="spellEnd"/>
      <w:r w:rsidRPr="00167AE0">
        <w:rPr>
          <w:rFonts w:cs="Times New Roman"/>
          <w:sz w:val="20"/>
        </w:rPr>
        <w:t xml:space="preserve">, K., &amp; </w:t>
      </w:r>
      <w:proofErr w:type="spellStart"/>
      <w:r w:rsidRPr="00167AE0">
        <w:rPr>
          <w:rFonts w:cs="Times New Roman"/>
          <w:sz w:val="20"/>
        </w:rPr>
        <w:t>Panoutsou</w:t>
      </w:r>
      <w:proofErr w:type="spellEnd"/>
      <w:r w:rsidRPr="00167AE0">
        <w:rPr>
          <w:rFonts w:cs="Times New Roman"/>
          <w:sz w:val="20"/>
        </w:rPr>
        <w:t xml:space="preserve">, C. (2007). </w:t>
      </w:r>
      <w:r w:rsidRPr="00E70D0B">
        <w:rPr>
          <w:rFonts w:cs="Times New Roman"/>
          <w:sz w:val="20"/>
        </w:rPr>
        <w:t xml:space="preserve">Economic analysis of perennial energy crops production in Greece under the current CAP. In Proceedings of the 15th European Biomass Conference and Exhibition (pp. 7–11). </w:t>
      </w:r>
    </w:p>
    <w:p w14:paraId="2F86BB2F"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Meehan, T. D., Gratton, C., Diehl, E., Hunt, N. D., Mooney, D. F., Ventura, S. J., … Jackson, R. D. (2013). Ecosystem-Service Tradeoffs Associated with Switching from Annual to Perennial Energy Crops in Riparian Zones of the US Midwest. </w:t>
      </w:r>
      <w:proofErr w:type="spellStart"/>
      <w:r w:rsidRPr="00E70D0B">
        <w:rPr>
          <w:rFonts w:cs="Times New Roman"/>
          <w:sz w:val="20"/>
        </w:rPr>
        <w:t>PLoS</w:t>
      </w:r>
      <w:proofErr w:type="spellEnd"/>
      <w:r w:rsidRPr="00E70D0B">
        <w:rPr>
          <w:rFonts w:cs="Times New Roman"/>
          <w:sz w:val="20"/>
        </w:rPr>
        <w:t xml:space="preserve"> ONE, 8(11), e80093. </w:t>
      </w:r>
      <w:hyperlink r:id="rId33" w:history="1">
        <w:r w:rsidRPr="001550E8">
          <w:rPr>
            <w:rStyle w:val="Hyperlink"/>
            <w:rFonts w:cs="Times New Roman"/>
            <w:sz w:val="20"/>
          </w:rPr>
          <w:t>http://doi.org/10.1371/journal.pone.0080093</w:t>
        </w:r>
      </w:hyperlink>
      <w:r>
        <w:rPr>
          <w:rFonts w:cs="Times New Roman"/>
          <w:sz w:val="20"/>
        </w:rPr>
        <w:t xml:space="preserve"> </w:t>
      </w:r>
      <w:r w:rsidRPr="00E70D0B">
        <w:rPr>
          <w:rFonts w:cs="Times New Roman"/>
          <w:sz w:val="20"/>
        </w:rPr>
        <w:t xml:space="preserve"> </w:t>
      </w:r>
    </w:p>
    <w:p w14:paraId="5EC7BB43" w14:textId="77777777" w:rsidR="001C7331" w:rsidRPr="00C813A4" w:rsidRDefault="001C7331" w:rsidP="001C7331">
      <w:pPr>
        <w:widowControl w:val="0"/>
        <w:autoSpaceDE w:val="0"/>
        <w:autoSpaceDN w:val="0"/>
        <w:adjustRightInd w:val="0"/>
        <w:spacing w:before="240" w:after="0" w:line="240" w:lineRule="auto"/>
        <w:ind w:left="720" w:hanging="720"/>
        <w:rPr>
          <w:rFonts w:cs="Times New Roman"/>
          <w:sz w:val="20"/>
          <w:lang w:val="nl-NL"/>
        </w:rPr>
      </w:pPr>
      <w:proofErr w:type="spellStart"/>
      <w:r w:rsidRPr="00E70D0B">
        <w:rPr>
          <w:rFonts w:cs="Times New Roman"/>
          <w:sz w:val="20"/>
        </w:rPr>
        <w:t>Meyboom</w:t>
      </w:r>
      <w:proofErr w:type="spellEnd"/>
      <w:r w:rsidRPr="00E70D0B">
        <w:rPr>
          <w:rFonts w:cs="Times New Roman"/>
          <w:sz w:val="20"/>
        </w:rPr>
        <w:t xml:space="preserve">, R. H. (1976). [Anaphylaxis after the use of </w:t>
      </w:r>
      <w:proofErr w:type="spellStart"/>
      <w:r w:rsidRPr="00E70D0B">
        <w:rPr>
          <w:rFonts w:cs="Times New Roman"/>
          <w:sz w:val="20"/>
        </w:rPr>
        <w:t>glafenine</w:t>
      </w:r>
      <w:proofErr w:type="spellEnd"/>
      <w:r w:rsidRPr="00E70D0B">
        <w:rPr>
          <w:rFonts w:cs="Times New Roman"/>
          <w:sz w:val="20"/>
        </w:rPr>
        <w:t xml:space="preserve">]. </w:t>
      </w:r>
      <w:r w:rsidRPr="00C813A4">
        <w:rPr>
          <w:rFonts w:cs="Times New Roman"/>
          <w:sz w:val="20"/>
          <w:lang w:val="nl-NL"/>
        </w:rPr>
        <w:t>Nederlands Tijdschrift Voor Geneeskunde, 120(21), 926–927.</w:t>
      </w:r>
    </w:p>
    <w:p w14:paraId="2F67D43B"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C813A4">
        <w:rPr>
          <w:rFonts w:cs="Times New Roman"/>
          <w:sz w:val="20"/>
          <w:lang w:val="nl-NL"/>
        </w:rPr>
        <w:t xml:space="preserve">Monti, A., Fazio, S., &amp; Venturi, G. (2009). </w:t>
      </w:r>
      <w:r w:rsidRPr="00E70D0B">
        <w:rPr>
          <w:rFonts w:cs="Times New Roman"/>
          <w:sz w:val="20"/>
        </w:rPr>
        <w:t xml:space="preserve">Cradle-to-farm gate life cycle assessment in perennial energy crops. European Journal of Agronomy, 31(2), 77–84. </w:t>
      </w:r>
      <w:hyperlink r:id="rId34" w:history="1">
        <w:r w:rsidRPr="001550E8">
          <w:rPr>
            <w:rStyle w:val="Hyperlink"/>
            <w:rFonts w:cs="Times New Roman"/>
            <w:sz w:val="20"/>
          </w:rPr>
          <w:t>http://doi.org/10.1016/j.eja.2009.04.001</w:t>
        </w:r>
      </w:hyperlink>
      <w:r>
        <w:rPr>
          <w:rFonts w:cs="Times New Roman"/>
          <w:sz w:val="20"/>
        </w:rPr>
        <w:t xml:space="preserve"> </w:t>
      </w:r>
      <w:r w:rsidRPr="00E70D0B">
        <w:rPr>
          <w:rFonts w:cs="Times New Roman"/>
          <w:sz w:val="20"/>
        </w:rPr>
        <w:t xml:space="preserve"> </w:t>
      </w:r>
    </w:p>
    <w:p w14:paraId="3D459B93"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REN21. (2015). Renewables 2015 Global Status Report. Retrieved from </w:t>
      </w:r>
      <w:hyperlink r:id="rId35" w:history="1">
        <w:r w:rsidRPr="001550E8">
          <w:rPr>
            <w:rStyle w:val="Hyperlink"/>
            <w:rFonts w:cs="Times New Roman"/>
            <w:sz w:val="20"/>
          </w:rPr>
          <w:t>http://www.ren21.net/wp-content/uploads/2015/07/REN12-GSR2015_Onlinebook_low1.pdf</w:t>
        </w:r>
      </w:hyperlink>
      <w:r>
        <w:rPr>
          <w:rFonts w:cs="Times New Roman"/>
          <w:sz w:val="20"/>
        </w:rPr>
        <w:t xml:space="preserve"> </w:t>
      </w:r>
      <w:r w:rsidRPr="00E70D0B">
        <w:rPr>
          <w:rFonts w:cs="Times New Roman"/>
          <w:sz w:val="20"/>
        </w:rPr>
        <w:t xml:space="preserve"> </w:t>
      </w:r>
    </w:p>
    <w:p w14:paraId="326E1C76"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SAC. (2008). Willow short rotation coppice: Is it commercially viable? Scotland’s Rural College. Retrieved from http://www.sruc.ac.uk/download/downloads/id/103/willow_short_rotation_coppice_2008 </w:t>
      </w:r>
    </w:p>
    <w:p w14:paraId="4546AE56" w14:textId="77777777" w:rsidR="001C7331"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AE5554">
        <w:rPr>
          <w:rFonts w:cs="Times New Roman"/>
          <w:sz w:val="20"/>
        </w:rPr>
        <w:t>Searchinger</w:t>
      </w:r>
      <w:proofErr w:type="spellEnd"/>
      <w:r w:rsidRPr="00AE5554">
        <w:rPr>
          <w:rFonts w:cs="Times New Roman"/>
          <w:sz w:val="20"/>
        </w:rPr>
        <w:t xml:space="preserve">, T., Heimlich, R., Houghton, R. A., Dong, F., </w:t>
      </w:r>
      <w:proofErr w:type="spellStart"/>
      <w:r w:rsidRPr="00AE5554">
        <w:rPr>
          <w:rFonts w:cs="Times New Roman"/>
          <w:sz w:val="20"/>
        </w:rPr>
        <w:t>Elobeid</w:t>
      </w:r>
      <w:proofErr w:type="spellEnd"/>
      <w:r w:rsidRPr="00AE5554">
        <w:rPr>
          <w:rFonts w:cs="Times New Roman"/>
          <w:sz w:val="20"/>
        </w:rPr>
        <w:t xml:space="preserve">, A., </w:t>
      </w:r>
      <w:proofErr w:type="spellStart"/>
      <w:r w:rsidRPr="00AE5554">
        <w:rPr>
          <w:rFonts w:cs="Times New Roman"/>
          <w:sz w:val="20"/>
        </w:rPr>
        <w:t>Fabiosa</w:t>
      </w:r>
      <w:proofErr w:type="spellEnd"/>
      <w:r w:rsidRPr="00AE5554">
        <w:rPr>
          <w:rFonts w:cs="Times New Roman"/>
          <w:sz w:val="20"/>
        </w:rPr>
        <w:t xml:space="preserve">, J., … Yu, T.-H. (2008). Use of U.S. Croplands for Biofuels Increases Greenhouse Gases Through Emissions from Land-Use Change. Science, 319(5867), 1238–1240. </w:t>
      </w:r>
      <w:hyperlink r:id="rId36" w:history="1">
        <w:r w:rsidRPr="00596DD6">
          <w:rPr>
            <w:rStyle w:val="Hyperlink"/>
            <w:rFonts w:cs="Times New Roman"/>
            <w:sz w:val="20"/>
          </w:rPr>
          <w:t>https://doi.org/10.1126/science.1151861</w:t>
        </w:r>
      </w:hyperlink>
      <w:r>
        <w:rPr>
          <w:rFonts w:cs="Times New Roman"/>
          <w:sz w:val="20"/>
        </w:rPr>
        <w:t xml:space="preserve"> </w:t>
      </w:r>
    </w:p>
    <w:p w14:paraId="439B006B"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E70D0B">
        <w:rPr>
          <w:rFonts w:cs="Times New Roman"/>
          <w:sz w:val="20"/>
        </w:rPr>
        <w:t>Toensmeier</w:t>
      </w:r>
      <w:proofErr w:type="spellEnd"/>
      <w:r w:rsidRPr="00E70D0B">
        <w:rPr>
          <w:rFonts w:cs="Times New Roman"/>
          <w:sz w:val="20"/>
        </w:rPr>
        <w:t>, E. (2016). The carbon farming solution: a global toolkit of perennial crops and regenerative agriculture practices for climate change mitigation and food security. White River Junction, Vermont: Chelsea Green Publishing.</w:t>
      </w:r>
    </w:p>
    <w:p w14:paraId="2C6BE748" w14:textId="77777777" w:rsidR="001C7331"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1B2F9E">
        <w:rPr>
          <w:rFonts w:cs="Times New Roman"/>
          <w:sz w:val="20"/>
        </w:rPr>
        <w:t>Turconi</w:t>
      </w:r>
      <w:proofErr w:type="spellEnd"/>
      <w:r w:rsidRPr="001B2F9E">
        <w:rPr>
          <w:rFonts w:cs="Times New Roman"/>
          <w:sz w:val="20"/>
        </w:rPr>
        <w:t xml:space="preserve">, R., </w:t>
      </w:r>
      <w:proofErr w:type="spellStart"/>
      <w:r w:rsidRPr="001B2F9E">
        <w:rPr>
          <w:rFonts w:cs="Times New Roman"/>
          <w:sz w:val="20"/>
        </w:rPr>
        <w:t>Boldrin</w:t>
      </w:r>
      <w:proofErr w:type="spellEnd"/>
      <w:r w:rsidRPr="001B2F9E">
        <w:rPr>
          <w:rFonts w:cs="Times New Roman"/>
          <w:sz w:val="20"/>
        </w:rPr>
        <w:t xml:space="preserve">, A., &amp; </w:t>
      </w:r>
      <w:proofErr w:type="spellStart"/>
      <w:r w:rsidRPr="001B2F9E">
        <w:rPr>
          <w:rFonts w:cs="Times New Roman"/>
          <w:sz w:val="20"/>
        </w:rPr>
        <w:t>Astrup</w:t>
      </w:r>
      <w:proofErr w:type="spellEnd"/>
      <w:r w:rsidRPr="001B2F9E">
        <w:rPr>
          <w:rFonts w:cs="Times New Roman"/>
          <w:sz w:val="20"/>
        </w:rPr>
        <w:t xml:space="preserve">, T. (2013). Life cycle assessment (LCA) of electricity generation technologies: Overview, comparability and limitations. Renewable and Sustainable Energy Reviews, 28, 555–565. </w:t>
      </w:r>
      <w:hyperlink r:id="rId37" w:history="1">
        <w:r w:rsidRPr="00596DD6">
          <w:rPr>
            <w:rStyle w:val="Hyperlink"/>
            <w:rFonts w:cs="Times New Roman"/>
            <w:sz w:val="20"/>
          </w:rPr>
          <w:t>https://doi.org/10.1016/j.rser.2013.08.013</w:t>
        </w:r>
      </w:hyperlink>
      <w:r>
        <w:rPr>
          <w:rFonts w:cs="Times New Roman"/>
          <w:sz w:val="20"/>
        </w:rPr>
        <w:t xml:space="preserve"> </w:t>
      </w:r>
    </w:p>
    <w:p w14:paraId="429489E6"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USDA. (2014). Volume 1 - Geographic Area Series - part 51 (2012 United States Census of Agriculture). Retrieved from </w:t>
      </w:r>
      <w:hyperlink r:id="rId38" w:history="1">
        <w:r w:rsidRPr="001550E8">
          <w:rPr>
            <w:rStyle w:val="Hyperlink"/>
            <w:rFonts w:cs="Times New Roman"/>
            <w:sz w:val="20"/>
          </w:rPr>
          <w:t>https://www.agcensus.usda.gov/Publications/2012/Full_Report/Volume_1,_Chapter_1_US/usv1.pdf</w:t>
        </w:r>
      </w:hyperlink>
      <w:r>
        <w:rPr>
          <w:rFonts w:cs="Times New Roman"/>
          <w:sz w:val="20"/>
        </w:rPr>
        <w:t xml:space="preserve"> </w:t>
      </w:r>
      <w:r w:rsidRPr="00E70D0B">
        <w:rPr>
          <w:rFonts w:cs="Times New Roman"/>
          <w:sz w:val="20"/>
        </w:rPr>
        <w:t xml:space="preserve"> </w:t>
      </w:r>
    </w:p>
    <w:p w14:paraId="577B271A" w14:textId="77777777" w:rsidR="001C7331" w:rsidRDefault="001C7331" w:rsidP="001C7331">
      <w:pPr>
        <w:widowControl w:val="0"/>
        <w:autoSpaceDE w:val="0"/>
        <w:autoSpaceDN w:val="0"/>
        <w:adjustRightInd w:val="0"/>
        <w:spacing w:before="240" w:after="0" w:line="240" w:lineRule="auto"/>
        <w:ind w:left="720" w:hanging="720"/>
        <w:rPr>
          <w:rFonts w:cs="Times New Roman"/>
          <w:sz w:val="20"/>
        </w:rPr>
      </w:pPr>
      <w:r w:rsidRPr="00E70D0B">
        <w:rPr>
          <w:rFonts w:cs="Times New Roman"/>
          <w:sz w:val="20"/>
        </w:rPr>
        <w:t xml:space="preserve">U.S. Department of Energy. (2016). 2016 Billion-Ton Report: Advancing Domestic Resources for a Thriving Bioeconomy, Volume 1: Economic Availability of Feedstocks. (No. ORNL/TM-2016/160) (p. 448). Oak Ridge, TN: Oak Ridge National Laboratory. Retrieved from </w:t>
      </w:r>
      <w:hyperlink r:id="rId39" w:history="1">
        <w:r w:rsidRPr="001550E8">
          <w:rPr>
            <w:rStyle w:val="Hyperlink"/>
            <w:rFonts w:cs="Times New Roman"/>
            <w:sz w:val="20"/>
          </w:rPr>
          <w:t>http://energy.gov/sites/prod/files/2016/08/f33/BillionTon_Report_2016_8.18.2016.pdf</w:t>
        </w:r>
      </w:hyperlink>
      <w:r>
        <w:rPr>
          <w:rFonts w:cs="Times New Roman"/>
          <w:sz w:val="20"/>
        </w:rPr>
        <w:t xml:space="preserve"> </w:t>
      </w:r>
      <w:r w:rsidRPr="00E70D0B">
        <w:rPr>
          <w:rFonts w:cs="Times New Roman"/>
          <w:sz w:val="20"/>
        </w:rPr>
        <w:t xml:space="preserve"> </w:t>
      </w:r>
    </w:p>
    <w:p w14:paraId="2A97F586" w14:textId="77777777" w:rsidR="001C7331" w:rsidRPr="00E70D0B" w:rsidRDefault="001C7331" w:rsidP="001C7331">
      <w:pPr>
        <w:widowControl w:val="0"/>
        <w:autoSpaceDE w:val="0"/>
        <w:autoSpaceDN w:val="0"/>
        <w:adjustRightInd w:val="0"/>
        <w:spacing w:before="240" w:after="0" w:line="240" w:lineRule="auto"/>
        <w:ind w:left="720" w:hanging="720"/>
        <w:rPr>
          <w:rFonts w:cs="Times New Roman"/>
          <w:sz w:val="20"/>
        </w:rPr>
      </w:pPr>
      <w:r w:rsidRPr="00910155">
        <w:rPr>
          <w:rFonts w:cs="Times New Roman"/>
          <w:sz w:val="20"/>
        </w:rPr>
        <w:t xml:space="preserve">Valentine, J., Clifton-Brown, J., Hastings, A., Robson, P., Allison, G., &amp; Smith, P. (2012). Food vs. fuel: the use of land for lignocellulosic “next generation” energy crops that minimize competition with primary food production. GCB Bioenergy, 4(1), 1–19. </w:t>
      </w:r>
      <w:hyperlink r:id="rId40" w:history="1">
        <w:r w:rsidRPr="00E170B1">
          <w:rPr>
            <w:rStyle w:val="Hyperlink"/>
            <w:rFonts w:cs="Times New Roman"/>
            <w:sz w:val="20"/>
          </w:rPr>
          <w:t>http://doi.org/10.1111/j.1757-1707.2011.01111.x</w:t>
        </w:r>
      </w:hyperlink>
      <w:r>
        <w:rPr>
          <w:rFonts w:cs="Times New Roman"/>
          <w:sz w:val="20"/>
        </w:rPr>
        <w:t xml:space="preserve"> </w:t>
      </w:r>
    </w:p>
    <w:p w14:paraId="22B2F0CB" w14:textId="77777777" w:rsidR="001C7331"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E70D0B">
        <w:rPr>
          <w:rFonts w:cs="Times New Roman"/>
          <w:sz w:val="20"/>
        </w:rPr>
        <w:t>Wicke</w:t>
      </w:r>
      <w:proofErr w:type="spellEnd"/>
      <w:r w:rsidRPr="00E70D0B">
        <w:rPr>
          <w:rFonts w:cs="Times New Roman"/>
          <w:sz w:val="20"/>
        </w:rPr>
        <w:t xml:space="preserve">, B., </w:t>
      </w:r>
      <w:proofErr w:type="spellStart"/>
      <w:r w:rsidRPr="00E70D0B">
        <w:rPr>
          <w:rFonts w:cs="Times New Roman"/>
          <w:sz w:val="20"/>
        </w:rPr>
        <w:t>Smeets</w:t>
      </w:r>
      <w:proofErr w:type="spellEnd"/>
      <w:r w:rsidRPr="00E70D0B">
        <w:rPr>
          <w:rFonts w:cs="Times New Roman"/>
          <w:sz w:val="20"/>
        </w:rPr>
        <w:t xml:space="preserve">, E. M. W., </w:t>
      </w:r>
      <w:proofErr w:type="spellStart"/>
      <w:r w:rsidRPr="00E70D0B">
        <w:rPr>
          <w:rFonts w:cs="Times New Roman"/>
          <w:sz w:val="20"/>
        </w:rPr>
        <w:t>Akanda</w:t>
      </w:r>
      <w:proofErr w:type="spellEnd"/>
      <w:r w:rsidRPr="00E70D0B">
        <w:rPr>
          <w:rFonts w:cs="Times New Roman"/>
          <w:sz w:val="20"/>
        </w:rPr>
        <w:t xml:space="preserve">, R., </w:t>
      </w:r>
      <w:proofErr w:type="spellStart"/>
      <w:r w:rsidRPr="00E70D0B">
        <w:rPr>
          <w:rFonts w:cs="Times New Roman"/>
          <w:sz w:val="20"/>
        </w:rPr>
        <w:t>Stille</w:t>
      </w:r>
      <w:proofErr w:type="spellEnd"/>
      <w:r w:rsidRPr="00E70D0B">
        <w:rPr>
          <w:rFonts w:cs="Times New Roman"/>
          <w:sz w:val="20"/>
        </w:rPr>
        <w:t xml:space="preserve">, L., Singh, R. K., Awan, A. R., … </w:t>
      </w:r>
      <w:proofErr w:type="spellStart"/>
      <w:r w:rsidRPr="00E70D0B">
        <w:rPr>
          <w:rFonts w:cs="Times New Roman"/>
          <w:sz w:val="20"/>
        </w:rPr>
        <w:t>Faaij</w:t>
      </w:r>
      <w:proofErr w:type="spellEnd"/>
      <w:r w:rsidRPr="00E70D0B">
        <w:rPr>
          <w:rFonts w:cs="Times New Roman"/>
          <w:sz w:val="20"/>
        </w:rPr>
        <w:t xml:space="preserve">, A. P. C. (2013). Biomass production in agroforestry and forestry systems on salt-affected soils in South Asia: Exploration of the GHG balance and economic performance of three case studies. Journal of Environmental Management, 127, 324–334. </w:t>
      </w:r>
      <w:hyperlink r:id="rId41" w:history="1">
        <w:r w:rsidRPr="001550E8">
          <w:rPr>
            <w:rStyle w:val="Hyperlink"/>
            <w:rFonts w:cs="Times New Roman"/>
            <w:sz w:val="20"/>
          </w:rPr>
          <w:t>http://doi.org/10.1016/j.jenvman.2013.05.060</w:t>
        </w:r>
      </w:hyperlink>
      <w:r>
        <w:rPr>
          <w:rFonts w:cs="Times New Roman"/>
          <w:sz w:val="20"/>
        </w:rPr>
        <w:t xml:space="preserve"> </w:t>
      </w:r>
    </w:p>
    <w:p w14:paraId="45CC70CA" w14:textId="56A398C3" w:rsidR="001C7331" w:rsidRPr="006D4D05" w:rsidRDefault="001C7331" w:rsidP="001C7331">
      <w:pPr>
        <w:widowControl w:val="0"/>
        <w:autoSpaceDE w:val="0"/>
        <w:autoSpaceDN w:val="0"/>
        <w:adjustRightInd w:val="0"/>
        <w:spacing w:before="240" w:after="0" w:line="240" w:lineRule="auto"/>
        <w:ind w:left="720" w:hanging="720"/>
        <w:rPr>
          <w:rFonts w:cs="Times New Roman"/>
          <w:sz w:val="20"/>
        </w:rPr>
      </w:pPr>
      <w:proofErr w:type="spellStart"/>
      <w:r w:rsidRPr="00CD6699">
        <w:rPr>
          <w:rFonts w:cs="Times New Roman"/>
          <w:sz w:val="20"/>
        </w:rPr>
        <w:t>Wirsenius</w:t>
      </w:r>
      <w:proofErr w:type="spellEnd"/>
      <w:r w:rsidRPr="00CD6699">
        <w:rPr>
          <w:rFonts w:cs="Times New Roman"/>
          <w:sz w:val="20"/>
        </w:rPr>
        <w:t xml:space="preserve">, S., Azar, C., &amp; </w:t>
      </w:r>
      <w:proofErr w:type="spellStart"/>
      <w:r w:rsidRPr="00CD6699">
        <w:rPr>
          <w:rFonts w:cs="Times New Roman"/>
          <w:sz w:val="20"/>
        </w:rPr>
        <w:t>Berndes</w:t>
      </w:r>
      <w:proofErr w:type="spellEnd"/>
      <w:r w:rsidRPr="00CD6699">
        <w:rPr>
          <w:rFonts w:cs="Times New Roman"/>
          <w:sz w:val="20"/>
        </w:rPr>
        <w:t xml:space="preserve">, G. (2010). How much land is needed for global food production under scenarios of dietary changes and livestock productivity increases in 2030? </w:t>
      </w:r>
      <w:r w:rsidRPr="006D4D05">
        <w:rPr>
          <w:rFonts w:cs="Times New Roman"/>
          <w:sz w:val="20"/>
        </w:rPr>
        <w:t xml:space="preserve">Agricultural Systems, 103(9), 621–638. </w:t>
      </w:r>
      <w:hyperlink r:id="rId42" w:history="1">
        <w:r w:rsidRPr="006D4D05">
          <w:rPr>
            <w:rStyle w:val="Hyperlink"/>
            <w:rFonts w:cs="Times New Roman"/>
            <w:sz w:val="20"/>
          </w:rPr>
          <w:t>https://doi.org/10.1016/j.agsy.2010.07.005</w:t>
        </w:r>
      </w:hyperlink>
      <w:r w:rsidRPr="006D4D05">
        <w:rPr>
          <w:rFonts w:cs="Times New Roman"/>
          <w:sz w:val="20"/>
        </w:rPr>
        <w:t xml:space="preserve"> </w:t>
      </w:r>
    </w:p>
    <w:p w14:paraId="5D285937" w14:textId="76756C86" w:rsidR="009D3487" w:rsidRDefault="009D3487" w:rsidP="001C7331">
      <w:pPr>
        <w:widowControl w:val="0"/>
        <w:autoSpaceDE w:val="0"/>
        <w:autoSpaceDN w:val="0"/>
        <w:adjustRightInd w:val="0"/>
        <w:spacing w:before="240" w:after="0" w:line="240" w:lineRule="auto"/>
        <w:ind w:left="720" w:hanging="720"/>
        <w:rPr>
          <w:rFonts w:cs="Times New Roman"/>
          <w:sz w:val="20"/>
          <w:lang w:val="it-IT"/>
        </w:rPr>
      </w:pPr>
      <w:r w:rsidRPr="006D4D05">
        <w:rPr>
          <w:rFonts w:cs="Times New Roman"/>
          <w:sz w:val="20"/>
        </w:rPr>
        <w:t xml:space="preserve">Yang Y., Tilman D., Lehman C., </w:t>
      </w:r>
      <w:proofErr w:type="spellStart"/>
      <w:r w:rsidRPr="006D4D05">
        <w:rPr>
          <w:rFonts w:cs="Times New Roman"/>
          <w:sz w:val="20"/>
        </w:rPr>
        <w:t>Trost</w:t>
      </w:r>
      <w:proofErr w:type="spellEnd"/>
      <w:r w:rsidRPr="006D4D05">
        <w:rPr>
          <w:rFonts w:cs="Times New Roman"/>
          <w:sz w:val="20"/>
        </w:rPr>
        <w:t xml:space="preserve"> J.J (2018) Sustainable </w:t>
      </w:r>
      <w:proofErr w:type="spellStart"/>
      <w:r w:rsidRPr="006D4D05">
        <w:rPr>
          <w:rFonts w:cs="Times New Roman"/>
          <w:sz w:val="20"/>
        </w:rPr>
        <w:t>intesification</w:t>
      </w:r>
      <w:proofErr w:type="spellEnd"/>
      <w:r w:rsidRPr="006D4D05">
        <w:rPr>
          <w:rFonts w:cs="Times New Roman"/>
          <w:sz w:val="20"/>
        </w:rPr>
        <w:t xml:space="preserve"> of high diversity biomass production for </w:t>
      </w:r>
      <w:proofErr w:type="spellStart"/>
      <w:r w:rsidRPr="006D4D05">
        <w:rPr>
          <w:rFonts w:cs="Times New Roman"/>
          <w:sz w:val="20"/>
        </w:rPr>
        <w:t>optimatl</w:t>
      </w:r>
      <w:proofErr w:type="spellEnd"/>
      <w:r w:rsidRPr="006D4D05">
        <w:rPr>
          <w:rFonts w:cs="Times New Roman"/>
          <w:sz w:val="20"/>
        </w:rPr>
        <w:t xml:space="preserve"> </w:t>
      </w:r>
      <w:proofErr w:type="spellStart"/>
      <w:r w:rsidRPr="006D4D05">
        <w:rPr>
          <w:rFonts w:cs="Times New Roman"/>
          <w:sz w:val="20"/>
        </w:rPr>
        <w:t>biofueld</w:t>
      </w:r>
      <w:proofErr w:type="spellEnd"/>
      <w:r w:rsidRPr="006D4D05">
        <w:rPr>
          <w:rFonts w:cs="Times New Roman"/>
          <w:sz w:val="20"/>
        </w:rPr>
        <w:t xml:space="preserve"> benefits. </w:t>
      </w:r>
      <w:r>
        <w:rPr>
          <w:rFonts w:cs="Times New Roman"/>
          <w:sz w:val="20"/>
          <w:lang w:val="it-IT"/>
        </w:rPr>
        <w:t>Vol 1., 686-692. Nature Sustainability.</w:t>
      </w:r>
    </w:p>
    <w:p w14:paraId="76FCADC7" w14:textId="77777777" w:rsidR="009D3487" w:rsidRPr="00435D03" w:rsidRDefault="009D3487" w:rsidP="001C7331">
      <w:pPr>
        <w:widowControl w:val="0"/>
        <w:autoSpaceDE w:val="0"/>
        <w:autoSpaceDN w:val="0"/>
        <w:adjustRightInd w:val="0"/>
        <w:spacing w:before="240" w:after="0" w:line="240" w:lineRule="auto"/>
        <w:ind w:left="720" w:hanging="720"/>
        <w:rPr>
          <w:rFonts w:cs="Times New Roman"/>
          <w:sz w:val="20"/>
          <w:lang w:val="it-IT"/>
        </w:rPr>
      </w:pPr>
    </w:p>
    <w:p w14:paraId="3D15ADBE" w14:textId="4F0FD571" w:rsidR="00F84201" w:rsidRPr="006D4D05" w:rsidRDefault="001C7331" w:rsidP="007E276F">
      <w:pPr>
        <w:spacing w:after="0" w:line="247" w:lineRule="auto"/>
        <w:ind w:right="3"/>
        <w:jc w:val="left"/>
        <w:rPr>
          <w:highlight w:val="green"/>
        </w:rPr>
      </w:pPr>
      <w:r w:rsidRPr="00435D03">
        <w:rPr>
          <w:rFonts w:cs="Times New Roman"/>
          <w:sz w:val="20"/>
          <w:lang w:val="it-IT"/>
        </w:rPr>
        <w:t xml:space="preserve">Zucaro, A., Forte, A., Fagnano, M., Bastianoni, S., Basosi, R., &amp; Fierro, A. (2015). Comparative attributional life cycle assessment of annual and perennial lignocellulosic feedstocks production under Mediterranean climate for biorefinery framework: Comparative LCA of Lignocellulosic Feedstocks Production. </w:t>
      </w:r>
      <w:r w:rsidRPr="00AE5554">
        <w:rPr>
          <w:rFonts w:cs="Times New Roman"/>
          <w:sz w:val="20"/>
        </w:rPr>
        <w:t xml:space="preserve">Integrated Environmental Assessment and Management, 11(3), 397–403. </w:t>
      </w:r>
      <w:hyperlink r:id="rId43" w:history="1">
        <w:r w:rsidRPr="00596DD6">
          <w:rPr>
            <w:rStyle w:val="Hyperlink"/>
            <w:rFonts w:cs="Times New Roman"/>
            <w:sz w:val="20"/>
          </w:rPr>
          <w:t>https://doi.org/10.1002/ieam.1604</w:t>
        </w:r>
      </w:hyperlink>
    </w:p>
    <w:p w14:paraId="25684278" w14:textId="2BCAC9BD" w:rsidR="00F84201" w:rsidRPr="006D4D05" w:rsidRDefault="00F84201" w:rsidP="000E70C8">
      <w:pPr>
        <w:spacing w:after="0" w:line="247" w:lineRule="auto"/>
        <w:ind w:left="641" w:right="3"/>
        <w:jc w:val="left"/>
        <w:rPr>
          <w:highlight w:val="green"/>
        </w:rPr>
      </w:pPr>
    </w:p>
    <w:p w14:paraId="1DAA30D4" w14:textId="251FEE56" w:rsidR="00F84201" w:rsidRPr="006D4D05" w:rsidRDefault="00F84201" w:rsidP="000E70C8">
      <w:pPr>
        <w:spacing w:after="0" w:line="247" w:lineRule="auto"/>
        <w:ind w:left="641" w:right="3"/>
        <w:jc w:val="left"/>
        <w:rPr>
          <w:highlight w:val="green"/>
        </w:rPr>
      </w:pPr>
    </w:p>
    <w:p w14:paraId="02EABFF3" w14:textId="4CB49CCC" w:rsidR="006745FF" w:rsidRPr="003A0234" w:rsidRDefault="006745FF" w:rsidP="0047117A">
      <w:pPr>
        <w:pStyle w:val="Heading1"/>
      </w:pPr>
      <w:bookmarkStart w:id="72" w:name="_Toc25888688"/>
      <w:r w:rsidRPr="00BB79D6">
        <w:t>Glossary</w:t>
      </w:r>
      <w:bookmarkEnd w:id="72"/>
    </w:p>
    <w:p w14:paraId="02D27B4A" w14:textId="77777777" w:rsidR="006745FF" w:rsidRPr="00BB79D6" w:rsidRDefault="006745FF" w:rsidP="00BF56E5">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BF56E5">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BF56E5">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 xml:space="preserve">PDS </w:t>
      </w:r>
      <w:proofErr w:type="gramStart"/>
      <w:r w:rsidRPr="00BB79D6">
        <w:rPr>
          <w:b/>
        </w:rPr>
        <w:t>Scenario</w:t>
      </w:r>
      <w:r w:rsidRPr="00BB79D6">
        <w:t>, and</w:t>
      </w:r>
      <w:proofErr w:type="gramEnd"/>
      <w:r w:rsidRPr="00BB79D6">
        <w:t xml:space="preserve">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BF56E5">
      <w:r w:rsidRPr="00BB79D6">
        <w:rPr>
          <w:b/>
        </w:rPr>
        <w:lastRenderedPageBreak/>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BF56E5">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BF56E5">
      <w:r w:rsidRPr="00BB79D6">
        <w:rPr>
          <w:b/>
        </w:rPr>
        <w:t>Direct Emissions</w:t>
      </w:r>
      <w:r w:rsidRPr="00BB79D6">
        <w:t xml:space="preserve"> – emissions caused by the operation of the solution, which are typically caused over the lifetime of the solution. They should be </w:t>
      </w:r>
      <w:proofErr w:type="gramStart"/>
      <w:r w:rsidRPr="00BB79D6">
        <w:t>entered into</w:t>
      </w:r>
      <w:proofErr w:type="gramEnd"/>
      <w:r w:rsidRPr="00BB79D6">
        <w:t xml:space="preserve"> the model normalized per functional unit.</w:t>
      </w:r>
    </w:p>
    <w:p w14:paraId="1C32899A" w14:textId="77777777" w:rsidR="006745FF" w:rsidRPr="00BB79D6" w:rsidRDefault="006745FF" w:rsidP="00BF56E5">
      <w:r w:rsidRPr="00BB79D6">
        <w:rPr>
          <w:b/>
        </w:rPr>
        <w:t>Discount Rate</w:t>
      </w:r>
      <w:r w:rsidRPr="00BB79D6">
        <w:t xml:space="preserve">- the interest rate used in discounted cash flow (DCF) analysis to determine the present value of future cash flows. The discount rate in DCF analysis </w:t>
      </w:r>
      <w:proofErr w:type="gramStart"/>
      <w:r w:rsidRPr="00BB79D6">
        <w:t>takes into account</w:t>
      </w:r>
      <w:proofErr w:type="gramEnd"/>
      <w:r w:rsidRPr="00BB79D6">
        <w:t xml:space="preserve">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BF56E5">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BF56E5">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BF56E5">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BB79D6">
        <w:t>watt-hours</w:t>
      </w:r>
      <w:proofErr w:type="gramEnd"/>
      <w:r w:rsidRPr="00BB79D6">
        <w:t xml:space="preserve"> of electricity and high speed rail provides billions of passenger-km of mobility.</w:t>
      </w:r>
    </w:p>
    <w:p w14:paraId="40F3C0D9" w14:textId="77777777" w:rsidR="006745FF" w:rsidRPr="00BB79D6" w:rsidRDefault="006745FF" w:rsidP="00BF56E5">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w:t>
      </w:r>
      <w:r w:rsidRPr="00BB79D6">
        <w:lastRenderedPageBreak/>
        <w:t>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BF56E5">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BF56E5">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w:t>
      </w:r>
      <w:proofErr w:type="gramStart"/>
      <w:r w:rsidRPr="00BB79D6">
        <w:t>entered into</w:t>
      </w:r>
      <w:proofErr w:type="gramEnd"/>
      <w:r w:rsidRPr="00BB79D6">
        <w:t xml:space="preserve"> the model normalized on a per functional unit or per implementation unit basis.</w:t>
      </w:r>
    </w:p>
    <w:p w14:paraId="40402176" w14:textId="77777777" w:rsidR="006745FF" w:rsidRPr="00BB79D6" w:rsidRDefault="006745FF" w:rsidP="00BF56E5">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BB79D6">
        <w:rPr>
          <w:i/>
        </w:rPr>
        <w:t>good</w:t>
      </w:r>
      <w:r w:rsidRPr="00BB79D6">
        <w:t xml:space="preserve"> drops</w:t>
      </w:r>
      <w:proofErr w:type="gramEnd"/>
      <w:r w:rsidRPr="00BB79D6">
        <w:t xml:space="preserve"> by 2% every time total production doubles.</w:t>
      </w:r>
    </w:p>
    <w:p w14:paraId="77507D03" w14:textId="77777777" w:rsidR="006745FF" w:rsidRPr="00BB79D6" w:rsidRDefault="006745FF" w:rsidP="00BF56E5">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BF56E5">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BF56E5">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w:t>
      </w:r>
      <w:proofErr w:type="gramStart"/>
      <w:r w:rsidRPr="00BB79D6">
        <w:t>particular scenario</w:t>
      </w:r>
      <w:proofErr w:type="gramEnd"/>
      <w:r w:rsidRPr="00BB79D6">
        <w:t>. These calculations are also available using profit inputs instead of operating costs.</w:t>
      </w:r>
    </w:p>
    <w:p w14:paraId="44D5A85B" w14:textId="77777777" w:rsidR="006745FF" w:rsidRPr="00BB79D6" w:rsidRDefault="006745FF" w:rsidP="00BF56E5">
      <w:r w:rsidRPr="00BB79D6">
        <w:rPr>
          <w:b/>
        </w:rPr>
        <w:lastRenderedPageBreak/>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BF56E5">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BF56E5">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BF56E5">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BF56E5">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BF56E5">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BF56E5">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BF56E5">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BF56E5">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BF56E5">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BF56E5">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BF56E5">
      <w:r w:rsidRPr="00BB79D6">
        <w:rPr>
          <w:b/>
        </w:rPr>
        <w:lastRenderedPageBreak/>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BF56E5">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BF56E5"/>
    <w:p w14:paraId="06D9A50A" w14:textId="7CBFC779" w:rsidR="006745FF" w:rsidRPr="00BB79D6" w:rsidRDefault="006745FF" w:rsidP="00BF56E5">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BF56E5">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BF56E5">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foot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BB75B" w14:textId="77777777" w:rsidR="00CE1040" w:rsidRDefault="00CE1040" w:rsidP="00D26F59">
      <w:pPr>
        <w:spacing w:after="0"/>
      </w:pPr>
      <w:r>
        <w:separator/>
      </w:r>
    </w:p>
  </w:endnote>
  <w:endnote w:type="continuationSeparator" w:id="0">
    <w:p w14:paraId="359D6089" w14:textId="77777777" w:rsidR="00CE1040" w:rsidRDefault="00CE1040"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Times New Roman">
    <w:altName w:val="Helvetica"/>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B97EEE" w:rsidRPr="00F26176" w:rsidRDefault="00B97EEE"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8A972" w14:textId="77777777" w:rsidR="00CE1040" w:rsidRDefault="00CE1040" w:rsidP="00D26F59">
      <w:pPr>
        <w:spacing w:after="0"/>
      </w:pPr>
      <w:r>
        <w:separator/>
      </w:r>
    </w:p>
  </w:footnote>
  <w:footnote w:type="continuationSeparator" w:id="0">
    <w:p w14:paraId="338E8746" w14:textId="77777777" w:rsidR="00CE1040" w:rsidRDefault="00CE1040" w:rsidP="00D26F59">
      <w:pPr>
        <w:spacing w:after="0"/>
      </w:pPr>
      <w:r>
        <w:continuationSeparator/>
      </w:r>
    </w:p>
  </w:footnote>
  <w:footnote w:id="1">
    <w:p w14:paraId="296DE5C4" w14:textId="77777777" w:rsidR="00B97EEE" w:rsidRDefault="00B97EEE" w:rsidP="00A9574A">
      <w:pPr>
        <w:pStyle w:val="FootnoteText"/>
      </w:pPr>
      <w:r>
        <w:rPr>
          <w:rStyle w:val="FootnoteReference"/>
        </w:rPr>
        <w:footnoteRef/>
      </w:r>
      <w:r>
        <w:t xml:space="preserve"> </w:t>
      </w:r>
      <w:r w:rsidRPr="00FC7820">
        <w:t xml:space="preserve">REN21. (2015). Renewables 2015 Global Status Report. Retrieved from </w:t>
      </w:r>
      <w:hyperlink r:id="rId1" w:history="1">
        <w:r w:rsidRPr="001550E8">
          <w:rPr>
            <w:rStyle w:val="Hyperlink"/>
          </w:rPr>
          <w:t>http://www.ren21.net/wp-content/uploads/2015/07/REN12-GSR2015_Onlinebook_low1.pdf</w:t>
        </w:r>
      </w:hyperlink>
      <w:r>
        <w:t xml:space="preserve"> </w:t>
      </w:r>
    </w:p>
  </w:footnote>
  <w:footnote w:id="2">
    <w:p w14:paraId="67EA3749" w14:textId="77777777" w:rsidR="00B97EEE" w:rsidRPr="00435D03" w:rsidRDefault="00B97EEE" w:rsidP="00A9574A">
      <w:pPr>
        <w:pStyle w:val="FootnoteText"/>
        <w:rPr>
          <w:lang w:val="it-IT"/>
        </w:rPr>
      </w:pPr>
      <w:r>
        <w:rPr>
          <w:rStyle w:val="FootnoteReference"/>
        </w:rPr>
        <w:footnoteRef/>
      </w:r>
      <w:r>
        <w:t xml:space="preserve"> </w:t>
      </w:r>
      <w:r w:rsidRPr="00FC7820">
        <w:t xml:space="preserve">El Bassam, N. (2010). Handbook of bioenergy crops: a complete reference to species, development and applications. </w:t>
      </w:r>
      <w:r w:rsidRPr="00435D03">
        <w:rPr>
          <w:lang w:val="it-IT"/>
        </w:rPr>
        <w:t>London ; Washington: Earthscan.</w:t>
      </w:r>
    </w:p>
  </w:footnote>
  <w:footnote w:id="3">
    <w:p w14:paraId="1F57E31B" w14:textId="77777777" w:rsidR="00B97EEE" w:rsidRPr="006D4D05" w:rsidRDefault="00B97EEE" w:rsidP="00A9574A">
      <w:pPr>
        <w:pStyle w:val="FootnoteText"/>
      </w:pPr>
      <w:r>
        <w:rPr>
          <w:rStyle w:val="FootnoteReference"/>
        </w:rPr>
        <w:footnoteRef/>
      </w:r>
      <w:r w:rsidRPr="00435D03">
        <w:rPr>
          <w:lang w:val="it-IT"/>
        </w:rPr>
        <w:t xml:space="preserve"> </w:t>
      </w:r>
      <w:r w:rsidRPr="00435D03">
        <w:rPr>
          <w:lang w:val="it-IT"/>
        </w:rPr>
        <w:t xml:space="preserve">Zucaro, </w:t>
      </w:r>
      <w:r w:rsidRPr="00435D03">
        <w:rPr>
          <w:lang w:val="it-IT"/>
        </w:rPr>
        <w:t xml:space="preserve">A., Forte, A., Fagnano, M., Bastianoni, S., Basosi, R., &amp; Fierro, A. (2015). Comparative attributional life cycle assessment of annual and perennial lignocellulosic feedstocks production under Mediterranean climate for biorefinery framework: Comparative LCA of Lignocellulosic Feedstocks Production. </w:t>
      </w:r>
      <w:r w:rsidRPr="006D4D05">
        <w:t xml:space="preserve">Integrated Environmental Assessment and Management, 11(3), 397–403. </w:t>
      </w:r>
      <w:hyperlink r:id="rId2" w:history="1">
        <w:r w:rsidRPr="006D4D05">
          <w:rPr>
            <w:rStyle w:val="Hyperlink"/>
          </w:rPr>
          <w:t>https://doi.org/10.1002/ieam.1604</w:t>
        </w:r>
      </w:hyperlink>
      <w:r w:rsidRPr="006D4D05">
        <w:t xml:space="preserve"> </w:t>
      </w:r>
    </w:p>
  </w:footnote>
  <w:footnote w:id="4">
    <w:p w14:paraId="1D9C764B" w14:textId="77777777" w:rsidR="00B97EEE" w:rsidRDefault="00B97EEE" w:rsidP="00C22F81">
      <w:pPr>
        <w:pStyle w:val="FootnoteText"/>
      </w:pPr>
      <w:r>
        <w:rPr>
          <w:rStyle w:val="FootnoteReference"/>
        </w:rPr>
        <w:footnoteRef/>
      </w:r>
      <w:r>
        <w:t xml:space="preserve"> </w:t>
      </w:r>
      <w:r w:rsidRPr="00FC7820">
        <w:t xml:space="preserve">Lemus, R., &amp; Lal, R. (2005). Bioenergy Crops and Carbon Sequestration. Critical Reviews in Plant Sciences, 24(1), 1–21. </w:t>
      </w:r>
      <w:hyperlink r:id="rId3" w:history="1">
        <w:r w:rsidRPr="001550E8">
          <w:rPr>
            <w:rStyle w:val="Hyperlink"/>
          </w:rPr>
          <w:t>http://doi.org/10.1080/07352680590910393</w:t>
        </w:r>
      </w:hyperlink>
      <w:r>
        <w:t xml:space="preserve"> </w:t>
      </w:r>
    </w:p>
  </w:footnote>
  <w:footnote w:id="5">
    <w:p w14:paraId="1CCDA2CB" w14:textId="77777777" w:rsidR="0047117A" w:rsidRDefault="0047117A" w:rsidP="00C22F81">
      <w:pPr>
        <w:pStyle w:val="FootnoteText"/>
      </w:pPr>
      <w:r>
        <w:rPr>
          <w:rStyle w:val="FootnoteReference"/>
        </w:rPr>
        <w:footnoteRef/>
      </w:r>
      <w:r>
        <w:t xml:space="preserve"> </w:t>
      </w:r>
      <w:proofErr w:type="spellStart"/>
      <w:r w:rsidRPr="00FC7820">
        <w:t>Toensmeier</w:t>
      </w:r>
      <w:proofErr w:type="spellEnd"/>
      <w:r w:rsidRPr="00FC7820">
        <w:t>, E. (2016). The carbon farming solution: a global toolkit of perennial crops and regenerative agriculture practices for climate change mitigation and food security. White River Junction, Vermont: Chelsea Green Publishing.</w:t>
      </w:r>
    </w:p>
  </w:footnote>
  <w:footnote w:id="6">
    <w:p w14:paraId="76A209CD" w14:textId="77777777" w:rsidR="00B97EEE" w:rsidRDefault="00B97EEE" w:rsidP="00CA2FC8">
      <w:pPr>
        <w:pStyle w:val="FootnoteText"/>
        <w:jc w:val="left"/>
      </w:pPr>
      <w:r>
        <w:rPr>
          <w:rStyle w:val="FootnoteReference"/>
        </w:rPr>
        <w:footnoteRef/>
      </w:r>
      <w:r>
        <w:t xml:space="preserve"> </w:t>
      </w:r>
      <w:proofErr w:type="spellStart"/>
      <w:r w:rsidRPr="00A45229">
        <w:t>Kartha</w:t>
      </w:r>
      <w:proofErr w:type="spellEnd"/>
      <w:r w:rsidRPr="00A45229">
        <w:t xml:space="preserve">, Sivan, &amp; Dooley, Kate. (2016). The risks of relying on tomorrow’s negative </w:t>
      </w:r>
      <w:proofErr w:type="gramStart"/>
      <w:r w:rsidRPr="00A45229">
        <w:t>emissions’</w:t>
      </w:r>
      <w:proofErr w:type="gramEnd"/>
      <w:r w:rsidRPr="00A45229">
        <w:t xml:space="preserve"> to guide today’s mitigation action (Working Paper. 2016-08). Stockholm Environment Institute. Retrieved from </w:t>
      </w:r>
      <w:hyperlink r:id="rId4" w:history="1">
        <w:r w:rsidRPr="004F0C36">
          <w:rPr>
            <w:rStyle w:val="Hyperlink"/>
          </w:rPr>
          <w:t>https://www.sei-international.org/mediamanager/documents/Publications/Climate/SEI-WP-2016-08-Negative-emissions.pdf</w:t>
        </w:r>
      </w:hyperlink>
      <w:r>
        <w:t xml:space="preserve"> </w:t>
      </w:r>
    </w:p>
  </w:footnote>
  <w:footnote w:id="7">
    <w:p w14:paraId="415EE254" w14:textId="77777777" w:rsidR="00B97EEE" w:rsidRDefault="00B97EEE" w:rsidP="00CA2FC8">
      <w:pPr>
        <w:pStyle w:val="FootnoteText"/>
        <w:jc w:val="left"/>
      </w:pPr>
      <w:r>
        <w:rPr>
          <w:rStyle w:val="FootnoteReference"/>
        </w:rPr>
        <w:footnoteRef/>
      </w:r>
      <w:r>
        <w:t xml:space="preserve"> IES (2016). Key World Energy Trends. Available online at: </w:t>
      </w:r>
      <w:hyperlink r:id="rId5" w:history="1">
        <w:r w:rsidRPr="00596DD6">
          <w:rPr>
            <w:rStyle w:val="Hyperlink"/>
          </w:rPr>
          <w:t>http://www.iea.org/publications/freepublications/publication/KeyWorldEnergyTrends.pdf</w:t>
        </w:r>
      </w:hyperlink>
      <w:r>
        <w:t xml:space="preserve"> </w:t>
      </w:r>
    </w:p>
  </w:footnote>
  <w:footnote w:id="8">
    <w:p w14:paraId="701D8DCC" w14:textId="0EFC35F1" w:rsidR="00B97EEE" w:rsidRDefault="00B97EEE" w:rsidP="00CA2FC8">
      <w:pPr>
        <w:pStyle w:val="FootnoteText"/>
        <w:jc w:val="left"/>
      </w:pPr>
      <w:r>
        <w:rPr>
          <w:rStyle w:val="FootnoteReference"/>
        </w:rPr>
        <w:footnoteRef/>
      </w:r>
      <w:r>
        <w:t xml:space="preserve"> </w:t>
      </w:r>
      <w:proofErr w:type="spellStart"/>
      <w:r w:rsidRPr="00CD6699">
        <w:t>Wirsenius</w:t>
      </w:r>
      <w:proofErr w:type="spellEnd"/>
      <w:r w:rsidRPr="00CD6699">
        <w:t xml:space="preserve">, S., Azar, C., &amp; </w:t>
      </w:r>
      <w:proofErr w:type="spellStart"/>
      <w:r w:rsidRPr="00CD6699">
        <w:t>Berndes</w:t>
      </w:r>
      <w:proofErr w:type="spellEnd"/>
      <w:r w:rsidRPr="00CD6699">
        <w:t xml:space="preserve">, G. (2010). How much land is needed for global food production under scenarios of dietary </w:t>
      </w:r>
    </w:p>
  </w:footnote>
  <w:footnote w:id="9">
    <w:p w14:paraId="7FDC38E0" w14:textId="77777777" w:rsidR="00B97EEE" w:rsidRDefault="00B97EEE" w:rsidP="00305FB9">
      <w:pPr>
        <w:pStyle w:val="FootnoteText"/>
      </w:pPr>
      <w:r>
        <w:rPr>
          <w:rStyle w:val="FootnoteReference"/>
        </w:rPr>
        <w:footnoteRef/>
      </w:r>
      <w:r w:rsidRPr="0075529D">
        <w:t xml:space="preserve"> </w:t>
      </w:r>
      <w:proofErr w:type="spellStart"/>
      <w:r w:rsidRPr="0075529D">
        <w:t>Immerzeel</w:t>
      </w:r>
      <w:proofErr w:type="spellEnd"/>
      <w:r w:rsidRPr="0075529D">
        <w:t xml:space="preserve">, D. J., Verweij, P. A., van der </w:t>
      </w:r>
      <w:proofErr w:type="spellStart"/>
      <w:r w:rsidRPr="0075529D">
        <w:t>Hilst</w:t>
      </w:r>
      <w:proofErr w:type="spellEnd"/>
      <w:r w:rsidRPr="0075529D">
        <w:t xml:space="preserve">, F., &amp; </w:t>
      </w:r>
      <w:proofErr w:type="spellStart"/>
      <w:r w:rsidRPr="0075529D">
        <w:t>Faaij</w:t>
      </w:r>
      <w:proofErr w:type="spellEnd"/>
      <w:r w:rsidRPr="0075529D">
        <w:t xml:space="preserve">, A. P. C. (2014). </w:t>
      </w:r>
      <w:r w:rsidRPr="00B402C9">
        <w:t>Biodiversity impacts of bioenergy crop production: a state-of-the-art review. GCB Bioenergy, 6(3), 183–209. http://doi.org/10.1111/gcbb.12067</w:t>
      </w:r>
    </w:p>
  </w:footnote>
  <w:footnote w:id="10">
    <w:p w14:paraId="3E7EEEF9" w14:textId="77777777" w:rsidR="00B97EEE" w:rsidRDefault="00B97EEE" w:rsidP="00305FB9">
      <w:pPr>
        <w:pStyle w:val="FootnoteText"/>
      </w:pPr>
      <w:r>
        <w:rPr>
          <w:rStyle w:val="FootnoteReference"/>
        </w:rPr>
        <w:footnoteRef/>
      </w:r>
      <w:r>
        <w:t xml:space="preserve"> </w:t>
      </w:r>
      <w:proofErr w:type="spellStart"/>
      <w:r w:rsidRPr="00B402C9">
        <w:t>Wicke</w:t>
      </w:r>
      <w:proofErr w:type="spellEnd"/>
      <w:r w:rsidRPr="00B402C9">
        <w:t xml:space="preserve">, B., </w:t>
      </w:r>
      <w:proofErr w:type="spellStart"/>
      <w:r w:rsidRPr="00B402C9">
        <w:t>Smeets</w:t>
      </w:r>
      <w:proofErr w:type="spellEnd"/>
      <w:r w:rsidRPr="00B402C9">
        <w:t xml:space="preserve">, E. M. W., </w:t>
      </w:r>
      <w:proofErr w:type="spellStart"/>
      <w:r w:rsidRPr="00B402C9">
        <w:t>Akanda</w:t>
      </w:r>
      <w:proofErr w:type="spellEnd"/>
      <w:r w:rsidRPr="00B402C9">
        <w:t xml:space="preserve">, R., </w:t>
      </w:r>
      <w:proofErr w:type="spellStart"/>
      <w:r w:rsidRPr="00B402C9">
        <w:t>Stille</w:t>
      </w:r>
      <w:proofErr w:type="spellEnd"/>
      <w:r w:rsidRPr="00B402C9">
        <w:t xml:space="preserve">, L., Singh, R. K., Awan, A. R., … </w:t>
      </w:r>
      <w:proofErr w:type="spellStart"/>
      <w:r w:rsidRPr="00B402C9">
        <w:t>Faaij</w:t>
      </w:r>
      <w:proofErr w:type="spellEnd"/>
      <w:r w:rsidRPr="00B402C9">
        <w:t>, A. P. C. (2013). Biomass production in agroforestry and forestry systems on salt-affected soils in South Asia: Exploration of the GHG balance and economic performance of three case studies. Journal of Environmental Management, 127, 324–334. http://doi.org/10.1016/j.jenvman.2013.05.060</w:t>
      </w:r>
    </w:p>
  </w:footnote>
  <w:footnote w:id="11">
    <w:p w14:paraId="26A29B34" w14:textId="77777777" w:rsidR="00B97EEE" w:rsidRDefault="00B97EEE" w:rsidP="00305FB9">
      <w:pPr>
        <w:pStyle w:val="FootnoteText"/>
      </w:pPr>
      <w:r>
        <w:rPr>
          <w:rStyle w:val="FootnoteReference"/>
        </w:rPr>
        <w:footnoteRef/>
      </w:r>
      <w:r w:rsidRPr="00167AE0">
        <w:t xml:space="preserve"> Hohenstein, W. G., &amp; Wright, L. L. (1994). </w:t>
      </w:r>
      <w:r w:rsidRPr="00B402C9">
        <w:t>Biomass energy production in the United States: an overview. Biomass and Bioenergy, 6(3), 161–173.</w:t>
      </w:r>
    </w:p>
  </w:footnote>
  <w:footnote w:id="12">
    <w:p w14:paraId="4F2C4FBD" w14:textId="77777777" w:rsidR="00B97EEE" w:rsidRDefault="00B97EEE" w:rsidP="00305FB9">
      <w:pPr>
        <w:pStyle w:val="FootnoteText"/>
      </w:pPr>
      <w:r>
        <w:rPr>
          <w:rStyle w:val="FootnoteReference"/>
        </w:rPr>
        <w:footnoteRef/>
      </w:r>
      <w:r>
        <w:t xml:space="preserve"> </w:t>
      </w:r>
      <w:r w:rsidRPr="00B402C9">
        <w:t xml:space="preserve">IPCC. (2014). Climate Change 2014: Mitigation of Climate Change: Contribution of Working group II to the Fifth Assessment Report of the </w:t>
      </w:r>
      <w:proofErr w:type="spellStart"/>
      <w:r w:rsidRPr="00B402C9">
        <w:t>Intergovermental</w:t>
      </w:r>
      <w:proofErr w:type="spellEnd"/>
      <w:r w:rsidRPr="00B402C9">
        <w:t xml:space="preserve"> Panel on Climate Change. Cambridge, UK: Cambridge University Press.</w:t>
      </w:r>
    </w:p>
  </w:footnote>
  <w:footnote w:id="13">
    <w:p w14:paraId="7A337371" w14:textId="77777777" w:rsidR="00B97EEE" w:rsidRPr="00A45229" w:rsidRDefault="00B97EEE" w:rsidP="00305FB9">
      <w:pPr>
        <w:pStyle w:val="FootnoteText"/>
      </w:pPr>
      <w:r>
        <w:rPr>
          <w:rStyle w:val="FootnoteReference"/>
        </w:rPr>
        <w:footnoteRef/>
      </w:r>
      <w:r>
        <w:t xml:space="preserve"> </w:t>
      </w:r>
      <w:r w:rsidRPr="0004036A">
        <w:t xml:space="preserve">Valentine, J., Clifton-Brown, J., Hastings, A., Robson, P., Allison, G., &amp; Smith, P. (2012). Food vs. fuel: the use of land for lignocellulosic “next generation” energy crops that minimize competition with primary food production. </w:t>
      </w:r>
      <w:r w:rsidRPr="00A45229">
        <w:t xml:space="preserve">GCB Bioenergy, 4(1), 1–19. </w:t>
      </w:r>
      <w:hyperlink r:id="rId6" w:history="1">
        <w:r w:rsidRPr="00A45229">
          <w:rPr>
            <w:rStyle w:val="Hyperlink"/>
          </w:rPr>
          <w:t>http://doi.org/10.1111/j.1757-1707.2011.01111.x</w:t>
        </w:r>
      </w:hyperlink>
      <w:r w:rsidRPr="00A45229">
        <w:t xml:space="preserve"> </w:t>
      </w:r>
    </w:p>
  </w:footnote>
  <w:footnote w:id="14">
    <w:p w14:paraId="22E0B3DC" w14:textId="77777777" w:rsidR="00B97EEE" w:rsidRDefault="00B97EEE" w:rsidP="00305FB9">
      <w:pPr>
        <w:pStyle w:val="FootnoteText"/>
      </w:pPr>
      <w:r>
        <w:rPr>
          <w:rStyle w:val="FootnoteReference"/>
        </w:rPr>
        <w:footnoteRef/>
      </w:r>
      <w:r>
        <w:t xml:space="preserve"> </w:t>
      </w:r>
      <w:proofErr w:type="spellStart"/>
      <w:r w:rsidRPr="001B2F9E">
        <w:t>Turconi</w:t>
      </w:r>
      <w:proofErr w:type="spellEnd"/>
      <w:r w:rsidRPr="001B2F9E">
        <w:t xml:space="preserve">, R., </w:t>
      </w:r>
      <w:proofErr w:type="spellStart"/>
      <w:r w:rsidRPr="001B2F9E">
        <w:t>Boldrin</w:t>
      </w:r>
      <w:proofErr w:type="spellEnd"/>
      <w:r w:rsidRPr="001B2F9E">
        <w:t xml:space="preserve">, A., &amp; </w:t>
      </w:r>
      <w:proofErr w:type="spellStart"/>
      <w:r w:rsidRPr="001B2F9E">
        <w:t>Astrup</w:t>
      </w:r>
      <w:proofErr w:type="spellEnd"/>
      <w:r w:rsidRPr="001B2F9E">
        <w:t xml:space="preserve">, T. (2013). Life cycle assessment (LCA) of electricity generation technologies: Overview, comparability and limitations. Renewable and Sustainable Energy Reviews, 28, 555–565. </w:t>
      </w:r>
      <w:hyperlink r:id="rId7" w:history="1">
        <w:r w:rsidRPr="00596DD6">
          <w:rPr>
            <w:rStyle w:val="Hyperlink"/>
          </w:rPr>
          <w:t>https://doi.org/10.1016/j.rser.2013.08.013</w:t>
        </w:r>
      </w:hyperlink>
      <w:r>
        <w:t xml:space="preserve"> </w:t>
      </w:r>
    </w:p>
  </w:footnote>
  <w:footnote w:id="15">
    <w:p w14:paraId="66B232CB" w14:textId="77777777" w:rsidR="00B97EEE" w:rsidRDefault="00B97EEE"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16">
    <w:p w14:paraId="63C382D2" w14:textId="773019E7" w:rsidR="0047117A" w:rsidRDefault="0047117A">
      <w:pPr>
        <w:pStyle w:val="FootnoteText"/>
      </w:pPr>
      <w:r>
        <w:rPr>
          <w:rStyle w:val="FootnoteReference"/>
        </w:rPr>
        <w:footnoteRef/>
      </w:r>
      <w:r>
        <w:t xml:space="preserve"> </w:t>
      </w:r>
      <w:r w:rsidRPr="0047117A">
        <w:rPr>
          <w:rFonts w:ascii="Arial" w:hAnsi="Arial" w:cs="Arial"/>
        </w:rPr>
        <w:t>Current adoption is defined as the amount of land area adopted by the solution in 2018. This study uses 2014 as the base year due to the availability of global adoption data for all Project Drawdown solutions evaluated.</w:t>
      </w:r>
      <w:r w:rsidRPr="0047117A">
        <w:rPr>
          <w:sz w:val="14"/>
          <w:szCs w:val="14"/>
        </w:rPr>
        <w:t> </w:t>
      </w:r>
    </w:p>
  </w:footnote>
  <w:footnote w:id="17">
    <w:p w14:paraId="6314C35E" w14:textId="2FE355C0" w:rsidR="00B97EEE" w:rsidRDefault="00B97EEE">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D572A1"/>
    <w:multiLevelType w:val="multilevel"/>
    <w:tmpl w:val="DA3CD1A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BF2826"/>
    <w:multiLevelType w:val="hybridMultilevel"/>
    <w:tmpl w:val="AFD4F318"/>
    <w:lvl w:ilvl="0" w:tplc="98BE24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502A22"/>
    <w:multiLevelType w:val="multilevel"/>
    <w:tmpl w:val="502E88B0"/>
    <w:lvl w:ilvl="0">
      <w:start w:val="4"/>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6"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E940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8C6837"/>
    <w:multiLevelType w:val="multilevel"/>
    <w:tmpl w:val="B1DA8C0E"/>
    <w:lvl w:ilvl="0">
      <w:start w:val="3"/>
      <w:numFmt w:val="decimal"/>
      <w:lvlText w:val="%1"/>
      <w:lvlJc w:val="left"/>
      <w:pPr>
        <w:ind w:left="360" w:hanging="360"/>
      </w:pPr>
      <w:rPr>
        <w:rFonts w:hint="default"/>
      </w:rPr>
    </w:lvl>
    <w:lvl w:ilvl="1">
      <w:start w:val="1"/>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9" w15:restartNumberingAfterBreak="0">
    <w:nsid w:val="41E40479"/>
    <w:multiLevelType w:val="hybridMultilevel"/>
    <w:tmpl w:val="CE567278"/>
    <w:lvl w:ilvl="0" w:tplc="CA384C26">
      <w:start w:val="1"/>
      <w:numFmt w:val="decimal"/>
      <w:lvlText w:val="Assumption %1:"/>
      <w:lvlJc w:val="left"/>
      <w:pPr>
        <w:ind w:left="90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4A0A2869"/>
    <w:multiLevelType w:val="multilevel"/>
    <w:tmpl w:val="E9CCDDF6"/>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1" w15:restartNumberingAfterBreak="0">
    <w:nsid w:val="6293748D"/>
    <w:multiLevelType w:val="multilevel"/>
    <w:tmpl w:val="334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10F83"/>
    <w:multiLevelType w:val="hybridMultilevel"/>
    <w:tmpl w:val="DC067546"/>
    <w:lvl w:ilvl="0" w:tplc="9A648AE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B3B30"/>
    <w:multiLevelType w:val="hybridMultilevel"/>
    <w:tmpl w:val="A2D2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B3D3D"/>
    <w:multiLevelType w:val="hybridMultilevel"/>
    <w:tmpl w:val="512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7"/>
  </w:num>
  <w:num w:numId="5">
    <w:abstractNumId w:val="11"/>
  </w:num>
  <w:num w:numId="6">
    <w:abstractNumId w:val="3"/>
  </w:num>
  <w:num w:numId="7">
    <w:abstractNumId w:val="13"/>
  </w:num>
  <w:num w:numId="8">
    <w:abstractNumId w:val="14"/>
  </w:num>
  <w:num w:numId="9">
    <w:abstractNumId w:val="10"/>
  </w:num>
  <w:num w:numId="10">
    <w:abstractNumId w:val="8"/>
  </w:num>
  <w:num w:numId="11">
    <w:abstractNumId w:val="5"/>
  </w:num>
  <w:num w:numId="12">
    <w:abstractNumId w:val="2"/>
  </w:num>
  <w:num w:numId="1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3E28"/>
    <w:rsid w:val="00004897"/>
    <w:rsid w:val="00014CE5"/>
    <w:rsid w:val="000178CE"/>
    <w:rsid w:val="00020C6F"/>
    <w:rsid w:val="00024F11"/>
    <w:rsid w:val="00027806"/>
    <w:rsid w:val="00027B88"/>
    <w:rsid w:val="00031501"/>
    <w:rsid w:val="000330C6"/>
    <w:rsid w:val="00034A49"/>
    <w:rsid w:val="000350CD"/>
    <w:rsid w:val="000509B9"/>
    <w:rsid w:val="00050D65"/>
    <w:rsid w:val="00051132"/>
    <w:rsid w:val="00054158"/>
    <w:rsid w:val="00056ED1"/>
    <w:rsid w:val="00056FB9"/>
    <w:rsid w:val="00057050"/>
    <w:rsid w:val="0006304B"/>
    <w:rsid w:val="000663BB"/>
    <w:rsid w:val="00067312"/>
    <w:rsid w:val="000738A3"/>
    <w:rsid w:val="00075F31"/>
    <w:rsid w:val="00081F00"/>
    <w:rsid w:val="000828F9"/>
    <w:rsid w:val="000829DC"/>
    <w:rsid w:val="00083BDB"/>
    <w:rsid w:val="000856B7"/>
    <w:rsid w:val="000875B5"/>
    <w:rsid w:val="00087D3B"/>
    <w:rsid w:val="00091600"/>
    <w:rsid w:val="0009232E"/>
    <w:rsid w:val="0009248B"/>
    <w:rsid w:val="0009271D"/>
    <w:rsid w:val="00092C54"/>
    <w:rsid w:val="00093F26"/>
    <w:rsid w:val="000941EE"/>
    <w:rsid w:val="0009541F"/>
    <w:rsid w:val="000959E6"/>
    <w:rsid w:val="000971F9"/>
    <w:rsid w:val="000A6F40"/>
    <w:rsid w:val="000B1609"/>
    <w:rsid w:val="000B1918"/>
    <w:rsid w:val="000B3EE3"/>
    <w:rsid w:val="000C3205"/>
    <w:rsid w:val="000C3F49"/>
    <w:rsid w:val="000C7A55"/>
    <w:rsid w:val="000D30DE"/>
    <w:rsid w:val="000D3855"/>
    <w:rsid w:val="000D5847"/>
    <w:rsid w:val="000D5EAE"/>
    <w:rsid w:val="000D6943"/>
    <w:rsid w:val="000D7BC5"/>
    <w:rsid w:val="000E594F"/>
    <w:rsid w:val="000E62C2"/>
    <w:rsid w:val="000E70C8"/>
    <w:rsid w:val="000E71B9"/>
    <w:rsid w:val="000F131E"/>
    <w:rsid w:val="000F13AD"/>
    <w:rsid w:val="000F35D9"/>
    <w:rsid w:val="00101408"/>
    <w:rsid w:val="00103E9E"/>
    <w:rsid w:val="001054CA"/>
    <w:rsid w:val="001073C8"/>
    <w:rsid w:val="00110EC6"/>
    <w:rsid w:val="00112479"/>
    <w:rsid w:val="00117084"/>
    <w:rsid w:val="00123A28"/>
    <w:rsid w:val="00124262"/>
    <w:rsid w:val="00124592"/>
    <w:rsid w:val="00124C49"/>
    <w:rsid w:val="00125B80"/>
    <w:rsid w:val="00127F32"/>
    <w:rsid w:val="00136093"/>
    <w:rsid w:val="00137B82"/>
    <w:rsid w:val="00140F1E"/>
    <w:rsid w:val="00140FD3"/>
    <w:rsid w:val="001420E0"/>
    <w:rsid w:val="00152E5D"/>
    <w:rsid w:val="00153FCD"/>
    <w:rsid w:val="00157D0A"/>
    <w:rsid w:val="00161F8C"/>
    <w:rsid w:val="0016770B"/>
    <w:rsid w:val="00167EEE"/>
    <w:rsid w:val="00171163"/>
    <w:rsid w:val="001759D2"/>
    <w:rsid w:val="00176B3E"/>
    <w:rsid w:val="00177A88"/>
    <w:rsid w:val="00177FB1"/>
    <w:rsid w:val="00190D8E"/>
    <w:rsid w:val="0019335A"/>
    <w:rsid w:val="001A1AB8"/>
    <w:rsid w:val="001A43B2"/>
    <w:rsid w:val="001A6EB0"/>
    <w:rsid w:val="001A7AF4"/>
    <w:rsid w:val="001B1300"/>
    <w:rsid w:val="001B16A6"/>
    <w:rsid w:val="001B2C08"/>
    <w:rsid w:val="001B3003"/>
    <w:rsid w:val="001B44D2"/>
    <w:rsid w:val="001B58F5"/>
    <w:rsid w:val="001B6745"/>
    <w:rsid w:val="001C0F4A"/>
    <w:rsid w:val="001C13E6"/>
    <w:rsid w:val="001C1D4A"/>
    <w:rsid w:val="001C219C"/>
    <w:rsid w:val="001C2B6F"/>
    <w:rsid w:val="001C3DC0"/>
    <w:rsid w:val="001C49CB"/>
    <w:rsid w:val="001C5872"/>
    <w:rsid w:val="001C5908"/>
    <w:rsid w:val="001C7331"/>
    <w:rsid w:val="001D17E8"/>
    <w:rsid w:val="001D2DCA"/>
    <w:rsid w:val="001D54A2"/>
    <w:rsid w:val="001E0FF2"/>
    <w:rsid w:val="001E64E6"/>
    <w:rsid w:val="001E7B8D"/>
    <w:rsid w:val="001F0232"/>
    <w:rsid w:val="001F2EFC"/>
    <w:rsid w:val="001F4A49"/>
    <w:rsid w:val="001F6FB0"/>
    <w:rsid w:val="00201171"/>
    <w:rsid w:val="00202788"/>
    <w:rsid w:val="002054FC"/>
    <w:rsid w:val="00207FC7"/>
    <w:rsid w:val="0021041A"/>
    <w:rsid w:val="0021082B"/>
    <w:rsid w:val="00215F04"/>
    <w:rsid w:val="00216B08"/>
    <w:rsid w:val="00217B33"/>
    <w:rsid w:val="00220BA1"/>
    <w:rsid w:val="00221954"/>
    <w:rsid w:val="00223770"/>
    <w:rsid w:val="002311AD"/>
    <w:rsid w:val="0023178B"/>
    <w:rsid w:val="00231B81"/>
    <w:rsid w:val="00231E78"/>
    <w:rsid w:val="00232AAA"/>
    <w:rsid w:val="00233C0E"/>
    <w:rsid w:val="00236D28"/>
    <w:rsid w:val="00241523"/>
    <w:rsid w:val="00242183"/>
    <w:rsid w:val="002476A8"/>
    <w:rsid w:val="00251DE8"/>
    <w:rsid w:val="00255D19"/>
    <w:rsid w:val="00260326"/>
    <w:rsid w:val="002603E9"/>
    <w:rsid w:val="0026082A"/>
    <w:rsid w:val="00262904"/>
    <w:rsid w:val="0026327C"/>
    <w:rsid w:val="00264D1A"/>
    <w:rsid w:val="00266635"/>
    <w:rsid w:val="00270442"/>
    <w:rsid w:val="00270C47"/>
    <w:rsid w:val="00272912"/>
    <w:rsid w:val="00274B56"/>
    <w:rsid w:val="002829A3"/>
    <w:rsid w:val="0028670A"/>
    <w:rsid w:val="00290D71"/>
    <w:rsid w:val="00291D3C"/>
    <w:rsid w:val="00296310"/>
    <w:rsid w:val="002A39E7"/>
    <w:rsid w:val="002A4E84"/>
    <w:rsid w:val="002A5C32"/>
    <w:rsid w:val="002A62C7"/>
    <w:rsid w:val="002B3E79"/>
    <w:rsid w:val="002B4BBB"/>
    <w:rsid w:val="002B4E23"/>
    <w:rsid w:val="002B5D43"/>
    <w:rsid w:val="002B630A"/>
    <w:rsid w:val="002C0282"/>
    <w:rsid w:val="002C251D"/>
    <w:rsid w:val="002C3833"/>
    <w:rsid w:val="002C6041"/>
    <w:rsid w:val="002C6B07"/>
    <w:rsid w:val="002C7A78"/>
    <w:rsid w:val="002C7F2E"/>
    <w:rsid w:val="002D402C"/>
    <w:rsid w:val="002D4B9E"/>
    <w:rsid w:val="002D4F55"/>
    <w:rsid w:val="002D5C14"/>
    <w:rsid w:val="002D6588"/>
    <w:rsid w:val="002E4431"/>
    <w:rsid w:val="002E49AA"/>
    <w:rsid w:val="002E4C19"/>
    <w:rsid w:val="002E69FF"/>
    <w:rsid w:val="002E6F39"/>
    <w:rsid w:val="002F2F4C"/>
    <w:rsid w:val="0030099E"/>
    <w:rsid w:val="00300CEE"/>
    <w:rsid w:val="00301D8E"/>
    <w:rsid w:val="00303670"/>
    <w:rsid w:val="00305FB9"/>
    <w:rsid w:val="0030610B"/>
    <w:rsid w:val="003069EE"/>
    <w:rsid w:val="00310DC6"/>
    <w:rsid w:val="00314803"/>
    <w:rsid w:val="0032353F"/>
    <w:rsid w:val="0032588F"/>
    <w:rsid w:val="00325AF7"/>
    <w:rsid w:val="003260E9"/>
    <w:rsid w:val="003276A5"/>
    <w:rsid w:val="00327B08"/>
    <w:rsid w:val="00333492"/>
    <w:rsid w:val="00333748"/>
    <w:rsid w:val="0033562D"/>
    <w:rsid w:val="0033596E"/>
    <w:rsid w:val="003361EF"/>
    <w:rsid w:val="0033796B"/>
    <w:rsid w:val="00341625"/>
    <w:rsid w:val="00344262"/>
    <w:rsid w:val="003454E2"/>
    <w:rsid w:val="00347368"/>
    <w:rsid w:val="0034746E"/>
    <w:rsid w:val="003506CB"/>
    <w:rsid w:val="00350C63"/>
    <w:rsid w:val="00355A58"/>
    <w:rsid w:val="0036303A"/>
    <w:rsid w:val="003666C5"/>
    <w:rsid w:val="00367667"/>
    <w:rsid w:val="00367CBB"/>
    <w:rsid w:val="00367EF1"/>
    <w:rsid w:val="003702BF"/>
    <w:rsid w:val="0037089C"/>
    <w:rsid w:val="003727F8"/>
    <w:rsid w:val="00374564"/>
    <w:rsid w:val="00381E9F"/>
    <w:rsid w:val="0038334F"/>
    <w:rsid w:val="003922A1"/>
    <w:rsid w:val="003928A9"/>
    <w:rsid w:val="00395868"/>
    <w:rsid w:val="003959AB"/>
    <w:rsid w:val="00395EAB"/>
    <w:rsid w:val="0039653B"/>
    <w:rsid w:val="00396573"/>
    <w:rsid w:val="00397EDB"/>
    <w:rsid w:val="003A0234"/>
    <w:rsid w:val="003A07CE"/>
    <w:rsid w:val="003A2697"/>
    <w:rsid w:val="003A4CBC"/>
    <w:rsid w:val="003A7929"/>
    <w:rsid w:val="003A7FE2"/>
    <w:rsid w:val="003B2BDF"/>
    <w:rsid w:val="003B4C27"/>
    <w:rsid w:val="003C025A"/>
    <w:rsid w:val="003C0435"/>
    <w:rsid w:val="003C04AF"/>
    <w:rsid w:val="003C3271"/>
    <w:rsid w:val="003C69B0"/>
    <w:rsid w:val="003D2054"/>
    <w:rsid w:val="003D6830"/>
    <w:rsid w:val="003E0AE3"/>
    <w:rsid w:val="003E2C4B"/>
    <w:rsid w:val="003E5772"/>
    <w:rsid w:val="003E6BB3"/>
    <w:rsid w:val="003E7C7A"/>
    <w:rsid w:val="003E7CB0"/>
    <w:rsid w:val="003F4743"/>
    <w:rsid w:val="003F5CF3"/>
    <w:rsid w:val="00400D00"/>
    <w:rsid w:val="0040269C"/>
    <w:rsid w:val="004057C8"/>
    <w:rsid w:val="00405E15"/>
    <w:rsid w:val="00413BFE"/>
    <w:rsid w:val="00416A4B"/>
    <w:rsid w:val="00423CEC"/>
    <w:rsid w:val="00430E8A"/>
    <w:rsid w:val="00431F3D"/>
    <w:rsid w:val="00433358"/>
    <w:rsid w:val="0043499D"/>
    <w:rsid w:val="00434F61"/>
    <w:rsid w:val="00435FF5"/>
    <w:rsid w:val="00440C0B"/>
    <w:rsid w:val="00440C2C"/>
    <w:rsid w:val="00440F27"/>
    <w:rsid w:val="0044137C"/>
    <w:rsid w:val="00442F4B"/>
    <w:rsid w:val="00443097"/>
    <w:rsid w:val="00445B97"/>
    <w:rsid w:val="0044752B"/>
    <w:rsid w:val="00455DC3"/>
    <w:rsid w:val="0045676A"/>
    <w:rsid w:val="00457095"/>
    <w:rsid w:val="004575C6"/>
    <w:rsid w:val="00466051"/>
    <w:rsid w:val="0047117A"/>
    <w:rsid w:val="0047419B"/>
    <w:rsid w:val="00481F8C"/>
    <w:rsid w:val="00483FFA"/>
    <w:rsid w:val="004858E0"/>
    <w:rsid w:val="00485FB2"/>
    <w:rsid w:val="00486C75"/>
    <w:rsid w:val="00486CBB"/>
    <w:rsid w:val="00487017"/>
    <w:rsid w:val="00490F36"/>
    <w:rsid w:val="00491AD4"/>
    <w:rsid w:val="00492F5E"/>
    <w:rsid w:val="004940F8"/>
    <w:rsid w:val="00496526"/>
    <w:rsid w:val="00496F68"/>
    <w:rsid w:val="00497C21"/>
    <w:rsid w:val="004A0EFF"/>
    <w:rsid w:val="004A1C50"/>
    <w:rsid w:val="004A1E73"/>
    <w:rsid w:val="004A1E9B"/>
    <w:rsid w:val="004A3D58"/>
    <w:rsid w:val="004A4DFA"/>
    <w:rsid w:val="004A6074"/>
    <w:rsid w:val="004B1A0B"/>
    <w:rsid w:val="004B1F48"/>
    <w:rsid w:val="004B45D0"/>
    <w:rsid w:val="004B4859"/>
    <w:rsid w:val="004B4939"/>
    <w:rsid w:val="004B6F30"/>
    <w:rsid w:val="004B75B7"/>
    <w:rsid w:val="004C1365"/>
    <w:rsid w:val="004C1461"/>
    <w:rsid w:val="004C2EA3"/>
    <w:rsid w:val="004C41F3"/>
    <w:rsid w:val="004D345F"/>
    <w:rsid w:val="004D3CF3"/>
    <w:rsid w:val="004D5520"/>
    <w:rsid w:val="004E395C"/>
    <w:rsid w:val="004E4047"/>
    <w:rsid w:val="004E4194"/>
    <w:rsid w:val="004E6B6B"/>
    <w:rsid w:val="004F04D8"/>
    <w:rsid w:val="004F1696"/>
    <w:rsid w:val="004F5425"/>
    <w:rsid w:val="00502176"/>
    <w:rsid w:val="00503F11"/>
    <w:rsid w:val="005049A6"/>
    <w:rsid w:val="00504DEF"/>
    <w:rsid w:val="00507F6E"/>
    <w:rsid w:val="005119AD"/>
    <w:rsid w:val="005141EF"/>
    <w:rsid w:val="005251A9"/>
    <w:rsid w:val="005272B2"/>
    <w:rsid w:val="00527604"/>
    <w:rsid w:val="0053240D"/>
    <w:rsid w:val="005341AC"/>
    <w:rsid w:val="00535AC0"/>
    <w:rsid w:val="00536957"/>
    <w:rsid w:val="00537546"/>
    <w:rsid w:val="00540434"/>
    <w:rsid w:val="00540530"/>
    <w:rsid w:val="00541D39"/>
    <w:rsid w:val="00542221"/>
    <w:rsid w:val="0054448F"/>
    <w:rsid w:val="0055145B"/>
    <w:rsid w:val="00554797"/>
    <w:rsid w:val="00554C6D"/>
    <w:rsid w:val="00557A3B"/>
    <w:rsid w:val="00561650"/>
    <w:rsid w:val="005635D6"/>
    <w:rsid w:val="00564C96"/>
    <w:rsid w:val="00564FB1"/>
    <w:rsid w:val="00565852"/>
    <w:rsid w:val="00570C51"/>
    <w:rsid w:val="00571C64"/>
    <w:rsid w:val="00573D8E"/>
    <w:rsid w:val="005767A9"/>
    <w:rsid w:val="00577674"/>
    <w:rsid w:val="005806A4"/>
    <w:rsid w:val="00581F84"/>
    <w:rsid w:val="00584CBD"/>
    <w:rsid w:val="00584ECC"/>
    <w:rsid w:val="00586AA5"/>
    <w:rsid w:val="00587E6F"/>
    <w:rsid w:val="00591ACA"/>
    <w:rsid w:val="00592C39"/>
    <w:rsid w:val="00592D80"/>
    <w:rsid w:val="005A0AE6"/>
    <w:rsid w:val="005A18BF"/>
    <w:rsid w:val="005A2E2C"/>
    <w:rsid w:val="005A672F"/>
    <w:rsid w:val="005A6986"/>
    <w:rsid w:val="005B3AB5"/>
    <w:rsid w:val="005B7A11"/>
    <w:rsid w:val="005C6EC2"/>
    <w:rsid w:val="005C77F5"/>
    <w:rsid w:val="005D026A"/>
    <w:rsid w:val="005D2C9C"/>
    <w:rsid w:val="005D49A8"/>
    <w:rsid w:val="005D72E4"/>
    <w:rsid w:val="005E40E9"/>
    <w:rsid w:val="005E4C72"/>
    <w:rsid w:val="005F08CD"/>
    <w:rsid w:val="005F1E2F"/>
    <w:rsid w:val="005F38E3"/>
    <w:rsid w:val="005F3A5B"/>
    <w:rsid w:val="005F42EA"/>
    <w:rsid w:val="005F64D2"/>
    <w:rsid w:val="005F6F5D"/>
    <w:rsid w:val="00602DF7"/>
    <w:rsid w:val="006035E9"/>
    <w:rsid w:val="0060672D"/>
    <w:rsid w:val="00607D4F"/>
    <w:rsid w:val="0061098C"/>
    <w:rsid w:val="006160B0"/>
    <w:rsid w:val="0061673E"/>
    <w:rsid w:val="00616C2E"/>
    <w:rsid w:val="006207E6"/>
    <w:rsid w:val="00623A4B"/>
    <w:rsid w:val="00630CD1"/>
    <w:rsid w:val="00631C4F"/>
    <w:rsid w:val="00631D39"/>
    <w:rsid w:val="00635618"/>
    <w:rsid w:val="00635CAD"/>
    <w:rsid w:val="00636DBE"/>
    <w:rsid w:val="00640665"/>
    <w:rsid w:val="006414AD"/>
    <w:rsid w:val="00644691"/>
    <w:rsid w:val="00652B00"/>
    <w:rsid w:val="00654D87"/>
    <w:rsid w:val="00654E79"/>
    <w:rsid w:val="0065579A"/>
    <w:rsid w:val="00660E5D"/>
    <w:rsid w:val="006620EF"/>
    <w:rsid w:val="00666260"/>
    <w:rsid w:val="00666AAB"/>
    <w:rsid w:val="0066753A"/>
    <w:rsid w:val="0066787A"/>
    <w:rsid w:val="00671B58"/>
    <w:rsid w:val="0067358F"/>
    <w:rsid w:val="006745FF"/>
    <w:rsid w:val="0067661A"/>
    <w:rsid w:val="006820B9"/>
    <w:rsid w:val="0068212E"/>
    <w:rsid w:val="00683100"/>
    <w:rsid w:val="00686965"/>
    <w:rsid w:val="0069014F"/>
    <w:rsid w:val="00690F32"/>
    <w:rsid w:val="006931A3"/>
    <w:rsid w:val="0069370D"/>
    <w:rsid w:val="006953F7"/>
    <w:rsid w:val="00695682"/>
    <w:rsid w:val="00695E13"/>
    <w:rsid w:val="00697815"/>
    <w:rsid w:val="006A106E"/>
    <w:rsid w:val="006A4A08"/>
    <w:rsid w:val="006A7307"/>
    <w:rsid w:val="006A7503"/>
    <w:rsid w:val="006B267A"/>
    <w:rsid w:val="006B54F1"/>
    <w:rsid w:val="006B675D"/>
    <w:rsid w:val="006C027E"/>
    <w:rsid w:val="006C273F"/>
    <w:rsid w:val="006C36B0"/>
    <w:rsid w:val="006D14A6"/>
    <w:rsid w:val="006D4D05"/>
    <w:rsid w:val="006D6012"/>
    <w:rsid w:val="006D6758"/>
    <w:rsid w:val="006E32FC"/>
    <w:rsid w:val="006E6C65"/>
    <w:rsid w:val="006F2600"/>
    <w:rsid w:val="006F505C"/>
    <w:rsid w:val="006F6334"/>
    <w:rsid w:val="006F6AFA"/>
    <w:rsid w:val="006F708D"/>
    <w:rsid w:val="00700C73"/>
    <w:rsid w:val="00700F59"/>
    <w:rsid w:val="00701EEB"/>
    <w:rsid w:val="00703725"/>
    <w:rsid w:val="007052A3"/>
    <w:rsid w:val="00705BBE"/>
    <w:rsid w:val="00707877"/>
    <w:rsid w:val="007102BE"/>
    <w:rsid w:val="007117BC"/>
    <w:rsid w:val="00711AA4"/>
    <w:rsid w:val="00713BB4"/>
    <w:rsid w:val="00716CC9"/>
    <w:rsid w:val="007171B9"/>
    <w:rsid w:val="00717861"/>
    <w:rsid w:val="00720F3A"/>
    <w:rsid w:val="0072606A"/>
    <w:rsid w:val="00733DC7"/>
    <w:rsid w:val="00736D2D"/>
    <w:rsid w:val="0073736A"/>
    <w:rsid w:val="00740504"/>
    <w:rsid w:val="00741EB2"/>
    <w:rsid w:val="00742F7E"/>
    <w:rsid w:val="00743404"/>
    <w:rsid w:val="00743783"/>
    <w:rsid w:val="007500D3"/>
    <w:rsid w:val="0075167F"/>
    <w:rsid w:val="00753AB6"/>
    <w:rsid w:val="00753F11"/>
    <w:rsid w:val="007546AE"/>
    <w:rsid w:val="007546C9"/>
    <w:rsid w:val="00756A15"/>
    <w:rsid w:val="00757101"/>
    <w:rsid w:val="007572FB"/>
    <w:rsid w:val="00757501"/>
    <w:rsid w:val="007576C6"/>
    <w:rsid w:val="00760AC7"/>
    <w:rsid w:val="00760C86"/>
    <w:rsid w:val="00761959"/>
    <w:rsid w:val="00762877"/>
    <w:rsid w:val="007631C9"/>
    <w:rsid w:val="00763931"/>
    <w:rsid w:val="00767F96"/>
    <w:rsid w:val="007756F0"/>
    <w:rsid w:val="00775943"/>
    <w:rsid w:val="00784338"/>
    <w:rsid w:val="00786443"/>
    <w:rsid w:val="007864AB"/>
    <w:rsid w:val="00787CF8"/>
    <w:rsid w:val="00787E8D"/>
    <w:rsid w:val="0079063A"/>
    <w:rsid w:val="00791571"/>
    <w:rsid w:val="0079350D"/>
    <w:rsid w:val="007941CC"/>
    <w:rsid w:val="00795004"/>
    <w:rsid w:val="00795470"/>
    <w:rsid w:val="00796194"/>
    <w:rsid w:val="007969E7"/>
    <w:rsid w:val="00796DC4"/>
    <w:rsid w:val="007A2373"/>
    <w:rsid w:val="007A2E3E"/>
    <w:rsid w:val="007A58F9"/>
    <w:rsid w:val="007A7936"/>
    <w:rsid w:val="007B24CC"/>
    <w:rsid w:val="007B6910"/>
    <w:rsid w:val="007B69B6"/>
    <w:rsid w:val="007C10B9"/>
    <w:rsid w:val="007C28E3"/>
    <w:rsid w:val="007C2CF8"/>
    <w:rsid w:val="007C517B"/>
    <w:rsid w:val="007C53CF"/>
    <w:rsid w:val="007C645A"/>
    <w:rsid w:val="007D1608"/>
    <w:rsid w:val="007D2C50"/>
    <w:rsid w:val="007D2C6A"/>
    <w:rsid w:val="007D371C"/>
    <w:rsid w:val="007D4C43"/>
    <w:rsid w:val="007D7E21"/>
    <w:rsid w:val="007E276F"/>
    <w:rsid w:val="007E2DF4"/>
    <w:rsid w:val="007F03F0"/>
    <w:rsid w:val="007F1A54"/>
    <w:rsid w:val="007F218C"/>
    <w:rsid w:val="007F3797"/>
    <w:rsid w:val="008006D0"/>
    <w:rsid w:val="00801004"/>
    <w:rsid w:val="00803136"/>
    <w:rsid w:val="008036D6"/>
    <w:rsid w:val="00806A0C"/>
    <w:rsid w:val="00807D37"/>
    <w:rsid w:val="00810C08"/>
    <w:rsid w:val="008113FA"/>
    <w:rsid w:val="00813243"/>
    <w:rsid w:val="00814EF4"/>
    <w:rsid w:val="0081597B"/>
    <w:rsid w:val="00817455"/>
    <w:rsid w:val="008203FB"/>
    <w:rsid w:val="0082548D"/>
    <w:rsid w:val="00826C41"/>
    <w:rsid w:val="008274C2"/>
    <w:rsid w:val="0083034C"/>
    <w:rsid w:val="00830EB3"/>
    <w:rsid w:val="008324D7"/>
    <w:rsid w:val="008330A5"/>
    <w:rsid w:val="008332CA"/>
    <w:rsid w:val="0083385F"/>
    <w:rsid w:val="00834437"/>
    <w:rsid w:val="0083647A"/>
    <w:rsid w:val="008368CA"/>
    <w:rsid w:val="00837784"/>
    <w:rsid w:val="00843F48"/>
    <w:rsid w:val="0084641A"/>
    <w:rsid w:val="00847D79"/>
    <w:rsid w:val="00851294"/>
    <w:rsid w:val="00851B6A"/>
    <w:rsid w:val="0085286D"/>
    <w:rsid w:val="0085317E"/>
    <w:rsid w:val="00861FE7"/>
    <w:rsid w:val="008627CC"/>
    <w:rsid w:val="00862B90"/>
    <w:rsid w:val="00872721"/>
    <w:rsid w:val="008806DE"/>
    <w:rsid w:val="0088139D"/>
    <w:rsid w:val="00882559"/>
    <w:rsid w:val="00884A6C"/>
    <w:rsid w:val="0088721F"/>
    <w:rsid w:val="008918CF"/>
    <w:rsid w:val="00896DC6"/>
    <w:rsid w:val="0089711D"/>
    <w:rsid w:val="008A4284"/>
    <w:rsid w:val="008A42C5"/>
    <w:rsid w:val="008A4D47"/>
    <w:rsid w:val="008A7600"/>
    <w:rsid w:val="008B4104"/>
    <w:rsid w:val="008B7E2F"/>
    <w:rsid w:val="008C05BC"/>
    <w:rsid w:val="008C50AA"/>
    <w:rsid w:val="008C66EA"/>
    <w:rsid w:val="008D0C0D"/>
    <w:rsid w:val="008D1491"/>
    <w:rsid w:val="008D2823"/>
    <w:rsid w:val="008D379B"/>
    <w:rsid w:val="008D6D1A"/>
    <w:rsid w:val="008E6B1D"/>
    <w:rsid w:val="008F2ACC"/>
    <w:rsid w:val="008F31C6"/>
    <w:rsid w:val="008F3794"/>
    <w:rsid w:val="008F5DE3"/>
    <w:rsid w:val="00902BBF"/>
    <w:rsid w:val="00905FBB"/>
    <w:rsid w:val="00906C05"/>
    <w:rsid w:val="00907B1B"/>
    <w:rsid w:val="00910DE0"/>
    <w:rsid w:val="00913733"/>
    <w:rsid w:val="0091496E"/>
    <w:rsid w:val="00923F5D"/>
    <w:rsid w:val="00926091"/>
    <w:rsid w:val="00926C81"/>
    <w:rsid w:val="0093067B"/>
    <w:rsid w:val="00930DE7"/>
    <w:rsid w:val="00932153"/>
    <w:rsid w:val="009323F1"/>
    <w:rsid w:val="0093341F"/>
    <w:rsid w:val="00933557"/>
    <w:rsid w:val="00933FD7"/>
    <w:rsid w:val="00936B09"/>
    <w:rsid w:val="00937CEB"/>
    <w:rsid w:val="00941CA1"/>
    <w:rsid w:val="00941CE1"/>
    <w:rsid w:val="0094349E"/>
    <w:rsid w:val="009470AC"/>
    <w:rsid w:val="009479AF"/>
    <w:rsid w:val="00951A59"/>
    <w:rsid w:val="00951B63"/>
    <w:rsid w:val="00951C96"/>
    <w:rsid w:val="00952814"/>
    <w:rsid w:val="00954872"/>
    <w:rsid w:val="00954CF1"/>
    <w:rsid w:val="00954F42"/>
    <w:rsid w:val="00955067"/>
    <w:rsid w:val="0096132A"/>
    <w:rsid w:val="009617BD"/>
    <w:rsid w:val="0096211B"/>
    <w:rsid w:val="00962201"/>
    <w:rsid w:val="00962D4E"/>
    <w:rsid w:val="00963541"/>
    <w:rsid w:val="00966563"/>
    <w:rsid w:val="00967E71"/>
    <w:rsid w:val="009708B2"/>
    <w:rsid w:val="00971899"/>
    <w:rsid w:val="00975091"/>
    <w:rsid w:val="0097641C"/>
    <w:rsid w:val="009777E1"/>
    <w:rsid w:val="00977F6D"/>
    <w:rsid w:val="00981A95"/>
    <w:rsid w:val="00982379"/>
    <w:rsid w:val="0098371D"/>
    <w:rsid w:val="00983E39"/>
    <w:rsid w:val="00985D5C"/>
    <w:rsid w:val="00992B8D"/>
    <w:rsid w:val="00996E91"/>
    <w:rsid w:val="009A1AF0"/>
    <w:rsid w:val="009A4537"/>
    <w:rsid w:val="009A49CF"/>
    <w:rsid w:val="009B190A"/>
    <w:rsid w:val="009B45D0"/>
    <w:rsid w:val="009B472D"/>
    <w:rsid w:val="009B7C4C"/>
    <w:rsid w:val="009C0F77"/>
    <w:rsid w:val="009C0FE0"/>
    <w:rsid w:val="009C11DC"/>
    <w:rsid w:val="009C30D4"/>
    <w:rsid w:val="009C57FB"/>
    <w:rsid w:val="009D118F"/>
    <w:rsid w:val="009D2829"/>
    <w:rsid w:val="009D3487"/>
    <w:rsid w:val="009D3B78"/>
    <w:rsid w:val="009E1260"/>
    <w:rsid w:val="009E1616"/>
    <w:rsid w:val="009E3BCD"/>
    <w:rsid w:val="009E407B"/>
    <w:rsid w:val="009E4F7D"/>
    <w:rsid w:val="009E6074"/>
    <w:rsid w:val="009E6E89"/>
    <w:rsid w:val="009F306A"/>
    <w:rsid w:val="009F4361"/>
    <w:rsid w:val="009F5599"/>
    <w:rsid w:val="009F78A6"/>
    <w:rsid w:val="00A01693"/>
    <w:rsid w:val="00A0321D"/>
    <w:rsid w:val="00A03432"/>
    <w:rsid w:val="00A0399A"/>
    <w:rsid w:val="00A07B5E"/>
    <w:rsid w:val="00A11A05"/>
    <w:rsid w:val="00A15761"/>
    <w:rsid w:val="00A16EAD"/>
    <w:rsid w:val="00A17C47"/>
    <w:rsid w:val="00A2204D"/>
    <w:rsid w:val="00A26C98"/>
    <w:rsid w:val="00A30010"/>
    <w:rsid w:val="00A3451A"/>
    <w:rsid w:val="00A34C76"/>
    <w:rsid w:val="00A35BB5"/>
    <w:rsid w:val="00A42843"/>
    <w:rsid w:val="00A43DD5"/>
    <w:rsid w:val="00A44819"/>
    <w:rsid w:val="00A44D43"/>
    <w:rsid w:val="00A5055F"/>
    <w:rsid w:val="00A5217A"/>
    <w:rsid w:val="00A52E22"/>
    <w:rsid w:val="00A53CDF"/>
    <w:rsid w:val="00A5758D"/>
    <w:rsid w:val="00A601CC"/>
    <w:rsid w:val="00A61F26"/>
    <w:rsid w:val="00A63C99"/>
    <w:rsid w:val="00A65430"/>
    <w:rsid w:val="00A65656"/>
    <w:rsid w:val="00A65C2A"/>
    <w:rsid w:val="00A66E0A"/>
    <w:rsid w:val="00A67518"/>
    <w:rsid w:val="00A7030F"/>
    <w:rsid w:val="00A70D18"/>
    <w:rsid w:val="00A7122B"/>
    <w:rsid w:val="00A768E0"/>
    <w:rsid w:val="00A82DCD"/>
    <w:rsid w:val="00A8560C"/>
    <w:rsid w:val="00A87030"/>
    <w:rsid w:val="00A87D0F"/>
    <w:rsid w:val="00A93BEF"/>
    <w:rsid w:val="00A95567"/>
    <w:rsid w:val="00A9574A"/>
    <w:rsid w:val="00A957B7"/>
    <w:rsid w:val="00AA10B2"/>
    <w:rsid w:val="00AA228F"/>
    <w:rsid w:val="00AA27F3"/>
    <w:rsid w:val="00AA3BB4"/>
    <w:rsid w:val="00AB01A1"/>
    <w:rsid w:val="00AB3328"/>
    <w:rsid w:val="00AB3767"/>
    <w:rsid w:val="00AB39EC"/>
    <w:rsid w:val="00AB71E0"/>
    <w:rsid w:val="00AB783D"/>
    <w:rsid w:val="00AC07CF"/>
    <w:rsid w:val="00AC493E"/>
    <w:rsid w:val="00AC4BB0"/>
    <w:rsid w:val="00AC513C"/>
    <w:rsid w:val="00AC6D3E"/>
    <w:rsid w:val="00AC7DE1"/>
    <w:rsid w:val="00AD3ABE"/>
    <w:rsid w:val="00AD465A"/>
    <w:rsid w:val="00AD46FE"/>
    <w:rsid w:val="00AD4CF8"/>
    <w:rsid w:val="00AD6011"/>
    <w:rsid w:val="00AE1C1F"/>
    <w:rsid w:val="00AE3F8B"/>
    <w:rsid w:val="00AE72D4"/>
    <w:rsid w:val="00AE749D"/>
    <w:rsid w:val="00AE7A86"/>
    <w:rsid w:val="00AF0AA6"/>
    <w:rsid w:val="00AF1049"/>
    <w:rsid w:val="00AF73D6"/>
    <w:rsid w:val="00AF78D3"/>
    <w:rsid w:val="00AF7DA5"/>
    <w:rsid w:val="00AF7DE4"/>
    <w:rsid w:val="00B02E83"/>
    <w:rsid w:val="00B06E23"/>
    <w:rsid w:val="00B144E5"/>
    <w:rsid w:val="00B14C2C"/>
    <w:rsid w:val="00B2037E"/>
    <w:rsid w:val="00B21E71"/>
    <w:rsid w:val="00B23C9B"/>
    <w:rsid w:val="00B24F59"/>
    <w:rsid w:val="00B251A2"/>
    <w:rsid w:val="00B257CA"/>
    <w:rsid w:val="00B261E0"/>
    <w:rsid w:val="00B272EE"/>
    <w:rsid w:val="00B27E19"/>
    <w:rsid w:val="00B31935"/>
    <w:rsid w:val="00B31BC4"/>
    <w:rsid w:val="00B36063"/>
    <w:rsid w:val="00B36BD6"/>
    <w:rsid w:val="00B404A4"/>
    <w:rsid w:val="00B41EB8"/>
    <w:rsid w:val="00B43EF7"/>
    <w:rsid w:val="00B46B9B"/>
    <w:rsid w:val="00B502A3"/>
    <w:rsid w:val="00B50C98"/>
    <w:rsid w:val="00B510D9"/>
    <w:rsid w:val="00B51506"/>
    <w:rsid w:val="00B51ACB"/>
    <w:rsid w:val="00B5320C"/>
    <w:rsid w:val="00B54AA2"/>
    <w:rsid w:val="00B56A4B"/>
    <w:rsid w:val="00B6183A"/>
    <w:rsid w:val="00B619F3"/>
    <w:rsid w:val="00B6271F"/>
    <w:rsid w:val="00B6274D"/>
    <w:rsid w:val="00B65A3B"/>
    <w:rsid w:val="00B7202B"/>
    <w:rsid w:val="00B73D06"/>
    <w:rsid w:val="00B74BB9"/>
    <w:rsid w:val="00B751AC"/>
    <w:rsid w:val="00B76D3C"/>
    <w:rsid w:val="00B81390"/>
    <w:rsid w:val="00B826D7"/>
    <w:rsid w:val="00B82BC6"/>
    <w:rsid w:val="00B82C7F"/>
    <w:rsid w:val="00B84CF4"/>
    <w:rsid w:val="00B85192"/>
    <w:rsid w:val="00B87B18"/>
    <w:rsid w:val="00B926E4"/>
    <w:rsid w:val="00B945AD"/>
    <w:rsid w:val="00B94F2A"/>
    <w:rsid w:val="00B952BF"/>
    <w:rsid w:val="00B96AE0"/>
    <w:rsid w:val="00B97EEE"/>
    <w:rsid w:val="00BB1F52"/>
    <w:rsid w:val="00BB49BE"/>
    <w:rsid w:val="00BB6849"/>
    <w:rsid w:val="00BB79D6"/>
    <w:rsid w:val="00BC4CC9"/>
    <w:rsid w:val="00BC5432"/>
    <w:rsid w:val="00BD136D"/>
    <w:rsid w:val="00BD4917"/>
    <w:rsid w:val="00BD5090"/>
    <w:rsid w:val="00BD54C2"/>
    <w:rsid w:val="00BD662B"/>
    <w:rsid w:val="00BD67B3"/>
    <w:rsid w:val="00BD7079"/>
    <w:rsid w:val="00BE09CA"/>
    <w:rsid w:val="00BE2EE4"/>
    <w:rsid w:val="00BF16C1"/>
    <w:rsid w:val="00BF4175"/>
    <w:rsid w:val="00BF4C8D"/>
    <w:rsid w:val="00BF56E5"/>
    <w:rsid w:val="00C002D1"/>
    <w:rsid w:val="00C01189"/>
    <w:rsid w:val="00C04501"/>
    <w:rsid w:val="00C057BF"/>
    <w:rsid w:val="00C10753"/>
    <w:rsid w:val="00C10AEC"/>
    <w:rsid w:val="00C110B5"/>
    <w:rsid w:val="00C14EBB"/>
    <w:rsid w:val="00C15067"/>
    <w:rsid w:val="00C207E3"/>
    <w:rsid w:val="00C22561"/>
    <w:rsid w:val="00C226D1"/>
    <w:rsid w:val="00C22F81"/>
    <w:rsid w:val="00C237C9"/>
    <w:rsid w:val="00C23CAC"/>
    <w:rsid w:val="00C27DA4"/>
    <w:rsid w:val="00C36CF5"/>
    <w:rsid w:val="00C37096"/>
    <w:rsid w:val="00C41CD5"/>
    <w:rsid w:val="00C43D4A"/>
    <w:rsid w:val="00C44058"/>
    <w:rsid w:val="00C440A1"/>
    <w:rsid w:val="00C459A8"/>
    <w:rsid w:val="00C53425"/>
    <w:rsid w:val="00C53A13"/>
    <w:rsid w:val="00C55BB6"/>
    <w:rsid w:val="00C57393"/>
    <w:rsid w:val="00C57FAA"/>
    <w:rsid w:val="00C64024"/>
    <w:rsid w:val="00C65747"/>
    <w:rsid w:val="00C675A0"/>
    <w:rsid w:val="00C7056E"/>
    <w:rsid w:val="00C70809"/>
    <w:rsid w:val="00C721CD"/>
    <w:rsid w:val="00C771E4"/>
    <w:rsid w:val="00C80E50"/>
    <w:rsid w:val="00C81D94"/>
    <w:rsid w:val="00C81F36"/>
    <w:rsid w:val="00C86AA2"/>
    <w:rsid w:val="00C904CD"/>
    <w:rsid w:val="00C91F63"/>
    <w:rsid w:val="00CA2ADA"/>
    <w:rsid w:val="00CA2EB1"/>
    <w:rsid w:val="00CA2FC8"/>
    <w:rsid w:val="00CA4AAD"/>
    <w:rsid w:val="00CA6504"/>
    <w:rsid w:val="00CB28F9"/>
    <w:rsid w:val="00CB4785"/>
    <w:rsid w:val="00CB5487"/>
    <w:rsid w:val="00CB603A"/>
    <w:rsid w:val="00CC11B0"/>
    <w:rsid w:val="00CC3B2F"/>
    <w:rsid w:val="00CC70DA"/>
    <w:rsid w:val="00CD1018"/>
    <w:rsid w:val="00CD1855"/>
    <w:rsid w:val="00CD1975"/>
    <w:rsid w:val="00CE0300"/>
    <w:rsid w:val="00CE1040"/>
    <w:rsid w:val="00CE2FEA"/>
    <w:rsid w:val="00CE38A3"/>
    <w:rsid w:val="00CF07FC"/>
    <w:rsid w:val="00CF372E"/>
    <w:rsid w:val="00CF4CE5"/>
    <w:rsid w:val="00CF6B3C"/>
    <w:rsid w:val="00D00394"/>
    <w:rsid w:val="00D03FEE"/>
    <w:rsid w:val="00D06495"/>
    <w:rsid w:val="00D07597"/>
    <w:rsid w:val="00D1007B"/>
    <w:rsid w:val="00D134E3"/>
    <w:rsid w:val="00D14B14"/>
    <w:rsid w:val="00D1508C"/>
    <w:rsid w:val="00D158BC"/>
    <w:rsid w:val="00D201BF"/>
    <w:rsid w:val="00D2050B"/>
    <w:rsid w:val="00D20BB1"/>
    <w:rsid w:val="00D25FC7"/>
    <w:rsid w:val="00D26F59"/>
    <w:rsid w:val="00D27C35"/>
    <w:rsid w:val="00D30E16"/>
    <w:rsid w:val="00D34DF6"/>
    <w:rsid w:val="00D35237"/>
    <w:rsid w:val="00D35569"/>
    <w:rsid w:val="00D375CB"/>
    <w:rsid w:val="00D407AA"/>
    <w:rsid w:val="00D41E61"/>
    <w:rsid w:val="00D42B27"/>
    <w:rsid w:val="00D453FC"/>
    <w:rsid w:val="00D4582D"/>
    <w:rsid w:val="00D46390"/>
    <w:rsid w:val="00D470A6"/>
    <w:rsid w:val="00D502EF"/>
    <w:rsid w:val="00D541B8"/>
    <w:rsid w:val="00D54DEE"/>
    <w:rsid w:val="00D56424"/>
    <w:rsid w:val="00D572E2"/>
    <w:rsid w:val="00D5767E"/>
    <w:rsid w:val="00D6471D"/>
    <w:rsid w:val="00D66E6C"/>
    <w:rsid w:val="00D72D0B"/>
    <w:rsid w:val="00D7366F"/>
    <w:rsid w:val="00D73D7F"/>
    <w:rsid w:val="00D76930"/>
    <w:rsid w:val="00D811B9"/>
    <w:rsid w:val="00D85366"/>
    <w:rsid w:val="00D9073E"/>
    <w:rsid w:val="00D93BC3"/>
    <w:rsid w:val="00D952D8"/>
    <w:rsid w:val="00DA00D3"/>
    <w:rsid w:val="00DA06FE"/>
    <w:rsid w:val="00DA1392"/>
    <w:rsid w:val="00DA3F8A"/>
    <w:rsid w:val="00DA424A"/>
    <w:rsid w:val="00DA44EB"/>
    <w:rsid w:val="00DA57F1"/>
    <w:rsid w:val="00DA7366"/>
    <w:rsid w:val="00DB26A7"/>
    <w:rsid w:val="00DB32C4"/>
    <w:rsid w:val="00DB4CC8"/>
    <w:rsid w:val="00DB7095"/>
    <w:rsid w:val="00DB7368"/>
    <w:rsid w:val="00DC1888"/>
    <w:rsid w:val="00DC2308"/>
    <w:rsid w:val="00DD02F6"/>
    <w:rsid w:val="00DD0CAC"/>
    <w:rsid w:val="00DD1A5E"/>
    <w:rsid w:val="00DD2598"/>
    <w:rsid w:val="00DD2B88"/>
    <w:rsid w:val="00DD2BFC"/>
    <w:rsid w:val="00DD34C2"/>
    <w:rsid w:val="00DD43B9"/>
    <w:rsid w:val="00DD4F5C"/>
    <w:rsid w:val="00DD5DFE"/>
    <w:rsid w:val="00DE5129"/>
    <w:rsid w:val="00DE7893"/>
    <w:rsid w:val="00DF0D64"/>
    <w:rsid w:val="00DF450E"/>
    <w:rsid w:val="00DF4904"/>
    <w:rsid w:val="00DF5D64"/>
    <w:rsid w:val="00DF6ABB"/>
    <w:rsid w:val="00E020DD"/>
    <w:rsid w:val="00E03A15"/>
    <w:rsid w:val="00E041A8"/>
    <w:rsid w:val="00E06801"/>
    <w:rsid w:val="00E116B4"/>
    <w:rsid w:val="00E11CD2"/>
    <w:rsid w:val="00E131B4"/>
    <w:rsid w:val="00E14F94"/>
    <w:rsid w:val="00E151CB"/>
    <w:rsid w:val="00E23241"/>
    <w:rsid w:val="00E2663F"/>
    <w:rsid w:val="00E267C8"/>
    <w:rsid w:val="00E2775F"/>
    <w:rsid w:val="00E27E57"/>
    <w:rsid w:val="00E30692"/>
    <w:rsid w:val="00E31B8A"/>
    <w:rsid w:val="00E327BA"/>
    <w:rsid w:val="00E33621"/>
    <w:rsid w:val="00E35B23"/>
    <w:rsid w:val="00E36AAB"/>
    <w:rsid w:val="00E40B86"/>
    <w:rsid w:val="00E42F8E"/>
    <w:rsid w:val="00E439FB"/>
    <w:rsid w:val="00E43DEA"/>
    <w:rsid w:val="00E5201F"/>
    <w:rsid w:val="00E52E6C"/>
    <w:rsid w:val="00E612D7"/>
    <w:rsid w:val="00E62BC2"/>
    <w:rsid w:val="00E62D9D"/>
    <w:rsid w:val="00E62F7B"/>
    <w:rsid w:val="00E6531F"/>
    <w:rsid w:val="00E71DC9"/>
    <w:rsid w:val="00E74876"/>
    <w:rsid w:val="00E74BD5"/>
    <w:rsid w:val="00E805A1"/>
    <w:rsid w:val="00E80C66"/>
    <w:rsid w:val="00E80EFF"/>
    <w:rsid w:val="00E815C8"/>
    <w:rsid w:val="00E81834"/>
    <w:rsid w:val="00E82D62"/>
    <w:rsid w:val="00E8320F"/>
    <w:rsid w:val="00E844EA"/>
    <w:rsid w:val="00E93575"/>
    <w:rsid w:val="00E94B0F"/>
    <w:rsid w:val="00E9782A"/>
    <w:rsid w:val="00E9785F"/>
    <w:rsid w:val="00E978D4"/>
    <w:rsid w:val="00E97B6E"/>
    <w:rsid w:val="00EA240E"/>
    <w:rsid w:val="00EA34EF"/>
    <w:rsid w:val="00EA5C93"/>
    <w:rsid w:val="00EB171A"/>
    <w:rsid w:val="00EB247F"/>
    <w:rsid w:val="00EB26F8"/>
    <w:rsid w:val="00EB419F"/>
    <w:rsid w:val="00EB5A83"/>
    <w:rsid w:val="00EB64C5"/>
    <w:rsid w:val="00EB77B4"/>
    <w:rsid w:val="00EC57B8"/>
    <w:rsid w:val="00ED15DA"/>
    <w:rsid w:val="00ED1779"/>
    <w:rsid w:val="00ED254E"/>
    <w:rsid w:val="00ED7489"/>
    <w:rsid w:val="00ED7776"/>
    <w:rsid w:val="00EE0272"/>
    <w:rsid w:val="00EE274A"/>
    <w:rsid w:val="00EE630D"/>
    <w:rsid w:val="00EF127E"/>
    <w:rsid w:val="00EF1970"/>
    <w:rsid w:val="00EF21F4"/>
    <w:rsid w:val="00EF2247"/>
    <w:rsid w:val="00EF44E2"/>
    <w:rsid w:val="00EF6266"/>
    <w:rsid w:val="00F0150F"/>
    <w:rsid w:val="00F01607"/>
    <w:rsid w:val="00F05491"/>
    <w:rsid w:val="00F0595F"/>
    <w:rsid w:val="00F0598F"/>
    <w:rsid w:val="00F06F88"/>
    <w:rsid w:val="00F13983"/>
    <w:rsid w:val="00F15AEE"/>
    <w:rsid w:val="00F1670B"/>
    <w:rsid w:val="00F23C29"/>
    <w:rsid w:val="00F23EA8"/>
    <w:rsid w:val="00F254E9"/>
    <w:rsid w:val="00F25684"/>
    <w:rsid w:val="00F26176"/>
    <w:rsid w:val="00F346F2"/>
    <w:rsid w:val="00F369C3"/>
    <w:rsid w:val="00F4393C"/>
    <w:rsid w:val="00F44C6D"/>
    <w:rsid w:val="00F46737"/>
    <w:rsid w:val="00F500AE"/>
    <w:rsid w:val="00F52595"/>
    <w:rsid w:val="00F5264A"/>
    <w:rsid w:val="00F53092"/>
    <w:rsid w:val="00F530FC"/>
    <w:rsid w:val="00F61DCA"/>
    <w:rsid w:val="00F64BF0"/>
    <w:rsid w:val="00F64FB6"/>
    <w:rsid w:val="00F65586"/>
    <w:rsid w:val="00F65BD3"/>
    <w:rsid w:val="00F66D25"/>
    <w:rsid w:val="00F713C6"/>
    <w:rsid w:val="00F73235"/>
    <w:rsid w:val="00F73C9C"/>
    <w:rsid w:val="00F74517"/>
    <w:rsid w:val="00F745CF"/>
    <w:rsid w:val="00F75562"/>
    <w:rsid w:val="00F7697C"/>
    <w:rsid w:val="00F82F87"/>
    <w:rsid w:val="00F84201"/>
    <w:rsid w:val="00F84DB6"/>
    <w:rsid w:val="00F85FFB"/>
    <w:rsid w:val="00F90765"/>
    <w:rsid w:val="00F90A52"/>
    <w:rsid w:val="00F90D56"/>
    <w:rsid w:val="00F91C40"/>
    <w:rsid w:val="00F93172"/>
    <w:rsid w:val="00F96F8A"/>
    <w:rsid w:val="00F976E9"/>
    <w:rsid w:val="00FA2194"/>
    <w:rsid w:val="00FA4FC4"/>
    <w:rsid w:val="00FA5114"/>
    <w:rsid w:val="00FA5EB8"/>
    <w:rsid w:val="00FA6897"/>
    <w:rsid w:val="00FA7C26"/>
    <w:rsid w:val="00FB2C53"/>
    <w:rsid w:val="00FB2DC0"/>
    <w:rsid w:val="00FB3AB3"/>
    <w:rsid w:val="00FB649C"/>
    <w:rsid w:val="00FB760F"/>
    <w:rsid w:val="00FC1BB0"/>
    <w:rsid w:val="00FC2C8B"/>
    <w:rsid w:val="00FD2788"/>
    <w:rsid w:val="00FD46FE"/>
    <w:rsid w:val="00FD6401"/>
    <w:rsid w:val="00FD77AF"/>
    <w:rsid w:val="00FD7E45"/>
    <w:rsid w:val="00FE53D4"/>
    <w:rsid w:val="00FE712D"/>
    <w:rsid w:val="00FF038A"/>
    <w:rsid w:val="00FF47F5"/>
    <w:rsid w:val="00FF5986"/>
    <w:rsid w:val="00FF7B3A"/>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F50504-F595-4779-8CE6-430AE152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0A"/>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47117A"/>
    <w:pPr>
      <w:keepNext/>
      <w:keepLines/>
      <w:numPr>
        <w:numId w:val="1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47117A"/>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44554512">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57430252">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70466995">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3.xml"/><Relationship Id="rId26" Type="http://schemas.openxmlformats.org/officeDocument/2006/relationships/hyperlink" Target="https://doi.org/10.1007/s10584-016-1764-4" TargetMode="External"/><Relationship Id="rId39" Type="http://schemas.openxmlformats.org/officeDocument/2006/relationships/hyperlink" Target="http://energy.gov/sites/prod/files/2016/08/f33/BillionTon_Report_2016_8.18.2016.pdf" TargetMode="External"/><Relationship Id="rId3" Type="http://schemas.openxmlformats.org/officeDocument/2006/relationships/numbering" Target="numbering.xml"/><Relationship Id="rId21" Type="http://schemas.openxmlformats.org/officeDocument/2006/relationships/hyperlink" Target="http://doi.org/10.1111/gcbb.12121" TargetMode="External"/><Relationship Id="rId34" Type="http://schemas.openxmlformats.org/officeDocument/2006/relationships/hyperlink" Target="http://doi.org/10.1016/j.eja.2009.04.001" TargetMode="External"/><Relationship Id="rId42" Type="http://schemas.openxmlformats.org/officeDocument/2006/relationships/hyperlink" Target="https://doi.org/10.1016/j.agsy.2010.07.005"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2.xml"/><Relationship Id="rId25" Type="http://schemas.openxmlformats.org/officeDocument/2006/relationships/hyperlink" Target="http://en.mfvm.dk/fileadmin/user_upload/ENGLISH_FVM.DK/Themes/Bioenergy/Perennial_energy_crops.pdf" TargetMode="External"/><Relationship Id="rId33" Type="http://schemas.openxmlformats.org/officeDocument/2006/relationships/hyperlink" Target="http://doi.org/10.1371/journal.pone.0080093" TargetMode="External"/><Relationship Id="rId38" Type="http://schemas.openxmlformats.org/officeDocument/2006/relationships/hyperlink" Target="https://www.agcensus.usda.gov/Publications/2012/Full_Report/Volume_1,_Chapter_1_US/usv1.pdf"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doi.org/10.1016/j.rser.2015.10.126" TargetMode="External"/><Relationship Id="rId29" Type="http://schemas.openxmlformats.org/officeDocument/2006/relationships/hyperlink" Target="http://doi.org/10.1111/gcbb.12067" TargetMode="External"/><Relationship Id="rId41" Type="http://schemas.openxmlformats.org/officeDocument/2006/relationships/hyperlink" Target="http://doi.org/10.1016/j.jenvman.2013.05.0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citeseerx.ist.psu.edu/viewdoc/download?doi=10.1.1.549.7656&amp;rep=rep1&amp;type=pdf" TargetMode="External"/><Relationship Id="rId32" Type="http://schemas.openxmlformats.org/officeDocument/2006/relationships/hyperlink" Target="http://doi.org/10.1111/gcbb.12147" TargetMode="External"/><Relationship Id="rId37" Type="http://schemas.openxmlformats.org/officeDocument/2006/relationships/hyperlink" Target="https://doi.org/10.1016/j.rser.2013.08.013" TargetMode="External"/><Relationship Id="rId40" Type="http://schemas.openxmlformats.org/officeDocument/2006/relationships/hyperlink" Target="http://doi.org/10.1111/j.1757-1707.2011.01111.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rawdown.org" TargetMode="External"/><Relationship Id="rId23" Type="http://schemas.openxmlformats.org/officeDocument/2006/relationships/hyperlink" Target="http://doi.org/10.1525/bio.2013.63.4.6" TargetMode="External"/><Relationship Id="rId28" Type="http://schemas.openxmlformats.org/officeDocument/2006/relationships/hyperlink" Target="http://doi.org/10.1525/bio.2013.63.4.6" TargetMode="External"/><Relationship Id="rId36" Type="http://schemas.openxmlformats.org/officeDocument/2006/relationships/hyperlink" Target="https://doi.org/10.1126/science.1151861" TargetMode="External"/><Relationship Id="rId10" Type="http://schemas.openxmlformats.org/officeDocument/2006/relationships/hyperlink" Target="mailto:info@drawdown.org" TargetMode="External"/><Relationship Id="rId19" Type="http://schemas.openxmlformats.org/officeDocument/2006/relationships/chart" Target="charts/chart4.xml"/><Relationship Id="rId31" Type="http://schemas.openxmlformats.org/officeDocument/2006/relationships/hyperlink" Target="http://doi.org/10.1080/07352680590910393"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hyperlink" Target="http://www.calu.bangor.ac.uk/Technical%20leaflets/Miscanthus%20-%20does%20it%20payv3.pdf" TargetMode="External"/><Relationship Id="rId27" Type="http://schemas.openxmlformats.org/officeDocument/2006/relationships/hyperlink" Target="http://lcacenter.org/lcaxi/final/379.pdf" TargetMode="External"/><Relationship Id="rId30" Type="http://schemas.openxmlformats.org/officeDocument/2006/relationships/hyperlink" Target="https://www.sei-international.org/mediamanager/documents/Publications/Climate/SEI-WP-2016-08-Negative-emissions.pdf" TargetMode="External"/><Relationship Id="rId35" Type="http://schemas.openxmlformats.org/officeDocument/2006/relationships/hyperlink" Target="http://www.ren21.net/wp-content/uploads/2015/07/REN12-GSR2015_Onlinebook_low1.pdf" TargetMode="External"/><Relationship Id="rId43" Type="http://schemas.openxmlformats.org/officeDocument/2006/relationships/hyperlink" Target="https://doi.org/10.1002/ieam.160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oi.org/10.1080/07352680590910393" TargetMode="External"/><Relationship Id="rId7" Type="http://schemas.openxmlformats.org/officeDocument/2006/relationships/hyperlink" Target="https://doi.org/10.1016/j.rser.2013.08.013" TargetMode="External"/><Relationship Id="rId2" Type="http://schemas.openxmlformats.org/officeDocument/2006/relationships/hyperlink" Target="https://doi.org/10.1002/ieam.1604" TargetMode="External"/><Relationship Id="rId1" Type="http://schemas.openxmlformats.org/officeDocument/2006/relationships/hyperlink" Target="http://www.ren21.net/wp-content/uploads/2015/07/REN12-GSR2015_Onlinebook_low1.pdf" TargetMode="External"/><Relationship Id="rId6" Type="http://schemas.openxmlformats.org/officeDocument/2006/relationships/hyperlink" Target="http://doi.org/10.1111/j.1757-1707.2011.01111.x" TargetMode="External"/><Relationship Id="rId5" Type="http://schemas.openxmlformats.org/officeDocument/2006/relationships/hyperlink" Target="http://www.iea.org/publications/freepublications/publication/KeyWorldEnergyTrends.pdf" TargetMode="External"/><Relationship Id="rId4" Type="http://schemas.openxmlformats.org/officeDocument/2006/relationships/hyperlink" Target="https://www.sei-international.org/mediamanager/documents/Publications/Climate/SEI-WP-2016-08-Negative-emission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Perennial%20Bioenergy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Perennial%20Bioenergy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Perennial%20Bioenergy_Aug20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_MASTER_Perennial%20Bioenergy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0.27075899999999997</c:v>
                </c:pt>
                <c:pt idx="1">
                  <c:v>0.27075899999999997</c:v>
                </c:pt>
                <c:pt idx="2">
                  <c:v>0.27075899999999997</c:v>
                </c:pt>
                <c:pt idx="3">
                  <c:v>0.27075899999999997</c:v>
                </c:pt>
                <c:pt idx="4">
                  <c:v>0.27075899999999997</c:v>
                </c:pt>
                <c:pt idx="5">
                  <c:v>0.27075899999999997</c:v>
                </c:pt>
                <c:pt idx="6">
                  <c:v>0.27075899999999997</c:v>
                </c:pt>
                <c:pt idx="7">
                  <c:v>0.27075899999999997</c:v>
                </c:pt>
                <c:pt idx="8">
                  <c:v>0.27075899999999997</c:v>
                </c:pt>
                <c:pt idx="9">
                  <c:v>0.27075899999999997</c:v>
                </c:pt>
                <c:pt idx="10">
                  <c:v>0.27075899999999997</c:v>
                </c:pt>
                <c:pt idx="11">
                  <c:v>0.27075899999999997</c:v>
                </c:pt>
                <c:pt idx="12">
                  <c:v>0.27075899999999997</c:v>
                </c:pt>
                <c:pt idx="13">
                  <c:v>0.27075899999999997</c:v>
                </c:pt>
                <c:pt idx="14">
                  <c:v>0.27075899999999997</c:v>
                </c:pt>
                <c:pt idx="15">
                  <c:v>0.27075899999999997</c:v>
                </c:pt>
                <c:pt idx="16">
                  <c:v>0.27075899999999997</c:v>
                </c:pt>
                <c:pt idx="17">
                  <c:v>0.27075899999999997</c:v>
                </c:pt>
                <c:pt idx="18">
                  <c:v>0.27075899999999997</c:v>
                </c:pt>
                <c:pt idx="19">
                  <c:v>0.27075899999999997</c:v>
                </c:pt>
                <c:pt idx="20">
                  <c:v>0.27075899999999997</c:v>
                </c:pt>
                <c:pt idx="21">
                  <c:v>0.27075899999999997</c:v>
                </c:pt>
                <c:pt idx="22">
                  <c:v>0.27075899999999997</c:v>
                </c:pt>
                <c:pt idx="23">
                  <c:v>0.27075899999999997</c:v>
                </c:pt>
                <c:pt idx="24">
                  <c:v>0.27075899999999997</c:v>
                </c:pt>
                <c:pt idx="25">
                  <c:v>0.27075899999999997</c:v>
                </c:pt>
                <c:pt idx="26">
                  <c:v>0.27075899999999997</c:v>
                </c:pt>
                <c:pt idx="27">
                  <c:v>0.27075899999999997</c:v>
                </c:pt>
                <c:pt idx="28">
                  <c:v>0.27075899999999997</c:v>
                </c:pt>
                <c:pt idx="29">
                  <c:v>0.27075899999999997</c:v>
                </c:pt>
                <c:pt idx="30">
                  <c:v>0.27075899999999997</c:v>
                </c:pt>
                <c:pt idx="31">
                  <c:v>0.27075899999999997</c:v>
                </c:pt>
                <c:pt idx="32">
                  <c:v>0.27075899999999997</c:v>
                </c:pt>
                <c:pt idx="33">
                  <c:v>0.27075899999999997</c:v>
                </c:pt>
                <c:pt idx="34">
                  <c:v>0.27075899999999997</c:v>
                </c:pt>
                <c:pt idx="35">
                  <c:v>0.27075899999999997</c:v>
                </c:pt>
                <c:pt idx="36">
                  <c:v>0.27075899999999997</c:v>
                </c:pt>
                <c:pt idx="37">
                  <c:v>0.27075899999999997</c:v>
                </c:pt>
                <c:pt idx="38">
                  <c:v>0.27075899999999997</c:v>
                </c:pt>
                <c:pt idx="39">
                  <c:v>0.27075899999999997</c:v>
                </c:pt>
                <c:pt idx="40">
                  <c:v>0.27075899999999997</c:v>
                </c:pt>
                <c:pt idx="41">
                  <c:v>0.27075899999999997</c:v>
                </c:pt>
                <c:pt idx="42">
                  <c:v>0.27075899999999997</c:v>
                </c:pt>
                <c:pt idx="43">
                  <c:v>0.27075899999999997</c:v>
                </c:pt>
                <c:pt idx="44">
                  <c:v>0.27075899999999997</c:v>
                </c:pt>
                <c:pt idx="45">
                  <c:v>0.27075899999999997</c:v>
                </c:pt>
              </c:numCache>
            </c:numRef>
          </c:val>
          <c:smooth val="1"/>
          <c:extLst>
            <c:ext xmlns:c16="http://schemas.microsoft.com/office/drawing/2014/chart" uri="{C3380CC4-5D6E-409C-BE32-E72D297353CC}">
              <c16:uniqueId val="{00000000-B3F6-40A5-A97F-D6439DB7BD1C}"/>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3.7058521528925517</c:v>
                </c:pt>
                <c:pt idx="1">
                  <c:v>7.1409453057847259</c:v>
                </c:pt>
                <c:pt idx="2">
                  <c:v>10.576038458677354</c:v>
                </c:pt>
                <c:pt idx="3">
                  <c:v>14.011131611569605</c:v>
                </c:pt>
                <c:pt idx="4">
                  <c:v>17.446224764462539</c:v>
                </c:pt>
                <c:pt idx="5">
                  <c:v>20.881317917354789</c:v>
                </c:pt>
                <c:pt idx="6">
                  <c:v>24.316411070247643</c:v>
                </c:pt>
                <c:pt idx="7">
                  <c:v>27.751504223139971</c:v>
                </c:pt>
                <c:pt idx="8">
                  <c:v>31.186597376032825</c:v>
                </c:pt>
                <c:pt idx="9">
                  <c:v>34.621690528924852</c:v>
                </c:pt>
                <c:pt idx="10">
                  <c:v>38.056783681817784</c:v>
                </c:pt>
                <c:pt idx="11">
                  <c:v>41.491876834710034</c:v>
                </c:pt>
                <c:pt idx="12">
                  <c:v>44.926969987602888</c:v>
                </c:pt>
                <c:pt idx="13">
                  <c:v>48.362063140495216</c:v>
                </c:pt>
                <c:pt idx="14">
                  <c:v>51.797156293387921</c:v>
                </c:pt>
                <c:pt idx="15">
                  <c:v>55.232249446280171</c:v>
                </c:pt>
                <c:pt idx="16">
                  <c:v>57.290184037233793</c:v>
                </c:pt>
                <c:pt idx="17">
                  <c:v>59.348118628186889</c:v>
                </c:pt>
                <c:pt idx="18">
                  <c:v>61.406053219140098</c:v>
                </c:pt>
                <c:pt idx="19">
                  <c:v>63.463987810093272</c:v>
                </c:pt>
                <c:pt idx="20">
                  <c:v>65.521922401046638</c:v>
                </c:pt>
                <c:pt idx="21">
                  <c:v>67.579856991999733</c:v>
                </c:pt>
                <c:pt idx="22">
                  <c:v>69.637791582952943</c:v>
                </c:pt>
                <c:pt idx="23">
                  <c:v>71.69572617390611</c:v>
                </c:pt>
                <c:pt idx="24">
                  <c:v>73.75366076485939</c:v>
                </c:pt>
                <c:pt idx="25">
                  <c:v>75.811595355812486</c:v>
                </c:pt>
                <c:pt idx="26">
                  <c:v>77.869529946765923</c:v>
                </c:pt>
                <c:pt idx="27">
                  <c:v>79.92746453771872</c:v>
                </c:pt>
                <c:pt idx="28">
                  <c:v>81.985399128672086</c:v>
                </c:pt>
                <c:pt idx="29">
                  <c:v>84.043333719625252</c:v>
                </c:pt>
                <c:pt idx="30">
                  <c:v>86.101268310578618</c:v>
                </c:pt>
                <c:pt idx="31">
                  <c:v>88.159202901531557</c:v>
                </c:pt>
                <c:pt idx="32">
                  <c:v>90.217137492484994</c:v>
                </c:pt>
                <c:pt idx="33">
                  <c:v>92.27507208343809</c:v>
                </c:pt>
                <c:pt idx="34">
                  <c:v>94.333006674391186</c:v>
                </c:pt>
                <c:pt idx="35">
                  <c:v>96.390941265344622</c:v>
                </c:pt>
                <c:pt idx="36">
                  <c:v>98.06305919525137</c:v>
                </c:pt>
                <c:pt idx="37">
                  <c:v>99.735177125158387</c:v>
                </c:pt>
                <c:pt idx="38">
                  <c:v>101.40729505506522</c:v>
                </c:pt>
                <c:pt idx="39">
                  <c:v>103.07941298497224</c:v>
                </c:pt>
                <c:pt idx="40">
                  <c:v>104.75153091487884</c:v>
                </c:pt>
                <c:pt idx="41">
                  <c:v>106.42364884478593</c:v>
                </c:pt>
                <c:pt idx="42">
                  <c:v>108.09576677469268</c:v>
                </c:pt>
                <c:pt idx="43">
                  <c:v>109.76788470459962</c:v>
                </c:pt>
                <c:pt idx="44">
                  <c:v>111.44000263450646</c:v>
                </c:pt>
                <c:pt idx="45">
                  <c:v>113.11212056441347</c:v>
                </c:pt>
              </c:numCache>
            </c:numRef>
          </c:val>
          <c:smooth val="0"/>
          <c:extLst>
            <c:ext xmlns:c16="http://schemas.microsoft.com/office/drawing/2014/chart" uri="{C3380CC4-5D6E-409C-BE32-E72D297353CC}">
              <c16:uniqueId val="{00000001-B3F6-40A5-A97F-D6439DB7BD1C}"/>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5.5956984510761485</c:v>
                </c:pt>
                <c:pt idx="1">
                  <c:v>10.920637902152086</c:v>
                </c:pt>
                <c:pt idx="2">
                  <c:v>16.245577353228164</c:v>
                </c:pt>
                <c:pt idx="3">
                  <c:v>21.570516804304212</c:v>
                </c:pt>
                <c:pt idx="4">
                  <c:v>26.895456255381099</c:v>
                </c:pt>
                <c:pt idx="5">
                  <c:v>32.220395706457147</c:v>
                </c:pt>
                <c:pt idx="6">
                  <c:v>37.545335157534055</c:v>
                </c:pt>
                <c:pt idx="7">
                  <c:v>42.870274608610082</c:v>
                </c:pt>
                <c:pt idx="8">
                  <c:v>48.19521405968699</c:v>
                </c:pt>
                <c:pt idx="9">
                  <c:v>53.520153510762214</c:v>
                </c:pt>
                <c:pt idx="10">
                  <c:v>58.8450929618391</c:v>
                </c:pt>
                <c:pt idx="11">
                  <c:v>64.170032412915148</c:v>
                </c:pt>
                <c:pt idx="12">
                  <c:v>69.494971863992049</c:v>
                </c:pt>
                <c:pt idx="13">
                  <c:v>74.819911315068083</c:v>
                </c:pt>
                <c:pt idx="14">
                  <c:v>80.144850766144899</c:v>
                </c:pt>
                <c:pt idx="15">
                  <c:v>85.469790217220947</c:v>
                </c:pt>
                <c:pt idx="16">
                  <c:v>88.13836129288093</c:v>
                </c:pt>
                <c:pt idx="17">
                  <c:v>90.842192565822899</c:v>
                </c:pt>
                <c:pt idx="18">
                  <c:v>93.579160489882312</c:v>
                </c:pt>
                <c:pt idx="19">
                  <c:v>96.347212329474402</c:v>
                </c:pt>
                <c:pt idx="20">
                  <c:v>99.144378634958798</c:v>
                </c:pt>
                <c:pt idx="21">
                  <c:v>101.96878190515423</c:v>
                </c:pt>
                <c:pt idx="22">
                  <c:v>104.81864198819139</c:v>
                </c:pt>
                <c:pt idx="23">
                  <c:v>107.69227877079916</c:v>
                </c:pt>
                <c:pt idx="24">
                  <c:v>110.58811267550934</c:v>
                </c:pt>
                <c:pt idx="25">
                  <c:v>113.50466343638936</c:v>
                </c:pt>
                <c:pt idx="26">
                  <c:v>116.44054756580192</c:v>
                </c:pt>
                <c:pt idx="27">
                  <c:v>119.39447486382375</c:v>
                </c:pt>
                <c:pt idx="28">
                  <c:v>122.36524426291899</c:v>
                </c:pt>
                <c:pt idx="29">
                  <c:v>125.35173924589262</c:v>
                </c:pt>
                <c:pt idx="30">
                  <c:v>128.35292302671172</c:v>
                </c:pt>
                <c:pt idx="31">
                  <c:v>131.36783364183628</c:v>
                </c:pt>
                <c:pt idx="32">
                  <c:v>134.39557906441763</c:v>
                </c:pt>
                <c:pt idx="33">
                  <c:v>137.43533242446409</c:v>
                </c:pt>
                <c:pt idx="34">
                  <c:v>140.48632739441925</c:v>
                </c:pt>
                <c:pt idx="35">
                  <c:v>143.54785378062991</c:v>
                </c:pt>
                <c:pt idx="36">
                  <c:v>145.77287079039013</c:v>
                </c:pt>
                <c:pt idx="37">
                  <c:v>148.03357576167582</c:v>
                </c:pt>
                <c:pt idx="38">
                  <c:v>150.32868059553323</c:v>
                </c:pt>
                <c:pt idx="39">
                  <c:v>152.65688851050942</c:v>
                </c:pt>
                <c:pt idx="40">
                  <c:v>154.3266644185241</c:v>
                </c:pt>
                <c:pt idx="41">
                  <c:v>154.3266644185241</c:v>
                </c:pt>
                <c:pt idx="42">
                  <c:v>154.3266644185241</c:v>
                </c:pt>
                <c:pt idx="43">
                  <c:v>154.3266644185241</c:v>
                </c:pt>
                <c:pt idx="44">
                  <c:v>154.3266644185241</c:v>
                </c:pt>
                <c:pt idx="45">
                  <c:v>154.3266644185241</c:v>
                </c:pt>
              </c:numCache>
            </c:numRef>
          </c:val>
          <c:smooth val="0"/>
          <c:extLst>
            <c:ext xmlns:c16="http://schemas.microsoft.com/office/drawing/2014/chart" uri="{C3380CC4-5D6E-409C-BE32-E72D297353CC}">
              <c16:uniqueId val="{00000002-B3F6-40A5-A97F-D6439DB7BD1C}"/>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4.5500897060701391</c:v>
                </c:pt>
                <c:pt idx="1">
                  <c:v>8.8294204121393705</c:v>
                </c:pt>
                <c:pt idx="2">
                  <c:v>13.108751118210421</c:v>
                </c:pt>
                <c:pt idx="3">
                  <c:v>17.388081824279652</c:v>
                </c:pt>
                <c:pt idx="4">
                  <c:v>21.667412530350703</c:v>
                </c:pt>
                <c:pt idx="5">
                  <c:v>25.946743236419934</c:v>
                </c:pt>
                <c:pt idx="6">
                  <c:v>30.226073942490984</c:v>
                </c:pt>
                <c:pt idx="7">
                  <c:v>34.505404648560216</c:v>
                </c:pt>
                <c:pt idx="8">
                  <c:v>38.784735354631266</c:v>
                </c:pt>
                <c:pt idx="9">
                  <c:v>43.064066060700497</c:v>
                </c:pt>
                <c:pt idx="10">
                  <c:v>47.343396766771548</c:v>
                </c:pt>
                <c:pt idx="11">
                  <c:v>51.622727472840779</c:v>
                </c:pt>
                <c:pt idx="12">
                  <c:v>55.90205817891183</c:v>
                </c:pt>
                <c:pt idx="13">
                  <c:v>60.181388884981061</c:v>
                </c:pt>
                <c:pt idx="14">
                  <c:v>64.460719591052111</c:v>
                </c:pt>
                <c:pt idx="15">
                  <c:v>68.740050297121343</c:v>
                </c:pt>
                <c:pt idx="16">
                  <c:v>73.019381003192393</c:v>
                </c:pt>
                <c:pt idx="17">
                  <c:v>77.298711709261624</c:v>
                </c:pt>
                <c:pt idx="18">
                  <c:v>81.578042415332675</c:v>
                </c:pt>
                <c:pt idx="19">
                  <c:v>85.857373121401906</c:v>
                </c:pt>
                <c:pt idx="20">
                  <c:v>90.136703827472957</c:v>
                </c:pt>
                <c:pt idx="21">
                  <c:v>94.416034533542188</c:v>
                </c:pt>
                <c:pt idx="22">
                  <c:v>98.695365239613238</c:v>
                </c:pt>
                <c:pt idx="23">
                  <c:v>102.97469594568247</c:v>
                </c:pt>
                <c:pt idx="24">
                  <c:v>107.25402665175352</c:v>
                </c:pt>
                <c:pt idx="25">
                  <c:v>111.53335735782275</c:v>
                </c:pt>
                <c:pt idx="26">
                  <c:v>115.8126880638938</c:v>
                </c:pt>
                <c:pt idx="27">
                  <c:v>120.09201876996303</c:v>
                </c:pt>
                <c:pt idx="28">
                  <c:v>124.37134947603408</c:v>
                </c:pt>
                <c:pt idx="29">
                  <c:v>128.65068018210332</c:v>
                </c:pt>
                <c:pt idx="30">
                  <c:v>132.93001088817437</c:v>
                </c:pt>
                <c:pt idx="31">
                  <c:v>137.2093415942436</c:v>
                </c:pt>
                <c:pt idx="32">
                  <c:v>141.48867230031465</c:v>
                </c:pt>
                <c:pt idx="33">
                  <c:v>145.76800300638388</c:v>
                </c:pt>
                <c:pt idx="34">
                  <c:v>150.04733371245311</c:v>
                </c:pt>
                <c:pt idx="35">
                  <c:v>154.3266644185241</c:v>
                </c:pt>
                <c:pt idx="36">
                  <c:v>154.3266644185241</c:v>
                </c:pt>
                <c:pt idx="37">
                  <c:v>154.3266644185241</c:v>
                </c:pt>
                <c:pt idx="38">
                  <c:v>154.3266644185241</c:v>
                </c:pt>
                <c:pt idx="39">
                  <c:v>154.3266644185241</c:v>
                </c:pt>
                <c:pt idx="40">
                  <c:v>154.3266644185241</c:v>
                </c:pt>
                <c:pt idx="41">
                  <c:v>154.3266644185241</c:v>
                </c:pt>
                <c:pt idx="42">
                  <c:v>154.3266644185241</c:v>
                </c:pt>
                <c:pt idx="43">
                  <c:v>154.3266644185241</c:v>
                </c:pt>
                <c:pt idx="44">
                  <c:v>154.3266644185241</c:v>
                </c:pt>
                <c:pt idx="45">
                  <c:v>154.3266644185241</c:v>
                </c:pt>
              </c:numCache>
            </c:numRef>
          </c:val>
          <c:smooth val="0"/>
          <c:extLst>
            <c:ext xmlns:c16="http://schemas.microsoft.com/office/drawing/2014/chart" uri="{C3380CC4-5D6E-409C-BE32-E72D297353CC}">
              <c16:uniqueId val="{00000003-B3F6-40A5-A97F-D6439DB7BD1C}"/>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B3F6-40A5-A97F-D6439DB7BD1C}"/>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B3F6-40A5-A97F-D6439DB7BD1C}"/>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B3F6-40A5-A97F-D6439DB7BD1C}"/>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B3F6-40A5-A97F-D6439DB7BD1C}"/>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B3F6-40A5-A97F-D6439DB7BD1C}"/>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B3F6-40A5-A97F-D6439DB7BD1C}"/>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B3F6-40A5-A97F-D6439DB7BD1C}"/>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B3F6-40A5-A97F-D6439DB7BD1C}"/>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B3F6-40A5-A97F-D6439DB7BD1C}"/>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1.7581753246753244E-3</c:v>
                </c:pt>
                <c:pt idx="1">
                  <c:v>1.7581753246753244E-3</c:v>
                </c:pt>
                <c:pt idx="2">
                  <c:v>1.7581753246753244E-3</c:v>
                </c:pt>
                <c:pt idx="3">
                  <c:v>1.7581753246753244E-3</c:v>
                </c:pt>
                <c:pt idx="4">
                  <c:v>1.7581753246753244E-3</c:v>
                </c:pt>
                <c:pt idx="5">
                  <c:v>1.7581753246753244E-3</c:v>
                </c:pt>
                <c:pt idx="6">
                  <c:v>1.7581753246753244E-3</c:v>
                </c:pt>
                <c:pt idx="7">
                  <c:v>1.7581753246753244E-3</c:v>
                </c:pt>
                <c:pt idx="8">
                  <c:v>1.7581753246753244E-3</c:v>
                </c:pt>
                <c:pt idx="9">
                  <c:v>1.7581753246753244E-3</c:v>
                </c:pt>
                <c:pt idx="10">
                  <c:v>1.7581753246753244E-3</c:v>
                </c:pt>
                <c:pt idx="11">
                  <c:v>1.7581753246753244E-3</c:v>
                </c:pt>
                <c:pt idx="12">
                  <c:v>1.7581753246753244E-3</c:v>
                </c:pt>
                <c:pt idx="13">
                  <c:v>1.7581753246753244E-3</c:v>
                </c:pt>
                <c:pt idx="14">
                  <c:v>1.7581753246753244E-3</c:v>
                </c:pt>
                <c:pt idx="15">
                  <c:v>1.7581753246753244E-3</c:v>
                </c:pt>
                <c:pt idx="16">
                  <c:v>1.7581753246753244E-3</c:v>
                </c:pt>
                <c:pt idx="17">
                  <c:v>1.7581753246753244E-3</c:v>
                </c:pt>
                <c:pt idx="18">
                  <c:v>1.7581753246753244E-3</c:v>
                </c:pt>
                <c:pt idx="19">
                  <c:v>1.7581753246753244E-3</c:v>
                </c:pt>
                <c:pt idx="20">
                  <c:v>1.7581753246753244E-3</c:v>
                </c:pt>
                <c:pt idx="21">
                  <c:v>1.7581753246753244E-3</c:v>
                </c:pt>
                <c:pt idx="22">
                  <c:v>1.7581753246753244E-3</c:v>
                </c:pt>
                <c:pt idx="23">
                  <c:v>1.7581753246753244E-3</c:v>
                </c:pt>
                <c:pt idx="24">
                  <c:v>1.7581753246753244E-3</c:v>
                </c:pt>
                <c:pt idx="25">
                  <c:v>1.7581753246753244E-3</c:v>
                </c:pt>
                <c:pt idx="26">
                  <c:v>1.7581753246753244E-3</c:v>
                </c:pt>
                <c:pt idx="27">
                  <c:v>1.7581753246753244E-3</c:v>
                </c:pt>
                <c:pt idx="28">
                  <c:v>1.7581753246753244E-3</c:v>
                </c:pt>
                <c:pt idx="29">
                  <c:v>1.7581753246753244E-3</c:v>
                </c:pt>
                <c:pt idx="30">
                  <c:v>1.7581753246753244E-3</c:v>
                </c:pt>
                <c:pt idx="31">
                  <c:v>1.7581753246753244E-3</c:v>
                </c:pt>
                <c:pt idx="32">
                  <c:v>1.7581753246753244E-3</c:v>
                </c:pt>
                <c:pt idx="33">
                  <c:v>1.7581753246753244E-3</c:v>
                </c:pt>
                <c:pt idx="34">
                  <c:v>1.7581753246753244E-3</c:v>
                </c:pt>
                <c:pt idx="35">
                  <c:v>1.7581753246753244E-3</c:v>
                </c:pt>
                <c:pt idx="36">
                  <c:v>1.7581753246753244E-3</c:v>
                </c:pt>
                <c:pt idx="37">
                  <c:v>1.7581753246753244E-3</c:v>
                </c:pt>
                <c:pt idx="38">
                  <c:v>1.7581753246753244E-3</c:v>
                </c:pt>
                <c:pt idx="39">
                  <c:v>1.7581753246753244E-3</c:v>
                </c:pt>
                <c:pt idx="40">
                  <c:v>1.7581753246753244E-3</c:v>
                </c:pt>
                <c:pt idx="41">
                  <c:v>1.7581753246753244E-3</c:v>
                </c:pt>
                <c:pt idx="42">
                  <c:v>1.7581753246753244E-3</c:v>
                </c:pt>
                <c:pt idx="43">
                  <c:v>1.7581753246753244E-3</c:v>
                </c:pt>
                <c:pt idx="44">
                  <c:v>1.7581753246753244E-3</c:v>
                </c:pt>
                <c:pt idx="45">
                  <c:v>1.7581753246753244E-3</c:v>
                </c:pt>
                <c:pt idx="46">
                  <c:v>1.7581753246753244E-3</c:v>
                </c:pt>
              </c:numCache>
            </c:numRef>
          </c:val>
          <c:smooth val="1"/>
          <c:extLst>
            <c:ext xmlns:c16="http://schemas.microsoft.com/office/drawing/2014/chart" uri="{C3380CC4-5D6E-409C-BE32-E72D297353CC}">
              <c16:uniqueId val="{00000000-60FC-4B20-B2A6-80790CF8E6A2}"/>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2.4063975018782803E-2</c:v>
                </c:pt>
                <c:pt idx="1">
                  <c:v>4.6369774712887828E-2</c:v>
                </c:pt>
                <c:pt idx="2">
                  <c:v>6.8675574406995801E-2</c:v>
                </c:pt>
                <c:pt idx="3">
                  <c:v>9.0981374101101326E-2</c:v>
                </c:pt>
                <c:pt idx="4">
                  <c:v>0.11328717379521129</c:v>
                </c:pt>
                <c:pt idx="5">
                  <c:v>0.13559297348931681</c:v>
                </c:pt>
                <c:pt idx="6">
                  <c:v>0.15789877318342624</c:v>
                </c:pt>
                <c:pt idx="7">
                  <c:v>0.18020457287753228</c:v>
                </c:pt>
                <c:pt idx="8">
                  <c:v>0.20251037257164173</c:v>
                </c:pt>
                <c:pt idx="9">
                  <c:v>0.2248161722657458</c:v>
                </c:pt>
                <c:pt idx="10">
                  <c:v>0.24712197195985575</c:v>
                </c:pt>
                <c:pt idx="11">
                  <c:v>0.26942777165396126</c:v>
                </c:pt>
                <c:pt idx="12">
                  <c:v>0.29173357134807071</c:v>
                </c:pt>
                <c:pt idx="13">
                  <c:v>0.31403937104217672</c:v>
                </c:pt>
                <c:pt idx="14">
                  <c:v>0.33634517073628523</c:v>
                </c:pt>
                <c:pt idx="15">
                  <c:v>0.35865097043039074</c:v>
                </c:pt>
                <c:pt idx="16">
                  <c:v>0.37201418205995967</c:v>
                </c:pt>
                <c:pt idx="17">
                  <c:v>0.38537739368952523</c:v>
                </c:pt>
                <c:pt idx="18">
                  <c:v>0.39874060531909156</c:v>
                </c:pt>
                <c:pt idx="19">
                  <c:v>0.41210381694865761</c:v>
                </c:pt>
                <c:pt idx="20">
                  <c:v>0.42546702857822494</c:v>
                </c:pt>
                <c:pt idx="21">
                  <c:v>0.43883024020779049</c:v>
                </c:pt>
                <c:pt idx="22">
                  <c:v>0.45219345183735676</c:v>
                </c:pt>
                <c:pt idx="23">
                  <c:v>0.46555666346692282</c:v>
                </c:pt>
                <c:pt idx="24">
                  <c:v>0.47891987509648953</c:v>
                </c:pt>
                <c:pt idx="25">
                  <c:v>0.49228308672605509</c:v>
                </c:pt>
                <c:pt idx="26">
                  <c:v>0.50564629835562291</c:v>
                </c:pt>
                <c:pt idx="27">
                  <c:v>0.51900950998518647</c:v>
                </c:pt>
                <c:pt idx="28">
                  <c:v>0.5323727216147538</c:v>
                </c:pt>
                <c:pt idx="29">
                  <c:v>0.54573593324431979</c:v>
                </c:pt>
                <c:pt idx="30">
                  <c:v>0.55909914487388712</c:v>
                </c:pt>
                <c:pt idx="31">
                  <c:v>0.57246235650345167</c:v>
                </c:pt>
                <c:pt idx="32">
                  <c:v>0.58582556813301945</c:v>
                </c:pt>
                <c:pt idx="33">
                  <c:v>0.599188779762585</c:v>
                </c:pt>
                <c:pt idx="34">
                  <c:v>0.61255199139215055</c:v>
                </c:pt>
                <c:pt idx="35">
                  <c:v>0.62591520302171832</c:v>
                </c:pt>
                <c:pt idx="36">
                  <c:v>0.63677311165747641</c:v>
                </c:pt>
                <c:pt idx="37">
                  <c:v>0.64763102029323627</c:v>
                </c:pt>
                <c:pt idx="38">
                  <c:v>0.65848892892899491</c:v>
                </c:pt>
                <c:pt idx="39">
                  <c:v>0.66934683756475477</c:v>
                </c:pt>
                <c:pt idx="40">
                  <c:v>0.68020474620051197</c:v>
                </c:pt>
                <c:pt idx="41">
                  <c:v>0.69106265483627227</c:v>
                </c:pt>
                <c:pt idx="42">
                  <c:v>0.70192056347203036</c:v>
                </c:pt>
                <c:pt idx="43">
                  <c:v>0.71277847210778977</c:v>
                </c:pt>
                <c:pt idx="44">
                  <c:v>0.72363638074354841</c:v>
                </c:pt>
                <c:pt idx="45">
                  <c:v>0.73449428937930827</c:v>
                </c:pt>
              </c:numCache>
            </c:numRef>
          </c:val>
          <c:smooth val="0"/>
          <c:extLst>
            <c:ext xmlns:c16="http://schemas.microsoft.com/office/drawing/2014/chart" uri="{C3380CC4-5D6E-409C-BE32-E72D297353CC}">
              <c16:uniqueId val="{00000001-60FC-4B20-B2A6-80790CF8E6A2}"/>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3.6335704227767197E-2</c:v>
                </c:pt>
                <c:pt idx="1">
                  <c:v>7.0913233130857706E-2</c:v>
                </c:pt>
                <c:pt idx="2">
                  <c:v>0.10549076203394912</c:v>
                </c:pt>
                <c:pt idx="3">
                  <c:v>0.14006829093704035</c:v>
                </c:pt>
                <c:pt idx="4">
                  <c:v>0.174645819840137</c:v>
                </c:pt>
                <c:pt idx="5">
                  <c:v>0.20922334874322823</c:v>
                </c:pt>
                <c:pt idx="6">
                  <c:v>0.24380087764632502</c:v>
                </c:pt>
                <c:pt idx="7">
                  <c:v>0.27837840654941609</c:v>
                </c:pt>
                <c:pt idx="8">
                  <c:v>0.31295593545251293</c:v>
                </c:pt>
                <c:pt idx="9">
                  <c:v>0.34753346435559879</c:v>
                </c:pt>
                <c:pt idx="10">
                  <c:v>0.38211099325869546</c:v>
                </c:pt>
                <c:pt idx="11">
                  <c:v>0.4166885221617867</c:v>
                </c:pt>
                <c:pt idx="12">
                  <c:v>0.45126605106488343</c:v>
                </c:pt>
                <c:pt idx="13">
                  <c:v>0.48584357996797456</c:v>
                </c:pt>
                <c:pt idx="14">
                  <c:v>0.52042110887107074</c:v>
                </c:pt>
                <c:pt idx="15">
                  <c:v>0.55499863777416203</c:v>
                </c:pt>
                <c:pt idx="16">
                  <c:v>0.5723270213823437</c:v>
                </c:pt>
                <c:pt idx="17">
                  <c:v>0.58988436731053828</c:v>
                </c:pt>
                <c:pt idx="18">
                  <c:v>0.60765688629793713</c:v>
                </c:pt>
                <c:pt idx="19">
                  <c:v>0.62563124889269095</c:v>
                </c:pt>
                <c:pt idx="20">
                  <c:v>0.64379466646077144</c:v>
                </c:pt>
                <c:pt idx="21">
                  <c:v>0.66213494743606638</c:v>
                </c:pt>
                <c:pt idx="22">
                  <c:v>0.6806405323908532</c:v>
                </c:pt>
                <c:pt idx="23">
                  <c:v>0.69930051149869588</c:v>
                </c:pt>
                <c:pt idx="24">
                  <c:v>0.71810462776304762</c:v>
                </c:pt>
                <c:pt idx="25">
                  <c:v>0.73704326906746342</c:v>
                </c:pt>
                <c:pt idx="26">
                  <c:v>0.75610745172598648</c:v>
                </c:pt>
                <c:pt idx="27">
                  <c:v>0.7752887978170373</c:v>
                </c:pt>
                <c:pt idx="28">
                  <c:v>0.79457950820077272</c:v>
                </c:pt>
                <c:pt idx="29">
                  <c:v>0.81397233276553649</c:v>
                </c:pt>
                <c:pt idx="30">
                  <c:v>0.8334605391344917</c:v>
                </c:pt>
                <c:pt idx="31">
                  <c:v>0.85303788079114473</c:v>
                </c:pt>
                <c:pt idx="32">
                  <c:v>0.87269856535336121</c:v>
                </c:pt>
                <c:pt idx="33">
                  <c:v>0.89243722353548116</c:v>
                </c:pt>
                <c:pt idx="34">
                  <c:v>0.91224887918454056</c:v>
                </c:pt>
                <c:pt idx="35">
                  <c:v>0.932128920653441</c:v>
                </c:pt>
                <c:pt idx="36">
                  <c:v>0.94657708305448141</c:v>
                </c:pt>
                <c:pt idx="37">
                  <c:v>0.96125698546542737</c:v>
                </c:pt>
                <c:pt idx="38">
                  <c:v>0.97616026360735864</c:v>
                </c:pt>
                <c:pt idx="39">
                  <c:v>0.99127849682148972</c:v>
                </c:pt>
                <c:pt idx="40">
                  <c:v>1.0021211975228839</c:v>
                </c:pt>
                <c:pt idx="41">
                  <c:v>1.0021211975228839</c:v>
                </c:pt>
                <c:pt idx="42">
                  <c:v>1.0021211975228839</c:v>
                </c:pt>
                <c:pt idx="43">
                  <c:v>1.0021211975228839</c:v>
                </c:pt>
                <c:pt idx="44">
                  <c:v>1.0021211975228839</c:v>
                </c:pt>
                <c:pt idx="45">
                  <c:v>1.0021211975228839</c:v>
                </c:pt>
              </c:numCache>
            </c:numRef>
          </c:val>
          <c:smooth val="0"/>
          <c:extLst>
            <c:ext xmlns:c16="http://schemas.microsoft.com/office/drawing/2014/chart" uri="{C3380CC4-5D6E-409C-BE32-E72D297353CC}">
              <c16:uniqueId val="{00000002-60FC-4B20-B2A6-80790CF8E6A2}"/>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2.9546037052403499E-2</c:v>
                </c:pt>
                <c:pt idx="1">
                  <c:v>5.7333898780125785E-2</c:v>
                </c:pt>
                <c:pt idx="2">
                  <c:v>8.512176050785987E-2</c:v>
                </c:pt>
                <c:pt idx="3">
                  <c:v>0.11290962223558215</c:v>
                </c:pt>
                <c:pt idx="4">
                  <c:v>0.14069748396331624</c:v>
                </c:pt>
                <c:pt idx="5">
                  <c:v>0.16848534569103854</c:v>
                </c:pt>
                <c:pt idx="6">
                  <c:v>0.19627320741877263</c:v>
                </c:pt>
                <c:pt idx="7">
                  <c:v>0.2240610691464949</c:v>
                </c:pt>
                <c:pt idx="8">
                  <c:v>0.25184893087422899</c:v>
                </c:pt>
                <c:pt idx="9">
                  <c:v>0.27963679260195129</c:v>
                </c:pt>
                <c:pt idx="10">
                  <c:v>0.30742465432968535</c:v>
                </c:pt>
                <c:pt idx="11">
                  <c:v>0.33521251605740765</c:v>
                </c:pt>
                <c:pt idx="12">
                  <c:v>0.36300037778514177</c:v>
                </c:pt>
                <c:pt idx="13">
                  <c:v>0.39078823951286401</c:v>
                </c:pt>
                <c:pt idx="14">
                  <c:v>0.41857610124059813</c:v>
                </c:pt>
                <c:pt idx="15">
                  <c:v>0.44636396296832043</c:v>
                </c:pt>
                <c:pt idx="16">
                  <c:v>0.47415182469605449</c:v>
                </c:pt>
                <c:pt idx="17">
                  <c:v>0.50193968642377673</c:v>
                </c:pt>
                <c:pt idx="18">
                  <c:v>0.52972754815151091</c:v>
                </c:pt>
                <c:pt idx="19">
                  <c:v>0.5575154098792332</c:v>
                </c:pt>
                <c:pt idx="20">
                  <c:v>0.58530327160696727</c:v>
                </c:pt>
                <c:pt idx="21">
                  <c:v>0.61309113333468956</c:v>
                </c:pt>
                <c:pt idx="22">
                  <c:v>0.64087899506242363</c:v>
                </c:pt>
                <c:pt idx="23">
                  <c:v>0.66866685679014592</c:v>
                </c:pt>
                <c:pt idx="24">
                  <c:v>0.69645471851787999</c:v>
                </c:pt>
                <c:pt idx="25">
                  <c:v>0.72424258024560229</c:v>
                </c:pt>
                <c:pt idx="26">
                  <c:v>0.75203044197333635</c:v>
                </c:pt>
                <c:pt idx="27">
                  <c:v>0.77981830370105865</c:v>
                </c:pt>
                <c:pt idx="28">
                  <c:v>0.80760616542879271</c:v>
                </c:pt>
                <c:pt idx="29">
                  <c:v>0.83539402715651501</c:v>
                </c:pt>
                <c:pt idx="30">
                  <c:v>0.86318188888424907</c:v>
                </c:pt>
                <c:pt idx="31">
                  <c:v>0.89096975061197137</c:v>
                </c:pt>
                <c:pt idx="32">
                  <c:v>0.91875761233970554</c:v>
                </c:pt>
                <c:pt idx="33">
                  <c:v>0.94654547406742773</c:v>
                </c:pt>
                <c:pt idx="34">
                  <c:v>0.97433333579515002</c:v>
                </c:pt>
                <c:pt idx="35">
                  <c:v>1.0021211975228839</c:v>
                </c:pt>
                <c:pt idx="36">
                  <c:v>1.0021211975228839</c:v>
                </c:pt>
                <c:pt idx="37">
                  <c:v>1.0021211975228839</c:v>
                </c:pt>
                <c:pt idx="38">
                  <c:v>1.0021211975228839</c:v>
                </c:pt>
                <c:pt idx="39">
                  <c:v>1.0021211975228839</c:v>
                </c:pt>
                <c:pt idx="40">
                  <c:v>1.0021211975228839</c:v>
                </c:pt>
                <c:pt idx="41">
                  <c:v>1.0021211975228839</c:v>
                </c:pt>
                <c:pt idx="42">
                  <c:v>1.0021211975228839</c:v>
                </c:pt>
                <c:pt idx="43">
                  <c:v>1.0021211975228839</c:v>
                </c:pt>
                <c:pt idx="44">
                  <c:v>1.0021211975228839</c:v>
                </c:pt>
                <c:pt idx="45">
                  <c:v>1.0021211975228839</c:v>
                </c:pt>
              </c:numCache>
            </c:numRef>
          </c:val>
          <c:smooth val="0"/>
          <c:extLst>
            <c:ext xmlns:c16="http://schemas.microsoft.com/office/drawing/2014/chart" uri="{C3380CC4-5D6E-409C-BE32-E72D297353CC}">
              <c16:uniqueId val="{00000003-60FC-4B20-B2A6-80790CF8E6A2}"/>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60FC-4B20-B2A6-80790CF8E6A2}"/>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60FC-4B20-B2A6-80790CF8E6A2}"/>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60FC-4B20-B2A6-80790CF8E6A2}"/>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60FC-4B20-B2A6-80790CF8E6A2}"/>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60FC-4B20-B2A6-80790CF8E6A2}"/>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60FC-4B20-B2A6-80790CF8E6A2}"/>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60FC-4B20-B2A6-80790CF8E6A2}"/>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60FC-4B20-B2A6-80790CF8E6A2}"/>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60FC-4B20-B2A6-80790CF8E6A2}"/>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2750825189099107"/>
          <c:w val="0.2367494944279506"/>
          <c:h val="0.4282056416450814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11.717626405620869</c:v>
                </c:pt>
                <c:pt idx="1">
                  <c:v>23.435252811240456</c:v>
                </c:pt>
                <c:pt idx="2">
                  <c:v>35.152879216861578</c:v>
                </c:pt>
                <c:pt idx="3">
                  <c:v>46.870505622481424</c:v>
                </c:pt>
                <c:pt idx="4">
                  <c:v>58.588132028103601</c:v>
                </c:pt>
                <c:pt idx="5">
                  <c:v>70.305758433723426</c:v>
                </c:pt>
                <c:pt idx="6">
                  <c:v>82.02338483934534</c:v>
                </c:pt>
                <c:pt idx="7">
                  <c:v>93.741011244965449</c:v>
                </c:pt>
                <c:pt idx="8">
                  <c:v>105.45863765058735</c:v>
                </c:pt>
                <c:pt idx="9">
                  <c:v>117.17626405620646</c:v>
                </c:pt>
                <c:pt idx="10">
                  <c:v>128.89389046182859</c:v>
                </c:pt>
                <c:pt idx="11">
                  <c:v>140.61151686744844</c:v>
                </c:pt>
                <c:pt idx="12">
                  <c:v>152.32914327307031</c:v>
                </c:pt>
                <c:pt idx="13">
                  <c:v>164.04676967869045</c:v>
                </c:pt>
                <c:pt idx="14">
                  <c:v>175.76439608431187</c:v>
                </c:pt>
                <c:pt idx="15">
                  <c:v>187.48202248993169</c:v>
                </c:pt>
                <c:pt idx="16">
                  <c:v>194.50195110051197</c:v>
                </c:pt>
                <c:pt idx="17">
                  <c:v>201.52187971109043</c:v>
                </c:pt>
                <c:pt idx="18">
                  <c:v>208.54180832166924</c:v>
                </c:pt>
                <c:pt idx="19">
                  <c:v>215.56173693224798</c:v>
                </c:pt>
                <c:pt idx="20">
                  <c:v>222.58166554282732</c:v>
                </c:pt>
                <c:pt idx="21">
                  <c:v>42.292588141494235</c:v>
                </c:pt>
                <c:pt idx="22">
                  <c:v>49.312516752093643</c:v>
                </c:pt>
                <c:pt idx="23">
                  <c:v>56.332445362647576</c:v>
                </c:pt>
                <c:pt idx="24">
                  <c:v>63.352373973247296</c:v>
                </c:pt>
                <c:pt idx="25">
                  <c:v>70.372302583788439</c:v>
                </c:pt>
                <c:pt idx="26">
                  <c:v>77.392231194405383</c:v>
                </c:pt>
                <c:pt idx="27">
                  <c:v>84.412159804949937</c:v>
                </c:pt>
                <c:pt idx="28">
                  <c:v>91.432088415557928</c:v>
                </c:pt>
                <c:pt idx="29">
                  <c:v>98.452017026108024</c:v>
                </c:pt>
                <c:pt idx="30">
                  <c:v>105.47194563673253</c:v>
                </c:pt>
                <c:pt idx="31">
                  <c:v>112.49187424726097</c:v>
                </c:pt>
                <c:pt idx="32">
                  <c:v>119.5118028578778</c:v>
                </c:pt>
                <c:pt idx="33">
                  <c:v>126.53173146842337</c:v>
                </c:pt>
                <c:pt idx="34">
                  <c:v>133.5516600790304</c:v>
                </c:pt>
                <c:pt idx="35">
                  <c:v>140.57158868958953</c:v>
                </c:pt>
                <c:pt idx="36">
                  <c:v>-41.03356815818114</c:v>
                </c:pt>
                <c:pt idx="37">
                  <c:v>39.764081923787671</c:v>
                </c:pt>
                <c:pt idx="38">
                  <c:v>45.467931087908028</c:v>
                </c:pt>
                <c:pt idx="39">
                  <c:v>51.171780252039639</c:v>
                </c:pt>
                <c:pt idx="40">
                  <c:v>56.875629416119978</c:v>
                </c:pt>
                <c:pt idx="41">
                  <c:v>-124.72952743164745</c:v>
                </c:pt>
                <c:pt idx="42">
                  <c:v>-119.0256782675288</c:v>
                </c:pt>
                <c:pt idx="43">
                  <c:v>-113.3218291034143</c:v>
                </c:pt>
                <c:pt idx="44">
                  <c:v>-107.61797993930355</c:v>
                </c:pt>
                <c:pt idx="45">
                  <c:v>-101.91413077518479</c:v>
                </c:pt>
              </c:numCache>
            </c:numRef>
          </c:val>
          <c:smooth val="0"/>
          <c:extLst>
            <c:ext xmlns:c16="http://schemas.microsoft.com/office/drawing/2014/chart" uri="{C3380CC4-5D6E-409C-BE32-E72D297353CC}">
              <c16:uniqueId val="{00000000-21E8-4AA8-AF44-5B89DBC50BEF}"/>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18.164180225424559</c:v>
                </c:pt>
                <c:pt idx="1">
                  <c:v>36.328360450848393</c:v>
                </c:pt>
                <c:pt idx="2">
                  <c:v>54.492540676272711</c:v>
                </c:pt>
                <c:pt idx="3">
                  <c:v>72.656720901696929</c:v>
                </c:pt>
                <c:pt idx="4">
                  <c:v>90.820901127124003</c:v>
                </c:pt>
                <c:pt idx="5">
                  <c:v>108.98508135254821</c:v>
                </c:pt>
                <c:pt idx="6">
                  <c:v>127.14926157797535</c:v>
                </c:pt>
                <c:pt idx="7">
                  <c:v>145.31344180339951</c:v>
                </c:pt>
                <c:pt idx="8">
                  <c:v>163.47762202882663</c:v>
                </c:pt>
                <c:pt idx="9">
                  <c:v>181.64180225424803</c:v>
                </c:pt>
                <c:pt idx="10">
                  <c:v>199.80598247967512</c:v>
                </c:pt>
                <c:pt idx="11">
                  <c:v>217.97016270509934</c:v>
                </c:pt>
                <c:pt idx="12">
                  <c:v>236.13434293052649</c:v>
                </c:pt>
                <c:pt idx="13">
                  <c:v>254.29852315595068</c:v>
                </c:pt>
                <c:pt idx="14">
                  <c:v>272.46270338137742</c:v>
                </c:pt>
                <c:pt idx="15">
                  <c:v>290.62688360680164</c:v>
                </c:pt>
                <c:pt idx="16">
                  <c:v>299.7297863548971</c:v>
                </c:pt>
                <c:pt idx="17">
                  <c:v>308.95296701114501</c:v>
                </c:pt>
                <c:pt idx="18">
                  <c:v>318.28918183585529</c:v>
                </c:pt>
                <c:pt idx="19">
                  <c:v>327.73142863501977</c:v>
                </c:pt>
                <c:pt idx="20">
                  <c:v>337.27298931568362</c:v>
                </c:pt>
                <c:pt idx="21">
                  <c:v>56.548778822668453</c:v>
                </c:pt>
                <c:pt idx="22">
                  <c:v>66.270086011453486</c:v>
                </c:pt>
                <c:pt idx="23">
                  <c:v>76.072499147082112</c:v>
                </c:pt>
                <c:pt idx="24">
                  <c:v>85.950630050040786</c:v>
                </c:pt>
                <c:pt idx="25">
                  <c:v>95.899429307518631</c:v>
                </c:pt>
                <c:pt idx="26">
                  <c:v>105.91417763241822</c:v>
                </c:pt>
                <c:pt idx="27">
                  <c:v>115.99047395593345</c:v>
                </c:pt>
                <c:pt idx="28">
                  <c:v>126.12422125379106</c:v>
                </c:pt>
                <c:pt idx="29">
                  <c:v>136.31161091544067</c:v>
                </c:pt>
                <c:pt idx="30">
                  <c:v>146.54910630590774</c:v>
                </c:pt>
                <c:pt idx="31">
                  <c:v>156.83342602058877</c:v>
                </c:pt>
                <c:pt idx="32">
                  <c:v>167.16152722023736</c:v>
                </c:pt>
                <c:pt idx="33">
                  <c:v>177.53058932503143</c:v>
                </c:pt>
                <c:pt idx="34">
                  <c:v>187.93799827503938</c:v>
                </c:pt>
                <c:pt idx="35">
                  <c:v>198.38133149126168</c:v>
                </c:pt>
                <c:pt idx="36">
                  <c:v>-84.38747690920286</c:v>
                </c:pt>
                <c:pt idx="37">
                  <c:v>68.1707778287427</c:v>
                </c:pt>
                <c:pt idx="38">
                  <c:v>74.077059724793287</c:v>
                </c:pt>
                <c:pt idx="39">
                  <c:v>80.212054154620773</c:v>
                </c:pt>
                <c:pt idx="40">
                  <c:v>84.212968347619721</c:v>
                </c:pt>
                <c:pt idx="41">
                  <c:v>-207.73326795078071</c:v>
                </c:pt>
                <c:pt idx="42">
                  <c:v>-209.21844711764879</c:v>
                </c:pt>
                <c:pt idx="43">
                  <c:v>-210.60655803553198</c:v>
                </c:pt>
                <c:pt idx="44">
                  <c:v>-211.90305561645641</c:v>
                </c:pt>
                <c:pt idx="45">
                  <c:v>-213.11342188371952</c:v>
                </c:pt>
              </c:numCache>
            </c:numRef>
          </c:val>
          <c:smooth val="0"/>
          <c:extLst>
            <c:ext xmlns:c16="http://schemas.microsoft.com/office/drawing/2014/chart" uri="{C3380CC4-5D6E-409C-BE32-E72D297353CC}">
              <c16:uniqueId val="{00000001-21E8-4AA8-AF44-5B89DBC50BEF}"/>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14.597449398892659</c:v>
                </c:pt>
                <c:pt idx="1">
                  <c:v>29.194898797782216</c:v>
                </c:pt>
                <c:pt idx="2">
                  <c:v>43.792348196677992</c:v>
                </c:pt>
                <c:pt idx="3">
                  <c:v>58.389797595567558</c:v>
                </c:pt>
                <c:pt idx="4">
                  <c:v>72.987246994463334</c:v>
                </c:pt>
                <c:pt idx="5">
                  <c:v>87.584696393352885</c:v>
                </c:pt>
                <c:pt idx="6">
                  <c:v>102.18214579224866</c:v>
                </c:pt>
                <c:pt idx="7">
                  <c:v>116.77959519113821</c:v>
                </c:pt>
                <c:pt idx="8">
                  <c:v>131.37704459003399</c:v>
                </c:pt>
                <c:pt idx="9">
                  <c:v>145.97449398892354</c:v>
                </c:pt>
                <c:pt idx="10">
                  <c:v>160.57194338781932</c:v>
                </c:pt>
                <c:pt idx="11">
                  <c:v>175.16939278670884</c:v>
                </c:pt>
                <c:pt idx="12">
                  <c:v>189.76684218560465</c:v>
                </c:pt>
                <c:pt idx="13">
                  <c:v>204.3642915844942</c:v>
                </c:pt>
                <c:pt idx="14">
                  <c:v>218.96174098338994</c:v>
                </c:pt>
                <c:pt idx="15">
                  <c:v>233.55919038227952</c:v>
                </c:pt>
                <c:pt idx="16">
                  <c:v>248.15663978117527</c:v>
                </c:pt>
                <c:pt idx="17">
                  <c:v>262.75408918006485</c:v>
                </c:pt>
                <c:pt idx="18">
                  <c:v>277.35153857896063</c:v>
                </c:pt>
                <c:pt idx="19">
                  <c:v>291.94898797785021</c:v>
                </c:pt>
                <c:pt idx="20">
                  <c:v>306.54643737674593</c:v>
                </c:pt>
                <c:pt idx="21">
                  <c:v>87.800234864684796</c:v>
                </c:pt>
                <c:pt idx="22">
                  <c:v>102.39768426363008</c:v>
                </c:pt>
                <c:pt idx="23">
                  <c:v>116.99513366242053</c:v>
                </c:pt>
                <c:pt idx="24">
                  <c:v>131.59258306141544</c:v>
                </c:pt>
                <c:pt idx="25">
                  <c:v>146.19003246020588</c:v>
                </c:pt>
                <c:pt idx="26">
                  <c:v>160.78748185920074</c:v>
                </c:pt>
                <c:pt idx="27">
                  <c:v>175.38493125799118</c:v>
                </c:pt>
                <c:pt idx="28">
                  <c:v>189.98238065698609</c:v>
                </c:pt>
                <c:pt idx="29">
                  <c:v>204.57983005577648</c:v>
                </c:pt>
                <c:pt idx="30">
                  <c:v>219.17727945477139</c:v>
                </c:pt>
                <c:pt idx="31">
                  <c:v>233.77472885356178</c:v>
                </c:pt>
                <c:pt idx="32">
                  <c:v>248.37217825255675</c:v>
                </c:pt>
                <c:pt idx="33">
                  <c:v>262.96962765134714</c:v>
                </c:pt>
                <c:pt idx="34">
                  <c:v>277.56707705033591</c:v>
                </c:pt>
                <c:pt idx="35">
                  <c:v>292.16452644913221</c:v>
                </c:pt>
                <c:pt idx="36">
                  <c:v>58.820874538280805</c:v>
                </c:pt>
                <c:pt idx="37">
                  <c:v>58.820874538231124</c:v>
                </c:pt>
                <c:pt idx="38">
                  <c:v>58.820874538231124</c:v>
                </c:pt>
                <c:pt idx="39">
                  <c:v>58.820874538231124</c:v>
                </c:pt>
                <c:pt idx="40">
                  <c:v>58.820874538231124</c:v>
                </c:pt>
                <c:pt idx="41">
                  <c:v>-174.5227773727197</c:v>
                </c:pt>
                <c:pt idx="42">
                  <c:v>-174.52277737267002</c:v>
                </c:pt>
                <c:pt idx="43">
                  <c:v>-174.52277737276927</c:v>
                </c:pt>
                <c:pt idx="44">
                  <c:v>-174.52277737267002</c:v>
                </c:pt>
                <c:pt idx="45">
                  <c:v>-174.52277737276927</c:v>
                </c:pt>
              </c:numCache>
            </c:numRef>
          </c:val>
          <c:smooth val="0"/>
          <c:extLst>
            <c:ext xmlns:c16="http://schemas.microsoft.com/office/drawing/2014/chart" uri="{C3380CC4-5D6E-409C-BE32-E72D297353CC}">
              <c16:uniqueId val="{00000002-21E8-4AA8-AF44-5B89DBC50BEF}"/>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21E8-4AA8-AF44-5B89DBC50BEF}"/>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21E8-4AA8-AF44-5B89DBC50BE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1E8-4AA8-AF44-5B89DBC50BE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1E8-4AA8-AF44-5B89DBC50BE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1E8-4AA8-AF44-5B89DBC50BE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1E8-4AA8-AF44-5B89DBC50BE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1E8-4AA8-AF44-5B89DBC50BE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1E8-4AA8-AF44-5B89DBC50BE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1E8-4AA8-AF44-5B89DBC50BE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1E8-4AA8-AF44-5B89DBC50BEF}"/>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81935529361474291"/>
          <c:y val="0.27213999918663323"/>
          <c:w val="0.16385598714950053"/>
          <c:h val="0.36178959453667814"/>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(Perennial Biomass vs. Conventional Practice)</c:v>
            </c:pt>
          </c:strCache>
        </c:strRef>
      </c:tx>
      <c:layout>
        <c:manualLayout>
          <c:xMode val="edge"/>
          <c:yMode val="edge"/>
          <c:x val="0.14244801731287698"/>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2.0593645290742568</c:v>
                </c:pt>
                <c:pt idx="1">
                  <c:v>4.118729058148288</c:v>
                </c:pt>
                <c:pt idx="2">
                  <c:v>6.1780935872225902</c:v>
                </c:pt>
                <c:pt idx="3">
                  <c:v>8.2374581162966667</c:v>
                </c:pt>
                <c:pt idx="4">
                  <c:v>10.296822645371151</c:v>
                </c:pt>
                <c:pt idx="5">
                  <c:v>12.356187174445227</c:v>
                </c:pt>
                <c:pt idx="6">
                  <c:v>14.415551703519665</c:v>
                </c:pt>
                <c:pt idx="7">
                  <c:v>16.474916232593788</c:v>
                </c:pt>
                <c:pt idx="8">
                  <c:v>18.534280761668228</c:v>
                </c:pt>
                <c:pt idx="9">
                  <c:v>20.593645290742174</c:v>
                </c:pt>
                <c:pt idx="10">
                  <c:v>22.653009819816656</c:v>
                </c:pt>
                <c:pt idx="11">
                  <c:v>24.712374348890737</c:v>
                </c:pt>
                <c:pt idx="12">
                  <c:v>26.771738877965173</c:v>
                </c:pt>
                <c:pt idx="13">
                  <c:v>28.831103407039294</c:v>
                </c:pt>
                <c:pt idx="14">
                  <c:v>30.890467936113644</c:v>
                </c:pt>
                <c:pt idx="15">
                  <c:v>32.949832465187718</c:v>
                </c:pt>
                <c:pt idx="16">
                  <c:v>34.183579939021477</c:v>
                </c:pt>
                <c:pt idx="17">
                  <c:v>35.417327412854924</c:v>
                </c:pt>
                <c:pt idx="18">
                  <c:v>36.651074886688441</c:v>
                </c:pt>
                <c:pt idx="19">
                  <c:v>37.88482236052193</c:v>
                </c:pt>
                <c:pt idx="20">
                  <c:v>39.118569834355533</c:v>
                </c:pt>
                <c:pt idx="21">
                  <c:v>40.352317308188972</c:v>
                </c:pt>
                <c:pt idx="22">
                  <c:v>41.586064782022483</c:v>
                </c:pt>
                <c:pt idx="23">
                  <c:v>42.819812255855972</c:v>
                </c:pt>
                <c:pt idx="24">
                  <c:v>44.053559729689532</c:v>
                </c:pt>
                <c:pt idx="25">
                  <c:v>45.287307203522971</c:v>
                </c:pt>
                <c:pt idx="26">
                  <c:v>46.521054677356624</c:v>
                </c:pt>
                <c:pt idx="27">
                  <c:v>47.754802151189885</c:v>
                </c:pt>
                <c:pt idx="28">
                  <c:v>48.988549625023488</c:v>
                </c:pt>
                <c:pt idx="29">
                  <c:v>50.222297098856977</c:v>
                </c:pt>
                <c:pt idx="30">
                  <c:v>51.45604457269058</c:v>
                </c:pt>
                <c:pt idx="31">
                  <c:v>52.689792046523934</c:v>
                </c:pt>
                <c:pt idx="32">
                  <c:v>53.923539520357579</c:v>
                </c:pt>
                <c:pt idx="33">
                  <c:v>55.157286994191026</c:v>
                </c:pt>
                <c:pt idx="34">
                  <c:v>56.391034468024465</c:v>
                </c:pt>
                <c:pt idx="35">
                  <c:v>57.624781941858117</c:v>
                </c:pt>
                <c:pt idx="36">
                  <c:v>58.627229386516028</c:v>
                </c:pt>
                <c:pt idx="37">
                  <c:v>59.629676831174102</c:v>
                </c:pt>
                <c:pt idx="38">
                  <c:v>60.632124275832069</c:v>
                </c:pt>
                <c:pt idx="39">
                  <c:v>61.634571720490143</c:v>
                </c:pt>
                <c:pt idx="40">
                  <c:v>62.637019165147969</c:v>
                </c:pt>
                <c:pt idx="41">
                  <c:v>63.639466609806092</c:v>
                </c:pt>
                <c:pt idx="42">
                  <c:v>64.64191405446401</c:v>
                </c:pt>
                <c:pt idx="43">
                  <c:v>65.644361499122041</c:v>
                </c:pt>
                <c:pt idx="44">
                  <c:v>66.646808943780002</c:v>
                </c:pt>
                <c:pt idx="45">
                  <c:v>67.649256388438076</c:v>
                </c:pt>
              </c:numCache>
            </c:numRef>
          </c:val>
          <c:smooth val="0"/>
          <c:extLst>
            <c:ext xmlns:c16="http://schemas.microsoft.com/office/drawing/2014/chart" uri="{C3380CC4-5D6E-409C-BE32-E72D297353CC}">
              <c16:uniqueId val="{00000000-EFC2-45A0-B17E-1C3EB5D9A28A}"/>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1.1281390643268479</c:v>
                </c:pt>
                <c:pt idx="1">
                  <c:v>2.2562781286535709</c:v>
                </c:pt>
                <c:pt idx="2">
                  <c:v>3.3844171929804441</c:v>
                </c:pt>
                <c:pt idx="3">
                  <c:v>4.5125562573071925</c:v>
                </c:pt>
                <c:pt idx="4">
                  <c:v>5.6406953216341655</c:v>
                </c:pt>
                <c:pt idx="5">
                  <c:v>6.7688343859609148</c:v>
                </c:pt>
                <c:pt idx="6">
                  <c:v>7.8969734502878621</c:v>
                </c:pt>
                <c:pt idx="7">
                  <c:v>9.0251125146146354</c:v>
                </c:pt>
                <c:pt idx="8">
                  <c:v>10.153251578941582</c:v>
                </c:pt>
                <c:pt idx="9">
                  <c:v>11.281390643268256</c:v>
                </c:pt>
                <c:pt idx="10">
                  <c:v>12.40952970759523</c:v>
                </c:pt>
                <c:pt idx="11">
                  <c:v>13.537668771921979</c:v>
                </c:pt>
                <c:pt idx="12">
                  <c:v>14.665807836248923</c:v>
                </c:pt>
                <c:pt idx="13">
                  <c:v>15.793946900575699</c:v>
                </c:pt>
                <c:pt idx="14">
                  <c:v>16.922085964902596</c:v>
                </c:pt>
                <c:pt idx="15">
                  <c:v>18.050225029229349</c:v>
                </c:pt>
                <c:pt idx="16">
                  <c:v>18.726083383151806</c:v>
                </c:pt>
                <c:pt idx="17">
                  <c:v>19.401941737074093</c:v>
                </c:pt>
                <c:pt idx="18">
                  <c:v>20.077800090996419</c:v>
                </c:pt>
                <c:pt idx="19">
                  <c:v>20.753658444918731</c:v>
                </c:pt>
                <c:pt idx="20">
                  <c:v>21.429516798841107</c:v>
                </c:pt>
                <c:pt idx="21">
                  <c:v>22.105375152763393</c:v>
                </c:pt>
                <c:pt idx="22">
                  <c:v>22.781233506685719</c:v>
                </c:pt>
                <c:pt idx="23">
                  <c:v>23.457091860608028</c:v>
                </c:pt>
                <c:pt idx="24">
                  <c:v>24.132950214530375</c:v>
                </c:pt>
                <c:pt idx="25">
                  <c:v>24.808808568452662</c:v>
                </c:pt>
                <c:pt idx="26">
                  <c:v>25.484666922375062</c:v>
                </c:pt>
                <c:pt idx="27">
                  <c:v>26.16052527629725</c:v>
                </c:pt>
                <c:pt idx="28">
                  <c:v>26.836383630219622</c:v>
                </c:pt>
                <c:pt idx="29">
                  <c:v>27.512241984141934</c:v>
                </c:pt>
                <c:pt idx="30">
                  <c:v>28.188100338064309</c:v>
                </c:pt>
                <c:pt idx="31">
                  <c:v>28.863958691986547</c:v>
                </c:pt>
                <c:pt idx="32">
                  <c:v>29.539817045908944</c:v>
                </c:pt>
                <c:pt idx="33">
                  <c:v>30.21567539983123</c:v>
                </c:pt>
                <c:pt idx="34">
                  <c:v>30.891533753753517</c:v>
                </c:pt>
                <c:pt idx="35">
                  <c:v>31.567392107675914</c:v>
                </c:pt>
                <c:pt idx="36">
                  <c:v>32.116542151918729</c:v>
                </c:pt>
                <c:pt idx="37">
                  <c:v>32.665692196161636</c:v>
                </c:pt>
                <c:pt idx="38">
                  <c:v>33.214842240404479</c:v>
                </c:pt>
                <c:pt idx="39">
                  <c:v>33.763992284647387</c:v>
                </c:pt>
                <c:pt idx="40">
                  <c:v>34.313142328890159</c:v>
                </c:pt>
                <c:pt idx="41">
                  <c:v>34.862292373133087</c:v>
                </c:pt>
                <c:pt idx="42">
                  <c:v>35.411442417375909</c:v>
                </c:pt>
                <c:pt idx="43">
                  <c:v>35.960592461618788</c:v>
                </c:pt>
                <c:pt idx="44">
                  <c:v>36.509742505861631</c:v>
                </c:pt>
                <c:pt idx="45">
                  <c:v>37.058892550104538</c:v>
                </c:pt>
              </c:numCache>
            </c:numRef>
          </c:val>
          <c:smooth val="0"/>
          <c:extLst>
            <c:ext xmlns:c16="http://schemas.microsoft.com/office/drawing/2014/chart" uri="{C3380CC4-5D6E-409C-BE32-E72D297353CC}">
              <c16:uniqueId val="{00000001-EFC2-45A0-B17E-1C3EB5D9A28A}"/>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3.1923417901434061</c:v>
                </c:pt>
                <c:pt idx="1">
                  <c:v>6.3846835802866853</c:v>
                </c:pt>
                <c:pt idx="2">
                  <c:v>9.5770253704300483</c:v>
                </c:pt>
                <c:pt idx="3">
                  <c:v>12.769367160573395</c:v>
                </c:pt>
                <c:pt idx="4">
                  <c:v>15.961708950717243</c:v>
                </c:pt>
                <c:pt idx="5">
                  <c:v>19.154050740860587</c:v>
                </c:pt>
                <c:pt idx="6">
                  <c:v>22.346392531004447</c:v>
                </c:pt>
                <c:pt idx="7">
                  <c:v>25.538734321147782</c:v>
                </c:pt>
                <c:pt idx="8">
                  <c:v>28.731076111291642</c:v>
                </c:pt>
                <c:pt idx="9">
                  <c:v>31.923417901434494</c:v>
                </c:pt>
                <c:pt idx="10">
                  <c:v>35.11575969157834</c:v>
                </c:pt>
                <c:pt idx="11">
                  <c:v>38.308101481721685</c:v>
                </c:pt>
                <c:pt idx="12">
                  <c:v>41.500443271865549</c:v>
                </c:pt>
                <c:pt idx="13">
                  <c:v>44.69278506200888</c:v>
                </c:pt>
                <c:pt idx="14">
                  <c:v>47.885126852152688</c:v>
                </c:pt>
                <c:pt idx="15">
                  <c:v>51.077468642296033</c:v>
                </c:pt>
                <c:pt idx="16">
                  <c:v>52.677297343273217</c:v>
                </c:pt>
                <c:pt idx="17">
                  <c:v>54.298264801290955</c:v>
                </c:pt>
                <c:pt idx="18">
                  <c:v>55.939097934236933</c:v>
                </c:pt>
                <c:pt idx="19">
                  <c:v>57.598566111481148</c:v>
                </c:pt>
                <c:pt idx="20">
                  <c:v>59.275488632952118</c:v>
                </c:pt>
                <c:pt idx="21">
                  <c:v>60.968739922380472</c:v>
                </c:pt>
                <c:pt idx="22">
                  <c:v>62.67725276515138</c:v>
                </c:pt>
                <c:pt idx="23">
                  <c:v>64.400019920552197</c:v>
                </c:pt>
                <c:pt idx="24">
                  <c:v>66.136094419850437</c:v>
                </c:pt>
                <c:pt idx="25">
                  <c:v>67.884588832336235</c:v>
                </c:pt>
                <c:pt idx="26">
                  <c:v>69.644673746625429</c:v>
                </c:pt>
                <c:pt idx="27">
                  <c:v>71.415575678029498</c:v>
                </c:pt>
                <c:pt idx="28">
                  <c:v>73.196574577405599</c:v>
                </c:pt>
                <c:pt idx="29">
                  <c:v>74.987001084184655</c:v>
                </c:pt>
                <c:pt idx="30">
                  <c:v>76.786233637237103</c:v>
                </c:pt>
                <c:pt idx="31">
                  <c:v>78.593695532088134</c:v>
                </c:pt>
                <c:pt idx="32">
                  <c:v>80.408851991842511</c:v>
                </c:pt>
                <c:pt idx="33">
                  <c:v>82.231207301637454</c:v>
                </c:pt>
                <c:pt idx="34">
                  <c:v>84.060302042261554</c:v>
                </c:pt>
                <c:pt idx="35">
                  <c:v>85.895710447206298</c:v>
                </c:pt>
                <c:pt idx="36">
                  <c:v>87.229625104696353</c:v>
                </c:pt>
                <c:pt idx="37">
                  <c:v>88.584934967151554</c:v>
                </c:pt>
                <c:pt idx="38">
                  <c:v>89.960867809430624</c:v>
                </c:pt>
                <c:pt idx="39">
                  <c:v>91.356646201167834</c:v>
                </c:pt>
                <c:pt idx="40">
                  <c:v>92.357689585849442</c:v>
                </c:pt>
                <c:pt idx="41">
                  <c:v>92.357689585849442</c:v>
                </c:pt>
                <c:pt idx="42">
                  <c:v>92.357689585849442</c:v>
                </c:pt>
                <c:pt idx="43">
                  <c:v>92.357689585849442</c:v>
                </c:pt>
                <c:pt idx="44">
                  <c:v>92.357689585849442</c:v>
                </c:pt>
                <c:pt idx="45">
                  <c:v>92.357689585849442</c:v>
                </c:pt>
              </c:numCache>
            </c:numRef>
          </c:val>
          <c:smooth val="0"/>
          <c:extLst>
            <c:ext xmlns:c16="http://schemas.microsoft.com/office/drawing/2014/chart" uri="{C3380CC4-5D6E-409C-BE32-E72D297353CC}">
              <c16:uniqueId val="{00000002-EFC2-45A0-B17E-1C3EB5D9A28A}"/>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1.7487945573981554</c:v>
                </c:pt>
                <c:pt idx="1">
                  <c:v>3.4975891147962419</c:v>
                </c:pt>
                <c:pt idx="2">
                  <c:v>5.2463836721943737</c:v>
                </c:pt>
                <c:pt idx="3">
                  <c:v>6.9951782295924971</c:v>
                </c:pt>
                <c:pt idx="4">
                  <c:v>8.743972786990895</c:v>
                </c:pt>
                <c:pt idx="5">
                  <c:v>10.492767344389017</c:v>
                </c:pt>
                <c:pt idx="6">
                  <c:v>12.241561901787422</c:v>
                </c:pt>
                <c:pt idx="7">
                  <c:v>13.990356459185538</c:v>
                </c:pt>
                <c:pt idx="8">
                  <c:v>15.739151016583943</c:v>
                </c:pt>
                <c:pt idx="9">
                  <c:v>17.487945573981794</c:v>
                </c:pt>
                <c:pt idx="10">
                  <c:v>19.236740131380191</c:v>
                </c:pt>
                <c:pt idx="11">
                  <c:v>20.985534688778312</c:v>
                </c:pt>
                <c:pt idx="12">
                  <c:v>22.734329246176717</c:v>
                </c:pt>
                <c:pt idx="13">
                  <c:v>24.483123803574834</c:v>
                </c:pt>
                <c:pt idx="14">
                  <c:v>26.231918360973207</c:v>
                </c:pt>
                <c:pt idx="15">
                  <c:v>27.980712918371328</c:v>
                </c:pt>
                <c:pt idx="16">
                  <c:v>28.857113977204246</c:v>
                </c:pt>
                <c:pt idx="17">
                  <c:v>29.745095043972668</c:v>
                </c:pt>
                <c:pt idx="18">
                  <c:v>30.643958712441446</c:v>
                </c:pt>
                <c:pt idx="19">
                  <c:v>31.553030831692734</c:v>
                </c:pt>
                <c:pt idx="20">
                  <c:v>32.471664603233556</c:v>
                </c:pt>
                <c:pt idx="21">
                  <c:v>33.399243425903009</c:v>
                </c:pt>
                <c:pt idx="22">
                  <c:v>34.335182669597963</c:v>
                </c:pt>
                <c:pt idx="23">
                  <c:v>35.278930558477342</c:v>
                </c:pt>
                <c:pt idx="24">
                  <c:v>36.229968334252</c:v>
                </c:pt>
                <c:pt idx="25">
                  <c:v>37.187809854115983</c:v>
                </c:pt>
                <c:pt idx="26">
                  <c:v>38.152000758790152</c:v>
                </c:pt>
                <c:pt idx="27">
                  <c:v>39.12211732616003</c:v>
                </c:pt>
                <c:pt idx="28">
                  <c:v>40.097765106600576</c:v>
                </c:pt>
                <c:pt idx="29">
                  <c:v>41.078577418159476</c:v>
                </c:pt>
                <c:pt idx="30">
                  <c:v>42.064213763862412</c:v>
                </c:pt>
                <c:pt idx="31">
                  <c:v>43.054358219628234</c:v>
                </c:pt>
                <c:pt idx="32">
                  <c:v>44.04871782969429</c:v>
                </c:pt>
                <c:pt idx="33">
                  <c:v>45.047021036842999</c:v>
                </c:pt>
                <c:pt idx="34">
                  <c:v>46.04901616695259</c:v>
                </c:pt>
                <c:pt idx="35">
                  <c:v>47.054469981165262</c:v>
                </c:pt>
                <c:pt idx="36">
                  <c:v>47.785200850978363</c:v>
                </c:pt>
                <c:pt idx="37">
                  <c:v>48.527652213287915</c:v>
                </c:pt>
                <c:pt idx="38">
                  <c:v>49.281401035971129</c:v>
                </c:pt>
                <c:pt idx="39">
                  <c:v>50.046021435434788</c:v>
                </c:pt>
                <c:pt idx="40">
                  <c:v>50.594402322549008</c:v>
                </c:pt>
                <c:pt idx="41">
                  <c:v>50.594402322549008</c:v>
                </c:pt>
                <c:pt idx="42">
                  <c:v>50.594402322549008</c:v>
                </c:pt>
                <c:pt idx="43">
                  <c:v>50.594402322549008</c:v>
                </c:pt>
                <c:pt idx="44">
                  <c:v>50.594402322549008</c:v>
                </c:pt>
                <c:pt idx="45">
                  <c:v>50.594402322549008</c:v>
                </c:pt>
              </c:numCache>
            </c:numRef>
          </c:val>
          <c:smooth val="0"/>
          <c:extLst>
            <c:ext xmlns:c16="http://schemas.microsoft.com/office/drawing/2014/chart" uri="{C3380CC4-5D6E-409C-BE32-E72D297353CC}">
              <c16:uniqueId val="{00000003-EFC2-45A0-B17E-1C3EB5D9A28A}"/>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2.5654913773847219</c:v>
                </c:pt>
                <c:pt idx="1">
                  <c:v>5.1309827547689002</c:v>
                </c:pt>
                <c:pt idx="2">
                  <c:v>7.6964741321541679</c:v>
                </c:pt>
                <c:pt idx="3">
                  <c:v>10.261965509538348</c:v>
                </c:pt>
                <c:pt idx="4">
                  <c:v>12.827456886923615</c:v>
                </c:pt>
                <c:pt idx="5">
                  <c:v>15.392948264307792</c:v>
                </c:pt>
                <c:pt idx="6">
                  <c:v>17.958439641693062</c:v>
                </c:pt>
                <c:pt idx="7">
                  <c:v>20.523931019077239</c:v>
                </c:pt>
                <c:pt idx="8">
                  <c:v>23.08942239646251</c:v>
                </c:pt>
                <c:pt idx="9">
                  <c:v>25.654913773846687</c:v>
                </c:pt>
                <c:pt idx="10">
                  <c:v>28.220405151231958</c:v>
                </c:pt>
                <c:pt idx="11">
                  <c:v>30.785896528616135</c:v>
                </c:pt>
                <c:pt idx="12">
                  <c:v>33.351387906001406</c:v>
                </c:pt>
                <c:pt idx="13">
                  <c:v>35.916879283385583</c:v>
                </c:pt>
                <c:pt idx="14">
                  <c:v>38.482370660770854</c:v>
                </c:pt>
                <c:pt idx="15">
                  <c:v>41.047862038155031</c:v>
                </c:pt>
                <c:pt idx="16">
                  <c:v>43.613353415540296</c:v>
                </c:pt>
                <c:pt idx="17">
                  <c:v>46.17884479292448</c:v>
                </c:pt>
                <c:pt idx="18">
                  <c:v>48.744336170309744</c:v>
                </c:pt>
                <c:pt idx="19">
                  <c:v>51.309827547693921</c:v>
                </c:pt>
                <c:pt idx="20">
                  <c:v>53.875318925079192</c:v>
                </c:pt>
                <c:pt idx="21">
                  <c:v>56.440810302463369</c:v>
                </c:pt>
                <c:pt idx="22">
                  <c:v>59.00630167984864</c:v>
                </c:pt>
                <c:pt idx="23">
                  <c:v>61.571793057232817</c:v>
                </c:pt>
                <c:pt idx="24">
                  <c:v>64.137284434618081</c:v>
                </c:pt>
                <c:pt idx="25">
                  <c:v>66.702775812002272</c:v>
                </c:pt>
                <c:pt idx="26">
                  <c:v>69.268267189387529</c:v>
                </c:pt>
                <c:pt idx="27">
                  <c:v>71.833758566771692</c:v>
                </c:pt>
                <c:pt idx="28">
                  <c:v>74.399249944156963</c:v>
                </c:pt>
                <c:pt idx="29">
                  <c:v>76.96474132154114</c:v>
                </c:pt>
                <c:pt idx="30">
                  <c:v>79.530232698926412</c:v>
                </c:pt>
                <c:pt idx="31">
                  <c:v>82.095724076310574</c:v>
                </c:pt>
                <c:pt idx="32">
                  <c:v>84.661215453695846</c:v>
                </c:pt>
                <c:pt idx="33">
                  <c:v>87.226706831080023</c:v>
                </c:pt>
                <c:pt idx="34">
                  <c:v>89.792198208464185</c:v>
                </c:pt>
                <c:pt idx="35">
                  <c:v>92.357689585849428</c:v>
                </c:pt>
                <c:pt idx="36">
                  <c:v>92.357689585849428</c:v>
                </c:pt>
                <c:pt idx="37">
                  <c:v>92.357689585849428</c:v>
                </c:pt>
                <c:pt idx="38">
                  <c:v>92.357689585849428</c:v>
                </c:pt>
                <c:pt idx="39">
                  <c:v>92.357689585849428</c:v>
                </c:pt>
                <c:pt idx="40">
                  <c:v>92.357689585849428</c:v>
                </c:pt>
                <c:pt idx="41">
                  <c:v>92.357689585849428</c:v>
                </c:pt>
                <c:pt idx="42">
                  <c:v>92.357689585849428</c:v>
                </c:pt>
                <c:pt idx="43">
                  <c:v>92.357689585849428</c:v>
                </c:pt>
                <c:pt idx="44">
                  <c:v>92.357689585849428</c:v>
                </c:pt>
                <c:pt idx="45">
                  <c:v>92.357689585849428</c:v>
                </c:pt>
              </c:numCache>
            </c:numRef>
          </c:val>
          <c:smooth val="0"/>
          <c:extLst>
            <c:ext xmlns:c16="http://schemas.microsoft.com/office/drawing/2014/chart" uri="{C3380CC4-5D6E-409C-BE32-E72D297353CC}">
              <c16:uniqueId val="{00000004-EFC2-45A0-B17E-1C3EB5D9A28A}"/>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1.4054000645152589</c:v>
                </c:pt>
                <c:pt idx="1">
                  <c:v>2.8108001290302189</c:v>
                </c:pt>
                <c:pt idx="2">
                  <c:v>4.2162001935457774</c:v>
                </c:pt>
                <c:pt idx="3">
                  <c:v>5.6216002580607389</c:v>
                </c:pt>
                <c:pt idx="4">
                  <c:v>7.0270003225762965</c:v>
                </c:pt>
                <c:pt idx="5">
                  <c:v>8.4324003870912563</c:v>
                </c:pt>
                <c:pt idx="6">
                  <c:v>9.8378004516068156</c:v>
                </c:pt>
                <c:pt idx="7">
                  <c:v>11.243200516121776</c:v>
                </c:pt>
                <c:pt idx="8">
                  <c:v>12.648600580637336</c:v>
                </c:pt>
                <c:pt idx="9">
                  <c:v>14.054000645152296</c:v>
                </c:pt>
                <c:pt idx="10">
                  <c:v>15.459400709667854</c:v>
                </c:pt>
                <c:pt idx="11">
                  <c:v>16.864800774182815</c:v>
                </c:pt>
                <c:pt idx="12">
                  <c:v>18.270200838698372</c:v>
                </c:pt>
                <c:pt idx="13">
                  <c:v>19.675600903213333</c:v>
                </c:pt>
                <c:pt idx="14">
                  <c:v>21.08100096772889</c:v>
                </c:pt>
                <c:pt idx="15">
                  <c:v>22.486401032243851</c:v>
                </c:pt>
                <c:pt idx="16">
                  <c:v>23.891801096759409</c:v>
                </c:pt>
                <c:pt idx="17">
                  <c:v>25.297201161274369</c:v>
                </c:pt>
                <c:pt idx="18">
                  <c:v>26.702601225789923</c:v>
                </c:pt>
                <c:pt idx="19">
                  <c:v>28.108001290304887</c:v>
                </c:pt>
                <c:pt idx="20">
                  <c:v>29.513401354820441</c:v>
                </c:pt>
                <c:pt idx="21">
                  <c:v>30.918801419335402</c:v>
                </c:pt>
                <c:pt idx="22">
                  <c:v>32.324201483850963</c:v>
                </c:pt>
                <c:pt idx="23">
                  <c:v>33.72960154836592</c:v>
                </c:pt>
                <c:pt idx="24">
                  <c:v>35.135001612881474</c:v>
                </c:pt>
                <c:pt idx="25">
                  <c:v>36.540401677396439</c:v>
                </c:pt>
                <c:pt idx="26">
                  <c:v>37.945801741911993</c:v>
                </c:pt>
                <c:pt idx="27">
                  <c:v>39.351201806426957</c:v>
                </c:pt>
                <c:pt idx="28">
                  <c:v>40.756601870942511</c:v>
                </c:pt>
                <c:pt idx="29">
                  <c:v>42.162001935457475</c:v>
                </c:pt>
                <c:pt idx="30">
                  <c:v>43.567401999973029</c:v>
                </c:pt>
                <c:pt idx="31">
                  <c:v>44.972802064487993</c:v>
                </c:pt>
                <c:pt idx="32">
                  <c:v>46.378202129003547</c:v>
                </c:pt>
                <c:pt idx="33">
                  <c:v>47.783602193518512</c:v>
                </c:pt>
                <c:pt idx="34">
                  <c:v>49.189002258033469</c:v>
                </c:pt>
                <c:pt idx="35">
                  <c:v>50.594402322549008</c:v>
                </c:pt>
                <c:pt idx="36">
                  <c:v>50.594402322549008</c:v>
                </c:pt>
                <c:pt idx="37">
                  <c:v>50.594402322549008</c:v>
                </c:pt>
                <c:pt idx="38">
                  <c:v>50.594402322549008</c:v>
                </c:pt>
                <c:pt idx="39">
                  <c:v>50.594402322549008</c:v>
                </c:pt>
                <c:pt idx="40">
                  <c:v>50.594402322549008</c:v>
                </c:pt>
                <c:pt idx="41">
                  <c:v>50.594402322549008</c:v>
                </c:pt>
                <c:pt idx="42">
                  <c:v>50.594402322549008</c:v>
                </c:pt>
                <c:pt idx="43">
                  <c:v>50.594402322549008</c:v>
                </c:pt>
                <c:pt idx="44">
                  <c:v>50.594402322549008</c:v>
                </c:pt>
                <c:pt idx="45">
                  <c:v>50.594402322549008</c:v>
                </c:pt>
              </c:numCache>
            </c:numRef>
          </c:val>
          <c:smooth val="0"/>
          <c:extLst>
            <c:ext xmlns:c16="http://schemas.microsoft.com/office/drawing/2014/chart" uri="{C3380CC4-5D6E-409C-BE32-E72D297353CC}">
              <c16:uniqueId val="{00000005-EFC2-45A0-B17E-1C3EB5D9A28A}"/>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10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0319556-6CB9-4577-9A8E-45DFBDDF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TotalTime>
  <Pages>1</Pages>
  <Words>9837</Words>
  <Characters>56074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Mamta</cp:lastModifiedBy>
  <cp:revision>7</cp:revision>
  <cp:lastPrinted>2019-11-28T21:27:00Z</cp:lastPrinted>
  <dcterms:created xsi:type="dcterms:W3CDTF">2019-09-04T03:11:00Z</dcterms:created>
  <dcterms:modified xsi:type="dcterms:W3CDTF">2019-11-28T21:27:00Z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