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051A2F94">
                <wp:simplePos x="0" y="0"/>
                <wp:positionH relativeFrom="page">
                  <wp:posOffset>1024548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56035B" w:rsidRPr="00E91BE1" w:rsidRDefault="0056035B"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01C0571" w:rsidR="0056035B" w:rsidRPr="00E91BE1" w:rsidRDefault="0056035B"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Silvopast</w:t>
                            </w:r>
                            <w:bookmarkStart w:id="0" w:name="_GoBack"/>
                            <w:bookmarkEnd w:id="0"/>
                            <w:r>
                              <w:rPr>
                                <w:rFonts w:cs="Times New Roman"/>
                                <w:b/>
                                <w:smallCaps/>
                                <w:color w:val="404040" w:themeColor="text1" w:themeTint="BF"/>
                                <w:sz w:val="48"/>
                                <w:szCs w:val="48"/>
                              </w:rPr>
                              <w:t>ure</w:t>
                            </w:r>
                          </w:p>
                          <w:p w14:paraId="6774E85B" w14:textId="77777777" w:rsidR="0056035B" w:rsidRPr="00EB247F" w:rsidRDefault="0056035B" w:rsidP="00EB247F">
                            <w:pPr>
                              <w:spacing w:line="240" w:lineRule="auto"/>
                              <w:jc w:val="center"/>
                              <w:rPr>
                                <w:rFonts w:cs="Times New Roman"/>
                                <w:smallCaps/>
                                <w:color w:val="404040" w:themeColor="text1" w:themeTint="BF"/>
                                <w:sz w:val="36"/>
                                <w:szCs w:val="36"/>
                              </w:rPr>
                            </w:pPr>
                          </w:p>
                          <w:p w14:paraId="4699D449" w14:textId="7F7D355E" w:rsidR="0056035B" w:rsidRPr="00E91BE1" w:rsidRDefault="0056035B"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33D511FA" w:rsidR="0056035B" w:rsidRPr="00E91BE1" w:rsidRDefault="0056035B"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Rancher/Pastoralist </w:t>
                            </w:r>
                          </w:p>
                          <w:p w14:paraId="29D510C4" w14:textId="101F64C9" w:rsidR="0056035B" w:rsidRPr="00E91BE1" w:rsidRDefault="0056035B"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Livestock Production, Agroforestry</w:t>
                            </w:r>
                          </w:p>
                          <w:p w14:paraId="6DF0E7C6" w14:textId="77777777" w:rsidR="0056035B" w:rsidRDefault="0056035B" w:rsidP="00FB2C53"/>
                          <w:p w14:paraId="4DF87617" w14:textId="77777777" w:rsidR="0056035B" w:rsidRDefault="0056035B" w:rsidP="00FB2C53"/>
                          <w:p w14:paraId="4FD71E35" w14:textId="77777777" w:rsidR="0056035B" w:rsidRDefault="0056035B" w:rsidP="00FB2C53"/>
                          <w:p w14:paraId="0AAEA688" w14:textId="77777777" w:rsidR="0056035B" w:rsidRDefault="0056035B" w:rsidP="00FB2C53"/>
                          <w:p w14:paraId="693769A0" w14:textId="334CA39E" w:rsidR="0056035B" w:rsidRPr="00E91BE1" w:rsidRDefault="0056035B"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56035B" w:rsidRPr="000829DC" w:rsidRDefault="0056035B" w:rsidP="00FB2C53"/>
                          <w:p w14:paraId="4BB1447A" w14:textId="77777777" w:rsidR="0056035B" w:rsidRDefault="0056035B" w:rsidP="00FB2C53"/>
                          <w:p w14:paraId="6A9CEC43" w14:textId="77777777" w:rsidR="0056035B" w:rsidRDefault="0056035B" w:rsidP="00FB2C53"/>
                          <w:p w14:paraId="2120AE6B" w14:textId="77777777" w:rsidR="0056035B" w:rsidRDefault="0056035B" w:rsidP="00FB2C53"/>
                          <w:p w14:paraId="7DCFFDCF" w14:textId="77777777" w:rsidR="0056035B" w:rsidRDefault="0056035B" w:rsidP="00FB2C53"/>
                          <w:p w14:paraId="2F48DE38" w14:textId="77777777" w:rsidR="0056035B" w:rsidRPr="000829DC" w:rsidRDefault="0056035B" w:rsidP="00FB2C53"/>
                          <w:p w14:paraId="1981D31A" w14:textId="77777777" w:rsidR="0056035B" w:rsidRPr="00E91BE1" w:rsidRDefault="0056035B"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7849B494" w14:textId="48408B2A" w:rsidR="0056035B" w:rsidRDefault="008C5E1D" w:rsidP="000829DC">
                            <w:pPr>
                              <w:rPr>
                                <w:rFonts w:cs="Times New Roman"/>
                                <w:smallCaps/>
                                <w:color w:val="404040" w:themeColor="text1" w:themeTint="BF"/>
                              </w:rPr>
                            </w:pPr>
                            <w:r>
                              <w:rPr>
                                <w:rFonts w:cs="Times New Roman"/>
                                <w:smallCaps/>
                                <w:color w:val="404040" w:themeColor="text1" w:themeTint="BF"/>
                              </w:rPr>
                              <w:t>Ruth Metzel, Research Fellow</w:t>
                            </w:r>
                          </w:p>
                          <w:p w14:paraId="0F3ED9EE" w14:textId="5AE0B5FB" w:rsidR="0056035B" w:rsidRPr="00EB247F" w:rsidRDefault="0056035B" w:rsidP="000829DC">
                            <w:pPr>
                              <w:rPr>
                                <w:rFonts w:cs="Times New Roman"/>
                                <w:smallCaps/>
                                <w:color w:val="404040" w:themeColor="text1" w:themeTint="BF"/>
                              </w:rPr>
                            </w:pPr>
                            <w:r>
                              <w:rPr>
                                <w:rFonts w:cs="Times New Roman"/>
                                <w:smallCaps/>
                                <w:color w:val="404040" w:themeColor="text1" w:themeTint="BF"/>
                              </w:rPr>
                              <w:t xml:space="preserve">Ariani Wartenberg, </w:t>
                            </w:r>
                            <w:r w:rsidR="008C5E1D">
                              <w:rPr>
                                <w:rFonts w:cs="Times New Roman"/>
                                <w:smallCaps/>
                                <w:color w:val="404040" w:themeColor="text1" w:themeTint="BF"/>
                              </w:rPr>
                              <w:t xml:space="preserve">Research </w:t>
                            </w:r>
                            <w:r>
                              <w:rPr>
                                <w:rFonts w:cs="Times New Roman"/>
                                <w:smallCaps/>
                                <w:color w:val="404040" w:themeColor="text1" w:themeTint="BF"/>
                              </w:rPr>
                              <w:t>Fellow</w:t>
                            </w:r>
                          </w:p>
                          <w:p w14:paraId="1C3CFB47" w14:textId="77777777" w:rsidR="0056035B" w:rsidRPr="00EB247F" w:rsidRDefault="0056035B" w:rsidP="007864AB">
                            <w:pPr>
                              <w:rPr>
                                <w:rFonts w:cs="Times New Roman"/>
                                <w:smallCaps/>
                                <w:color w:val="404040" w:themeColor="text1" w:themeTint="BF"/>
                              </w:rPr>
                            </w:pPr>
                          </w:p>
                          <w:p w14:paraId="4481356F" w14:textId="6C098178" w:rsidR="0056035B" w:rsidRPr="00EB247F" w:rsidRDefault="0056035B"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56035B" w:rsidRPr="00E6531F" w:rsidRDefault="0056035B"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56035B" w:rsidRPr="00E6531F" w:rsidRDefault="0056035B" w:rsidP="00C81D94">
                            <w:pPr>
                              <w:rPr>
                                <w:rFonts w:cs="Times New Roman"/>
                                <w:smallCaps/>
                                <w:color w:val="404040" w:themeColor="text1" w:themeTint="BF"/>
                                <w:sz w:val="36"/>
                                <w:szCs w:val="36"/>
                                <w:lang w:val="pt-PT"/>
                              </w:rPr>
                            </w:pPr>
                          </w:p>
                          <w:p w14:paraId="3D97FBF6" w14:textId="77777777" w:rsidR="0056035B" w:rsidRPr="00E6531F" w:rsidRDefault="0056035B"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5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2dPs&#10;ieAAAAANAQAADwAAAAAAAAAAAAAAAADYBAAAZHJzL2Rvd25yZXYueG1sUEsFBgAAAAAEAAQA8wAA&#10;AOUFAAAAAA==&#10;" filled="f" stroked="f" strokeweight=".5pt">
                <v:textbox inset=",0,54pt,0">
                  <w:txbxContent>
                    <w:p w14:paraId="3A69A438" w14:textId="77777777" w:rsidR="0056035B" w:rsidRPr="00E91BE1" w:rsidRDefault="0056035B"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01C0571" w:rsidR="0056035B" w:rsidRPr="00E91BE1" w:rsidRDefault="0056035B"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Silvopast</w:t>
                      </w:r>
                      <w:bookmarkStart w:id="1" w:name="_GoBack"/>
                      <w:bookmarkEnd w:id="1"/>
                      <w:r>
                        <w:rPr>
                          <w:rFonts w:cs="Times New Roman"/>
                          <w:b/>
                          <w:smallCaps/>
                          <w:color w:val="404040" w:themeColor="text1" w:themeTint="BF"/>
                          <w:sz w:val="48"/>
                          <w:szCs w:val="48"/>
                        </w:rPr>
                        <w:t>ure</w:t>
                      </w:r>
                    </w:p>
                    <w:p w14:paraId="6774E85B" w14:textId="77777777" w:rsidR="0056035B" w:rsidRPr="00EB247F" w:rsidRDefault="0056035B" w:rsidP="00EB247F">
                      <w:pPr>
                        <w:spacing w:line="240" w:lineRule="auto"/>
                        <w:jc w:val="center"/>
                        <w:rPr>
                          <w:rFonts w:cs="Times New Roman"/>
                          <w:smallCaps/>
                          <w:color w:val="404040" w:themeColor="text1" w:themeTint="BF"/>
                          <w:sz w:val="36"/>
                          <w:szCs w:val="36"/>
                        </w:rPr>
                      </w:pPr>
                    </w:p>
                    <w:p w14:paraId="4699D449" w14:textId="7F7D355E" w:rsidR="0056035B" w:rsidRPr="00E91BE1" w:rsidRDefault="0056035B"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33D511FA" w:rsidR="0056035B" w:rsidRPr="00E91BE1" w:rsidRDefault="0056035B"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Rancher/Pastoralist </w:t>
                      </w:r>
                    </w:p>
                    <w:p w14:paraId="29D510C4" w14:textId="101F64C9" w:rsidR="0056035B" w:rsidRPr="00E91BE1" w:rsidRDefault="0056035B"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Livestock Production, Agroforestry</w:t>
                      </w:r>
                    </w:p>
                    <w:p w14:paraId="6DF0E7C6" w14:textId="77777777" w:rsidR="0056035B" w:rsidRDefault="0056035B" w:rsidP="00FB2C53"/>
                    <w:p w14:paraId="4DF87617" w14:textId="77777777" w:rsidR="0056035B" w:rsidRDefault="0056035B" w:rsidP="00FB2C53"/>
                    <w:p w14:paraId="4FD71E35" w14:textId="77777777" w:rsidR="0056035B" w:rsidRDefault="0056035B" w:rsidP="00FB2C53"/>
                    <w:p w14:paraId="0AAEA688" w14:textId="77777777" w:rsidR="0056035B" w:rsidRDefault="0056035B" w:rsidP="00FB2C53"/>
                    <w:p w14:paraId="693769A0" w14:textId="334CA39E" w:rsidR="0056035B" w:rsidRPr="00E91BE1" w:rsidRDefault="0056035B"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56035B" w:rsidRPr="000829DC" w:rsidRDefault="0056035B" w:rsidP="00FB2C53"/>
                    <w:p w14:paraId="4BB1447A" w14:textId="77777777" w:rsidR="0056035B" w:rsidRDefault="0056035B" w:rsidP="00FB2C53"/>
                    <w:p w14:paraId="6A9CEC43" w14:textId="77777777" w:rsidR="0056035B" w:rsidRDefault="0056035B" w:rsidP="00FB2C53"/>
                    <w:p w14:paraId="2120AE6B" w14:textId="77777777" w:rsidR="0056035B" w:rsidRDefault="0056035B" w:rsidP="00FB2C53"/>
                    <w:p w14:paraId="7DCFFDCF" w14:textId="77777777" w:rsidR="0056035B" w:rsidRDefault="0056035B" w:rsidP="00FB2C53"/>
                    <w:p w14:paraId="2F48DE38" w14:textId="77777777" w:rsidR="0056035B" w:rsidRPr="000829DC" w:rsidRDefault="0056035B" w:rsidP="00FB2C53"/>
                    <w:p w14:paraId="1981D31A" w14:textId="77777777" w:rsidR="0056035B" w:rsidRPr="00E91BE1" w:rsidRDefault="0056035B"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7849B494" w14:textId="48408B2A" w:rsidR="0056035B" w:rsidRDefault="008C5E1D" w:rsidP="000829DC">
                      <w:pPr>
                        <w:rPr>
                          <w:rFonts w:cs="Times New Roman"/>
                          <w:smallCaps/>
                          <w:color w:val="404040" w:themeColor="text1" w:themeTint="BF"/>
                        </w:rPr>
                      </w:pPr>
                      <w:r>
                        <w:rPr>
                          <w:rFonts w:cs="Times New Roman"/>
                          <w:smallCaps/>
                          <w:color w:val="404040" w:themeColor="text1" w:themeTint="BF"/>
                        </w:rPr>
                        <w:t>Ruth Metzel, Research Fellow</w:t>
                      </w:r>
                    </w:p>
                    <w:p w14:paraId="0F3ED9EE" w14:textId="5AE0B5FB" w:rsidR="0056035B" w:rsidRPr="00EB247F" w:rsidRDefault="0056035B" w:rsidP="000829DC">
                      <w:pPr>
                        <w:rPr>
                          <w:rFonts w:cs="Times New Roman"/>
                          <w:smallCaps/>
                          <w:color w:val="404040" w:themeColor="text1" w:themeTint="BF"/>
                        </w:rPr>
                      </w:pPr>
                      <w:r>
                        <w:rPr>
                          <w:rFonts w:cs="Times New Roman"/>
                          <w:smallCaps/>
                          <w:color w:val="404040" w:themeColor="text1" w:themeTint="BF"/>
                        </w:rPr>
                        <w:t xml:space="preserve">Ariani Wartenberg, </w:t>
                      </w:r>
                      <w:r w:rsidR="008C5E1D">
                        <w:rPr>
                          <w:rFonts w:cs="Times New Roman"/>
                          <w:smallCaps/>
                          <w:color w:val="404040" w:themeColor="text1" w:themeTint="BF"/>
                        </w:rPr>
                        <w:t xml:space="preserve">Research </w:t>
                      </w:r>
                      <w:r>
                        <w:rPr>
                          <w:rFonts w:cs="Times New Roman"/>
                          <w:smallCaps/>
                          <w:color w:val="404040" w:themeColor="text1" w:themeTint="BF"/>
                        </w:rPr>
                        <w:t>Fellow</w:t>
                      </w:r>
                    </w:p>
                    <w:p w14:paraId="1C3CFB47" w14:textId="77777777" w:rsidR="0056035B" w:rsidRPr="00EB247F" w:rsidRDefault="0056035B" w:rsidP="007864AB">
                      <w:pPr>
                        <w:rPr>
                          <w:rFonts w:cs="Times New Roman"/>
                          <w:smallCaps/>
                          <w:color w:val="404040" w:themeColor="text1" w:themeTint="BF"/>
                        </w:rPr>
                      </w:pPr>
                    </w:p>
                    <w:p w14:paraId="4481356F" w14:textId="6C098178" w:rsidR="0056035B" w:rsidRPr="00EB247F" w:rsidRDefault="0056035B"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56035B" w:rsidRPr="00E6531F" w:rsidRDefault="0056035B"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56035B" w:rsidRPr="00E6531F" w:rsidRDefault="0056035B" w:rsidP="00C81D94">
                      <w:pPr>
                        <w:rPr>
                          <w:rFonts w:cs="Times New Roman"/>
                          <w:smallCaps/>
                          <w:color w:val="404040" w:themeColor="text1" w:themeTint="BF"/>
                          <w:sz w:val="36"/>
                          <w:szCs w:val="36"/>
                          <w:lang w:val="pt-PT"/>
                        </w:rPr>
                      </w:pPr>
                    </w:p>
                    <w:p w14:paraId="3D97FBF6" w14:textId="77777777" w:rsidR="0056035B" w:rsidRPr="00E6531F" w:rsidRDefault="0056035B"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7411D313" w14:textId="221B14A4" w:rsidR="0081723E"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013293" w:history="1">
            <w:r w:rsidR="0081723E" w:rsidRPr="0054352E">
              <w:rPr>
                <w:rStyle w:val="Hyperlink"/>
                <w:noProof/>
              </w:rPr>
              <w:t>List of Figures</w:t>
            </w:r>
            <w:r w:rsidR="0081723E">
              <w:rPr>
                <w:noProof/>
                <w:webHidden/>
              </w:rPr>
              <w:tab/>
            </w:r>
            <w:r w:rsidR="0081723E">
              <w:rPr>
                <w:noProof/>
                <w:webHidden/>
              </w:rPr>
              <w:fldChar w:fldCharType="begin"/>
            </w:r>
            <w:r w:rsidR="0081723E">
              <w:rPr>
                <w:noProof/>
                <w:webHidden/>
              </w:rPr>
              <w:instrText xml:space="preserve"> PAGEREF _Toc18013293 \h </w:instrText>
            </w:r>
            <w:r w:rsidR="0081723E">
              <w:rPr>
                <w:noProof/>
                <w:webHidden/>
              </w:rPr>
            </w:r>
            <w:r w:rsidR="0081723E">
              <w:rPr>
                <w:noProof/>
                <w:webHidden/>
              </w:rPr>
              <w:fldChar w:fldCharType="separate"/>
            </w:r>
            <w:r w:rsidR="00614A66">
              <w:rPr>
                <w:noProof/>
                <w:webHidden/>
              </w:rPr>
              <w:t>4</w:t>
            </w:r>
            <w:r w:rsidR="0081723E">
              <w:rPr>
                <w:noProof/>
                <w:webHidden/>
              </w:rPr>
              <w:fldChar w:fldCharType="end"/>
            </w:r>
          </w:hyperlink>
        </w:p>
        <w:p w14:paraId="6ADB796F" w14:textId="021BE096" w:rsidR="0081723E" w:rsidRDefault="00D21135">
          <w:pPr>
            <w:pStyle w:val="TOC1"/>
            <w:tabs>
              <w:tab w:val="right" w:leader="dot" w:pos="9350"/>
            </w:tabs>
            <w:rPr>
              <w:rFonts w:asciiTheme="minorHAnsi" w:hAnsiTheme="minorHAnsi"/>
              <w:noProof/>
              <w:lang w:eastAsia="en-US"/>
            </w:rPr>
          </w:pPr>
          <w:hyperlink w:anchor="_Toc18013294" w:history="1">
            <w:r w:rsidR="0081723E" w:rsidRPr="0054352E">
              <w:rPr>
                <w:rStyle w:val="Hyperlink"/>
                <w:noProof/>
              </w:rPr>
              <w:t>List of Tables</w:t>
            </w:r>
            <w:r w:rsidR="0081723E">
              <w:rPr>
                <w:noProof/>
                <w:webHidden/>
              </w:rPr>
              <w:tab/>
            </w:r>
            <w:r w:rsidR="0081723E">
              <w:rPr>
                <w:noProof/>
                <w:webHidden/>
              </w:rPr>
              <w:fldChar w:fldCharType="begin"/>
            </w:r>
            <w:r w:rsidR="0081723E">
              <w:rPr>
                <w:noProof/>
                <w:webHidden/>
              </w:rPr>
              <w:instrText xml:space="preserve"> PAGEREF _Toc18013294 \h </w:instrText>
            </w:r>
            <w:r w:rsidR="0081723E">
              <w:rPr>
                <w:noProof/>
                <w:webHidden/>
              </w:rPr>
            </w:r>
            <w:r w:rsidR="0081723E">
              <w:rPr>
                <w:noProof/>
                <w:webHidden/>
              </w:rPr>
              <w:fldChar w:fldCharType="separate"/>
            </w:r>
            <w:r w:rsidR="00614A66">
              <w:rPr>
                <w:noProof/>
                <w:webHidden/>
              </w:rPr>
              <w:t>4</w:t>
            </w:r>
            <w:r w:rsidR="0081723E">
              <w:rPr>
                <w:noProof/>
                <w:webHidden/>
              </w:rPr>
              <w:fldChar w:fldCharType="end"/>
            </w:r>
          </w:hyperlink>
        </w:p>
        <w:p w14:paraId="00CE8925" w14:textId="47698BB7" w:rsidR="0081723E" w:rsidRDefault="00D21135">
          <w:pPr>
            <w:pStyle w:val="TOC1"/>
            <w:tabs>
              <w:tab w:val="right" w:leader="dot" w:pos="9350"/>
            </w:tabs>
            <w:rPr>
              <w:rFonts w:asciiTheme="minorHAnsi" w:hAnsiTheme="minorHAnsi"/>
              <w:noProof/>
              <w:lang w:eastAsia="en-US"/>
            </w:rPr>
          </w:pPr>
          <w:hyperlink w:anchor="_Toc18013295" w:history="1">
            <w:r w:rsidR="0081723E" w:rsidRPr="0054352E">
              <w:rPr>
                <w:rStyle w:val="Hyperlink"/>
                <w:noProof/>
              </w:rPr>
              <w:t>Acronyms and Symbols Used</w:t>
            </w:r>
            <w:r w:rsidR="0081723E">
              <w:rPr>
                <w:noProof/>
                <w:webHidden/>
              </w:rPr>
              <w:tab/>
            </w:r>
            <w:r w:rsidR="0081723E">
              <w:rPr>
                <w:noProof/>
                <w:webHidden/>
              </w:rPr>
              <w:fldChar w:fldCharType="begin"/>
            </w:r>
            <w:r w:rsidR="0081723E">
              <w:rPr>
                <w:noProof/>
                <w:webHidden/>
              </w:rPr>
              <w:instrText xml:space="preserve"> PAGEREF _Toc18013295 \h </w:instrText>
            </w:r>
            <w:r w:rsidR="0081723E">
              <w:rPr>
                <w:noProof/>
                <w:webHidden/>
              </w:rPr>
              <w:fldChar w:fldCharType="separate"/>
            </w:r>
            <w:r w:rsidR="00614A66">
              <w:rPr>
                <w:b/>
                <w:bCs/>
                <w:noProof/>
                <w:webHidden/>
              </w:rPr>
              <w:t>Error! Bookmark not defined.</w:t>
            </w:r>
            <w:r w:rsidR="0081723E">
              <w:rPr>
                <w:noProof/>
                <w:webHidden/>
              </w:rPr>
              <w:fldChar w:fldCharType="end"/>
            </w:r>
          </w:hyperlink>
        </w:p>
        <w:p w14:paraId="0E7000A0" w14:textId="280E5045" w:rsidR="0081723E" w:rsidRDefault="00D21135">
          <w:pPr>
            <w:pStyle w:val="TOC1"/>
            <w:tabs>
              <w:tab w:val="right" w:leader="dot" w:pos="9350"/>
            </w:tabs>
            <w:rPr>
              <w:rFonts w:asciiTheme="minorHAnsi" w:hAnsiTheme="minorHAnsi"/>
              <w:noProof/>
              <w:lang w:eastAsia="en-US"/>
            </w:rPr>
          </w:pPr>
          <w:hyperlink w:anchor="_Toc18013296" w:history="1">
            <w:r w:rsidR="0081723E" w:rsidRPr="0054352E">
              <w:rPr>
                <w:rStyle w:val="Hyperlink"/>
                <w:noProof/>
              </w:rPr>
              <w:t>Executive Summary</w:t>
            </w:r>
            <w:r w:rsidR="0081723E">
              <w:rPr>
                <w:noProof/>
                <w:webHidden/>
              </w:rPr>
              <w:tab/>
            </w:r>
            <w:r w:rsidR="0081723E">
              <w:rPr>
                <w:noProof/>
                <w:webHidden/>
              </w:rPr>
              <w:fldChar w:fldCharType="begin"/>
            </w:r>
            <w:r w:rsidR="0081723E">
              <w:rPr>
                <w:noProof/>
                <w:webHidden/>
              </w:rPr>
              <w:instrText xml:space="preserve"> PAGEREF _Toc18013296 \h </w:instrText>
            </w:r>
            <w:r w:rsidR="0081723E">
              <w:rPr>
                <w:noProof/>
                <w:webHidden/>
              </w:rPr>
            </w:r>
            <w:r w:rsidR="0081723E">
              <w:rPr>
                <w:noProof/>
                <w:webHidden/>
              </w:rPr>
              <w:fldChar w:fldCharType="separate"/>
            </w:r>
            <w:r w:rsidR="00614A66">
              <w:rPr>
                <w:noProof/>
                <w:webHidden/>
              </w:rPr>
              <w:t>5</w:t>
            </w:r>
            <w:r w:rsidR="0081723E">
              <w:rPr>
                <w:noProof/>
                <w:webHidden/>
              </w:rPr>
              <w:fldChar w:fldCharType="end"/>
            </w:r>
          </w:hyperlink>
        </w:p>
        <w:p w14:paraId="79D4A5BB" w14:textId="15907268" w:rsidR="0081723E" w:rsidRDefault="00D21135">
          <w:pPr>
            <w:pStyle w:val="TOC1"/>
            <w:tabs>
              <w:tab w:val="left" w:pos="440"/>
              <w:tab w:val="right" w:leader="dot" w:pos="9350"/>
            </w:tabs>
            <w:rPr>
              <w:rFonts w:asciiTheme="minorHAnsi" w:hAnsiTheme="minorHAnsi"/>
              <w:noProof/>
              <w:lang w:eastAsia="en-US"/>
            </w:rPr>
          </w:pPr>
          <w:hyperlink w:anchor="_Toc18013297" w:history="1">
            <w:r w:rsidR="0081723E" w:rsidRPr="0054352E">
              <w:rPr>
                <w:rStyle w:val="Hyperlink"/>
                <w:noProof/>
              </w:rPr>
              <w:t>1.</w:t>
            </w:r>
            <w:r w:rsidR="0081723E">
              <w:rPr>
                <w:rFonts w:asciiTheme="minorHAnsi" w:hAnsiTheme="minorHAnsi"/>
                <w:noProof/>
                <w:lang w:eastAsia="en-US"/>
              </w:rPr>
              <w:tab/>
            </w:r>
            <w:r w:rsidR="0081723E" w:rsidRPr="0054352E">
              <w:rPr>
                <w:rStyle w:val="Hyperlink"/>
                <w:noProof/>
              </w:rPr>
              <w:t>Literature Review</w:t>
            </w:r>
            <w:r w:rsidR="0081723E">
              <w:rPr>
                <w:noProof/>
                <w:webHidden/>
              </w:rPr>
              <w:tab/>
            </w:r>
            <w:r w:rsidR="0081723E">
              <w:rPr>
                <w:noProof/>
                <w:webHidden/>
              </w:rPr>
              <w:fldChar w:fldCharType="begin"/>
            </w:r>
            <w:r w:rsidR="0081723E">
              <w:rPr>
                <w:noProof/>
                <w:webHidden/>
              </w:rPr>
              <w:instrText xml:space="preserve"> PAGEREF _Toc18013297 \h </w:instrText>
            </w:r>
            <w:r w:rsidR="0081723E">
              <w:rPr>
                <w:noProof/>
                <w:webHidden/>
              </w:rPr>
            </w:r>
            <w:r w:rsidR="0081723E">
              <w:rPr>
                <w:noProof/>
                <w:webHidden/>
              </w:rPr>
              <w:fldChar w:fldCharType="separate"/>
            </w:r>
            <w:r w:rsidR="00614A66">
              <w:rPr>
                <w:noProof/>
                <w:webHidden/>
              </w:rPr>
              <w:t>6</w:t>
            </w:r>
            <w:r w:rsidR="0081723E">
              <w:rPr>
                <w:noProof/>
                <w:webHidden/>
              </w:rPr>
              <w:fldChar w:fldCharType="end"/>
            </w:r>
          </w:hyperlink>
        </w:p>
        <w:p w14:paraId="6DE6F7B2" w14:textId="4B58D386" w:rsidR="0081723E" w:rsidRDefault="00D21135">
          <w:pPr>
            <w:pStyle w:val="TOC2"/>
            <w:tabs>
              <w:tab w:val="left" w:pos="880"/>
              <w:tab w:val="right" w:leader="dot" w:pos="9350"/>
            </w:tabs>
            <w:rPr>
              <w:rFonts w:asciiTheme="minorHAnsi" w:hAnsiTheme="minorHAnsi"/>
              <w:noProof/>
              <w:lang w:eastAsia="en-US"/>
            </w:rPr>
          </w:pPr>
          <w:hyperlink w:anchor="_Toc18013298" w:history="1">
            <w:r w:rsidR="0081723E" w:rsidRPr="0054352E">
              <w:rPr>
                <w:rStyle w:val="Hyperlink"/>
                <w:noProof/>
              </w:rPr>
              <w:t>1.1.</w:t>
            </w:r>
            <w:r w:rsidR="0081723E">
              <w:rPr>
                <w:rFonts w:asciiTheme="minorHAnsi" w:hAnsiTheme="minorHAnsi"/>
                <w:noProof/>
                <w:lang w:eastAsia="en-US"/>
              </w:rPr>
              <w:tab/>
            </w:r>
            <w:r w:rsidR="0081723E" w:rsidRPr="0054352E">
              <w:rPr>
                <w:rStyle w:val="Hyperlink"/>
                <w:noProof/>
              </w:rPr>
              <w:t>State of the Practice</w:t>
            </w:r>
            <w:r w:rsidR="0081723E">
              <w:rPr>
                <w:noProof/>
                <w:webHidden/>
              </w:rPr>
              <w:tab/>
            </w:r>
            <w:r w:rsidR="0081723E">
              <w:rPr>
                <w:noProof/>
                <w:webHidden/>
              </w:rPr>
              <w:fldChar w:fldCharType="begin"/>
            </w:r>
            <w:r w:rsidR="0081723E">
              <w:rPr>
                <w:noProof/>
                <w:webHidden/>
              </w:rPr>
              <w:instrText xml:space="preserve"> PAGEREF _Toc18013298 \h </w:instrText>
            </w:r>
            <w:r w:rsidR="0081723E">
              <w:rPr>
                <w:noProof/>
                <w:webHidden/>
              </w:rPr>
            </w:r>
            <w:r w:rsidR="0081723E">
              <w:rPr>
                <w:noProof/>
                <w:webHidden/>
              </w:rPr>
              <w:fldChar w:fldCharType="separate"/>
            </w:r>
            <w:r w:rsidR="00614A66">
              <w:rPr>
                <w:noProof/>
                <w:webHidden/>
              </w:rPr>
              <w:t>6</w:t>
            </w:r>
            <w:r w:rsidR="0081723E">
              <w:rPr>
                <w:noProof/>
                <w:webHidden/>
              </w:rPr>
              <w:fldChar w:fldCharType="end"/>
            </w:r>
          </w:hyperlink>
        </w:p>
        <w:p w14:paraId="50B95A87" w14:textId="01F2EC5F" w:rsidR="0081723E" w:rsidRDefault="00D21135">
          <w:pPr>
            <w:pStyle w:val="TOC2"/>
            <w:tabs>
              <w:tab w:val="left" w:pos="880"/>
              <w:tab w:val="right" w:leader="dot" w:pos="9350"/>
            </w:tabs>
            <w:rPr>
              <w:rFonts w:asciiTheme="minorHAnsi" w:hAnsiTheme="minorHAnsi"/>
              <w:noProof/>
              <w:lang w:eastAsia="en-US"/>
            </w:rPr>
          </w:pPr>
          <w:hyperlink w:anchor="_Toc18013299" w:history="1">
            <w:r w:rsidR="0081723E" w:rsidRPr="0054352E">
              <w:rPr>
                <w:rStyle w:val="Hyperlink"/>
                <w:noProof/>
              </w:rPr>
              <w:t>1.2.</w:t>
            </w:r>
            <w:r w:rsidR="0081723E">
              <w:rPr>
                <w:rFonts w:asciiTheme="minorHAnsi" w:hAnsiTheme="minorHAnsi"/>
                <w:noProof/>
                <w:lang w:eastAsia="en-US"/>
              </w:rPr>
              <w:tab/>
            </w:r>
            <w:r w:rsidR="0081723E" w:rsidRPr="0054352E">
              <w:rPr>
                <w:rStyle w:val="Hyperlink"/>
                <w:noProof/>
              </w:rPr>
              <w:t>Adoption Path</w:t>
            </w:r>
            <w:r w:rsidR="0081723E">
              <w:rPr>
                <w:noProof/>
                <w:webHidden/>
              </w:rPr>
              <w:tab/>
            </w:r>
            <w:r w:rsidR="0081723E">
              <w:rPr>
                <w:noProof/>
                <w:webHidden/>
              </w:rPr>
              <w:fldChar w:fldCharType="begin"/>
            </w:r>
            <w:r w:rsidR="0081723E">
              <w:rPr>
                <w:noProof/>
                <w:webHidden/>
              </w:rPr>
              <w:instrText xml:space="preserve"> PAGEREF _Toc18013299 \h </w:instrText>
            </w:r>
            <w:r w:rsidR="0081723E">
              <w:rPr>
                <w:noProof/>
                <w:webHidden/>
              </w:rPr>
            </w:r>
            <w:r w:rsidR="0081723E">
              <w:rPr>
                <w:noProof/>
                <w:webHidden/>
              </w:rPr>
              <w:fldChar w:fldCharType="separate"/>
            </w:r>
            <w:r w:rsidR="00614A66">
              <w:rPr>
                <w:noProof/>
                <w:webHidden/>
              </w:rPr>
              <w:t>10</w:t>
            </w:r>
            <w:r w:rsidR="0081723E">
              <w:rPr>
                <w:noProof/>
                <w:webHidden/>
              </w:rPr>
              <w:fldChar w:fldCharType="end"/>
            </w:r>
          </w:hyperlink>
        </w:p>
        <w:p w14:paraId="71D2D86A" w14:textId="69F67D5B" w:rsidR="0081723E" w:rsidRDefault="00D21135">
          <w:pPr>
            <w:pStyle w:val="TOC3"/>
            <w:tabs>
              <w:tab w:val="left" w:pos="1320"/>
              <w:tab w:val="right" w:leader="dot" w:pos="9350"/>
            </w:tabs>
            <w:rPr>
              <w:rFonts w:asciiTheme="minorHAnsi" w:hAnsiTheme="minorHAnsi"/>
              <w:noProof/>
              <w:lang w:eastAsia="en-US"/>
            </w:rPr>
          </w:pPr>
          <w:hyperlink w:anchor="_Toc18013300" w:history="1">
            <w:r w:rsidR="0081723E" w:rsidRPr="0054352E">
              <w:rPr>
                <w:rStyle w:val="Hyperlink"/>
                <w:noProof/>
              </w:rPr>
              <w:t>1.2.1</w:t>
            </w:r>
            <w:r w:rsidR="0081723E">
              <w:rPr>
                <w:rFonts w:asciiTheme="minorHAnsi" w:hAnsiTheme="minorHAnsi"/>
                <w:noProof/>
                <w:lang w:eastAsia="en-US"/>
              </w:rPr>
              <w:tab/>
            </w:r>
            <w:r w:rsidR="0081723E" w:rsidRPr="0054352E">
              <w:rPr>
                <w:rStyle w:val="Hyperlink"/>
                <w:noProof/>
              </w:rPr>
              <w:t>Current Adoption</w:t>
            </w:r>
            <w:r w:rsidR="0081723E">
              <w:rPr>
                <w:noProof/>
                <w:webHidden/>
              </w:rPr>
              <w:tab/>
            </w:r>
            <w:r w:rsidR="0081723E">
              <w:rPr>
                <w:noProof/>
                <w:webHidden/>
              </w:rPr>
              <w:fldChar w:fldCharType="begin"/>
            </w:r>
            <w:r w:rsidR="0081723E">
              <w:rPr>
                <w:noProof/>
                <w:webHidden/>
              </w:rPr>
              <w:instrText xml:space="preserve"> PAGEREF _Toc18013300 \h </w:instrText>
            </w:r>
            <w:r w:rsidR="0081723E">
              <w:rPr>
                <w:noProof/>
                <w:webHidden/>
              </w:rPr>
            </w:r>
            <w:r w:rsidR="0081723E">
              <w:rPr>
                <w:noProof/>
                <w:webHidden/>
              </w:rPr>
              <w:fldChar w:fldCharType="separate"/>
            </w:r>
            <w:r w:rsidR="00614A66">
              <w:rPr>
                <w:noProof/>
                <w:webHidden/>
              </w:rPr>
              <w:t>10</w:t>
            </w:r>
            <w:r w:rsidR="0081723E">
              <w:rPr>
                <w:noProof/>
                <w:webHidden/>
              </w:rPr>
              <w:fldChar w:fldCharType="end"/>
            </w:r>
          </w:hyperlink>
        </w:p>
        <w:p w14:paraId="40C53F83" w14:textId="53D085AA" w:rsidR="0081723E" w:rsidRDefault="00D21135">
          <w:pPr>
            <w:pStyle w:val="TOC3"/>
            <w:tabs>
              <w:tab w:val="left" w:pos="1320"/>
              <w:tab w:val="right" w:leader="dot" w:pos="9350"/>
            </w:tabs>
            <w:rPr>
              <w:rFonts w:asciiTheme="minorHAnsi" w:hAnsiTheme="minorHAnsi"/>
              <w:noProof/>
              <w:lang w:eastAsia="en-US"/>
            </w:rPr>
          </w:pPr>
          <w:hyperlink w:anchor="_Toc18013301" w:history="1">
            <w:r w:rsidR="0081723E" w:rsidRPr="0054352E">
              <w:rPr>
                <w:rStyle w:val="Hyperlink"/>
                <w:noProof/>
              </w:rPr>
              <w:t>1.2.2</w:t>
            </w:r>
            <w:r w:rsidR="0081723E">
              <w:rPr>
                <w:rFonts w:asciiTheme="minorHAnsi" w:hAnsiTheme="minorHAnsi"/>
                <w:noProof/>
                <w:lang w:eastAsia="en-US"/>
              </w:rPr>
              <w:tab/>
            </w:r>
            <w:r w:rsidR="0081723E" w:rsidRPr="0054352E">
              <w:rPr>
                <w:rStyle w:val="Hyperlink"/>
                <w:noProof/>
              </w:rPr>
              <w:t>Trends to Accelerate Adoption</w:t>
            </w:r>
            <w:r w:rsidR="0081723E">
              <w:rPr>
                <w:noProof/>
                <w:webHidden/>
              </w:rPr>
              <w:tab/>
            </w:r>
            <w:r w:rsidR="0081723E">
              <w:rPr>
                <w:noProof/>
                <w:webHidden/>
              </w:rPr>
              <w:fldChar w:fldCharType="begin"/>
            </w:r>
            <w:r w:rsidR="0081723E">
              <w:rPr>
                <w:noProof/>
                <w:webHidden/>
              </w:rPr>
              <w:instrText xml:space="preserve"> PAGEREF _Toc18013301 \h </w:instrText>
            </w:r>
            <w:r w:rsidR="0081723E">
              <w:rPr>
                <w:noProof/>
                <w:webHidden/>
              </w:rPr>
            </w:r>
            <w:r w:rsidR="0081723E">
              <w:rPr>
                <w:noProof/>
                <w:webHidden/>
              </w:rPr>
              <w:fldChar w:fldCharType="separate"/>
            </w:r>
            <w:r w:rsidR="00614A66">
              <w:rPr>
                <w:noProof/>
                <w:webHidden/>
              </w:rPr>
              <w:t>10</w:t>
            </w:r>
            <w:r w:rsidR="0081723E">
              <w:rPr>
                <w:noProof/>
                <w:webHidden/>
              </w:rPr>
              <w:fldChar w:fldCharType="end"/>
            </w:r>
          </w:hyperlink>
        </w:p>
        <w:p w14:paraId="6A2258BB" w14:textId="23C43956" w:rsidR="0081723E" w:rsidRDefault="00D21135">
          <w:pPr>
            <w:pStyle w:val="TOC3"/>
            <w:tabs>
              <w:tab w:val="left" w:pos="1320"/>
              <w:tab w:val="right" w:leader="dot" w:pos="9350"/>
            </w:tabs>
            <w:rPr>
              <w:rFonts w:asciiTheme="minorHAnsi" w:hAnsiTheme="minorHAnsi"/>
              <w:noProof/>
              <w:lang w:eastAsia="en-US"/>
            </w:rPr>
          </w:pPr>
          <w:hyperlink w:anchor="_Toc18013302" w:history="1">
            <w:r w:rsidR="0081723E" w:rsidRPr="0054352E">
              <w:rPr>
                <w:rStyle w:val="Hyperlink"/>
                <w:noProof/>
              </w:rPr>
              <w:t>1.2.3</w:t>
            </w:r>
            <w:r w:rsidR="0081723E">
              <w:rPr>
                <w:rFonts w:asciiTheme="minorHAnsi" w:hAnsiTheme="minorHAnsi"/>
                <w:noProof/>
                <w:lang w:eastAsia="en-US"/>
              </w:rPr>
              <w:tab/>
            </w:r>
            <w:r w:rsidR="0081723E" w:rsidRPr="0054352E">
              <w:rPr>
                <w:rStyle w:val="Hyperlink"/>
                <w:noProof/>
              </w:rPr>
              <w:t>Barriers to Adoption</w:t>
            </w:r>
            <w:r w:rsidR="0081723E">
              <w:rPr>
                <w:noProof/>
                <w:webHidden/>
              </w:rPr>
              <w:tab/>
            </w:r>
            <w:r w:rsidR="0081723E">
              <w:rPr>
                <w:noProof/>
                <w:webHidden/>
              </w:rPr>
              <w:fldChar w:fldCharType="begin"/>
            </w:r>
            <w:r w:rsidR="0081723E">
              <w:rPr>
                <w:noProof/>
                <w:webHidden/>
              </w:rPr>
              <w:instrText xml:space="preserve"> PAGEREF _Toc18013302 \h </w:instrText>
            </w:r>
            <w:r w:rsidR="0081723E">
              <w:rPr>
                <w:noProof/>
                <w:webHidden/>
              </w:rPr>
            </w:r>
            <w:r w:rsidR="0081723E">
              <w:rPr>
                <w:noProof/>
                <w:webHidden/>
              </w:rPr>
              <w:fldChar w:fldCharType="separate"/>
            </w:r>
            <w:r w:rsidR="00614A66">
              <w:rPr>
                <w:noProof/>
                <w:webHidden/>
              </w:rPr>
              <w:t>11</w:t>
            </w:r>
            <w:r w:rsidR="0081723E">
              <w:rPr>
                <w:noProof/>
                <w:webHidden/>
              </w:rPr>
              <w:fldChar w:fldCharType="end"/>
            </w:r>
          </w:hyperlink>
        </w:p>
        <w:p w14:paraId="42B2FD76" w14:textId="3A144C90" w:rsidR="0081723E" w:rsidRDefault="00D21135">
          <w:pPr>
            <w:pStyle w:val="TOC3"/>
            <w:tabs>
              <w:tab w:val="left" w:pos="1320"/>
              <w:tab w:val="right" w:leader="dot" w:pos="9350"/>
            </w:tabs>
            <w:rPr>
              <w:rFonts w:asciiTheme="minorHAnsi" w:hAnsiTheme="minorHAnsi"/>
              <w:noProof/>
              <w:lang w:eastAsia="en-US"/>
            </w:rPr>
          </w:pPr>
          <w:hyperlink w:anchor="_Toc18013303" w:history="1">
            <w:r w:rsidR="0081723E" w:rsidRPr="0054352E">
              <w:rPr>
                <w:rStyle w:val="Hyperlink"/>
                <w:noProof/>
              </w:rPr>
              <w:t>1.2.4</w:t>
            </w:r>
            <w:r w:rsidR="0081723E">
              <w:rPr>
                <w:rFonts w:asciiTheme="minorHAnsi" w:hAnsiTheme="minorHAnsi"/>
                <w:noProof/>
                <w:lang w:eastAsia="en-US"/>
              </w:rPr>
              <w:tab/>
            </w:r>
            <w:r w:rsidR="0081723E" w:rsidRPr="0054352E">
              <w:rPr>
                <w:rStyle w:val="Hyperlink"/>
                <w:noProof/>
              </w:rPr>
              <w:t>Adoption Potential</w:t>
            </w:r>
            <w:r w:rsidR="0081723E">
              <w:rPr>
                <w:noProof/>
                <w:webHidden/>
              </w:rPr>
              <w:tab/>
            </w:r>
            <w:r w:rsidR="0081723E">
              <w:rPr>
                <w:noProof/>
                <w:webHidden/>
              </w:rPr>
              <w:fldChar w:fldCharType="begin"/>
            </w:r>
            <w:r w:rsidR="0081723E">
              <w:rPr>
                <w:noProof/>
                <w:webHidden/>
              </w:rPr>
              <w:instrText xml:space="preserve"> PAGEREF _Toc18013303 \h </w:instrText>
            </w:r>
            <w:r w:rsidR="0081723E">
              <w:rPr>
                <w:noProof/>
                <w:webHidden/>
              </w:rPr>
            </w:r>
            <w:r w:rsidR="0081723E">
              <w:rPr>
                <w:noProof/>
                <w:webHidden/>
              </w:rPr>
              <w:fldChar w:fldCharType="separate"/>
            </w:r>
            <w:r w:rsidR="00614A66">
              <w:rPr>
                <w:noProof/>
                <w:webHidden/>
              </w:rPr>
              <w:t>12</w:t>
            </w:r>
            <w:r w:rsidR="0081723E">
              <w:rPr>
                <w:noProof/>
                <w:webHidden/>
              </w:rPr>
              <w:fldChar w:fldCharType="end"/>
            </w:r>
          </w:hyperlink>
        </w:p>
        <w:p w14:paraId="67B2778C" w14:textId="591A5833" w:rsidR="0081723E" w:rsidRDefault="00D21135">
          <w:pPr>
            <w:pStyle w:val="TOC2"/>
            <w:tabs>
              <w:tab w:val="left" w:pos="880"/>
              <w:tab w:val="right" w:leader="dot" w:pos="9350"/>
            </w:tabs>
            <w:rPr>
              <w:rFonts w:asciiTheme="minorHAnsi" w:hAnsiTheme="minorHAnsi"/>
              <w:noProof/>
              <w:lang w:eastAsia="en-US"/>
            </w:rPr>
          </w:pPr>
          <w:hyperlink w:anchor="_Toc18013304" w:history="1">
            <w:r w:rsidR="0081723E" w:rsidRPr="0054352E">
              <w:rPr>
                <w:rStyle w:val="Hyperlink"/>
                <w:noProof/>
              </w:rPr>
              <w:t>1.3</w:t>
            </w:r>
            <w:r w:rsidR="0081723E">
              <w:rPr>
                <w:rFonts w:asciiTheme="minorHAnsi" w:hAnsiTheme="minorHAnsi"/>
                <w:noProof/>
                <w:lang w:eastAsia="en-US"/>
              </w:rPr>
              <w:tab/>
            </w:r>
            <w:r w:rsidR="0081723E" w:rsidRPr="0054352E">
              <w:rPr>
                <w:rStyle w:val="Hyperlink"/>
                <w:noProof/>
              </w:rPr>
              <w:t>Advantages and disadvantages of Silvopasture Systems</w:t>
            </w:r>
            <w:r w:rsidR="0081723E">
              <w:rPr>
                <w:noProof/>
                <w:webHidden/>
              </w:rPr>
              <w:tab/>
            </w:r>
            <w:r w:rsidR="0081723E">
              <w:rPr>
                <w:noProof/>
                <w:webHidden/>
              </w:rPr>
              <w:fldChar w:fldCharType="begin"/>
            </w:r>
            <w:r w:rsidR="0081723E">
              <w:rPr>
                <w:noProof/>
                <w:webHidden/>
              </w:rPr>
              <w:instrText xml:space="preserve"> PAGEREF _Toc18013304 \h </w:instrText>
            </w:r>
            <w:r w:rsidR="0081723E">
              <w:rPr>
                <w:noProof/>
                <w:webHidden/>
              </w:rPr>
            </w:r>
            <w:r w:rsidR="0081723E">
              <w:rPr>
                <w:noProof/>
                <w:webHidden/>
              </w:rPr>
              <w:fldChar w:fldCharType="separate"/>
            </w:r>
            <w:r w:rsidR="00614A66">
              <w:rPr>
                <w:noProof/>
                <w:webHidden/>
              </w:rPr>
              <w:t>12</w:t>
            </w:r>
            <w:r w:rsidR="0081723E">
              <w:rPr>
                <w:noProof/>
                <w:webHidden/>
              </w:rPr>
              <w:fldChar w:fldCharType="end"/>
            </w:r>
          </w:hyperlink>
        </w:p>
        <w:p w14:paraId="44A13457" w14:textId="0BF370D1" w:rsidR="0081723E" w:rsidRDefault="00D21135">
          <w:pPr>
            <w:pStyle w:val="TOC3"/>
            <w:tabs>
              <w:tab w:val="left" w:pos="1320"/>
              <w:tab w:val="right" w:leader="dot" w:pos="9350"/>
            </w:tabs>
            <w:rPr>
              <w:rFonts w:asciiTheme="minorHAnsi" w:hAnsiTheme="minorHAnsi"/>
              <w:noProof/>
              <w:lang w:eastAsia="en-US"/>
            </w:rPr>
          </w:pPr>
          <w:hyperlink w:anchor="_Toc18013305" w:history="1">
            <w:r w:rsidR="0081723E" w:rsidRPr="0054352E">
              <w:rPr>
                <w:rStyle w:val="Hyperlink"/>
                <w:noProof/>
              </w:rPr>
              <w:t>1.3.1</w:t>
            </w:r>
            <w:r w:rsidR="0081723E">
              <w:rPr>
                <w:rFonts w:asciiTheme="minorHAnsi" w:hAnsiTheme="minorHAnsi"/>
                <w:noProof/>
                <w:lang w:eastAsia="en-US"/>
              </w:rPr>
              <w:tab/>
            </w:r>
            <w:r w:rsidR="0081723E" w:rsidRPr="0054352E">
              <w:rPr>
                <w:rStyle w:val="Hyperlink"/>
                <w:noProof/>
              </w:rPr>
              <w:t>Similar Solutions</w:t>
            </w:r>
            <w:r w:rsidR="0081723E">
              <w:rPr>
                <w:noProof/>
                <w:webHidden/>
              </w:rPr>
              <w:tab/>
            </w:r>
            <w:r w:rsidR="0081723E">
              <w:rPr>
                <w:noProof/>
                <w:webHidden/>
              </w:rPr>
              <w:fldChar w:fldCharType="begin"/>
            </w:r>
            <w:r w:rsidR="0081723E">
              <w:rPr>
                <w:noProof/>
                <w:webHidden/>
              </w:rPr>
              <w:instrText xml:space="preserve"> PAGEREF _Toc18013305 \h </w:instrText>
            </w:r>
            <w:r w:rsidR="0081723E">
              <w:rPr>
                <w:noProof/>
                <w:webHidden/>
              </w:rPr>
            </w:r>
            <w:r w:rsidR="0081723E">
              <w:rPr>
                <w:noProof/>
                <w:webHidden/>
              </w:rPr>
              <w:fldChar w:fldCharType="separate"/>
            </w:r>
            <w:r w:rsidR="00614A66">
              <w:rPr>
                <w:noProof/>
                <w:webHidden/>
              </w:rPr>
              <w:t>12</w:t>
            </w:r>
            <w:r w:rsidR="0081723E">
              <w:rPr>
                <w:noProof/>
                <w:webHidden/>
              </w:rPr>
              <w:fldChar w:fldCharType="end"/>
            </w:r>
          </w:hyperlink>
        </w:p>
        <w:p w14:paraId="7761B875" w14:textId="2F5A5A34" w:rsidR="0081723E" w:rsidRDefault="00D21135">
          <w:pPr>
            <w:pStyle w:val="TOC3"/>
            <w:tabs>
              <w:tab w:val="left" w:pos="1320"/>
              <w:tab w:val="right" w:leader="dot" w:pos="9350"/>
            </w:tabs>
            <w:rPr>
              <w:rFonts w:asciiTheme="minorHAnsi" w:hAnsiTheme="minorHAnsi"/>
              <w:noProof/>
              <w:lang w:eastAsia="en-US"/>
            </w:rPr>
          </w:pPr>
          <w:hyperlink w:anchor="_Toc18013306" w:history="1">
            <w:r w:rsidR="0081723E" w:rsidRPr="0054352E">
              <w:rPr>
                <w:rStyle w:val="Hyperlink"/>
                <w:noProof/>
              </w:rPr>
              <w:t>1.3.2</w:t>
            </w:r>
            <w:r w:rsidR="0081723E">
              <w:rPr>
                <w:rFonts w:asciiTheme="minorHAnsi" w:hAnsiTheme="minorHAnsi"/>
                <w:noProof/>
                <w:lang w:eastAsia="en-US"/>
              </w:rPr>
              <w:tab/>
            </w:r>
            <w:r w:rsidR="0081723E" w:rsidRPr="0054352E">
              <w:rPr>
                <w:rStyle w:val="Hyperlink"/>
                <w:noProof/>
              </w:rPr>
              <w:t>Arguments for Adoption</w:t>
            </w:r>
            <w:r w:rsidR="0081723E">
              <w:rPr>
                <w:noProof/>
                <w:webHidden/>
              </w:rPr>
              <w:tab/>
            </w:r>
            <w:r w:rsidR="0081723E">
              <w:rPr>
                <w:noProof/>
                <w:webHidden/>
              </w:rPr>
              <w:fldChar w:fldCharType="begin"/>
            </w:r>
            <w:r w:rsidR="0081723E">
              <w:rPr>
                <w:noProof/>
                <w:webHidden/>
              </w:rPr>
              <w:instrText xml:space="preserve"> PAGEREF _Toc18013306 \h </w:instrText>
            </w:r>
            <w:r w:rsidR="0081723E">
              <w:rPr>
                <w:noProof/>
                <w:webHidden/>
              </w:rPr>
            </w:r>
            <w:r w:rsidR="0081723E">
              <w:rPr>
                <w:noProof/>
                <w:webHidden/>
              </w:rPr>
              <w:fldChar w:fldCharType="separate"/>
            </w:r>
            <w:r w:rsidR="00614A66">
              <w:rPr>
                <w:noProof/>
                <w:webHidden/>
              </w:rPr>
              <w:t>12</w:t>
            </w:r>
            <w:r w:rsidR="0081723E">
              <w:rPr>
                <w:noProof/>
                <w:webHidden/>
              </w:rPr>
              <w:fldChar w:fldCharType="end"/>
            </w:r>
          </w:hyperlink>
        </w:p>
        <w:p w14:paraId="7AEE4BF3" w14:textId="07245AFC" w:rsidR="0081723E" w:rsidRDefault="00D21135">
          <w:pPr>
            <w:pStyle w:val="TOC3"/>
            <w:tabs>
              <w:tab w:val="left" w:pos="1320"/>
              <w:tab w:val="right" w:leader="dot" w:pos="9350"/>
            </w:tabs>
            <w:rPr>
              <w:rFonts w:asciiTheme="minorHAnsi" w:hAnsiTheme="minorHAnsi"/>
              <w:noProof/>
              <w:lang w:eastAsia="en-US"/>
            </w:rPr>
          </w:pPr>
          <w:hyperlink w:anchor="_Toc18013307" w:history="1">
            <w:r w:rsidR="0081723E" w:rsidRPr="0054352E">
              <w:rPr>
                <w:rStyle w:val="Hyperlink"/>
                <w:noProof/>
              </w:rPr>
              <w:t>1.3.3</w:t>
            </w:r>
            <w:r w:rsidR="0081723E">
              <w:rPr>
                <w:rFonts w:asciiTheme="minorHAnsi" w:hAnsiTheme="minorHAnsi"/>
                <w:noProof/>
                <w:lang w:eastAsia="en-US"/>
              </w:rPr>
              <w:tab/>
            </w:r>
            <w:r w:rsidR="0081723E" w:rsidRPr="0054352E">
              <w:rPr>
                <w:rStyle w:val="Hyperlink"/>
                <w:noProof/>
              </w:rPr>
              <w:t>Additional Benefits and Burdens</w:t>
            </w:r>
            <w:r w:rsidR="0081723E">
              <w:rPr>
                <w:noProof/>
                <w:webHidden/>
              </w:rPr>
              <w:tab/>
            </w:r>
            <w:r w:rsidR="0081723E">
              <w:rPr>
                <w:noProof/>
                <w:webHidden/>
              </w:rPr>
              <w:fldChar w:fldCharType="begin"/>
            </w:r>
            <w:r w:rsidR="0081723E">
              <w:rPr>
                <w:noProof/>
                <w:webHidden/>
              </w:rPr>
              <w:instrText xml:space="preserve"> PAGEREF _Toc18013307 \h </w:instrText>
            </w:r>
            <w:r w:rsidR="0081723E">
              <w:rPr>
                <w:noProof/>
                <w:webHidden/>
              </w:rPr>
            </w:r>
            <w:r w:rsidR="0081723E">
              <w:rPr>
                <w:noProof/>
                <w:webHidden/>
              </w:rPr>
              <w:fldChar w:fldCharType="separate"/>
            </w:r>
            <w:r w:rsidR="00614A66">
              <w:rPr>
                <w:noProof/>
                <w:webHidden/>
              </w:rPr>
              <w:t>14</w:t>
            </w:r>
            <w:r w:rsidR="0081723E">
              <w:rPr>
                <w:noProof/>
                <w:webHidden/>
              </w:rPr>
              <w:fldChar w:fldCharType="end"/>
            </w:r>
          </w:hyperlink>
        </w:p>
        <w:p w14:paraId="22E49567" w14:textId="123A7AA8" w:rsidR="0081723E" w:rsidRDefault="00D21135">
          <w:pPr>
            <w:pStyle w:val="TOC1"/>
            <w:tabs>
              <w:tab w:val="left" w:pos="440"/>
              <w:tab w:val="right" w:leader="dot" w:pos="9350"/>
            </w:tabs>
            <w:rPr>
              <w:rFonts w:asciiTheme="minorHAnsi" w:hAnsiTheme="minorHAnsi"/>
              <w:noProof/>
              <w:lang w:eastAsia="en-US"/>
            </w:rPr>
          </w:pPr>
          <w:hyperlink w:anchor="_Toc18013308" w:history="1">
            <w:r w:rsidR="0081723E" w:rsidRPr="0054352E">
              <w:rPr>
                <w:rStyle w:val="Hyperlink"/>
                <w:noProof/>
              </w:rPr>
              <w:t>2</w:t>
            </w:r>
            <w:r w:rsidR="0081723E">
              <w:rPr>
                <w:rFonts w:asciiTheme="minorHAnsi" w:hAnsiTheme="minorHAnsi"/>
                <w:noProof/>
                <w:lang w:eastAsia="en-US"/>
              </w:rPr>
              <w:tab/>
            </w:r>
            <w:r w:rsidR="0081723E" w:rsidRPr="0054352E">
              <w:rPr>
                <w:rStyle w:val="Hyperlink"/>
                <w:noProof/>
              </w:rPr>
              <w:t>Methodology</w:t>
            </w:r>
            <w:r w:rsidR="0081723E">
              <w:rPr>
                <w:noProof/>
                <w:webHidden/>
              </w:rPr>
              <w:tab/>
            </w:r>
            <w:r w:rsidR="0081723E">
              <w:rPr>
                <w:noProof/>
                <w:webHidden/>
              </w:rPr>
              <w:fldChar w:fldCharType="begin"/>
            </w:r>
            <w:r w:rsidR="0081723E">
              <w:rPr>
                <w:noProof/>
                <w:webHidden/>
              </w:rPr>
              <w:instrText xml:space="preserve"> PAGEREF _Toc18013308 \h </w:instrText>
            </w:r>
            <w:r w:rsidR="0081723E">
              <w:rPr>
                <w:noProof/>
                <w:webHidden/>
              </w:rPr>
            </w:r>
            <w:r w:rsidR="0081723E">
              <w:rPr>
                <w:noProof/>
                <w:webHidden/>
              </w:rPr>
              <w:fldChar w:fldCharType="separate"/>
            </w:r>
            <w:r w:rsidR="00614A66">
              <w:rPr>
                <w:noProof/>
                <w:webHidden/>
              </w:rPr>
              <w:t>16</w:t>
            </w:r>
            <w:r w:rsidR="0081723E">
              <w:rPr>
                <w:noProof/>
                <w:webHidden/>
              </w:rPr>
              <w:fldChar w:fldCharType="end"/>
            </w:r>
          </w:hyperlink>
        </w:p>
        <w:p w14:paraId="36444817" w14:textId="1A0D0C2B" w:rsidR="0081723E" w:rsidRDefault="00D21135">
          <w:pPr>
            <w:pStyle w:val="TOC2"/>
            <w:tabs>
              <w:tab w:val="left" w:pos="880"/>
              <w:tab w:val="right" w:leader="dot" w:pos="9350"/>
            </w:tabs>
            <w:rPr>
              <w:rFonts w:asciiTheme="minorHAnsi" w:hAnsiTheme="minorHAnsi"/>
              <w:noProof/>
              <w:lang w:eastAsia="en-US"/>
            </w:rPr>
          </w:pPr>
          <w:hyperlink w:anchor="_Toc18013309" w:history="1">
            <w:r w:rsidR="0081723E" w:rsidRPr="0054352E">
              <w:rPr>
                <w:rStyle w:val="Hyperlink"/>
                <w:noProof/>
              </w:rPr>
              <w:t>2.1</w:t>
            </w:r>
            <w:r w:rsidR="0081723E">
              <w:rPr>
                <w:rFonts w:asciiTheme="minorHAnsi" w:hAnsiTheme="minorHAnsi"/>
                <w:noProof/>
                <w:lang w:eastAsia="en-US"/>
              </w:rPr>
              <w:tab/>
            </w:r>
            <w:r w:rsidR="0081723E" w:rsidRPr="0054352E">
              <w:rPr>
                <w:rStyle w:val="Hyperlink"/>
                <w:noProof/>
              </w:rPr>
              <w:t>Introduction</w:t>
            </w:r>
            <w:r w:rsidR="0081723E">
              <w:rPr>
                <w:noProof/>
                <w:webHidden/>
              </w:rPr>
              <w:tab/>
            </w:r>
            <w:r w:rsidR="0081723E">
              <w:rPr>
                <w:noProof/>
                <w:webHidden/>
              </w:rPr>
              <w:fldChar w:fldCharType="begin"/>
            </w:r>
            <w:r w:rsidR="0081723E">
              <w:rPr>
                <w:noProof/>
                <w:webHidden/>
              </w:rPr>
              <w:instrText xml:space="preserve"> PAGEREF _Toc18013309 \h </w:instrText>
            </w:r>
            <w:r w:rsidR="0081723E">
              <w:rPr>
                <w:noProof/>
                <w:webHidden/>
              </w:rPr>
            </w:r>
            <w:r w:rsidR="0081723E">
              <w:rPr>
                <w:noProof/>
                <w:webHidden/>
              </w:rPr>
              <w:fldChar w:fldCharType="separate"/>
            </w:r>
            <w:r w:rsidR="00614A66">
              <w:rPr>
                <w:noProof/>
                <w:webHidden/>
              </w:rPr>
              <w:t>16</w:t>
            </w:r>
            <w:r w:rsidR="0081723E">
              <w:rPr>
                <w:noProof/>
                <w:webHidden/>
              </w:rPr>
              <w:fldChar w:fldCharType="end"/>
            </w:r>
          </w:hyperlink>
        </w:p>
        <w:p w14:paraId="748E729E" w14:textId="5307C8F8" w:rsidR="0081723E" w:rsidRDefault="00D21135">
          <w:pPr>
            <w:pStyle w:val="TOC2"/>
            <w:tabs>
              <w:tab w:val="left" w:pos="880"/>
              <w:tab w:val="right" w:leader="dot" w:pos="9350"/>
            </w:tabs>
            <w:rPr>
              <w:rFonts w:asciiTheme="minorHAnsi" w:hAnsiTheme="minorHAnsi"/>
              <w:noProof/>
              <w:lang w:eastAsia="en-US"/>
            </w:rPr>
          </w:pPr>
          <w:hyperlink w:anchor="_Toc18013310" w:history="1">
            <w:r w:rsidR="0081723E" w:rsidRPr="0054352E">
              <w:rPr>
                <w:rStyle w:val="Hyperlink"/>
                <w:noProof/>
              </w:rPr>
              <w:t>2.2</w:t>
            </w:r>
            <w:r w:rsidR="0081723E">
              <w:rPr>
                <w:rFonts w:asciiTheme="minorHAnsi" w:hAnsiTheme="minorHAnsi"/>
                <w:noProof/>
                <w:lang w:eastAsia="en-US"/>
              </w:rPr>
              <w:tab/>
            </w:r>
            <w:r w:rsidR="0081723E" w:rsidRPr="0054352E">
              <w:rPr>
                <w:rStyle w:val="Hyperlink"/>
                <w:noProof/>
              </w:rPr>
              <w:t>Data Sources</w:t>
            </w:r>
            <w:r w:rsidR="0081723E">
              <w:rPr>
                <w:noProof/>
                <w:webHidden/>
              </w:rPr>
              <w:tab/>
            </w:r>
            <w:r w:rsidR="0081723E">
              <w:rPr>
                <w:noProof/>
                <w:webHidden/>
              </w:rPr>
              <w:fldChar w:fldCharType="begin"/>
            </w:r>
            <w:r w:rsidR="0081723E">
              <w:rPr>
                <w:noProof/>
                <w:webHidden/>
              </w:rPr>
              <w:instrText xml:space="preserve"> PAGEREF _Toc18013310 \h </w:instrText>
            </w:r>
            <w:r w:rsidR="0081723E">
              <w:rPr>
                <w:noProof/>
                <w:webHidden/>
              </w:rPr>
            </w:r>
            <w:r w:rsidR="0081723E">
              <w:rPr>
                <w:noProof/>
                <w:webHidden/>
              </w:rPr>
              <w:fldChar w:fldCharType="separate"/>
            </w:r>
            <w:r w:rsidR="00614A66">
              <w:rPr>
                <w:noProof/>
                <w:webHidden/>
              </w:rPr>
              <w:t>17</w:t>
            </w:r>
            <w:r w:rsidR="0081723E">
              <w:rPr>
                <w:noProof/>
                <w:webHidden/>
              </w:rPr>
              <w:fldChar w:fldCharType="end"/>
            </w:r>
          </w:hyperlink>
        </w:p>
        <w:p w14:paraId="17D0168E" w14:textId="10A5EC0F" w:rsidR="0081723E" w:rsidRDefault="00D21135">
          <w:pPr>
            <w:pStyle w:val="TOC2"/>
            <w:tabs>
              <w:tab w:val="left" w:pos="880"/>
              <w:tab w:val="right" w:leader="dot" w:pos="9350"/>
            </w:tabs>
            <w:rPr>
              <w:rFonts w:asciiTheme="minorHAnsi" w:hAnsiTheme="minorHAnsi"/>
              <w:noProof/>
              <w:lang w:eastAsia="en-US"/>
            </w:rPr>
          </w:pPr>
          <w:hyperlink w:anchor="_Toc18013311" w:history="1">
            <w:r w:rsidR="0081723E" w:rsidRPr="0054352E">
              <w:rPr>
                <w:rStyle w:val="Hyperlink"/>
                <w:noProof/>
              </w:rPr>
              <w:t>2.3</w:t>
            </w:r>
            <w:r w:rsidR="0081723E">
              <w:rPr>
                <w:rFonts w:asciiTheme="minorHAnsi" w:hAnsiTheme="minorHAnsi"/>
                <w:noProof/>
                <w:lang w:eastAsia="en-US"/>
              </w:rPr>
              <w:tab/>
            </w:r>
            <w:r w:rsidR="0081723E" w:rsidRPr="0054352E">
              <w:rPr>
                <w:rStyle w:val="Hyperlink"/>
                <w:noProof/>
              </w:rPr>
              <w:t>Total Available Land</w:t>
            </w:r>
            <w:r w:rsidR="0081723E">
              <w:rPr>
                <w:noProof/>
                <w:webHidden/>
              </w:rPr>
              <w:tab/>
            </w:r>
            <w:r w:rsidR="0081723E">
              <w:rPr>
                <w:noProof/>
                <w:webHidden/>
              </w:rPr>
              <w:fldChar w:fldCharType="begin"/>
            </w:r>
            <w:r w:rsidR="0081723E">
              <w:rPr>
                <w:noProof/>
                <w:webHidden/>
              </w:rPr>
              <w:instrText xml:space="preserve"> PAGEREF _Toc18013311 \h </w:instrText>
            </w:r>
            <w:r w:rsidR="0081723E">
              <w:rPr>
                <w:noProof/>
                <w:webHidden/>
              </w:rPr>
            </w:r>
            <w:r w:rsidR="0081723E">
              <w:rPr>
                <w:noProof/>
                <w:webHidden/>
              </w:rPr>
              <w:fldChar w:fldCharType="separate"/>
            </w:r>
            <w:r w:rsidR="00614A66">
              <w:rPr>
                <w:noProof/>
                <w:webHidden/>
              </w:rPr>
              <w:t>17</w:t>
            </w:r>
            <w:r w:rsidR="0081723E">
              <w:rPr>
                <w:noProof/>
                <w:webHidden/>
              </w:rPr>
              <w:fldChar w:fldCharType="end"/>
            </w:r>
          </w:hyperlink>
        </w:p>
        <w:p w14:paraId="24FE0281" w14:textId="4D3A89B3" w:rsidR="0081723E" w:rsidRDefault="00D21135">
          <w:pPr>
            <w:pStyle w:val="TOC2"/>
            <w:tabs>
              <w:tab w:val="left" w:pos="880"/>
              <w:tab w:val="right" w:leader="dot" w:pos="9350"/>
            </w:tabs>
            <w:rPr>
              <w:rFonts w:asciiTheme="minorHAnsi" w:hAnsiTheme="minorHAnsi"/>
              <w:noProof/>
              <w:lang w:eastAsia="en-US"/>
            </w:rPr>
          </w:pPr>
          <w:hyperlink w:anchor="_Toc18013312" w:history="1">
            <w:r w:rsidR="0081723E" w:rsidRPr="0054352E">
              <w:rPr>
                <w:rStyle w:val="Hyperlink"/>
                <w:noProof/>
              </w:rPr>
              <w:t>2.4</w:t>
            </w:r>
            <w:r w:rsidR="0081723E">
              <w:rPr>
                <w:rFonts w:asciiTheme="minorHAnsi" w:hAnsiTheme="minorHAnsi"/>
                <w:noProof/>
                <w:lang w:eastAsia="en-US"/>
              </w:rPr>
              <w:tab/>
            </w:r>
            <w:r w:rsidR="0081723E" w:rsidRPr="0054352E">
              <w:rPr>
                <w:rStyle w:val="Hyperlink"/>
                <w:noProof/>
              </w:rPr>
              <w:t>Adoption Scenarios</w:t>
            </w:r>
            <w:r w:rsidR="0081723E">
              <w:rPr>
                <w:noProof/>
                <w:webHidden/>
              </w:rPr>
              <w:tab/>
            </w:r>
            <w:r w:rsidR="0081723E">
              <w:rPr>
                <w:noProof/>
                <w:webHidden/>
              </w:rPr>
              <w:fldChar w:fldCharType="begin"/>
            </w:r>
            <w:r w:rsidR="0081723E">
              <w:rPr>
                <w:noProof/>
                <w:webHidden/>
              </w:rPr>
              <w:instrText xml:space="preserve"> PAGEREF _Toc18013312 \h </w:instrText>
            </w:r>
            <w:r w:rsidR="0081723E">
              <w:rPr>
                <w:noProof/>
                <w:webHidden/>
              </w:rPr>
            </w:r>
            <w:r w:rsidR="0081723E">
              <w:rPr>
                <w:noProof/>
                <w:webHidden/>
              </w:rPr>
              <w:fldChar w:fldCharType="separate"/>
            </w:r>
            <w:r w:rsidR="00614A66">
              <w:rPr>
                <w:noProof/>
                <w:webHidden/>
              </w:rPr>
              <w:t>18</w:t>
            </w:r>
            <w:r w:rsidR="0081723E">
              <w:rPr>
                <w:noProof/>
                <w:webHidden/>
              </w:rPr>
              <w:fldChar w:fldCharType="end"/>
            </w:r>
          </w:hyperlink>
        </w:p>
        <w:p w14:paraId="3FB2DC31" w14:textId="6EC6D179" w:rsidR="0081723E" w:rsidRDefault="00D21135">
          <w:pPr>
            <w:pStyle w:val="TOC3"/>
            <w:tabs>
              <w:tab w:val="left" w:pos="1320"/>
              <w:tab w:val="right" w:leader="dot" w:pos="9350"/>
            </w:tabs>
            <w:rPr>
              <w:rFonts w:asciiTheme="minorHAnsi" w:hAnsiTheme="minorHAnsi"/>
              <w:noProof/>
              <w:lang w:eastAsia="en-US"/>
            </w:rPr>
          </w:pPr>
          <w:hyperlink w:anchor="_Toc18013313" w:history="1">
            <w:r w:rsidR="0081723E" w:rsidRPr="0054352E">
              <w:rPr>
                <w:rStyle w:val="Hyperlink"/>
                <w:noProof/>
              </w:rPr>
              <w:t>2.4.1</w:t>
            </w:r>
            <w:r w:rsidR="0081723E">
              <w:rPr>
                <w:rFonts w:asciiTheme="minorHAnsi" w:hAnsiTheme="minorHAnsi"/>
                <w:noProof/>
                <w:lang w:eastAsia="en-US"/>
              </w:rPr>
              <w:tab/>
            </w:r>
            <w:r w:rsidR="0081723E" w:rsidRPr="0054352E">
              <w:rPr>
                <w:rStyle w:val="Hyperlink"/>
                <w:noProof/>
              </w:rPr>
              <w:t>Reference Case / Current Adoption</w:t>
            </w:r>
            <w:r w:rsidR="0081723E">
              <w:rPr>
                <w:noProof/>
                <w:webHidden/>
              </w:rPr>
              <w:tab/>
            </w:r>
            <w:r w:rsidR="0081723E">
              <w:rPr>
                <w:noProof/>
                <w:webHidden/>
              </w:rPr>
              <w:fldChar w:fldCharType="begin"/>
            </w:r>
            <w:r w:rsidR="0081723E">
              <w:rPr>
                <w:noProof/>
                <w:webHidden/>
              </w:rPr>
              <w:instrText xml:space="preserve"> PAGEREF _Toc18013313 \h </w:instrText>
            </w:r>
            <w:r w:rsidR="0081723E">
              <w:rPr>
                <w:noProof/>
                <w:webHidden/>
              </w:rPr>
            </w:r>
            <w:r w:rsidR="0081723E">
              <w:rPr>
                <w:noProof/>
                <w:webHidden/>
              </w:rPr>
              <w:fldChar w:fldCharType="separate"/>
            </w:r>
            <w:r w:rsidR="00614A66">
              <w:rPr>
                <w:noProof/>
                <w:webHidden/>
              </w:rPr>
              <w:t>20</w:t>
            </w:r>
            <w:r w:rsidR="0081723E">
              <w:rPr>
                <w:noProof/>
                <w:webHidden/>
              </w:rPr>
              <w:fldChar w:fldCharType="end"/>
            </w:r>
          </w:hyperlink>
        </w:p>
        <w:p w14:paraId="4BB608A9" w14:textId="410720FE" w:rsidR="0081723E" w:rsidRDefault="00D21135">
          <w:pPr>
            <w:pStyle w:val="TOC3"/>
            <w:tabs>
              <w:tab w:val="right" w:leader="dot" w:pos="9350"/>
            </w:tabs>
            <w:rPr>
              <w:rFonts w:asciiTheme="minorHAnsi" w:hAnsiTheme="minorHAnsi"/>
              <w:noProof/>
              <w:lang w:eastAsia="en-US"/>
            </w:rPr>
          </w:pPr>
          <w:hyperlink w:anchor="_Toc18013314" w:history="1">
            <w:r w:rsidR="0081723E" w:rsidRPr="0054352E">
              <w:rPr>
                <w:rStyle w:val="Hyperlink"/>
                <w:noProof/>
              </w:rPr>
              <w:t>Project Drawdown Scenarios</w:t>
            </w:r>
            <w:r w:rsidR="0081723E">
              <w:rPr>
                <w:noProof/>
                <w:webHidden/>
              </w:rPr>
              <w:tab/>
            </w:r>
            <w:r w:rsidR="0081723E">
              <w:rPr>
                <w:noProof/>
                <w:webHidden/>
              </w:rPr>
              <w:fldChar w:fldCharType="begin"/>
            </w:r>
            <w:r w:rsidR="0081723E">
              <w:rPr>
                <w:noProof/>
                <w:webHidden/>
              </w:rPr>
              <w:instrText xml:space="preserve"> PAGEREF _Toc18013314 \h </w:instrText>
            </w:r>
            <w:r w:rsidR="0081723E">
              <w:rPr>
                <w:noProof/>
                <w:webHidden/>
              </w:rPr>
            </w:r>
            <w:r w:rsidR="0081723E">
              <w:rPr>
                <w:noProof/>
                <w:webHidden/>
              </w:rPr>
              <w:fldChar w:fldCharType="separate"/>
            </w:r>
            <w:r w:rsidR="00614A66">
              <w:rPr>
                <w:noProof/>
                <w:webHidden/>
              </w:rPr>
              <w:t>20</w:t>
            </w:r>
            <w:r w:rsidR="0081723E">
              <w:rPr>
                <w:noProof/>
                <w:webHidden/>
              </w:rPr>
              <w:fldChar w:fldCharType="end"/>
            </w:r>
          </w:hyperlink>
        </w:p>
        <w:p w14:paraId="21771277" w14:textId="3D5BE282" w:rsidR="0081723E" w:rsidRDefault="00D21135">
          <w:pPr>
            <w:pStyle w:val="TOC2"/>
            <w:tabs>
              <w:tab w:val="left" w:pos="880"/>
              <w:tab w:val="right" w:leader="dot" w:pos="9350"/>
            </w:tabs>
            <w:rPr>
              <w:rFonts w:asciiTheme="minorHAnsi" w:hAnsiTheme="minorHAnsi"/>
              <w:noProof/>
              <w:lang w:eastAsia="en-US"/>
            </w:rPr>
          </w:pPr>
          <w:hyperlink w:anchor="_Toc18013315" w:history="1">
            <w:r w:rsidR="0081723E" w:rsidRPr="0054352E">
              <w:rPr>
                <w:rStyle w:val="Hyperlink"/>
                <w:noProof/>
              </w:rPr>
              <w:t>2.5</w:t>
            </w:r>
            <w:r w:rsidR="0081723E">
              <w:rPr>
                <w:rFonts w:asciiTheme="minorHAnsi" w:hAnsiTheme="minorHAnsi"/>
                <w:noProof/>
                <w:lang w:eastAsia="en-US"/>
              </w:rPr>
              <w:tab/>
            </w:r>
            <w:r w:rsidR="0081723E" w:rsidRPr="0054352E">
              <w:rPr>
                <w:rStyle w:val="Hyperlink"/>
                <w:noProof/>
              </w:rPr>
              <w:t>Inputs</w:t>
            </w:r>
            <w:r w:rsidR="0081723E">
              <w:rPr>
                <w:noProof/>
                <w:webHidden/>
              </w:rPr>
              <w:tab/>
            </w:r>
            <w:r w:rsidR="0081723E">
              <w:rPr>
                <w:noProof/>
                <w:webHidden/>
              </w:rPr>
              <w:fldChar w:fldCharType="begin"/>
            </w:r>
            <w:r w:rsidR="0081723E">
              <w:rPr>
                <w:noProof/>
                <w:webHidden/>
              </w:rPr>
              <w:instrText xml:space="preserve"> PAGEREF _Toc18013315 \h </w:instrText>
            </w:r>
            <w:r w:rsidR="0081723E">
              <w:rPr>
                <w:noProof/>
                <w:webHidden/>
              </w:rPr>
            </w:r>
            <w:r w:rsidR="0081723E">
              <w:rPr>
                <w:noProof/>
                <w:webHidden/>
              </w:rPr>
              <w:fldChar w:fldCharType="separate"/>
            </w:r>
            <w:r w:rsidR="00614A66">
              <w:rPr>
                <w:noProof/>
                <w:webHidden/>
              </w:rPr>
              <w:t>20</w:t>
            </w:r>
            <w:r w:rsidR="0081723E">
              <w:rPr>
                <w:noProof/>
                <w:webHidden/>
              </w:rPr>
              <w:fldChar w:fldCharType="end"/>
            </w:r>
          </w:hyperlink>
        </w:p>
        <w:p w14:paraId="700C1540" w14:textId="6306155F" w:rsidR="0081723E" w:rsidRDefault="00D21135">
          <w:pPr>
            <w:pStyle w:val="TOC3"/>
            <w:tabs>
              <w:tab w:val="left" w:pos="1320"/>
              <w:tab w:val="right" w:leader="dot" w:pos="9350"/>
            </w:tabs>
            <w:rPr>
              <w:rFonts w:asciiTheme="minorHAnsi" w:hAnsiTheme="minorHAnsi"/>
              <w:noProof/>
              <w:lang w:eastAsia="en-US"/>
            </w:rPr>
          </w:pPr>
          <w:hyperlink w:anchor="_Toc18013316" w:history="1">
            <w:r w:rsidR="0081723E" w:rsidRPr="0054352E">
              <w:rPr>
                <w:rStyle w:val="Hyperlink"/>
                <w:noProof/>
              </w:rPr>
              <w:t>2.5.1</w:t>
            </w:r>
            <w:r w:rsidR="0081723E">
              <w:rPr>
                <w:rFonts w:asciiTheme="minorHAnsi" w:hAnsiTheme="minorHAnsi"/>
                <w:noProof/>
                <w:lang w:eastAsia="en-US"/>
              </w:rPr>
              <w:tab/>
            </w:r>
            <w:r w:rsidR="0081723E" w:rsidRPr="0054352E">
              <w:rPr>
                <w:rStyle w:val="Hyperlink"/>
                <w:noProof/>
              </w:rPr>
              <w:t>Climate Inputs</w:t>
            </w:r>
            <w:r w:rsidR="0081723E">
              <w:rPr>
                <w:noProof/>
                <w:webHidden/>
              </w:rPr>
              <w:tab/>
            </w:r>
            <w:r w:rsidR="0081723E">
              <w:rPr>
                <w:noProof/>
                <w:webHidden/>
              </w:rPr>
              <w:fldChar w:fldCharType="begin"/>
            </w:r>
            <w:r w:rsidR="0081723E">
              <w:rPr>
                <w:noProof/>
                <w:webHidden/>
              </w:rPr>
              <w:instrText xml:space="preserve"> PAGEREF _Toc18013316 \h </w:instrText>
            </w:r>
            <w:r w:rsidR="0081723E">
              <w:rPr>
                <w:noProof/>
                <w:webHidden/>
              </w:rPr>
            </w:r>
            <w:r w:rsidR="0081723E">
              <w:rPr>
                <w:noProof/>
                <w:webHidden/>
              </w:rPr>
              <w:fldChar w:fldCharType="separate"/>
            </w:r>
            <w:r w:rsidR="00614A66">
              <w:rPr>
                <w:noProof/>
                <w:webHidden/>
              </w:rPr>
              <w:t>20</w:t>
            </w:r>
            <w:r w:rsidR="0081723E">
              <w:rPr>
                <w:noProof/>
                <w:webHidden/>
              </w:rPr>
              <w:fldChar w:fldCharType="end"/>
            </w:r>
          </w:hyperlink>
        </w:p>
        <w:p w14:paraId="1A983708" w14:textId="65C9B7D5" w:rsidR="0081723E" w:rsidRDefault="00D21135">
          <w:pPr>
            <w:pStyle w:val="TOC3"/>
            <w:tabs>
              <w:tab w:val="left" w:pos="1320"/>
              <w:tab w:val="right" w:leader="dot" w:pos="9350"/>
            </w:tabs>
            <w:rPr>
              <w:rFonts w:asciiTheme="minorHAnsi" w:hAnsiTheme="minorHAnsi"/>
              <w:noProof/>
              <w:lang w:eastAsia="en-US"/>
            </w:rPr>
          </w:pPr>
          <w:hyperlink w:anchor="_Toc18013317" w:history="1">
            <w:r w:rsidR="0081723E" w:rsidRPr="0054352E">
              <w:rPr>
                <w:rStyle w:val="Hyperlink"/>
                <w:noProof/>
              </w:rPr>
              <w:t>2.5.2</w:t>
            </w:r>
            <w:r w:rsidR="0081723E">
              <w:rPr>
                <w:rFonts w:asciiTheme="minorHAnsi" w:hAnsiTheme="minorHAnsi"/>
                <w:noProof/>
                <w:lang w:eastAsia="en-US"/>
              </w:rPr>
              <w:tab/>
            </w:r>
            <w:r w:rsidR="0081723E" w:rsidRPr="0054352E">
              <w:rPr>
                <w:rStyle w:val="Hyperlink"/>
                <w:noProof/>
              </w:rPr>
              <w:t>Financial Inputs</w:t>
            </w:r>
            <w:r w:rsidR="0081723E">
              <w:rPr>
                <w:noProof/>
                <w:webHidden/>
              </w:rPr>
              <w:tab/>
            </w:r>
            <w:r w:rsidR="0081723E">
              <w:rPr>
                <w:noProof/>
                <w:webHidden/>
              </w:rPr>
              <w:fldChar w:fldCharType="begin"/>
            </w:r>
            <w:r w:rsidR="0081723E">
              <w:rPr>
                <w:noProof/>
                <w:webHidden/>
              </w:rPr>
              <w:instrText xml:space="preserve"> PAGEREF _Toc18013317 \h </w:instrText>
            </w:r>
            <w:r w:rsidR="0081723E">
              <w:rPr>
                <w:noProof/>
                <w:webHidden/>
              </w:rPr>
            </w:r>
            <w:r w:rsidR="0081723E">
              <w:rPr>
                <w:noProof/>
                <w:webHidden/>
              </w:rPr>
              <w:fldChar w:fldCharType="separate"/>
            </w:r>
            <w:r w:rsidR="00614A66">
              <w:rPr>
                <w:noProof/>
                <w:webHidden/>
              </w:rPr>
              <w:t>22</w:t>
            </w:r>
            <w:r w:rsidR="0081723E">
              <w:rPr>
                <w:noProof/>
                <w:webHidden/>
              </w:rPr>
              <w:fldChar w:fldCharType="end"/>
            </w:r>
          </w:hyperlink>
        </w:p>
        <w:p w14:paraId="5C83EE45" w14:textId="04F1FDE4" w:rsidR="0081723E" w:rsidRDefault="00D21135">
          <w:pPr>
            <w:pStyle w:val="TOC3"/>
            <w:tabs>
              <w:tab w:val="left" w:pos="1320"/>
              <w:tab w:val="right" w:leader="dot" w:pos="9350"/>
            </w:tabs>
            <w:rPr>
              <w:rFonts w:asciiTheme="minorHAnsi" w:hAnsiTheme="minorHAnsi"/>
              <w:noProof/>
              <w:lang w:eastAsia="en-US"/>
            </w:rPr>
          </w:pPr>
          <w:hyperlink w:anchor="_Toc18013318" w:history="1">
            <w:r w:rsidR="0081723E" w:rsidRPr="0054352E">
              <w:rPr>
                <w:rStyle w:val="Hyperlink"/>
                <w:noProof/>
              </w:rPr>
              <w:t>2.5.3</w:t>
            </w:r>
            <w:r w:rsidR="0081723E">
              <w:rPr>
                <w:rFonts w:asciiTheme="minorHAnsi" w:hAnsiTheme="minorHAnsi"/>
                <w:noProof/>
                <w:lang w:eastAsia="en-US"/>
              </w:rPr>
              <w:tab/>
            </w:r>
            <w:r w:rsidR="0081723E" w:rsidRPr="0054352E">
              <w:rPr>
                <w:rStyle w:val="Hyperlink"/>
                <w:noProof/>
              </w:rPr>
              <w:t>Other Inputs</w:t>
            </w:r>
            <w:r w:rsidR="0081723E">
              <w:rPr>
                <w:noProof/>
                <w:webHidden/>
              </w:rPr>
              <w:tab/>
            </w:r>
            <w:r w:rsidR="0081723E">
              <w:rPr>
                <w:noProof/>
                <w:webHidden/>
              </w:rPr>
              <w:fldChar w:fldCharType="begin"/>
            </w:r>
            <w:r w:rsidR="0081723E">
              <w:rPr>
                <w:noProof/>
                <w:webHidden/>
              </w:rPr>
              <w:instrText xml:space="preserve"> PAGEREF _Toc18013318 \h </w:instrText>
            </w:r>
            <w:r w:rsidR="0081723E">
              <w:rPr>
                <w:noProof/>
                <w:webHidden/>
              </w:rPr>
            </w:r>
            <w:r w:rsidR="0081723E">
              <w:rPr>
                <w:noProof/>
                <w:webHidden/>
              </w:rPr>
              <w:fldChar w:fldCharType="separate"/>
            </w:r>
            <w:r w:rsidR="00614A66">
              <w:rPr>
                <w:noProof/>
                <w:webHidden/>
              </w:rPr>
              <w:t>23</w:t>
            </w:r>
            <w:r w:rsidR="0081723E">
              <w:rPr>
                <w:noProof/>
                <w:webHidden/>
              </w:rPr>
              <w:fldChar w:fldCharType="end"/>
            </w:r>
          </w:hyperlink>
        </w:p>
        <w:p w14:paraId="4C58A807" w14:textId="3EF834B2" w:rsidR="0081723E" w:rsidRDefault="00D21135">
          <w:pPr>
            <w:pStyle w:val="TOC2"/>
            <w:tabs>
              <w:tab w:val="left" w:pos="880"/>
              <w:tab w:val="right" w:leader="dot" w:pos="9350"/>
            </w:tabs>
            <w:rPr>
              <w:rFonts w:asciiTheme="minorHAnsi" w:hAnsiTheme="minorHAnsi"/>
              <w:noProof/>
              <w:lang w:eastAsia="en-US"/>
            </w:rPr>
          </w:pPr>
          <w:hyperlink w:anchor="_Toc18013319" w:history="1">
            <w:r w:rsidR="0081723E" w:rsidRPr="0054352E">
              <w:rPr>
                <w:rStyle w:val="Hyperlink"/>
                <w:noProof/>
              </w:rPr>
              <w:t>2.6</w:t>
            </w:r>
            <w:r w:rsidR="0081723E">
              <w:rPr>
                <w:rFonts w:asciiTheme="minorHAnsi" w:hAnsiTheme="minorHAnsi"/>
                <w:noProof/>
                <w:lang w:eastAsia="en-US"/>
              </w:rPr>
              <w:tab/>
            </w:r>
            <w:r w:rsidR="0081723E" w:rsidRPr="0054352E">
              <w:rPr>
                <w:rStyle w:val="Hyperlink"/>
                <w:noProof/>
              </w:rPr>
              <w:t>Assumptions</w:t>
            </w:r>
            <w:r w:rsidR="0081723E">
              <w:rPr>
                <w:noProof/>
                <w:webHidden/>
              </w:rPr>
              <w:tab/>
            </w:r>
            <w:r w:rsidR="0081723E">
              <w:rPr>
                <w:noProof/>
                <w:webHidden/>
              </w:rPr>
              <w:fldChar w:fldCharType="begin"/>
            </w:r>
            <w:r w:rsidR="0081723E">
              <w:rPr>
                <w:noProof/>
                <w:webHidden/>
              </w:rPr>
              <w:instrText xml:space="preserve"> PAGEREF _Toc18013319 \h </w:instrText>
            </w:r>
            <w:r w:rsidR="0081723E">
              <w:rPr>
                <w:noProof/>
                <w:webHidden/>
              </w:rPr>
            </w:r>
            <w:r w:rsidR="0081723E">
              <w:rPr>
                <w:noProof/>
                <w:webHidden/>
              </w:rPr>
              <w:fldChar w:fldCharType="separate"/>
            </w:r>
            <w:r w:rsidR="00614A66">
              <w:rPr>
                <w:noProof/>
                <w:webHidden/>
              </w:rPr>
              <w:t>23</w:t>
            </w:r>
            <w:r w:rsidR="0081723E">
              <w:rPr>
                <w:noProof/>
                <w:webHidden/>
              </w:rPr>
              <w:fldChar w:fldCharType="end"/>
            </w:r>
          </w:hyperlink>
        </w:p>
        <w:p w14:paraId="00330204" w14:textId="5073F63E" w:rsidR="0081723E" w:rsidRDefault="00D21135">
          <w:pPr>
            <w:pStyle w:val="TOC2"/>
            <w:tabs>
              <w:tab w:val="left" w:pos="880"/>
              <w:tab w:val="right" w:leader="dot" w:pos="9350"/>
            </w:tabs>
            <w:rPr>
              <w:rFonts w:asciiTheme="minorHAnsi" w:hAnsiTheme="minorHAnsi"/>
              <w:noProof/>
              <w:lang w:eastAsia="en-US"/>
            </w:rPr>
          </w:pPr>
          <w:hyperlink w:anchor="_Toc18013320" w:history="1">
            <w:r w:rsidR="0081723E" w:rsidRPr="0054352E">
              <w:rPr>
                <w:rStyle w:val="Hyperlink"/>
                <w:noProof/>
              </w:rPr>
              <w:t>2.7</w:t>
            </w:r>
            <w:r w:rsidR="0081723E">
              <w:rPr>
                <w:rFonts w:asciiTheme="minorHAnsi" w:hAnsiTheme="minorHAnsi"/>
                <w:noProof/>
                <w:lang w:eastAsia="en-US"/>
              </w:rPr>
              <w:tab/>
            </w:r>
            <w:r w:rsidR="0081723E" w:rsidRPr="0054352E">
              <w:rPr>
                <w:rStyle w:val="Hyperlink"/>
                <w:noProof/>
              </w:rPr>
              <w:t>Integration</w:t>
            </w:r>
            <w:r w:rsidR="0081723E">
              <w:rPr>
                <w:noProof/>
                <w:webHidden/>
              </w:rPr>
              <w:tab/>
            </w:r>
            <w:r w:rsidR="0081723E">
              <w:rPr>
                <w:noProof/>
                <w:webHidden/>
              </w:rPr>
              <w:fldChar w:fldCharType="begin"/>
            </w:r>
            <w:r w:rsidR="0081723E">
              <w:rPr>
                <w:noProof/>
                <w:webHidden/>
              </w:rPr>
              <w:instrText xml:space="preserve"> PAGEREF _Toc18013320 \h </w:instrText>
            </w:r>
            <w:r w:rsidR="0081723E">
              <w:rPr>
                <w:noProof/>
                <w:webHidden/>
              </w:rPr>
            </w:r>
            <w:r w:rsidR="0081723E">
              <w:rPr>
                <w:noProof/>
                <w:webHidden/>
              </w:rPr>
              <w:fldChar w:fldCharType="separate"/>
            </w:r>
            <w:r w:rsidR="00614A66">
              <w:rPr>
                <w:noProof/>
                <w:webHidden/>
              </w:rPr>
              <w:t>24</w:t>
            </w:r>
            <w:r w:rsidR="0081723E">
              <w:rPr>
                <w:noProof/>
                <w:webHidden/>
              </w:rPr>
              <w:fldChar w:fldCharType="end"/>
            </w:r>
          </w:hyperlink>
        </w:p>
        <w:p w14:paraId="3FE11564" w14:textId="0F4FE2A1" w:rsidR="0081723E" w:rsidRDefault="00D21135">
          <w:pPr>
            <w:pStyle w:val="TOC2"/>
            <w:tabs>
              <w:tab w:val="left" w:pos="880"/>
              <w:tab w:val="right" w:leader="dot" w:pos="9350"/>
            </w:tabs>
            <w:rPr>
              <w:rFonts w:asciiTheme="minorHAnsi" w:hAnsiTheme="minorHAnsi"/>
              <w:noProof/>
              <w:lang w:eastAsia="en-US"/>
            </w:rPr>
          </w:pPr>
          <w:hyperlink w:anchor="_Toc18013321" w:history="1">
            <w:r w:rsidR="0081723E" w:rsidRPr="0054352E">
              <w:rPr>
                <w:rStyle w:val="Hyperlink"/>
                <w:noProof/>
              </w:rPr>
              <w:t>2.8</w:t>
            </w:r>
            <w:r w:rsidR="0081723E">
              <w:rPr>
                <w:rFonts w:asciiTheme="minorHAnsi" w:hAnsiTheme="minorHAnsi"/>
                <w:noProof/>
                <w:lang w:eastAsia="en-US"/>
              </w:rPr>
              <w:tab/>
            </w:r>
            <w:r w:rsidR="0081723E" w:rsidRPr="0054352E">
              <w:rPr>
                <w:rStyle w:val="Hyperlink"/>
                <w:noProof/>
              </w:rPr>
              <w:t>Limitations/Further Development</w:t>
            </w:r>
            <w:r w:rsidR="0081723E">
              <w:rPr>
                <w:noProof/>
                <w:webHidden/>
              </w:rPr>
              <w:tab/>
            </w:r>
            <w:r w:rsidR="0081723E">
              <w:rPr>
                <w:noProof/>
                <w:webHidden/>
              </w:rPr>
              <w:fldChar w:fldCharType="begin"/>
            </w:r>
            <w:r w:rsidR="0081723E">
              <w:rPr>
                <w:noProof/>
                <w:webHidden/>
              </w:rPr>
              <w:instrText xml:space="preserve"> PAGEREF _Toc18013321 \h </w:instrText>
            </w:r>
            <w:r w:rsidR="0081723E">
              <w:rPr>
                <w:noProof/>
                <w:webHidden/>
              </w:rPr>
            </w:r>
            <w:r w:rsidR="0081723E">
              <w:rPr>
                <w:noProof/>
                <w:webHidden/>
              </w:rPr>
              <w:fldChar w:fldCharType="separate"/>
            </w:r>
            <w:r w:rsidR="00614A66">
              <w:rPr>
                <w:noProof/>
                <w:webHidden/>
              </w:rPr>
              <w:t>26</w:t>
            </w:r>
            <w:r w:rsidR="0081723E">
              <w:rPr>
                <w:noProof/>
                <w:webHidden/>
              </w:rPr>
              <w:fldChar w:fldCharType="end"/>
            </w:r>
          </w:hyperlink>
        </w:p>
        <w:p w14:paraId="38FE712D" w14:textId="0E8D965A" w:rsidR="0081723E" w:rsidRDefault="00D21135">
          <w:pPr>
            <w:pStyle w:val="TOC1"/>
            <w:tabs>
              <w:tab w:val="left" w:pos="440"/>
              <w:tab w:val="right" w:leader="dot" w:pos="9350"/>
            </w:tabs>
            <w:rPr>
              <w:rFonts w:asciiTheme="minorHAnsi" w:hAnsiTheme="minorHAnsi"/>
              <w:noProof/>
              <w:lang w:eastAsia="en-US"/>
            </w:rPr>
          </w:pPr>
          <w:hyperlink w:anchor="_Toc18013322" w:history="1">
            <w:r w:rsidR="0081723E" w:rsidRPr="0054352E">
              <w:rPr>
                <w:rStyle w:val="Hyperlink"/>
                <w:noProof/>
              </w:rPr>
              <w:t>3</w:t>
            </w:r>
            <w:r w:rsidR="0081723E">
              <w:rPr>
                <w:rFonts w:asciiTheme="minorHAnsi" w:hAnsiTheme="minorHAnsi"/>
                <w:noProof/>
                <w:lang w:eastAsia="en-US"/>
              </w:rPr>
              <w:tab/>
            </w:r>
            <w:r w:rsidR="0081723E" w:rsidRPr="0054352E">
              <w:rPr>
                <w:rStyle w:val="Hyperlink"/>
                <w:noProof/>
              </w:rPr>
              <w:t>Results</w:t>
            </w:r>
            <w:r w:rsidR="0081723E">
              <w:rPr>
                <w:noProof/>
                <w:webHidden/>
              </w:rPr>
              <w:tab/>
            </w:r>
            <w:r w:rsidR="0081723E">
              <w:rPr>
                <w:noProof/>
                <w:webHidden/>
              </w:rPr>
              <w:fldChar w:fldCharType="begin"/>
            </w:r>
            <w:r w:rsidR="0081723E">
              <w:rPr>
                <w:noProof/>
                <w:webHidden/>
              </w:rPr>
              <w:instrText xml:space="preserve"> PAGEREF _Toc18013322 \h </w:instrText>
            </w:r>
            <w:r w:rsidR="0081723E">
              <w:rPr>
                <w:noProof/>
                <w:webHidden/>
              </w:rPr>
            </w:r>
            <w:r w:rsidR="0081723E">
              <w:rPr>
                <w:noProof/>
                <w:webHidden/>
              </w:rPr>
              <w:fldChar w:fldCharType="separate"/>
            </w:r>
            <w:r w:rsidR="00614A66">
              <w:rPr>
                <w:noProof/>
                <w:webHidden/>
              </w:rPr>
              <w:t>27</w:t>
            </w:r>
            <w:r w:rsidR="0081723E">
              <w:rPr>
                <w:noProof/>
                <w:webHidden/>
              </w:rPr>
              <w:fldChar w:fldCharType="end"/>
            </w:r>
          </w:hyperlink>
        </w:p>
        <w:p w14:paraId="14489707" w14:textId="35AB1F24" w:rsidR="0081723E" w:rsidRDefault="00D21135">
          <w:pPr>
            <w:pStyle w:val="TOC2"/>
            <w:tabs>
              <w:tab w:val="left" w:pos="880"/>
              <w:tab w:val="right" w:leader="dot" w:pos="9350"/>
            </w:tabs>
            <w:rPr>
              <w:rFonts w:asciiTheme="minorHAnsi" w:hAnsiTheme="minorHAnsi"/>
              <w:noProof/>
              <w:lang w:eastAsia="en-US"/>
            </w:rPr>
          </w:pPr>
          <w:hyperlink w:anchor="_Toc18013323" w:history="1">
            <w:r w:rsidR="0081723E" w:rsidRPr="0054352E">
              <w:rPr>
                <w:rStyle w:val="Hyperlink"/>
                <w:noProof/>
              </w:rPr>
              <w:t>3.2</w:t>
            </w:r>
            <w:r w:rsidR="0081723E">
              <w:rPr>
                <w:rFonts w:asciiTheme="minorHAnsi" w:hAnsiTheme="minorHAnsi"/>
                <w:noProof/>
                <w:lang w:eastAsia="en-US"/>
              </w:rPr>
              <w:tab/>
            </w:r>
            <w:r w:rsidR="0081723E" w:rsidRPr="0054352E">
              <w:rPr>
                <w:rStyle w:val="Hyperlink"/>
                <w:noProof/>
              </w:rPr>
              <w:t>Adoption</w:t>
            </w:r>
            <w:r w:rsidR="0081723E">
              <w:rPr>
                <w:noProof/>
                <w:webHidden/>
              </w:rPr>
              <w:tab/>
            </w:r>
            <w:r w:rsidR="0081723E">
              <w:rPr>
                <w:noProof/>
                <w:webHidden/>
              </w:rPr>
              <w:fldChar w:fldCharType="begin"/>
            </w:r>
            <w:r w:rsidR="0081723E">
              <w:rPr>
                <w:noProof/>
                <w:webHidden/>
              </w:rPr>
              <w:instrText xml:space="preserve"> PAGEREF _Toc18013323 \h </w:instrText>
            </w:r>
            <w:r w:rsidR="0081723E">
              <w:rPr>
                <w:noProof/>
                <w:webHidden/>
              </w:rPr>
            </w:r>
            <w:r w:rsidR="0081723E">
              <w:rPr>
                <w:noProof/>
                <w:webHidden/>
              </w:rPr>
              <w:fldChar w:fldCharType="separate"/>
            </w:r>
            <w:r w:rsidR="00614A66">
              <w:rPr>
                <w:noProof/>
                <w:webHidden/>
              </w:rPr>
              <w:t>27</w:t>
            </w:r>
            <w:r w:rsidR="0081723E">
              <w:rPr>
                <w:noProof/>
                <w:webHidden/>
              </w:rPr>
              <w:fldChar w:fldCharType="end"/>
            </w:r>
          </w:hyperlink>
        </w:p>
        <w:p w14:paraId="3FD6AC8D" w14:textId="3DB94345" w:rsidR="0081723E" w:rsidRDefault="00D21135">
          <w:pPr>
            <w:pStyle w:val="TOC2"/>
            <w:tabs>
              <w:tab w:val="left" w:pos="880"/>
              <w:tab w:val="right" w:leader="dot" w:pos="9350"/>
            </w:tabs>
            <w:rPr>
              <w:rFonts w:asciiTheme="minorHAnsi" w:hAnsiTheme="minorHAnsi"/>
              <w:noProof/>
              <w:lang w:eastAsia="en-US"/>
            </w:rPr>
          </w:pPr>
          <w:hyperlink w:anchor="_Toc18013324" w:history="1">
            <w:r w:rsidR="0081723E" w:rsidRPr="0054352E">
              <w:rPr>
                <w:rStyle w:val="Hyperlink"/>
                <w:noProof/>
              </w:rPr>
              <w:t>3.3</w:t>
            </w:r>
            <w:r w:rsidR="0081723E">
              <w:rPr>
                <w:rFonts w:asciiTheme="minorHAnsi" w:hAnsiTheme="minorHAnsi"/>
                <w:noProof/>
                <w:lang w:eastAsia="en-US"/>
              </w:rPr>
              <w:tab/>
            </w:r>
            <w:r w:rsidR="0081723E" w:rsidRPr="0054352E">
              <w:rPr>
                <w:rStyle w:val="Hyperlink"/>
                <w:noProof/>
              </w:rPr>
              <w:t>Climate Impacts</w:t>
            </w:r>
            <w:r w:rsidR="0081723E">
              <w:rPr>
                <w:noProof/>
                <w:webHidden/>
              </w:rPr>
              <w:tab/>
            </w:r>
            <w:r w:rsidR="0081723E">
              <w:rPr>
                <w:noProof/>
                <w:webHidden/>
              </w:rPr>
              <w:fldChar w:fldCharType="begin"/>
            </w:r>
            <w:r w:rsidR="0081723E">
              <w:rPr>
                <w:noProof/>
                <w:webHidden/>
              </w:rPr>
              <w:instrText xml:space="preserve"> PAGEREF _Toc18013324 \h </w:instrText>
            </w:r>
            <w:r w:rsidR="0081723E">
              <w:rPr>
                <w:noProof/>
                <w:webHidden/>
              </w:rPr>
            </w:r>
            <w:r w:rsidR="0081723E">
              <w:rPr>
                <w:noProof/>
                <w:webHidden/>
              </w:rPr>
              <w:fldChar w:fldCharType="separate"/>
            </w:r>
            <w:r w:rsidR="00614A66">
              <w:rPr>
                <w:noProof/>
                <w:webHidden/>
              </w:rPr>
              <w:t>29</w:t>
            </w:r>
            <w:r w:rsidR="0081723E">
              <w:rPr>
                <w:noProof/>
                <w:webHidden/>
              </w:rPr>
              <w:fldChar w:fldCharType="end"/>
            </w:r>
          </w:hyperlink>
        </w:p>
        <w:p w14:paraId="29A6823A" w14:textId="1F2F9AD5" w:rsidR="0081723E" w:rsidRDefault="00D21135">
          <w:pPr>
            <w:pStyle w:val="TOC2"/>
            <w:tabs>
              <w:tab w:val="left" w:pos="880"/>
              <w:tab w:val="right" w:leader="dot" w:pos="9350"/>
            </w:tabs>
            <w:rPr>
              <w:rFonts w:asciiTheme="minorHAnsi" w:hAnsiTheme="minorHAnsi"/>
              <w:noProof/>
              <w:lang w:eastAsia="en-US"/>
            </w:rPr>
          </w:pPr>
          <w:hyperlink w:anchor="_Toc18013325" w:history="1">
            <w:r w:rsidR="0081723E" w:rsidRPr="0054352E">
              <w:rPr>
                <w:rStyle w:val="Hyperlink"/>
                <w:noProof/>
              </w:rPr>
              <w:t>3.4</w:t>
            </w:r>
            <w:r w:rsidR="0081723E">
              <w:rPr>
                <w:rFonts w:asciiTheme="minorHAnsi" w:hAnsiTheme="minorHAnsi"/>
                <w:noProof/>
                <w:lang w:eastAsia="en-US"/>
              </w:rPr>
              <w:tab/>
            </w:r>
            <w:r w:rsidR="0081723E" w:rsidRPr="0054352E">
              <w:rPr>
                <w:rStyle w:val="Hyperlink"/>
                <w:noProof/>
              </w:rPr>
              <w:t>Financial Impacts</w:t>
            </w:r>
            <w:r w:rsidR="0081723E">
              <w:rPr>
                <w:noProof/>
                <w:webHidden/>
              </w:rPr>
              <w:tab/>
            </w:r>
            <w:r w:rsidR="0081723E">
              <w:rPr>
                <w:noProof/>
                <w:webHidden/>
              </w:rPr>
              <w:fldChar w:fldCharType="begin"/>
            </w:r>
            <w:r w:rsidR="0081723E">
              <w:rPr>
                <w:noProof/>
                <w:webHidden/>
              </w:rPr>
              <w:instrText xml:space="preserve"> PAGEREF _Toc18013325 \h </w:instrText>
            </w:r>
            <w:r w:rsidR="0081723E">
              <w:rPr>
                <w:noProof/>
                <w:webHidden/>
              </w:rPr>
            </w:r>
            <w:r w:rsidR="0081723E">
              <w:rPr>
                <w:noProof/>
                <w:webHidden/>
              </w:rPr>
              <w:fldChar w:fldCharType="separate"/>
            </w:r>
            <w:r w:rsidR="00614A66">
              <w:rPr>
                <w:noProof/>
                <w:webHidden/>
              </w:rPr>
              <w:t>31</w:t>
            </w:r>
            <w:r w:rsidR="0081723E">
              <w:rPr>
                <w:noProof/>
                <w:webHidden/>
              </w:rPr>
              <w:fldChar w:fldCharType="end"/>
            </w:r>
          </w:hyperlink>
        </w:p>
        <w:p w14:paraId="73DEBF36" w14:textId="21E307FB" w:rsidR="0081723E" w:rsidRDefault="00D21135">
          <w:pPr>
            <w:pStyle w:val="TOC2"/>
            <w:tabs>
              <w:tab w:val="left" w:pos="880"/>
              <w:tab w:val="right" w:leader="dot" w:pos="9350"/>
            </w:tabs>
            <w:rPr>
              <w:rFonts w:asciiTheme="minorHAnsi" w:hAnsiTheme="minorHAnsi"/>
              <w:noProof/>
              <w:lang w:eastAsia="en-US"/>
            </w:rPr>
          </w:pPr>
          <w:hyperlink w:anchor="_Toc18013326" w:history="1">
            <w:r w:rsidR="0081723E" w:rsidRPr="0054352E">
              <w:rPr>
                <w:rStyle w:val="Hyperlink"/>
                <w:noProof/>
              </w:rPr>
              <w:t>3.5</w:t>
            </w:r>
            <w:r w:rsidR="0081723E">
              <w:rPr>
                <w:rFonts w:asciiTheme="minorHAnsi" w:hAnsiTheme="minorHAnsi"/>
                <w:noProof/>
                <w:lang w:eastAsia="en-US"/>
              </w:rPr>
              <w:tab/>
            </w:r>
            <w:r w:rsidR="0081723E" w:rsidRPr="0054352E">
              <w:rPr>
                <w:rStyle w:val="Hyperlink"/>
                <w:noProof/>
              </w:rPr>
              <w:t>Other Impacts</w:t>
            </w:r>
            <w:r w:rsidR="0081723E">
              <w:rPr>
                <w:noProof/>
                <w:webHidden/>
              </w:rPr>
              <w:tab/>
            </w:r>
            <w:r w:rsidR="0081723E">
              <w:rPr>
                <w:noProof/>
                <w:webHidden/>
              </w:rPr>
              <w:fldChar w:fldCharType="begin"/>
            </w:r>
            <w:r w:rsidR="0081723E">
              <w:rPr>
                <w:noProof/>
                <w:webHidden/>
              </w:rPr>
              <w:instrText xml:space="preserve"> PAGEREF _Toc18013326 \h </w:instrText>
            </w:r>
            <w:r w:rsidR="0081723E">
              <w:rPr>
                <w:noProof/>
                <w:webHidden/>
              </w:rPr>
            </w:r>
            <w:r w:rsidR="0081723E">
              <w:rPr>
                <w:noProof/>
                <w:webHidden/>
              </w:rPr>
              <w:fldChar w:fldCharType="separate"/>
            </w:r>
            <w:r w:rsidR="00614A66">
              <w:rPr>
                <w:noProof/>
                <w:webHidden/>
              </w:rPr>
              <w:t>33</w:t>
            </w:r>
            <w:r w:rsidR="0081723E">
              <w:rPr>
                <w:noProof/>
                <w:webHidden/>
              </w:rPr>
              <w:fldChar w:fldCharType="end"/>
            </w:r>
          </w:hyperlink>
        </w:p>
        <w:p w14:paraId="435A7A25" w14:textId="686A77E7" w:rsidR="0081723E" w:rsidRDefault="00D21135">
          <w:pPr>
            <w:pStyle w:val="TOC1"/>
            <w:tabs>
              <w:tab w:val="left" w:pos="440"/>
              <w:tab w:val="right" w:leader="dot" w:pos="9350"/>
            </w:tabs>
            <w:rPr>
              <w:rFonts w:asciiTheme="minorHAnsi" w:hAnsiTheme="minorHAnsi"/>
              <w:noProof/>
              <w:lang w:eastAsia="en-US"/>
            </w:rPr>
          </w:pPr>
          <w:hyperlink w:anchor="_Toc18013327" w:history="1">
            <w:r w:rsidR="0081723E" w:rsidRPr="0054352E">
              <w:rPr>
                <w:rStyle w:val="Hyperlink"/>
                <w:noProof/>
              </w:rPr>
              <w:t>4</w:t>
            </w:r>
            <w:r w:rsidR="0081723E">
              <w:rPr>
                <w:rFonts w:asciiTheme="minorHAnsi" w:hAnsiTheme="minorHAnsi"/>
                <w:noProof/>
                <w:lang w:eastAsia="en-US"/>
              </w:rPr>
              <w:tab/>
            </w:r>
            <w:r w:rsidR="0081723E" w:rsidRPr="0054352E">
              <w:rPr>
                <w:rStyle w:val="Hyperlink"/>
                <w:noProof/>
              </w:rPr>
              <w:t>Discussion</w:t>
            </w:r>
            <w:r w:rsidR="0081723E">
              <w:rPr>
                <w:noProof/>
                <w:webHidden/>
              </w:rPr>
              <w:tab/>
            </w:r>
            <w:r w:rsidR="0081723E">
              <w:rPr>
                <w:noProof/>
                <w:webHidden/>
              </w:rPr>
              <w:fldChar w:fldCharType="begin"/>
            </w:r>
            <w:r w:rsidR="0081723E">
              <w:rPr>
                <w:noProof/>
                <w:webHidden/>
              </w:rPr>
              <w:instrText xml:space="preserve"> PAGEREF _Toc18013327 \h </w:instrText>
            </w:r>
            <w:r w:rsidR="0081723E">
              <w:rPr>
                <w:noProof/>
                <w:webHidden/>
              </w:rPr>
            </w:r>
            <w:r w:rsidR="0081723E">
              <w:rPr>
                <w:noProof/>
                <w:webHidden/>
              </w:rPr>
              <w:fldChar w:fldCharType="separate"/>
            </w:r>
            <w:r w:rsidR="00614A66">
              <w:rPr>
                <w:noProof/>
                <w:webHidden/>
              </w:rPr>
              <w:t>34</w:t>
            </w:r>
            <w:r w:rsidR="0081723E">
              <w:rPr>
                <w:noProof/>
                <w:webHidden/>
              </w:rPr>
              <w:fldChar w:fldCharType="end"/>
            </w:r>
          </w:hyperlink>
        </w:p>
        <w:p w14:paraId="010CBD47" w14:textId="68840B9E" w:rsidR="0081723E" w:rsidRDefault="00D21135">
          <w:pPr>
            <w:pStyle w:val="TOC2"/>
            <w:tabs>
              <w:tab w:val="left" w:pos="880"/>
              <w:tab w:val="right" w:leader="dot" w:pos="9350"/>
            </w:tabs>
            <w:rPr>
              <w:rFonts w:asciiTheme="minorHAnsi" w:hAnsiTheme="minorHAnsi"/>
              <w:noProof/>
              <w:lang w:eastAsia="en-US"/>
            </w:rPr>
          </w:pPr>
          <w:hyperlink w:anchor="_Toc18013328" w:history="1">
            <w:r w:rsidR="0081723E" w:rsidRPr="0054352E">
              <w:rPr>
                <w:rStyle w:val="Hyperlink"/>
                <w:noProof/>
              </w:rPr>
              <w:t>4.2</w:t>
            </w:r>
            <w:r w:rsidR="0081723E">
              <w:rPr>
                <w:rFonts w:asciiTheme="minorHAnsi" w:hAnsiTheme="minorHAnsi"/>
                <w:noProof/>
                <w:lang w:eastAsia="en-US"/>
              </w:rPr>
              <w:tab/>
            </w:r>
            <w:r w:rsidR="0081723E" w:rsidRPr="0054352E">
              <w:rPr>
                <w:rStyle w:val="Hyperlink"/>
                <w:noProof/>
              </w:rPr>
              <w:t>Limitations</w:t>
            </w:r>
            <w:r w:rsidR="0081723E">
              <w:rPr>
                <w:noProof/>
                <w:webHidden/>
              </w:rPr>
              <w:tab/>
            </w:r>
            <w:r w:rsidR="0081723E">
              <w:rPr>
                <w:noProof/>
                <w:webHidden/>
              </w:rPr>
              <w:fldChar w:fldCharType="begin"/>
            </w:r>
            <w:r w:rsidR="0081723E">
              <w:rPr>
                <w:noProof/>
                <w:webHidden/>
              </w:rPr>
              <w:instrText xml:space="preserve"> PAGEREF _Toc18013328 \h </w:instrText>
            </w:r>
            <w:r w:rsidR="0081723E">
              <w:rPr>
                <w:noProof/>
                <w:webHidden/>
              </w:rPr>
            </w:r>
            <w:r w:rsidR="0081723E">
              <w:rPr>
                <w:noProof/>
                <w:webHidden/>
              </w:rPr>
              <w:fldChar w:fldCharType="separate"/>
            </w:r>
            <w:r w:rsidR="00614A66">
              <w:rPr>
                <w:noProof/>
                <w:webHidden/>
              </w:rPr>
              <w:t>35</w:t>
            </w:r>
            <w:r w:rsidR="0081723E">
              <w:rPr>
                <w:noProof/>
                <w:webHidden/>
              </w:rPr>
              <w:fldChar w:fldCharType="end"/>
            </w:r>
          </w:hyperlink>
        </w:p>
        <w:p w14:paraId="60C60C7B" w14:textId="25F3EF88" w:rsidR="0081723E" w:rsidRDefault="00D21135">
          <w:pPr>
            <w:pStyle w:val="TOC2"/>
            <w:tabs>
              <w:tab w:val="left" w:pos="880"/>
              <w:tab w:val="right" w:leader="dot" w:pos="9350"/>
            </w:tabs>
            <w:rPr>
              <w:rFonts w:asciiTheme="minorHAnsi" w:hAnsiTheme="minorHAnsi"/>
              <w:noProof/>
              <w:lang w:eastAsia="en-US"/>
            </w:rPr>
          </w:pPr>
          <w:hyperlink w:anchor="_Toc18013329" w:history="1">
            <w:r w:rsidR="0081723E" w:rsidRPr="0054352E">
              <w:rPr>
                <w:rStyle w:val="Hyperlink"/>
                <w:noProof/>
              </w:rPr>
              <w:t>4.3</w:t>
            </w:r>
            <w:r w:rsidR="0081723E">
              <w:rPr>
                <w:rFonts w:asciiTheme="minorHAnsi" w:hAnsiTheme="minorHAnsi"/>
                <w:noProof/>
                <w:lang w:eastAsia="en-US"/>
              </w:rPr>
              <w:tab/>
            </w:r>
            <w:r w:rsidR="0081723E" w:rsidRPr="0054352E">
              <w:rPr>
                <w:rStyle w:val="Hyperlink"/>
                <w:noProof/>
              </w:rPr>
              <w:t>Benchmarks</w:t>
            </w:r>
            <w:r w:rsidR="0081723E">
              <w:rPr>
                <w:noProof/>
                <w:webHidden/>
              </w:rPr>
              <w:tab/>
            </w:r>
            <w:r w:rsidR="0081723E">
              <w:rPr>
                <w:noProof/>
                <w:webHidden/>
              </w:rPr>
              <w:fldChar w:fldCharType="begin"/>
            </w:r>
            <w:r w:rsidR="0081723E">
              <w:rPr>
                <w:noProof/>
                <w:webHidden/>
              </w:rPr>
              <w:instrText xml:space="preserve"> PAGEREF _Toc18013329 \h </w:instrText>
            </w:r>
            <w:r w:rsidR="0081723E">
              <w:rPr>
                <w:noProof/>
                <w:webHidden/>
              </w:rPr>
            </w:r>
            <w:r w:rsidR="0081723E">
              <w:rPr>
                <w:noProof/>
                <w:webHidden/>
              </w:rPr>
              <w:fldChar w:fldCharType="separate"/>
            </w:r>
            <w:r w:rsidR="00614A66">
              <w:rPr>
                <w:noProof/>
                <w:webHidden/>
              </w:rPr>
              <w:t>35</w:t>
            </w:r>
            <w:r w:rsidR="0081723E">
              <w:rPr>
                <w:noProof/>
                <w:webHidden/>
              </w:rPr>
              <w:fldChar w:fldCharType="end"/>
            </w:r>
          </w:hyperlink>
        </w:p>
        <w:p w14:paraId="28D9B3A9" w14:textId="14D9B2A1" w:rsidR="0081723E" w:rsidRDefault="00D21135">
          <w:pPr>
            <w:pStyle w:val="TOC1"/>
            <w:tabs>
              <w:tab w:val="left" w:pos="440"/>
              <w:tab w:val="right" w:leader="dot" w:pos="9350"/>
            </w:tabs>
            <w:rPr>
              <w:rFonts w:asciiTheme="minorHAnsi" w:hAnsiTheme="minorHAnsi"/>
              <w:noProof/>
              <w:lang w:eastAsia="en-US"/>
            </w:rPr>
          </w:pPr>
          <w:hyperlink w:anchor="_Toc18013330" w:history="1">
            <w:r w:rsidR="0081723E" w:rsidRPr="0054352E">
              <w:rPr>
                <w:rStyle w:val="Hyperlink"/>
                <w:noProof/>
              </w:rPr>
              <w:t>5</w:t>
            </w:r>
            <w:r w:rsidR="0081723E">
              <w:rPr>
                <w:rFonts w:asciiTheme="minorHAnsi" w:hAnsiTheme="minorHAnsi"/>
                <w:noProof/>
                <w:lang w:eastAsia="en-US"/>
              </w:rPr>
              <w:tab/>
            </w:r>
            <w:r w:rsidR="0081723E" w:rsidRPr="0054352E">
              <w:rPr>
                <w:rStyle w:val="Hyperlink"/>
                <w:noProof/>
              </w:rPr>
              <w:t>References</w:t>
            </w:r>
            <w:r w:rsidR="0081723E">
              <w:rPr>
                <w:noProof/>
                <w:webHidden/>
              </w:rPr>
              <w:tab/>
            </w:r>
            <w:r w:rsidR="0081723E">
              <w:rPr>
                <w:noProof/>
                <w:webHidden/>
              </w:rPr>
              <w:fldChar w:fldCharType="begin"/>
            </w:r>
            <w:r w:rsidR="0081723E">
              <w:rPr>
                <w:noProof/>
                <w:webHidden/>
              </w:rPr>
              <w:instrText xml:space="preserve"> PAGEREF _Toc18013330 \h </w:instrText>
            </w:r>
            <w:r w:rsidR="0081723E">
              <w:rPr>
                <w:noProof/>
                <w:webHidden/>
              </w:rPr>
            </w:r>
            <w:r w:rsidR="0081723E">
              <w:rPr>
                <w:noProof/>
                <w:webHidden/>
              </w:rPr>
              <w:fldChar w:fldCharType="separate"/>
            </w:r>
            <w:r w:rsidR="00614A66">
              <w:rPr>
                <w:noProof/>
                <w:webHidden/>
              </w:rPr>
              <w:t>36</w:t>
            </w:r>
            <w:r w:rsidR="0081723E">
              <w:rPr>
                <w:noProof/>
                <w:webHidden/>
              </w:rPr>
              <w:fldChar w:fldCharType="end"/>
            </w:r>
          </w:hyperlink>
        </w:p>
        <w:p w14:paraId="42CE2BB1" w14:textId="55800FCA" w:rsidR="0081723E" w:rsidRDefault="00D21135">
          <w:pPr>
            <w:pStyle w:val="TOC1"/>
            <w:tabs>
              <w:tab w:val="left" w:pos="440"/>
              <w:tab w:val="right" w:leader="dot" w:pos="9350"/>
            </w:tabs>
            <w:rPr>
              <w:rFonts w:asciiTheme="minorHAnsi" w:hAnsiTheme="minorHAnsi"/>
              <w:noProof/>
              <w:lang w:eastAsia="en-US"/>
            </w:rPr>
          </w:pPr>
          <w:hyperlink w:anchor="_Toc18013331" w:history="1">
            <w:r w:rsidR="0081723E" w:rsidRPr="0054352E">
              <w:rPr>
                <w:rStyle w:val="Hyperlink"/>
                <w:noProof/>
              </w:rPr>
              <w:t>6</w:t>
            </w:r>
            <w:r w:rsidR="0081723E">
              <w:rPr>
                <w:rFonts w:asciiTheme="minorHAnsi" w:hAnsiTheme="minorHAnsi"/>
                <w:noProof/>
                <w:lang w:eastAsia="en-US"/>
              </w:rPr>
              <w:tab/>
            </w:r>
            <w:r w:rsidR="0081723E" w:rsidRPr="0054352E">
              <w:rPr>
                <w:rStyle w:val="Hyperlink"/>
                <w:noProof/>
              </w:rPr>
              <w:t>Glossary</w:t>
            </w:r>
            <w:r w:rsidR="0081723E">
              <w:rPr>
                <w:noProof/>
                <w:webHidden/>
              </w:rPr>
              <w:tab/>
            </w:r>
            <w:r w:rsidR="0081723E">
              <w:rPr>
                <w:noProof/>
                <w:webHidden/>
              </w:rPr>
              <w:fldChar w:fldCharType="begin"/>
            </w:r>
            <w:r w:rsidR="0081723E">
              <w:rPr>
                <w:noProof/>
                <w:webHidden/>
              </w:rPr>
              <w:instrText xml:space="preserve"> PAGEREF _Toc18013331 \h </w:instrText>
            </w:r>
            <w:r w:rsidR="0081723E">
              <w:rPr>
                <w:noProof/>
                <w:webHidden/>
              </w:rPr>
            </w:r>
            <w:r w:rsidR="0081723E">
              <w:rPr>
                <w:noProof/>
                <w:webHidden/>
              </w:rPr>
              <w:fldChar w:fldCharType="separate"/>
            </w:r>
            <w:r w:rsidR="00614A66">
              <w:rPr>
                <w:noProof/>
                <w:webHidden/>
              </w:rPr>
              <w:t>39</w:t>
            </w:r>
            <w:r w:rsidR="0081723E">
              <w:rPr>
                <w:noProof/>
                <w:webHidden/>
              </w:rPr>
              <w:fldChar w:fldCharType="end"/>
            </w:r>
          </w:hyperlink>
        </w:p>
        <w:p w14:paraId="12C7DAF6" w14:textId="11D0030D"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2" w:name="_Toc18013293"/>
      <w:r>
        <w:rPr>
          <w:noProof/>
        </w:rPr>
        <w:lastRenderedPageBreak/>
        <w:t xml:space="preserve">List of </w:t>
      </w:r>
      <w:r w:rsidR="2D56E7D4" w:rsidRPr="2D56E7D4">
        <w:rPr>
          <w:noProof/>
        </w:rPr>
        <w:t>Figures</w:t>
      </w:r>
      <w:bookmarkEnd w:id="2"/>
    </w:p>
    <w:p w14:paraId="2C5BA531" w14:textId="5C2E55E4" w:rsidR="007A159A" w:rsidRPr="00B037A8" w:rsidRDefault="00F15AEE">
      <w:pPr>
        <w:pStyle w:val="TableofFigures"/>
        <w:tabs>
          <w:tab w:val="right" w:leader="dot" w:pos="9350"/>
        </w:tabs>
        <w:rPr>
          <w:rFonts w:asciiTheme="minorHAnsi" w:hAnsiTheme="minorHAnsi"/>
          <w:noProof/>
          <w:sz w:val="24"/>
          <w:szCs w:val="24"/>
          <w:lang w:eastAsia="zh-CN"/>
        </w:rPr>
      </w:pPr>
      <w:r w:rsidRPr="00B037A8">
        <w:fldChar w:fldCharType="begin"/>
      </w:r>
      <w:r w:rsidRPr="00B037A8">
        <w:instrText xml:space="preserve"> TOC \h \z \c "Figure" </w:instrText>
      </w:r>
      <w:r w:rsidRPr="00B037A8">
        <w:fldChar w:fldCharType="separate"/>
      </w:r>
      <w:hyperlink w:anchor="_Toc18146511" w:history="1">
        <w:r w:rsidR="007A159A" w:rsidRPr="00B037A8">
          <w:rPr>
            <w:rStyle w:val="Hyperlink"/>
            <w:noProof/>
          </w:rPr>
          <w:t>Figure 1.1 Lifetime potential soil carbon stocks of various carbon-sequestering agriculture systems compared</w:t>
        </w:r>
        <w:r w:rsidR="007A159A" w:rsidRPr="00B037A8">
          <w:rPr>
            <w:noProof/>
            <w:webHidden/>
          </w:rPr>
          <w:tab/>
        </w:r>
        <w:r w:rsidR="007A159A" w:rsidRPr="00B037A8">
          <w:rPr>
            <w:noProof/>
            <w:webHidden/>
          </w:rPr>
          <w:fldChar w:fldCharType="begin"/>
        </w:r>
        <w:r w:rsidR="007A159A" w:rsidRPr="00B037A8">
          <w:rPr>
            <w:noProof/>
            <w:webHidden/>
          </w:rPr>
          <w:instrText xml:space="preserve"> PAGEREF _Toc18146511 \h </w:instrText>
        </w:r>
        <w:r w:rsidR="007A159A" w:rsidRPr="00B037A8">
          <w:rPr>
            <w:noProof/>
            <w:webHidden/>
          </w:rPr>
        </w:r>
        <w:r w:rsidR="007A159A" w:rsidRPr="00B037A8">
          <w:rPr>
            <w:noProof/>
            <w:webHidden/>
          </w:rPr>
          <w:fldChar w:fldCharType="separate"/>
        </w:r>
        <w:r w:rsidR="00614A66">
          <w:rPr>
            <w:noProof/>
            <w:webHidden/>
          </w:rPr>
          <w:t>8</w:t>
        </w:r>
        <w:r w:rsidR="007A159A" w:rsidRPr="00B037A8">
          <w:rPr>
            <w:noProof/>
            <w:webHidden/>
          </w:rPr>
          <w:fldChar w:fldCharType="end"/>
        </w:r>
      </w:hyperlink>
    </w:p>
    <w:p w14:paraId="52DD1993" w14:textId="7661DDE0" w:rsidR="007A159A" w:rsidRPr="00B037A8" w:rsidRDefault="00D21135">
      <w:pPr>
        <w:pStyle w:val="TableofFigures"/>
        <w:tabs>
          <w:tab w:val="right" w:leader="dot" w:pos="9350"/>
        </w:tabs>
        <w:rPr>
          <w:rFonts w:asciiTheme="minorHAnsi" w:hAnsiTheme="minorHAnsi"/>
          <w:noProof/>
          <w:sz w:val="24"/>
          <w:szCs w:val="24"/>
          <w:lang w:eastAsia="zh-CN"/>
        </w:rPr>
      </w:pPr>
      <w:hyperlink w:anchor="_Toc18146512" w:history="1">
        <w:r w:rsidR="007A159A" w:rsidRPr="00B037A8">
          <w:rPr>
            <w:rStyle w:val="Hyperlink"/>
            <w:noProof/>
          </w:rPr>
          <w:t>Figure 3.1 World Annual Adoption 2020-2050 in Mha (a) and as a percentage of TLA (b).</w:t>
        </w:r>
        <w:r w:rsidR="007A159A" w:rsidRPr="00B037A8">
          <w:rPr>
            <w:noProof/>
            <w:webHidden/>
          </w:rPr>
          <w:tab/>
        </w:r>
        <w:r w:rsidR="007A159A" w:rsidRPr="00B037A8">
          <w:rPr>
            <w:noProof/>
            <w:webHidden/>
          </w:rPr>
          <w:fldChar w:fldCharType="begin"/>
        </w:r>
        <w:r w:rsidR="007A159A" w:rsidRPr="00B037A8">
          <w:rPr>
            <w:noProof/>
            <w:webHidden/>
          </w:rPr>
          <w:instrText xml:space="preserve"> PAGEREF _Toc18146512 \h </w:instrText>
        </w:r>
        <w:r w:rsidR="007A159A" w:rsidRPr="00B037A8">
          <w:rPr>
            <w:noProof/>
            <w:webHidden/>
          </w:rPr>
        </w:r>
        <w:r w:rsidR="007A159A" w:rsidRPr="00B037A8">
          <w:rPr>
            <w:noProof/>
            <w:webHidden/>
          </w:rPr>
          <w:fldChar w:fldCharType="separate"/>
        </w:r>
        <w:r w:rsidR="00614A66">
          <w:rPr>
            <w:noProof/>
            <w:webHidden/>
          </w:rPr>
          <w:t>29</w:t>
        </w:r>
        <w:r w:rsidR="007A159A" w:rsidRPr="00B037A8">
          <w:rPr>
            <w:noProof/>
            <w:webHidden/>
          </w:rPr>
          <w:fldChar w:fldCharType="end"/>
        </w:r>
      </w:hyperlink>
    </w:p>
    <w:p w14:paraId="072AEEE7" w14:textId="7A0937B8" w:rsidR="007A159A" w:rsidRPr="00B037A8" w:rsidRDefault="00D21135">
      <w:pPr>
        <w:pStyle w:val="TableofFigures"/>
        <w:tabs>
          <w:tab w:val="right" w:leader="dot" w:pos="9350"/>
        </w:tabs>
        <w:rPr>
          <w:rFonts w:asciiTheme="minorHAnsi" w:hAnsiTheme="minorHAnsi"/>
          <w:noProof/>
          <w:sz w:val="24"/>
          <w:szCs w:val="24"/>
          <w:lang w:eastAsia="zh-CN"/>
        </w:rPr>
      </w:pPr>
      <w:hyperlink w:anchor="_Toc18146513" w:history="1">
        <w:r w:rsidR="007A159A" w:rsidRPr="00B037A8">
          <w:rPr>
            <w:rStyle w:val="Hyperlink"/>
            <w:noProof/>
          </w:rPr>
          <w:t>Figure 3.2 World Annual</w:t>
        </w:r>
        <w:r w:rsidR="007A159A" w:rsidRPr="00B037A8">
          <w:rPr>
            <w:rStyle w:val="Hyperlink"/>
            <w:noProof/>
            <w:vertAlign w:val="subscript"/>
          </w:rPr>
          <w:t xml:space="preserve"> </w:t>
        </w:r>
        <w:r w:rsidR="007A159A" w:rsidRPr="00B037A8">
          <w:rPr>
            <w:rStyle w:val="Hyperlink"/>
            <w:noProof/>
          </w:rPr>
          <w:t>Greenhouse Gas Emissions Reduction</w:t>
        </w:r>
        <w:r w:rsidR="007A159A" w:rsidRPr="00B037A8">
          <w:rPr>
            <w:noProof/>
            <w:webHidden/>
          </w:rPr>
          <w:tab/>
        </w:r>
        <w:r w:rsidR="007A159A" w:rsidRPr="00B037A8">
          <w:rPr>
            <w:noProof/>
            <w:webHidden/>
          </w:rPr>
          <w:fldChar w:fldCharType="begin"/>
        </w:r>
        <w:r w:rsidR="007A159A" w:rsidRPr="00B037A8">
          <w:rPr>
            <w:noProof/>
            <w:webHidden/>
          </w:rPr>
          <w:instrText xml:space="preserve"> PAGEREF _Toc18146513 \h </w:instrText>
        </w:r>
        <w:r w:rsidR="007A159A" w:rsidRPr="00B037A8">
          <w:rPr>
            <w:noProof/>
            <w:webHidden/>
          </w:rPr>
        </w:r>
        <w:r w:rsidR="007A159A" w:rsidRPr="00B037A8">
          <w:rPr>
            <w:noProof/>
            <w:webHidden/>
          </w:rPr>
          <w:fldChar w:fldCharType="separate"/>
        </w:r>
        <w:r w:rsidR="00614A66">
          <w:rPr>
            <w:noProof/>
            <w:webHidden/>
          </w:rPr>
          <w:t>31</w:t>
        </w:r>
        <w:r w:rsidR="007A159A" w:rsidRPr="00B037A8">
          <w:rPr>
            <w:noProof/>
            <w:webHidden/>
          </w:rPr>
          <w:fldChar w:fldCharType="end"/>
        </w:r>
      </w:hyperlink>
    </w:p>
    <w:p w14:paraId="151BC6DF" w14:textId="229580CD" w:rsidR="007A159A" w:rsidRPr="00B037A8" w:rsidRDefault="00D21135">
      <w:pPr>
        <w:pStyle w:val="TableofFigures"/>
        <w:tabs>
          <w:tab w:val="right" w:leader="dot" w:pos="9350"/>
        </w:tabs>
        <w:rPr>
          <w:rFonts w:asciiTheme="minorHAnsi" w:hAnsiTheme="minorHAnsi"/>
          <w:noProof/>
          <w:sz w:val="24"/>
          <w:szCs w:val="24"/>
          <w:lang w:eastAsia="zh-CN"/>
        </w:rPr>
      </w:pPr>
      <w:hyperlink w:anchor="_Toc18146514" w:history="1">
        <w:r w:rsidR="007A159A" w:rsidRPr="00B037A8">
          <w:rPr>
            <w:rStyle w:val="Hyperlink"/>
            <w:noProof/>
          </w:rPr>
          <w:t>Figure 3.3 Net Profit Margin Increase</w:t>
        </w:r>
        <w:r w:rsidR="007A159A" w:rsidRPr="00B037A8">
          <w:rPr>
            <w:noProof/>
            <w:webHidden/>
          </w:rPr>
          <w:tab/>
        </w:r>
        <w:r w:rsidR="007A159A" w:rsidRPr="00B037A8">
          <w:rPr>
            <w:noProof/>
            <w:webHidden/>
          </w:rPr>
          <w:fldChar w:fldCharType="begin"/>
        </w:r>
        <w:r w:rsidR="007A159A" w:rsidRPr="00B037A8">
          <w:rPr>
            <w:noProof/>
            <w:webHidden/>
          </w:rPr>
          <w:instrText xml:space="preserve"> PAGEREF _Toc18146514 \h </w:instrText>
        </w:r>
        <w:r w:rsidR="007A159A" w:rsidRPr="00B037A8">
          <w:rPr>
            <w:noProof/>
            <w:webHidden/>
          </w:rPr>
        </w:r>
        <w:r w:rsidR="007A159A" w:rsidRPr="00B037A8">
          <w:rPr>
            <w:noProof/>
            <w:webHidden/>
          </w:rPr>
          <w:fldChar w:fldCharType="separate"/>
        </w:r>
        <w:r w:rsidR="00614A66">
          <w:rPr>
            <w:noProof/>
            <w:webHidden/>
          </w:rPr>
          <w:t>32</w:t>
        </w:r>
        <w:r w:rsidR="007A159A" w:rsidRPr="00B037A8">
          <w:rPr>
            <w:noProof/>
            <w:webHidden/>
          </w:rPr>
          <w:fldChar w:fldCharType="end"/>
        </w:r>
      </w:hyperlink>
    </w:p>
    <w:p w14:paraId="5AD133BD" w14:textId="581803EE" w:rsidR="00640665" w:rsidRPr="003A0234" w:rsidRDefault="00F15AEE" w:rsidP="00DB4CC8">
      <w:r w:rsidRPr="00B037A8">
        <w:fldChar w:fldCharType="end"/>
      </w:r>
    </w:p>
    <w:p w14:paraId="6055DED9" w14:textId="24973E3A" w:rsidR="006A4A08" w:rsidRPr="003A0234" w:rsidRDefault="00C23CAC" w:rsidP="00DB4CC8">
      <w:pPr>
        <w:pStyle w:val="Heading1"/>
        <w:numPr>
          <w:ilvl w:val="0"/>
          <w:numId w:val="0"/>
        </w:numPr>
      </w:pPr>
      <w:bookmarkStart w:id="3" w:name="_Toc18013294"/>
      <w:r w:rsidRPr="003A0234">
        <w:t xml:space="preserve">List of </w:t>
      </w:r>
      <w:r w:rsidR="2D56E7D4" w:rsidRPr="003A0234">
        <w:t>Tables</w:t>
      </w:r>
      <w:bookmarkEnd w:id="3"/>
    </w:p>
    <w:p w14:paraId="125AE38A" w14:textId="75191FA9" w:rsidR="000B2CD2" w:rsidRPr="000B2CD2" w:rsidRDefault="006A4A08">
      <w:pPr>
        <w:pStyle w:val="TableofFigures"/>
        <w:tabs>
          <w:tab w:val="right" w:leader="dot" w:pos="9350"/>
        </w:tabs>
        <w:rPr>
          <w:rFonts w:asciiTheme="minorHAnsi" w:hAnsiTheme="minorHAnsi"/>
          <w:noProof/>
          <w:lang w:eastAsia="en-US"/>
        </w:rPr>
      </w:pPr>
      <w:r w:rsidRPr="000B2CD2">
        <w:fldChar w:fldCharType="begin"/>
      </w:r>
      <w:r w:rsidRPr="000B2CD2">
        <w:instrText xml:space="preserve"> TOC \h \z \c "Table" </w:instrText>
      </w:r>
      <w:r w:rsidRPr="000B2CD2">
        <w:fldChar w:fldCharType="separate"/>
      </w:r>
      <w:hyperlink w:anchor="_Toc18448121" w:history="1">
        <w:r w:rsidR="000B2CD2" w:rsidRPr="000B2CD2">
          <w:rPr>
            <w:rStyle w:val="Hyperlink"/>
            <w:noProof/>
          </w:rPr>
          <w:t>Table 1.1 Sequestration rates (in t/ha/yr) of silvopasture vs. managed grazing</w:t>
        </w:r>
        <w:r w:rsidR="000B2CD2" w:rsidRPr="000B2CD2">
          <w:rPr>
            <w:noProof/>
            <w:webHidden/>
          </w:rPr>
          <w:tab/>
        </w:r>
        <w:r w:rsidR="000B2CD2" w:rsidRPr="000B2CD2">
          <w:rPr>
            <w:noProof/>
            <w:webHidden/>
          </w:rPr>
          <w:fldChar w:fldCharType="begin"/>
        </w:r>
        <w:r w:rsidR="000B2CD2" w:rsidRPr="000B2CD2">
          <w:rPr>
            <w:noProof/>
            <w:webHidden/>
          </w:rPr>
          <w:instrText xml:space="preserve"> PAGEREF _Toc18448121 \h </w:instrText>
        </w:r>
        <w:r w:rsidR="000B2CD2" w:rsidRPr="000B2CD2">
          <w:rPr>
            <w:noProof/>
            <w:webHidden/>
          </w:rPr>
        </w:r>
        <w:r w:rsidR="000B2CD2" w:rsidRPr="000B2CD2">
          <w:rPr>
            <w:noProof/>
            <w:webHidden/>
          </w:rPr>
          <w:fldChar w:fldCharType="separate"/>
        </w:r>
        <w:r w:rsidR="00614A66">
          <w:rPr>
            <w:noProof/>
            <w:webHidden/>
          </w:rPr>
          <w:t>7</w:t>
        </w:r>
        <w:r w:rsidR="000B2CD2" w:rsidRPr="000B2CD2">
          <w:rPr>
            <w:noProof/>
            <w:webHidden/>
          </w:rPr>
          <w:fldChar w:fldCharType="end"/>
        </w:r>
      </w:hyperlink>
    </w:p>
    <w:p w14:paraId="43D7EEA3" w14:textId="4218CA21" w:rsidR="000B2CD2" w:rsidRPr="000B2CD2" w:rsidRDefault="000B2CD2">
      <w:pPr>
        <w:pStyle w:val="TableofFigures"/>
        <w:tabs>
          <w:tab w:val="right" w:leader="dot" w:pos="9350"/>
        </w:tabs>
        <w:rPr>
          <w:rFonts w:asciiTheme="minorHAnsi" w:hAnsiTheme="minorHAnsi"/>
          <w:noProof/>
          <w:lang w:eastAsia="en-US"/>
        </w:rPr>
      </w:pPr>
      <w:hyperlink w:anchor="_Toc18448122" w:history="1">
        <w:r w:rsidRPr="000B2CD2">
          <w:rPr>
            <w:rStyle w:val="Hyperlink"/>
            <w:i/>
            <w:noProof/>
          </w:rPr>
          <w:t>Table 1.2 Mean above-ground biomass (ABG) and soil organic carbon (SOC) sequestration rates by region</w:t>
        </w:r>
        <w:r w:rsidRPr="000B2CD2">
          <w:rPr>
            <w:rStyle w:val="Hyperlink"/>
            <w:iCs/>
            <w:noProof/>
          </w:rPr>
          <w:t xml:space="preserve"> </w:t>
        </w:r>
        <w:r w:rsidRPr="000B2CD2">
          <w:rPr>
            <w:rStyle w:val="Hyperlink"/>
            <w:noProof/>
          </w:rPr>
          <w:t xml:space="preserve">Adapted from Tables 3 and 4 from </w:t>
        </w:r>
        <w:r w:rsidRPr="000B2CD2">
          <w:rPr>
            <w:rStyle w:val="Hyperlink"/>
            <w:rFonts w:cs="Times New Roman"/>
            <w:noProof/>
          </w:rPr>
          <w:t>(Feliciano et al, 2018)</w:t>
        </w:r>
        <w:r w:rsidRPr="000B2CD2">
          <w:rPr>
            <w:rStyle w:val="Hyperlink"/>
            <w:noProof/>
          </w:rPr>
          <w:t xml:space="preserve">, which was published after the publication of </w:t>
        </w:r>
        <w:r w:rsidRPr="000B2CD2">
          <w:rPr>
            <w:rStyle w:val="Hyperlink"/>
            <w:i/>
            <w:noProof/>
          </w:rPr>
          <w:t>Drawdown.</w:t>
        </w:r>
        <w:r w:rsidRPr="000B2CD2">
          <w:rPr>
            <w:noProof/>
            <w:webHidden/>
          </w:rPr>
          <w:tab/>
        </w:r>
        <w:r w:rsidRPr="000B2CD2">
          <w:rPr>
            <w:noProof/>
            <w:webHidden/>
          </w:rPr>
          <w:fldChar w:fldCharType="begin"/>
        </w:r>
        <w:r w:rsidRPr="000B2CD2">
          <w:rPr>
            <w:noProof/>
            <w:webHidden/>
          </w:rPr>
          <w:instrText xml:space="preserve"> PAGEREF _Toc18448122 \h </w:instrText>
        </w:r>
        <w:r w:rsidRPr="000B2CD2">
          <w:rPr>
            <w:noProof/>
            <w:webHidden/>
          </w:rPr>
        </w:r>
        <w:r w:rsidRPr="000B2CD2">
          <w:rPr>
            <w:noProof/>
            <w:webHidden/>
          </w:rPr>
          <w:fldChar w:fldCharType="separate"/>
        </w:r>
        <w:r w:rsidR="00614A66">
          <w:rPr>
            <w:noProof/>
            <w:webHidden/>
          </w:rPr>
          <w:t>7</w:t>
        </w:r>
        <w:r w:rsidRPr="000B2CD2">
          <w:rPr>
            <w:noProof/>
            <w:webHidden/>
          </w:rPr>
          <w:fldChar w:fldCharType="end"/>
        </w:r>
      </w:hyperlink>
    </w:p>
    <w:p w14:paraId="4DEAC452" w14:textId="7EE1FE3A" w:rsidR="000B2CD2" w:rsidRPr="000B2CD2" w:rsidRDefault="000B2CD2">
      <w:pPr>
        <w:pStyle w:val="TableofFigures"/>
        <w:tabs>
          <w:tab w:val="right" w:leader="dot" w:pos="9350"/>
        </w:tabs>
        <w:rPr>
          <w:rFonts w:asciiTheme="minorHAnsi" w:hAnsiTheme="minorHAnsi"/>
          <w:noProof/>
          <w:lang w:eastAsia="en-US"/>
        </w:rPr>
      </w:pPr>
      <w:hyperlink w:anchor="_Toc18448123" w:history="1">
        <w:r w:rsidRPr="000B2CD2">
          <w:rPr>
            <w:rStyle w:val="Hyperlink"/>
            <w:noProof/>
          </w:rPr>
          <w:t>Table 1.3 Lifetime sequestration rates of aboveground biomass of multistrata agroforestry systems</w:t>
        </w:r>
        <w:r w:rsidRPr="000B2CD2">
          <w:rPr>
            <w:noProof/>
            <w:webHidden/>
          </w:rPr>
          <w:tab/>
        </w:r>
        <w:r w:rsidRPr="000B2CD2">
          <w:rPr>
            <w:noProof/>
            <w:webHidden/>
          </w:rPr>
          <w:fldChar w:fldCharType="begin"/>
        </w:r>
        <w:r w:rsidRPr="000B2CD2">
          <w:rPr>
            <w:noProof/>
            <w:webHidden/>
          </w:rPr>
          <w:instrText xml:space="preserve"> PAGEREF _Toc18448123 \h </w:instrText>
        </w:r>
        <w:r w:rsidRPr="000B2CD2">
          <w:rPr>
            <w:noProof/>
            <w:webHidden/>
          </w:rPr>
        </w:r>
        <w:r w:rsidRPr="000B2CD2">
          <w:rPr>
            <w:noProof/>
            <w:webHidden/>
          </w:rPr>
          <w:fldChar w:fldCharType="separate"/>
        </w:r>
        <w:r w:rsidR="00614A66">
          <w:rPr>
            <w:noProof/>
            <w:webHidden/>
          </w:rPr>
          <w:t>9</w:t>
        </w:r>
        <w:r w:rsidRPr="000B2CD2">
          <w:rPr>
            <w:noProof/>
            <w:webHidden/>
          </w:rPr>
          <w:fldChar w:fldCharType="end"/>
        </w:r>
      </w:hyperlink>
    </w:p>
    <w:p w14:paraId="427A6737" w14:textId="21410C1E" w:rsidR="000B2CD2" w:rsidRPr="000B2CD2" w:rsidRDefault="000B2CD2">
      <w:pPr>
        <w:pStyle w:val="TableofFigures"/>
        <w:tabs>
          <w:tab w:val="right" w:leader="dot" w:pos="9350"/>
        </w:tabs>
        <w:rPr>
          <w:rFonts w:asciiTheme="minorHAnsi" w:hAnsiTheme="minorHAnsi"/>
          <w:noProof/>
          <w:lang w:eastAsia="en-US"/>
        </w:rPr>
      </w:pPr>
      <w:hyperlink w:anchor="_Toc18448124" w:history="1">
        <w:r w:rsidRPr="000B2CD2">
          <w:rPr>
            <w:rStyle w:val="Hyperlink"/>
            <w:noProof/>
          </w:rPr>
          <w:t>Table 1.4 Food Production Solutions Comparison: On-Farm Impacts</w:t>
        </w:r>
        <w:r w:rsidRPr="000B2CD2">
          <w:rPr>
            <w:noProof/>
            <w:webHidden/>
          </w:rPr>
          <w:tab/>
        </w:r>
        <w:r w:rsidRPr="000B2CD2">
          <w:rPr>
            <w:noProof/>
            <w:webHidden/>
          </w:rPr>
          <w:fldChar w:fldCharType="begin"/>
        </w:r>
        <w:r w:rsidRPr="000B2CD2">
          <w:rPr>
            <w:noProof/>
            <w:webHidden/>
          </w:rPr>
          <w:instrText xml:space="preserve"> PAGEREF _Toc18448124 \h </w:instrText>
        </w:r>
        <w:r w:rsidRPr="000B2CD2">
          <w:rPr>
            <w:noProof/>
            <w:webHidden/>
          </w:rPr>
        </w:r>
        <w:r w:rsidRPr="000B2CD2">
          <w:rPr>
            <w:noProof/>
            <w:webHidden/>
          </w:rPr>
          <w:fldChar w:fldCharType="separate"/>
        </w:r>
        <w:r w:rsidR="00614A66">
          <w:rPr>
            <w:noProof/>
            <w:webHidden/>
          </w:rPr>
          <w:t>14</w:t>
        </w:r>
        <w:r w:rsidRPr="000B2CD2">
          <w:rPr>
            <w:noProof/>
            <w:webHidden/>
          </w:rPr>
          <w:fldChar w:fldCharType="end"/>
        </w:r>
      </w:hyperlink>
    </w:p>
    <w:p w14:paraId="6CD67242" w14:textId="15165AA5" w:rsidR="000B2CD2" w:rsidRPr="000B2CD2" w:rsidRDefault="000B2CD2">
      <w:pPr>
        <w:pStyle w:val="TableofFigures"/>
        <w:tabs>
          <w:tab w:val="right" w:leader="dot" w:pos="9350"/>
        </w:tabs>
        <w:rPr>
          <w:rFonts w:asciiTheme="minorHAnsi" w:hAnsiTheme="minorHAnsi"/>
          <w:noProof/>
          <w:lang w:eastAsia="en-US"/>
        </w:rPr>
      </w:pPr>
      <w:hyperlink w:anchor="_Toc18448125" w:history="1">
        <w:r w:rsidRPr="000B2CD2">
          <w:rPr>
            <w:rStyle w:val="Hyperlink"/>
            <w:noProof/>
          </w:rPr>
          <w:t>Table 1.5 Food Production Solutions Comparison: On-Farm Impacts Social and Ecological Impacts</w:t>
        </w:r>
        <w:r w:rsidRPr="000B2CD2">
          <w:rPr>
            <w:noProof/>
            <w:webHidden/>
          </w:rPr>
          <w:tab/>
        </w:r>
        <w:r w:rsidRPr="000B2CD2">
          <w:rPr>
            <w:noProof/>
            <w:webHidden/>
          </w:rPr>
          <w:fldChar w:fldCharType="begin"/>
        </w:r>
        <w:r w:rsidRPr="000B2CD2">
          <w:rPr>
            <w:noProof/>
            <w:webHidden/>
          </w:rPr>
          <w:instrText xml:space="preserve"> PAGEREF _Toc18448125 \h </w:instrText>
        </w:r>
        <w:r w:rsidRPr="000B2CD2">
          <w:rPr>
            <w:noProof/>
            <w:webHidden/>
          </w:rPr>
        </w:r>
        <w:r w:rsidRPr="000B2CD2">
          <w:rPr>
            <w:noProof/>
            <w:webHidden/>
          </w:rPr>
          <w:fldChar w:fldCharType="separate"/>
        </w:r>
        <w:r w:rsidR="00614A66">
          <w:rPr>
            <w:noProof/>
            <w:webHidden/>
          </w:rPr>
          <w:t>15</w:t>
        </w:r>
        <w:r w:rsidRPr="000B2CD2">
          <w:rPr>
            <w:noProof/>
            <w:webHidden/>
          </w:rPr>
          <w:fldChar w:fldCharType="end"/>
        </w:r>
      </w:hyperlink>
    </w:p>
    <w:p w14:paraId="79EA408A" w14:textId="39978C6B" w:rsidR="000B2CD2" w:rsidRPr="000B2CD2" w:rsidRDefault="000B2CD2">
      <w:pPr>
        <w:pStyle w:val="TableofFigures"/>
        <w:tabs>
          <w:tab w:val="right" w:leader="dot" w:pos="9350"/>
        </w:tabs>
        <w:rPr>
          <w:rFonts w:asciiTheme="minorHAnsi" w:hAnsiTheme="minorHAnsi"/>
          <w:noProof/>
          <w:lang w:eastAsia="en-US"/>
        </w:rPr>
      </w:pPr>
      <w:hyperlink w:anchor="_Toc18448126" w:history="1">
        <w:r w:rsidRPr="000B2CD2">
          <w:rPr>
            <w:rStyle w:val="Hyperlink"/>
            <w:noProof/>
          </w:rPr>
          <w:t>Table 2.1 Climate Inputs</w:t>
        </w:r>
        <w:r w:rsidRPr="000B2CD2">
          <w:rPr>
            <w:noProof/>
            <w:webHidden/>
          </w:rPr>
          <w:tab/>
        </w:r>
        <w:r w:rsidRPr="000B2CD2">
          <w:rPr>
            <w:noProof/>
            <w:webHidden/>
          </w:rPr>
          <w:fldChar w:fldCharType="begin"/>
        </w:r>
        <w:r w:rsidRPr="000B2CD2">
          <w:rPr>
            <w:noProof/>
            <w:webHidden/>
          </w:rPr>
          <w:instrText xml:space="preserve"> PAGEREF _Toc18448126 \h </w:instrText>
        </w:r>
        <w:r w:rsidRPr="000B2CD2">
          <w:rPr>
            <w:noProof/>
            <w:webHidden/>
          </w:rPr>
        </w:r>
        <w:r w:rsidRPr="000B2CD2">
          <w:rPr>
            <w:noProof/>
            <w:webHidden/>
          </w:rPr>
          <w:fldChar w:fldCharType="separate"/>
        </w:r>
        <w:r w:rsidR="00614A66">
          <w:rPr>
            <w:noProof/>
            <w:webHidden/>
          </w:rPr>
          <w:t>21</w:t>
        </w:r>
        <w:r w:rsidRPr="000B2CD2">
          <w:rPr>
            <w:noProof/>
            <w:webHidden/>
          </w:rPr>
          <w:fldChar w:fldCharType="end"/>
        </w:r>
      </w:hyperlink>
    </w:p>
    <w:p w14:paraId="2ABAE3FF" w14:textId="48C2695F" w:rsidR="000B2CD2" w:rsidRPr="000B2CD2" w:rsidRDefault="000B2CD2">
      <w:pPr>
        <w:pStyle w:val="TableofFigures"/>
        <w:tabs>
          <w:tab w:val="right" w:leader="dot" w:pos="9350"/>
        </w:tabs>
        <w:rPr>
          <w:rFonts w:asciiTheme="minorHAnsi" w:hAnsiTheme="minorHAnsi"/>
          <w:noProof/>
          <w:lang w:eastAsia="en-US"/>
        </w:rPr>
      </w:pPr>
      <w:hyperlink w:anchor="_Toc18448127" w:history="1">
        <w:r w:rsidRPr="000B2CD2">
          <w:rPr>
            <w:rStyle w:val="Hyperlink"/>
            <w:noProof/>
          </w:rPr>
          <w:t>Table 2.2 Financial Inputs for Conventional Technologies</w:t>
        </w:r>
        <w:r w:rsidRPr="000B2CD2">
          <w:rPr>
            <w:noProof/>
            <w:webHidden/>
          </w:rPr>
          <w:tab/>
        </w:r>
        <w:r w:rsidRPr="000B2CD2">
          <w:rPr>
            <w:noProof/>
            <w:webHidden/>
          </w:rPr>
          <w:fldChar w:fldCharType="begin"/>
        </w:r>
        <w:r w:rsidRPr="000B2CD2">
          <w:rPr>
            <w:noProof/>
            <w:webHidden/>
          </w:rPr>
          <w:instrText xml:space="preserve"> PAGEREF _Toc18448127 \h </w:instrText>
        </w:r>
        <w:r w:rsidRPr="000B2CD2">
          <w:rPr>
            <w:noProof/>
            <w:webHidden/>
          </w:rPr>
        </w:r>
        <w:r w:rsidRPr="000B2CD2">
          <w:rPr>
            <w:noProof/>
            <w:webHidden/>
          </w:rPr>
          <w:fldChar w:fldCharType="separate"/>
        </w:r>
        <w:r w:rsidR="00614A66">
          <w:rPr>
            <w:noProof/>
            <w:webHidden/>
          </w:rPr>
          <w:t>22</w:t>
        </w:r>
        <w:r w:rsidRPr="000B2CD2">
          <w:rPr>
            <w:noProof/>
            <w:webHidden/>
          </w:rPr>
          <w:fldChar w:fldCharType="end"/>
        </w:r>
      </w:hyperlink>
    </w:p>
    <w:p w14:paraId="5EC97CD6" w14:textId="797590D2" w:rsidR="000B2CD2" w:rsidRPr="000B2CD2" w:rsidRDefault="000B2CD2">
      <w:pPr>
        <w:pStyle w:val="TableofFigures"/>
        <w:tabs>
          <w:tab w:val="right" w:leader="dot" w:pos="9350"/>
        </w:tabs>
        <w:rPr>
          <w:rFonts w:asciiTheme="minorHAnsi" w:hAnsiTheme="minorHAnsi"/>
          <w:noProof/>
          <w:lang w:eastAsia="en-US"/>
        </w:rPr>
      </w:pPr>
      <w:hyperlink w:anchor="_Toc18448128" w:history="1">
        <w:r w:rsidRPr="000B2CD2">
          <w:rPr>
            <w:rStyle w:val="Hyperlink"/>
            <w:noProof/>
          </w:rPr>
          <w:t>Table 2.3 Financial Inputs for Solution</w:t>
        </w:r>
        <w:r w:rsidRPr="000B2CD2">
          <w:rPr>
            <w:noProof/>
            <w:webHidden/>
          </w:rPr>
          <w:tab/>
        </w:r>
        <w:r w:rsidRPr="000B2CD2">
          <w:rPr>
            <w:noProof/>
            <w:webHidden/>
          </w:rPr>
          <w:fldChar w:fldCharType="begin"/>
        </w:r>
        <w:r w:rsidRPr="000B2CD2">
          <w:rPr>
            <w:noProof/>
            <w:webHidden/>
          </w:rPr>
          <w:instrText xml:space="preserve"> PAGEREF _Toc18448128 \h </w:instrText>
        </w:r>
        <w:r w:rsidRPr="000B2CD2">
          <w:rPr>
            <w:noProof/>
            <w:webHidden/>
          </w:rPr>
        </w:r>
        <w:r w:rsidRPr="000B2CD2">
          <w:rPr>
            <w:noProof/>
            <w:webHidden/>
          </w:rPr>
          <w:fldChar w:fldCharType="separate"/>
        </w:r>
        <w:r w:rsidR="00614A66">
          <w:rPr>
            <w:noProof/>
            <w:webHidden/>
          </w:rPr>
          <w:t>22</w:t>
        </w:r>
        <w:r w:rsidRPr="000B2CD2">
          <w:rPr>
            <w:noProof/>
            <w:webHidden/>
          </w:rPr>
          <w:fldChar w:fldCharType="end"/>
        </w:r>
      </w:hyperlink>
    </w:p>
    <w:p w14:paraId="72C6F75B" w14:textId="2A3A182E" w:rsidR="000B2CD2" w:rsidRPr="000B2CD2" w:rsidRDefault="000B2CD2">
      <w:pPr>
        <w:pStyle w:val="TableofFigures"/>
        <w:tabs>
          <w:tab w:val="right" w:leader="dot" w:pos="9350"/>
        </w:tabs>
        <w:rPr>
          <w:rFonts w:asciiTheme="minorHAnsi" w:hAnsiTheme="minorHAnsi"/>
          <w:noProof/>
          <w:lang w:eastAsia="en-US"/>
        </w:rPr>
      </w:pPr>
      <w:hyperlink w:anchor="_Toc18448129" w:history="1">
        <w:r w:rsidRPr="000B2CD2">
          <w:rPr>
            <w:rStyle w:val="Hyperlink"/>
            <w:noProof/>
          </w:rPr>
          <w:t>Table 3.1 World Adoption of the Solution</w:t>
        </w:r>
        <w:r w:rsidRPr="000B2CD2">
          <w:rPr>
            <w:noProof/>
            <w:webHidden/>
          </w:rPr>
          <w:tab/>
        </w:r>
        <w:r w:rsidRPr="000B2CD2">
          <w:rPr>
            <w:noProof/>
            <w:webHidden/>
          </w:rPr>
          <w:fldChar w:fldCharType="begin"/>
        </w:r>
        <w:r w:rsidRPr="000B2CD2">
          <w:rPr>
            <w:noProof/>
            <w:webHidden/>
          </w:rPr>
          <w:instrText xml:space="preserve"> PAGEREF _Toc18448129 \h </w:instrText>
        </w:r>
        <w:r w:rsidRPr="000B2CD2">
          <w:rPr>
            <w:noProof/>
            <w:webHidden/>
          </w:rPr>
        </w:r>
        <w:r w:rsidRPr="000B2CD2">
          <w:rPr>
            <w:noProof/>
            <w:webHidden/>
          </w:rPr>
          <w:fldChar w:fldCharType="separate"/>
        </w:r>
        <w:r w:rsidR="00614A66">
          <w:rPr>
            <w:noProof/>
            <w:webHidden/>
          </w:rPr>
          <w:t>28</w:t>
        </w:r>
        <w:r w:rsidRPr="000B2CD2">
          <w:rPr>
            <w:noProof/>
            <w:webHidden/>
          </w:rPr>
          <w:fldChar w:fldCharType="end"/>
        </w:r>
      </w:hyperlink>
    </w:p>
    <w:p w14:paraId="560C4130" w14:textId="4D9E2D08" w:rsidR="000B2CD2" w:rsidRPr="000B2CD2" w:rsidRDefault="000B2CD2">
      <w:pPr>
        <w:pStyle w:val="TableofFigures"/>
        <w:tabs>
          <w:tab w:val="right" w:leader="dot" w:pos="9350"/>
        </w:tabs>
        <w:rPr>
          <w:rFonts w:asciiTheme="minorHAnsi" w:hAnsiTheme="minorHAnsi"/>
          <w:noProof/>
          <w:lang w:eastAsia="en-US"/>
        </w:rPr>
      </w:pPr>
      <w:hyperlink w:anchor="_Toc18448130" w:history="1">
        <w:r w:rsidRPr="000B2CD2">
          <w:rPr>
            <w:rStyle w:val="Hyperlink"/>
            <w:noProof/>
          </w:rPr>
          <w:t>Table 3.2 Climate Impacts</w:t>
        </w:r>
        <w:r w:rsidRPr="000B2CD2">
          <w:rPr>
            <w:noProof/>
            <w:webHidden/>
          </w:rPr>
          <w:tab/>
        </w:r>
        <w:r w:rsidRPr="000B2CD2">
          <w:rPr>
            <w:noProof/>
            <w:webHidden/>
          </w:rPr>
          <w:fldChar w:fldCharType="begin"/>
        </w:r>
        <w:r w:rsidRPr="000B2CD2">
          <w:rPr>
            <w:noProof/>
            <w:webHidden/>
          </w:rPr>
          <w:instrText xml:space="preserve"> PAGEREF _Toc18448130 \h </w:instrText>
        </w:r>
        <w:r w:rsidRPr="000B2CD2">
          <w:rPr>
            <w:noProof/>
            <w:webHidden/>
          </w:rPr>
        </w:r>
        <w:r w:rsidRPr="000B2CD2">
          <w:rPr>
            <w:noProof/>
            <w:webHidden/>
          </w:rPr>
          <w:fldChar w:fldCharType="separate"/>
        </w:r>
        <w:r w:rsidR="00614A66">
          <w:rPr>
            <w:noProof/>
            <w:webHidden/>
          </w:rPr>
          <w:t>29</w:t>
        </w:r>
        <w:r w:rsidRPr="000B2CD2">
          <w:rPr>
            <w:noProof/>
            <w:webHidden/>
          </w:rPr>
          <w:fldChar w:fldCharType="end"/>
        </w:r>
      </w:hyperlink>
    </w:p>
    <w:p w14:paraId="2F2DB444" w14:textId="501D0611" w:rsidR="000B2CD2" w:rsidRPr="000B2CD2" w:rsidRDefault="000B2CD2">
      <w:pPr>
        <w:pStyle w:val="TableofFigures"/>
        <w:tabs>
          <w:tab w:val="right" w:leader="dot" w:pos="9350"/>
        </w:tabs>
        <w:rPr>
          <w:rFonts w:asciiTheme="minorHAnsi" w:hAnsiTheme="minorHAnsi"/>
          <w:noProof/>
          <w:lang w:eastAsia="en-US"/>
        </w:rPr>
      </w:pPr>
      <w:hyperlink w:anchor="_Toc18448131" w:history="1">
        <w:r w:rsidRPr="000B2CD2">
          <w:rPr>
            <w:rStyle w:val="Hyperlink"/>
            <w:noProof/>
          </w:rPr>
          <w:t>Table 3.3 Impacts on Atmospheric Concentrations of CO</w:t>
        </w:r>
        <w:r w:rsidRPr="000B2CD2">
          <w:rPr>
            <w:rStyle w:val="Hyperlink"/>
            <w:noProof/>
            <w:vertAlign w:val="subscript"/>
          </w:rPr>
          <w:t>2</w:t>
        </w:r>
        <w:r w:rsidRPr="000B2CD2">
          <w:rPr>
            <w:rStyle w:val="Hyperlink"/>
            <w:noProof/>
          </w:rPr>
          <w:t>-eq</w:t>
        </w:r>
        <w:r w:rsidRPr="000B2CD2">
          <w:rPr>
            <w:noProof/>
            <w:webHidden/>
          </w:rPr>
          <w:tab/>
        </w:r>
        <w:r w:rsidRPr="000B2CD2">
          <w:rPr>
            <w:noProof/>
            <w:webHidden/>
          </w:rPr>
          <w:fldChar w:fldCharType="begin"/>
        </w:r>
        <w:r w:rsidRPr="000B2CD2">
          <w:rPr>
            <w:noProof/>
            <w:webHidden/>
          </w:rPr>
          <w:instrText xml:space="preserve"> PAGEREF _Toc18448131 \h </w:instrText>
        </w:r>
        <w:r w:rsidRPr="000B2CD2">
          <w:rPr>
            <w:noProof/>
            <w:webHidden/>
          </w:rPr>
        </w:r>
        <w:r w:rsidRPr="000B2CD2">
          <w:rPr>
            <w:noProof/>
            <w:webHidden/>
          </w:rPr>
          <w:fldChar w:fldCharType="separate"/>
        </w:r>
        <w:r w:rsidR="00614A66">
          <w:rPr>
            <w:noProof/>
            <w:webHidden/>
          </w:rPr>
          <w:t>30</w:t>
        </w:r>
        <w:r w:rsidRPr="000B2CD2">
          <w:rPr>
            <w:noProof/>
            <w:webHidden/>
          </w:rPr>
          <w:fldChar w:fldCharType="end"/>
        </w:r>
      </w:hyperlink>
    </w:p>
    <w:p w14:paraId="076968C7" w14:textId="08D5BA0C" w:rsidR="000B2CD2" w:rsidRPr="000B2CD2" w:rsidRDefault="000B2CD2">
      <w:pPr>
        <w:pStyle w:val="TableofFigures"/>
        <w:tabs>
          <w:tab w:val="right" w:leader="dot" w:pos="9350"/>
        </w:tabs>
        <w:rPr>
          <w:rFonts w:asciiTheme="minorHAnsi" w:hAnsiTheme="minorHAnsi"/>
          <w:noProof/>
          <w:lang w:eastAsia="en-US"/>
        </w:rPr>
      </w:pPr>
      <w:hyperlink w:anchor="_Toc18448132" w:history="1">
        <w:r w:rsidRPr="000B2CD2">
          <w:rPr>
            <w:rStyle w:val="Hyperlink"/>
            <w:noProof/>
          </w:rPr>
          <w:t>Table 3.4 Financial Impacts</w:t>
        </w:r>
        <w:r w:rsidRPr="000B2CD2">
          <w:rPr>
            <w:noProof/>
            <w:webHidden/>
          </w:rPr>
          <w:tab/>
        </w:r>
        <w:r w:rsidRPr="000B2CD2">
          <w:rPr>
            <w:noProof/>
            <w:webHidden/>
          </w:rPr>
          <w:fldChar w:fldCharType="begin"/>
        </w:r>
        <w:r w:rsidRPr="000B2CD2">
          <w:rPr>
            <w:noProof/>
            <w:webHidden/>
          </w:rPr>
          <w:instrText xml:space="preserve"> PAGEREF _Toc18448132 \h </w:instrText>
        </w:r>
        <w:r w:rsidRPr="000B2CD2">
          <w:rPr>
            <w:noProof/>
            <w:webHidden/>
          </w:rPr>
        </w:r>
        <w:r w:rsidRPr="000B2CD2">
          <w:rPr>
            <w:noProof/>
            <w:webHidden/>
          </w:rPr>
          <w:fldChar w:fldCharType="separate"/>
        </w:r>
        <w:r w:rsidR="00614A66">
          <w:rPr>
            <w:noProof/>
            <w:webHidden/>
          </w:rPr>
          <w:t>32</w:t>
        </w:r>
        <w:r w:rsidRPr="000B2CD2">
          <w:rPr>
            <w:noProof/>
            <w:webHidden/>
          </w:rPr>
          <w:fldChar w:fldCharType="end"/>
        </w:r>
      </w:hyperlink>
    </w:p>
    <w:p w14:paraId="71E54620" w14:textId="192C50BB" w:rsidR="000B2CD2" w:rsidRPr="000B2CD2" w:rsidRDefault="000B2CD2">
      <w:pPr>
        <w:pStyle w:val="TableofFigures"/>
        <w:tabs>
          <w:tab w:val="right" w:leader="dot" w:pos="9350"/>
        </w:tabs>
        <w:rPr>
          <w:rFonts w:asciiTheme="minorHAnsi" w:hAnsiTheme="minorHAnsi"/>
          <w:noProof/>
          <w:lang w:eastAsia="en-US"/>
        </w:rPr>
      </w:pPr>
      <w:hyperlink w:anchor="_Toc18448133" w:history="1">
        <w:r w:rsidRPr="000B2CD2">
          <w:rPr>
            <w:rStyle w:val="Hyperlink"/>
            <w:noProof/>
          </w:rPr>
          <w:t>Table 4.1: Benchmarks</w:t>
        </w:r>
        <w:r w:rsidRPr="000B2CD2">
          <w:rPr>
            <w:noProof/>
            <w:webHidden/>
          </w:rPr>
          <w:tab/>
        </w:r>
        <w:r w:rsidRPr="000B2CD2">
          <w:rPr>
            <w:noProof/>
            <w:webHidden/>
          </w:rPr>
          <w:fldChar w:fldCharType="begin"/>
        </w:r>
        <w:r w:rsidRPr="000B2CD2">
          <w:rPr>
            <w:noProof/>
            <w:webHidden/>
          </w:rPr>
          <w:instrText xml:space="preserve"> PAGEREF _Toc18448133 \h </w:instrText>
        </w:r>
        <w:r w:rsidRPr="000B2CD2">
          <w:rPr>
            <w:noProof/>
            <w:webHidden/>
          </w:rPr>
        </w:r>
        <w:r w:rsidRPr="000B2CD2">
          <w:rPr>
            <w:noProof/>
            <w:webHidden/>
          </w:rPr>
          <w:fldChar w:fldCharType="separate"/>
        </w:r>
        <w:r w:rsidR="00614A66">
          <w:rPr>
            <w:noProof/>
            <w:webHidden/>
          </w:rPr>
          <w:t>35</w:t>
        </w:r>
        <w:r w:rsidRPr="000B2CD2">
          <w:rPr>
            <w:noProof/>
            <w:webHidden/>
          </w:rPr>
          <w:fldChar w:fldCharType="end"/>
        </w:r>
      </w:hyperlink>
    </w:p>
    <w:p w14:paraId="59531BD3" w14:textId="7F5C489E" w:rsidR="006A4A08" w:rsidRPr="003A0234" w:rsidRDefault="006A4A08" w:rsidP="00DB4CC8">
      <w:r w:rsidRPr="000B2CD2">
        <w:fldChar w:fldCharType="end"/>
      </w:r>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029D340D" w14:textId="149557CD" w:rsidR="00F52595" w:rsidRDefault="551A77D0" w:rsidP="001F3053">
      <w:pPr>
        <w:pStyle w:val="Heading1"/>
        <w:numPr>
          <w:ilvl w:val="0"/>
          <w:numId w:val="0"/>
        </w:numPr>
      </w:pPr>
      <w:bookmarkStart w:id="4" w:name="_Toc18013296"/>
      <w:r>
        <w:lastRenderedPageBreak/>
        <w:t>Executive Summary</w:t>
      </w:r>
      <w:bookmarkEnd w:id="4"/>
    </w:p>
    <w:p w14:paraId="3F7DE7E3" w14:textId="211CE5AD" w:rsidR="001431BF" w:rsidRDefault="001431BF" w:rsidP="00A24706">
      <w:pPr>
        <w:shd w:val="clear" w:color="auto" w:fill="FFFFFF"/>
        <w:spacing w:after="180"/>
        <w:rPr>
          <w:rFonts w:ascii="Times" w:eastAsia="Times New Roman" w:hAnsi="Times" w:cs="Times New Roman"/>
          <w:color w:val="000000" w:themeColor="text1"/>
          <w:lang w:eastAsia="zh-CN"/>
        </w:rPr>
      </w:pPr>
      <w:r w:rsidRPr="003310C7">
        <w:rPr>
          <w:rFonts w:ascii="Times" w:eastAsia="Times New Roman" w:hAnsi="Times" w:cs="Times New Roman"/>
          <w:color w:val="000000" w:themeColor="text1"/>
          <w:shd w:val="clear" w:color="auto" w:fill="FFFFFF"/>
          <w:lang w:eastAsia="zh-CN"/>
        </w:rPr>
        <w:t xml:space="preserve">Climate mitigation literature often </w:t>
      </w:r>
      <w:r>
        <w:rPr>
          <w:rFonts w:ascii="Times" w:eastAsia="Times New Roman" w:hAnsi="Times" w:cs="Times New Roman"/>
          <w:color w:val="000000" w:themeColor="text1"/>
          <w:shd w:val="clear" w:color="auto" w:fill="FFFFFF"/>
          <w:lang w:eastAsia="zh-CN"/>
        </w:rPr>
        <w:t>fail</w:t>
      </w:r>
      <w:r w:rsidR="007A159A">
        <w:rPr>
          <w:rFonts w:ascii="Times" w:eastAsia="Times New Roman" w:hAnsi="Times" w:cs="Times New Roman"/>
          <w:color w:val="000000" w:themeColor="text1"/>
          <w:shd w:val="clear" w:color="auto" w:fill="FFFFFF"/>
          <w:lang w:eastAsia="zh-CN"/>
        </w:rPr>
        <w:t>s</w:t>
      </w:r>
      <w:r>
        <w:rPr>
          <w:rFonts w:ascii="Times" w:eastAsia="Times New Roman" w:hAnsi="Times" w:cs="Times New Roman"/>
          <w:color w:val="000000" w:themeColor="text1"/>
          <w:shd w:val="clear" w:color="auto" w:fill="FFFFFF"/>
          <w:lang w:eastAsia="zh-CN"/>
        </w:rPr>
        <w:t xml:space="preserve"> to differentiate between</w:t>
      </w:r>
      <w:r w:rsidRPr="003310C7">
        <w:rPr>
          <w:rFonts w:ascii="Times" w:eastAsia="Times New Roman" w:hAnsi="Times" w:cs="Times New Roman"/>
          <w:color w:val="000000" w:themeColor="text1"/>
          <w:shd w:val="clear" w:color="auto" w:fill="FFFFFF"/>
          <w:lang w:eastAsia="zh-CN"/>
        </w:rPr>
        <w:t> </w:t>
      </w:r>
      <w:r w:rsidRPr="003310C7">
        <w:rPr>
          <w:rFonts w:ascii="Times" w:eastAsia="Times New Roman" w:hAnsi="Times" w:cs="Times New Roman"/>
          <w:i/>
          <w:iCs/>
          <w:color w:val="000000" w:themeColor="text1"/>
          <w:shd w:val="clear" w:color="auto" w:fill="FFFFFF"/>
          <w:lang w:eastAsia="zh-CN"/>
        </w:rPr>
        <w:t>silvopasture</w:t>
      </w:r>
      <w:r w:rsidRPr="003310C7">
        <w:rPr>
          <w:rFonts w:ascii="Times" w:eastAsia="Times New Roman" w:hAnsi="Times" w:cs="Times New Roman"/>
          <w:color w:val="000000" w:themeColor="text1"/>
          <w:shd w:val="clear" w:color="auto" w:fill="FFFFFF"/>
          <w:lang w:eastAsia="zh-CN"/>
        </w:rPr>
        <w:t> </w:t>
      </w:r>
      <w:r>
        <w:rPr>
          <w:rFonts w:ascii="Times" w:eastAsia="Times New Roman" w:hAnsi="Times" w:cs="Times New Roman"/>
          <w:color w:val="000000" w:themeColor="text1"/>
          <w:shd w:val="clear" w:color="auto" w:fill="FFFFFF"/>
          <w:lang w:eastAsia="zh-CN"/>
        </w:rPr>
        <w:t>and other</w:t>
      </w:r>
      <w:r w:rsidRPr="003310C7">
        <w:rPr>
          <w:rFonts w:ascii="Times" w:eastAsia="Times New Roman" w:hAnsi="Times" w:cs="Times New Roman"/>
          <w:color w:val="000000" w:themeColor="text1"/>
          <w:shd w:val="clear" w:color="auto" w:fill="FFFFFF"/>
          <w:lang w:eastAsia="zh-CN"/>
        </w:rPr>
        <w:t xml:space="preserve"> "agroforestry" </w:t>
      </w:r>
      <w:r>
        <w:rPr>
          <w:rFonts w:ascii="Times" w:eastAsia="Times New Roman" w:hAnsi="Times" w:cs="Times New Roman"/>
          <w:color w:val="000000" w:themeColor="text1"/>
          <w:shd w:val="clear" w:color="auto" w:fill="FFFFFF"/>
          <w:lang w:eastAsia="zh-CN"/>
        </w:rPr>
        <w:t>cropping systems such as</w:t>
      </w:r>
      <w:r w:rsidRPr="003310C7">
        <w:rPr>
          <w:rFonts w:ascii="Times" w:eastAsia="Times New Roman" w:hAnsi="Times" w:cs="Times New Roman"/>
          <w:color w:val="000000" w:themeColor="text1"/>
          <w:shd w:val="clear" w:color="auto" w:fill="FFFFFF"/>
          <w:lang w:eastAsia="zh-CN"/>
        </w:rPr>
        <w:t> </w:t>
      </w:r>
      <w:r w:rsidRPr="003310C7">
        <w:rPr>
          <w:rFonts w:ascii="Times" w:eastAsia="Times New Roman" w:hAnsi="Times" w:cs="Times New Roman"/>
          <w:i/>
          <w:iCs/>
          <w:color w:val="000000" w:themeColor="text1"/>
          <w:shd w:val="clear" w:color="auto" w:fill="FFFFFF"/>
          <w:lang w:eastAsia="zh-CN"/>
        </w:rPr>
        <w:t>multistrata agroforestry</w:t>
      </w:r>
      <w:r w:rsidRPr="003310C7">
        <w:rPr>
          <w:rFonts w:ascii="Times" w:eastAsia="Times New Roman" w:hAnsi="Times" w:cs="Times New Roman"/>
          <w:color w:val="000000" w:themeColor="text1"/>
          <w:shd w:val="clear" w:color="auto" w:fill="FFFFFF"/>
          <w:lang w:eastAsia="zh-CN"/>
        </w:rPr>
        <w:t> and </w:t>
      </w:r>
      <w:r w:rsidRPr="003310C7">
        <w:rPr>
          <w:rFonts w:ascii="Times" w:eastAsia="Times New Roman" w:hAnsi="Times" w:cs="Times New Roman"/>
          <w:i/>
          <w:iCs/>
          <w:color w:val="000000" w:themeColor="text1"/>
          <w:shd w:val="clear" w:color="auto" w:fill="FFFFFF"/>
          <w:lang w:eastAsia="zh-CN"/>
        </w:rPr>
        <w:t>tree intercropping</w:t>
      </w:r>
      <w:r>
        <w:rPr>
          <w:rFonts w:ascii="Times" w:eastAsia="Times New Roman" w:hAnsi="Times" w:cs="Times New Roman"/>
          <w:iCs/>
          <w:color w:val="000000" w:themeColor="text1"/>
          <w:shd w:val="clear" w:color="auto" w:fill="FFFFFF"/>
          <w:lang w:eastAsia="zh-CN"/>
        </w:rPr>
        <w:t>, grouping these systems together.</w:t>
      </w:r>
      <w:r w:rsidRPr="003310C7">
        <w:rPr>
          <w:rFonts w:ascii="Times" w:eastAsia="Times New Roman" w:hAnsi="Times" w:cs="Times New Roman"/>
          <w:color w:val="000000" w:themeColor="text1"/>
          <w:shd w:val="clear" w:color="auto" w:fill="FFFFFF"/>
          <w:lang w:eastAsia="zh-CN"/>
        </w:rPr>
        <w:t> </w:t>
      </w:r>
      <w:r w:rsidR="003310C7" w:rsidRPr="003310C7">
        <w:rPr>
          <w:rFonts w:ascii="Times" w:eastAsia="Times New Roman" w:hAnsi="Times" w:cs="Times New Roman"/>
          <w:color w:val="000000" w:themeColor="text1"/>
          <w:lang w:eastAsia="zh-CN"/>
        </w:rPr>
        <w:t>Project Drawdown defines </w:t>
      </w:r>
      <w:r w:rsidR="003310C7" w:rsidRPr="003310C7">
        <w:rPr>
          <w:rFonts w:ascii="Times" w:eastAsia="Times New Roman" w:hAnsi="Times" w:cs="Times New Roman"/>
          <w:i/>
          <w:iCs/>
          <w:color w:val="000000" w:themeColor="text1"/>
          <w:lang w:eastAsia="zh-CN"/>
        </w:rPr>
        <w:t>silvopasture</w:t>
      </w:r>
      <w:r w:rsidR="003310C7" w:rsidRPr="003310C7">
        <w:rPr>
          <w:rFonts w:ascii="Times" w:eastAsia="Times New Roman" w:hAnsi="Times" w:cs="Times New Roman"/>
          <w:color w:val="000000" w:themeColor="text1"/>
          <w:lang w:eastAsia="zh-CN"/>
        </w:rPr>
        <w:t> as</w:t>
      </w:r>
      <w:r w:rsidR="002E523E" w:rsidRPr="002E523E">
        <w:rPr>
          <w:color w:val="000000"/>
        </w:rPr>
        <w:t xml:space="preserve"> </w:t>
      </w:r>
      <w:r w:rsidR="002E523E">
        <w:rPr>
          <w:color w:val="000000"/>
        </w:rPr>
        <w:t>a</w:t>
      </w:r>
      <w:r w:rsidR="003270E2">
        <w:rPr>
          <w:color w:val="000000"/>
        </w:rPr>
        <w:t xml:space="preserve"> form of</w:t>
      </w:r>
      <w:r w:rsidR="002E523E">
        <w:rPr>
          <w:color w:val="000000"/>
        </w:rPr>
        <w:t xml:space="preserve"> agroforestry practice which integrates trees, forage and livestock</w:t>
      </w:r>
      <w:r w:rsidR="003310C7" w:rsidRPr="003310C7">
        <w:rPr>
          <w:rFonts w:ascii="Times" w:eastAsia="Times New Roman" w:hAnsi="Times" w:cs="Times New Roman"/>
          <w:color w:val="000000" w:themeColor="text1"/>
          <w:lang w:eastAsia="zh-CN"/>
        </w:rPr>
        <w:t xml:space="preserve">. </w:t>
      </w:r>
    </w:p>
    <w:p w14:paraId="65CABC30" w14:textId="3645D419" w:rsidR="00A24706" w:rsidRPr="003310C7" w:rsidRDefault="003310C7" w:rsidP="00A24706">
      <w:pPr>
        <w:shd w:val="clear" w:color="auto" w:fill="FFFFFF"/>
        <w:spacing w:after="180"/>
        <w:rPr>
          <w:rFonts w:ascii="Times" w:eastAsia="Times New Roman" w:hAnsi="Times" w:cs="Times New Roman"/>
          <w:color w:val="000000" w:themeColor="text1"/>
          <w:lang w:eastAsia="zh-CN"/>
        </w:rPr>
      </w:pPr>
      <w:r w:rsidRPr="003310C7">
        <w:rPr>
          <w:rFonts w:ascii="Times" w:eastAsia="Times New Roman" w:hAnsi="Times" w:cs="Times New Roman"/>
          <w:color w:val="000000" w:themeColor="text1"/>
          <w:lang w:eastAsia="zh-CN"/>
        </w:rPr>
        <w:t xml:space="preserve">This solution </w:t>
      </w:r>
      <w:r w:rsidR="001940DD">
        <w:rPr>
          <w:rFonts w:ascii="Times" w:eastAsia="Times New Roman" w:hAnsi="Times" w:cs="Times New Roman"/>
          <w:color w:val="000000" w:themeColor="text1"/>
          <w:lang w:eastAsia="zh-CN"/>
        </w:rPr>
        <w:t xml:space="preserve">has the potential to </w:t>
      </w:r>
      <w:r w:rsidRPr="003310C7">
        <w:rPr>
          <w:rFonts w:ascii="Times" w:eastAsia="Times New Roman" w:hAnsi="Times" w:cs="Times New Roman"/>
          <w:color w:val="000000" w:themeColor="text1"/>
          <w:lang w:eastAsia="zh-CN"/>
        </w:rPr>
        <w:t>replace</w:t>
      </w:r>
      <w:r w:rsidR="001940DD">
        <w:rPr>
          <w:rFonts w:ascii="Times" w:eastAsia="Times New Roman" w:hAnsi="Times" w:cs="Times New Roman"/>
          <w:color w:val="000000" w:themeColor="text1"/>
          <w:lang w:eastAsia="zh-CN"/>
        </w:rPr>
        <w:t xml:space="preserve"> conventional</w:t>
      </w:r>
      <w:r w:rsidRPr="003310C7">
        <w:rPr>
          <w:rFonts w:ascii="Times" w:eastAsia="Times New Roman" w:hAnsi="Times" w:cs="Times New Roman"/>
          <w:color w:val="000000" w:themeColor="text1"/>
          <w:lang w:eastAsia="zh-CN"/>
        </w:rPr>
        <w:t xml:space="preserve"> livestock grazing on pasture and rangeland</w:t>
      </w:r>
      <w:r w:rsidR="007470A7">
        <w:rPr>
          <w:rFonts w:ascii="Times" w:eastAsia="Times New Roman" w:hAnsi="Times" w:cs="Times New Roman"/>
          <w:color w:val="000000" w:themeColor="text1"/>
          <w:lang w:eastAsia="zh-CN"/>
        </w:rPr>
        <w:t>,</w:t>
      </w:r>
      <w:r w:rsidR="0089465B">
        <w:rPr>
          <w:rFonts w:ascii="Times" w:eastAsia="Times New Roman" w:hAnsi="Times" w:cs="Times New Roman"/>
          <w:color w:val="000000" w:themeColor="text1"/>
          <w:lang w:eastAsia="zh-CN"/>
        </w:rPr>
        <w:t xml:space="preserve"> </w:t>
      </w:r>
      <w:r w:rsidR="0004770B">
        <w:rPr>
          <w:rFonts w:ascii="Times" w:eastAsia="Times New Roman" w:hAnsi="Times" w:cs="Times New Roman"/>
          <w:color w:val="000000" w:themeColor="text1"/>
          <w:lang w:eastAsia="zh-CN"/>
        </w:rPr>
        <w:t xml:space="preserve">in regions </w:t>
      </w:r>
      <w:r w:rsidR="0089465B">
        <w:rPr>
          <w:rFonts w:ascii="Times" w:eastAsia="Times New Roman" w:hAnsi="Times" w:cs="Times New Roman"/>
          <w:color w:val="000000" w:themeColor="text1"/>
          <w:lang w:eastAsia="zh-CN"/>
        </w:rPr>
        <w:t xml:space="preserve">where rainfall </w:t>
      </w:r>
      <w:r w:rsidR="00D7211C">
        <w:rPr>
          <w:rFonts w:ascii="Times" w:eastAsia="Times New Roman" w:hAnsi="Times" w:cs="Times New Roman"/>
          <w:color w:val="000000" w:themeColor="text1"/>
          <w:lang w:eastAsia="zh-CN"/>
        </w:rPr>
        <w:t xml:space="preserve">is sufficient to </w:t>
      </w:r>
      <w:r w:rsidR="0089465B">
        <w:rPr>
          <w:rFonts w:ascii="Times" w:eastAsia="Times New Roman" w:hAnsi="Times" w:cs="Times New Roman"/>
          <w:color w:val="000000" w:themeColor="text1"/>
          <w:lang w:eastAsia="zh-CN"/>
        </w:rPr>
        <w:t>permit</w:t>
      </w:r>
      <w:r w:rsidR="007470A7">
        <w:rPr>
          <w:rFonts w:ascii="Times" w:eastAsia="Times New Roman" w:hAnsi="Times" w:cs="Times New Roman"/>
          <w:color w:val="000000" w:themeColor="text1"/>
          <w:lang w:eastAsia="zh-CN"/>
        </w:rPr>
        <w:t xml:space="preserve"> tree growth</w:t>
      </w:r>
      <w:r w:rsidRPr="003310C7">
        <w:rPr>
          <w:rFonts w:ascii="Times" w:eastAsia="Times New Roman" w:hAnsi="Times" w:cs="Times New Roman"/>
          <w:color w:val="000000" w:themeColor="text1"/>
          <w:lang w:eastAsia="zh-CN"/>
        </w:rPr>
        <w:t>.</w:t>
      </w:r>
      <w:r w:rsidR="003270E2">
        <w:rPr>
          <w:rFonts w:ascii="Times" w:hAnsi="Times"/>
          <w:color w:val="000000" w:themeColor="text1"/>
        </w:rPr>
        <w:t xml:space="preserve"> </w:t>
      </w:r>
      <w:r w:rsidRPr="003310C7">
        <w:rPr>
          <w:rFonts w:ascii="Times" w:hAnsi="Times"/>
          <w:color w:val="000000" w:themeColor="text1"/>
        </w:rPr>
        <w:t xml:space="preserve">Research suggests that </w:t>
      </w:r>
      <w:r w:rsidR="003270E2">
        <w:rPr>
          <w:rFonts w:ascii="Times" w:hAnsi="Times"/>
          <w:color w:val="000000" w:themeColor="text1"/>
        </w:rPr>
        <w:t>silvopasture sy</w:t>
      </w:r>
      <w:r w:rsidR="0028169B">
        <w:rPr>
          <w:rFonts w:ascii="Times" w:hAnsi="Times"/>
          <w:color w:val="000000" w:themeColor="text1"/>
        </w:rPr>
        <w:t>s</w:t>
      </w:r>
      <w:r w:rsidR="003270E2">
        <w:rPr>
          <w:rFonts w:ascii="Times" w:hAnsi="Times"/>
          <w:color w:val="000000" w:themeColor="text1"/>
        </w:rPr>
        <w:t>tems</w:t>
      </w:r>
      <w:r w:rsidRPr="003310C7">
        <w:rPr>
          <w:rFonts w:ascii="Times" w:hAnsi="Times"/>
          <w:color w:val="000000" w:themeColor="text1"/>
        </w:rPr>
        <w:t xml:space="preserve"> can store significant amounts of carbon in both soils and tree biomass</w:t>
      </w:r>
      <w:r w:rsidR="006319C5">
        <w:rPr>
          <w:rFonts w:ascii="Times" w:hAnsi="Times"/>
          <w:color w:val="000000" w:themeColor="text1"/>
        </w:rPr>
        <w:t>, contributing to carbon sequestration,</w:t>
      </w:r>
      <w:r w:rsidRPr="003310C7">
        <w:rPr>
          <w:rFonts w:ascii="Times" w:hAnsi="Times"/>
          <w:color w:val="000000" w:themeColor="text1"/>
        </w:rPr>
        <w:t xml:space="preserve"> while maintaining or increasing productivity and providing a suite of additional benefits. Traditional silvopasture systems, such as </w:t>
      </w:r>
      <w:r w:rsidRPr="003310C7">
        <w:rPr>
          <w:rFonts w:ascii="Times" w:hAnsi="Times"/>
          <w:i/>
          <w:color w:val="000000" w:themeColor="text1"/>
        </w:rPr>
        <w:t>dehesa</w:t>
      </w:r>
      <w:r w:rsidR="006319C5">
        <w:rPr>
          <w:rFonts w:ascii="Times" w:hAnsi="Times"/>
          <w:i/>
          <w:color w:val="000000" w:themeColor="text1"/>
        </w:rPr>
        <w:t>s</w:t>
      </w:r>
      <w:r w:rsidRPr="003310C7">
        <w:rPr>
          <w:rFonts w:ascii="Times" w:hAnsi="Times"/>
          <w:color w:val="000000" w:themeColor="text1"/>
        </w:rPr>
        <w:t xml:space="preserve"> in Spain </w:t>
      </w:r>
      <w:r w:rsidR="006319C5">
        <w:rPr>
          <w:rFonts w:ascii="Times" w:hAnsi="Times"/>
          <w:color w:val="000000" w:themeColor="text1"/>
        </w:rPr>
        <w:t>or</w:t>
      </w:r>
      <w:r w:rsidR="006319C5" w:rsidRPr="003310C7">
        <w:rPr>
          <w:rFonts w:ascii="Times" w:hAnsi="Times"/>
          <w:color w:val="000000" w:themeColor="text1"/>
        </w:rPr>
        <w:t xml:space="preserve"> </w:t>
      </w:r>
      <w:r w:rsidRPr="003310C7">
        <w:rPr>
          <w:rFonts w:ascii="Times" w:hAnsi="Times"/>
          <w:color w:val="000000" w:themeColor="text1"/>
        </w:rPr>
        <w:t>forest pastures in Scotland</w:t>
      </w:r>
      <w:r w:rsidR="006319C5">
        <w:rPr>
          <w:rFonts w:ascii="Times" w:hAnsi="Times"/>
          <w:color w:val="000000" w:themeColor="text1"/>
        </w:rPr>
        <w:t>,</w:t>
      </w:r>
      <w:r w:rsidRPr="003310C7">
        <w:rPr>
          <w:rFonts w:ascii="Times" w:hAnsi="Times"/>
          <w:color w:val="000000" w:themeColor="text1"/>
        </w:rPr>
        <w:t xml:space="preserve"> have existed for centuries. </w:t>
      </w:r>
      <w:r w:rsidR="00A24706" w:rsidRPr="003310C7">
        <w:rPr>
          <w:rFonts w:ascii="Times" w:eastAsia="Times New Roman" w:hAnsi="Times" w:cs="Times New Roman"/>
          <w:color w:val="000000" w:themeColor="text1"/>
          <w:lang w:eastAsia="zh-CN"/>
        </w:rPr>
        <w:t>Under </w:t>
      </w:r>
      <w:r w:rsidR="00A24706" w:rsidRPr="003310C7">
        <w:rPr>
          <w:rFonts w:ascii="Times" w:eastAsia="Times New Roman" w:hAnsi="Times" w:cs="Times New Roman"/>
          <w:i/>
          <w:iCs/>
          <w:color w:val="000000" w:themeColor="text1"/>
          <w:lang w:eastAsia="zh-CN"/>
        </w:rPr>
        <w:t>silvopasture</w:t>
      </w:r>
      <w:r w:rsidR="00A24706" w:rsidRPr="003310C7">
        <w:rPr>
          <w:rFonts w:ascii="Times" w:eastAsia="Times New Roman" w:hAnsi="Times" w:cs="Times New Roman"/>
          <w:color w:val="000000" w:themeColor="text1"/>
          <w:lang w:eastAsia="zh-CN"/>
        </w:rPr>
        <w:t xml:space="preserve">, </w:t>
      </w:r>
      <w:r w:rsidR="00A24706">
        <w:rPr>
          <w:rFonts w:ascii="Times" w:eastAsia="Times New Roman" w:hAnsi="Times" w:cs="Times New Roman"/>
          <w:color w:val="000000" w:themeColor="text1"/>
          <w:lang w:eastAsia="zh-CN"/>
        </w:rPr>
        <w:t xml:space="preserve">livestock production contributes to </w:t>
      </w:r>
      <w:r w:rsidR="00A24706" w:rsidRPr="003310C7">
        <w:rPr>
          <w:rFonts w:ascii="Times" w:eastAsia="Times New Roman" w:hAnsi="Times" w:cs="Times New Roman"/>
          <w:color w:val="000000" w:themeColor="text1"/>
          <w:lang w:eastAsia="zh-CN"/>
        </w:rPr>
        <w:t xml:space="preserve">emissions of the </w:t>
      </w:r>
      <w:r w:rsidR="00A24706">
        <w:rPr>
          <w:rFonts w:ascii="Times" w:eastAsia="Times New Roman" w:hAnsi="Times" w:cs="Times New Roman"/>
          <w:color w:val="000000" w:themeColor="text1"/>
          <w:lang w:eastAsia="zh-CN"/>
        </w:rPr>
        <w:t xml:space="preserve">other </w:t>
      </w:r>
      <w:r w:rsidR="00A24706" w:rsidRPr="003310C7">
        <w:rPr>
          <w:rFonts w:ascii="Times" w:eastAsia="Times New Roman" w:hAnsi="Times" w:cs="Times New Roman"/>
          <w:color w:val="000000" w:themeColor="text1"/>
          <w:lang w:eastAsia="zh-CN"/>
        </w:rPr>
        <w:t>greenhouse gases</w:t>
      </w:r>
      <w:r w:rsidR="00A24706">
        <w:rPr>
          <w:rFonts w:ascii="Times" w:eastAsia="Times New Roman" w:hAnsi="Times" w:cs="Times New Roman"/>
          <w:color w:val="000000" w:themeColor="text1"/>
          <w:lang w:eastAsia="zh-CN"/>
        </w:rPr>
        <w:t xml:space="preserve"> such as</w:t>
      </w:r>
      <w:r w:rsidR="00A24706" w:rsidRPr="003310C7">
        <w:rPr>
          <w:rFonts w:ascii="Times" w:eastAsia="Times New Roman" w:hAnsi="Times" w:cs="Times New Roman"/>
          <w:color w:val="000000" w:themeColor="text1"/>
          <w:lang w:eastAsia="zh-CN"/>
        </w:rPr>
        <w:t xml:space="preserve"> methane and nitrous oxide</w:t>
      </w:r>
      <w:r w:rsidR="00A24706">
        <w:rPr>
          <w:rFonts w:ascii="Times" w:eastAsia="Times New Roman" w:hAnsi="Times" w:cs="Times New Roman"/>
          <w:color w:val="000000" w:themeColor="text1"/>
          <w:lang w:eastAsia="zh-CN"/>
        </w:rPr>
        <w:t xml:space="preserve">. Nevertheless, these are offset by the significant increase in </w:t>
      </w:r>
      <w:r w:rsidR="00A24706" w:rsidRPr="003310C7">
        <w:rPr>
          <w:rFonts w:ascii="Times" w:eastAsia="Times New Roman" w:hAnsi="Times" w:cs="Times New Roman"/>
          <w:color w:val="000000" w:themeColor="text1"/>
          <w:lang w:eastAsia="zh-CN"/>
        </w:rPr>
        <w:t>carbon sequestration</w:t>
      </w:r>
      <w:r w:rsidR="00A24706">
        <w:rPr>
          <w:rFonts w:ascii="Times" w:eastAsia="Times New Roman" w:hAnsi="Times" w:cs="Times New Roman"/>
          <w:color w:val="000000" w:themeColor="text1"/>
          <w:lang w:eastAsia="zh-CN"/>
        </w:rPr>
        <w:t xml:space="preserve"> through crop and tree biomass compared to conventional grazing systems - </w:t>
      </w:r>
      <w:r w:rsidR="00A24706" w:rsidRPr="003310C7">
        <w:rPr>
          <w:rFonts w:ascii="Times" w:eastAsia="Times New Roman" w:hAnsi="Times" w:cs="Times New Roman"/>
          <w:color w:val="000000" w:themeColor="text1"/>
          <w:lang w:eastAsia="zh-CN"/>
        </w:rPr>
        <w:t>at least until soil carbon saturation is achieved. Drawdown takes the conservative assumption that emissions do not change with conversion from conventional to </w:t>
      </w:r>
      <w:r w:rsidR="00A24706" w:rsidRPr="003310C7">
        <w:rPr>
          <w:rFonts w:ascii="Times" w:eastAsia="Times New Roman" w:hAnsi="Times" w:cs="Times New Roman"/>
          <w:i/>
          <w:iCs/>
          <w:color w:val="000000" w:themeColor="text1"/>
          <w:lang w:eastAsia="zh-CN"/>
        </w:rPr>
        <w:t>managed grazing</w:t>
      </w:r>
      <w:r w:rsidR="00A24706" w:rsidRPr="003310C7">
        <w:rPr>
          <w:rFonts w:ascii="Times" w:eastAsia="Times New Roman" w:hAnsi="Times" w:cs="Times New Roman"/>
          <w:color w:val="000000" w:themeColor="text1"/>
          <w:lang w:eastAsia="zh-CN"/>
        </w:rPr>
        <w:t>.</w:t>
      </w:r>
    </w:p>
    <w:p w14:paraId="745BEBD7" w14:textId="07F3A8EF" w:rsidR="00D2337A" w:rsidRDefault="00C33C5B" w:rsidP="001F3053">
      <w:pPr>
        <w:rPr>
          <w:rFonts w:ascii="Times" w:eastAsia="Times New Roman" w:hAnsi="Times" w:cs="Times New Roman"/>
          <w:color w:val="000000" w:themeColor="text1"/>
          <w:shd w:val="clear" w:color="auto" w:fill="FFFFFF"/>
          <w:lang w:eastAsia="zh-CN"/>
        </w:rPr>
      </w:pPr>
      <w:r w:rsidRPr="003E2381">
        <w:rPr>
          <w:rFonts w:eastAsia="Times New Roman" w:cstheme="minorHAnsi"/>
          <w:color w:val="000000" w:themeColor="text1"/>
          <w:lang w:eastAsia="zh-CN"/>
        </w:rPr>
        <w:t xml:space="preserve">In Drawdown’s Agroecological Zone model </w:t>
      </w:r>
      <w:r>
        <w:rPr>
          <w:rFonts w:eastAsia="Times New Roman" w:cstheme="minorHAnsi"/>
          <w:i/>
          <w:color w:val="000000" w:themeColor="text1"/>
          <w:lang w:eastAsia="zh-CN"/>
        </w:rPr>
        <w:t xml:space="preserve">silvopastures </w:t>
      </w:r>
      <w:r>
        <w:rPr>
          <w:rFonts w:eastAsia="Times New Roman" w:cstheme="minorHAnsi"/>
          <w:color w:val="000000" w:themeColor="text1"/>
          <w:lang w:eastAsia="zh-CN"/>
        </w:rPr>
        <w:t>are established on conventional grazing land</w:t>
      </w:r>
      <w:r w:rsidRPr="003E2381">
        <w:rPr>
          <w:rFonts w:eastAsia="Times New Roman" w:cstheme="minorHAnsi"/>
          <w:color w:val="000000" w:themeColor="text1"/>
          <w:lang w:eastAsia="zh-CN"/>
        </w:rPr>
        <w:t xml:space="preserve">. </w:t>
      </w:r>
      <w:r w:rsidR="00B06E18">
        <w:rPr>
          <w:rFonts w:cstheme="minorHAnsi"/>
          <w:color w:val="000000" w:themeColor="text1"/>
        </w:rPr>
        <w:t>The current extent of silvopasture</w:t>
      </w:r>
      <w:r w:rsidR="00B06E18" w:rsidRPr="003E2381">
        <w:rPr>
          <w:rFonts w:cstheme="minorHAnsi"/>
          <w:color w:val="000000" w:themeColor="text1"/>
        </w:rPr>
        <w:t xml:space="preserve"> systems</w:t>
      </w:r>
      <w:r w:rsidR="00B06E18">
        <w:rPr>
          <w:rFonts w:cstheme="minorHAnsi"/>
          <w:color w:val="000000" w:themeColor="text1"/>
        </w:rPr>
        <w:t xml:space="preserve"> is </w:t>
      </w:r>
      <w:r w:rsidR="00B06E18" w:rsidRPr="003E2381">
        <w:rPr>
          <w:rFonts w:cstheme="minorHAnsi"/>
          <w:color w:val="000000" w:themeColor="text1"/>
        </w:rPr>
        <w:t xml:space="preserve">estimated </w:t>
      </w:r>
      <w:r w:rsidR="00B06E18">
        <w:rPr>
          <w:rFonts w:cstheme="minorHAnsi"/>
          <w:color w:val="000000" w:themeColor="text1"/>
        </w:rPr>
        <w:t>to be about 488</w:t>
      </w:r>
      <w:r w:rsidR="00B06E18" w:rsidRPr="003E2381">
        <w:rPr>
          <w:rFonts w:cstheme="minorHAnsi"/>
          <w:color w:val="000000" w:themeColor="text1"/>
        </w:rPr>
        <w:t xml:space="preserve"> million hectares</w:t>
      </w:r>
      <w:r w:rsidR="00B06E18">
        <w:rPr>
          <w:rFonts w:cstheme="minorHAnsi"/>
          <w:color w:val="000000" w:themeColor="text1"/>
        </w:rPr>
        <w:t xml:space="preserve"> globally</w:t>
      </w:r>
      <w:r w:rsidR="00B06E18" w:rsidRPr="003E2381">
        <w:rPr>
          <w:rFonts w:cstheme="minorHAnsi"/>
          <w:color w:val="000000" w:themeColor="text1"/>
        </w:rPr>
        <w:t xml:space="preserve">. </w:t>
      </w:r>
      <w:r>
        <w:rPr>
          <w:rFonts w:cstheme="minorHAnsi"/>
          <w:color w:val="000000" w:themeColor="text1"/>
        </w:rPr>
        <w:t>Future a</w:t>
      </w:r>
      <w:r w:rsidRPr="003E2381">
        <w:rPr>
          <w:rFonts w:cstheme="minorHAnsi"/>
          <w:color w:val="000000" w:themeColor="text1"/>
        </w:rPr>
        <w:t xml:space="preserve">doption potential </w:t>
      </w:r>
      <w:r>
        <w:rPr>
          <w:rFonts w:cstheme="minorHAnsi"/>
          <w:color w:val="000000" w:themeColor="text1"/>
        </w:rPr>
        <w:t>wa</w:t>
      </w:r>
      <w:r w:rsidRPr="003E2381">
        <w:rPr>
          <w:rFonts w:cstheme="minorHAnsi"/>
          <w:color w:val="000000" w:themeColor="text1"/>
        </w:rPr>
        <w:t xml:space="preserve">s </w:t>
      </w:r>
      <w:r>
        <w:rPr>
          <w:rFonts w:eastAsia="Times New Roman" w:cstheme="minorHAnsi"/>
          <w:color w:val="000000" w:themeColor="text1"/>
          <w:lang w:eastAsia="zh-CN"/>
        </w:rPr>
        <w:t xml:space="preserve">modeled </w:t>
      </w:r>
      <w:r w:rsidRPr="003E2381">
        <w:rPr>
          <w:rFonts w:eastAsia="Times New Roman" w:cstheme="minorHAnsi"/>
          <w:color w:val="000000" w:themeColor="text1"/>
          <w:lang w:eastAsia="zh-CN"/>
        </w:rPr>
        <w:t xml:space="preserve">based </w:t>
      </w:r>
      <w:r>
        <w:rPr>
          <w:rFonts w:eastAsia="Times New Roman" w:cstheme="minorHAnsi"/>
          <w:color w:val="000000" w:themeColor="text1"/>
          <w:lang w:eastAsia="zh-CN"/>
        </w:rPr>
        <w:t xml:space="preserve">on global satellite data documenting tree-coverage on agricultural land, and on current and historical regional and national proportions of grazing land under silvopasture. Further adoption </w:t>
      </w:r>
      <w:r w:rsidR="00B06E18" w:rsidRPr="003E2381">
        <w:rPr>
          <w:rFonts w:cstheme="minorHAnsi"/>
          <w:color w:val="000000" w:themeColor="text1"/>
        </w:rPr>
        <w:t xml:space="preserve">is constrained </w:t>
      </w:r>
      <w:r w:rsidR="00A24706">
        <w:rPr>
          <w:rFonts w:cstheme="minorHAnsi"/>
          <w:color w:val="000000" w:themeColor="text1"/>
        </w:rPr>
        <w:t xml:space="preserve">principally </w:t>
      </w:r>
      <w:r w:rsidR="00B06E18" w:rsidRPr="003E2381">
        <w:rPr>
          <w:rFonts w:cstheme="minorHAnsi"/>
          <w:color w:val="000000" w:themeColor="text1"/>
        </w:rPr>
        <w:t>by</w:t>
      </w:r>
      <w:r w:rsidR="00A24706">
        <w:rPr>
          <w:rFonts w:cstheme="minorHAnsi"/>
          <w:color w:val="000000" w:themeColor="text1"/>
        </w:rPr>
        <w:t xml:space="preserve"> low recognition of the solution’s potential, leading to a lack of incentives for farmers, as well as</w:t>
      </w:r>
      <w:r w:rsidR="00B06E18" w:rsidRPr="003E2381">
        <w:rPr>
          <w:rFonts w:cstheme="minorHAnsi"/>
          <w:color w:val="000000" w:themeColor="text1"/>
        </w:rPr>
        <w:t xml:space="preserve"> high establishment costs</w:t>
      </w:r>
      <w:r w:rsidR="00A24706">
        <w:rPr>
          <w:rFonts w:cstheme="minorHAnsi"/>
          <w:color w:val="000000" w:themeColor="text1"/>
        </w:rPr>
        <w:t xml:space="preserve"> and water requirement. </w:t>
      </w:r>
    </w:p>
    <w:p w14:paraId="5319E8B4" w14:textId="77777777" w:rsidR="0081723E" w:rsidRDefault="0081723E" w:rsidP="0081723E">
      <w:pPr>
        <w:shd w:val="clear" w:color="auto" w:fill="FFFFFF"/>
        <w:spacing w:after="180"/>
        <w:rPr>
          <w:rFonts w:eastAsia="Times New Roman" w:cstheme="minorHAnsi"/>
          <w:color w:val="000000" w:themeColor="text1"/>
          <w:lang w:eastAsia="zh-CN"/>
        </w:rPr>
      </w:pPr>
      <w:r>
        <w:rPr>
          <w:rFonts w:eastAsia="Times New Roman" w:cstheme="minorHAnsi"/>
          <w:color w:val="000000" w:themeColor="text1"/>
          <w:lang w:eastAsia="zh-CN"/>
        </w:rPr>
        <w:t>Under the projected</w:t>
      </w:r>
      <w:r w:rsidRPr="00694F82">
        <w:rPr>
          <w:rFonts w:eastAsia="Times New Roman" w:cstheme="minorHAnsi"/>
          <w:color w:val="000000" w:themeColor="text1"/>
          <w:lang w:eastAsia="zh-CN"/>
        </w:rPr>
        <w:t> </w:t>
      </w:r>
      <w:r w:rsidRPr="00694F82">
        <w:rPr>
          <w:rFonts w:eastAsia="Times New Roman" w:cstheme="minorHAnsi"/>
          <w:i/>
          <w:iCs/>
          <w:color w:val="000000" w:themeColor="text1"/>
          <w:lang w:eastAsia="zh-CN"/>
        </w:rPr>
        <w:t>Plausible</w:t>
      </w:r>
      <w:r w:rsidRPr="00694F82">
        <w:rPr>
          <w:rFonts w:eastAsia="Times New Roman" w:cstheme="minorHAnsi"/>
          <w:color w:val="000000" w:themeColor="text1"/>
          <w:lang w:eastAsia="zh-CN"/>
        </w:rPr>
        <w:t> Scenario</w:t>
      </w:r>
      <w:r>
        <w:rPr>
          <w:rFonts w:eastAsia="Times New Roman" w:cstheme="minorHAnsi"/>
          <w:color w:val="000000" w:themeColor="text1"/>
          <w:lang w:eastAsia="zh-CN"/>
        </w:rPr>
        <w:t>, total adoption</w:t>
      </w:r>
      <w:r w:rsidRPr="00694F82">
        <w:rPr>
          <w:rFonts w:eastAsia="Times New Roman" w:cstheme="minorHAnsi"/>
          <w:color w:val="000000" w:themeColor="text1"/>
          <w:lang w:eastAsia="zh-CN"/>
        </w:rPr>
        <w:t xml:space="preserve"> is </w:t>
      </w:r>
      <w:r w:rsidRPr="00F82FA1">
        <w:rPr>
          <w:rFonts w:eastAsia="Times New Roman" w:cstheme="minorHAnsi"/>
          <w:color w:val="000000" w:themeColor="text1"/>
          <w:lang w:eastAsia="zh-CN"/>
        </w:rPr>
        <w:t>698.50</w:t>
      </w:r>
      <w:r w:rsidRPr="00694F82">
        <w:rPr>
          <w:rFonts w:eastAsia="Times New Roman" w:cstheme="minorHAnsi"/>
          <w:color w:val="000000" w:themeColor="text1"/>
          <w:lang w:eastAsia="zh-CN"/>
        </w:rPr>
        <w:t xml:space="preserve"> million hectares</w:t>
      </w:r>
      <w:r>
        <w:rPr>
          <w:rFonts w:eastAsia="Times New Roman" w:cstheme="minorHAnsi"/>
          <w:color w:val="000000" w:themeColor="text1"/>
          <w:lang w:eastAsia="zh-CN"/>
        </w:rPr>
        <w:t xml:space="preserve"> with</w:t>
      </w:r>
      <w:r w:rsidRPr="00694F82">
        <w:rPr>
          <w:rFonts w:eastAsia="Times New Roman" w:cstheme="minorHAnsi"/>
          <w:color w:val="000000" w:themeColor="text1"/>
          <w:lang w:eastAsia="zh-CN"/>
        </w:rPr>
        <w:t xml:space="preserve"> </w:t>
      </w:r>
      <w:r w:rsidRPr="00F82FA1">
        <w:rPr>
          <w:rFonts w:eastAsia="Times New Roman" w:cstheme="minorHAnsi"/>
          <w:color w:val="000000" w:themeColor="text1"/>
          <w:lang w:eastAsia="zh-CN"/>
        </w:rPr>
        <w:t>35.69</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Gt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 xml:space="preserve">sequestered </w:t>
      </w:r>
      <w:r w:rsidRPr="00694F82">
        <w:rPr>
          <w:rFonts w:eastAsia="Times New Roman" w:cstheme="minorHAnsi"/>
          <w:color w:val="000000" w:themeColor="text1"/>
          <w:lang w:eastAsia="zh-CN"/>
        </w:rPr>
        <w:t xml:space="preserve">by 2050. Cumulative first cost is </w:t>
      </w:r>
      <w:r w:rsidRPr="00052DDA">
        <w:rPr>
          <w:rFonts w:eastAsia="Helvetica Neue" w:cstheme="minorHAnsi"/>
          <w:color w:val="000000" w:themeColor="text1"/>
        </w:rPr>
        <w:t>US</w:t>
      </w:r>
      <w:r>
        <w:rPr>
          <w:rFonts w:eastAsia="Helvetica Neue" w:cstheme="minorHAnsi"/>
          <w:color w:val="000000" w:themeColor="text1"/>
        </w:rPr>
        <w:t>$</w:t>
      </w:r>
      <w:r w:rsidRPr="00713D96">
        <w:rPr>
          <w:rFonts w:eastAsia="Helvetica Neue" w:cstheme="minorHAnsi"/>
          <w:color w:val="000000" w:themeColor="text1"/>
        </w:rPr>
        <w:t xml:space="preserve">244.78 </w:t>
      </w:r>
      <w:r w:rsidRPr="00694F82">
        <w:rPr>
          <w:rFonts w:eastAsia="Times New Roman" w:cstheme="minorHAnsi"/>
          <w:color w:val="000000" w:themeColor="text1"/>
          <w:lang w:eastAsia="zh-CN"/>
        </w:rPr>
        <w:t>billion, with</w:t>
      </w:r>
      <w:r>
        <w:rPr>
          <w:rFonts w:eastAsia="Times New Roman" w:cstheme="minorHAnsi"/>
          <w:color w:val="000000" w:themeColor="text1"/>
          <w:lang w:eastAsia="zh-CN"/>
        </w:rPr>
        <w:t xml:space="preserve"> a</w:t>
      </w:r>
      <w:r w:rsidRPr="00694F82">
        <w:rPr>
          <w:rFonts w:eastAsia="Times New Roman" w:cstheme="minorHAnsi"/>
          <w:color w:val="000000" w:themeColor="text1"/>
          <w:lang w:eastAsia="zh-CN"/>
        </w:rPr>
        <w:t xml:space="preserve"> net profit margin of </w:t>
      </w:r>
      <w:r w:rsidRPr="00052DDA">
        <w:rPr>
          <w:rFonts w:eastAsia="Helvetica Neue" w:cstheme="minorHAnsi"/>
          <w:color w:val="000000" w:themeColor="text1"/>
        </w:rPr>
        <w:t>US$</w:t>
      </w:r>
      <w:r w:rsidRPr="00940E79">
        <w:rPr>
          <w:rFonts w:eastAsia="Helvetica Neue" w:cstheme="minorHAnsi"/>
          <w:color w:val="000000" w:themeColor="text1"/>
        </w:rPr>
        <w:t xml:space="preserve">1,655.12 </w:t>
      </w:r>
      <w:r w:rsidRPr="00694F82">
        <w:rPr>
          <w:rFonts w:eastAsia="Times New Roman" w:cstheme="minorHAnsi"/>
          <w:color w:val="000000" w:themeColor="text1"/>
          <w:lang w:eastAsia="zh-CN"/>
        </w:rPr>
        <w:t>billion</w:t>
      </w:r>
      <w:r>
        <w:rPr>
          <w:rFonts w:eastAsia="Times New Roman" w:cstheme="minorHAnsi"/>
          <w:color w:val="000000" w:themeColor="text1"/>
          <w:lang w:eastAsia="zh-CN"/>
        </w:rPr>
        <w:t xml:space="preserve"> and projected yield increases of 1.36 million tons. Under the</w:t>
      </w:r>
      <w:r w:rsidRPr="00F03710">
        <w:rPr>
          <w:rFonts w:eastAsia="Times New Roman" w:cstheme="minorHAnsi"/>
          <w:color w:val="000000" w:themeColor="text1"/>
          <w:lang w:eastAsia="zh-CN"/>
        </w:rPr>
        <w:t> </w:t>
      </w:r>
      <w:r w:rsidRPr="00F03710">
        <w:rPr>
          <w:rFonts w:eastAsia="Times New Roman" w:cstheme="minorHAnsi"/>
          <w:i/>
          <w:iCs/>
          <w:color w:val="000000" w:themeColor="text1"/>
          <w:lang w:eastAsia="zh-CN"/>
        </w:rPr>
        <w:t>Drawdown</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xml:space="preserve">, total adoption </w:t>
      </w:r>
      <w:r w:rsidRPr="00F03710">
        <w:rPr>
          <w:rFonts w:eastAsia="Times New Roman" w:cstheme="minorHAnsi"/>
          <w:color w:val="000000" w:themeColor="text1"/>
          <w:lang w:eastAsia="zh-CN"/>
        </w:rPr>
        <w:t xml:space="preserve">is </w:t>
      </w:r>
      <w:r w:rsidRPr="00F82FA1">
        <w:rPr>
          <w:rFonts w:eastAsia="Times New Roman" w:cstheme="minorHAnsi"/>
          <w:color w:val="000000" w:themeColor="text1"/>
          <w:lang w:eastAsia="zh-CN"/>
        </w:rPr>
        <w:t>738.00</w:t>
      </w:r>
      <w:r w:rsidRPr="00F03710">
        <w:rPr>
          <w:rFonts w:eastAsia="Times New Roman" w:cstheme="minorHAnsi"/>
          <w:color w:val="000000" w:themeColor="text1"/>
          <w:lang w:eastAsia="zh-CN"/>
        </w:rPr>
        <w:t xml:space="preserve"> million hectares </w:t>
      </w:r>
      <w:r>
        <w:rPr>
          <w:rFonts w:eastAsia="Times New Roman" w:cstheme="minorHAnsi"/>
          <w:color w:val="000000" w:themeColor="text1"/>
          <w:lang w:eastAsia="zh-CN"/>
        </w:rPr>
        <w:t xml:space="preserve">with </w:t>
      </w:r>
      <w:r w:rsidRPr="00F82FA1">
        <w:rPr>
          <w:rFonts w:eastAsia="Times New Roman" w:cstheme="minorHAnsi"/>
          <w:color w:val="000000" w:themeColor="text1"/>
          <w:lang w:eastAsia="zh-CN"/>
        </w:rPr>
        <w:t>42.87</w:t>
      </w:r>
      <w:r>
        <w:rPr>
          <w:rFonts w:eastAsia="Times New Roman" w:cstheme="minorHAnsi"/>
          <w:color w:val="000000" w:themeColor="text1"/>
          <w:lang w:eastAsia="zh-CN"/>
        </w:rPr>
        <w:t xml:space="preserve"> 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sequestered by 2050. C</w:t>
      </w:r>
      <w:r w:rsidRPr="00F03710">
        <w:rPr>
          <w:rFonts w:eastAsia="Times New Roman" w:cstheme="minorHAnsi"/>
          <w:color w:val="000000" w:themeColor="text1"/>
          <w:lang w:eastAsia="zh-CN"/>
        </w:rPr>
        <w:t xml:space="preserve">umulative first cost is </w:t>
      </w:r>
      <w:r w:rsidRPr="00052DDA">
        <w:rPr>
          <w:rFonts w:eastAsia="Helvetica Neue" w:cstheme="minorHAnsi"/>
          <w:color w:val="000000" w:themeColor="text1"/>
        </w:rPr>
        <w:t>US$</w:t>
      </w:r>
      <w:r w:rsidRPr="00940E79">
        <w:rPr>
          <w:rFonts w:eastAsia="Helvetica Neue" w:cstheme="minorHAnsi"/>
          <w:color w:val="000000" w:themeColor="text1"/>
        </w:rPr>
        <w:t xml:space="preserve">$319.96 </w:t>
      </w:r>
      <w:r w:rsidRPr="00F03710">
        <w:rPr>
          <w:rFonts w:eastAsia="Times New Roman" w:cstheme="minorHAnsi"/>
          <w:color w:val="000000" w:themeColor="text1"/>
          <w:lang w:eastAsia="zh-CN"/>
        </w:rPr>
        <w:t xml:space="preserve">billion, with net profit margin of </w:t>
      </w:r>
      <w:r>
        <w:rPr>
          <w:rFonts w:eastAsia="Helvetica Neue" w:cstheme="minorHAnsi"/>
          <w:color w:val="000000" w:themeColor="text1"/>
        </w:rPr>
        <w:t>US</w:t>
      </w:r>
      <w:r w:rsidRPr="00940E79">
        <w:rPr>
          <w:rFonts w:eastAsia="Helvetica Neue" w:cstheme="minorHAnsi"/>
          <w:color w:val="000000" w:themeColor="text1"/>
        </w:rPr>
        <w:t>$2,055.17</w:t>
      </w:r>
      <w:r>
        <w:rPr>
          <w:rFonts w:eastAsia="Helvetica Neue" w:cstheme="minorHAnsi"/>
          <w:color w:val="000000" w:themeColor="text1"/>
        </w:rPr>
        <w:t xml:space="preserve"> </w:t>
      </w:r>
      <w:r w:rsidRPr="00F03710">
        <w:rPr>
          <w:rFonts w:eastAsia="Times New Roman" w:cstheme="minorHAnsi"/>
          <w:color w:val="000000" w:themeColor="text1"/>
          <w:lang w:eastAsia="zh-CN"/>
        </w:rPr>
        <w:t>billion</w:t>
      </w:r>
      <w:r>
        <w:rPr>
          <w:rFonts w:eastAsia="Times New Roman" w:cstheme="minorHAnsi"/>
          <w:color w:val="000000" w:themeColor="text1"/>
          <w:lang w:eastAsia="zh-CN"/>
        </w:rPr>
        <w:t xml:space="preserve"> and projected yield increases of 1.64 million tons</w:t>
      </w:r>
      <w:r w:rsidRPr="00F03710">
        <w:rPr>
          <w:rFonts w:eastAsia="Times New Roman" w:cstheme="minorHAnsi"/>
          <w:color w:val="000000" w:themeColor="text1"/>
          <w:lang w:eastAsia="zh-CN"/>
        </w:rPr>
        <w:t>.</w:t>
      </w:r>
      <w:r>
        <w:rPr>
          <w:rFonts w:eastAsia="Times New Roman" w:cstheme="minorHAnsi"/>
          <w:color w:val="000000" w:themeColor="text1"/>
          <w:lang w:eastAsia="zh-CN"/>
        </w:rPr>
        <w:t xml:space="preserve"> Under</w:t>
      </w:r>
      <w:r w:rsidRPr="00F03710">
        <w:rPr>
          <w:rFonts w:eastAsia="Times New Roman" w:cstheme="minorHAnsi"/>
          <w:color w:val="000000" w:themeColor="text1"/>
          <w:lang w:eastAsia="zh-CN"/>
        </w:rPr>
        <w:t xml:space="preserve"> the </w:t>
      </w:r>
      <w:r w:rsidRPr="00F03710">
        <w:rPr>
          <w:rFonts w:eastAsia="Times New Roman" w:cstheme="minorHAnsi"/>
          <w:i/>
          <w:iCs/>
          <w:color w:val="000000" w:themeColor="text1"/>
          <w:lang w:eastAsia="zh-CN"/>
        </w:rPr>
        <w:t>Optimum</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projected total adoption</w:t>
      </w:r>
      <w:r w:rsidRPr="00F03710">
        <w:rPr>
          <w:rFonts w:eastAsia="Times New Roman" w:cstheme="minorHAnsi"/>
          <w:color w:val="000000" w:themeColor="text1"/>
          <w:lang w:eastAsia="zh-CN"/>
        </w:rPr>
        <w:t xml:space="preserve"> is </w:t>
      </w:r>
      <w:r>
        <w:rPr>
          <w:rFonts w:eastAsia="Times New Roman" w:cstheme="minorHAnsi"/>
          <w:color w:val="000000" w:themeColor="text1"/>
          <w:lang w:eastAsia="zh-CN"/>
        </w:rPr>
        <w:t>765.90</w:t>
      </w:r>
      <w:r w:rsidRPr="00F03710">
        <w:rPr>
          <w:rFonts w:eastAsia="Times New Roman" w:cstheme="minorHAnsi"/>
          <w:color w:val="000000" w:themeColor="text1"/>
          <w:lang w:eastAsia="zh-CN"/>
        </w:rPr>
        <w:t xml:space="preserve"> million hectares </w:t>
      </w:r>
      <w:r>
        <w:rPr>
          <w:rFonts w:eastAsia="Times New Roman" w:cstheme="minorHAnsi"/>
          <w:color w:val="000000" w:themeColor="text1"/>
          <w:lang w:eastAsia="zh-CN"/>
        </w:rPr>
        <w:t>with 52.39 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 xml:space="preserve">sequestered by 2050. </w:t>
      </w:r>
      <w:r w:rsidRPr="00F03710">
        <w:rPr>
          <w:rFonts w:eastAsia="Times New Roman" w:cstheme="minorHAnsi"/>
          <w:color w:val="000000" w:themeColor="text1"/>
          <w:lang w:eastAsia="zh-CN"/>
        </w:rPr>
        <w:t xml:space="preserve">Cumulative first cost is </w:t>
      </w:r>
      <w:r w:rsidRPr="009C2C13">
        <w:rPr>
          <w:rFonts w:eastAsia="Helvetica Neue" w:cstheme="minorHAnsi"/>
          <w:color w:val="000000" w:themeColor="text1"/>
        </w:rPr>
        <w:t>US</w:t>
      </w:r>
      <w:r w:rsidRPr="00940E79">
        <w:rPr>
          <w:rFonts w:eastAsia="Helvetica Neue" w:cstheme="minorHAnsi"/>
          <w:color w:val="000000" w:themeColor="text1"/>
        </w:rPr>
        <w:t xml:space="preserve">$357.08 </w:t>
      </w:r>
      <w:r w:rsidRPr="00F03710">
        <w:rPr>
          <w:rFonts w:eastAsia="Times New Roman" w:cstheme="minorHAnsi"/>
          <w:color w:val="000000" w:themeColor="text1"/>
          <w:lang w:eastAsia="zh-CN"/>
        </w:rPr>
        <w:t xml:space="preserve">billion, with net profit margin of </w:t>
      </w:r>
      <w:r w:rsidRPr="009C2C13">
        <w:rPr>
          <w:rFonts w:eastAsia="Helvetica Neue" w:cstheme="minorHAnsi"/>
          <w:color w:val="000000" w:themeColor="text1"/>
        </w:rPr>
        <w:t>US</w:t>
      </w:r>
      <w:r w:rsidRPr="00940E79">
        <w:rPr>
          <w:rFonts w:eastAsia="Helvetica Neue" w:cstheme="minorHAnsi"/>
          <w:color w:val="000000" w:themeColor="text1"/>
        </w:rPr>
        <w:t>$2,578.85</w:t>
      </w:r>
      <w:r>
        <w:rPr>
          <w:rFonts w:eastAsia="Helvetica Neue" w:cstheme="minorHAnsi"/>
          <w:color w:val="000000" w:themeColor="text1"/>
        </w:rPr>
        <w:t xml:space="preserve"> </w:t>
      </w:r>
      <w:r w:rsidRPr="00F03710">
        <w:rPr>
          <w:rFonts w:eastAsia="Times New Roman" w:cstheme="minorHAnsi"/>
          <w:color w:val="000000" w:themeColor="text1"/>
          <w:lang w:eastAsia="zh-CN"/>
        </w:rPr>
        <w:t>billion</w:t>
      </w:r>
      <w:r>
        <w:rPr>
          <w:rFonts w:eastAsia="Times New Roman" w:cstheme="minorHAnsi"/>
          <w:color w:val="000000" w:themeColor="text1"/>
          <w:lang w:eastAsia="zh-CN"/>
        </w:rPr>
        <w:t xml:space="preserve"> and projected yield increases of 2.04 million tons</w:t>
      </w:r>
      <w:r w:rsidRPr="00F03710">
        <w:rPr>
          <w:rFonts w:eastAsia="Times New Roman" w:cstheme="minorHAnsi"/>
          <w:color w:val="000000" w:themeColor="text1"/>
          <w:lang w:eastAsia="zh-CN"/>
        </w:rPr>
        <w:t>.</w:t>
      </w:r>
      <w:r>
        <w:rPr>
          <w:rFonts w:eastAsia="Times New Roman" w:cstheme="minorHAnsi"/>
          <w:color w:val="000000" w:themeColor="text1"/>
          <w:lang w:eastAsia="zh-CN"/>
        </w:rPr>
        <w:t xml:space="preserve"> </w:t>
      </w:r>
    </w:p>
    <w:p w14:paraId="34916870" w14:textId="7EC8F76B" w:rsidR="00E815C8" w:rsidRDefault="551A77D0" w:rsidP="00DB4CC8">
      <w:pPr>
        <w:pStyle w:val="Heading1"/>
      </w:pPr>
      <w:bookmarkStart w:id="5" w:name="_Toc18013297"/>
      <w:r w:rsidRPr="00EB247F">
        <w:lastRenderedPageBreak/>
        <w:t>Literature Review</w:t>
      </w:r>
      <w:bookmarkEnd w:id="5"/>
    </w:p>
    <w:p w14:paraId="7EC8AF9D" w14:textId="6928B3E5" w:rsidR="00C31614" w:rsidRPr="00C31614" w:rsidRDefault="00C31614" w:rsidP="00C31614">
      <w:pPr>
        <w:rPr>
          <w:highlight w:val="yellow"/>
        </w:rPr>
      </w:pPr>
      <w:r>
        <w:rPr>
          <w:bCs/>
          <w:color w:val="000000" w:themeColor="text1"/>
        </w:rPr>
        <w:t xml:space="preserve">Silvopastures are production systems which integrate tree and livestock components; they can take varied and diverse forms and can be applied across a range of climates and at different scales. Increased recognition of their many environmental and economic benefits, particularly in the context of climate change and </w:t>
      </w:r>
      <w:r w:rsidR="006C758B">
        <w:rPr>
          <w:bCs/>
          <w:color w:val="000000" w:themeColor="text1"/>
        </w:rPr>
        <w:t>land degradation</w:t>
      </w:r>
      <w:r>
        <w:rPr>
          <w:bCs/>
          <w:color w:val="000000" w:themeColor="text1"/>
        </w:rPr>
        <w:t xml:space="preserve">, coupled with improved national or regional incentive mechanisms, is likely to significantly increase future adoption rates of this solution at the farmer / </w:t>
      </w:r>
      <w:r w:rsidR="006C758B">
        <w:rPr>
          <w:bCs/>
          <w:color w:val="000000" w:themeColor="text1"/>
        </w:rPr>
        <w:t xml:space="preserve">pastoralist </w:t>
      </w:r>
      <w:r>
        <w:rPr>
          <w:bCs/>
          <w:color w:val="000000" w:themeColor="text1"/>
        </w:rPr>
        <w:t>agency level.</w:t>
      </w:r>
    </w:p>
    <w:p w14:paraId="05406D4C" w14:textId="3D145BD1" w:rsidR="006A4A08" w:rsidRPr="00EB247F" w:rsidRDefault="551A77D0" w:rsidP="00DB4CC8">
      <w:pPr>
        <w:pStyle w:val="Heading2"/>
      </w:pPr>
      <w:bookmarkStart w:id="6" w:name="_Toc18013298"/>
      <w:r w:rsidRPr="00EB247F">
        <w:t xml:space="preserve">State of </w:t>
      </w:r>
      <w:r w:rsidR="0088139D" w:rsidRPr="0088139D">
        <w:t>the Practice</w:t>
      </w:r>
      <w:bookmarkEnd w:id="6"/>
    </w:p>
    <w:p w14:paraId="4B25BEBA" w14:textId="77777777" w:rsidR="00BC5D2D" w:rsidRDefault="008B1493" w:rsidP="008B1493">
      <w:pPr>
        <w:rPr>
          <w:color w:val="000000"/>
        </w:rPr>
      </w:pPr>
      <w:r w:rsidRPr="003D513E">
        <w:rPr>
          <w:i/>
          <w:color w:val="000000"/>
        </w:rPr>
        <w:t>Silvopasture</w:t>
      </w:r>
      <w:r>
        <w:rPr>
          <w:color w:val="000000"/>
        </w:rPr>
        <w:t xml:space="preserve"> is an agroforestry practice which integrates </w:t>
      </w:r>
      <w:r w:rsidR="002716AE">
        <w:rPr>
          <w:color w:val="000000"/>
        </w:rPr>
        <w:t>trees, forage and livestock</w:t>
      </w:r>
      <w:r w:rsidR="003D513E">
        <w:rPr>
          <w:color w:val="000000"/>
        </w:rPr>
        <w:t xml:space="preserve"> </w:t>
      </w:r>
      <w:r w:rsidR="003D513E">
        <w:rPr>
          <w:color w:val="000000"/>
        </w:rPr>
        <w:fldChar w:fldCharType="begin"/>
      </w:r>
      <w:r w:rsidR="003D513E">
        <w:rPr>
          <w:color w:val="000000"/>
        </w:rPr>
        <w:instrText xml:space="preserve"> ADDIN ZOTERO_ITEM CSL_CITATION {"citationID":"xMWUJNS4","properties":{"formattedCitation":"(Cubbage et al., 2012; Toensmeier, 2016)","plainCitation":"(Cubbage et al., 2012; Toensmeier, 2016)","noteIndex":0},"citationItems":[{"id":1975,"uris":["http://zotero.org/groups/2241939/items/6NVCSHR5"],"uri":["http://zotero.org/groups/2241939/items/6NVCSHR5"],"itemData":{"id":1975,"type":"article-journal","title":"Comparing silvopastoral systems and prospects in eight regions of the world","container-title":"Agroforestry Systems","page":"303-314","volume":"86","issue":"3","source":"Crossref","DOI":"10.1007/s10457-012-9482-z","ISSN":"0167-4366, 1572-9680","language":"en","author":[{"family":"Cubbage","given":"Frederick"},{"family":"Balmelli","given":"Gustavo"},{"family":"Bussoni","given":"Adriana"},{"family":"Noellemeyer","given":"Elke"},{"family":"Pachas","given":"Anibal N."},{"family":"Fassola","given":"Hugo"},{"family":"Colcombet","given":"Luis"},{"family":"Rossner","given":"Belén"},{"family":"Frey","given":"Gregory"},{"family":"Dube","given":"Francis"},{"family":"Silva","given":"Marcio Lopes","non-dropping-particle":"de"},{"family":"Stevenson","given":"Hayley"},{"family":"Hamilton","given":"James"},{"family":"Hubbard","given":"William"}],"issued":{"date-parts":[["2012",11]]}}},{"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3D513E">
        <w:rPr>
          <w:color w:val="000000"/>
        </w:rPr>
        <w:fldChar w:fldCharType="separate"/>
      </w:r>
      <w:r w:rsidR="003D513E" w:rsidRPr="003D513E">
        <w:rPr>
          <w:rFonts w:cs="Times New Roman"/>
        </w:rPr>
        <w:t>(Cubbage et al., 2012; Toensmeier, 2016)</w:t>
      </w:r>
      <w:r w:rsidR="003D513E">
        <w:rPr>
          <w:color w:val="000000"/>
        </w:rPr>
        <w:fldChar w:fldCharType="end"/>
      </w:r>
      <w:r w:rsidR="00120159">
        <w:rPr>
          <w:color w:val="000000"/>
        </w:rPr>
        <w:t>.</w:t>
      </w:r>
      <w:r w:rsidR="00FE17C5">
        <w:rPr>
          <w:color w:val="000000"/>
        </w:rPr>
        <w:t xml:space="preserve"> </w:t>
      </w:r>
      <w:r w:rsidR="006D46A3">
        <w:rPr>
          <w:color w:val="000000"/>
        </w:rPr>
        <w:t>While tree densities in silvopasture systems can vary widely</w:t>
      </w:r>
      <w:r w:rsidR="003D513E">
        <w:rPr>
          <w:color w:val="000000"/>
        </w:rPr>
        <w:t xml:space="preserve"> </w:t>
      </w:r>
      <w:r w:rsidR="003D513E">
        <w:rPr>
          <w:color w:val="000000"/>
        </w:rPr>
        <w:fldChar w:fldCharType="begin"/>
      </w:r>
      <w:r w:rsidR="003D513E">
        <w:rPr>
          <w:color w:val="000000"/>
        </w:rPr>
        <w:instrText xml:space="preserve"> ADDIN ZOTERO_ITEM CSL_CITATION {"citationID":"mFQJX0j1","properties":{"formattedCitation":"(Cubbage et al., 2012)","plainCitation":"(Cubbage et al., 2012)","noteIndex":0},"citationItems":[{"id":1975,"uris":["http://zotero.org/groups/2241939/items/6NVCSHR5"],"uri":["http://zotero.org/groups/2241939/items/6NVCSHR5"],"itemData":{"id":1975,"type":"article-journal","title":"Comparing silvopastoral systems and prospects in eight regions of the world","container-title":"Agroforestry Systems","page":"303-314","volume":"86","issue":"3","source":"Crossref","DOI":"10.1007/s10457-012-9482-z","ISSN":"0167-4366, 1572-9680","language":"en","author":[{"family":"Cubbage","given":"Frederick"},{"family":"Balmelli","given":"Gustavo"},{"family":"Bussoni","given":"Adriana"},{"family":"Noellemeyer","given":"Elke"},{"family":"Pachas","given":"Anibal N."},{"family":"Fassola","given":"Hugo"},{"family":"Colcombet","given":"Luis"},{"family":"Rossner","given":"Belén"},{"family":"Frey","given":"Gregory"},{"family":"Dube","given":"Francis"},{"family":"Silva","given":"Marcio Lopes","non-dropping-particle":"de"},{"family":"Stevenson","given":"Hayley"},{"family":"Hamilton","given":"James"},{"family":"Hubbard","given":"William"}],"issued":{"date-parts":[["2012",11]]}}}],"schema":"https://github.com/citation-style-language/schema/raw/master/csl-citation.json"} </w:instrText>
      </w:r>
      <w:r w:rsidR="003D513E">
        <w:rPr>
          <w:color w:val="000000"/>
        </w:rPr>
        <w:fldChar w:fldCharType="separate"/>
      </w:r>
      <w:r w:rsidR="003D513E" w:rsidRPr="003D513E">
        <w:rPr>
          <w:rFonts w:cs="Times New Roman"/>
        </w:rPr>
        <w:t>(Cubbage et al., 2012)</w:t>
      </w:r>
      <w:r w:rsidR="003D513E">
        <w:rPr>
          <w:color w:val="000000"/>
        </w:rPr>
        <w:fldChar w:fldCharType="end"/>
      </w:r>
      <w:r w:rsidR="006D46A3">
        <w:rPr>
          <w:color w:val="000000"/>
        </w:rPr>
        <w:t>, Drawdown define</w:t>
      </w:r>
      <w:r w:rsidR="00B52FAB">
        <w:rPr>
          <w:color w:val="000000"/>
        </w:rPr>
        <w:t>s</w:t>
      </w:r>
      <w:r w:rsidR="006D46A3">
        <w:rPr>
          <w:color w:val="000000"/>
        </w:rPr>
        <w:t xml:space="preserve"> silvopastures as </w:t>
      </w:r>
      <w:r w:rsidR="001B7D5F">
        <w:rPr>
          <w:color w:val="000000"/>
        </w:rPr>
        <w:t>managed</w:t>
      </w:r>
      <w:r w:rsidR="006D46A3">
        <w:rPr>
          <w:color w:val="000000"/>
        </w:rPr>
        <w:t xml:space="preserve"> tree-pasture-livestock systems with tree densities of 30% and higher. This definition</w:t>
      </w:r>
      <w:r w:rsidR="00B74EED">
        <w:rPr>
          <w:color w:val="000000"/>
        </w:rPr>
        <w:t xml:space="preserve"> can</w:t>
      </w:r>
      <w:r w:rsidR="00FE17C5">
        <w:rPr>
          <w:color w:val="000000"/>
        </w:rPr>
        <w:t xml:space="preserve"> include a broad variety of management approaches and objectives. </w:t>
      </w:r>
      <w:r w:rsidR="00B74EED">
        <w:rPr>
          <w:color w:val="000000"/>
        </w:rPr>
        <w:t>In t</w:t>
      </w:r>
      <w:r w:rsidR="00FE17C5">
        <w:rPr>
          <w:color w:val="000000"/>
        </w:rPr>
        <w:t>raditional forms of silvopasture</w:t>
      </w:r>
      <w:r w:rsidR="00EC3F09">
        <w:rPr>
          <w:color w:val="000000"/>
        </w:rPr>
        <w:t xml:space="preserve"> like </w:t>
      </w:r>
      <w:r w:rsidR="00EC3F09">
        <w:rPr>
          <w:i/>
          <w:color w:val="000000"/>
        </w:rPr>
        <w:t xml:space="preserve">dehesa </w:t>
      </w:r>
      <w:r w:rsidR="00EC3F09">
        <w:rPr>
          <w:color w:val="000000"/>
        </w:rPr>
        <w:t>systems in Spain and Portugal or wood-pastures in Scotland,</w:t>
      </w:r>
      <w:r w:rsidR="00FE17C5">
        <w:rPr>
          <w:color w:val="000000"/>
        </w:rPr>
        <w:t xml:space="preserve"> </w:t>
      </w:r>
      <w:r w:rsidR="009E4334">
        <w:rPr>
          <w:color w:val="000000"/>
        </w:rPr>
        <w:t xml:space="preserve">which </w:t>
      </w:r>
      <w:r w:rsidR="00FE17C5">
        <w:rPr>
          <w:color w:val="000000"/>
        </w:rPr>
        <w:t>have existed for thousands of years</w:t>
      </w:r>
      <w:r w:rsidR="009E4334">
        <w:rPr>
          <w:color w:val="000000"/>
        </w:rPr>
        <w:t>, trees are integrated into livestock pastures</w:t>
      </w:r>
      <w:r w:rsidR="00FE17C5">
        <w:rPr>
          <w:color w:val="000000"/>
        </w:rPr>
        <w:t xml:space="preserve"> </w:t>
      </w:r>
      <w:r w:rsidR="003D513E">
        <w:rPr>
          <w:color w:val="000000"/>
        </w:rPr>
        <w:fldChar w:fldCharType="begin"/>
      </w:r>
      <w:r w:rsidR="003D513E">
        <w:rPr>
          <w:color w:val="000000"/>
        </w:rPr>
        <w:instrText xml:space="preserve"> ADDIN ZOTERO_ITEM CSL_CITATION {"citationID":"jzpWWCEj","properties":{"formattedCitation":"(Montagnini et al., 2013; Mosquera-Losada et al., 2005)","plainCitation":"(Montagnini et al., 2013; Mosquera-Losada et al., 2005)","noteIndex":0},"citationItems":[{"id":1979,"uris":["http://zotero.org/groups/2241939/items/ND5KP5XU"],"uri":["http://zotero.org/groups/2241939/items/ND5KP5XU"],"itemData":{"id":1979,"type":"article-journal","title":"Silvopastoral systems and climate change mitigation in Latin America","container-title":"Bois et Forets des Tropiques","collection-title":"Silvopastoralisme","volume":"316","issue":"2","author":[{"family":"Montagnini","given":"Florencia"},{"family":"Ibrahim","given":"Muhammad"},{"family":"Murgueitio Restrepo","given":"Enrique"}],"issued":{"date-parts":[["2013"]]}}},{"id":3116,"uris":["http://zotero.org/groups/2241939/items/BHNKKD4H"],"uri":["http://zotero.org/groups/2241939/items/BHNKKD4H"],"itemData":{"id":3116,"type":"paper-conference","title":"Silvopastoralism and sustainable land management. Proceedings of an international congress on silvopastoralism and sustainable management held in Lugo, Spain, April 2004.","container-title":"Silvopastoralism and sustainable land management. Proceedings of an international congress on silvopastoralism and sustainable management held in Lugo, Spain, April 2004.","publisher":"CABI Publishing","author":[{"family":"Mosquera-Losada","given":"MR"},{"family":"Rigueiro-Rodríguez","given":"Antonio"},{"family":"McAdam","given":"Jim"},{"literal":"others"}],"issued":{"date-parts":[["2005"]]}}}],"schema":"https://github.com/citation-style-language/schema/raw/master/csl-citation.json"} </w:instrText>
      </w:r>
      <w:r w:rsidR="003D513E">
        <w:rPr>
          <w:color w:val="000000"/>
        </w:rPr>
        <w:fldChar w:fldCharType="separate"/>
      </w:r>
      <w:r w:rsidR="003D513E" w:rsidRPr="003D513E">
        <w:rPr>
          <w:rFonts w:cs="Times New Roman"/>
        </w:rPr>
        <w:t>(Montagnini et al., 2013; Mosquera-Losada et al., 2005)</w:t>
      </w:r>
      <w:r w:rsidR="003D513E">
        <w:rPr>
          <w:color w:val="000000"/>
        </w:rPr>
        <w:fldChar w:fldCharType="end"/>
      </w:r>
      <w:r w:rsidR="00EC3F09">
        <w:rPr>
          <w:color w:val="000000"/>
        </w:rPr>
        <w:t xml:space="preserve">. </w:t>
      </w:r>
      <w:r w:rsidR="00BC5D2D">
        <w:rPr>
          <w:color w:val="000000"/>
        </w:rPr>
        <w:t>Establishment practices range widely: for instance</w:t>
      </w:r>
      <w:r w:rsidR="009E4334">
        <w:rPr>
          <w:color w:val="000000"/>
        </w:rPr>
        <w:t xml:space="preserve">, existing </w:t>
      </w:r>
      <w:r w:rsidR="00BC35B4">
        <w:rPr>
          <w:color w:val="000000"/>
        </w:rPr>
        <w:t>native trees</w:t>
      </w:r>
      <w:r w:rsidR="006032A2">
        <w:rPr>
          <w:color w:val="000000"/>
        </w:rPr>
        <w:t xml:space="preserve"> </w:t>
      </w:r>
      <w:r w:rsidR="00BC5D2D">
        <w:rPr>
          <w:color w:val="000000"/>
        </w:rPr>
        <w:t xml:space="preserve">can be </w:t>
      </w:r>
      <w:r w:rsidR="009E4334">
        <w:rPr>
          <w:color w:val="000000"/>
        </w:rPr>
        <w:t xml:space="preserve">thinned </w:t>
      </w:r>
      <w:r w:rsidR="00BC35B4">
        <w:rPr>
          <w:color w:val="000000"/>
        </w:rPr>
        <w:t xml:space="preserve">or coppiced </w:t>
      </w:r>
      <w:r w:rsidR="009E4334">
        <w:rPr>
          <w:color w:val="000000"/>
        </w:rPr>
        <w:t xml:space="preserve">and </w:t>
      </w:r>
      <w:r w:rsidR="00EA2588">
        <w:rPr>
          <w:color w:val="000000"/>
        </w:rPr>
        <w:t>integrated with</w:t>
      </w:r>
      <w:r w:rsidR="009E4334">
        <w:rPr>
          <w:color w:val="000000"/>
        </w:rPr>
        <w:t xml:space="preserve"> livestock grazing </w:t>
      </w:r>
      <w:r w:rsidR="003D513E">
        <w:rPr>
          <w:color w:val="000000"/>
        </w:rPr>
        <w:fldChar w:fldCharType="begin"/>
      </w:r>
      <w:r w:rsidR="003D513E">
        <w:rPr>
          <w:color w:val="000000"/>
        </w:rPr>
        <w:instrText xml:space="preserve"> ADDIN ZOTERO_ITEM CSL_CITATION {"citationID":"QZBTuPWc","properties":{"formattedCitation":"(Pinheiro and Nair, 2018)","plainCitation":"(Pinheiro and Nair, 2018)","noteIndex":0},"citationItems":[{"id":2001,"uris":["http://zotero.org/groups/2241939/items/PJEXDDDC"],"uri":["http://zotero.org/groups/2241939/items/PJEXDDDC"],"itemData":{"id":2001,"type":"article-journal","title":"Silvopasture in the Caatinga biome of Brazil: A review of its ecology, management, and development opportunities","container-title":"Forest Systems","page":"eR01S","volume":"27","issue":"1","source":"Crossref","abstract":"Aim of study: Silvopastoral system (SPS) involving numerous indigenous trees and shrubs is a traditional land-use system in the Caatinga, but it has little been studied scientifically. Given the importance of SPS as a sustainable land-use strategy in the drylands, this paper examines the attributes of the Caatinga SPS and their relevance to other arid and semiarid regions.","DOI":"10.5424/fs/2018271-12267","ISSN":"2171-9845","shortTitle":"Silvopasture in the Caatinga biome of Brazil","language":"en","author":[{"family":"Pinheiro","given":"Felipe M."},{"family":"Nair","given":"P. K. Ramachandran"}],"issued":{"date-parts":[["2018",5,22]]}}}],"schema":"https://github.com/citation-style-language/schema/raw/master/csl-citation.json"} </w:instrText>
      </w:r>
      <w:r w:rsidR="003D513E">
        <w:rPr>
          <w:color w:val="000000"/>
        </w:rPr>
        <w:fldChar w:fldCharType="separate"/>
      </w:r>
      <w:r w:rsidR="003D513E" w:rsidRPr="003D513E">
        <w:rPr>
          <w:rFonts w:cs="Times New Roman"/>
        </w:rPr>
        <w:t>(Pinheiro and Nair, 2018)</w:t>
      </w:r>
      <w:r w:rsidR="003D513E">
        <w:rPr>
          <w:color w:val="000000"/>
        </w:rPr>
        <w:fldChar w:fldCharType="end"/>
      </w:r>
      <w:r w:rsidR="00BC5D2D">
        <w:rPr>
          <w:color w:val="000000"/>
        </w:rPr>
        <w:t>, or alternatively trees can be introduced into already existing grazing landscapes.</w:t>
      </w:r>
    </w:p>
    <w:p w14:paraId="4DC9799D" w14:textId="0212B2D3" w:rsidR="008B1493" w:rsidRDefault="009E4334" w:rsidP="008B1493">
      <w:pPr>
        <w:rPr>
          <w:color w:val="000000"/>
        </w:rPr>
      </w:pPr>
      <w:r>
        <w:rPr>
          <w:color w:val="000000"/>
        </w:rPr>
        <w:t>In the</w:t>
      </w:r>
      <w:r w:rsidR="00FE17C5">
        <w:rPr>
          <w:color w:val="000000"/>
        </w:rPr>
        <w:t xml:space="preserve"> southeast</w:t>
      </w:r>
      <w:r>
        <w:rPr>
          <w:color w:val="000000"/>
        </w:rPr>
        <w:t>ern</w:t>
      </w:r>
      <w:r w:rsidR="00FE17C5">
        <w:rPr>
          <w:color w:val="000000"/>
        </w:rPr>
        <w:t xml:space="preserve"> USA or Uruguay</w:t>
      </w:r>
      <w:r>
        <w:rPr>
          <w:color w:val="000000"/>
        </w:rPr>
        <w:t>,</w:t>
      </w:r>
      <w:r w:rsidR="00FE17C5">
        <w:rPr>
          <w:color w:val="000000"/>
        </w:rPr>
        <w:t xml:space="preserve"> silvopasture systems are managed both for large-scale timber production and cattle </w:t>
      </w:r>
      <w:r w:rsidR="003D513E">
        <w:rPr>
          <w:color w:val="000000"/>
        </w:rPr>
        <w:fldChar w:fldCharType="begin"/>
      </w:r>
      <w:r w:rsidR="003D513E">
        <w:rPr>
          <w:color w:val="000000"/>
        </w:rPr>
        <w:instrText xml:space="preserve"> ADDIN ZOTERO_ITEM CSL_CITATION {"citationID":"607uUJc5","properties":{"formattedCitation":"(Cubbage et al., 2012)","plainCitation":"(Cubbage et al., 2012)","noteIndex":0},"citationItems":[{"id":1975,"uris":["http://zotero.org/groups/2241939/items/6NVCSHR5"],"uri":["http://zotero.org/groups/2241939/items/6NVCSHR5"],"itemData":{"id":1975,"type":"article-journal","title":"Comparing silvopastoral systems and prospects in eight regions of the world","container-title":"Agroforestry Systems","page":"303-314","volume":"86","issue":"3","source":"Crossref","DOI":"10.1007/s10457-012-9482-z","ISSN":"0167-4366, 1572-9680","language":"en","author":[{"family":"Cubbage","given":"Frederick"},{"family":"Balmelli","given":"Gustavo"},{"family":"Bussoni","given":"Adriana"},{"family":"Noellemeyer","given":"Elke"},{"family":"Pachas","given":"Anibal N."},{"family":"Fassola","given":"Hugo"},{"family":"Colcombet","given":"Luis"},{"family":"Rossner","given":"Belén"},{"family":"Frey","given":"Gregory"},{"family":"Dube","given":"Francis"},{"family":"Silva","given":"Marcio Lopes","non-dropping-particle":"de"},{"family":"Stevenson","given":"Hayley"},{"family":"Hamilton","given":"James"},{"family":"Hubbard","given":"William"}],"issued":{"date-parts":[["2012",11]]}}}],"schema":"https://github.com/citation-style-language/schema/raw/master/csl-citation.json"} </w:instrText>
      </w:r>
      <w:r w:rsidR="003D513E">
        <w:rPr>
          <w:color w:val="000000"/>
        </w:rPr>
        <w:fldChar w:fldCharType="separate"/>
      </w:r>
      <w:r w:rsidR="003D513E" w:rsidRPr="003D513E">
        <w:rPr>
          <w:rFonts w:cs="Times New Roman"/>
        </w:rPr>
        <w:t>(Cubbage et al., 2012)</w:t>
      </w:r>
      <w:r w:rsidR="003D513E">
        <w:rPr>
          <w:color w:val="000000"/>
        </w:rPr>
        <w:fldChar w:fldCharType="end"/>
      </w:r>
      <w:r w:rsidR="00FE17C5">
        <w:rPr>
          <w:color w:val="000000"/>
        </w:rPr>
        <w:t>.</w:t>
      </w:r>
      <w:r w:rsidR="00EC3F09">
        <w:rPr>
          <w:color w:val="000000"/>
        </w:rPr>
        <w:t xml:space="preserve"> In additional to timber, bark or fruit, trees in silvopastures can used for a variety of practical reasons related to animal husbandry, such as providing additional fodder for animals or protecting them from </w:t>
      </w:r>
      <w:r w:rsidR="00DD22F3">
        <w:rPr>
          <w:color w:val="000000"/>
        </w:rPr>
        <w:t xml:space="preserve">sun and </w:t>
      </w:r>
      <w:r w:rsidR="00EC3F09">
        <w:rPr>
          <w:color w:val="000000"/>
        </w:rPr>
        <w:t>wind.</w:t>
      </w:r>
      <w:r w:rsidR="00FE17C5">
        <w:rPr>
          <w:color w:val="000000"/>
        </w:rPr>
        <w:t xml:space="preserve"> I</w:t>
      </w:r>
      <w:r w:rsidR="008B1493">
        <w:rPr>
          <w:color w:val="000000"/>
        </w:rPr>
        <w:t>ncluding trees in pasture has been shown in many cases to enhance livestock productivity</w:t>
      </w:r>
      <w:r w:rsidR="000F75AA">
        <w:rPr>
          <w:color w:val="000000"/>
        </w:rPr>
        <w:t xml:space="preserve"> by regulating climate and minimizing heat-stress for anima</w:t>
      </w:r>
      <w:r w:rsidR="00807F8A">
        <w:rPr>
          <w:color w:val="000000"/>
        </w:rPr>
        <w:t>ls</w:t>
      </w:r>
      <w:r w:rsidR="003D513E">
        <w:rPr>
          <w:color w:val="000000"/>
        </w:rPr>
        <w:t xml:space="preserve"> </w:t>
      </w:r>
      <w:r w:rsidR="003D513E">
        <w:rPr>
          <w:color w:val="000000"/>
        </w:rPr>
        <w:fldChar w:fldCharType="begin"/>
      </w:r>
      <w:r w:rsidR="003D513E">
        <w:rPr>
          <w:color w:val="000000"/>
        </w:rPr>
        <w:instrText xml:space="preserve"> ADDIN ZOTERO_ITEM CSL_CITATION {"citationID":"itONRIOo","properties":{"formattedCitation":"(Paciullo et al., 2011; Pagiola et al., 2007)","plainCitation":"(Paciullo et al., 2011; Pagiola et al., 2007)","noteIndex":0},"citationItems":[{"id":2118,"uris":["http://zotero.org/groups/2241939/items/DIYRVFTG"],"uri":["http://zotero.org/groups/2241939/items/DIYRVFTG"],"itemData":{"id":2118,"type":"article-journal","title":"Performance of dairy heifers in a silvopastoral system","container-title":"Livestock Science","page":"166-172","volume":"141","issue":"2-3","source":"Crossref","abstract":"The characteristics of the pasture and performance of dairy heifers were evaluated in a silvopastoral system (SPS) established with Brachiaria decumbens grass in a consortium with four tree species (105 trees/ha) and in a monoculture system of Brachiaria decumbens (MS). Thirty-two paddocks (0.5 ha/paddock) were used, sixteen for each system (SPS and MS). The paddocks were managed under rotational stocking, with seven days occupation and 35 and 45 days of rest during the rainy and dry seasons, respectively. The treatments were distributed in a randomised block design with two repetitions. The heifers used had an initial weight of 200 kg and a variable stocking rate as a function of the herbage allowance of 7.0 kg of DM/100 kg of body weight/day. The forage mass was estimated at each grazing cycle. For each sample, the DM, crude protein and neutral detergent ﬁbre contents were determined as well as the in vitro dry matter digestibility (IVDMD). All animals were weighed every 35 days to estimate daily body weight gain and weight production per area. The forage dry mass, stocking rate and herbage allowance were similar between the systems studied, but they varied according to season. Average values of 2031 and 1100 kg/ha/grazing cycle, 1.6 and 0.8 AU (Animal unit = 450 kg of body weight)/ha and 7.2 and 5.0 kg DM/100 kg of body weight were estimated for the rainy and dry seasons, respectively. The values for crude protein content were higher in the SPS in the rainy season, while the NDF and IVDMD did not vary with raising system. The body weight gains per animal and per hectare in the dry season did not vary, but were higher in the SPS during the rainy season in the ﬁrst and third experimental years. The annual body weight gains were also higher in SPS than in the MS. It was concluded that the SPS is more efﬁcient for rearing dairy heifers than the MS due to the higher body weight gain per heifer and per area.","DOI":"10.1016/j.livsci.2011.05.012","ISSN":"18711413","language":"en","author":[{"family":"Paciullo","given":"Domingos Sávio Campos"},{"family":"Castro","given":"Carlos Renato Tavares","non-dropping-particle":"de"},{"family":"Gomide","given":"Carlos Augusto de Miranda"},{"family":"Maurício","given":"Rogério Martins"},{"family":"Pires","given":"Maria de Fátima Ávila"},{"family":"Müller","given":"Marcelo Dias"},{"family":"Xavier","given":"Deise Ferreira"}],"issued":{"date-parts":[["2011",11]]}}},{"id":2071,"uris":["http://zotero.org/groups/2241939/items/TVG4H255"],"uri":["http://zotero.org/groups/2241939/items/TVG4H255"],"itemData":{"id":2071,"type":"article-journal","title":"Paying for the environmental services of silvopastoral practices in Nicaragua","container-title":"Ecological Economics","page":"374-385","volume":"64","issue":"2","source":"Crossref","abstract":"Agricultural landscapes can provide many valuable ecosystem services, but many are externalities from the perspective of farmers and so tend to be under-produced. This paper examines an effort to make direct payments for ecosystem services (PES) in an agricultural landscape. The Regional Integrated Silvopastoral Ecosystem Management Project is piloting the use of PES to induce adoption of silvopastoral practices in the Matiguás–Río Blanco area in Nicaragua. Silvopastoral practices could substantially improve service provision while retaining agricultural production, but they have found only limited acceptance among farmers. The Silvopastoral Project seeks to increase their adoption by paying farmers for the expected increase in biodiversity conservation and carbon sequestration services that these practices would provide. The Pro</w:instrText>
      </w:r>
      <w:r w:rsidR="003D513E" w:rsidRPr="00A06F54">
        <w:rPr>
          <w:color w:val="000000"/>
        </w:rPr>
        <w:instrText>ject developed an ‘environmental servi</w:instrText>
      </w:r>
      <w:r w:rsidR="003D513E" w:rsidRPr="003D513E">
        <w:rPr>
          <w:color w:val="000000"/>
        </w:rPr>
        <w:instrText xml:space="preserve">ces index’ (ESI) and pays participants for net increases in ESI points. Although the Silvopastoral Project is still underway, it already appears to have succeeded in inducing farmers to increase substantially the use of practices that generate higher levels of ecosystem services. In the project's first two years, over 24% of the total area experienced some form of land use change. The area of degraded pasture fell by two thirds, while pastures with high tree density increased substantially, as did fodder banks and live fences. On-going monitoring indicates that these land use changes are in fact generating the desired services. Questions remain about the long-term sustainability of the approach, however. To ensure sustainability, long-term payments are likely to be needed, raising the question of how they will be financed. Payments by water users and by carbon buyers provide a partial answer to this challenge, but still leave many gaps.","DOI":"10.1016/j.ecolecon.2007.04.014","ISSN":"09218009","language":"en","author":[{"family":"Pagiola","given":"Stefano"},{"family":"Ramírez","given":"Elías"},{"family":"Gobbi","given":"José"},{"family":"Haan","given":"Cees","non-dropping-particle":"de"},{"family":"Ibrahim","given":"Muhammad"},{"family":"Murgueitio","given":"Enrique"},{"family":"Ruíz","given":"Juan Pablo"}],"issued":{"date-parts":[["2007",12]]}}}],"schema":"https://github.com/citation-style-language/schema/raw/master/csl-citation.json"} </w:instrText>
      </w:r>
      <w:r w:rsidR="003D513E">
        <w:rPr>
          <w:color w:val="000000"/>
        </w:rPr>
        <w:fldChar w:fldCharType="separate"/>
      </w:r>
      <w:r w:rsidR="003D513E" w:rsidRPr="003D513E">
        <w:rPr>
          <w:rFonts w:cs="Times New Roman"/>
        </w:rPr>
        <w:t>(Paciullo et al., 2011; Pagiola et al., 2007)</w:t>
      </w:r>
      <w:r w:rsidR="003D513E">
        <w:rPr>
          <w:color w:val="000000"/>
        </w:rPr>
        <w:fldChar w:fldCharType="end"/>
      </w:r>
      <w:r w:rsidR="0078229E" w:rsidRPr="003D513E">
        <w:rPr>
          <w:color w:val="000000"/>
        </w:rPr>
        <w:t xml:space="preserve">. </w:t>
      </w:r>
      <w:r w:rsidR="0078229E">
        <w:rPr>
          <w:color w:val="000000"/>
        </w:rPr>
        <w:t>This solution can further</w:t>
      </w:r>
      <w:r w:rsidR="008B1493">
        <w:rPr>
          <w:color w:val="000000"/>
        </w:rPr>
        <w:t xml:space="preserve"> provide producers with alternative revenue streams</w:t>
      </w:r>
      <w:r w:rsidR="003D513E">
        <w:rPr>
          <w:color w:val="000000"/>
        </w:rPr>
        <w:t xml:space="preserve"> </w:t>
      </w:r>
      <w:r w:rsidR="003D513E">
        <w:rPr>
          <w:color w:val="000000"/>
        </w:rPr>
        <w:fldChar w:fldCharType="begin"/>
      </w:r>
      <w:r w:rsidR="003D513E">
        <w:rPr>
          <w:color w:val="000000"/>
        </w:rPr>
        <w:instrText xml:space="preserve"> ADDIN ZOTERO_ITEM CSL_CITATION {"citationID":"h6444A4p","properties":{"formattedCitation":"(Oviedo et al., 2013)","plainCitation":"(Oviedo et al., 2013)","noteIndex":0},"citationItems":[{"id":2087,"uris":["http://zotero.org/groups/2241939/items/Y4MMX6A4"],"uri":["http://zotero.org/groups/2241939/items/Y4MMX6A4"],"itemData":{"id":2087,"type":"chapter","title":"The Private Economy of Dehesas and Ranches: Case Studies","container-title":"Mediterranean Oak Woodland Working Landscapes","publisher":"Springer Netherlands","publisher-place":"Dordrecht","page":"389-424","volume":"16","source":"Crossref","event-place":"Dordrecht","abstract":"This chapter’s objective is to measure and analyze total private income and proﬁtability for ﬁve case study privately-owned dehesas and oak woodland ranches. The Agroforestry Accounting System is applied at the farm scale. Results are estimated for individual forestry, game, livestock, crop, and service activities, and for activities aggregated as a whole. The case study application incorporates landowner consumption of private amenities as part of the total income from the dehesa or ranch, showing that these private amenities are the most important contributor to total income, while the contribution from livestock production is low or even negative. Hunting activities show low revenues. Dehesas with a high stocking rate are signiﬁcantly supported by European Union livestock subsidies, while livestock production and other activities on California ranches are more sensitive to market conditions. Both in Spain and California, real proﬁtability is competitive with alternative non-agricultural investments when amenity consumption and increases in land value are considered. These results are relevant to understanding current and future trends in landowner motivations for land and enterprise investment, and should be considered in conservation policy development.","URL":"http://link.springer.com/10.1007/978-94-007-6707-2_13","ISBN":"978-94-007-6706-5","note":"DOI: 10.1007/978-94-007-6707-2_13","shortTitle":"The Private Economy of Dehesas and Ranches","language":"en","editor":[{"family":"Campos","given":"Pablo"},{"family":"Huntsinger","given":"Lynn"},{"family":"Oviedo Pro","given":"Jose Luis"},{"family":"Starrs","given":"Paul F"},{"family":"Diaz","given":"Mario"},{"family":"Standiford","given":"Richard B"},{"family":"Montero","given":"Gregorio"}],"author":[{"family":"Oviedo","given":"José L."},{"family":"Ovando","given":"Paola"},{"family":"Forero","given":"Larry"},{"family":"Huntsinger","given":"Lynn"},{"family":"Álvarez","given":"Alejandro"},{"family":"Mesa","given":"Bruno"},{"family":"Campos","given":"Pablo"}],"issued":{"date-parts":[["2013"]]},"accessed":{"date-parts":[["2019",1,9]]}}}],"schema":"https://github.com/citation-style-language/schema/raw/master/csl-citation.json"} </w:instrText>
      </w:r>
      <w:r w:rsidR="003D513E">
        <w:rPr>
          <w:color w:val="000000"/>
        </w:rPr>
        <w:fldChar w:fldCharType="separate"/>
      </w:r>
      <w:r w:rsidR="003D513E" w:rsidRPr="003D513E">
        <w:rPr>
          <w:rFonts w:cs="Times New Roman"/>
        </w:rPr>
        <w:t>(Oviedo et al., 2013)</w:t>
      </w:r>
      <w:r w:rsidR="003D513E">
        <w:rPr>
          <w:color w:val="000000"/>
        </w:rPr>
        <w:fldChar w:fldCharType="end"/>
      </w:r>
      <w:r w:rsidR="008B1493">
        <w:rPr>
          <w:color w:val="000000"/>
        </w:rPr>
        <w:t xml:space="preserve">. </w:t>
      </w:r>
      <w:r w:rsidR="0011508E">
        <w:rPr>
          <w:color w:val="000000"/>
        </w:rPr>
        <w:t>T</w:t>
      </w:r>
      <w:r w:rsidR="008B1493">
        <w:rPr>
          <w:color w:val="000000"/>
        </w:rPr>
        <w:t>rees</w:t>
      </w:r>
      <w:r w:rsidR="0011508E">
        <w:rPr>
          <w:color w:val="000000"/>
        </w:rPr>
        <w:t xml:space="preserve"> in silvopastures</w:t>
      </w:r>
      <w:r w:rsidR="008B1493">
        <w:rPr>
          <w:color w:val="000000"/>
        </w:rPr>
        <w:t xml:space="preserve"> may be planted or permitted to regenerate naturally.</w:t>
      </w:r>
    </w:p>
    <w:p w14:paraId="454B68E8" w14:textId="4C03D6CB" w:rsidR="008B1493" w:rsidRPr="0028169B" w:rsidRDefault="008B1493" w:rsidP="008B1493">
      <w:pPr>
        <w:rPr>
          <w:color w:val="000000"/>
          <w:lang w:val="da-DK"/>
        </w:rPr>
      </w:pPr>
      <w:r>
        <w:rPr>
          <w:color w:val="000000"/>
        </w:rPr>
        <w:t>Silvopasture enhances the carbon sequestration capacity of pastureland by both increasing soil carbon stocks and storing carbon in the biomass of trees</w:t>
      </w:r>
      <w:r w:rsidR="00473028">
        <w:rPr>
          <w:color w:val="000000"/>
        </w:rPr>
        <w:t xml:space="preserve"> </w:t>
      </w:r>
      <w:r w:rsidR="003D513E">
        <w:rPr>
          <w:color w:val="000000"/>
        </w:rPr>
        <w:fldChar w:fldCharType="begin"/>
      </w:r>
      <w:r w:rsidR="00720E8F">
        <w:rPr>
          <w:color w:val="000000"/>
        </w:rPr>
        <w:instrText xml:space="preserve"> ADDIN ZOTERO_ITEM CSL_CITATION {"citationID":"zIdGmSvu","properties":{"formattedCitation":"(Abberton et al., 2010; Dube et al., 2011)","plainCitation":"(Abberton et al., 2010; Dube et al., 2011)","noteIndex":0},"citationItems":[{"id":2353,"uris":["http://zotero.org/groups/2241939/items/FUFQYXPI"],"uri":["http://zotero.org/groups/2241939/items/FUFQYXPI"],"itemData":{"id":2353,"type":"article-journal","title":"Plant Production and Protection Division Food and Agriculture Organization of the United Nations (FAO)","page":"342","source":"Zotero","language":"en","author":[{"family":"Abberton","given":"Michael"},{"family":"Conant","given":"Richard"},{"family":"Batello","given":"Caterina"}],"issued":{"date-parts":[["2010"]]}}},{"id":3117,"uris":["http://zotero.org/groups/2241939/items/9W8Z7LGR"],"uri":["http://zotero.org/groups/2241939/items/9W8Z7LGR"],"itemData":{"id":3117,"type":"chapter","title":"Carbon sequestration potential of silvopastoral and other land use systems in the Chilean Patagonia","container-title":"Carbon sequestration potential of agroforestry systems","publisher":"Springer","page":"101–127","author":[{"family":"Dube","given":"Francis"},{"family":"Thevathasan","given":"Naresh V"},{"family":"Zagal","given":"Erick"},{"family":"Gordon","given":"Andrew M"},{"family":"Stolpe","given":"Neal B"},{"family":"Espinosa","given":"Miguel"}],"issued":{"date-parts":[["2011"]]}}}],"schema":"https://github.com/citation-style-language/schema/raw/master/csl-citation.json"} </w:instrText>
      </w:r>
      <w:r w:rsidR="003D513E">
        <w:rPr>
          <w:color w:val="000000"/>
        </w:rPr>
        <w:fldChar w:fldCharType="separate"/>
      </w:r>
      <w:r w:rsidR="00720E8F" w:rsidRPr="00720E8F">
        <w:rPr>
          <w:rFonts w:cs="Times New Roman"/>
        </w:rPr>
        <w:t>(Abberton et al., 2010; Dube et al., 2011)</w:t>
      </w:r>
      <w:r w:rsidR="003D513E">
        <w:rPr>
          <w:color w:val="000000"/>
        </w:rPr>
        <w:fldChar w:fldCharType="end"/>
      </w:r>
      <w:r>
        <w:rPr>
          <w:color w:val="000000"/>
        </w:rPr>
        <w:t>. Pasture is often degraded, meaning its net primary productivity (NPP), a measure of the amount of carbon an ecosystem produces, is lower than it could be. Integrating trees into pasture may both increase the system’s NPP while also enhancing processes in soil that stabilize and sequester carbon. Numerous studies have shown that following implementation, silvopasture systems have increased</w:t>
      </w:r>
      <w:r w:rsidR="0097765A">
        <w:rPr>
          <w:color w:val="000000"/>
        </w:rPr>
        <w:t xml:space="preserve"> total carbon (e.g. biomass and</w:t>
      </w:r>
      <w:r>
        <w:rPr>
          <w:color w:val="000000"/>
        </w:rPr>
        <w:t xml:space="preserve"> soil carbon</w:t>
      </w:r>
      <w:r w:rsidR="0097765A">
        <w:rPr>
          <w:color w:val="000000"/>
        </w:rPr>
        <w:t>)</w:t>
      </w:r>
      <w:r>
        <w:rPr>
          <w:color w:val="000000"/>
        </w:rPr>
        <w:t xml:space="preserve"> relative to their starting point or control systems that do not include trees</w:t>
      </w:r>
      <w:r w:rsidR="00402C80">
        <w:rPr>
          <w:color w:val="000000"/>
        </w:rPr>
        <w:t xml:space="preserve"> </w:t>
      </w:r>
      <w:r w:rsidR="00270719">
        <w:rPr>
          <w:color w:val="000000"/>
        </w:rPr>
        <w:fldChar w:fldCharType="begin"/>
      </w:r>
      <w:r w:rsidR="00270719">
        <w:rPr>
          <w:color w:val="000000"/>
        </w:rPr>
        <w:instrText xml:space="preserve"> ADDIN ZOTERO_ITEM CSL_CITATION {"citationID":"tAVOqReX","properties":{"formattedCitation":"(Andrade et al., 2008; Fern\\uc0\\u225{}ndez-N\\uc0\\u250{}\\uc0\\u241{}ez et al., 2010; Ibrahim et al., 2007)","plainCitation":"(Andrade et al., 2008; Fernández-Núñez et al., 2010; Ibrahim et al., 2007)","noteIndex":0},"citationItems":[{"id":2015,"uris":["http://zotero.org/groups/2241939/items/IP9LFWAC"],"uri":["http://zotero.org/groups/2241939/items/IP9LFWAC"],"itemData":{"id":2015,"type":"article-journal","title":"Growth, production and carbon sequestration of silvopastoral systems with native timber species in the dry lowlands of Costa Rica","container-title":"Plant and Soil","page":"11-22","volume":"308","issue":"1-2","source":"Crossref","DOI":"10.1007/s11104-008-9600-x","ISSN":"0032-079X, 1573-5036","language":"en","author":[{"family":"Andrade","given":"Hernán J."},{"family":"Brook","given":"Robert"},{"family":"Ibrahim","given":"Muhammad"}],"issued":{"date-parts":[["2008",7]]}}},{"id":2033,"uris":["http://zotero.org/groups/2241939/items/WNBLBH6G"],"uri":["http://zotero.org/groups/2241939/items/WNBLBH6G"],"itemData":{"id":2033,"type":"article-journal","title":"Carbon allocation dynamics one decade after afforestation with Pinus radiata D. Don and Betula alba L. under two stand densities in NW Spain","container-title":"Ecological Engineering","page":"876-890","volume":"36","issue":"7","source":"Crossref","abstract":"Silvopastoral systems can contribute to the mitigation of climate change by functioning as sinks for greenhouse gases better than exclusively agricultural systems. Tree species, density, and an adequate management of the pasture carrying capacity contribute to the capacity of carbon sequestration. In this study, the capacities for carbon sequestration in silvopastoral systems that were established with two different forest species (Pinus radiata D. Don and Betula alba L.) and at two distinct densities (833 and 2500 trees ha−1) were evaluated. Tree, litterfall, pasture and soil carbon storage determinations were carried out to deliver carbon sequestration in the different pools within the ﬁrst 11 years of a plantation establishment. The results show that the global capacity for carbon sequestration in silvopastoral systems with pine canopy was higher than with birch cover. Independently of the forest species, the capacity for carbon sequestration increased when the systems were established at higher plantation densities. There were found strong differences in the relative proportions of carbon in each component of the system (litterfall, tree, pasture and soil). The soil component was found to be most important in the case of the broadleaf forest established at low density. The establishment of a silvopastoral system enhanced soil carbon storage, since afforestation was carried out, which results in a more enduring storage capacity compared with treeless areas.","DOI":"10.1016/j.ecoleng.2010.03.007","ISSN":"09258574","language":"en","author":[{"family":"Fernández-Núñez","given":"E."},{"family":"Rigueiro-Rodríguez","given":"A."},{"family":"Mosquera-Losada","given":"M.R."}],"issued":{"date-parts":[["2010",7]]}}},{"id":1867,"uris":["http://zotero.org/groups/2241939/items/3GLJ8D8W"],"uri":["http://zotero.org/groups/2241939/items/3GLJ8D8W"],"itemData":{"id":1867,"type":"article-journal","title":"Almacenamiento de carbono en el suelo y la biomasa arbórea en sistemas de usos de la tierra en paisajes ganaderos de Colombia, Costa Rica y Nicaragua","page":"10","source":"Zotero","abstract":"Although the capacity of forests and some silvopastoral systems to store carbon is well known, there is little information about their potential to sequester carbon in soil and tree biomass in the main land uses in landscapes dominated by cattle. We estimated the storage of soil organic carbon (SOC) and tree biomass carbon in different land</w:instrText>
      </w:r>
      <w:r w:rsidR="00270719" w:rsidRPr="0028169B">
        <w:rPr>
          <w:color w:val="000000"/>
          <w:lang w:val="da-DK"/>
        </w:rPr>
        <w:instrText xml:space="preserve"> uses in Colombia, Costa Rica and Nicaragua. The land uses evaluated were degraded pasture, native pasture and improved pasture with and without trees, fodder bank, forest plantation, riparian forest and secondary forest. Soil samples were taken to determine SOC and the bulk density was measured. The amount of C stored in soil was adjusted by soil mass. Carbon in tree biomass was estimated using temporal plots where diameter at breast height was measured, and the carbon stored was calculated using allometric equations. The secondary forest was the land use with more carbon stored (both in soil and trees) in Costa Rica and Nicaragua; in Colombia, it was the riparian forest. Degraded pasture was the land use with less carbon in all three countries. Our results show that in the three agricultural landscapes studied, degraded pastures had significantly lower C stocks compared to improved pastures with trees and forest systems, and that there are good opportunities for C sequestration in agricultural landscapes dominated by cattle.","language":"es","author":[{"family":"Ibrahim","given":"Muhammad"},{"family":"Chacón","given":"Mario"},{"family":"Cuartas","given":"César"},{"family":"Naranjo","given":"Juan"},{"family":"Ponce","given":"Guillermo"},{"family":"Vega","given":"Pedro"},{"family":"Casasola","given":"Francisco"},{"family":"Rojas","given":"Jairo"}],"issued":{"date-parts":[["2007"]]}}}],"schema":"https://github.com/citation-style-language/schema/raw/master/csl-citation.json"} </w:instrText>
      </w:r>
      <w:r w:rsidR="00270719">
        <w:rPr>
          <w:color w:val="000000"/>
        </w:rPr>
        <w:fldChar w:fldCharType="separate"/>
      </w:r>
      <w:r w:rsidR="00270719" w:rsidRPr="0028169B">
        <w:rPr>
          <w:rFonts w:cs="Times New Roman"/>
          <w:szCs w:val="24"/>
          <w:lang w:val="da-DK"/>
        </w:rPr>
        <w:t>(Andrade et al., 2008; Fernández-Núñez et al., 2010; Ibrahim et al., 2007)</w:t>
      </w:r>
      <w:r w:rsidR="00270719">
        <w:rPr>
          <w:color w:val="000000"/>
        </w:rPr>
        <w:fldChar w:fldCharType="end"/>
      </w:r>
      <w:r w:rsidR="00270719" w:rsidRPr="0028169B">
        <w:rPr>
          <w:color w:val="000000"/>
          <w:lang w:val="da-DK"/>
        </w:rPr>
        <w:t>.</w:t>
      </w:r>
    </w:p>
    <w:p w14:paraId="105208A3" w14:textId="4A160D77" w:rsidR="002318F7" w:rsidRDefault="00712070" w:rsidP="008B1493">
      <w:pPr>
        <w:rPr>
          <w:color w:val="000000"/>
        </w:rPr>
      </w:pPr>
      <w:r>
        <w:rPr>
          <w:color w:val="000000"/>
        </w:rPr>
        <w:lastRenderedPageBreak/>
        <w:t xml:space="preserve">Recent global estimates suggest that </w:t>
      </w:r>
      <w:r w:rsidR="00974D0C">
        <w:rPr>
          <w:color w:val="000000"/>
        </w:rPr>
        <w:t xml:space="preserve">silvopastures occupy </w:t>
      </w:r>
      <w:r>
        <w:rPr>
          <w:color w:val="000000"/>
        </w:rPr>
        <w:t>as much as 550 million hectares, making it the second most widespread form of agroforestry</w:t>
      </w:r>
      <w:r w:rsidR="00974D0C">
        <w:rPr>
          <w:color w:val="000000"/>
        </w:rPr>
        <w:t xml:space="preserve"> worldwide</w:t>
      </w:r>
      <w:r>
        <w:rPr>
          <w:color w:val="000000"/>
        </w:rPr>
        <w:t xml:space="preserve"> </w:t>
      </w:r>
      <w:r w:rsidR="00FC1270">
        <w:rPr>
          <w:color w:val="000000"/>
        </w:rPr>
        <w:fldChar w:fldCharType="begin"/>
      </w:r>
      <w:r w:rsidR="00FC1270">
        <w:rPr>
          <w:color w:val="000000"/>
        </w:rPr>
        <w:instrText xml:space="preserve"> ADDIN ZOTERO_ITEM CSL_CITATION {"citationID":"Zow8LjCH","properties":{"formattedCitation":"(Lal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FC1270">
        <w:rPr>
          <w:color w:val="000000"/>
        </w:rPr>
        <w:fldChar w:fldCharType="separate"/>
      </w:r>
      <w:r w:rsidR="00FC1270" w:rsidRPr="00FC1270">
        <w:rPr>
          <w:rFonts w:cs="Times New Roman"/>
        </w:rPr>
        <w:t>(Lal et al., 2018)</w:t>
      </w:r>
      <w:r w:rsidR="00FC1270">
        <w:rPr>
          <w:color w:val="000000"/>
        </w:rPr>
        <w:fldChar w:fldCharType="end"/>
      </w:r>
      <w:r>
        <w:rPr>
          <w:color w:val="000000"/>
        </w:rPr>
        <w:t xml:space="preserve">. </w:t>
      </w:r>
      <w:r w:rsidR="008B1493">
        <w:rPr>
          <w:color w:val="000000"/>
        </w:rPr>
        <w:t>S</w:t>
      </w:r>
      <w:r>
        <w:rPr>
          <w:color w:val="000000"/>
        </w:rPr>
        <w:t>ilvopastures are</w:t>
      </w:r>
      <w:r w:rsidR="00974D0C">
        <w:rPr>
          <w:color w:val="000000"/>
        </w:rPr>
        <w:t xml:space="preserve"> most prevalent in </w:t>
      </w:r>
      <w:r>
        <w:rPr>
          <w:color w:val="000000"/>
        </w:rPr>
        <w:t>temperate humid</w:t>
      </w:r>
      <w:r w:rsidR="00974D0C">
        <w:rPr>
          <w:color w:val="000000"/>
        </w:rPr>
        <w:t xml:space="preserve"> or semi-arid</w:t>
      </w:r>
      <w:r>
        <w:rPr>
          <w:color w:val="000000"/>
        </w:rPr>
        <w:t xml:space="preserve"> climates</w:t>
      </w:r>
      <w:r w:rsidR="00974D0C">
        <w:rPr>
          <w:color w:val="000000"/>
        </w:rPr>
        <w:t>, although they are also found in cool temperate regions</w:t>
      </w:r>
      <w:r>
        <w:rPr>
          <w:color w:val="000000"/>
        </w:rPr>
        <w:t xml:space="preserve">. </w:t>
      </w:r>
      <w:r w:rsidR="008B1493">
        <w:rPr>
          <w:color w:val="000000"/>
        </w:rPr>
        <w:t xml:space="preserve">Other key areas where silvopasture </w:t>
      </w:r>
      <w:r w:rsidR="006A555F">
        <w:rPr>
          <w:color w:val="000000"/>
        </w:rPr>
        <w:t xml:space="preserve">are </w:t>
      </w:r>
      <w:r w:rsidR="008B1493">
        <w:rPr>
          <w:color w:val="000000"/>
        </w:rPr>
        <w:t>found include Spain and Portugal with 5.5 million ha, Central America with 9.2 million ha, and Chile with 1.5 million ha</w:t>
      </w:r>
      <w:r w:rsidR="003A489C">
        <w:rPr>
          <w:color w:val="000000"/>
        </w:rPr>
        <w:t xml:space="preserve"> </w:t>
      </w:r>
      <w:r w:rsidR="00FC1270">
        <w:rPr>
          <w:color w:val="000000"/>
        </w:rPr>
        <w:fldChar w:fldCharType="begin"/>
      </w:r>
      <w:r w:rsidR="00FC1270">
        <w:rPr>
          <w:color w:val="000000"/>
        </w:rPr>
        <w:instrText xml:space="preserve"> ADDIN ZOTERO_ITEM CSL_CITATION {"citationID":"azuwYHx9","properties":{"formattedCitation":"(Nair, 2012; Toensmeier, 2016)","plainCitation":"(Nair, 2012; Toensmeier, 2016)","noteIndex":0},"citationItems":[{"id":567,"uris":["http://zotero.org/groups/2241939/items/ZK3QWW72"],"uri":["http://zotero.org/groups/2241939/items/ZK3QWW72"],"itemData":{"id":567,"type":"chapter","title":"Climate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FC1270">
        <w:rPr>
          <w:color w:val="000000"/>
        </w:rPr>
        <w:fldChar w:fldCharType="separate"/>
      </w:r>
      <w:r w:rsidR="00FC1270" w:rsidRPr="00FC1270">
        <w:rPr>
          <w:rFonts w:cs="Times New Roman"/>
        </w:rPr>
        <w:t>(Nair, 2012; Toensmeier, 2016)</w:t>
      </w:r>
      <w:r w:rsidR="00FC1270">
        <w:rPr>
          <w:color w:val="000000"/>
        </w:rPr>
        <w:fldChar w:fldCharType="end"/>
      </w:r>
      <w:r w:rsidR="00FE17C5">
        <w:rPr>
          <w:color w:val="000000"/>
        </w:rPr>
        <w:t>, as well as Argentina, parts of Australia, New Zealand and North America.</w:t>
      </w:r>
    </w:p>
    <w:p w14:paraId="385E69FA" w14:textId="77777777" w:rsidR="008B1493" w:rsidRDefault="008B1493" w:rsidP="008B1493">
      <w:pPr>
        <w:rPr>
          <w:b/>
          <w:i/>
          <w:color w:val="000000"/>
        </w:rPr>
      </w:pPr>
      <w:r>
        <w:rPr>
          <w:b/>
          <w:i/>
          <w:color w:val="000000"/>
        </w:rPr>
        <w:t>High Sequestration Rates</w:t>
      </w:r>
    </w:p>
    <w:p w14:paraId="19147C8E" w14:textId="27C160C0" w:rsidR="008B1493" w:rsidRDefault="008B1493" w:rsidP="008B1493">
      <w:pPr>
        <w:spacing w:after="0"/>
      </w:pPr>
      <w:r>
        <w:t xml:space="preserve">Annual sequestration rates for silvopasture are very high when compared to managed grazing alone </w:t>
      </w:r>
      <w:r w:rsidR="00FC1270">
        <w:fldChar w:fldCharType="begin"/>
      </w:r>
      <w:r w:rsidR="00FC1270">
        <w:instrText xml:space="preserve"> ADDIN ZOTERO_ITEM CSL_CITATION {"citationID":"cq0sgmJj","properties":{"formattedCitation":"(Toensmeier,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FC1270">
        <w:fldChar w:fldCharType="separate"/>
      </w:r>
      <w:r w:rsidR="00FC1270" w:rsidRPr="00FC1270">
        <w:rPr>
          <w:rFonts w:cs="Times New Roman"/>
        </w:rPr>
        <w:t>(Toensmeier, 2016)</w:t>
      </w:r>
      <w:r w:rsidR="00FC1270">
        <w:fldChar w:fldCharType="end"/>
      </w:r>
      <w:r w:rsidRPr="005F09E1">
        <w:t xml:space="preserve">. Table </w:t>
      </w:r>
      <w:r w:rsidR="005F09E1" w:rsidRPr="005F09E1">
        <w:t>1.1</w:t>
      </w:r>
      <w:r w:rsidR="00025EF0">
        <w:t xml:space="preserve"> average</w:t>
      </w:r>
      <w:r w:rsidR="005F09E1" w:rsidRPr="005F09E1">
        <w:t xml:space="preserve"> </w:t>
      </w:r>
      <w:r w:rsidRPr="005F09E1">
        <w:t>sequestration rate</w:t>
      </w:r>
      <w:r w:rsidR="00025EF0">
        <w:t>s</w:t>
      </w:r>
      <w:r w:rsidRPr="005F09E1">
        <w:t xml:space="preserve"> of 4.8 </w:t>
      </w:r>
      <w:r w:rsidR="00025EF0">
        <w:t xml:space="preserve">t/ha/yr </w:t>
      </w:r>
      <w:r w:rsidRPr="005F09E1">
        <w:t xml:space="preserve">for silvopasture </w:t>
      </w:r>
      <w:r w:rsidR="00025EF0">
        <w:t xml:space="preserve">systems </w:t>
      </w:r>
      <w:r w:rsidRPr="005F09E1">
        <w:t>versus 1.4 for managed grazing</w:t>
      </w:r>
      <w:r w:rsidR="00025EF0">
        <w:t xml:space="preserve"> systems, based on Drawdown model results</w:t>
      </w:r>
      <w:r w:rsidRPr="005F09E1">
        <w:t>. Table</w:t>
      </w:r>
      <w:r w:rsidR="005F09E1" w:rsidRPr="003D513E">
        <w:t xml:space="preserve"> </w:t>
      </w:r>
      <w:r w:rsidR="005F09E1" w:rsidRPr="005F09E1">
        <w:t>1.2</w:t>
      </w:r>
      <w:r w:rsidRPr="005F09E1">
        <w:t xml:space="preserve"> shows silvopasture</w:t>
      </w:r>
      <w:r>
        <w:t xml:space="preserve"> sequestration rates by region from</w:t>
      </w:r>
      <w:r w:rsidR="00FC1270">
        <w:t xml:space="preserve"> </w:t>
      </w:r>
      <w:r w:rsidR="00FC1270">
        <w:fldChar w:fldCharType="begin"/>
      </w:r>
      <w:r w:rsidR="00FC1270">
        <w:instrText xml:space="preserve"> ADDIN ZOTERO_ITEM CSL_CITATION {"citationID":"ylQa0sUp","properties":{"formattedCitation":"(Feliciano et al, 2018)","plainCitation":"(Feliciano et al, 2018)","noteIndex":0},"citationItems":[{"id":416,"uris":["http://zotero.org/groups/2241939/items/26IH9QEB"],"uri":["http://zotero.org/groups/2241939/items/26IH9QEB"],"itemData":{"id":416,"type":"article-journal","title":"Which agroforestry options give the greatest soil and above ground carbon benefits in different world regions?","container-title":"Agriculture, Ecosystems &amp; Environment","page":"117-129","volume":"254","author":[{"family":"Feliciano et al","given":""}],"issued":{"date-parts":[["2018"]]}}}],"schema":"https://github.com/citation-style-language/schema/raw/master/csl-citation.json"} </w:instrText>
      </w:r>
      <w:r w:rsidR="00FC1270">
        <w:fldChar w:fldCharType="separate"/>
      </w:r>
      <w:r w:rsidR="00FC1270" w:rsidRPr="00FC1270">
        <w:rPr>
          <w:rFonts w:cs="Times New Roman"/>
        </w:rPr>
        <w:t>(Feliciano et al, 2018)</w:t>
      </w:r>
      <w:r w:rsidR="00FC1270">
        <w:fldChar w:fldCharType="end"/>
      </w:r>
      <w:r>
        <w:t>, which was published after Drawdown</w:t>
      </w:r>
      <w:r w:rsidR="006A555F">
        <w:t>’s initial models,</w:t>
      </w:r>
      <w:r>
        <w:t xml:space="preserve"> but demonstrates very high sequestration rates for Asia and Latin America. Indeed</w:t>
      </w:r>
      <w:r w:rsidR="00AF4483">
        <w:t>,</w:t>
      </w:r>
      <w:r w:rsidR="00A84A65">
        <w:t xml:space="preserve"> sequestration </w:t>
      </w:r>
      <w:r w:rsidR="00854D3E">
        <w:t xml:space="preserve">potential and </w:t>
      </w:r>
      <w:r w:rsidR="00A84A65">
        <w:t>rates for</w:t>
      </w:r>
      <w:r>
        <w:t xml:space="preserve"> silvopastur</w:t>
      </w:r>
      <w:r w:rsidR="003B3993">
        <w:t>e systems</w:t>
      </w:r>
      <w:r>
        <w:t xml:space="preserve"> are among the highest of any </w:t>
      </w:r>
      <w:r w:rsidR="00854D3E">
        <w:t xml:space="preserve">existing </w:t>
      </w:r>
      <w:r>
        <w:t>agricultural practice</w:t>
      </w:r>
      <w:r w:rsidR="00743347">
        <w:t>.</w:t>
      </w:r>
    </w:p>
    <w:p w14:paraId="41FB1A2B" w14:textId="77777777" w:rsidR="008B1493" w:rsidRDefault="008B1493" w:rsidP="008B1493">
      <w:pPr>
        <w:spacing w:after="0"/>
      </w:pPr>
    </w:p>
    <w:p w14:paraId="24A797F2" w14:textId="1FEE2C20" w:rsidR="00C954E0" w:rsidRDefault="00C954E0" w:rsidP="00C954E0">
      <w:pPr>
        <w:pStyle w:val="Caption"/>
        <w:keepNext/>
        <w:spacing w:line="240" w:lineRule="auto"/>
        <w:contextualSpacing/>
        <w:rPr>
          <w:b/>
          <w:iCs w:val="0"/>
          <w:color w:val="auto"/>
          <w:sz w:val="20"/>
          <w:szCs w:val="22"/>
        </w:rPr>
      </w:pPr>
      <w:bookmarkStart w:id="7" w:name="_Toc18448121"/>
      <w:r w:rsidRPr="003D513E">
        <w:rPr>
          <w:b/>
          <w:iCs w:val="0"/>
          <w:color w:val="auto"/>
          <w:sz w:val="20"/>
          <w:szCs w:val="22"/>
        </w:rPr>
        <w:t xml:space="preserve">Table </w:t>
      </w:r>
      <w:r w:rsidR="00B037A8">
        <w:rPr>
          <w:b/>
          <w:iCs w:val="0"/>
          <w:color w:val="auto"/>
          <w:sz w:val="20"/>
          <w:szCs w:val="22"/>
        </w:rPr>
        <w:fldChar w:fldCharType="begin"/>
      </w:r>
      <w:r w:rsidR="00B037A8">
        <w:rPr>
          <w:b/>
          <w:iCs w:val="0"/>
          <w:color w:val="auto"/>
          <w:sz w:val="20"/>
          <w:szCs w:val="22"/>
        </w:rPr>
        <w:instrText xml:space="preserve"> STYLEREF 1 \s </w:instrText>
      </w:r>
      <w:r w:rsidR="00B037A8">
        <w:rPr>
          <w:b/>
          <w:iCs w:val="0"/>
          <w:color w:val="auto"/>
          <w:sz w:val="20"/>
          <w:szCs w:val="22"/>
        </w:rPr>
        <w:fldChar w:fldCharType="separate"/>
      </w:r>
      <w:r w:rsidR="00614A66">
        <w:rPr>
          <w:b/>
          <w:iCs w:val="0"/>
          <w:noProof/>
          <w:color w:val="auto"/>
          <w:sz w:val="20"/>
          <w:szCs w:val="22"/>
        </w:rPr>
        <w:t>1</w:t>
      </w:r>
      <w:r w:rsidR="00B037A8">
        <w:rPr>
          <w:b/>
          <w:iCs w:val="0"/>
          <w:color w:val="auto"/>
          <w:sz w:val="20"/>
          <w:szCs w:val="22"/>
        </w:rPr>
        <w:fldChar w:fldCharType="end"/>
      </w:r>
      <w:r w:rsidR="00B037A8">
        <w:rPr>
          <w:b/>
          <w:iCs w:val="0"/>
          <w:color w:val="auto"/>
          <w:sz w:val="20"/>
          <w:szCs w:val="22"/>
        </w:rPr>
        <w:t>.</w:t>
      </w:r>
      <w:r w:rsidR="00B037A8">
        <w:rPr>
          <w:b/>
          <w:iCs w:val="0"/>
          <w:color w:val="auto"/>
          <w:sz w:val="20"/>
          <w:szCs w:val="22"/>
        </w:rPr>
        <w:fldChar w:fldCharType="begin"/>
      </w:r>
      <w:r w:rsidR="00B037A8">
        <w:rPr>
          <w:b/>
          <w:iCs w:val="0"/>
          <w:color w:val="auto"/>
          <w:sz w:val="20"/>
          <w:szCs w:val="22"/>
        </w:rPr>
        <w:instrText xml:space="preserve"> SEQ Table \* ARABIC \s 1 </w:instrText>
      </w:r>
      <w:r w:rsidR="00B037A8">
        <w:rPr>
          <w:b/>
          <w:iCs w:val="0"/>
          <w:color w:val="auto"/>
          <w:sz w:val="20"/>
          <w:szCs w:val="22"/>
        </w:rPr>
        <w:fldChar w:fldCharType="separate"/>
      </w:r>
      <w:r w:rsidR="00614A66">
        <w:rPr>
          <w:b/>
          <w:iCs w:val="0"/>
          <w:noProof/>
          <w:color w:val="auto"/>
          <w:sz w:val="20"/>
          <w:szCs w:val="22"/>
        </w:rPr>
        <w:t>1</w:t>
      </w:r>
      <w:r w:rsidR="00B037A8">
        <w:rPr>
          <w:b/>
          <w:iCs w:val="0"/>
          <w:color w:val="auto"/>
          <w:sz w:val="20"/>
          <w:szCs w:val="22"/>
        </w:rPr>
        <w:fldChar w:fldCharType="end"/>
      </w:r>
      <w:r w:rsidRPr="003D513E">
        <w:rPr>
          <w:b/>
          <w:iCs w:val="0"/>
          <w:color w:val="auto"/>
          <w:sz w:val="20"/>
          <w:szCs w:val="22"/>
        </w:rPr>
        <w:t xml:space="preserve"> Sequestration rates</w:t>
      </w:r>
      <w:r w:rsidR="00500D9C">
        <w:rPr>
          <w:b/>
          <w:iCs w:val="0"/>
          <w:color w:val="auto"/>
          <w:sz w:val="20"/>
          <w:szCs w:val="22"/>
        </w:rPr>
        <w:t xml:space="preserve"> (in </w:t>
      </w:r>
      <w:r w:rsidR="00025EF0">
        <w:rPr>
          <w:b/>
          <w:iCs w:val="0"/>
          <w:color w:val="auto"/>
          <w:sz w:val="20"/>
          <w:szCs w:val="22"/>
        </w:rPr>
        <w:t>t/ha/yr)</w:t>
      </w:r>
      <w:r w:rsidRPr="003D513E">
        <w:rPr>
          <w:b/>
          <w:iCs w:val="0"/>
          <w:color w:val="auto"/>
          <w:sz w:val="20"/>
          <w:szCs w:val="22"/>
        </w:rPr>
        <w:t xml:space="preserve"> of silvopasture vs. managed grazing</w:t>
      </w:r>
      <w:bookmarkEnd w:id="7"/>
    </w:p>
    <w:p w14:paraId="3AC93B33" w14:textId="30616D37" w:rsidR="00C954E0" w:rsidRPr="003D513E" w:rsidRDefault="00C954E0" w:rsidP="003D513E">
      <w:pPr>
        <w:pStyle w:val="Caption"/>
        <w:keepNext/>
        <w:spacing w:line="240" w:lineRule="auto"/>
        <w:contextualSpacing/>
        <w:rPr>
          <w:b/>
          <w:sz w:val="20"/>
        </w:rPr>
      </w:pPr>
      <w:r w:rsidRPr="003D513E">
        <w:rPr>
          <w:i w:val="0"/>
          <w:color w:val="auto"/>
          <w:sz w:val="20"/>
          <w:szCs w:val="20"/>
        </w:rPr>
        <w:t>Source: Drawdown model results.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0"/>
        <w:gridCol w:w="1876"/>
        <w:gridCol w:w="1869"/>
        <w:gridCol w:w="1869"/>
        <w:gridCol w:w="1716"/>
      </w:tblGrid>
      <w:tr w:rsidR="008B1493" w14:paraId="676B143A" w14:textId="77777777" w:rsidTr="008B1493">
        <w:tc>
          <w:tcPr>
            <w:tcW w:w="2020" w:type="dxa"/>
          </w:tcPr>
          <w:p w14:paraId="18CCC29F" w14:textId="77777777" w:rsidR="008B1493" w:rsidRDefault="008B1493" w:rsidP="008B1493">
            <w:pPr>
              <w:rPr>
                <w:b/>
                <w:sz w:val="20"/>
                <w:szCs w:val="20"/>
              </w:rPr>
            </w:pPr>
            <w:r>
              <w:rPr>
                <w:b/>
                <w:sz w:val="20"/>
                <w:szCs w:val="20"/>
              </w:rPr>
              <w:t>Solution</w:t>
            </w:r>
          </w:p>
        </w:tc>
        <w:tc>
          <w:tcPr>
            <w:tcW w:w="1876" w:type="dxa"/>
          </w:tcPr>
          <w:p w14:paraId="025309DC" w14:textId="77777777" w:rsidR="008B1493" w:rsidRDefault="008B1493" w:rsidP="008B1493">
            <w:pPr>
              <w:rPr>
                <w:b/>
                <w:sz w:val="20"/>
                <w:szCs w:val="20"/>
              </w:rPr>
            </w:pPr>
            <w:r>
              <w:rPr>
                <w:b/>
                <w:sz w:val="20"/>
                <w:szCs w:val="20"/>
              </w:rPr>
              <w:t>Model Input</w:t>
            </w:r>
          </w:p>
        </w:tc>
        <w:tc>
          <w:tcPr>
            <w:tcW w:w="1869" w:type="dxa"/>
          </w:tcPr>
          <w:p w14:paraId="46ADE3F6" w14:textId="77777777" w:rsidR="008B1493" w:rsidRDefault="008B1493" w:rsidP="008B1493">
            <w:pPr>
              <w:rPr>
                <w:b/>
                <w:sz w:val="20"/>
                <w:szCs w:val="20"/>
              </w:rPr>
            </w:pPr>
            <w:r>
              <w:rPr>
                <w:b/>
                <w:sz w:val="20"/>
                <w:szCs w:val="20"/>
              </w:rPr>
              <w:t>Low of Range</w:t>
            </w:r>
          </w:p>
        </w:tc>
        <w:tc>
          <w:tcPr>
            <w:tcW w:w="1869" w:type="dxa"/>
          </w:tcPr>
          <w:p w14:paraId="180F2033" w14:textId="77777777" w:rsidR="008B1493" w:rsidRDefault="008B1493" w:rsidP="008B1493">
            <w:pPr>
              <w:rPr>
                <w:b/>
                <w:sz w:val="20"/>
                <w:szCs w:val="20"/>
              </w:rPr>
            </w:pPr>
            <w:r>
              <w:rPr>
                <w:b/>
                <w:sz w:val="20"/>
                <w:szCs w:val="20"/>
              </w:rPr>
              <w:t>High of Range</w:t>
            </w:r>
          </w:p>
        </w:tc>
        <w:tc>
          <w:tcPr>
            <w:tcW w:w="1716" w:type="dxa"/>
          </w:tcPr>
          <w:p w14:paraId="1753081E" w14:textId="77777777" w:rsidR="008B1493" w:rsidRDefault="008B1493" w:rsidP="008B1493">
            <w:pPr>
              <w:rPr>
                <w:b/>
                <w:sz w:val="20"/>
                <w:szCs w:val="20"/>
              </w:rPr>
            </w:pPr>
            <w:r>
              <w:rPr>
                <w:b/>
                <w:sz w:val="20"/>
                <w:szCs w:val="20"/>
              </w:rPr>
              <w:t># of Data Points</w:t>
            </w:r>
          </w:p>
        </w:tc>
      </w:tr>
      <w:tr w:rsidR="008B1493" w14:paraId="11F10EF6" w14:textId="77777777" w:rsidTr="008B1493">
        <w:tc>
          <w:tcPr>
            <w:tcW w:w="2020" w:type="dxa"/>
          </w:tcPr>
          <w:p w14:paraId="11F3F128" w14:textId="77777777" w:rsidR="008B1493" w:rsidRDefault="008B1493" w:rsidP="008B1493">
            <w:pPr>
              <w:rPr>
                <w:sz w:val="20"/>
                <w:szCs w:val="20"/>
              </w:rPr>
            </w:pPr>
            <w:r>
              <w:rPr>
                <w:sz w:val="20"/>
                <w:szCs w:val="20"/>
              </w:rPr>
              <w:t>Managed Grazing</w:t>
            </w:r>
          </w:p>
        </w:tc>
        <w:tc>
          <w:tcPr>
            <w:tcW w:w="1876" w:type="dxa"/>
          </w:tcPr>
          <w:p w14:paraId="56773737" w14:textId="77777777" w:rsidR="008B1493" w:rsidRDefault="008B1493" w:rsidP="008B1493">
            <w:pPr>
              <w:rPr>
                <w:sz w:val="20"/>
                <w:szCs w:val="20"/>
              </w:rPr>
            </w:pPr>
            <w:r>
              <w:rPr>
                <w:sz w:val="20"/>
                <w:szCs w:val="20"/>
              </w:rPr>
              <w:t>1.4</w:t>
            </w:r>
          </w:p>
        </w:tc>
        <w:tc>
          <w:tcPr>
            <w:tcW w:w="1869" w:type="dxa"/>
          </w:tcPr>
          <w:p w14:paraId="368E0ED9" w14:textId="77777777" w:rsidR="008B1493" w:rsidRDefault="008B1493" w:rsidP="008B1493">
            <w:pPr>
              <w:rPr>
                <w:sz w:val="20"/>
                <w:szCs w:val="20"/>
              </w:rPr>
            </w:pPr>
            <w:r>
              <w:rPr>
                <w:sz w:val="20"/>
                <w:szCs w:val="20"/>
              </w:rPr>
              <w:t>-0.2</w:t>
            </w:r>
          </w:p>
        </w:tc>
        <w:tc>
          <w:tcPr>
            <w:tcW w:w="1869" w:type="dxa"/>
          </w:tcPr>
          <w:p w14:paraId="02DC7AD2" w14:textId="77777777" w:rsidR="008B1493" w:rsidRDefault="008B1493" w:rsidP="008B1493">
            <w:pPr>
              <w:rPr>
                <w:sz w:val="20"/>
                <w:szCs w:val="20"/>
              </w:rPr>
            </w:pPr>
            <w:r>
              <w:rPr>
                <w:sz w:val="20"/>
                <w:szCs w:val="20"/>
              </w:rPr>
              <w:t>3.0</w:t>
            </w:r>
          </w:p>
        </w:tc>
        <w:tc>
          <w:tcPr>
            <w:tcW w:w="1716" w:type="dxa"/>
          </w:tcPr>
          <w:p w14:paraId="5F60718D" w14:textId="77777777" w:rsidR="008B1493" w:rsidRDefault="008B1493" w:rsidP="008B1493">
            <w:pPr>
              <w:rPr>
                <w:sz w:val="20"/>
                <w:szCs w:val="20"/>
              </w:rPr>
            </w:pPr>
            <w:r>
              <w:rPr>
                <w:sz w:val="20"/>
                <w:szCs w:val="20"/>
              </w:rPr>
              <w:t>49</w:t>
            </w:r>
          </w:p>
        </w:tc>
      </w:tr>
      <w:tr w:rsidR="008B1493" w14:paraId="41511C4C" w14:textId="77777777" w:rsidTr="008B1493">
        <w:tc>
          <w:tcPr>
            <w:tcW w:w="2020" w:type="dxa"/>
          </w:tcPr>
          <w:p w14:paraId="67D7AA96" w14:textId="77777777" w:rsidR="008B1493" w:rsidRDefault="008B1493" w:rsidP="008B1493">
            <w:pPr>
              <w:rPr>
                <w:sz w:val="20"/>
                <w:szCs w:val="20"/>
              </w:rPr>
            </w:pPr>
            <w:r>
              <w:rPr>
                <w:sz w:val="20"/>
                <w:szCs w:val="20"/>
              </w:rPr>
              <w:t>Silvopasture</w:t>
            </w:r>
          </w:p>
        </w:tc>
        <w:tc>
          <w:tcPr>
            <w:tcW w:w="1876" w:type="dxa"/>
          </w:tcPr>
          <w:p w14:paraId="57B837AC" w14:textId="77777777" w:rsidR="008B1493" w:rsidRDefault="008B1493" w:rsidP="008B1493">
            <w:pPr>
              <w:rPr>
                <w:sz w:val="20"/>
                <w:szCs w:val="20"/>
              </w:rPr>
            </w:pPr>
            <w:r>
              <w:rPr>
                <w:sz w:val="20"/>
                <w:szCs w:val="20"/>
              </w:rPr>
              <w:t>4.8</w:t>
            </w:r>
          </w:p>
        </w:tc>
        <w:tc>
          <w:tcPr>
            <w:tcW w:w="1869" w:type="dxa"/>
          </w:tcPr>
          <w:p w14:paraId="513CB300" w14:textId="77777777" w:rsidR="008B1493" w:rsidRDefault="008B1493" w:rsidP="008B1493">
            <w:pPr>
              <w:rPr>
                <w:sz w:val="20"/>
                <w:szCs w:val="20"/>
              </w:rPr>
            </w:pPr>
            <w:r>
              <w:rPr>
                <w:sz w:val="20"/>
                <w:szCs w:val="20"/>
              </w:rPr>
              <w:t>1.0</w:t>
            </w:r>
          </w:p>
        </w:tc>
        <w:tc>
          <w:tcPr>
            <w:tcW w:w="1869" w:type="dxa"/>
          </w:tcPr>
          <w:p w14:paraId="20ABE7F6" w14:textId="77777777" w:rsidR="008B1493" w:rsidRDefault="008B1493" w:rsidP="008B1493">
            <w:pPr>
              <w:rPr>
                <w:sz w:val="20"/>
                <w:szCs w:val="20"/>
              </w:rPr>
            </w:pPr>
            <w:r>
              <w:rPr>
                <w:sz w:val="20"/>
                <w:szCs w:val="20"/>
              </w:rPr>
              <w:t>8.6</w:t>
            </w:r>
          </w:p>
        </w:tc>
        <w:tc>
          <w:tcPr>
            <w:tcW w:w="1716" w:type="dxa"/>
          </w:tcPr>
          <w:p w14:paraId="7DEE7D7D" w14:textId="77777777" w:rsidR="008B1493" w:rsidRDefault="008B1493" w:rsidP="008B1493">
            <w:pPr>
              <w:rPr>
                <w:sz w:val="20"/>
                <w:szCs w:val="20"/>
              </w:rPr>
            </w:pPr>
            <w:r>
              <w:rPr>
                <w:sz w:val="20"/>
                <w:szCs w:val="20"/>
              </w:rPr>
              <w:t>26</w:t>
            </w:r>
          </w:p>
        </w:tc>
      </w:tr>
    </w:tbl>
    <w:p w14:paraId="1CCFA51A" w14:textId="77777777" w:rsidR="006A555F" w:rsidRDefault="006A555F" w:rsidP="008B1493">
      <w:pPr>
        <w:rPr>
          <w:b/>
          <w:i/>
          <w:color w:val="000000"/>
        </w:rPr>
      </w:pPr>
      <w:bookmarkStart w:id="8" w:name="_2et92p0" w:colFirst="0" w:colLast="0"/>
      <w:bookmarkEnd w:id="8"/>
    </w:p>
    <w:p w14:paraId="78D1858C" w14:textId="51D5CAF7" w:rsidR="00C954E0" w:rsidRDefault="00C954E0" w:rsidP="00C954E0">
      <w:pPr>
        <w:spacing w:line="240" w:lineRule="auto"/>
        <w:contextualSpacing/>
        <w:rPr>
          <w:i/>
          <w:color w:val="000000"/>
          <w:sz w:val="20"/>
          <w:szCs w:val="20"/>
        </w:rPr>
      </w:pPr>
      <w:bookmarkStart w:id="9" w:name="_Toc18448122"/>
      <w:r w:rsidRPr="003D513E">
        <w:rPr>
          <w:b/>
          <w:i/>
          <w:sz w:val="20"/>
        </w:rPr>
        <w:t xml:space="preserve">Table </w:t>
      </w:r>
      <w:r w:rsidR="00B037A8">
        <w:rPr>
          <w:b/>
          <w:i/>
          <w:sz w:val="20"/>
        </w:rPr>
        <w:fldChar w:fldCharType="begin"/>
      </w:r>
      <w:r w:rsidR="00B037A8">
        <w:rPr>
          <w:b/>
          <w:i/>
          <w:sz w:val="20"/>
        </w:rPr>
        <w:instrText xml:space="preserve"> STYLEREF 1 \s </w:instrText>
      </w:r>
      <w:r w:rsidR="00B037A8">
        <w:rPr>
          <w:b/>
          <w:i/>
          <w:sz w:val="20"/>
        </w:rPr>
        <w:fldChar w:fldCharType="separate"/>
      </w:r>
      <w:r w:rsidR="00614A66">
        <w:rPr>
          <w:b/>
          <w:i/>
          <w:noProof/>
          <w:sz w:val="20"/>
        </w:rPr>
        <w:t>1</w:t>
      </w:r>
      <w:r w:rsidR="00B037A8">
        <w:rPr>
          <w:b/>
          <w:i/>
          <w:sz w:val="20"/>
        </w:rPr>
        <w:fldChar w:fldCharType="end"/>
      </w:r>
      <w:r w:rsidR="00B037A8">
        <w:rPr>
          <w:b/>
          <w:i/>
          <w:sz w:val="20"/>
        </w:rPr>
        <w:t>.</w:t>
      </w:r>
      <w:r w:rsidR="00B037A8">
        <w:rPr>
          <w:b/>
          <w:i/>
          <w:sz w:val="20"/>
        </w:rPr>
        <w:fldChar w:fldCharType="begin"/>
      </w:r>
      <w:r w:rsidR="00B037A8">
        <w:rPr>
          <w:b/>
          <w:i/>
          <w:sz w:val="20"/>
        </w:rPr>
        <w:instrText xml:space="preserve"> SEQ Table \* ARABIC \s 1 </w:instrText>
      </w:r>
      <w:r w:rsidR="00B037A8">
        <w:rPr>
          <w:b/>
          <w:i/>
          <w:sz w:val="20"/>
        </w:rPr>
        <w:fldChar w:fldCharType="separate"/>
      </w:r>
      <w:r w:rsidR="00614A66">
        <w:rPr>
          <w:b/>
          <w:i/>
          <w:noProof/>
          <w:sz w:val="20"/>
        </w:rPr>
        <w:t>2</w:t>
      </w:r>
      <w:r w:rsidR="00B037A8">
        <w:rPr>
          <w:b/>
          <w:i/>
          <w:sz w:val="20"/>
        </w:rPr>
        <w:fldChar w:fldCharType="end"/>
      </w:r>
      <w:r w:rsidRPr="003D513E">
        <w:rPr>
          <w:b/>
          <w:i/>
          <w:sz w:val="20"/>
        </w:rPr>
        <w:t xml:space="preserve"> Mean above-ground biomass (ABG) and soil organic carbon (SOC) sequestration rates by region</w:t>
      </w:r>
      <w:r>
        <w:rPr>
          <w:b/>
          <w:iCs/>
          <w:color w:val="000000"/>
          <w:sz w:val="20"/>
          <w:szCs w:val="20"/>
        </w:rPr>
        <w:br/>
      </w:r>
      <w:r w:rsidRPr="009408D1">
        <w:rPr>
          <w:color w:val="000000"/>
          <w:sz w:val="20"/>
          <w:szCs w:val="20"/>
        </w:rPr>
        <w:t xml:space="preserve">Adapted from Tables 3 and 4 from </w:t>
      </w:r>
      <w:r w:rsidR="00FC1270">
        <w:rPr>
          <w:color w:val="000000"/>
          <w:sz w:val="20"/>
          <w:szCs w:val="20"/>
        </w:rPr>
        <w:fldChar w:fldCharType="begin"/>
      </w:r>
      <w:r w:rsidR="00FC1270">
        <w:rPr>
          <w:color w:val="000000"/>
          <w:sz w:val="20"/>
          <w:szCs w:val="20"/>
        </w:rPr>
        <w:instrText xml:space="preserve"> ADDIN ZOTERO_ITEM CSL_CITATION {"citationID":"UmqHxSF4","properties":{"formattedCitation":"(Feliciano et al, 2018)","plainCitation":"(Feliciano et al, 2018)","noteIndex":0},"citationItems":[{"id":416,"uris":["http://zotero.org/groups/2241939/items/26IH9QEB"],"uri":["http://zotero.org/groups/2241939/items/26IH9QEB"],"itemData":{"id":416,"type":"article-journal","title":"Which agroforestry options give the greatest soil and above ground carbon benefits in different world regions?","container-title":"Agriculture, Ecosystems &amp; Environment","page":"117-129","volume":"254","author":[{"family":"Feliciano et al","given":""}],"issued":{"date-parts":[["2018"]]}}}],"schema":"https://github.com/citation-style-language/schema/raw/master/csl-citation.json"} </w:instrText>
      </w:r>
      <w:r w:rsidR="00FC1270">
        <w:rPr>
          <w:color w:val="000000"/>
          <w:sz w:val="20"/>
          <w:szCs w:val="20"/>
        </w:rPr>
        <w:fldChar w:fldCharType="separate"/>
      </w:r>
      <w:r w:rsidR="00A06F54" w:rsidRPr="00A06F54">
        <w:rPr>
          <w:rFonts w:cs="Times New Roman"/>
          <w:sz w:val="20"/>
        </w:rPr>
        <w:t>(Feliciano et al, 2018)</w:t>
      </w:r>
      <w:r w:rsidR="00FC1270">
        <w:rPr>
          <w:color w:val="000000"/>
          <w:sz w:val="20"/>
          <w:szCs w:val="20"/>
        </w:rPr>
        <w:fldChar w:fldCharType="end"/>
      </w:r>
      <w:r w:rsidR="00FC1270">
        <w:rPr>
          <w:color w:val="000000"/>
          <w:sz w:val="20"/>
          <w:szCs w:val="20"/>
        </w:rPr>
        <w:t xml:space="preserve">, </w:t>
      </w:r>
      <w:r w:rsidRPr="009408D1">
        <w:rPr>
          <w:color w:val="000000"/>
          <w:sz w:val="20"/>
          <w:szCs w:val="20"/>
        </w:rPr>
        <w:t xml:space="preserve">which was published after the publication of </w:t>
      </w:r>
      <w:r w:rsidRPr="009408D1">
        <w:rPr>
          <w:i/>
          <w:color w:val="000000"/>
          <w:sz w:val="20"/>
          <w:szCs w:val="20"/>
        </w:rPr>
        <w:t>Drawdown.</w:t>
      </w:r>
      <w:bookmarkEnd w:id="9"/>
    </w:p>
    <w:p w14:paraId="33B7D241" w14:textId="723AF303" w:rsidR="00C954E0" w:rsidRPr="00C954E0" w:rsidRDefault="00C954E0" w:rsidP="003D513E">
      <w:pPr>
        <w:spacing w:line="240" w:lineRule="auto"/>
        <w:contextualSpacing/>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350"/>
        <w:gridCol w:w="990"/>
        <w:gridCol w:w="1080"/>
        <w:gridCol w:w="1440"/>
        <w:gridCol w:w="810"/>
        <w:gridCol w:w="1237"/>
        <w:gridCol w:w="1368"/>
      </w:tblGrid>
      <w:tr w:rsidR="008B1493" w14:paraId="22BAF2D4" w14:textId="77777777" w:rsidTr="003D513E">
        <w:tc>
          <w:tcPr>
            <w:tcW w:w="1075" w:type="dxa"/>
            <w:vMerge w:val="restart"/>
          </w:tcPr>
          <w:p w14:paraId="2798A6D2" w14:textId="77777777" w:rsidR="008B1493" w:rsidRDefault="008B1493" w:rsidP="003D513E">
            <w:pPr>
              <w:jc w:val="center"/>
              <w:rPr>
                <w:b/>
                <w:color w:val="000000"/>
                <w:sz w:val="20"/>
                <w:szCs w:val="20"/>
              </w:rPr>
            </w:pPr>
            <w:r>
              <w:rPr>
                <w:b/>
                <w:color w:val="000000"/>
                <w:sz w:val="20"/>
                <w:szCs w:val="20"/>
              </w:rPr>
              <w:t>Continent</w:t>
            </w:r>
          </w:p>
        </w:tc>
        <w:tc>
          <w:tcPr>
            <w:tcW w:w="1350" w:type="dxa"/>
            <w:vMerge w:val="restart"/>
          </w:tcPr>
          <w:p w14:paraId="26449F9B" w14:textId="77777777" w:rsidR="008B1493" w:rsidRDefault="008B1493" w:rsidP="003D513E">
            <w:pPr>
              <w:jc w:val="center"/>
              <w:rPr>
                <w:b/>
                <w:color w:val="000000"/>
                <w:sz w:val="20"/>
                <w:szCs w:val="20"/>
              </w:rPr>
            </w:pPr>
            <w:r>
              <w:rPr>
                <w:b/>
                <w:color w:val="000000"/>
                <w:sz w:val="20"/>
                <w:szCs w:val="20"/>
              </w:rPr>
              <w:t>Agroforestry System Type</w:t>
            </w:r>
          </w:p>
        </w:tc>
        <w:tc>
          <w:tcPr>
            <w:tcW w:w="3510" w:type="dxa"/>
            <w:gridSpan w:val="3"/>
          </w:tcPr>
          <w:p w14:paraId="31ABC491" w14:textId="77777777" w:rsidR="008B1493" w:rsidRDefault="008B1493" w:rsidP="003D513E">
            <w:pPr>
              <w:jc w:val="center"/>
              <w:rPr>
                <w:b/>
                <w:color w:val="000000"/>
                <w:sz w:val="20"/>
                <w:szCs w:val="20"/>
              </w:rPr>
            </w:pPr>
            <w:r>
              <w:rPr>
                <w:b/>
                <w:color w:val="000000"/>
                <w:sz w:val="20"/>
                <w:szCs w:val="20"/>
              </w:rPr>
              <w:t>Aboveground Biomass Sequestration Rate t/ha/yr</w:t>
            </w:r>
          </w:p>
        </w:tc>
        <w:tc>
          <w:tcPr>
            <w:tcW w:w="3415" w:type="dxa"/>
            <w:gridSpan w:val="3"/>
          </w:tcPr>
          <w:p w14:paraId="25A0BE8D" w14:textId="77777777" w:rsidR="008B1493" w:rsidRDefault="008B1493" w:rsidP="003D513E">
            <w:pPr>
              <w:jc w:val="center"/>
              <w:rPr>
                <w:b/>
                <w:color w:val="000000"/>
                <w:sz w:val="20"/>
                <w:szCs w:val="20"/>
              </w:rPr>
            </w:pPr>
            <w:r>
              <w:rPr>
                <w:b/>
                <w:color w:val="000000"/>
                <w:sz w:val="20"/>
                <w:szCs w:val="20"/>
              </w:rPr>
              <w:t>Soil Organic Carbon Sequestration Rate t/ha/yr</w:t>
            </w:r>
          </w:p>
        </w:tc>
      </w:tr>
      <w:tr w:rsidR="008B1493" w14:paraId="40B13AA1" w14:textId="77777777" w:rsidTr="003D513E">
        <w:tc>
          <w:tcPr>
            <w:tcW w:w="1075" w:type="dxa"/>
            <w:vMerge/>
          </w:tcPr>
          <w:p w14:paraId="79026D0E" w14:textId="77777777" w:rsidR="008B1493" w:rsidRDefault="008B1493" w:rsidP="008B1493">
            <w:pPr>
              <w:widowControl w:val="0"/>
              <w:pBdr>
                <w:top w:val="nil"/>
                <w:left w:val="nil"/>
                <w:bottom w:val="nil"/>
                <w:right w:val="nil"/>
                <w:between w:val="nil"/>
              </w:pBdr>
              <w:spacing w:line="276" w:lineRule="auto"/>
              <w:rPr>
                <w:b/>
                <w:color w:val="000000"/>
                <w:sz w:val="20"/>
                <w:szCs w:val="20"/>
              </w:rPr>
            </w:pPr>
          </w:p>
        </w:tc>
        <w:tc>
          <w:tcPr>
            <w:tcW w:w="1350" w:type="dxa"/>
            <w:vMerge/>
          </w:tcPr>
          <w:p w14:paraId="6D1E9B35" w14:textId="77777777" w:rsidR="008B1493" w:rsidRDefault="008B1493" w:rsidP="008B1493">
            <w:pPr>
              <w:widowControl w:val="0"/>
              <w:pBdr>
                <w:top w:val="nil"/>
                <w:left w:val="nil"/>
                <w:bottom w:val="nil"/>
                <w:right w:val="nil"/>
                <w:between w:val="nil"/>
              </w:pBdr>
              <w:spacing w:line="276" w:lineRule="auto"/>
              <w:rPr>
                <w:b/>
                <w:color w:val="000000"/>
                <w:sz w:val="20"/>
                <w:szCs w:val="20"/>
              </w:rPr>
            </w:pPr>
          </w:p>
        </w:tc>
        <w:tc>
          <w:tcPr>
            <w:tcW w:w="990" w:type="dxa"/>
          </w:tcPr>
          <w:p w14:paraId="4A353A76" w14:textId="77777777" w:rsidR="008B1493" w:rsidRDefault="008B1493" w:rsidP="003D513E">
            <w:pPr>
              <w:jc w:val="center"/>
              <w:rPr>
                <w:b/>
                <w:color w:val="000000"/>
                <w:sz w:val="20"/>
                <w:szCs w:val="20"/>
              </w:rPr>
            </w:pPr>
            <w:r>
              <w:rPr>
                <w:b/>
                <w:color w:val="000000"/>
                <w:sz w:val="20"/>
                <w:szCs w:val="20"/>
              </w:rPr>
              <w:t>Mean</w:t>
            </w:r>
          </w:p>
        </w:tc>
        <w:tc>
          <w:tcPr>
            <w:tcW w:w="1080" w:type="dxa"/>
          </w:tcPr>
          <w:p w14:paraId="7710A498" w14:textId="77777777" w:rsidR="008B1493" w:rsidRDefault="008B1493" w:rsidP="003D513E">
            <w:pPr>
              <w:jc w:val="center"/>
              <w:rPr>
                <w:b/>
                <w:color w:val="000000"/>
                <w:sz w:val="20"/>
                <w:szCs w:val="20"/>
              </w:rPr>
            </w:pPr>
            <w:r>
              <w:rPr>
                <w:b/>
                <w:color w:val="000000"/>
                <w:sz w:val="20"/>
                <w:szCs w:val="20"/>
              </w:rPr>
              <w:t>Variance</w:t>
            </w:r>
          </w:p>
        </w:tc>
        <w:tc>
          <w:tcPr>
            <w:tcW w:w="1440" w:type="dxa"/>
          </w:tcPr>
          <w:p w14:paraId="5487525B" w14:textId="77777777" w:rsidR="008B1493" w:rsidRDefault="008B1493" w:rsidP="003D513E">
            <w:pPr>
              <w:jc w:val="center"/>
              <w:rPr>
                <w:b/>
                <w:color w:val="000000"/>
                <w:sz w:val="20"/>
                <w:szCs w:val="20"/>
              </w:rPr>
            </w:pPr>
            <w:r>
              <w:rPr>
                <w:b/>
                <w:color w:val="000000"/>
                <w:sz w:val="20"/>
                <w:szCs w:val="20"/>
              </w:rPr>
              <w:t># of Observations</w:t>
            </w:r>
          </w:p>
        </w:tc>
        <w:tc>
          <w:tcPr>
            <w:tcW w:w="810" w:type="dxa"/>
          </w:tcPr>
          <w:p w14:paraId="666F3FB4" w14:textId="77777777" w:rsidR="008B1493" w:rsidRDefault="008B1493" w:rsidP="003D513E">
            <w:pPr>
              <w:jc w:val="center"/>
              <w:rPr>
                <w:b/>
                <w:color w:val="000000"/>
                <w:sz w:val="20"/>
                <w:szCs w:val="20"/>
              </w:rPr>
            </w:pPr>
            <w:r>
              <w:rPr>
                <w:b/>
                <w:color w:val="000000"/>
                <w:sz w:val="20"/>
                <w:szCs w:val="20"/>
              </w:rPr>
              <w:t>Mean</w:t>
            </w:r>
          </w:p>
        </w:tc>
        <w:tc>
          <w:tcPr>
            <w:tcW w:w="1237" w:type="dxa"/>
          </w:tcPr>
          <w:p w14:paraId="54EBC3A4" w14:textId="77777777" w:rsidR="008B1493" w:rsidRDefault="008B1493" w:rsidP="003D513E">
            <w:pPr>
              <w:jc w:val="center"/>
              <w:rPr>
                <w:b/>
                <w:color w:val="000000"/>
                <w:sz w:val="20"/>
                <w:szCs w:val="20"/>
              </w:rPr>
            </w:pPr>
            <w:r>
              <w:rPr>
                <w:b/>
                <w:color w:val="000000"/>
                <w:sz w:val="20"/>
                <w:szCs w:val="20"/>
              </w:rPr>
              <w:t>Variance</w:t>
            </w:r>
          </w:p>
        </w:tc>
        <w:tc>
          <w:tcPr>
            <w:tcW w:w="1368" w:type="dxa"/>
          </w:tcPr>
          <w:p w14:paraId="73BD4FF4" w14:textId="77777777" w:rsidR="008B1493" w:rsidRDefault="008B1493" w:rsidP="003D513E">
            <w:pPr>
              <w:jc w:val="center"/>
              <w:rPr>
                <w:b/>
                <w:color w:val="000000"/>
                <w:sz w:val="20"/>
                <w:szCs w:val="20"/>
              </w:rPr>
            </w:pPr>
            <w:r>
              <w:rPr>
                <w:b/>
                <w:color w:val="000000"/>
                <w:sz w:val="20"/>
                <w:szCs w:val="20"/>
              </w:rPr>
              <w:t># of Observations</w:t>
            </w:r>
          </w:p>
        </w:tc>
      </w:tr>
      <w:tr w:rsidR="008B1493" w14:paraId="2EA176AC" w14:textId="77777777" w:rsidTr="003D513E">
        <w:trPr>
          <w:trHeight w:val="300"/>
        </w:trPr>
        <w:tc>
          <w:tcPr>
            <w:tcW w:w="1075" w:type="dxa"/>
          </w:tcPr>
          <w:p w14:paraId="6A22F70C" w14:textId="77777777" w:rsidR="008B1493" w:rsidRDefault="008B1493" w:rsidP="008B1493">
            <w:pPr>
              <w:rPr>
                <w:color w:val="000000"/>
                <w:sz w:val="20"/>
                <w:szCs w:val="20"/>
              </w:rPr>
            </w:pPr>
            <w:r>
              <w:rPr>
                <w:color w:val="000000"/>
                <w:sz w:val="20"/>
                <w:szCs w:val="20"/>
              </w:rPr>
              <w:t>Africa</w:t>
            </w:r>
          </w:p>
        </w:tc>
        <w:tc>
          <w:tcPr>
            <w:tcW w:w="1350" w:type="dxa"/>
          </w:tcPr>
          <w:p w14:paraId="5A6C68EA" w14:textId="77777777" w:rsidR="008B1493" w:rsidRDefault="008B1493" w:rsidP="008B1493">
            <w:pPr>
              <w:rPr>
                <w:color w:val="000000"/>
                <w:sz w:val="20"/>
                <w:szCs w:val="20"/>
              </w:rPr>
            </w:pPr>
            <w:r>
              <w:rPr>
                <w:color w:val="000000"/>
                <w:sz w:val="20"/>
                <w:szCs w:val="20"/>
              </w:rPr>
              <w:t>silvopasture</w:t>
            </w:r>
          </w:p>
        </w:tc>
        <w:tc>
          <w:tcPr>
            <w:tcW w:w="990" w:type="dxa"/>
          </w:tcPr>
          <w:p w14:paraId="0C01C5E2" w14:textId="77777777" w:rsidR="008B1493" w:rsidRDefault="008B1493" w:rsidP="003D513E">
            <w:pPr>
              <w:jc w:val="center"/>
              <w:rPr>
                <w:color w:val="000000"/>
                <w:sz w:val="20"/>
                <w:szCs w:val="20"/>
              </w:rPr>
            </w:pPr>
            <w:r>
              <w:rPr>
                <w:color w:val="000000"/>
                <w:sz w:val="20"/>
                <w:szCs w:val="20"/>
              </w:rPr>
              <w:t>.15</w:t>
            </w:r>
          </w:p>
        </w:tc>
        <w:tc>
          <w:tcPr>
            <w:tcW w:w="1080" w:type="dxa"/>
          </w:tcPr>
          <w:p w14:paraId="3B111FA8" w14:textId="77777777" w:rsidR="008B1493" w:rsidRDefault="008B1493" w:rsidP="003D513E">
            <w:pPr>
              <w:jc w:val="center"/>
              <w:rPr>
                <w:color w:val="000000"/>
                <w:sz w:val="20"/>
                <w:szCs w:val="20"/>
              </w:rPr>
            </w:pPr>
            <w:r>
              <w:rPr>
                <w:color w:val="000000"/>
                <w:sz w:val="20"/>
                <w:szCs w:val="20"/>
              </w:rPr>
              <w:t>-</w:t>
            </w:r>
          </w:p>
        </w:tc>
        <w:tc>
          <w:tcPr>
            <w:tcW w:w="1440" w:type="dxa"/>
          </w:tcPr>
          <w:p w14:paraId="1AF83E7C" w14:textId="77777777" w:rsidR="008B1493" w:rsidRDefault="008B1493" w:rsidP="003D513E">
            <w:pPr>
              <w:jc w:val="center"/>
              <w:rPr>
                <w:color w:val="000000"/>
                <w:sz w:val="20"/>
                <w:szCs w:val="20"/>
              </w:rPr>
            </w:pPr>
            <w:r>
              <w:rPr>
                <w:color w:val="000000"/>
                <w:sz w:val="20"/>
                <w:szCs w:val="20"/>
              </w:rPr>
              <w:t>1</w:t>
            </w:r>
          </w:p>
        </w:tc>
        <w:tc>
          <w:tcPr>
            <w:tcW w:w="810" w:type="dxa"/>
          </w:tcPr>
          <w:p w14:paraId="4081D557" w14:textId="77777777" w:rsidR="008B1493" w:rsidRDefault="008B1493" w:rsidP="003D513E">
            <w:pPr>
              <w:jc w:val="center"/>
              <w:rPr>
                <w:color w:val="000000"/>
                <w:sz w:val="20"/>
                <w:szCs w:val="20"/>
              </w:rPr>
            </w:pPr>
            <w:r>
              <w:rPr>
                <w:color w:val="000000"/>
                <w:sz w:val="20"/>
                <w:szCs w:val="20"/>
              </w:rPr>
              <w:t>-</w:t>
            </w:r>
          </w:p>
        </w:tc>
        <w:tc>
          <w:tcPr>
            <w:tcW w:w="1237" w:type="dxa"/>
          </w:tcPr>
          <w:p w14:paraId="4FE25095" w14:textId="77777777" w:rsidR="008B1493" w:rsidRDefault="008B1493" w:rsidP="003D513E">
            <w:pPr>
              <w:jc w:val="center"/>
              <w:rPr>
                <w:color w:val="000000"/>
                <w:sz w:val="20"/>
                <w:szCs w:val="20"/>
              </w:rPr>
            </w:pPr>
            <w:r>
              <w:rPr>
                <w:color w:val="000000"/>
                <w:sz w:val="20"/>
                <w:szCs w:val="20"/>
              </w:rPr>
              <w:t>-</w:t>
            </w:r>
          </w:p>
        </w:tc>
        <w:tc>
          <w:tcPr>
            <w:tcW w:w="1368" w:type="dxa"/>
          </w:tcPr>
          <w:p w14:paraId="383A4623" w14:textId="77777777" w:rsidR="008B1493" w:rsidRDefault="008B1493" w:rsidP="003D513E">
            <w:pPr>
              <w:jc w:val="center"/>
              <w:rPr>
                <w:color w:val="000000"/>
                <w:sz w:val="20"/>
                <w:szCs w:val="20"/>
              </w:rPr>
            </w:pPr>
            <w:r>
              <w:rPr>
                <w:color w:val="000000"/>
                <w:sz w:val="20"/>
                <w:szCs w:val="20"/>
              </w:rPr>
              <w:t>-</w:t>
            </w:r>
          </w:p>
        </w:tc>
      </w:tr>
      <w:tr w:rsidR="008B1493" w14:paraId="008F2661" w14:textId="77777777" w:rsidTr="003D513E">
        <w:tc>
          <w:tcPr>
            <w:tcW w:w="1075" w:type="dxa"/>
          </w:tcPr>
          <w:p w14:paraId="035262AE" w14:textId="77777777" w:rsidR="008B1493" w:rsidRDefault="008B1493" w:rsidP="008B1493">
            <w:pPr>
              <w:rPr>
                <w:color w:val="000000"/>
                <w:sz w:val="20"/>
                <w:szCs w:val="20"/>
              </w:rPr>
            </w:pPr>
            <w:r>
              <w:rPr>
                <w:color w:val="000000"/>
                <w:sz w:val="20"/>
                <w:szCs w:val="20"/>
              </w:rPr>
              <w:t>Asia</w:t>
            </w:r>
          </w:p>
        </w:tc>
        <w:tc>
          <w:tcPr>
            <w:tcW w:w="1350" w:type="dxa"/>
          </w:tcPr>
          <w:p w14:paraId="0AA0578D" w14:textId="77777777" w:rsidR="008B1493" w:rsidRDefault="008B1493" w:rsidP="008B1493">
            <w:pPr>
              <w:rPr>
                <w:color w:val="000000"/>
                <w:sz w:val="20"/>
                <w:szCs w:val="20"/>
              </w:rPr>
            </w:pPr>
            <w:r>
              <w:rPr>
                <w:color w:val="000000"/>
                <w:sz w:val="20"/>
                <w:szCs w:val="20"/>
              </w:rPr>
              <w:t>silvopasture</w:t>
            </w:r>
          </w:p>
        </w:tc>
        <w:tc>
          <w:tcPr>
            <w:tcW w:w="990" w:type="dxa"/>
          </w:tcPr>
          <w:p w14:paraId="444B6164" w14:textId="77777777" w:rsidR="008B1493" w:rsidRDefault="008B1493" w:rsidP="008B1493">
            <w:pPr>
              <w:rPr>
                <w:color w:val="000000"/>
                <w:sz w:val="20"/>
                <w:szCs w:val="20"/>
              </w:rPr>
            </w:pPr>
            <w:r>
              <w:rPr>
                <w:color w:val="000000"/>
                <w:sz w:val="20"/>
                <w:szCs w:val="20"/>
              </w:rPr>
              <w:t>2.65</w:t>
            </w:r>
          </w:p>
        </w:tc>
        <w:tc>
          <w:tcPr>
            <w:tcW w:w="1080" w:type="dxa"/>
          </w:tcPr>
          <w:p w14:paraId="1AE40766" w14:textId="77777777" w:rsidR="008B1493" w:rsidRDefault="008B1493" w:rsidP="008B1493">
            <w:pPr>
              <w:rPr>
                <w:color w:val="000000"/>
                <w:sz w:val="20"/>
                <w:szCs w:val="20"/>
              </w:rPr>
            </w:pPr>
            <w:r>
              <w:rPr>
                <w:color w:val="000000"/>
                <w:sz w:val="20"/>
                <w:szCs w:val="20"/>
              </w:rPr>
              <w:t>4.35</w:t>
            </w:r>
          </w:p>
        </w:tc>
        <w:tc>
          <w:tcPr>
            <w:tcW w:w="1440" w:type="dxa"/>
          </w:tcPr>
          <w:p w14:paraId="38FC8296" w14:textId="77777777" w:rsidR="008B1493" w:rsidRDefault="008B1493" w:rsidP="008B1493">
            <w:pPr>
              <w:rPr>
                <w:color w:val="000000"/>
                <w:sz w:val="20"/>
                <w:szCs w:val="20"/>
              </w:rPr>
            </w:pPr>
            <w:r>
              <w:rPr>
                <w:color w:val="000000"/>
                <w:sz w:val="20"/>
                <w:szCs w:val="20"/>
              </w:rPr>
              <w:t>7</w:t>
            </w:r>
          </w:p>
        </w:tc>
        <w:tc>
          <w:tcPr>
            <w:tcW w:w="810" w:type="dxa"/>
          </w:tcPr>
          <w:p w14:paraId="4A2A869D" w14:textId="77777777" w:rsidR="008B1493" w:rsidRDefault="008B1493" w:rsidP="008B1493">
            <w:pPr>
              <w:rPr>
                <w:color w:val="000000"/>
                <w:sz w:val="20"/>
                <w:szCs w:val="20"/>
              </w:rPr>
            </w:pPr>
            <w:r>
              <w:rPr>
                <w:color w:val="000000"/>
                <w:sz w:val="20"/>
                <w:szCs w:val="20"/>
              </w:rPr>
              <w:t>6.54</w:t>
            </w:r>
          </w:p>
        </w:tc>
        <w:tc>
          <w:tcPr>
            <w:tcW w:w="1237" w:type="dxa"/>
          </w:tcPr>
          <w:p w14:paraId="5C7B11DF" w14:textId="77777777" w:rsidR="008B1493" w:rsidRDefault="008B1493" w:rsidP="008B1493">
            <w:pPr>
              <w:rPr>
                <w:color w:val="000000"/>
                <w:sz w:val="20"/>
                <w:szCs w:val="20"/>
              </w:rPr>
            </w:pPr>
            <w:r>
              <w:rPr>
                <w:color w:val="000000"/>
                <w:sz w:val="20"/>
                <w:szCs w:val="20"/>
              </w:rPr>
              <w:t>2.99</w:t>
            </w:r>
          </w:p>
        </w:tc>
        <w:tc>
          <w:tcPr>
            <w:tcW w:w="1368" w:type="dxa"/>
          </w:tcPr>
          <w:p w14:paraId="786973DF" w14:textId="77777777" w:rsidR="008B1493" w:rsidRDefault="008B1493" w:rsidP="008B1493">
            <w:pPr>
              <w:rPr>
                <w:color w:val="000000"/>
                <w:sz w:val="20"/>
                <w:szCs w:val="20"/>
              </w:rPr>
            </w:pPr>
            <w:r>
              <w:rPr>
                <w:color w:val="000000"/>
                <w:sz w:val="20"/>
                <w:szCs w:val="20"/>
              </w:rPr>
              <w:t>6</w:t>
            </w:r>
          </w:p>
        </w:tc>
      </w:tr>
      <w:tr w:rsidR="008B1493" w14:paraId="3AB6D049" w14:textId="77777777" w:rsidTr="003D513E">
        <w:tc>
          <w:tcPr>
            <w:tcW w:w="1075" w:type="dxa"/>
          </w:tcPr>
          <w:p w14:paraId="0EC00E2A" w14:textId="77777777" w:rsidR="008B1493" w:rsidRDefault="008B1493" w:rsidP="008B1493">
            <w:pPr>
              <w:rPr>
                <w:color w:val="000000"/>
                <w:sz w:val="20"/>
                <w:szCs w:val="20"/>
              </w:rPr>
            </w:pPr>
            <w:r>
              <w:rPr>
                <w:color w:val="000000"/>
                <w:sz w:val="20"/>
                <w:szCs w:val="20"/>
              </w:rPr>
              <w:t>Australia</w:t>
            </w:r>
          </w:p>
        </w:tc>
        <w:tc>
          <w:tcPr>
            <w:tcW w:w="1350" w:type="dxa"/>
          </w:tcPr>
          <w:p w14:paraId="78EC1A34" w14:textId="77777777" w:rsidR="008B1493" w:rsidRDefault="008B1493" w:rsidP="008B1493">
            <w:pPr>
              <w:rPr>
                <w:color w:val="000000"/>
                <w:sz w:val="20"/>
                <w:szCs w:val="20"/>
              </w:rPr>
            </w:pPr>
            <w:r>
              <w:rPr>
                <w:color w:val="000000"/>
                <w:sz w:val="20"/>
                <w:szCs w:val="20"/>
              </w:rPr>
              <w:t>silvopasture</w:t>
            </w:r>
          </w:p>
        </w:tc>
        <w:tc>
          <w:tcPr>
            <w:tcW w:w="990" w:type="dxa"/>
          </w:tcPr>
          <w:p w14:paraId="14B62408" w14:textId="77777777" w:rsidR="008B1493" w:rsidRDefault="008B1493" w:rsidP="008B1493">
            <w:pPr>
              <w:rPr>
                <w:color w:val="000000"/>
                <w:sz w:val="20"/>
                <w:szCs w:val="20"/>
              </w:rPr>
            </w:pPr>
            <w:r>
              <w:rPr>
                <w:color w:val="000000"/>
                <w:sz w:val="20"/>
                <w:szCs w:val="20"/>
              </w:rPr>
              <w:t>.79</w:t>
            </w:r>
          </w:p>
        </w:tc>
        <w:tc>
          <w:tcPr>
            <w:tcW w:w="1080" w:type="dxa"/>
          </w:tcPr>
          <w:p w14:paraId="2A910EC4" w14:textId="77777777" w:rsidR="008B1493" w:rsidRDefault="008B1493" w:rsidP="008B1493">
            <w:pPr>
              <w:rPr>
                <w:color w:val="000000"/>
                <w:sz w:val="20"/>
                <w:szCs w:val="20"/>
              </w:rPr>
            </w:pPr>
            <w:r>
              <w:rPr>
                <w:color w:val="000000"/>
                <w:sz w:val="20"/>
                <w:szCs w:val="20"/>
              </w:rPr>
              <w:t>-</w:t>
            </w:r>
          </w:p>
        </w:tc>
        <w:tc>
          <w:tcPr>
            <w:tcW w:w="1440" w:type="dxa"/>
          </w:tcPr>
          <w:p w14:paraId="19F03019" w14:textId="77777777" w:rsidR="008B1493" w:rsidRDefault="008B1493" w:rsidP="008B1493">
            <w:pPr>
              <w:rPr>
                <w:color w:val="000000"/>
                <w:sz w:val="20"/>
                <w:szCs w:val="20"/>
              </w:rPr>
            </w:pPr>
            <w:r>
              <w:rPr>
                <w:color w:val="000000"/>
                <w:sz w:val="20"/>
                <w:szCs w:val="20"/>
              </w:rPr>
              <w:t>1</w:t>
            </w:r>
          </w:p>
        </w:tc>
        <w:tc>
          <w:tcPr>
            <w:tcW w:w="810" w:type="dxa"/>
          </w:tcPr>
          <w:p w14:paraId="2E720015" w14:textId="77777777" w:rsidR="008B1493" w:rsidRDefault="008B1493" w:rsidP="008B1493">
            <w:pPr>
              <w:rPr>
                <w:color w:val="000000"/>
                <w:sz w:val="20"/>
                <w:szCs w:val="20"/>
              </w:rPr>
            </w:pPr>
            <w:r>
              <w:rPr>
                <w:color w:val="000000"/>
                <w:sz w:val="20"/>
                <w:szCs w:val="20"/>
              </w:rPr>
              <w:t>-</w:t>
            </w:r>
          </w:p>
        </w:tc>
        <w:tc>
          <w:tcPr>
            <w:tcW w:w="1237" w:type="dxa"/>
          </w:tcPr>
          <w:p w14:paraId="6679E6AA" w14:textId="77777777" w:rsidR="008B1493" w:rsidRDefault="008B1493" w:rsidP="008B1493">
            <w:pPr>
              <w:rPr>
                <w:color w:val="000000"/>
                <w:sz w:val="20"/>
                <w:szCs w:val="20"/>
              </w:rPr>
            </w:pPr>
            <w:r>
              <w:rPr>
                <w:color w:val="000000"/>
                <w:sz w:val="20"/>
                <w:szCs w:val="20"/>
              </w:rPr>
              <w:t>-</w:t>
            </w:r>
          </w:p>
        </w:tc>
        <w:tc>
          <w:tcPr>
            <w:tcW w:w="1368" w:type="dxa"/>
          </w:tcPr>
          <w:p w14:paraId="6D92FB12" w14:textId="77777777" w:rsidR="008B1493" w:rsidRDefault="008B1493" w:rsidP="008B1493">
            <w:pPr>
              <w:rPr>
                <w:color w:val="000000"/>
                <w:sz w:val="20"/>
                <w:szCs w:val="20"/>
              </w:rPr>
            </w:pPr>
            <w:r>
              <w:rPr>
                <w:color w:val="000000"/>
                <w:sz w:val="20"/>
                <w:szCs w:val="20"/>
              </w:rPr>
              <w:t>-</w:t>
            </w:r>
          </w:p>
        </w:tc>
      </w:tr>
      <w:tr w:rsidR="008B1493" w14:paraId="4CCA0F46" w14:textId="77777777" w:rsidTr="003D513E">
        <w:tc>
          <w:tcPr>
            <w:tcW w:w="1075" w:type="dxa"/>
          </w:tcPr>
          <w:p w14:paraId="126145FB" w14:textId="77777777" w:rsidR="008B1493" w:rsidRDefault="008B1493" w:rsidP="008B1493">
            <w:pPr>
              <w:rPr>
                <w:color w:val="000000"/>
                <w:sz w:val="20"/>
                <w:szCs w:val="20"/>
              </w:rPr>
            </w:pPr>
            <w:r>
              <w:rPr>
                <w:color w:val="000000"/>
                <w:sz w:val="20"/>
                <w:szCs w:val="20"/>
              </w:rPr>
              <w:t>Latin America</w:t>
            </w:r>
          </w:p>
        </w:tc>
        <w:tc>
          <w:tcPr>
            <w:tcW w:w="1350" w:type="dxa"/>
          </w:tcPr>
          <w:p w14:paraId="38C67045" w14:textId="77777777" w:rsidR="008B1493" w:rsidRDefault="008B1493" w:rsidP="008B1493">
            <w:pPr>
              <w:rPr>
                <w:color w:val="000000"/>
                <w:sz w:val="20"/>
                <w:szCs w:val="20"/>
              </w:rPr>
            </w:pPr>
            <w:r>
              <w:rPr>
                <w:color w:val="000000"/>
                <w:sz w:val="20"/>
                <w:szCs w:val="20"/>
              </w:rPr>
              <w:t>silvopasture</w:t>
            </w:r>
          </w:p>
        </w:tc>
        <w:tc>
          <w:tcPr>
            <w:tcW w:w="990" w:type="dxa"/>
          </w:tcPr>
          <w:p w14:paraId="2FCDE8D9" w14:textId="77777777" w:rsidR="008B1493" w:rsidRDefault="008B1493" w:rsidP="008B1493">
            <w:pPr>
              <w:rPr>
                <w:color w:val="000000"/>
                <w:sz w:val="20"/>
                <w:szCs w:val="20"/>
              </w:rPr>
            </w:pPr>
            <w:r>
              <w:rPr>
                <w:color w:val="000000"/>
                <w:sz w:val="20"/>
                <w:szCs w:val="20"/>
              </w:rPr>
              <w:t>2.29</w:t>
            </w:r>
          </w:p>
        </w:tc>
        <w:tc>
          <w:tcPr>
            <w:tcW w:w="1080" w:type="dxa"/>
          </w:tcPr>
          <w:p w14:paraId="096AA840" w14:textId="77777777" w:rsidR="008B1493" w:rsidRDefault="008B1493" w:rsidP="008B1493">
            <w:pPr>
              <w:rPr>
                <w:color w:val="000000"/>
                <w:sz w:val="20"/>
                <w:szCs w:val="20"/>
              </w:rPr>
            </w:pPr>
            <w:r>
              <w:rPr>
                <w:color w:val="000000"/>
                <w:sz w:val="20"/>
                <w:szCs w:val="20"/>
              </w:rPr>
              <w:t>.29</w:t>
            </w:r>
          </w:p>
        </w:tc>
        <w:tc>
          <w:tcPr>
            <w:tcW w:w="1440" w:type="dxa"/>
          </w:tcPr>
          <w:p w14:paraId="5BC54370" w14:textId="77777777" w:rsidR="008B1493" w:rsidRDefault="008B1493" w:rsidP="008B1493">
            <w:pPr>
              <w:rPr>
                <w:color w:val="000000"/>
                <w:sz w:val="20"/>
                <w:szCs w:val="20"/>
              </w:rPr>
            </w:pPr>
            <w:r>
              <w:rPr>
                <w:color w:val="000000"/>
                <w:sz w:val="20"/>
                <w:szCs w:val="20"/>
              </w:rPr>
              <w:t>3</w:t>
            </w:r>
          </w:p>
        </w:tc>
        <w:tc>
          <w:tcPr>
            <w:tcW w:w="810" w:type="dxa"/>
          </w:tcPr>
          <w:p w14:paraId="39B915A0" w14:textId="77777777" w:rsidR="008B1493" w:rsidRDefault="008B1493" w:rsidP="008B1493">
            <w:pPr>
              <w:rPr>
                <w:color w:val="000000"/>
                <w:sz w:val="20"/>
                <w:szCs w:val="20"/>
              </w:rPr>
            </w:pPr>
            <w:r>
              <w:rPr>
                <w:color w:val="000000"/>
                <w:sz w:val="20"/>
                <w:szCs w:val="20"/>
              </w:rPr>
              <w:t>6.54</w:t>
            </w:r>
          </w:p>
        </w:tc>
        <w:tc>
          <w:tcPr>
            <w:tcW w:w="1237" w:type="dxa"/>
          </w:tcPr>
          <w:p w14:paraId="0C7F7139" w14:textId="77777777" w:rsidR="008B1493" w:rsidRDefault="008B1493" w:rsidP="008B1493">
            <w:pPr>
              <w:rPr>
                <w:color w:val="000000"/>
                <w:sz w:val="20"/>
                <w:szCs w:val="20"/>
              </w:rPr>
            </w:pPr>
            <w:r>
              <w:rPr>
                <w:color w:val="000000"/>
                <w:sz w:val="20"/>
                <w:szCs w:val="20"/>
              </w:rPr>
              <w:t>2.99</w:t>
            </w:r>
          </w:p>
        </w:tc>
        <w:tc>
          <w:tcPr>
            <w:tcW w:w="1368" w:type="dxa"/>
          </w:tcPr>
          <w:p w14:paraId="10273FDF" w14:textId="77777777" w:rsidR="008B1493" w:rsidRDefault="008B1493" w:rsidP="008B1493">
            <w:pPr>
              <w:rPr>
                <w:color w:val="000000"/>
                <w:sz w:val="20"/>
                <w:szCs w:val="20"/>
              </w:rPr>
            </w:pPr>
            <w:r>
              <w:rPr>
                <w:color w:val="000000"/>
                <w:sz w:val="20"/>
                <w:szCs w:val="20"/>
              </w:rPr>
              <w:t>6</w:t>
            </w:r>
          </w:p>
        </w:tc>
      </w:tr>
      <w:tr w:rsidR="008B1493" w14:paraId="7A258BEC" w14:textId="77777777" w:rsidTr="003D513E">
        <w:tc>
          <w:tcPr>
            <w:tcW w:w="1075" w:type="dxa"/>
          </w:tcPr>
          <w:p w14:paraId="7EB8D248" w14:textId="77777777" w:rsidR="008B1493" w:rsidRDefault="008B1493" w:rsidP="008B1493">
            <w:pPr>
              <w:rPr>
                <w:color w:val="000000"/>
                <w:sz w:val="20"/>
                <w:szCs w:val="20"/>
              </w:rPr>
            </w:pPr>
            <w:r>
              <w:rPr>
                <w:color w:val="000000"/>
                <w:sz w:val="20"/>
                <w:szCs w:val="20"/>
              </w:rPr>
              <w:lastRenderedPageBreak/>
              <w:t>North America</w:t>
            </w:r>
          </w:p>
        </w:tc>
        <w:tc>
          <w:tcPr>
            <w:tcW w:w="1350" w:type="dxa"/>
          </w:tcPr>
          <w:p w14:paraId="13681CE7" w14:textId="77777777" w:rsidR="008B1493" w:rsidRDefault="008B1493" w:rsidP="008B1493">
            <w:pPr>
              <w:rPr>
                <w:color w:val="000000"/>
                <w:sz w:val="20"/>
                <w:szCs w:val="20"/>
              </w:rPr>
            </w:pPr>
            <w:r>
              <w:rPr>
                <w:color w:val="000000"/>
                <w:sz w:val="20"/>
                <w:szCs w:val="20"/>
              </w:rPr>
              <w:t>silvopasture</w:t>
            </w:r>
          </w:p>
        </w:tc>
        <w:tc>
          <w:tcPr>
            <w:tcW w:w="990" w:type="dxa"/>
          </w:tcPr>
          <w:p w14:paraId="1C29906E" w14:textId="77777777" w:rsidR="008B1493" w:rsidRDefault="008B1493" w:rsidP="008B1493">
            <w:pPr>
              <w:rPr>
                <w:color w:val="000000"/>
                <w:sz w:val="20"/>
                <w:szCs w:val="20"/>
              </w:rPr>
            </w:pPr>
            <w:r>
              <w:rPr>
                <w:color w:val="000000"/>
                <w:sz w:val="20"/>
                <w:szCs w:val="20"/>
              </w:rPr>
              <w:t>.52</w:t>
            </w:r>
          </w:p>
        </w:tc>
        <w:tc>
          <w:tcPr>
            <w:tcW w:w="1080" w:type="dxa"/>
          </w:tcPr>
          <w:p w14:paraId="01967C85" w14:textId="77777777" w:rsidR="008B1493" w:rsidRDefault="008B1493" w:rsidP="008B1493">
            <w:pPr>
              <w:rPr>
                <w:color w:val="000000"/>
                <w:sz w:val="20"/>
                <w:szCs w:val="20"/>
              </w:rPr>
            </w:pPr>
            <w:r>
              <w:rPr>
                <w:color w:val="000000"/>
                <w:sz w:val="20"/>
                <w:szCs w:val="20"/>
              </w:rPr>
              <w:t>-</w:t>
            </w:r>
          </w:p>
        </w:tc>
        <w:tc>
          <w:tcPr>
            <w:tcW w:w="1440" w:type="dxa"/>
          </w:tcPr>
          <w:p w14:paraId="0533A268" w14:textId="77777777" w:rsidR="008B1493" w:rsidRDefault="008B1493" w:rsidP="008B1493">
            <w:pPr>
              <w:rPr>
                <w:color w:val="000000"/>
                <w:sz w:val="20"/>
                <w:szCs w:val="20"/>
              </w:rPr>
            </w:pPr>
            <w:r>
              <w:rPr>
                <w:color w:val="000000"/>
                <w:sz w:val="20"/>
                <w:szCs w:val="20"/>
              </w:rPr>
              <w:t>1</w:t>
            </w:r>
          </w:p>
        </w:tc>
        <w:tc>
          <w:tcPr>
            <w:tcW w:w="810" w:type="dxa"/>
          </w:tcPr>
          <w:p w14:paraId="28EA2A14" w14:textId="77777777" w:rsidR="008B1493" w:rsidRDefault="008B1493" w:rsidP="008B1493">
            <w:pPr>
              <w:rPr>
                <w:color w:val="000000"/>
                <w:sz w:val="20"/>
                <w:szCs w:val="20"/>
              </w:rPr>
            </w:pPr>
            <w:r>
              <w:rPr>
                <w:color w:val="000000"/>
                <w:sz w:val="20"/>
                <w:szCs w:val="20"/>
              </w:rPr>
              <w:t>.06</w:t>
            </w:r>
          </w:p>
        </w:tc>
        <w:tc>
          <w:tcPr>
            <w:tcW w:w="1237" w:type="dxa"/>
          </w:tcPr>
          <w:p w14:paraId="3A5D0C61" w14:textId="77777777" w:rsidR="008B1493" w:rsidRDefault="008B1493" w:rsidP="008B1493">
            <w:pPr>
              <w:rPr>
                <w:color w:val="000000"/>
                <w:sz w:val="20"/>
                <w:szCs w:val="20"/>
              </w:rPr>
            </w:pPr>
            <w:r>
              <w:rPr>
                <w:color w:val="000000"/>
                <w:sz w:val="20"/>
                <w:szCs w:val="20"/>
              </w:rPr>
              <w:t>.38</w:t>
            </w:r>
          </w:p>
        </w:tc>
        <w:tc>
          <w:tcPr>
            <w:tcW w:w="1368" w:type="dxa"/>
          </w:tcPr>
          <w:p w14:paraId="1EB0A7E4" w14:textId="77777777" w:rsidR="008B1493" w:rsidRDefault="008B1493" w:rsidP="008B1493">
            <w:pPr>
              <w:rPr>
                <w:color w:val="000000"/>
                <w:sz w:val="20"/>
                <w:szCs w:val="20"/>
              </w:rPr>
            </w:pPr>
            <w:r>
              <w:rPr>
                <w:color w:val="000000"/>
                <w:sz w:val="20"/>
                <w:szCs w:val="20"/>
              </w:rPr>
              <w:t>3</w:t>
            </w:r>
          </w:p>
        </w:tc>
      </w:tr>
    </w:tbl>
    <w:p w14:paraId="0D75E27C" w14:textId="77777777" w:rsidR="008B1493" w:rsidRDefault="008B1493" w:rsidP="008B1493">
      <w:pPr>
        <w:spacing w:after="0"/>
      </w:pPr>
    </w:p>
    <w:p w14:paraId="7E7E6B5C" w14:textId="77777777" w:rsidR="008B1493" w:rsidRDefault="008B1493" w:rsidP="008B1493">
      <w:pPr>
        <w:spacing w:after="0"/>
        <w:rPr>
          <w:b/>
          <w:i/>
          <w:color w:val="000000"/>
        </w:rPr>
      </w:pPr>
      <w:r>
        <w:rPr>
          <w:b/>
          <w:i/>
          <w:color w:val="000000"/>
        </w:rPr>
        <w:t>Lifetime Carbon Stocks</w:t>
      </w:r>
    </w:p>
    <w:p w14:paraId="5A843751" w14:textId="77777777" w:rsidR="003E4A14" w:rsidRDefault="003E4A14" w:rsidP="003E4A14">
      <w:pPr>
        <w:rPr>
          <w:color w:val="000000" w:themeColor="text1"/>
        </w:rPr>
      </w:pPr>
      <w:r>
        <w:rPr>
          <w:color w:val="000000" w:themeColor="text1"/>
        </w:rPr>
        <w:t>Carbon sequestration refers to carbon fixed from the atmosphere over a set period of time. C</w:t>
      </w:r>
      <w:r w:rsidRPr="00D57049">
        <w:rPr>
          <w:color w:val="000000" w:themeColor="text1"/>
        </w:rPr>
        <w:t>arbon stocks</w:t>
      </w:r>
      <w:r>
        <w:rPr>
          <w:color w:val="000000" w:themeColor="text1"/>
        </w:rPr>
        <w:t xml:space="preserve">, on the other hand, </w:t>
      </w:r>
      <w:r w:rsidRPr="00D57049">
        <w:rPr>
          <w:color w:val="000000" w:themeColor="text1"/>
        </w:rPr>
        <w:t xml:space="preserve">are a measure of </w:t>
      </w:r>
      <w:r>
        <w:rPr>
          <w:color w:val="000000" w:themeColor="text1"/>
        </w:rPr>
        <w:t>total</w:t>
      </w:r>
      <w:r w:rsidRPr="00D57049">
        <w:rPr>
          <w:color w:val="000000" w:themeColor="text1"/>
        </w:rPr>
        <w:t xml:space="preserve"> carbo</w:t>
      </w:r>
      <w:r>
        <w:rPr>
          <w:color w:val="000000" w:themeColor="text1"/>
        </w:rPr>
        <w:t>n accumulated in an ecosystem over the course of its lifetime</w:t>
      </w:r>
      <w:r w:rsidRPr="00D57049">
        <w:rPr>
          <w:color w:val="000000" w:themeColor="text1"/>
        </w:rPr>
        <w:t xml:space="preserve">, after years of carbon sequestration. </w:t>
      </w:r>
      <w:r>
        <w:rPr>
          <w:color w:val="000000" w:themeColor="text1"/>
        </w:rPr>
        <w:t>T</w:t>
      </w:r>
      <w:r w:rsidRPr="00D57049">
        <w:rPr>
          <w:color w:val="000000" w:themeColor="text1"/>
        </w:rPr>
        <w:t xml:space="preserve">he Drawdown model does not account for </w:t>
      </w:r>
      <w:r>
        <w:rPr>
          <w:color w:val="000000" w:themeColor="text1"/>
        </w:rPr>
        <w:t xml:space="preserve">existing </w:t>
      </w:r>
      <w:r w:rsidRPr="00D57049">
        <w:rPr>
          <w:color w:val="000000" w:themeColor="text1"/>
        </w:rPr>
        <w:t>carbon stocks</w:t>
      </w:r>
      <w:r>
        <w:rPr>
          <w:color w:val="000000" w:themeColor="text1"/>
        </w:rPr>
        <w:t xml:space="preserve"> and all calculations include only</w:t>
      </w:r>
      <w:r w:rsidRPr="00D57049">
        <w:rPr>
          <w:color w:val="000000" w:themeColor="text1"/>
        </w:rPr>
        <w:t xml:space="preserve"> annual sequestration rates</w:t>
      </w:r>
      <w:r>
        <w:rPr>
          <w:color w:val="000000" w:themeColor="text1"/>
        </w:rPr>
        <w:t xml:space="preserve"> in soils and vegetation biomass.</w:t>
      </w:r>
    </w:p>
    <w:p w14:paraId="4415D152" w14:textId="738E94F5" w:rsidR="003E4A14" w:rsidRDefault="003E4A14" w:rsidP="003E4A14">
      <w:pPr>
        <w:rPr>
          <w:color w:val="000000"/>
        </w:rPr>
      </w:pPr>
      <w:r>
        <w:rPr>
          <w:color w:val="000000" w:themeColor="text1"/>
        </w:rPr>
        <w:t>I</w:t>
      </w:r>
      <w:r w:rsidRPr="00D57049">
        <w:rPr>
          <w:color w:val="000000" w:themeColor="text1"/>
        </w:rPr>
        <w:t>t is</w:t>
      </w:r>
      <w:r>
        <w:rPr>
          <w:color w:val="000000" w:themeColor="text1"/>
        </w:rPr>
        <w:t xml:space="preserve"> nevertheless</w:t>
      </w:r>
      <w:r w:rsidRPr="00D57049">
        <w:rPr>
          <w:color w:val="000000" w:themeColor="text1"/>
        </w:rPr>
        <w:t xml:space="preserve"> worth exploring the differences between stocks in various farming systems as they differ widely. </w:t>
      </w:r>
      <w:r>
        <w:rPr>
          <w:color w:val="000000" w:themeColor="text1"/>
        </w:rPr>
        <w:t xml:space="preserve">Carbon stocks accumulate both in soils (soil organic carbon, or SOC) and in above- and below-ground vegetation biomass. Multistrata agroforestry have exceptionally high carbon stocking potential for both of these carbon pools. </w:t>
      </w:r>
      <w:r>
        <w:rPr>
          <w:color w:val="000000"/>
        </w:rPr>
        <w:t xml:space="preserve">Aboveground stocks in silvopastures are impressive especially when compared to the essentially absent biomass stocks in annual cropping and grazing systems and can accumulate up to 92 tC/ha (Table 1.3). Lifetime soil carbon stocks in silvopasture systems are up to 250 tons/ha, compared to up to 50 for managed grazing (Figure 1.1). Aboveground biomass carbon stocks in tropical silvopasture systems can accumulate up to 92 tC/ha (Table 1.3). </w:t>
      </w:r>
    </w:p>
    <w:p w14:paraId="3D36DB7B" w14:textId="55A9972A" w:rsidR="000362E2" w:rsidRDefault="000362E2" w:rsidP="000362E2">
      <w:pPr>
        <w:pStyle w:val="Caption"/>
        <w:keepNext/>
        <w:spacing w:line="240" w:lineRule="auto"/>
        <w:contextualSpacing/>
        <w:rPr>
          <w:b/>
          <w:iCs w:val="0"/>
          <w:color w:val="auto"/>
          <w:sz w:val="20"/>
          <w:szCs w:val="20"/>
        </w:rPr>
      </w:pPr>
      <w:bookmarkStart w:id="10" w:name="_tyjcwt" w:colFirst="0" w:colLast="0"/>
      <w:bookmarkStart w:id="11" w:name="_Toc18146511"/>
      <w:bookmarkEnd w:id="10"/>
      <w:r w:rsidRPr="003D513E">
        <w:rPr>
          <w:b/>
          <w:iCs w:val="0"/>
          <w:color w:val="auto"/>
          <w:sz w:val="20"/>
          <w:szCs w:val="20"/>
        </w:rPr>
        <w:t xml:space="preserve">Figure </w:t>
      </w:r>
      <w:r w:rsidRPr="003D513E">
        <w:rPr>
          <w:b/>
          <w:iCs w:val="0"/>
          <w:color w:val="auto"/>
          <w:sz w:val="20"/>
          <w:szCs w:val="20"/>
        </w:rPr>
        <w:fldChar w:fldCharType="begin"/>
      </w:r>
      <w:r w:rsidRPr="003D513E">
        <w:rPr>
          <w:b/>
          <w:iCs w:val="0"/>
          <w:color w:val="auto"/>
          <w:sz w:val="20"/>
          <w:szCs w:val="20"/>
        </w:rPr>
        <w:instrText xml:space="preserve"> STYLEREF 1 \s </w:instrText>
      </w:r>
      <w:r w:rsidRPr="003D513E">
        <w:rPr>
          <w:b/>
          <w:iCs w:val="0"/>
          <w:color w:val="auto"/>
          <w:sz w:val="20"/>
          <w:szCs w:val="20"/>
        </w:rPr>
        <w:fldChar w:fldCharType="separate"/>
      </w:r>
      <w:r w:rsidR="00614A66">
        <w:rPr>
          <w:b/>
          <w:iCs w:val="0"/>
          <w:noProof/>
          <w:color w:val="auto"/>
          <w:sz w:val="20"/>
          <w:szCs w:val="20"/>
        </w:rPr>
        <w:t>1</w:t>
      </w:r>
      <w:r w:rsidRPr="003D513E">
        <w:rPr>
          <w:b/>
          <w:iCs w:val="0"/>
          <w:color w:val="auto"/>
          <w:sz w:val="20"/>
          <w:szCs w:val="20"/>
        </w:rPr>
        <w:fldChar w:fldCharType="end"/>
      </w:r>
      <w:r w:rsidRPr="003D513E">
        <w:rPr>
          <w:b/>
          <w:iCs w:val="0"/>
          <w:color w:val="auto"/>
          <w:sz w:val="20"/>
          <w:szCs w:val="20"/>
        </w:rPr>
        <w:t>.</w:t>
      </w:r>
      <w:r w:rsidRPr="003D513E">
        <w:rPr>
          <w:b/>
          <w:iCs w:val="0"/>
          <w:color w:val="auto"/>
          <w:sz w:val="20"/>
          <w:szCs w:val="20"/>
        </w:rPr>
        <w:fldChar w:fldCharType="begin"/>
      </w:r>
      <w:r w:rsidRPr="003D513E">
        <w:rPr>
          <w:b/>
          <w:iCs w:val="0"/>
          <w:color w:val="auto"/>
          <w:sz w:val="20"/>
          <w:szCs w:val="20"/>
        </w:rPr>
        <w:instrText xml:space="preserve"> SEQ Figure \* ARABIC \s 1 </w:instrText>
      </w:r>
      <w:r w:rsidRPr="003D513E">
        <w:rPr>
          <w:b/>
          <w:iCs w:val="0"/>
          <w:color w:val="auto"/>
          <w:sz w:val="20"/>
          <w:szCs w:val="20"/>
        </w:rPr>
        <w:fldChar w:fldCharType="separate"/>
      </w:r>
      <w:r w:rsidR="00614A66">
        <w:rPr>
          <w:b/>
          <w:iCs w:val="0"/>
          <w:noProof/>
          <w:color w:val="auto"/>
          <w:sz w:val="20"/>
          <w:szCs w:val="20"/>
        </w:rPr>
        <w:t>1</w:t>
      </w:r>
      <w:r w:rsidRPr="003D513E">
        <w:rPr>
          <w:b/>
          <w:iCs w:val="0"/>
          <w:color w:val="auto"/>
          <w:sz w:val="20"/>
          <w:szCs w:val="20"/>
        </w:rPr>
        <w:fldChar w:fldCharType="end"/>
      </w:r>
      <w:r w:rsidRPr="003D513E">
        <w:rPr>
          <w:b/>
          <w:iCs w:val="0"/>
          <w:color w:val="auto"/>
          <w:sz w:val="20"/>
          <w:szCs w:val="20"/>
        </w:rPr>
        <w:t xml:space="preserve"> Lifetime potential soil carbon stocks of various carbon-sequestering agriculture systems compared</w:t>
      </w:r>
      <w:bookmarkEnd w:id="11"/>
    </w:p>
    <w:p w14:paraId="015C72CB" w14:textId="0CCFEF4E" w:rsidR="000362E2" w:rsidRPr="003D513E" w:rsidRDefault="000362E2" w:rsidP="003D513E">
      <w:pPr>
        <w:pStyle w:val="Caption"/>
        <w:keepNext/>
        <w:spacing w:line="240" w:lineRule="auto"/>
        <w:contextualSpacing/>
        <w:rPr>
          <w:b/>
          <w:color w:val="auto"/>
          <w:sz w:val="20"/>
          <w:szCs w:val="20"/>
        </w:rPr>
      </w:pPr>
      <w:r w:rsidRPr="003D513E">
        <w:rPr>
          <w:i w:val="0"/>
          <w:color w:val="000000"/>
          <w:sz w:val="20"/>
          <w:szCs w:val="20"/>
        </w:rPr>
        <w:t>Adapted from</w:t>
      </w:r>
      <w:r w:rsidR="0003445B">
        <w:rPr>
          <w:i w:val="0"/>
          <w:color w:val="000000"/>
          <w:sz w:val="20"/>
          <w:szCs w:val="20"/>
        </w:rPr>
        <w:t xml:space="preserve"> </w:t>
      </w:r>
      <w:r w:rsidR="0003445B">
        <w:rPr>
          <w:i w:val="0"/>
          <w:color w:val="000000"/>
          <w:sz w:val="20"/>
          <w:szCs w:val="20"/>
        </w:rPr>
        <w:fldChar w:fldCharType="begin"/>
      </w:r>
      <w:r w:rsidR="0003445B">
        <w:rPr>
          <w:i w:val="0"/>
          <w:color w:val="000000"/>
          <w:sz w:val="20"/>
          <w:szCs w:val="20"/>
        </w:rPr>
        <w:instrText xml:space="preserve"> ADDIN ZOTERO_ITEM CSL_CITATION {"citationID":"as6zybRh","properties":{"formattedCitation":"(Toensmeier, 2017)","plainCitation":"(Toensmeier, 2017)","noteIndex":0},"citationItems":[{"id":1992,"uris":["http://zotero.org/groups/2241939/items/7GWR8X4Q"],"uri":["http://zotero.org/groups/2241939/items/7GWR8X4Q"],"itemData":{"id":1992,"type":"chapter","title":"Perennial Staple Crops and Agroforestry for Climate Change Mitigation","container-title":"Integrating Landscapes: Agroforestry for Biodiversity Conservation and Food Sovereignty","publisher":"Springer International Publishing","publisher-place":"Cham","page":"439-451","volume":"12","source":"Crossref","event-place":"Cham","URL":"http://link.springer.com/10.1007/978-3-319-69371-2_18","ISBN":"978-3-319-69370-5","note":"DOI: 10.1007/978-3-319-69371-2_18","language":"en","editor":[{"family":"Montagnini","given":"Florencia"}],"author":[{"family":"Toensmeier","given":"Eric"}],"issued":{"date-parts":[["2017"]]},"accessed":{"date-parts":[["2018",12,29]]}}}],"schema":"https://github.com/citation-style-language/schema/raw/master/csl-citation.json"} </w:instrText>
      </w:r>
      <w:r w:rsidR="0003445B">
        <w:rPr>
          <w:i w:val="0"/>
          <w:color w:val="000000"/>
          <w:sz w:val="20"/>
          <w:szCs w:val="20"/>
        </w:rPr>
        <w:fldChar w:fldCharType="separate"/>
      </w:r>
      <w:r w:rsidR="00A06F54" w:rsidRPr="00A06F54">
        <w:rPr>
          <w:rFonts w:cs="Times New Roman"/>
          <w:sz w:val="20"/>
        </w:rPr>
        <w:t>(Toensmeier, 2017)</w:t>
      </w:r>
      <w:r w:rsidR="0003445B">
        <w:rPr>
          <w:i w:val="0"/>
          <w:color w:val="000000"/>
          <w:sz w:val="20"/>
          <w:szCs w:val="20"/>
        </w:rPr>
        <w:fldChar w:fldCharType="end"/>
      </w:r>
      <w:r w:rsidRPr="003D513E">
        <w:rPr>
          <w:i w:val="0"/>
          <w:color w:val="000000"/>
          <w:sz w:val="20"/>
          <w:szCs w:val="20"/>
        </w:rPr>
        <w:t xml:space="preserve">. </w:t>
      </w:r>
    </w:p>
    <w:p w14:paraId="5200BCEB" w14:textId="77777777" w:rsidR="000362E2" w:rsidRPr="00D86BE9" w:rsidRDefault="000362E2" w:rsidP="003D513E"/>
    <w:p w14:paraId="7109EDA3" w14:textId="77777777" w:rsidR="008B1493" w:rsidRDefault="008B1493" w:rsidP="008B1493">
      <w:pPr>
        <w:rPr>
          <w:color w:val="604878"/>
          <w:sz w:val="18"/>
          <w:szCs w:val="18"/>
        </w:rPr>
      </w:pPr>
      <w:r>
        <w:rPr>
          <w:noProof/>
          <w:color w:val="604878"/>
          <w:sz w:val="18"/>
          <w:szCs w:val="18"/>
        </w:rPr>
        <w:lastRenderedPageBreak/>
        <w:drawing>
          <wp:inline distT="0" distB="0" distL="0" distR="0" wp14:anchorId="0CB2D5EE" wp14:editId="43C5D378">
            <wp:extent cx="5943600" cy="464375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4643755"/>
                    </a:xfrm>
                    <a:prstGeom prst="rect">
                      <a:avLst/>
                    </a:prstGeom>
                    <a:ln/>
                  </pic:spPr>
                </pic:pic>
              </a:graphicData>
            </a:graphic>
          </wp:inline>
        </w:drawing>
      </w:r>
    </w:p>
    <w:p w14:paraId="0AEA9E5E" w14:textId="524BEB0A" w:rsidR="0092057D" w:rsidRDefault="0092057D" w:rsidP="0092057D">
      <w:pPr>
        <w:pStyle w:val="Caption"/>
        <w:keepNext/>
        <w:spacing w:line="240" w:lineRule="auto"/>
        <w:contextualSpacing/>
        <w:rPr>
          <w:b/>
          <w:iCs w:val="0"/>
          <w:color w:val="auto"/>
          <w:sz w:val="20"/>
          <w:szCs w:val="20"/>
        </w:rPr>
      </w:pPr>
      <w:bookmarkStart w:id="12" w:name="_3dy6vkm" w:colFirst="0" w:colLast="0"/>
      <w:bookmarkStart w:id="13" w:name="_Toc18448123"/>
      <w:bookmarkEnd w:id="12"/>
      <w:r w:rsidRPr="003D513E">
        <w:rPr>
          <w:b/>
          <w:iCs w:val="0"/>
          <w:color w:val="auto"/>
          <w:sz w:val="20"/>
          <w:szCs w:val="20"/>
        </w:rPr>
        <w:t xml:space="preserve">Table </w:t>
      </w:r>
      <w:r w:rsidR="00B037A8">
        <w:rPr>
          <w:b/>
          <w:iCs w:val="0"/>
          <w:color w:val="auto"/>
          <w:sz w:val="20"/>
          <w:szCs w:val="20"/>
        </w:rPr>
        <w:fldChar w:fldCharType="begin"/>
      </w:r>
      <w:r w:rsidR="00B037A8">
        <w:rPr>
          <w:b/>
          <w:iCs w:val="0"/>
          <w:color w:val="auto"/>
          <w:sz w:val="20"/>
          <w:szCs w:val="20"/>
        </w:rPr>
        <w:instrText xml:space="preserve"> STYLEREF 1 \s </w:instrText>
      </w:r>
      <w:r w:rsidR="00B037A8">
        <w:rPr>
          <w:b/>
          <w:iCs w:val="0"/>
          <w:color w:val="auto"/>
          <w:sz w:val="20"/>
          <w:szCs w:val="20"/>
        </w:rPr>
        <w:fldChar w:fldCharType="separate"/>
      </w:r>
      <w:r w:rsidR="00614A66">
        <w:rPr>
          <w:b/>
          <w:iCs w:val="0"/>
          <w:noProof/>
          <w:color w:val="auto"/>
          <w:sz w:val="20"/>
          <w:szCs w:val="20"/>
        </w:rPr>
        <w:t>1</w:t>
      </w:r>
      <w:r w:rsidR="00B037A8">
        <w:rPr>
          <w:b/>
          <w:iCs w:val="0"/>
          <w:color w:val="auto"/>
          <w:sz w:val="20"/>
          <w:szCs w:val="20"/>
        </w:rPr>
        <w:fldChar w:fldCharType="end"/>
      </w:r>
      <w:r w:rsidR="00B037A8">
        <w:rPr>
          <w:b/>
          <w:iCs w:val="0"/>
          <w:color w:val="auto"/>
          <w:sz w:val="20"/>
          <w:szCs w:val="20"/>
        </w:rPr>
        <w:t>.</w:t>
      </w:r>
      <w:r w:rsidR="00B037A8">
        <w:rPr>
          <w:b/>
          <w:iCs w:val="0"/>
          <w:color w:val="auto"/>
          <w:sz w:val="20"/>
          <w:szCs w:val="20"/>
        </w:rPr>
        <w:fldChar w:fldCharType="begin"/>
      </w:r>
      <w:r w:rsidR="00B037A8">
        <w:rPr>
          <w:b/>
          <w:iCs w:val="0"/>
          <w:color w:val="auto"/>
          <w:sz w:val="20"/>
          <w:szCs w:val="20"/>
        </w:rPr>
        <w:instrText xml:space="preserve"> SEQ Table \* ARABIC \s 1 </w:instrText>
      </w:r>
      <w:r w:rsidR="00B037A8">
        <w:rPr>
          <w:b/>
          <w:iCs w:val="0"/>
          <w:color w:val="auto"/>
          <w:sz w:val="20"/>
          <w:szCs w:val="20"/>
        </w:rPr>
        <w:fldChar w:fldCharType="separate"/>
      </w:r>
      <w:r w:rsidR="00614A66">
        <w:rPr>
          <w:b/>
          <w:iCs w:val="0"/>
          <w:noProof/>
          <w:color w:val="auto"/>
          <w:sz w:val="20"/>
          <w:szCs w:val="20"/>
        </w:rPr>
        <w:t>3</w:t>
      </w:r>
      <w:r w:rsidR="00B037A8">
        <w:rPr>
          <w:b/>
          <w:iCs w:val="0"/>
          <w:color w:val="auto"/>
          <w:sz w:val="20"/>
          <w:szCs w:val="20"/>
        </w:rPr>
        <w:fldChar w:fldCharType="end"/>
      </w:r>
      <w:r w:rsidRPr="003D513E">
        <w:rPr>
          <w:b/>
          <w:iCs w:val="0"/>
          <w:color w:val="auto"/>
          <w:sz w:val="20"/>
          <w:szCs w:val="20"/>
        </w:rPr>
        <w:t xml:space="preserve"> Lifetime sequestration rates of aboveground biomass of multistrata agroforestry systems</w:t>
      </w:r>
      <w:bookmarkEnd w:id="13"/>
    </w:p>
    <w:p w14:paraId="63AA3FA1" w14:textId="741F4A5D" w:rsidR="0092057D" w:rsidRPr="003D513E" w:rsidRDefault="0092057D" w:rsidP="003D513E">
      <w:pPr>
        <w:pStyle w:val="Caption"/>
        <w:keepNext/>
        <w:spacing w:line="240" w:lineRule="auto"/>
        <w:contextualSpacing/>
        <w:rPr>
          <w:b/>
          <w:sz w:val="20"/>
          <w:szCs w:val="20"/>
        </w:rPr>
      </w:pPr>
      <w:r w:rsidRPr="003D513E">
        <w:rPr>
          <w:i w:val="0"/>
          <w:color w:val="000000"/>
          <w:sz w:val="20"/>
        </w:rPr>
        <w:t>Adapted from</w:t>
      </w:r>
      <w:r w:rsidR="00A96D83">
        <w:rPr>
          <w:i w:val="0"/>
          <w:color w:val="000000"/>
          <w:sz w:val="20"/>
        </w:rPr>
        <w:t xml:space="preserve"> </w:t>
      </w:r>
      <w:r w:rsidR="00A96D83">
        <w:rPr>
          <w:i w:val="0"/>
          <w:color w:val="000000"/>
          <w:sz w:val="20"/>
        </w:rPr>
        <w:fldChar w:fldCharType="begin"/>
      </w:r>
      <w:r w:rsidR="00A96D83">
        <w:rPr>
          <w:i w:val="0"/>
          <w:color w:val="000000"/>
          <w:sz w:val="20"/>
        </w:rPr>
        <w:instrText xml:space="preserve"> ADDIN ZOTERO_ITEM CSL_CITATION {"citationID":"S11cjktt","properties":{"formattedCitation":"(Lasco, 2006; Montagnini, 2015)","plainCitation":"(Lasco, 2006; Montagnini, 2015)","noteIndex":0},"citationItems":[{"id":1847,"uris":["http://zotero.org/groups/2241939/items/ZNTNW56X"],"uri":["http://zotero.org/groups/2241939/items/ZNTNW56X"],"itemData":{"id":1847,"type":"article","title":"2006 IPCC Guidelines for National Greenhouse Gas Inventories  - Volume 5","author":[{"family":"Lasco","given":""}],"issued":{"date-parts":[["2006"]]}}},{"id":569,"uris":["http://zotero.org/groups/2241939/items/T6VIP6GD"],"uri":["http://zotero.org/groups/2241939/items/T6VIP6GD"],"itemData":{"id":569,"type":"chapter","title":"Función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A96D83">
        <w:rPr>
          <w:i w:val="0"/>
          <w:color w:val="000000"/>
          <w:sz w:val="20"/>
        </w:rPr>
        <w:fldChar w:fldCharType="separate"/>
      </w:r>
      <w:r w:rsidR="00A06F54" w:rsidRPr="00A06F54">
        <w:rPr>
          <w:rFonts w:cs="Times New Roman"/>
          <w:sz w:val="20"/>
        </w:rPr>
        <w:t>(Lasco, 2006; Montagnini, 2015)</w:t>
      </w:r>
      <w:r w:rsidR="00A96D83">
        <w:rPr>
          <w:i w:val="0"/>
          <w:color w:val="000000"/>
          <w:sz w:val="20"/>
        </w:rPr>
        <w:fldChar w:fldCharType="end"/>
      </w:r>
      <w:r w:rsidRPr="003D513E">
        <w:rPr>
          <w:i w:val="0"/>
          <w:color w:val="000000"/>
          <w:sz w:val="20"/>
        </w:rPr>
        <w:t>. Note that these are carbon stocks, not annual sequestration rates.</w:t>
      </w:r>
    </w:p>
    <w:tbl>
      <w:tblPr>
        <w:tblW w:w="7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2610"/>
        <w:gridCol w:w="2070"/>
      </w:tblGrid>
      <w:tr w:rsidR="008B1493" w14:paraId="1139EC86" w14:textId="77777777" w:rsidTr="008B1493">
        <w:tc>
          <w:tcPr>
            <w:tcW w:w="2965" w:type="dxa"/>
          </w:tcPr>
          <w:p w14:paraId="0CEF5154" w14:textId="77777777" w:rsidR="008B1493" w:rsidRDefault="008B1493" w:rsidP="008B1493">
            <w:pPr>
              <w:rPr>
                <w:b/>
                <w:color w:val="000000"/>
                <w:sz w:val="18"/>
                <w:szCs w:val="18"/>
              </w:rPr>
            </w:pPr>
            <w:r>
              <w:rPr>
                <w:b/>
                <w:color w:val="000000"/>
                <w:sz w:val="18"/>
                <w:szCs w:val="18"/>
              </w:rPr>
              <w:t>System</w:t>
            </w:r>
          </w:p>
        </w:tc>
        <w:tc>
          <w:tcPr>
            <w:tcW w:w="2610" w:type="dxa"/>
          </w:tcPr>
          <w:p w14:paraId="540FB6D7" w14:textId="77777777" w:rsidR="008B1493" w:rsidRDefault="008B1493" w:rsidP="008B1493">
            <w:pPr>
              <w:rPr>
                <w:b/>
                <w:color w:val="000000"/>
                <w:sz w:val="18"/>
                <w:szCs w:val="18"/>
              </w:rPr>
            </w:pPr>
            <w:r>
              <w:rPr>
                <w:b/>
                <w:color w:val="000000"/>
                <w:sz w:val="18"/>
                <w:szCs w:val="18"/>
              </w:rPr>
              <w:t>Climate</w:t>
            </w:r>
          </w:p>
        </w:tc>
        <w:tc>
          <w:tcPr>
            <w:tcW w:w="2070" w:type="dxa"/>
          </w:tcPr>
          <w:p w14:paraId="79E64033" w14:textId="77777777" w:rsidR="008B1493" w:rsidRDefault="008B1493" w:rsidP="008B1493">
            <w:pPr>
              <w:rPr>
                <w:b/>
                <w:color w:val="000000"/>
                <w:sz w:val="18"/>
                <w:szCs w:val="18"/>
              </w:rPr>
            </w:pPr>
            <w:r>
              <w:rPr>
                <w:b/>
                <w:color w:val="000000"/>
                <w:sz w:val="18"/>
                <w:szCs w:val="18"/>
              </w:rPr>
              <w:t>Carbon Stocks t/ha</w:t>
            </w:r>
          </w:p>
        </w:tc>
      </w:tr>
      <w:tr w:rsidR="008B1493" w14:paraId="2D28D6B0" w14:textId="77777777" w:rsidTr="008B1493">
        <w:tc>
          <w:tcPr>
            <w:tcW w:w="2965" w:type="dxa"/>
          </w:tcPr>
          <w:p w14:paraId="76339E3A" w14:textId="77777777" w:rsidR="008B1493" w:rsidRDefault="008B1493" w:rsidP="008B1493">
            <w:pPr>
              <w:rPr>
                <w:color w:val="000000"/>
                <w:sz w:val="18"/>
                <w:szCs w:val="18"/>
              </w:rPr>
            </w:pPr>
            <w:r>
              <w:rPr>
                <w:color w:val="000000"/>
                <w:sz w:val="18"/>
                <w:szCs w:val="18"/>
              </w:rPr>
              <w:t>Trees planted in pasture</w:t>
            </w:r>
          </w:p>
        </w:tc>
        <w:tc>
          <w:tcPr>
            <w:tcW w:w="2610" w:type="dxa"/>
          </w:tcPr>
          <w:p w14:paraId="354A1733" w14:textId="77777777" w:rsidR="008B1493" w:rsidRDefault="008B1493" w:rsidP="008B1493">
            <w:pPr>
              <w:rPr>
                <w:color w:val="000000"/>
                <w:sz w:val="18"/>
                <w:szCs w:val="18"/>
              </w:rPr>
            </w:pPr>
            <w:r>
              <w:rPr>
                <w:color w:val="000000"/>
                <w:sz w:val="18"/>
                <w:szCs w:val="18"/>
              </w:rPr>
              <w:t>Humid tropics, no dry season</w:t>
            </w:r>
          </w:p>
        </w:tc>
        <w:tc>
          <w:tcPr>
            <w:tcW w:w="2070" w:type="dxa"/>
          </w:tcPr>
          <w:p w14:paraId="7668CA61" w14:textId="77777777" w:rsidR="008B1493" w:rsidRDefault="008B1493" w:rsidP="008B1493">
            <w:pPr>
              <w:rPr>
                <w:color w:val="000000"/>
                <w:sz w:val="18"/>
                <w:szCs w:val="18"/>
              </w:rPr>
            </w:pPr>
            <w:r>
              <w:rPr>
                <w:color w:val="000000"/>
                <w:sz w:val="18"/>
                <w:szCs w:val="18"/>
              </w:rPr>
              <w:t>13-58</w:t>
            </w:r>
          </w:p>
        </w:tc>
      </w:tr>
      <w:tr w:rsidR="008B1493" w14:paraId="0EA69426" w14:textId="77777777" w:rsidTr="008B1493">
        <w:tc>
          <w:tcPr>
            <w:tcW w:w="2965" w:type="dxa"/>
          </w:tcPr>
          <w:p w14:paraId="12C0E3B3" w14:textId="77777777" w:rsidR="008B1493" w:rsidRDefault="008B1493" w:rsidP="008B1493">
            <w:pPr>
              <w:rPr>
                <w:color w:val="000000"/>
                <w:sz w:val="18"/>
                <w:szCs w:val="18"/>
              </w:rPr>
            </w:pPr>
            <w:r>
              <w:rPr>
                <w:color w:val="000000"/>
                <w:sz w:val="18"/>
                <w:szCs w:val="18"/>
              </w:rPr>
              <w:t>Pastures with residual trees</w:t>
            </w:r>
          </w:p>
        </w:tc>
        <w:tc>
          <w:tcPr>
            <w:tcW w:w="2610" w:type="dxa"/>
          </w:tcPr>
          <w:p w14:paraId="0CEC01A1" w14:textId="77777777" w:rsidR="008B1493" w:rsidRDefault="008B1493" w:rsidP="008B1493">
            <w:pPr>
              <w:rPr>
                <w:color w:val="000000"/>
                <w:sz w:val="18"/>
                <w:szCs w:val="18"/>
              </w:rPr>
            </w:pPr>
            <w:r>
              <w:rPr>
                <w:color w:val="000000"/>
                <w:sz w:val="18"/>
                <w:szCs w:val="18"/>
              </w:rPr>
              <w:t>Humid tropics, no dry season</w:t>
            </w:r>
          </w:p>
        </w:tc>
        <w:tc>
          <w:tcPr>
            <w:tcW w:w="2070" w:type="dxa"/>
          </w:tcPr>
          <w:p w14:paraId="5507286C" w14:textId="77777777" w:rsidR="008B1493" w:rsidRDefault="008B1493" w:rsidP="008B1493">
            <w:pPr>
              <w:rPr>
                <w:color w:val="000000"/>
                <w:sz w:val="18"/>
                <w:szCs w:val="18"/>
              </w:rPr>
            </w:pPr>
            <w:r>
              <w:rPr>
                <w:color w:val="000000"/>
                <w:sz w:val="18"/>
                <w:szCs w:val="18"/>
              </w:rPr>
              <w:t>19-74</w:t>
            </w:r>
          </w:p>
        </w:tc>
      </w:tr>
      <w:tr w:rsidR="008B1493" w14:paraId="1E51E257" w14:textId="77777777" w:rsidTr="008B1493">
        <w:tc>
          <w:tcPr>
            <w:tcW w:w="2965" w:type="dxa"/>
          </w:tcPr>
          <w:p w14:paraId="278E3246" w14:textId="77777777" w:rsidR="008B1493" w:rsidRDefault="008B1493" w:rsidP="008B1493">
            <w:pPr>
              <w:rPr>
                <w:color w:val="000000"/>
                <w:sz w:val="18"/>
                <w:szCs w:val="18"/>
              </w:rPr>
            </w:pPr>
            <w:r>
              <w:rPr>
                <w:color w:val="000000"/>
                <w:sz w:val="18"/>
                <w:szCs w:val="18"/>
              </w:rPr>
              <w:t>Fodder banks</w:t>
            </w:r>
          </w:p>
        </w:tc>
        <w:tc>
          <w:tcPr>
            <w:tcW w:w="2610" w:type="dxa"/>
          </w:tcPr>
          <w:p w14:paraId="152B7150" w14:textId="77777777" w:rsidR="008B1493" w:rsidRDefault="008B1493" w:rsidP="008B1493">
            <w:pPr>
              <w:rPr>
                <w:color w:val="000000"/>
                <w:sz w:val="18"/>
                <w:szCs w:val="18"/>
              </w:rPr>
            </w:pPr>
            <w:r>
              <w:rPr>
                <w:color w:val="000000"/>
                <w:sz w:val="18"/>
                <w:szCs w:val="18"/>
              </w:rPr>
              <w:t>Humid tropics, short dry season</w:t>
            </w:r>
          </w:p>
        </w:tc>
        <w:tc>
          <w:tcPr>
            <w:tcW w:w="2070" w:type="dxa"/>
          </w:tcPr>
          <w:p w14:paraId="3EA6C149" w14:textId="77777777" w:rsidR="008B1493" w:rsidRDefault="008B1493" w:rsidP="008B1493">
            <w:pPr>
              <w:rPr>
                <w:color w:val="000000"/>
                <w:sz w:val="18"/>
                <w:szCs w:val="18"/>
              </w:rPr>
            </w:pPr>
            <w:r>
              <w:rPr>
                <w:color w:val="000000"/>
                <w:sz w:val="18"/>
                <w:szCs w:val="18"/>
              </w:rPr>
              <w:t>2-7</w:t>
            </w:r>
          </w:p>
        </w:tc>
      </w:tr>
      <w:tr w:rsidR="008B1493" w14:paraId="52AFD715" w14:textId="77777777" w:rsidTr="008B1493">
        <w:tc>
          <w:tcPr>
            <w:tcW w:w="2965" w:type="dxa"/>
          </w:tcPr>
          <w:p w14:paraId="4664EEC2" w14:textId="77777777" w:rsidR="008B1493" w:rsidRDefault="008B1493" w:rsidP="008B1493">
            <w:pPr>
              <w:rPr>
                <w:color w:val="000000"/>
                <w:sz w:val="18"/>
                <w:szCs w:val="18"/>
              </w:rPr>
            </w:pPr>
            <w:r>
              <w:rPr>
                <w:color w:val="000000"/>
                <w:sz w:val="18"/>
                <w:szCs w:val="18"/>
              </w:rPr>
              <w:t>Trees planted in pasture</w:t>
            </w:r>
          </w:p>
        </w:tc>
        <w:tc>
          <w:tcPr>
            <w:tcW w:w="2610" w:type="dxa"/>
          </w:tcPr>
          <w:p w14:paraId="2928696F" w14:textId="77777777" w:rsidR="008B1493" w:rsidRDefault="008B1493" w:rsidP="008B1493">
            <w:pPr>
              <w:rPr>
                <w:color w:val="000000"/>
                <w:sz w:val="18"/>
                <w:szCs w:val="18"/>
              </w:rPr>
            </w:pPr>
            <w:r>
              <w:rPr>
                <w:color w:val="000000"/>
                <w:sz w:val="18"/>
                <w:szCs w:val="18"/>
              </w:rPr>
              <w:t>Humid tropics, short dry season</w:t>
            </w:r>
          </w:p>
        </w:tc>
        <w:tc>
          <w:tcPr>
            <w:tcW w:w="2070" w:type="dxa"/>
          </w:tcPr>
          <w:p w14:paraId="0E61A2D1" w14:textId="77777777" w:rsidR="008B1493" w:rsidRDefault="008B1493" w:rsidP="008B1493">
            <w:pPr>
              <w:rPr>
                <w:color w:val="000000"/>
                <w:sz w:val="18"/>
                <w:szCs w:val="18"/>
              </w:rPr>
            </w:pPr>
            <w:r>
              <w:rPr>
                <w:color w:val="000000"/>
                <w:sz w:val="18"/>
                <w:szCs w:val="18"/>
              </w:rPr>
              <w:t>0.3-3.3</w:t>
            </w:r>
          </w:p>
        </w:tc>
      </w:tr>
      <w:tr w:rsidR="008B1493" w14:paraId="4D6EC0E7" w14:textId="77777777" w:rsidTr="008B1493">
        <w:tc>
          <w:tcPr>
            <w:tcW w:w="2965" w:type="dxa"/>
          </w:tcPr>
          <w:p w14:paraId="3EDB3272" w14:textId="77777777" w:rsidR="008B1493" w:rsidRDefault="008B1493" w:rsidP="008B1493">
            <w:pPr>
              <w:rPr>
                <w:color w:val="000000"/>
                <w:sz w:val="18"/>
                <w:szCs w:val="18"/>
              </w:rPr>
            </w:pPr>
            <w:r>
              <w:rPr>
                <w:color w:val="000000"/>
                <w:sz w:val="18"/>
                <w:szCs w:val="18"/>
              </w:rPr>
              <w:t>Pastures with residual trees</w:t>
            </w:r>
          </w:p>
        </w:tc>
        <w:tc>
          <w:tcPr>
            <w:tcW w:w="2610" w:type="dxa"/>
          </w:tcPr>
          <w:p w14:paraId="7A2B15E1" w14:textId="77777777" w:rsidR="008B1493" w:rsidRDefault="008B1493" w:rsidP="008B1493">
            <w:pPr>
              <w:rPr>
                <w:color w:val="000000"/>
                <w:sz w:val="18"/>
                <w:szCs w:val="18"/>
              </w:rPr>
            </w:pPr>
            <w:r>
              <w:rPr>
                <w:color w:val="000000"/>
                <w:sz w:val="18"/>
                <w:szCs w:val="18"/>
              </w:rPr>
              <w:t>Humid tropics, short dry season</w:t>
            </w:r>
          </w:p>
        </w:tc>
        <w:tc>
          <w:tcPr>
            <w:tcW w:w="2070" w:type="dxa"/>
          </w:tcPr>
          <w:p w14:paraId="61F34A1A" w14:textId="77777777" w:rsidR="008B1493" w:rsidRDefault="008B1493" w:rsidP="008B1493">
            <w:pPr>
              <w:rPr>
                <w:color w:val="000000"/>
                <w:sz w:val="18"/>
                <w:szCs w:val="18"/>
              </w:rPr>
            </w:pPr>
            <w:r>
              <w:rPr>
                <w:color w:val="000000"/>
                <w:sz w:val="18"/>
                <w:szCs w:val="18"/>
              </w:rPr>
              <w:t>2-31</w:t>
            </w:r>
          </w:p>
        </w:tc>
      </w:tr>
      <w:tr w:rsidR="008B1493" w14:paraId="6D4D6002" w14:textId="77777777" w:rsidTr="008B1493">
        <w:tc>
          <w:tcPr>
            <w:tcW w:w="2965" w:type="dxa"/>
          </w:tcPr>
          <w:p w14:paraId="2CEB489E" w14:textId="77777777" w:rsidR="008B1493" w:rsidRDefault="008B1493" w:rsidP="008B1493">
            <w:pPr>
              <w:rPr>
                <w:color w:val="000000"/>
                <w:sz w:val="18"/>
                <w:szCs w:val="18"/>
              </w:rPr>
            </w:pPr>
            <w:r>
              <w:rPr>
                <w:color w:val="000000"/>
                <w:sz w:val="18"/>
                <w:szCs w:val="18"/>
              </w:rPr>
              <w:t>Trees planted in pasture</w:t>
            </w:r>
          </w:p>
        </w:tc>
        <w:tc>
          <w:tcPr>
            <w:tcW w:w="2610" w:type="dxa"/>
          </w:tcPr>
          <w:p w14:paraId="594DA20D" w14:textId="77777777" w:rsidR="008B1493" w:rsidRDefault="008B1493" w:rsidP="008B1493">
            <w:pPr>
              <w:rPr>
                <w:color w:val="000000"/>
                <w:sz w:val="18"/>
                <w:szCs w:val="18"/>
              </w:rPr>
            </w:pPr>
            <w:r>
              <w:rPr>
                <w:color w:val="000000"/>
                <w:sz w:val="18"/>
                <w:szCs w:val="18"/>
              </w:rPr>
              <w:t>Subtropical with no dry season</w:t>
            </w:r>
          </w:p>
        </w:tc>
        <w:tc>
          <w:tcPr>
            <w:tcW w:w="2070" w:type="dxa"/>
          </w:tcPr>
          <w:p w14:paraId="124E9F99" w14:textId="77777777" w:rsidR="008B1493" w:rsidRDefault="008B1493" w:rsidP="008B1493">
            <w:pPr>
              <w:rPr>
                <w:color w:val="000000"/>
                <w:sz w:val="18"/>
                <w:szCs w:val="18"/>
              </w:rPr>
            </w:pPr>
            <w:r>
              <w:rPr>
                <w:color w:val="000000"/>
                <w:sz w:val="18"/>
                <w:szCs w:val="18"/>
              </w:rPr>
              <w:t>51-92</w:t>
            </w:r>
          </w:p>
        </w:tc>
      </w:tr>
      <w:tr w:rsidR="008B1493" w14:paraId="0B379A2C" w14:textId="77777777" w:rsidTr="008B1493">
        <w:tc>
          <w:tcPr>
            <w:tcW w:w="2965" w:type="dxa"/>
          </w:tcPr>
          <w:p w14:paraId="4C692C1B" w14:textId="77777777" w:rsidR="008B1493" w:rsidRDefault="008B1493" w:rsidP="008B1493">
            <w:pPr>
              <w:rPr>
                <w:color w:val="000000"/>
                <w:sz w:val="18"/>
                <w:szCs w:val="18"/>
              </w:rPr>
            </w:pPr>
            <w:r>
              <w:rPr>
                <w:color w:val="000000"/>
                <w:sz w:val="18"/>
                <w:szCs w:val="18"/>
              </w:rPr>
              <w:t>Silvopasture (Australia)</w:t>
            </w:r>
          </w:p>
        </w:tc>
        <w:tc>
          <w:tcPr>
            <w:tcW w:w="2610" w:type="dxa"/>
          </w:tcPr>
          <w:p w14:paraId="79CDD98D" w14:textId="77777777" w:rsidR="008B1493" w:rsidRDefault="008B1493" w:rsidP="008B1493">
            <w:pPr>
              <w:rPr>
                <w:color w:val="000000"/>
                <w:sz w:val="18"/>
                <w:szCs w:val="18"/>
              </w:rPr>
            </w:pPr>
            <w:r>
              <w:rPr>
                <w:color w:val="000000"/>
                <w:sz w:val="18"/>
                <w:szCs w:val="18"/>
              </w:rPr>
              <w:t>Humid tropics</w:t>
            </w:r>
          </w:p>
        </w:tc>
        <w:tc>
          <w:tcPr>
            <w:tcW w:w="2070" w:type="dxa"/>
          </w:tcPr>
          <w:p w14:paraId="691FFCF1" w14:textId="77777777" w:rsidR="008B1493" w:rsidRDefault="008B1493" w:rsidP="008B1493">
            <w:pPr>
              <w:rPr>
                <w:color w:val="000000"/>
                <w:sz w:val="18"/>
                <w:szCs w:val="18"/>
              </w:rPr>
            </w:pPr>
            <w:r>
              <w:rPr>
                <w:color w:val="000000"/>
                <w:sz w:val="18"/>
                <w:szCs w:val="18"/>
              </w:rPr>
              <w:t>28-51</w:t>
            </w:r>
          </w:p>
        </w:tc>
      </w:tr>
      <w:tr w:rsidR="008B1493" w14:paraId="7C066F61" w14:textId="77777777" w:rsidTr="008B1493">
        <w:tc>
          <w:tcPr>
            <w:tcW w:w="2965" w:type="dxa"/>
          </w:tcPr>
          <w:p w14:paraId="6F223DAF" w14:textId="77777777" w:rsidR="008B1493" w:rsidRDefault="008B1493" w:rsidP="008B1493">
            <w:pPr>
              <w:rPr>
                <w:color w:val="000000"/>
                <w:sz w:val="18"/>
                <w:szCs w:val="18"/>
              </w:rPr>
            </w:pPr>
            <w:r>
              <w:rPr>
                <w:color w:val="000000"/>
                <w:sz w:val="18"/>
                <w:szCs w:val="18"/>
              </w:rPr>
              <w:t>Silvopasture (N. America)</w:t>
            </w:r>
          </w:p>
        </w:tc>
        <w:tc>
          <w:tcPr>
            <w:tcW w:w="2610" w:type="dxa"/>
          </w:tcPr>
          <w:p w14:paraId="0FA54928" w14:textId="77777777" w:rsidR="008B1493" w:rsidRDefault="008B1493" w:rsidP="008B1493">
            <w:pPr>
              <w:rPr>
                <w:color w:val="000000"/>
                <w:sz w:val="18"/>
                <w:szCs w:val="18"/>
              </w:rPr>
            </w:pPr>
            <w:r>
              <w:rPr>
                <w:color w:val="000000"/>
                <w:sz w:val="18"/>
                <w:szCs w:val="18"/>
              </w:rPr>
              <w:t>Humid tropical highlands</w:t>
            </w:r>
          </w:p>
        </w:tc>
        <w:tc>
          <w:tcPr>
            <w:tcW w:w="2070" w:type="dxa"/>
          </w:tcPr>
          <w:p w14:paraId="52F42A45" w14:textId="77777777" w:rsidR="008B1493" w:rsidRDefault="008B1493" w:rsidP="008B1493">
            <w:pPr>
              <w:rPr>
                <w:color w:val="000000"/>
                <w:sz w:val="18"/>
                <w:szCs w:val="18"/>
              </w:rPr>
            </w:pPr>
            <w:r>
              <w:rPr>
                <w:color w:val="000000"/>
                <w:sz w:val="18"/>
                <w:szCs w:val="18"/>
              </w:rPr>
              <w:t>133-154</w:t>
            </w:r>
          </w:p>
        </w:tc>
      </w:tr>
      <w:tr w:rsidR="008B1493" w14:paraId="419255CD" w14:textId="77777777" w:rsidTr="008B1493">
        <w:tc>
          <w:tcPr>
            <w:tcW w:w="2965" w:type="dxa"/>
          </w:tcPr>
          <w:p w14:paraId="1DEBE609" w14:textId="77777777" w:rsidR="008B1493" w:rsidRDefault="008B1493" w:rsidP="008B1493">
            <w:pPr>
              <w:rPr>
                <w:color w:val="000000"/>
                <w:sz w:val="18"/>
                <w:szCs w:val="18"/>
              </w:rPr>
            </w:pPr>
            <w:r>
              <w:rPr>
                <w:color w:val="000000"/>
                <w:sz w:val="18"/>
                <w:szCs w:val="18"/>
              </w:rPr>
              <w:t>Silvopasture (N. America)</w:t>
            </w:r>
          </w:p>
        </w:tc>
        <w:tc>
          <w:tcPr>
            <w:tcW w:w="2610" w:type="dxa"/>
          </w:tcPr>
          <w:p w14:paraId="7DE49C3E" w14:textId="77777777" w:rsidR="008B1493" w:rsidRDefault="008B1493" w:rsidP="008B1493">
            <w:pPr>
              <w:rPr>
                <w:color w:val="000000"/>
                <w:sz w:val="18"/>
                <w:szCs w:val="18"/>
              </w:rPr>
            </w:pPr>
            <w:r>
              <w:rPr>
                <w:color w:val="000000"/>
                <w:sz w:val="18"/>
                <w:szCs w:val="18"/>
              </w:rPr>
              <w:t>Humid tropical lowlands</w:t>
            </w:r>
          </w:p>
        </w:tc>
        <w:tc>
          <w:tcPr>
            <w:tcW w:w="2070" w:type="dxa"/>
          </w:tcPr>
          <w:p w14:paraId="464AE079" w14:textId="77777777" w:rsidR="008B1493" w:rsidRDefault="008B1493" w:rsidP="008B1493">
            <w:pPr>
              <w:rPr>
                <w:color w:val="000000"/>
                <w:sz w:val="18"/>
                <w:szCs w:val="18"/>
              </w:rPr>
            </w:pPr>
            <w:r>
              <w:rPr>
                <w:color w:val="000000"/>
                <w:sz w:val="18"/>
                <w:szCs w:val="18"/>
              </w:rPr>
              <w:t>104-198</w:t>
            </w:r>
          </w:p>
        </w:tc>
      </w:tr>
      <w:tr w:rsidR="008B1493" w14:paraId="78FD06B9" w14:textId="77777777" w:rsidTr="008B1493">
        <w:tc>
          <w:tcPr>
            <w:tcW w:w="2965" w:type="dxa"/>
          </w:tcPr>
          <w:p w14:paraId="25F27D21" w14:textId="77777777" w:rsidR="008B1493" w:rsidRDefault="008B1493" w:rsidP="008B1493">
            <w:pPr>
              <w:rPr>
                <w:color w:val="000000"/>
                <w:sz w:val="18"/>
                <w:szCs w:val="18"/>
              </w:rPr>
            </w:pPr>
            <w:r>
              <w:rPr>
                <w:color w:val="000000"/>
                <w:sz w:val="18"/>
                <w:szCs w:val="18"/>
              </w:rPr>
              <w:lastRenderedPageBreak/>
              <w:t>Silvopasture (N. America)</w:t>
            </w:r>
          </w:p>
        </w:tc>
        <w:tc>
          <w:tcPr>
            <w:tcW w:w="2610" w:type="dxa"/>
          </w:tcPr>
          <w:p w14:paraId="62B724CA" w14:textId="77777777" w:rsidR="008B1493" w:rsidRDefault="008B1493" w:rsidP="008B1493">
            <w:pPr>
              <w:rPr>
                <w:color w:val="000000"/>
                <w:sz w:val="18"/>
                <w:szCs w:val="18"/>
              </w:rPr>
            </w:pPr>
            <w:r>
              <w:rPr>
                <w:color w:val="000000"/>
                <w:sz w:val="18"/>
                <w:szCs w:val="18"/>
              </w:rPr>
              <w:t>Dry lowlands</w:t>
            </w:r>
          </w:p>
        </w:tc>
        <w:tc>
          <w:tcPr>
            <w:tcW w:w="2070" w:type="dxa"/>
          </w:tcPr>
          <w:p w14:paraId="270B565D" w14:textId="77777777" w:rsidR="008B1493" w:rsidRDefault="008B1493" w:rsidP="008B1493">
            <w:pPr>
              <w:rPr>
                <w:color w:val="000000"/>
                <w:sz w:val="18"/>
                <w:szCs w:val="18"/>
              </w:rPr>
            </w:pPr>
            <w:r>
              <w:rPr>
                <w:color w:val="000000"/>
                <w:sz w:val="18"/>
                <w:szCs w:val="18"/>
              </w:rPr>
              <w:t>90-175</w:t>
            </w:r>
          </w:p>
        </w:tc>
      </w:tr>
      <w:tr w:rsidR="008B1493" w14:paraId="05FBA3AE" w14:textId="77777777" w:rsidTr="008B1493">
        <w:tc>
          <w:tcPr>
            <w:tcW w:w="2965" w:type="dxa"/>
          </w:tcPr>
          <w:p w14:paraId="1DF7D85A" w14:textId="77777777" w:rsidR="008B1493" w:rsidRDefault="008B1493" w:rsidP="008B1493">
            <w:pPr>
              <w:rPr>
                <w:color w:val="000000"/>
                <w:sz w:val="18"/>
                <w:szCs w:val="18"/>
              </w:rPr>
            </w:pPr>
            <w:r>
              <w:rPr>
                <w:color w:val="000000"/>
                <w:sz w:val="18"/>
                <w:szCs w:val="18"/>
              </w:rPr>
              <w:t>Silvopasture (N. Asia)</w:t>
            </w:r>
          </w:p>
        </w:tc>
        <w:tc>
          <w:tcPr>
            <w:tcW w:w="2610" w:type="dxa"/>
          </w:tcPr>
          <w:p w14:paraId="4833B2F6" w14:textId="77777777" w:rsidR="008B1493" w:rsidRDefault="008B1493" w:rsidP="008B1493">
            <w:pPr>
              <w:rPr>
                <w:color w:val="000000"/>
                <w:sz w:val="18"/>
                <w:szCs w:val="18"/>
              </w:rPr>
            </w:pPr>
            <w:r>
              <w:rPr>
                <w:color w:val="000000"/>
                <w:sz w:val="18"/>
                <w:szCs w:val="18"/>
              </w:rPr>
              <w:t>Humid tropical lowlands</w:t>
            </w:r>
          </w:p>
        </w:tc>
        <w:tc>
          <w:tcPr>
            <w:tcW w:w="2070" w:type="dxa"/>
          </w:tcPr>
          <w:p w14:paraId="02655F0A" w14:textId="77777777" w:rsidR="008B1493" w:rsidRDefault="008B1493" w:rsidP="008B1493">
            <w:pPr>
              <w:rPr>
                <w:color w:val="000000"/>
                <w:sz w:val="18"/>
                <w:szCs w:val="18"/>
              </w:rPr>
            </w:pPr>
            <w:r>
              <w:rPr>
                <w:color w:val="000000"/>
                <w:sz w:val="18"/>
                <w:szCs w:val="18"/>
              </w:rPr>
              <w:t>15-18</w:t>
            </w:r>
          </w:p>
        </w:tc>
      </w:tr>
    </w:tbl>
    <w:p w14:paraId="26CC9C15" w14:textId="77777777" w:rsidR="00FB2C53" w:rsidRPr="00DC3559" w:rsidRDefault="00FB2C53" w:rsidP="003D513E">
      <w:pPr>
        <w:rPr>
          <w:highlight w:val="yellow"/>
        </w:rPr>
      </w:pPr>
    </w:p>
    <w:p w14:paraId="6F369954" w14:textId="77777777" w:rsidR="00FD7CE8" w:rsidRDefault="551A77D0" w:rsidP="00DB4CC8">
      <w:pPr>
        <w:pStyle w:val="Heading2"/>
      </w:pPr>
      <w:bookmarkStart w:id="14" w:name="_Toc18013299"/>
      <w:r>
        <w:t>Adoption Path</w:t>
      </w:r>
      <w:bookmarkEnd w:id="14"/>
    </w:p>
    <w:p w14:paraId="61498413" w14:textId="2A27BD91" w:rsidR="00FB2C53" w:rsidRDefault="00FD7CE8" w:rsidP="00FD7CE8">
      <w:r>
        <w:t>Current adoption of silvopasture is estimated at about 450 - 550 Mha (</w:t>
      </w:r>
      <w:r>
        <w:fldChar w:fldCharType="begin"/>
      </w:r>
      <w:r>
        <w:instrText xml:space="preserve"> ADDIN ZOTERO_ITEM CSL_CITATION {"citationID":"wEmou7aW","properties":{"formattedCitation":"(Lorenz and Lal, 2018; Nair, 2012)","plainCitation":"(Lorenz and Lal, 2018; Nair, 2012)","noteIndex":0},"citationItems":[{"id":762,"uris":["http://zotero.org/groups/2241939/items/RTNFGNUT"],"uri":["http://zotero.org/groups/2241939/items/RTNFGNUT"],"itemData":{"id":762,"type":"book","title":"Carbon Sequestration in Agricultural Ecosystems","publisher":"Springer International Publishing","publisher-place":"Cham","source":"Crossref","event-place":"Cham","URL":"http://link.springer.com/10.1007/978-3-319-92318-5","ISBN":"978-3-319-92317-8","note":"DOI: 10.1007/978-3-319-92318-5","language":"en","author":[{"family":"Lorenz","given":"Klaus"},{"family":"Lal","given":"Rattan"}],"issued":{"date-parts":[["2018"]]},"accessed":{"date-parts":[["2018",11,7]]}}},{"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fldChar w:fldCharType="separate"/>
      </w:r>
      <w:r w:rsidRPr="00FD7CE8">
        <w:rPr>
          <w:rFonts w:cs="Times New Roman"/>
        </w:rPr>
        <w:t>(Lorenz and Lal, 2018; Nair, 2012)</w:t>
      </w:r>
      <w:r>
        <w:fldChar w:fldCharType="end"/>
      </w:r>
      <w:r>
        <w:t xml:space="preserve">. This figure is likely to increase due to </w:t>
      </w:r>
      <w:r w:rsidR="005832AC">
        <w:t xml:space="preserve">increasing global demand for meat, coupled with </w:t>
      </w:r>
      <w:r>
        <w:t>increasing recognition</w:t>
      </w:r>
      <w:r w:rsidR="00C877DF">
        <w:t xml:space="preserve"> of the potential of silvopasture practices</w:t>
      </w:r>
      <w:r>
        <w:t xml:space="preserve"> and </w:t>
      </w:r>
      <w:r w:rsidR="00C877DF">
        <w:t>their integration</w:t>
      </w:r>
      <w:r>
        <w:t xml:space="preserve"> into </w:t>
      </w:r>
      <w:r w:rsidR="005832AC">
        <w:t>land-use strategies</w:t>
      </w:r>
      <w:r>
        <w:t xml:space="preserve"> developed by international organization such as the IPCC, the FAO or the UN, and by a growing number of national governments. Increased recognition of the tangible benefits of the practice remains limited by a lack of data, and increased adoption remains hampered by </w:t>
      </w:r>
      <w:r w:rsidR="00392979">
        <w:t xml:space="preserve">lack of information for farmers and pastoralists and by </w:t>
      </w:r>
      <w:r>
        <w:t xml:space="preserve">economic challenges such as high </w:t>
      </w:r>
      <w:r w:rsidR="00392979">
        <w:t>establishment costs</w:t>
      </w:r>
      <w:r>
        <w:t xml:space="preserve">. Nevertheless, </w:t>
      </w:r>
      <w:r w:rsidR="00392979">
        <w:t>increasing focus on “climate-smart” agricultural strategies might contribute to shifting global grazing practices from conventional to silvopasture.</w:t>
      </w:r>
    </w:p>
    <w:p w14:paraId="2DE714B4" w14:textId="7B6251EB" w:rsidR="00112479" w:rsidRPr="003D513E" w:rsidRDefault="551A77D0" w:rsidP="00DB4CC8">
      <w:pPr>
        <w:pStyle w:val="Heading3"/>
      </w:pPr>
      <w:bookmarkStart w:id="15" w:name="_Toc18013300"/>
      <w:r w:rsidRPr="00E06EF2">
        <w:t>Current Adoption</w:t>
      </w:r>
      <w:bookmarkEnd w:id="15"/>
    </w:p>
    <w:p w14:paraId="05EDA853" w14:textId="2E429D96" w:rsidR="00E06EF2" w:rsidRPr="003D513E" w:rsidRDefault="00E06EF2" w:rsidP="003D513E">
      <w:pPr>
        <w:spacing w:after="0"/>
        <w:rPr>
          <w:color w:val="000000"/>
        </w:rPr>
      </w:pPr>
      <w:r>
        <w:rPr>
          <w:color w:val="000000"/>
        </w:rPr>
        <w:t xml:space="preserve">While accurate and comprehensive datasets on current silvopasture adoption do not currently exist, recent literature estimates total global extent of silvopasture systems at </w:t>
      </w:r>
      <w:r w:rsidR="00D46641">
        <w:rPr>
          <w:color w:val="000000"/>
        </w:rPr>
        <w:t>450 Mha</w:t>
      </w:r>
      <w:r w:rsidR="00B20FC3">
        <w:rPr>
          <w:color w:val="000000"/>
        </w:rPr>
        <w:t xml:space="preserve"> </w:t>
      </w:r>
      <w:r w:rsidR="00B20FC3">
        <w:rPr>
          <w:color w:val="000000"/>
        </w:rPr>
        <w:fldChar w:fldCharType="begin"/>
      </w:r>
      <w:r w:rsidR="00B20FC3">
        <w:rPr>
          <w:color w:val="000000"/>
        </w:rPr>
        <w:instrText xml:space="preserve"> ADDIN ZOTERO_ITEM CSL_CITATION {"citationID":"sZDUBgKm","properties":{"formattedCitation":"(Nair,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locator":"2"}],"schema":"https://github.com/citation-style-language/schema/raw/master/csl-citation.json"} </w:instrText>
      </w:r>
      <w:r w:rsidR="00B20FC3">
        <w:rPr>
          <w:color w:val="000000"/>
        </w:rPr>
        <w:fldChar w:fldCharType="separate"/>
      </w:r>
      <w:r w:rsidR="00B20FC3" w:rsidRPr="00B20FC3">
        <w:rPr>
          <w:rFonts w:cs="Times New Roman"/>
        </w:rPr>
        <w:t>(Nair, 2012)</w:t>
      </w:r>
      <w:r w:rsidR="00B20FC3">
        <w:rPr>
          <w:color w:val="000000"/>
        </w:rPr>
        <w:fldChar w:fldCharType="end"/>
      </w:r>
      <w:r w:rsidR="00D46641">
        <w:rPr>
          <w:color w:val="000000"/>
        </w:rPr>
        <w:t xml:space="preserve"> to </w:t>
      </w:r>
      <w:r>
        <w:rPr>
          <w:color w:val="000000"/>
        </w:rPr>
        <w:t>550 Mha</w:t>
      </w:r>
      <w:r w:rsidR="00B20FC3">
        <w:rPr>
          <w:color w:val="000000"/>
        </w:rPr>
        <w:t xml:space="preserve"> </w:t>
      </w:r>
      <w:r w:rsidR="00B20FC3">
        <w:rPr>
          <w:color w:val="000000"/>
        </w:rPr>
        <w:fldChar w:fldCharType="begin"/>
      </w:r>
      <w:r w:rsidR="00B20FC3">
        <w:rPr>
          <w:color w:val="000000"/>
        </w:rPr>
        <w:instrText xml:space="preserve"> ADDIN ZOTERO_ITEM CSL_CITATION {"citationID":"nzAhx36e","properties":{"formattedCitation":"(Lorenz and Lal, 2018)","plainCitation":"(Lorenz and Lal, 2018)","noteIndex":0},"citationItems":[{"id":762,"uris":["http://zotero.org/groups/2241939/items/RTNFGNUT"],"uri":["http://zotero.org/groups/2241939/items/RTNFGNUT"],"itemData":{"id":762,"type":"book","title":"Carbon Sequestration in Agricultural Ecosystems","publisher":"Springer International Publishing","publisher-place":"Cham","source":"Crossref","event-place":"Cham","URL":"http://link.springer.com/10.1007/978-3-319-92318-5","ISBN":"978-3-319-92317-8","note":"DOI: 10.1007/978-3-319-92318-5","language":"en","author":[{"family":"Lorenz","given":"Klaus"},{"family":"Lal","given":"Rattan"}],"issued":{"date-parts":[["2018"]]},"accessed":{"date-parts":[["2018",11,7]]}}}],"schema":"https://github.com/citation-style-language/schema/raw/master/csl-citation.json"} </w:instrText>
      </w:r>
      <w:r w:rsidR="00B20FC3">
        <w:rPr>
          <w:color w:val="000000"/>
        </w:rPr>
        <w:fldChar w:fldCharType="separate"/>
      </w:r>
      <w:r w:rsidR="00B20FC3" w:rsidRPr="00B20FC3">
        <w:rPr>
          <w:rFonts w:cs="Times New Roman"/>
        </w:rPr>
        <w:t>(Lorenz and Lal, 2018)</w:t>
      </w:r>
      <w:r w:rsidR="00B20FC3">
        <w:rPr>
          <w:color w:val="000000"/>
        </w:rPr>
        <w:fldChar w:fldCharType="end"/>
      </w:r>
      <w:r>
        <w:rPr>
          <w:color w:val="000000"/>
        </w:rPr>
        <w:t xml:space="preserve">. Nevertheless, existing regional data indicates that silvopasture adoption is widespread. For instance, estimates for Latin America report a total of 85 Mha for the region of which </w:t>
      </w:r>
      <w:r w:rsidRPr="0028169B">
        <w:rPr>
          <w:color w:val="000000"/>
        </w:rPr>
        <w:t>16.8 Mha are in Colombia and 4.4 Mha in Nicaragua</w:t>
      </w:r>
      <w:r w:rsidR="00C856AC" w:rsidRPr="0028169B">
        <w:rPr>
          <w:color w:val="000000"/>
        </w:rPr>
        <w:t xml:space="preserve"> </w:t>
      </w:r>
      <w:r w:rsidR="00C856AC">
        <w:rPr>
          <w:color w:val="000000"/>
          <w:lang w:val="it-IT"/>
        </w:rPr>
        <w:fldChar w:fldCharType="begin"/>
      </w:r>
      <w:r w:rsidR="00C856AC" w:rsidRPr="0028169B">
        <w:rPr>
          <w:color w:val="000000"/>
        </w:rPr>
        <w:instrText xml:space="preserve"> ADDIN ZOTERO_ITEM CSL_CITATION {"citationID":"iHmyy77N","properties":{"formattedCitation":"(Somarriba et al., 2012)","plainCitation":"(Somarriba et al., 2012)","noteIndex":0},"citationItems":[{"id":1547,"uris":["http://zotero.org/groups/2241939/items/8MFE7WYG"],"uri":["http://zotero.org/groups/2241939/items/8MFE7WYG"],"itemData":{"id":1547,"type":"chapter","title":"Mainstreaming Agroforestry in Latin America","container-title":"Agroforestry - The Future of Global Land Use","collection-title":"Advances in Agroforestry","collection-number":"9","publisher":"Springer Netherlands","page":"429-453","source":"link.springer.com.proxy.library.cornell.edu","abstract":"Agroforestry covers between 200 and 357 million hectares in Latin America, including 14–26 million hectares in Central America and 88–315 million hectares in South America. Commercial silvopastoral systems and shaded tree-crop systems (involving crops such as of coffee, Coffea spp., and cacao, Theobroma cacao L.) are the most prominent agroforestry examples in the region. Agroforestry has permeated into multiple sectors of modern Latin American societies and is now included in the agendas of the international community; in national laws, institutions, and policies; in a growing body of science and technology; and in the practice by ­farmers, ranchers, and other land users. In this </w:instrText>
      </w:r>
      <w:r w:rsidR="00C856AC">
        <w:rPr>
          <w:color w:val="000000"/>
          <w:lang w:val="it-IT"/>
        </w:rPr>
        <w:instrText>chapter, we explored the status and trends of Latin American agroforestry in five sectors: (1) rural development, (2) international cooperation, (3) science and technology, (4) legal-institutional-policy (public and private) frameworks, and (5) education and training. The analysis considered various geographical levels, including the Latin American subcontinent, the Central America regio</w:instrText>
      </w:r>
      <w:r w:rsidR="00C856AC" w:rsidRPr="0028169B">
        <w:rPr>
          <w:color w:val="000000"/>
        </w:rPr>
        <w:instrText xml:space="preserve">n, and three countries individually – Nicaragua, Colombia, and Peru. This article shows the notorious relevance of agroforestry in Latin America and concludes that agroforestry has developed significantly, but unevenly, in sectors and countries in Latin America. Simultaneous actions are needed in all sectors and countries to mainstream agroforestry and to increase its visibility in modern Latin American societies","URL":"http://link.springer.com/chapter/10.1007/978-94-007-4676-3_21","ISBN":"978-94-007-4675-6","note":"DOI: 10.1007/978-94-007-4676-3_21","language":"en","author":[{"family":"Somarriba","given":"Eduardo"},{"family":"Beer","given":"John"},{"family":"Alegre-Orihuela","given":"Julio"},{"family":"Andrade","given":"Hernán J."},{"family":"Cerda","given":"Rolando"},{"family":"DeClerck","given":"Fabrice"},{"family":"Detlefsen","given":"Guillermo"},{"family":"Escalante","given":"Maybeline"},{"family":"Giraldo","given":"Luis A."},{"family":"Ibrahim","given":"Muhammad"},{"family":"Krishnamurthy","given":"L."},{"family":"Mena-Mosquera","given":"Víctor E."},{"family":"Mora-Degado","given":"Jairo R."},{"family":"Orozco","given":"Luis"},{"family":"Scheelje","given":"Mauricio"},{"family":"Campos","given":"José J."}],"editor":[{"family":"Nair","given":"P. K. Ramachandran"},{"family":"Garrity","given":"Dennis"}],"issued":{"date-parts":[["2012"]]},"accessed":{"date-parts":[["2016",6,14]]}}}],"schema":"https://github.com/citation-style-language/schema/raw/master/csl-citation.json"} </w:instrText>
      </w:r>
      <w:r w:rsidR="00C856AC">
        <w:rPr>
          <w:color w:val="000000"/>
          <w:lang w:val="it-IT"/>
        </w:rPr>
        <w:fldChar w:fldCharType="separate"/>
      </w:r>
      <w:r w:rsidR="00C856AC" w:rsidRPr="00C856AC">
        <w:rPr>
          <w:rFonts w:cs="Times New Roman"/>
        </w:rPr>
        <w:t>(Somarriba et al., 2012)</w:t>
      </w:r>
      <w:r w:rsidR="00C856AC">
        <w:rPr>
          <w:color w:val="000000"/>
          <w:lang w:val="it-IT"/>
        </w:rPr>
        <w:fldChar w:fldCharType="end"/>
      </w:r>
      <w:r w:rsidRPr="0028169B">
        <w:rPr>
          <w:color w:val="000000"/>
        </w:rPr>
        <w:t xml:space="preserve">. </w:t>
      </w:r>
      <w:r w:rsidR="00C856AC">
        <w:rPr>
          <w:color w:val="000000"/>
          <w:lang w:val="it-IT"/>
        </w:rPr>
        <w:fldChar w:fldCharType="begin"/>
      </w:r>
      <w:r w:rsidR="00C856AC" w:rsidRPr="0028169B">
        <w:rPr>
          <w:color w:val="000000"/>
        </w:rPr>
        <w:instrText xml:space="preserve"> ADDIN ZOTERO_ITEM CSL_CITATION {"citationID":"bohohujH","properties":{"formattedCitation":"(Zomer et al., 2009)","plainCitation":"(Zomer et al., 2009)","noteIndex":0},"citationItems":[{"id":547,"uris":["http://zotero.org/groups/2241939/items/3KP9ISZE"],"uri":["http://zotero.org/groups/2241939/items/3KP9ISZE"],"itemData":{"id":547,"type":"report","title":"Trees on Farm: Analysis of Global Extent and Geographic Patterns of Agroforestry","publisher":"World Agroforestry Centre","publisher-place":"Nairobi, Kenya","event-place":"Nairobi, Kenya","URL":"http://www.worldagroforestry.org/sites/default/files/WP89_text_only.pdf","number":"ICRAF Working Paper no. 89","author":[{"family":"Zomer","given":"R. J."},{"family":"Trabucco","given":"A."},{"family":"Coe","given":"R."},{"family":"Place","given":"F"}],"issued":{"date-parts":[["2009"]]}}}],"schema":"https://github.com/citation-style-language/schema/raw/master/csl-citation.json"} </w:instrText>
      </w:r>
      <w:r w:rsidR="00C856AC">
        <w:rPr>
          <w:color w:val="000000"/>
          <w:lang w:val="it-IT"/>
        </w:rPr>
        <w:fldChar w:fldCharType="separate"/>
      </w:r>
      <w:r w:rsidR="00A06F54" w:rsidRPr="00A06F54">
        <w:rPr>
          <w:rFonts w:cs="Times New Roman"/>
        </w:rPr>
        <w:t>(Zomer et al., 2009)</w:t>
      </w:r>
      <w:r w:rsidR="00C856AC">
        <w:rPr>
          <w:color w:val="000000"/>
          <w:lang w:val="it-IT"/>
        </w:rPr>
        <w:fldChar w:fldCharType="end"/>
      </w:r>
      <w:r>
        <w:rPr>
          <w:color w:val="000000"/>
        </w:rPr>
        <w:t xml:space="preserve"> report 9.2 Mha of silvopastures in Central America, and a study by</w:t>
      </w:r>
      <w:r w:rsidR="000E534E">
        <w:rPr>
          <w:color w:val="000000"/>
        </w:rPr>
        <w:t xml:space="preserve"> </w:t>
      </w:r>
      <w:r w:rsidR="000E534E">
        <w:rPr>
          <w:color w:val="000000"/>
        </w:rPr>
        <w:fldChar w:fldCharType="begin"/>
      </w:r>
      <w:r w:rsidR="000E534E">
        <w:rPr>
          <w:color w:val="000000"/>
        </w:rPr>
        <w:instrText xml:space="preserve"> ADDIN ZOTERO_ITEM CSL_CITATION {"citationID":"5mgl0G3h","properties":{"formattedCitation":"(Montagnini et al., 2013)","plainCitation":"(Montagnini et al., 2013)","noteIndex":0},"citationItems":[{"id":1979,"uris":["http://zotero.org/groups/2241939/items/ND5KP5XU"],"uri":["http://zotero.org/groups/2241939/items/ND5KP5XU"],"itemData":{"id":1979,"type":"article-journal","title":"Silvopastoral systems and climate change mitigation in Latin America","container-title":"Bois et Forets des Tropiques","collection-title":"Silvopastoralisme","volume":"316","issue":"2","author":[{"family":"Montagnini","given":"Florencia"},{"family":"Ibrahim","given":"Muhammad"},{"family":"Murgueitio Restrepo","given":"Enrique"}],"issued":{"date-parts":[["2013"]]}}}],"schema":"https://github.com/citation-style-language/schema/raw/master/csl-citation.json"} </w:instrText>
      </w:r>
      <w:r w:rsidR="000E534E">
        <w:rPr>
          <w:color w:val="000000"/>
        </w:rPr>
        <w:fldChar w:fldCharType="separate"/>
      </w:r>
      <w:r w:rsidR="00A06F54" w:rsidRPr="00A06F54">
        <w:rPr>
          <w:rFonts w:cs="Times New Roman"/>
        </w:rPr>
        <w:t>(Montagnini et al., 2013)</w:t>
      </w:r>
      <w:r w:rsidR="000E534E">
        <w:rPr>
          <w:color w:val="000000"/>
        </w:rPr>
        <w:fldChar w:fldCharType="end"/>
      </w:r>
      <w:r>
        <w:rPr>
          <w:color w:val="000000"/>
        </w:rPr>
        <w:t xml:space="preserve"> found that as much as 90% of Costa Rican ranches contained dispersed trees. There are 15.1 Mha of silvopasture in Europe, making it the EU’s most widespread agroforestry system</w:t>
      </w:r>
      <w:r w:rsidR="00E51FDA">
        <w:rPr>
          <w:color w:val="000000"/>
        </w:rPr>
        <w:t xml:space="preserve"> </w:t>
      </w:r>
      <w:r w:rsidR="00E51FDA">
        <w:rPr>
          <w:color w:val="000000"/>
        </w:rPr>
        <w:fldChar w:fldCharType="begin"/>
      </w:r>
      <w:r w:rsidR="00C6373B">
        <w:rPr>
          <w:color w:val="000000"/>
        </w:rPr>
        <w:instrText xml:space="preserve"> ADDIN ZOTERO_ITEM CSL_CITATION {"citationID":"xJUiWcYk","properties":{"formattedCitation":"(den Herder, 2017)","plainCitation":"(den Herder, 2017)","noteIndex":0},"citationItems":[{"id":2004,"uris":["http://zotero.org/groups/2241939/items/S8GI2SXN"],"uri":["http://zotero.org/groups/2241939/items/S8GI2SXN"],"itemData":{"id":2004,"type":"article-journal","title":"Current extent and trends of agroforestry in the EU27","URL":"https://www.researchgate.net/profile/Michael_Herder/publication/315380865_Current_extent_and_trends_of_agroforestry_in_the_EU27/links/58d0fd6e92851c1db43dfb52/Current-extent-and-trends-of-agroforestry-in-the-EU27.pdf","author":[{"family":"Herder","given":"et","non-dropping-particle":"den","dropping-particle":"al."}],"issued":{"date-parts":[["2017"]]}}}],"schema":"https://github.com/citation-style-language/schema/raw/master/csl-citation.json"} </w:instrText>
      </w:r>
      <w:r w:rsidR="00E51FDA">
        <w:rPr>
          <w:color w:val="000000"/>
        </w:rPr>
        <w:fldChar w:fldCharType="separate"/>
      </w:r>
      <w:r w:rsidR="00C6373B" w:rsidRPr="00C6373B">
        <w:rPr>
          <w:rFonts w:cs="Times New Roman"/>
        </w:rPr>
        <w:t>(den Herder, 2017)</w:t>
      </w:r>
      <w:r w:rsidR="00E51FDA">
        <w:rPr>
          <w:color w:val="000000"/>
        </w:rPr>
        <w:fldChar w:fldCharType="end"/>
      </w:r>
      <w:r>
        <w:rPr>
          <w:color w:val="000000"/>
        </w:rPr>
        <w:t xml:space="preserve">. Other regions with </w:t>
      </w:r>
      <w:r w:rsidR="00BE7194">
        <w:rPr>
          <w:color w:val="000000"/>
        </w:rPr>
        <w:t xml:space="preserve">documented </w:t>
      </w:r>
      <w:r>
        <w:rPr>
          <w:color w:val="000000"/>
        </w:rPr>
        <w:t>significant silvopasture extent are North America and Australia and New Zealand</w:t>
      </w:r>
      <w:r w:rsidR="00BE7194">
        <w:rPr>
          <w:color w:val="000000"/>
        </w:rPr>
        <w:t>, while little or no data is available for Central and Eastern Asia or Africa</w:t>
      </w:r>
      <w:r>
        <w:rPr>
          <w:color w:val="000000"/>
        </w:rPr>
        <w:t xml:space="preserve">. </w:t>
      </w:r>
      <w:r w:rsidR="00283911">
        <w:rPr>
          <w:color w:val="000000"/>
        </w:rPr>
        <w:t xml:space="preserve">Globally, </w:t>
      </w:r>
      <w:r>
        <w:rPr>
          <w:color w:val="000000"/>
        </w:rPr>
        <w:t>despite the widespread use of silvopasture systems, conventional grazing remains the dominant form of livestock production systems</w:t>
      </w:r>
      <w:r w:rsidR="00BB65E8">
        <w:rPr>
          <w:color w:val="000000"/>
        </w:rPr>
        <w:t xml:space="preserve">, with current </w:t>
      </w:r>
      <w:r>
        <w:rPr>
          <w:color w:val="000000"/>
        </w:rPr>
        <w:t>estimate</w:t>
      </w:r>
      <w:r w:rsidR="00BB65E8">
        <w:rPr>
          <w:color w:val="000000"/>
        </w:rPr>
        <w:t>s ranging from</w:t>
      </w:r>
      <w:r>
        <w:rPr>
          <w:color w:val="000000"/>
        </w:rPr>
        <w:t xml:space="preserve"> 2</w:t>
      </w:r>
      <w:r w:rsidR="00BB65E8">
        <w:rPr>
          <w:color w:val="000000"/>
        </w:rPr>
        <w:t>,</w:t>
      </w:r>
      <w:r>
        <w:rPr>
          <w:color w:val="000000"/>
        </w:rPr>
        <w:t>000 Mha</w:t>
      </w:r>
      <w:r w:rsidR="00E51FDA">
        <w:rPr>
          <w:color w:val="000000"/>
        </w:rPr>
        <w:t xml:space="preserve"> </w:t>
      </w:r>
      <w:r w:rsidR="00E51FDA">
        <w:rPr>
          <w:color w:val="000000"/>
        </w:rPr>
        <w:fldChar w:fldCharType="begin"/>
      </w:r>
      <w:r w:rsidR="00E51FDA">
        <w:rPr>
          <w:color w:val="000000"/>
        </w:rPr>
        <w:instrText xml:space="preserve"> ADDIN ZOTERO_ITEM CSL_CITATION {"citationID":"iq1Jxjlv","properties":{"formattedCitation":"(Lorenz and Lal, 2018)","plainCitation":"(Lorenz and Lal, 2018)","noteIndex":0},"citationItems":[{"id":762,"uris":["http://zotero.org/groups/2241939/items/RTNFGNUT"],"uri":["http://zotero.org/groups/2241939/items/RTNFGNUT"],"itemData":{"id":762,"type":"book","title":"Carbon Sequestration in Agricultural Ecosystems","publisher":"Springer International Publishing","publisher-place":"Cham","source":"Crossref","event-place":"Cham","URL":"http://link.springer.com/10.1007/978-3-319-92318-5","ISBN":"978-3-319-92317-8","note":"DOI: 10.1007/978-3-319-92318-5","language":"en","author":[{"family":"Lorenz","given":"Klaus"},{"family":"Lal","given":"Rattan"}],"issued":{"date-parts":[["2018"]]},"accessed":{"date-parts":[["2018",11,7]]}}}],"schema":"https://github.com/citation-style-language/schema/raw/master/csl-citation.json"} </w:instrText>
      </w:r>
      <w:r w:rsidR="00E51FDA">
        <w:rPr>
          <w:color w:val="000000"/>
        </w:rPr>
        <w:fldChar w:fldCharType="separate"/>
      </w:r>
      <w:r w:rsidR="00E51FDA" w:rsidRPr="00E51FDA">
        <w:rPr>
          <w:rFonts w:cs="Times New Roman"/>
        </w:rPr>
        <w:t>(Lorenz and Lal, 2018)</w:t>
      </w:r>
      <w:r w:rsidR="00E51FDA">
        <w:rPr>
          <w:color w:val="000000"/>
        </w:rPr>
        <w:fldChar w:fldCharType="end"/>
      </w:r>
      <w:r w:rsidR="00BB65E8">
        <w:rPr>
          <w:color w:val="000000"/>
        </w:rPr>
        <w:t xml:space="preserve"> to 3,312 Mha </w:t>
      </w:r>
      <w:r w:rsidR="00E51FDA">
        <w:rPr>
          <w:color w:val="000000"/>
        </w:rPr>
        <w:fldChar w:fldCharType="begin"/>
      </w:r>
      <w:r w:rsidR="00E51FDA">
        <w:rPr>
          <w:color w:val="000000"/>
        </w:rPr>
        <w:instrText xml:space="preserve"> ADDIN ZOTERO_ITEM CSL_CITATION {"citationID":"si2ISAKT","properties":{"formattedCitation":"(Houghton and Nassikas, 2017)","plainCitation":"(Houghton and Nassikas, 2017)","noteIndex":0},"citationItems":[{"id":1695,"uris":["http://zotero.org/groups/2241939/items/SEV7NV8C"],"uri":["http://zotero.org/groups/2241939/items/SEV7NV8C"],"itemData":{"id":1695,"type":"article-journal","title":"Global and regional fluxes of carbon from land use and land cover change 1850-2015: Carbon Emissions From Land Use","container-title":"Global Biogeochemical Cycles","page":"456-472","volume":"31","issue":"3","source":"Crossref","abstract":"The net ﬂux of carbon from land use and land cover change (LULCC) is an important term in the global carbon balance. Here we report a new estimate of annual ﬂuxes from 1850 to 2015, updating earlier analyses with new estimates of both historical and current rates of LULCC and including emissions from draining and burning of peatlands in Southeast Asia. For most of the 186 countries included we relied on data from Food and Agriculture Organization to document changes in the areas of croplands and pastures since 1960 and changes in the areas of forests and “other land” since 1990. For earlier years we used other sources of information. We used a bookkeeping model that prescribed changes in carbon density of vegetation and soils for 20 types of ecosystems and ﬁve land uses. The total net ﬂux attributable to LULCC over the period 1850–2015 is calculated to have been 145 ± 16 Pg C (1 standard deviation). Most of the emissions were from the tropics (102 ± 5.8 Pg C), generally increasing over time to a maximum of 2.10 Pg C yrÀ1 in 1997. Outside the tropics emissions were roughly constant at 0.5 Pg C yrÀ1 until 1940, declined to zero around 1970, and then became negative. For the most recent decade (2006–2015) global net emissions from LULCC averaged 1.11 (±0.35) Pg C yrÀ1, consisting of a net source from the tropics (1.41 ± 0.17 Pg C yrÀ1), a net sink in northern midlatitudes (À0.28 ± 0.21 Pg C yrÀ1), and carbon neutrality in southern midlatitudes.","DOI":"10.1002/2016GB005546","ISSN":"08866236","shortTitle":"Global and regional fluxes of carbon from land use and land cover change 1850-2015","language":"en","author":[{"family":"Houghton","given":"R. A."},{"family":"Nassikas","given":"Alexander A."}],"issued":{"date-parts":[["2017",3]]}}}],"schema":"https://github.com/citation-style-language/schema/raw/master/csl-citation.json"} </w:instrText>
      </w:r>
      <w:r w:rsidR="00E51FDA">
        <w:rPr>
          <w:color w:val="000000"/>
        </w:rPr>
        <w:fldChar w:fldCharType="separate"/>
      </w:r>
      <w:r w:rsidR="00E51FDA" w:rsidRPr="00E51FDA">
        <w:rPr>
          <w:rFonts w:cs="Times New Roman"/>
        </w:rPr>
        <w:t>(Houghton and Nassikas, 2017)</w:t>
      </w:r>
      <w:r w:rsidR="00E51FDA">
        <w:rPr>
          <w:color w:val="000000"/>
        </w:rPr>
        <w:fldChar w:fldCharType="end"/>
      </w:r>
      <w:r w:rsidR="00E51FDA">
        <w:rPr>
          <w:color w:val="000000"/>
        </w:rPr>
        <w:t xml:space="preserve"> </w:t>
      </w:r>
      <w:r w:rsidR="00BB65E8">
        <w:rPr>
          <w:color w:val="000000"/>
        </w:rPr>
        <w:t>globally.</w:t>
      </w:r>
    </w:p>
    <w:p w14:paraId="7080D9BC" w14:textId="77777777" w:rsidR="00A70C04" w:rsidRPr="003D513E" w:rsidRDefault="551A77D0" w:rsidP="003D513E">
      <w:pPr>
        <w:pStyle w:val="Heading3"/>
      </w:pPr>
      <w:bookmarkStart w:id="16" w:name="_Toc18013301"/>
      <w:r w:rsidRPr="00D8218B">
        <w:t>Trends</w:t>
      </w:r>
      <w:r w:rsidR="000C3205" w:rsidRPr="00D8218B">
        <w:t xml:space="preserve"> </w:t>
      </w:r>
      <w:r w:rsidR="00A53CDF" w:rsidRPr="00D8218B">
        <w:t>to Accelerate Adoption</w:t>
      </w:r>
      <w:bookmarkEnd w:id="16"/>
      <w:r w:rsidR="00A70C04" w:rsidRPr="003D513E">
        <w:t xml:space="preserve"> </w:t>
      </w:r>
    </w:p>
    <w:p w14:paraId="0911A06B" w14:textId="07FF1C63" w:rsidR="004E375F" w:rsidRDefault="004E375F">
      <w:pPr>
        <w:rPr>
          <w:bCs/>
          <w:color w:val="000000" w:themeColor="text1"/>
        </w:rPr>
      </w:pPr>
      <w:r>
        <w:rPr>
          <w:bCs/>
          <w:color w:val="000000" w:themeColor="text1"/>
        </w:rPr>
        <w:t>Tree-based cropping</w:t>
      </w:r>
      <w:r w:rsidRPr="00D57049">
        <w:rPr>
          <w:bCs/>
          <w:color w:val="000000" w:themeColor="text1"/>
        </w:rPr>
        <w:t xml:space="preserve"> systems </w:t>
      </w:r>
      <w:r>
        <w:rPr>
          <w:bCs/>
          <w:color w:val="000000" w:themeColor="text1"/>
        </w:rPr>
        <w:t xml:space="preserve">provide a wide range of benefits including soil and water conservation and carbon </w:t>
      </w:r>
      <w:r w:rsidRPr="00C7202F">
        <w:rPr>
          <w:bCs/>
          <w:color w:val="000000" w:themeColor="text1"/>
        </w:rPr>
        <w:t>sequestration</w:t>
      </w:r>
      <w:r w:rsidR="00EC30D7">
        <w:rPr>
          <w:bCs/>
          <w:color w:val="000000" w:themeColor="text1"/>
        </w:rPr>
        <w:t xml:space="preserve"> </w:t>
      </w:r>
      <w:r w:rsidR="00EC30D7">
        <w:rPr>
          <w:bCs/>
          <w:color w:val="000000" w:themeColor="text1"/>
        </w:rPr>
        <w:fldChar w:fldCharType="begin"/>
      </w:r>
      <w:r w:rsidR="00EC30D7">
        <w:rPr>
          <w:bCs/>
          <w:color w:val="000000" w:themeColor="text1"/>
        </w:rPr>
        <w:instrText xml:space="preserve"> ADDIN ZOTERO_ITEM CSL_CITATION {"citationID":"ZpG5Tofv","properties":{"formattedCitation":"(Pimentel et al., 2012)","plainCitation":"(Pimentel et al., 2012)","noteIndex":0},"citationItems":[{"id":3105,"uris":["http://zotero.org/groups/2241939/items/HFITPX8A"],"uri":["http://zotero.org/groups/2241939/items/HFITPX8A"],"itemData":{"id":3105,"type":"article-journal","title":"Annual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EC30D7">
        <w:rPr>
          <w:bCs/>
          <w:color w:val="000000" w:themeColor="text1"/>
        </w:rPr>
        <w:fldChar w:fldCharType="separate"/>
      </w:r>
      <w:r w:rsidR="00EC30D7" w:rsidRPr="00EC30D7">
        <w:rPr>
          <w:rFonts w:cs="Times New Roman"/>
        </w:rPr>
        <w:t>(Pimentel et al., 2012)</w:t>
      </w:r>
      <w:r w:rsidR="00EC30D7">
        <w:rPr>
          <w:bCs/>
          <w:color w:val="000000" w:themeColor="text1"/>
        </w:rPr>
        <w:fldChar w:fldCharType="end"/>
      </w:r>
      <w:r w:rsidR="005540FC">
        <w:rPr>
          <w:bCs/>
          <w:color w:val="000000" w:themeColor="text1"/>
        </w:rPr>
        <w:t>s</w:t>
      </w:r>
      <w:r w:rsidRPr="00C7202F">
        <w:rPr>
          <w:bCs/>
          <w:color w:val="000000" w:themeColor="text1"/>
        </w:rPr>
        <w:t>. For</w:t>
      </w:r>
      <w:r>
        <w:rPr>
          <w:bCs/>
          <w:color w:val="000000" w:themeColor="text1"/>
        </w:rPr>
        <w:t xml:space="preserve"> this reason, tree-based food systems like silvopastures, have been gaining traction at the international stage as a strategy for “climate-smart” agriculture, landscape restoration and carbon sequestration. I</w:t>
      </w:r>
      <w:r w:rsidRPr="009D42F9">
        <w:rPr>
          <w:bCs/>
          <w:color w:val="000000" w:themeColor="text1"/>
        </w:rPr>
        <w:t xml:space="preserve">ncreased interest in </w:t>
      </w:r>
      <w:r>
        <w:rPr>
          <w:bCs/>
          <w:color w:val="000000" w:themeColor="text1"/>
        </w:rPr>
        <w:t xml:space="preserve">such </w:t>
      </w:r>
      <w:r w:rsidRPr="009D42F9">
        <w:rPr>
          <w:bCs/>
          <w:color w:val="000000" w:themeColor="text1"/>
        </w:rPr>
        <w:t xml:space="preserve">“climate-smart” practices may provide </w:t>
      </w:r>
      <w:r>
        <w:rPr>
          <w:bCs/>
          <w:color w:val="000000" w:themeColor="text1"/>
        </w:rPr>
        <w:lastRenderedPageBreak/>
        <w:t>significant</w:t>
      </w:r>
      <w:r w:rsidRPr="009D42F9">
        <w:rPr>
          <w:bCs/>
          <w:color w:val="000000" w:themeColor="text1"/>
        </w:rPr>
        <w:t xml:space="preserve"> opportunity to scale up the adoption of </w:t>
      </w:r>
      <w:r w:rsidR="00606B85">
        <w:rPr>
          <w:bCs/>
          <w:color w:val="000000" w:themeColor="text1"/>
        </w:rPr>
        <w:t xml:space="preserve">silvopasture </w:t>
      </w:r>
      <w:r w:rsidRPr="009D42F9">
        <w:rPr>
          <w:bCs/>
          <w:color w:val="000000" w:themeColor="text1"/>
        </w:rPr>
        <w:t xml:space="preserve">systems, as their impact on both is powerful </w:t>
      </w:r>
      <w:r w:rsidR="005540FC">
        <w:rPr>
          <w:bCs/>
          <w:color w:val="000000" w:themeColor="text1"/>
        </w:rPr>
        <w:fldChar w:fldCharType="begin"/>
      </w:r>
      <w:r w:rsidR="005540FC">
        <w:rPr>
          <w:bCs/>
          <w:color w:val="000000" w:themeColor="text1"/>
        </w:rPr>
        <w:instrText xml:space="preserve"> ADDIN ZOTERO_ITEM CSL_CITATION {"citationID":"42GXJYzk","properties":{"formattedCitation":"(Harvey et al., 2014; Montagnini, 2015)","plainCitation":"(Harvey et al., 2014; Montagnini, 2015)","noteIndex":0},"citationItems":[{"id":522,"uris":["http://zotero.org/groups/2241939/items/C9EZYT2Y"],"uri":["http://zotero.org/groups/2241939/items/C9EZYT2Y"],"itemData":{"id":522,"type":"article-journal","title":"Climate-Smart Landscapes: Opportunities and Challenges for Integrating Adaptation and Mitigation in Tropical Agriculture: Climate-smart landscapes","container-title":"Conservation Letters","page":"77-90","volume":"7","issue":"2","source":"CrossRef","DOI":"10.1111/conl.12066","ISSN":"1755263X","shortTitle":"Climate-Smart Landscapes","language":"en","author":[{"family":"Harvey","given":"Celia A."},{"family":"Chacón","given":"Mario"},{"family":"Donatti","given":"Camila I."},{"family":"Garen","given":"Eva"},{"family":"Hannah","given":"Lee"},{"family":"Andrade","given":"Angela"},{"family":"Bede","given":"Lucio"},{"family":"Brown","given":"Douglas"},{"family":"Calle","given":"Alicia"},{"family":"Chará","given":"Julian"},{"family":"Clement","given":"Christopher"},{"family":"Gray","given":"Elizabeth"},{"family":"Hoang","given":"Minh Ha"},{"family":"Minang","given":"Peter"},{"family":"Rodríguez","given":"Ana María"},{"family":"Seeberg-Elverfeldt","given":"Christina"},{"family":"Semroc","given":"Bambi"},{"family":"Shames","given":"Seth"},{"family":"Smukler","given":"Sean"},{"family":"Somarriba","given":"Eduardo"},{"family":"Torquebiau","given":"Emmanuel"},{"family":"Etten","given":"Jacob","non-dropping-particle":"van"},{"family":"Wollenberg","given":"Eva"}],"issued":{"date-parts":[["2014",3]]}}},{"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5540FC">
        <w:rPr>
          <w:bCs/>
          <w:color w:val="000000" w:themeColor="text1"/>
        </w:rPr>
        <w:fldChar w:fldCharType="separate"/>
      </w:r>
      <w:r w:rsidR="005540FC" w:rsidRPr="005540FC">
        <w:rPr>
          <w:rFonts w:cs="Times New Roman"/>
        </w:rPr>
        <w:t>(Harvey et al., 2014; Montagnini, 2015)</w:t>
      </w:r>
      <w:r w:rsidR="005540FC">
        <w:rPr>
          <w:bCs/>
          <w:color w:val="000000" w:themeColor="text1"/>
        </w:rPr>
        <w:fldChar w:fldCharType="end"/>
      </w:r>
      <w:r>
        <w:rPr>
          <w:bCs/>
          <w:color w:val="000000" w:themeColor="text1"/>
        </w:rPr>
        <w:t xml:space="preserve">. </w:t>
      </w:r>
    </w:p>
    <w:p w14:paraId="302385AF" w14:textId="56EBB9B9" w:rsidR="00B51F1B" w:rsidRDefault="004E375F">
      <w:pPr>
        <w:rPr>
          <w:color w:val="000000"/>
        </w:rPr>
      </w:pPr>
      <w:r>
        <w:rPr>
          <w:color w:val="000000"/>
        </w:rPr>
        <w:t>Silvopastures can be competitive in comparison with conventional systems. They have been associated with</w:t>
      </w:r>
      <w:r w:rsidR="00A70C04">
        <w:rPr>
          <w:color w:val="000000"/>
        </w:rPr>
        <w:t xml:space="preserve"> higher profit</w:t>
      </w:r>
      <w:r>
        <w:rPr>
          <w:color w:val="000000"/>
        </w:rPr>
        <w:t>ability for farmers,</w:t>
      </w:r>
      <w:r w:rsidR="00A70C04">
        <w:rPr>
          <w:color w:val="000000"/>
        </w:rPr>
        <w:t xml:space="preserve"> </w:t>
      </w:r>
      <w:r>
        <w:rPr>
          <w:color w:val="000000"/>
        </w:rPr>
        <w:t>as the added</w:t>
      </w:r>
      <w:r w:rsidR="00A70C04">
        <w:rPr>
          <w:color w:val="000000"/>
        </w:rPr>
        <w:t xml:space="preserve"> tree &amp; livestock components </w:t>
      </w:r>
      <w:r>
        <w:rPr>
          <w:color w:val="000000"/>
        </w:rPr>
        <w:t>of the systems p</w:t>
      </w:r>
      <w:r w:rsidR="00A70C04">
        <w:rPr>
          <w:color w:val="000000"/>
        </w:rPr>
        <w:t>roduce similarly than they would in single-component system</w:t>
      </w:r>
      <w:r>
        <w:rPr>
          <w:color w:val="000000"/>
        </w:rPr>
        <w:t>.</w:t>
      </w:r>
      <w:r w:rsidR="00372A6B">
        <w:rPr>
          <w:color w:val="000000"/>
        </w:rPr>
        <w:t xml:space="preserve"> improved microclimate for cattle (protection from frost and sun); long-term investment + short-term returns</w:t>
      </w:r>
      <w:r>
        <w:rPr>
          <w:color w:val="000000"/>
        </w:rPr>
        <w:t>. The inclusion of tree-based crops such as mesquite or cork-oak in grazing systems can contributes to</w:t>
      </w:r>
      <w:r w:rsidR="00372A6B">
        <w:rPr>
          <w:color w:val="000000"/>
        </w:rPr>
        <w:t xml:space="preserve"> income diversification</w:t>
      </w:r>
      <w:r>
        <w:rPr>
          <w:color w:val="000000"/>
        </w:rPr>
        <w:t xml:space="preserve"> and risk mitigation, including from </w:t>
      </w:r>
      <w:r w:rsidR="00372A6B">
        <w:rPr>
          <w:color w:val="000000"/>
        </w:rPr>
        <w:t>forest fire</w:t>
      </w:r>
      <w:r>
        <w:rPr>
          <w:color w:val="000000"/>
        </w:rPr>
        <w:t>s. Trees further increase general ecosystem resilience, leading to less costs for farmers relating to herbicides and pesticides to address</w:t>
      </w:r>
      <w:r w:rsidR="00372A6B">
        <w:rPr>
          <w:color w:val="000000"/>
        </w:rPr>
        <w:t xml:space="preserve"> weeds, pests</w:t>
      </w:r>
      <w:r>
        <w:rPr>
          <w:color w:val="000000"/>
        </w:rPr>
        <w:t xml:space="preserve"> or</w:t>
      </w:r>
      <w:r w:rsidR="00372A6B">
        <w:rPr>
          <w:color w:val="000000"/>
        </w:rPr>
        <w:t xml:space="preserve"> pathogen</w:t>
      </w:r>
      <w:r>
        <w:rPr>
          <w:color w:val="000000"/>
        </w:rPr>
        <w:t xml:space="preserve"> issues </w:t>
      </w:r>
      <w:r w:rsidR="004E5DE7">
        <w:rPr>
          <w:color w:val="000000"/>
        </w:rPr>
        <w:fldChar w:fldCharType="begin"/>
      </w:r>
      <w:r w:rsidR="004E5DE7">
        <w:rPr>
          <w:color w:val="000000"/>
        </w:rPr>
        <w:instrText xml:space="preserve"> ADDIN ZOTERO_ITEM CSL_CITATION {"citationID":"afP7KXT9","properties":{"formattedCitation":"(Cubbage et al., 2012)","plainCitation":"(Cubbage et al., 2012)","noteIndex":0},"citationItems":[{"id":1975,"uris":["http://zotero.org/groups/2241939/items/6NVCSHR5"],"uri":["http://zotero.org/groups/2241939/items/6NVCSHR5"],"itemData":{"id":1975,"type":"article-journal","title":"Comparing silvopastoral systems and prospects in eight regions of the world","container-title":"Agroforestry Systems","page":"303-314","volume":"86","issue":"3","source":"Crossref","DOI":"10.1007/s10457-012-9482-z","ISSN":"0167-4366, 1572-9680","language":"en","author":[{"family":"Cubbage","given":"Frederick"},{"family":"Balmelli","given":"Gustavo"},{"family":"Bussoni","given":"Adriana"},{"family":"Noellemeyer","given":"Elke"},{"family":"Pachas","given":"Anibal N."},{"family":"Fassola","given":"Hugo"},{"family":"Colcombet","given":"Luis"},{"family":"Rossner","given":"Belén"},{"family":"Frey","given":"Gregory"},{"family":"Dube","given":"Francis"},{"family":"Silva","given":"Marcio Lopes","non-dropping-particle":"de"},{"family":"Stevenson","given":"Hayley"},{"family":"Hamilton","given":"James"},{"family":"Hubbard","given":"William"}],"issued":{"date-parts":[["2012",11]]}}}],"schema":"https://github.com/citation-style-language/schema/raw/master/csl-citation.json"} </w:instrText>
      </w:r>
      <w:r w:rsidR="004E5DE7">
        <w:rPr>
          <w:color w:val="000000"/>
        </w:rPr>
        <w:fldChar w:fldCharType="separate"/>
      </w:r>
      <w:r w:rsidR="004E5DE7" w:rsidRPr="004E5DE7">
        <w:rPr>
          <w:rFonts w:cs="Times New Roman"/>
        </w:rPr>
        <w:t>(Cubbage et al., 2012)</w:t>
      </w:r>
      <w:r w:rsidR="004E5DE7">
        <w:rPr>
          <w:color w:val="000000"/>
        </w:rPr>
        <w:fldChar w:fldCharType="end"/>
      </w:r>
      <w:r w:rsidR="004E5DE7">
        <w:rPr>
          <w:color w:val="000000"/>
        </w:rPr>
        <w:t>.</w:t>
      </w:r>
    </w:p>
    <w:p w14:paraId="70F72307" w14:textId="02279ADE" w:rsidR="00C9178D" w:rsidRDefault="00C9178D" w:rsidP="00C9178D">
      <w:pPr>
        <w:rPr>
          <w:color w:val="000000"/>
        </w:rPr>
      </w:pPr>
      <w:r>
        <w:rPr>
          <w:color w:val="000000"/>
        </w:rPr>
        <w:t>Maximizing adoption will entail helping producers to both bear the initial costs of establishing silvopasture systems and educating them about silvopasture and its potential environmental and financial benefits. Costa Rica, Colombia, and Nicaragua have all created programs that pay ranchers for the ecosystem services planting trees on their ranches create</w:t>
      </w:r>
      <w:r w:rsidR="00375DCF">
        <w:rPr>
          <w:color w:val="000000"/>
        </w:rPr>
        <w:t xml:space="preserve"> </w:t>
      </w:r>
      <w:r w:rsidR="00375DCF">
        <w:rPr>
          <w:color w:val="000000"/>
        </w:rPr>
        <w:fldChar w:fldCharType="begin"/>
      </w:r>
      <w:r w:rsidR="00375DCF">
        <w:rPr>
          <w:color w:val="000000"/>
        </w:rPr>
        <w:instrText xml:space="preserve"> ADDIN ZOTERO_ITEM CSL_CITATION {"citationID":"D2AI8vA9","properties":{"formattedCitation":"(Pagiola et al., 2007)","plainCitation":"(Pagiola et al., 2007)","noteIndex":0},"citationItems":[{"id":2071,"uris":["http://zotero.org/groups/2241939/items/TVG4H255"],"uri":["http://zotero.org/groups/2241939/items/TVG4H255"],"itemData":{"id":2071,"type":"article-journal","title":"Paying for the environmental services of silvopastoral practices in Nicaragua","container-title":"Ecological Economics","page":"374-385","volume":"64","issue":"2","source":"Crossref","abstract":"Agricultural landscapes can provide many valuable ecosystem services, but many are externalities from the perspective of farmers and so tend to be under-produced. This paper examines an effort to make direct payments for ecosystem services (PES) in an agricultural landscape. The Regional Integrated Silvopastoral Ecosystem Management Project is piloting the use of PES to induce adoption of silvopastoral practices in the Matiguás–Río Blanco area in Nicaragua. Silvopastoral practices could substantially improve service provision while retaining agricultural production, but they have found only limited acceptance among farmers. The Silvopastoral Project seeks to increase their adoption by paying farmers for the expected increase in biodiversity conservation and carbon sequestration services that these practices would provide. The Project developed an ‘environmental services index’ (ESI) and pays participants for net increases in ESI points. Although the Silvopastoral Project is still underway, it already appears to have succeeded in inducing farmers to increase substantially the use of practices that generate higher levels of ecosystem services. In the project's first two years, over 24% of the total area experienced some form of land use change. The area of degraded pasture fell by two thirds, while pastures with high tree density increased substantially, as did fodder banks and live fences. On-going monitoring indicates that these land use changes are in fact generating the desired services. Questions remain about the long-term sustainability of the approach, however. To ensure sustainability, long-term payments are likely to be needed, raising the question of how they will be financed. Payments by water users and by carbon buyers provide a partial answer to this challenge, but still leave many gaps.","DOI":"10.1016/j.ecolecon.2007.04.014","ISSN":"09218009","language":"en","author":[{"family":"Pagiola","given":"Stefano"},{"family":"Ramírez","given":"Elías"},{"family":"Gobbi","given":"José"},{"family":"Haan","given":"Cees","non-dropping-particle":"de"},{"family":"Ibrahim","given":"Muhammad"},{"family":"Murgueitio","given":"Enrique"},{"family":"Ruíz","given":"Juan Pablo"}],"issued":{"date-parts":[["2007",12]]}}}],"schema":"https://github.com/citation-style-language/schema/raw/master/csl-citation.json"} </w:instrText>
      </w:r>
      <w:r w:rsidR="00375DCF">
        <w:rPr>
          <w:color w:val="000000"/>
        </w:rPr>
        <w:fldChar w:fldCharType="separate"/>
      </w:r>
      <w:r w:rsidR="00375DCF" w:rsidRPr="00375DCF">
        <w:rPr>
          <w:rFonts w:cs="Times New Roman"/>
        </w:rPr>
        <w:t>(Pagiola et al., 2007)</w:t>
      </w:r>
      <w:r w:rsidR="00375DCF">
        <w:rPr>
          <w:color w:val="000000"/>
        </w:rPr>
        <w:fldChar w:fldCharType="end"/>
      </w:r>
      <w:r>
        <w:rPr>
          <w:color w:val="000000"/>
        </w:rPr>
        <w:t>. Programs such as these can help to defray some of the first costs by providing more immediate compensation. To encourage producers to consider adopting silvopasture, groups like</w:t>
      </w:r>
      <w:r w:rsidR="00B51F1B">
        <w:rPr>
          <w:color w:val="000000"/>
        </w:rPr>
        <w:t xml:space="preserve"> the Centre for Research on Sustainable Agriculture (</w:t>
      </w:r>
      <w:r>
        <w:rPr>
          <w:color w:val="000000"/>
        </w:rPr>
        <w:t>CIPAV</w:t>
      </w:r>
      <w:r w:rsidR="00B51F1B">
        <w:rPr>
          <w:color w:val="000000"/>
        </w:rPr>
        <w:t>)</w:t>
      </w:r>
      <w:r>
        <w:rPr>
          <w:color w:val="000000"/>
        </w:rPr>
        <w:t xml:space="preserve"> in Colombia are utilizing pilot farms, capacity building workshops, and advocating with organizations in the sector and local policymakers</w:t>
      </w:r>
      <w:r w:rsidR="00B51F1B">
        <w:rPr>
          <w:color w:val="000000"/>
        </w:rPr>
        <w:t xml:space="preserve"> </w:t>
      </w:r>
      <w:r w:rsidR="002C476C">
        <w:rPr>
          <w:color w:val="000000"/>
        </w:rPr>
        <w:fldChar w:fldCharType="begin"/>
      </w:r>
      <w:r w:rsidR="002C476C">
        <w:rPr>
          <w:color w:val="000000"/>
        </w:rPr>
        <w:instrText xml:space="preserve"> ADDIN ZOTERO_ITEM CSL_CITATION {"citationID":"nSmdYa1V","properties":{"formattedCitation":"(Montagnini et al., 2013)","plainCitation":"(Montagnini et al., 2013)","noteIndex":0},"citationItems":[{"id":1979,"uris":["http://zotero.org/groups/2241939/items/ND5KP5XU"],"uri":["http://zotero.org/groups/2241939/items/ND5KP5XU"],"itemData":{"id":1979,"type":"article-journal","title":"Silvopastoral systems and climate change mitigation in Latin America","container-title":"Bois et Forets des Tropiques","collection-title":"Silvopastoralisme","volume":"316","issue":"2","author":[{"family":"Montagnini","given":"Florencia"},{"family":"Ibrahim","given":"Muhammad"},{"family":"Murgueitio Restrepo","given":"Enrique"}],"issued":{"date-parts":[["2013"]]}}}],"schema":"https://github.com/citation-style-language/schema/raw/master/csl-citation.json"} </w:instrText>
      </w:r>
      <w:r w:rsidR="002C476C">
        <w:rPr>
          <w:color w:val="000000"/>
        </w:rPr>
        <w:fldChar w:fldCharType="separate"/>
      </w:r>
      <w:r w:rsidR="002C476C" w:rsidRPr="002C476C">
        <w:rPr>
          <w:rFonts w:cs="Times New Roman"/>
        </w:rPr>
        <w:t>(Montagnini et al., 2013)</w:t>
      </w:r>
      <w:r w:rsidR="002C476C">
        <w:rPr>
          <w:color w:val="000000"/>
        </w:rPr>
        <w:fldChar w:fldCharType="end"/>
      </w:r>
      <w:r>
        <w:rPr>
          <w:color w:val="000000"/>
        </w:rPr>
        <w:t>.</w:t>
      </w:r>
    </w:p>
    <w:p w14:paraId="75E568A4" w14:textId="135BE7CC" w:rsidR="001976F7" w:rsidRPr="00B51F1B" w:rsidRDefault="00C9178D">
      <w:r>
        <w:rPr>
          <w:color w:val="000000"/>
        </w:rPr>
        <w:t>Silvopasture may also expand simply because cattle ranching is expanding as demand for meat, and specifically beef, increases globally. In the past decade alone</w:t>
      </w:r>
      <w:r w:rsidR="003F5C65">
        <w:rPr>
          <w:color w:val="000000"/>
        </w:rPr>
        <w:t>,</w:t>
      </w:r>
      <w:r>
        <w:rPr>
          <w:color w:val="000000"/>
        </w:rPr>
        <w:t xml:space="preserve"> beef production in Latin America has increased over 50%</w:t>
      </w:r>
      <w:r w:rsidR="002C476C">
        <w:rPr>
          <w:color w:val="000000"/>
        </w:rPr>
        <w:t xml:space="preserve"> </w:t>
      </w:r>
      <w:r w:rsidR="002C476C">
        <w:rPr>
          <w:color w:val="000000"/>
        </w:rPr>
        <w:fldChar w:fldCharType="begin"/>
      </w:r>
      <w:r w:rsidR="002C476C">
        <w:rPr>
          <w:color w:val="000000"/>
        </w:rPr>
        <w:instrText xml:space="preserve"> ADDIN ZOTERO_ITEM CSL_CITATION {"citationID":"oNMlX4M5","properties":{"formattedCitation":"(FAO,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2C476C">
        <w:rPr>
          <w:color w:val="000000"/>
        </w:rPr>
        <w:fldChar w:fldCharType="separate"/>
      </w:r>
      <w:r w:rsidR="002C476C" w:rsidRPr="002C476C">
        <w:rPr>
          <w:rFonts w:cs="Times New Roman"/>
        </w:rPr>
        <w:t>(FAO, 2016)</w:t>
      </w:r>
      <w:r w:rsidR="002C476C">
        <w:rPr>
          <w:color w:val="000000"/>
        </w:rPr>
        <w:fldChar w:fldCharType="end"/>
      </w:r>
      <w:r>
        <w:rPr>
          <w:color w:val="000000"/>
        </w:rPr>
        <w:t xml:space="preserve">. Given the suitability of silvopasture </w:t>
      </w:r>
      <w:r w:rsidR="008B4D68">
        <w:rPr>
          <w:color w:val="000000"/>
        </w:rPr>
        <w:t xml:space="preserve">cultivation systems </w:t>
      </w:r>
      <w:r>
        <w:rPr>
          <w:color w:val="000000"/>
        </w:rPr>
        <w:t xml:space="preserve">in Latin America, trends in beef consumption and production may help to accelerate its adoption. </w:t>
      </w:r>
    </w:p>
    <w:p w14:paraId="03388159" w14:textId="77777777" w:rsidR="00372A6B" w:rsidRPr="003D513E" w:rsidRDefault="551A77D0">
      <w:pPr>
        <w:pStyle w:val="Heading3"/>
      </w:pPr>
      <w:bookmarkStart w:id="17" w:name="_Toc18013302"/>
      <w:r w:rsidRPr="003D513E">
        <w:rPr>
          <w:bCs w:val="0"/>
        </w:rPr>
        <w:t>Barriers to Adoption</w:t>
      </w:r>
      <w:bookmarkEnd w:id="17"/>
      <w:r w:rsidR="00372A6B" w:rsidRPr="00A24706">
        <w:rPr>
          <w:color w:val="000000"/>
        </w:rPr>
        <w:t xml:space="preserve"> </w:t>
      </w:r>
    </w:p>
    <w:p w14:paraId="747D6380" w14:textId="0768A5FA" w:rsidR="00086007" w:rsidRDefault="002765D2" w:rsidP="00E06EF2">
      <w:pPr>
        <w:spacing w:after="0"/>
        <w:rPr>
          <w:color w:val="000000"/>
        </w:rPr>
      </w:pPr>
      <w:r>
        <w:rPr>
          <w:color w:val="000000"/>
        </w:rPr>
        <w:t xml:space="preserve">Increased adoption of this Drawdown solution will need to address a number of </w:t>
      </w:r>
      <w:r w:rsidR="00E06EF2">
        <w:rPr>
          <w:color w:val="000000"/>
        </w:rPr>
        <w:t>constraint</w:t>
      </w:r>
      <w:r>
        <w:rPr>
          <w:color w:val="000000"/>
        </w:rPr>
        <w:t xml:space="preserve">s, including: </w:t>
      </w:r>
    </w:p>
    <w:p w14:paraId="3E6419B8" w14:textId="0C966E6F" w:rsidR="005979B8" w:rsidRPr="003D513E" w:rsidRDefault="002765D2" w:rsidP="003D513E">
      <w:pPr>
        <w:pStyle w:val="ListParagraph"/>
        <w:numPr>
          <w:ilvl w:val="0"/>
          <w:numId w:val="12"/>
        </w:numPr>
        <w:spacing w:after="0"/>
        <w:rPr>
          <w:color w:val="000000"/>
        </w:rPr>
      </w:pPr>
      <w:r>
        <w:rPr>
          <w:color w:val="000000"/>
        </w:rPr>
        <w:t xml:space="preserve">Silvopastures’ comparatively high water requirements will limit adoption in areas with </w:t>
      </w:r>
      <w:r w:rsidR="00E06EF2" w:rsidRPr="003D513E">
        <w:rPr>
          <w:color w:val="000000"/>
        </w:rPr>
        <w:t>adequate rainfall to support tree growth. Silvopasture is</w:t>
      </w:r>
      <w:r>
        <w:rPr>
          <w:color w:val="000000"/>
        </w:rPr>
        <w:t xml:space="preserve"> therefore traditionally</w:t>
      </w:r>
      <w:r w:rsidR="00E06EF2" w:rsidRPr="003D513E">
        <w:rPr>
          <w:color w:val="000000"/>
        </w:rPr>
        <w:t xml:space="preserve"> practiced in humid and semi-arid grasslands</w:t>
      </w:r>
      <w:r>
        <w:rPr>
          <w:color w:val="000000"/>
        </w:rPr>
        <w:t>. Nevertheless, a</w:t>
      </w:r>
      <w:r w:rsidR="00E06EF2" w:rsidRPr="003D513E">
        <w:rPr>
          <w:color w:val="000000"/>
        </w:rPr>
        <w:t>n analysis of</w:t>
      </w:r>
      <w:r w:rsidR="002C476C">
        <w:rPr>
          <w:color w:val="000000"/>
        </w:rPr>
        <w:t xml:space="preserve"> </w:t>
      </w:r>
      <w:r w:rsidR="002C476C">
        <w:rPr>
          <w:color w:val="000000"/>
        </w:rPr>
        <w:fldChar w:fldCharType="begin"/>
      </w:r>
      <w:r w:rsidR="002C476C">
        <w:rPr>
          <w:color w:val="000000"/>
        </w:rPr>
        <w:instrText xml:space="preserve"> ADDIN ZOTERO_ITEM CSL_CITATION {"citationID":"f0bNHN2k","properties":{"formattedCitation":"(Dixon et al., 2014)","plainCitation":"(Dixon et al., 2014)","noteIndex":0},"citationItems":[{"id":1989,"uris":["http://zotero.org/groups/2241939/items/I5ZXZKIJ"],"uri":["http://zotero.org/groups/2241939/items/I5ZXZKIJ"],"itemData":{"id":1989,"type":"article-journal","title":"Distribution mapping of world grassland types","container-title":"Journal of Biogeography","page":"2003-2019","volume":"41","issue":"11","source":"Crossref","abstract":"Aim National and international policy frameworks, such as the European Union’s Renewable Energy Directive, increasingly seek to conserve and reference ‘highly biodiverse grasslands’. However, to date there is no systematic global characterization and distribution map for grassland types. To address this gap, we ﬁrst propose a systematic deﬁnition of grassland. We then integrate International Vegetation Classiﬁcation (IVC) grassland types with the map of Terrestrial Ecoregions of the World (TEOW).","DOI":"10.1111/jbi.12381","ISSN":"03050270","language":"en","author":[{"family":"Dixon","given":"A. P."},{"family":"Faber-Langendoen","given":"D."},{"family":"Josse","given":"C."},{"family":"Morrison","given":"J."},{"family":"Loucks","given":"C. J."}],"editor":[{"family":"Ebach","given":"Malte"}],"issued":{"date-parts":[["2014",11]]}}}],"schema":"https://github.com/citation-style-language/schema/raw/master/csl-citation.json"} </w:instrText>
      </w:r>
      <w:r w:rsidR="002C476C">
        <w:rPr>
          <w:color w:val="000000"/>
        </w:rPr>
        <w:fldChar w:fldCharType="separate"/>
      </w:r>
      <w:r w:rsidR="00A06F54" w:rsidRPr="00A06F54">
        <w:rPr>
          <w:rFonts w:cs="Times New Roman"/>
        </w:rPr>
        <w:t>(Dixon et al., 2014)</w:t>
      </w:r>
      <w:r w:rsidR="002C476C">
        <w:rPr>
          <w:color w:val="000000"/>
        </w:rPr>
        <w:fldChar w:fldCharType="end"/>
      </w:r>
      <w:r w:rsidR="00E06EF2" w:rsidRPr="003D513E">
        <w:rPr>
          <w:color w:val="000000"/>
        </w:rPr>
        <w:t>, including supplemental materials, found 773 Mha of humid grasslands and 2,902 Mha of semi-arid grasslands (some but not all of which are likely humid enough to support silvopasture).</w:t>
      </w:r>
    </w:p>
    <w:p w14:paraId="337ABBE6" w14:textId="20D44E57" w:rsidR="00045BE4" w:rsidRDefault="005979B8" w:rsidP="005979B8">
      <w:pPr>
        <w:pStyle w:val="ListParagraph"/>
        <w:numPr>
          <w:ilvl w:val="0"/>
          <w:numId w:val="12"/>
        </w:numPr>
        <w:spacing w:after="0"/>
        <w:rPr>
          <w:color w:val="000000"/>
        </w:rPr>
      </w:pPr>
      <w:r>
        <w:rPr>
          <w:color w:val="000000"/>
        </w:rPr>
        <w:t>High e</w:t>
      </w:r>
      <w:r w:rsidR="00E06EF2">
        <w:rPr>
          <w:color w:val="000000"/>
        </w:rPr>
        <w:t>stablishment and management costs present what is perhaps the greatest initial hurdle to ranchers adopting silvopasture. The labor cost of planting several trees</w:t>
      </w:r>
      <w:r>
        <w:rPr>
          <w:color w:val="000000"/>
        </w:rPr>
        <w:t xml:space="preserve"> and</w:t>
      </w:r>
      <w:r w:rsidR="00E06EF2">
        <w:rPr>
          <w:color w:val="000000"/>
        </w:rPr>
        <w:t xml:space="preserve"> then protecting them from damage by livestock may be prohibitive for some producers. In some cases, first costs can </w:t>
      </w:r>
      <w:r w:rsidR="00E06EF2">
        <w:rPr>
          <w:color w:val="000000"/>
        </w:rPr>
        <w:lastRenderedPageBreak/>
        <w:t>match or exceed annual net profits</w:t>
      </w:r>
      <w:r>
        <w:rPr>
          <w:color w:val="000000"/>
        </w:rPr>
        <w:t xml:space="preserve"> </w:t>
      </w:r>
      <w:r w:rsidR="00DF34DF">
        <w:rPr>
          <w:color w:val="000000"/>
        </w:rPr>
        <w:fldChar w:fldCharType="begin"/>
      </w:r>
      <w:r w:rsidR="00DF34DF">
        <w:rPr>
          <w:color w:val="000000"/>
        </w:rPr>
        <w:instrText xml:space="preserve"> ADDIN ZOTERO_ITEM CSL_CITATION {"citationID":"I6hHe7P2","properties":{"formattedCitation":"(Rocha et al., 2013)","plainCitation":"(Rocha et al., 2013)","noteIndex":0},"citationItems":[{"id":2068,"uris":["http://zotero.org/groups/2241939/items/6F84QCDJ"],"uri":["http://zotero.org/groups/2241939/items/6F84QCDJ"],"itemData":{"id":2068,"type":"article-journal","title":"Costos de establecimiento de un sistema silvopastoril de sauco (Sambucus nigra) y Kikuyo (Penisetum clandestinum) en Roncesvalles (Tolima).","container-title":"Agroforestería neotropical","page":"9","volume":"3","source":"Zotero","abstract":"Silvopastoral systems are an excellent option to improve the cattle nutrition, the soils quality and to decrease de environmental impact. The municipality of Roncesvalles, in Tolima department has a big livestock influence, therefore it is needed arboreal species adapted to high tropic. By this reason, we implement an intensive design with Sambucusnigra, Alnusacuminata and Pennisetumclandestinum. The cost of an established hectare of silvopastoral system was $3.322.500 with a dry matter (DM) production of 2574 kg//ha. 45% of the costs correspond to the labor. The establishment of a Pennisetumclandestinum monoculture was $1.526.000 with a DM production of 3545 kg/DM/Ha. The survival percentages of the alders were 99.35%, while the elderberry shows 98.6%. Even if the establishment cost of the system were higher, there were important benefits in long term.","language":"es","author":[{"family":"Rocha","given":"Cristina"},{"family":"Cardenas","given":"Carlos Arturo"},{"family":"Mora Delgado","given":"Jairo"}],"issued":{"date-parts":[["2013"]]}}}],"schema":"https://github.com/citation-style-language/schema/raw/master/csl-citation.json"} </w:instrText>
      </w:r>
      <w:r w:rsidR="00DF34DF">
        <w:rPr>
          <w:color w:val="000000"/>
        </w:rPr>
        <w:fldChar w:fldCharType="separate"/>
      </w:r>
      <w:r w:rsidR="00DF34DF" w:rsidRPr="00DF34DF">
        <w:rPr>
          <w:rFonts w:cs="Times New Roman"/>
        </w:rPr>
        <w:t>(Rocha et al., 2013)</w:t>
      </w:r>
      <w:r w:rsidR="00DF34DF">
        <w:rPr>
          <w:color w:val="000000"/>
        </w:rPr>
        <w:fldChar w:fldCharType="end"/>
      </w:r>
      <w:r w:rsidR="00E06EF2">
        <w:rPr>
          <w:color w:val="000000"/>
        </w:rPr>
        <w:t xml:space="preserve">, meaning producers might be operating at a loss during the initial phases of silvopasture implementation. </w:t>
      </w:r>
    </w:p>
    <w:p w14:paraId="1E260700" w14:textId="050D0890" w:rsidR="00F23FA0" w:rsidRDefault="00E06EF2" w:rsidP="003D513E">
      <w:pPr>
        <w:pStyle w:val="ListParagraph"/>
        <w:numPr>
          <w:ilvl w:val="0"/>
          <w:numId w:val="12"/>
        </w:numPr>
        <w:spacing w:after="0"/>
        <w:rPr>
          <w:color w:val="000000"/>
        </w:rPr>
      </w:pPr>
      <w:r>
        <w:rPr>
          <w:color w:val="000000"/>
        </w:rPr>
        <w:t>Similarly, the financial advantage of silvopasture relative to bare pasture is often due to additional revenue streams such as timber and hunting</w:t>
      </w:r>
      <w:r w:rsidR="00045BE4">
        <w:rPr>
          <w:color w:val="000000"/>
        </w:rPr>
        <w:t xml:space="preserve"> </w:t>
      </w:r>
      <w:r w:rsidR="000F5398">
        <w:rPr>
          <w:color w:val="000000"/>
        </w:rPr>
        <w:fldChar w:fldCharType="begin"/>
      </w:r>
      <w:r w:rsidR="000F5398">
        <w:rPr>
          <w:color w:val="000000"/>
        </w:rPr>
        <w:instrText xml:space="preserve"> ADDIN ZOTERO_ITEM CSL_CITATION {"citationID":"v4HZP56z","properties":{"formattedCitation":"(Oviedo et al., 2013)","plainCitation":"(Oviedo et al., 2013)","noteIndex":0},"citationItems":[{"id":2087,"uris":["http://zotero.org/groups/2241939/items/Y4MMX6A4"],"uri":["http://zotero.org/groups/2241939/items/Y4MMX6A4"],"itemData":{"id":2087,"type":"chapter","title":"The Private Economy of Dehesas and Ranches: Case Studies","container-title":"Mediterranean Oak Woodland Working Landscapes","publisher":"Springer Netherlands","publisher-place":"Dordrecht","page":"389-424","volume":"16","source":"Crossref","event-place":"Dordrecht","abstract":"This chapter’s objective is to measure and analyze total private income and proﬁtability for ﬁve case study privately-owned dehesas and oak woodland ranches. The Agroforestry Accounting System is applied at the farm scale. Results are estimated for individual forestry, game, livestock, crop, and service activities, and for activities aggregated as a whole. The case study application incorporates landowner consumption of private amenities as part of the total income from the dehesa or ranch, showing that these private amenities are the most important contributor to total income, while the contribution from livestock production is low or even negative. Hunting activities show low revenues. Dehesas with a high stocking rate are signiﬁcantly supported by European Union livestock subsidies, while livestock production and other activities on California ranches are more sensitive to market conditions. Both in Spain and California, real proﬁtability is competitive with alternative non-agricultural investments when amenity consumption and increases in land value are considered. These results are relevant to understanding current and future trends in landowner motivations for land and enterprise investment, and should be considered in conservation policy development.","URL":"http://link.springer.com/10.1007/978-94-007-6707-2_13","ISBN":"978-94-007-6706-5","note":"DOI: 10.1007/978-94-007-6707-2_13","shortTitle":"The Private Economy of Dehesas and Ranches","language":"en","editor":[{"family":"Campos","given":"Pablo"},{"family":"Huntsinger","given":"Lynn"},{"family":"Oviedo Pro","given":"Jose Luis"},{"family":"Starrs","given":"Paul F"},{"family":"Diaz","given":"Mario"},{"family":"Standiford","given":"Richard B"},{"family":"Montero","given":"Gregorio"}],"author":[{"family":"Oviedo","given":"José L."},{"family":"Ovando","given":"Paola"},{"family":"Forero","given":"Larry"},{"family":"Huntsinger","given":"Lynn"},{"family":"Álvarez","given":"Alejandro"},{"family":"Mesa","given":"Bruno"},{"family":"Campos","given":"Pablo"}],"issued":{"date-parts":[["2013"]]},"accessed":{"date-parts":[["2019",1,9]]}}}],"schema":"https://github.com/citation-style-language/schema/raw/master/csl-citation.json"} </w:instrText>
      </w:r>
      <w:r w:rsidR="000F5398">
        <w:rPr>
          <w:color w:val="000000"/>
        </w:rPr>
        <w:fldChar w:fldCharType="separate"/>
      </w:r>
      <w:r w:rsidR="000F5398" w:rsidRPr="000F5398">
        <w:rPr>
          <w:rFonts w:cs="Times New Roman"/>
        </w:rPr>
        <w:t>(Oviedo et al., 2013)</w:t>
      </w:r>
      <w:r w:rsidR="000F5398">
        <w:rPr>
          <w:color w:val="000000"/>
        </w:rPr>
        <w:fldChar w:fldCharType="end"/>
      </w:r>
      <w:r>
        <w:rPr>
          <w:color w:val="000000"/>
        </w:rPr>
        <w:t xml:space="preserve">. Limited access to these markets or knowledge of them may increase risk for some producers, discouraging adoption. Furthermore, the perception amongst producer communities and policymakers is often one that is based on existing models of production that view trees as counter-productive or a hindrance to ranching. </w:t>
      </w:r>
    </w:p>
    <w:p w14:paraId="7F407640" w14:textId="3633BD22" w:rsidR="00366F6B" w:rsidRDefault="00E5698F" w:rsidP="003D513E">
      <w:pPr>
        <w:pStyle w:val="ListParagraph"/>
      </w:pPr>
      <w:r>
        <w:t>There could be p</w:t>
      </w:r>
      <w:r w:rsidR="00F23FA0">
        <w:t>otential c</w:t>
      </w:r>
      <w:r w:rsidR="00372A6B">
        <w:t>ompetition between trees and forage components</w:t>
      </w:r>
      <w:r>
        <w:t>. C</w:t>
      </w:r>
      <w:r w:rsidR="00F23FA0">
        <w:t xml:space="preserve">oupled with </w:t>
      </w:r>
      <w:r w:rsidR="00372A6B">
        <w:t>complex management requirements</w:t>
      </w:r>
      <w:r w:rsidR="000F5398">
        <w:t xml:space="preserve"> </w:t>
      </w:r>
      <w:r w:rsidR="000F5398">
        <w:fldChar w:fldCharType="begin"/>
      </w:r>
      <w:r w:rsidR="00A06F54">
        <w:instrText xml:space="preserve"> ADDIN ZOTERO_ITEM CSL_CITATION {"citationID":"jYaVSyN7","properties":{"formattedCitation":"(Mercer et al., 2014)","plainCitation":"(Mercer et al., 2014)","noteIndex":0},"citationItems":[{"id":2055,"uris":["http://zotero.org/groups/2241939/items/7N7PVXMK"],"uri":["http://zotero.org/groups/2241939/items/7N7PVXMK"],"itemData":{"id":2055,"type":"article-journal","title":"Economics of Agroforestry","page":"22","source":"Zotero","abstract":"This chapter provides principles, literature and a case study about the economics of agroforestry. We examine necessary conditions for achieving efficiency in agroforestry system design and economic analysis tools for assessing efficiency and adaptability of agroforestry. The tools presented here (capital budgeting, linear progranuning, production frontier analysis and risk analysis) can help determine when agroforestry is a feasible option and provide arguments for cases when agroforestry systems are economically, socially and environmentally appropriate, fostering improved sustainable development for landowners, farmers and communities.The chapter closes with a case study applying the capital budgeting and real options analysis to evaluate the potential for agroforestry to augment efforts to restore bottomland hardwood forests in the Lower Mississippi Alluvial Valley. Agroforestry systems provide multiple outputs, potentially reducing risk and increasing income while also purportedly producing more ecosystem services than conventional agriculture. Our review and case study, however, provide cautionary tales about the limits of agroforestry and the need for rigorous economic research and analysis to design efficient and productive agroforestry systems and to optimize private and public investments in agroforestry.","language":"en","author":[{"family":"Mercer","given":"D Evan"},{"family":"Frey","given":"Gregory E"},{"family":"Cubbage","given":"Frederick W"}],"issued":{"date-parts":[["2014"]]}}}],"schema":"https://github.com/citation-style-language/schema/raw/master/csl-citation.json"} </w:instrText>
      </w:r>
      <w:r w:rsidR="000F5398">
        <w:fldChar w:fldCharType="separate"/>
      </w:r>
      <w:r w:rsidR="00A06F54" w:rsidRPr="00A06F54">
        <w:rPr>
          <w:rFonts w:cs="Times New Roman"/>
        </w:rPr>
        <w:t>(Mercer et al., 2014)</w:t>
      </w:r>
      <w:r w:rsidR="000F5398">
        <w:fldChar w:fldCharType="end"/>
      </w:r>
      <w:r>
        <w:t>, this might present an obstacle for farmer adoption</w:t>
      </w:r>
      <w:r w:rsidR="000F5398">
        <w:t xml:space="preserve"> </w:t>
      </w:r>
      <w:r w:rsidR="000F5398">
        <w:fldChar w:fldCharType="begin"/>
      </w:r>
      <w:r w:rsidR="000F5398">
        <w:instrText xml:space="preserve"> ADDIN ZOTERO_ITEM CSL_CITATION {"citationID":"GTZ042rX","properties":{"formattedCitation":"(Cubbage et al., 2012)","plainCitation":"(Cubbage et al., 2012)","noteIndex":0},"citationItems":[{"id":1975,"uris":["http://zotero.org/groups/2241939/items/6NVCSHR5"],"uri":["http://zotero.org/groups/2241939/items/6NVCSHR5"],"itemData":{"id":1975,"type":"article-journal","title":"Comparing silvopastoral systems and prospects in eight regions of the world","container-title":"Agroforestry Systems","page":"303-314","volume":"86","issue":"3","source":"Crossref","DOI":"10.1007/s10457-012-9482-z","ISSN":"0167-4366, 1572-9680","language":"en","author":[{"family":"Cubbage","given":"Frederick"},{"family":"Balmelli","given":"Gustavo"},{"family":"Bussoni","given":"Adriana"},{"family":"Noellemeyer","given":"Elke"},{"family":"Pachas","given":"Anibal N."},{"family":"Fassola","given":"Hugo"},{"family":"Colcombet","given":"Luis"},{"family":"Rossner","given":"Belén"},{"family":"Frey","given":"Gregory"},{"family":"Dube","given":"Francis"},{"family":"Silva","given":"Marcio Lopes","non-dropping-particle":"de"},{"family":"Stevenson","given":"Hayley"},{"family":"Hamilton","given":"James"},{"family":"Hubbard","given":"William"}],"issued":{"date-parts":[["2012",11]]}}}],"schema":"https://github.com/citation-style-language/schema/raw/master/csl-citation.json"} </w:instrText>
      </w:r>
      <w:r w:rsidR="000F5398">
        <w:fldChar w:fldCharType="separate"/>
      </w:r>
      <w:r w:rsidR="000F5398" w:rsidRPr="000F5398">
        <w:rPr>
          <w:rFonts w:cs="Times New Roman"/>
        </w:rPr>
        <w:t>(Cubbage et al., 2012)</w:t>
      </w:r>
      <w:r w:rsidR="000F5398">
        <w:fldChar w:fldCharType="end"/>
      </w:r>
      <w:r w:rsidR="00BB1B6E">
        <w:t>.</w:t>
      </w:r>
    </w:p>
    <w:p w14:paraId="7093D3F6" w14:textId="69377B45" w:rsidR="00F23FA0" w:rsidRDefault="00366F6B" w:rsidP="00372A6B">
      <w:pPr>
        <w:pStyle w:val="ListParagraph"/>
        <w:numPr>
          <w:ilvl w:val="0"/>
          <w:numId w:val="12"/>
        </w:numPr>
        <w:spacing w:after="0"/>
      </w:pPr>
      <w:r>
        <w:t>Currently, agroforestry solutions such as silvopasture systems are</w:t>
      </w:r>
      <w:r w:rsidR="00E52313">
        <w:t xml:space="preserve"> not systematically included in land-use classifications at national and regional levels. This makes their integration into monitoring, reporting and verification systems difficult, in turn preventing recognition of their importance and potential benefits</w:t>
      </w:r>
      <w:r w:rsidR="000F5398">
        <w:t xml:space="preserve"> </w:t>
      </w:r>
      <w:r w:rsidR="00B2587E">
        <w:fldChar w:fldCharType="begin"/>
      </w:r>
      <w:r w:rsidR="00B2587E">
        <w:instrText xml:space="preserve"> ADDIN ZOTERO_ITEM CSL_CITATION {"citationID":"PL7RwoPd","properties":{"formattedCitation":"(Rosenstock et al., 2018)","plainCitation":"(Rosenstock et al., 2018)","noteIndex":0},"citationItems":[{"id":3122,"uris":["http://zotero.org/groups/2241939/items/8UQFT6ZX"],"uri":["http://zotero.org/groups/2241939/items/8UQFT6ZX"],"itemData":{"id":3122,"type":"report","title":"Making Trees Count","publisher":"CGIAR Research Program on Climate Change, Agriculture and Food Security (CCAFS)","genre":"Working Paper","number":"240","author":[{"family":"Rosenstock","given":"Todd"},{"family":"Wilkes","given":"Andreas"},{"family":"Jallo","given":"Courtney"},{"family":"Namoi","given":"Nictor"},{"family":"Bulusu","given":"Medha"},{"family":"Suber","given":"Marta"},{"family":"Bernard","given":"Florence"},{"family":"Mboi","given":"Damaris"}],"issued":{"date-parts":[["2018"]]}}}],"schema":"https://github.com/citation-style-language/schema/raw/master/csl-citation.json"} </w:instrText>
      </w:r>
      <w:r w:rsidR="00B2587E">
        <w:fldChar w:fldCharType="separate"/>
      </w:r>
      <w:r w:rsidR="00B2587E" w:rsidRPr="00B2587E">
        <w:rPr>
          <w:rFonts w:cs="Times New Roman"/>
        </w:rPr>
        <w:t>(Rosenstock et al., 2018)</w:t>
      </w:r>
      <w:r w:rsidR="00B2587E">
        <w:fldChar w:fldCharType="end"/>
      </w:r>
      <w:r w:rsidR="00E52313">
        <w:t>.</w:t>
      </w:r>
    </w:p>
    <w:p w14:paraId="34222FBE" w14:textId="7589AA35" w:rsidR="00D1508C" w:rsidRPr="003D513E" w:rsidRDefault="551A77D0" w:rsidP="00DB4CC8">
      <w:pPr>
        <w:pStyle w:val="Heading3"/>
      </w:pPr>
      <w:bookmarkStart w:id="18" w:name="_Toc18013303"/>
      <w:r w:rsidRPr="00356FBA">
        <w:t>Adoption</w:t>
      </w:r>
      <w:r w:rsidR="006E6C65" w:rsidRPr="00356FBA">
        <w:t xml:space="preserve"> </w:t>
      </w:r>
      <w:r w:rsidRPr="00694CB3">
        <w:t>Potential</w:t>
      </w:r>
      <w:bookmarkEnd w:id="18"/>
    </w:p>
    <w:p w14:paraId="3D539FD3" w14:textId="55B79685" w:rsidR="00255AA0" w:rsidRPr="00D86BE9" w:rsidRDefault="00255AA0" w:rsidP="003D513E">
      <w:pPr>
        <w:spacing w:after="0"/>
      </w:pPr>
      <w:r w:rsidRPr="007912FE">
        <w:rPr>
          <w:bCs/>
          <w:color w:val="000000" w:themeColor="text1"/>
        </w:rPr>
        <w:t xml:space="preserve">Projections of the adoption potential of </w:t>
      </w:r>
      <w:r>
        <w:rPr>
          <w:bCs/>
          <w:color w:val="000000" w:themeColor="text1"/>
        </w:rPr>
        <w:t>silvopastures</w:t>
      </w:r>
      <w:r w:rsidRPr="007912FE">
        <w:rPr>
          <w:bCs/>
          <w:color w:val="000000" w:themeColor="text1"/>
        </w:rPr>
        <w:t xml:space="preserve"> </w:t>
      </w:r>
      <w:r w:rsidRPr="007912FE">
        <w:rPr>
          <w:bCs/>
          <w:i/>
          <w:color w:val="000000" w:themeColor="text1"/>
        </w:rPr>
        <w:t xml:space="preserve">as such </w:t>
      </w:r>
      <w:r w:rsidRPr="007912FE">
        <w:rPr>
          <w:bCs/>
          <w:color w:val="000000" w:themeColor="text1"/>
        </w:rPr>
        <w:t>are quite rare</w:t>
      </w:r>
      <w:r>
        <w:rPr>
          <w:bCs/>
          <w:color w:val="000000" w:themeColor="text1"/>
        </w:rPr>
        <w:t>, and to our knowledge this is the first study or initiative to model estimates at global scales.</w:t>
      </w:r>
    </w:p>
    <w:p w14:paraId="12A2F24A" w14:textId="1C6F30D0" w:rsidR="001C49CB" w:rsidRDefault="551A77D0" w:rsidP="00387E91">
      <w:pPr>
        <w:pStyle w:val="Heading2"/>
        <w:numPr>
          <w:ilvl w:val="1"/>
          <w:numId w:val="4"/>
        </w:numPr>
      </w:pPr>
      <w:bookmarkStart w:id="19" w:name="_Toc18013304"/>
      <w:r w:rsidRPr="00483FFA">
        <w:t>Advantages and disadvantages of</w:t>
      </w:r>
      <w:r w:rsidR="00DB4CC8">
        <w:t xml:space="preserve"> </w:t>
      </w:r>
      <w:r w:rsidR="00C62E2C">
        <w:t>Silvopasture Systems</w:t>
      </w:r>
      <w:bookmarkEnd w:id="19"/>
    </w:p>
    <w:p w14:paraId="6CD6879F" w14:textId="77777777" w:rsidR="00D95C70" w:rsidRPr="003D513E" w:rsidRDefault="00D95C70" w:rsidP="00D95C70">
      <w:pPr>
        <w:pStyle w:val="Heading3"/>
      </w:pPr>
      <w:bookmarkStart w:id="20" w:name="_Toc18013305"/>
      <w:r w:rsidRPr="003D513E">
        <w:t>Similar Solutions</w:t>
      </w:r>
      <w:bookmarkEnd w:id="20"/>
    </w:p>
    <w:p w14:paraId="0DBEB129" w14:textId="55C7DBB2" w:rsidR="008B1493" w:rsidRPr="00730427" w:rsidRDefault="008B1493" w:rsidP="008B1493">
      <w:pPr>
        <w:rPr>
          <w:color w:val="000000" w:themeColor="text1"/>
        </w:rPr>
      </w:pPr>
      <w:r w:rsidRPr="00730427">
        <w:rPr>
          <w:color w:val="000000" w:themeColor="text1"/>
        </w:rPr>
        <w:t xml:space="preserve">Silvopasture is similar to a few other land-based Project Drawdown solutions but is perhaps most similar to </w:t>
      </w:r>
      <w:r w:rsidRPr="003D513E">
        <w:rPr>
          <w:i/>
          <w:color w:val="000000" w:themeColor="text1"/>
        </w:rPr>
        <w:t>grazing management</w:t>
      </w:r>
      <w:r w:rsidRPr="00730427">
        <w:rPr>
          <w:color w:val="000000" w:themeColor="text1"/>
        </w:rPr>
        <w:t>. Both</w:t>
      </w:r>
      <w:r w:rsidR="008667CB">
        <w:rPr>
          <w:color w:val="000000" w:themeColor="text1"/>
        </w:rPr>
        <w:t xml:space="preserve"> solutions</w:t>
      </w:r>
      <w:r w:rsidRPr="00730427">
        <w:rPr>
          <w:color w:val="000000" w:themeColor="text1"/>
        </w:rPr>
        <w:t xml:space="preserve"> attempt to increase carbon sequestration in grazing lands by maximizing </w:t>
      </w:r>
      <w:r w:rsidR="00A405FC">
        <w:rPr>
          <w:color w:val="000000" w:themeColor="text1"/>
        </w:rPr>
        <w:t xml:space="preserve">net </w:t>
      </w:r>
      <w:r w:rsidR="00783D0C">
        <w:rPr>
          <w:color w:val="000000" w:themeColor="text1"/>
        </w:rPr>
        <w:t>primary productivity (</w:t>
      </w:r>
      <w:r w:rsidRPr="00730427">
        <w:rPr>
          <w:color w:val="000000" w:themeColor="text1"/>
        </w:rPr>
        <w:t>NPP</w:t>
      </w:r>
      <w:r w:rsidR="00783D0C">
        <w:rPr>
          <w:color w:val="000000" w:themeColor="text1"/>
        </w:rPr>
        <w:t>)</w:t>
      </w:r>
      <w:r w:rsidRPr="00730427">
        <w:rPr>
          <w:color w:val="000000" w:themeColor="text1"/>
        </w:rPr>
        <w:t xml:space="preserve"> and promoting soil processes that sequester carbon. Silvopasture has a far superior mitigation impact but is restricted to the relatively small amount of humid grasslands.  </w:t>
      </w:r>
    </w:p>
    <w:p w14:paraId="5EEB04DF" w14:textId="219AEBCE" w:rsidR="008B1493" w:rsidRPr="003D513E" w:rsidRDefault="00D95C70" w:rsidP="003D513E">
      <w:pPr>
        <w:pStyle w:val="Heading3"/>
      </w:pPr>
      <w:bookmarkStart w:id="21" w:name="_Toc18013306"/>
      <w:r w:rsidRPr="003D513E">
        <w:t>Arguments for Adoption</w:t>
      </w:r>
      <w:bookmarkEnd w:id="21"/>
    </w:p>
    <w:p w14:paraId="171DC9C3" w14:textId="6CD1ED9B" w:rsidR="00D95C70" w:rsidRPr="003D513E" w:rsidRDefault="00D95C70" w:rsidP="003D513E">
      <w:pPr>
        <w:pBdr>
          <w:top w:val="nil"/>
          <w:left w:val="nil"/>
          <w:bottom w:val="nil"/>
          <w:right w:val="nil"/>
          <w:between w:val="nil"/>
        </w:pBdr>
        <w:spacing w:after="0"/>
        <w:contextualSpacing/>
        <w:rPr>
          <w:rFonts w:cs="Times New Roman"/>
          <w:color w:val="000000" w:themeColor="text1"/>
        </w:rPr>
      </w:pPr>
      <w:r w:rsidRPr="00730427">
        <w:rPr>
          <w:color w:val="000000" w:themeColor="text1"/>
        </w:rPr>
        <w:t>Compared to managed grazing and other land-use solutions, silvopasture has a few comparative advantages and disadvantages.</w:t>
      </w:r>
    </w:p>
    <w:p w14:paraId="7926D445" w14:textId="5E6E27B7" w:rsidR="008B1493" w:rsidRPr="00D86BE9" w:rsidRDefault="008B1493" w:rsidP="003D513E">
      <w:pPr>
        <w:numPr>
          <w:ilvl w:val="0"/>
          <w:numId w:val="16"/>
        </w:numPr>
        <w:pBdr>
          <w:top w:val="nil"/>
          <w:left w:val="nil"/>
          <w:bottom w:val="nil"/>
          <w:right w:val="nil"/>
          <w:between w:val="nil"/>
        </w:pBdr>
        <w:spacing w:after="0"/>
        <w:contextualSpacing/>
        <w:rPr>
          <w:rFonts w:cs="Times New Roman"/>
          <w:color w:val="000000" w:themeColor="text1"/>
        </w:rPr>
      </w:pPr>
      <w:r w:rsidRPr="003D513E">
        <w:rPr>
          <w:rFonts w:eastAsia="Calibri" w:cs="Times New Roman"/>
          <w:b/>
          <w:color w:val="000000" w:themeColor="text1"/>
        </w:rPr>
        <w:t xml:space="preserve">Diversified revenue: </w:t>
      </w:r>
      <w:r w:rsidRPr="003D513E">
        <w:rPr>
          <w:rFonts w:eastAsia="Calibri" w:cs="Times New Roman"/>
          <w:color w:val="000000" w:themeColor="text1"/>
        </w:rPr>
        <w:t xml:space="preserve">Silvopasture provides several additional revenue streams to producers, including timber, forest/tree products, recreation, and ecosystem services. These other revenue streams can greatly enhance the financial productivity and stability of farms. In one analysis of </w:t>
      </w:r>
      <w:r w:rsidRPr="003D513E">
        <w:rPr>
          <w:rFonts w:eastAsia="Calibri" w:cs="Times New Roman"/>
          <w:i/>
          <w:color w:val="000000" w:themeColor="text1"/>
        </w:rPr>
        <w:lastRenderedPageBreak/>
        <w:t>dehesa</w:t>
      </w:r>
      <w:r w:rsidRPr="003D513E">
        <w:rPr>
          <w:rFonts w:eastAsia="Calibri" w:cs="Times New Roman"/>
          <w:color w:val="000000" w:themeColor="text1"/>
        </w:rPr>
        <w:t xml:space="preserve"> systems in Spain, revenue streams aside from livestock were responsible for keeping operations solvent</w:t>
      </w:r>
      <w:r w:rsidR="00975DD8">
        <w:rPr>
          <w:rFonts w:eastAsia="Calibri" w:cs="Times New Roman"/>
          <w:color w:val="000000" w:themeColor="text1"/>
        </w:rPr>
        <w:t xml:space="preserve"> </w:t>
      </w:r>
      <w:r w:rsidR="00975DD8">
        <w:rPr>
          <w:rFonts w:eastAsia="Calibri" w:cs="Times New Roman"/>
          <w:color w:val="000000" w:themeColor="text1"/>
        </w:rPr>
        <w:fldChar w:fldCharType="begin"/>
      </w:r>
      <w:r w:rsidR="00975DD8">
        <w:rPr>
          <w:rFonts w:eastAsia="Calibri" w:cs="Times New Roman"/>
          <w:color w:val="000000" w:themeColor="text1"/>
        </w:rPr>
        <w:instrText xml:space="preserve"> ADDIN ZOTERO_ITEM CSL_CITATION {"citationID":"cDZiHpcw","properties":{"formattedCitation":"(Oviedo et al., 2013)","plainCitation":"(Oviedo et al., 2013)","noteIndex":0},"citationItems":[{"id":2087,"uris":["http://zotero.org/groups/2241939/items/Y4MMX6A4"],"uri":["http://zotero.org/groups/2241939/items/Y4MMX6A4"],"itemData":{"id":2087,"type":"chapter","title":"The Private Economy of Dehesas and Ranches: Case Studies","container-title":"Mediterranean Oak Woodland Working Landscapes","publisher":"Springer Netherlands","publisher-place":"Dordrecht","page":"389-424","volume":"16","source":"Crossref","event-place":"Dordrecht","abstract":"This chapter’s objective is to measure and analyze total private income and proﬁtability for ﬁve case study privately-owned dehesas and oak woodland ranches. The Agroforestry Accounting System is applied at the farm scale. Results are estimated for individual forestry, game, livestock, crop, and service activities, and for activities aggregated as a whole. The case study application incorporates landowner consumption of private amenities as part of the total income from the dehesa or ranch, showing that these private amenities are the most important contributor to total income, while the contribution from livestock production is low or even negative. Hunting activities show low revenues. Dehesas with a high stocking rate are signiﬁcantly supported by European Union livestock subsidies, while livestock production and other activities on California ranches are more sensitive to market conditions. Both in Spain and California, real proﬁtability is competitive with alternative non-agricultural investments when amenity consumption and increases in land value are considered. These results are relevant to understanding current and future trends in landowner motivations for land and enterprise investment, and should be considered in conservation policy development.","URL":"http://link.springer.com/10.1007/978-94-007-6707-2_13","ISBN":"978-94-007-6706-5","note":"DOI: 10.1007/978-94-007-6707-2_13","shortTitle":"The Private Economy of Dehesas and Ranches","language":"en","editor":[{"family":"Campos","given":"Pablo"},{"family":"Huntsinger","given":"Lynn"},{"family":"Oviedo Pro","given":"Jose Luis"},{"family":"Starrs","given":"Paul F"},{"family":"Diaz","given":"Mario"},{"family":"Standiford","given":"Richard B"},{"family":"Montero","given":"Gregorio"}],"author":[{"family":"Oviedo","given":"José L."},{"family":"Ovando","given":"Paola"},{"family":"Forero","given":"Larry"},{"family":"Huntsinger","given":"Lynn"},{"family":"Álvarez","given":"Alejandro"},{"family":"Mesa","given":"Bruno"},{"family":"Campos","given":"Pablo"}],"issued":{"date-parts":[["2013"]]},"accessed":{"date-parts":[["2019",1,9]]}}}],"schema":"https://github.com/citation-style-language/schema/raw/master/csl-citation.json"} </w:instrText>
      </w:r>
      <w:r w:rsidR="00975DD8">
        <w:rPr>
          <w:rFonts w:eastAsia="Calibri" w:cs="Times New Roman"/>
          <w:color w:val="000000" w:themeColor="text1"/>
        </w:rPr>
        <w:fldChar w:fldCharType="separate"/>
      </w:r>
      <w:r w:rsidR="00975DD8" w:rsidRPr="00975DD8">
        <w:rPr>
          <w:rFonts w:cs="Times New Roman"/>
        </w:rPr>
        <w:t>(Oviedo et al., 2013)</w:t>
      </w:r>
      <w:r w:rsidR="00975DD8">
        <w:rPr>
          <w:rFonts w:eastAsia="Calibri" w:cs="Times New Roman"/>
          <w:color w:val="000000" w:themeColor="text1"/>
        </w:rPr>
        <w:fldChar w:fldCharType="end"/>
      </w:r>
      <w:r w:rsidRPr="003D513E">
        <w:rPr>
          <w:rFonts w:eastAsia="Calibri" w:cs="Times New Roman"/>
          <w:color w:val="000000" w:themeColor="text1"/>
        </w:rPr>
        <w:t>.</w:t>
      </w:r>
    </w:p>
    <w:p w14:paraId="61AA6588" w14:textId="6C926BCC" w:rsidR="008B1493" w:rsidRPr="00D86BE9" w:rsidRDefault="008B1493" w:rsidP="003D513E">
      <w:pPr>
        <w:numPr>
          <w:ilvl w:val="0"/>
          <w:numId w:val="16"/>
        </w:numPr>
        <w:pBdr>
          <w:top w:val="nil"/>
          <w:left w:val="nil"/>
          <w:bottom w:val="nil"/>
          <w:right w:val="nil"/>
          <w:between w:val="nil"/>
        </w:pBdr>
        <w:spacing w:after="0"/>
        <w:contextualSpacing/>
        <w:rPr>
          <w:rFonts w:cs="Times New Roman"/>
          <w:color w:val="000000" w:themeColor="text1"/>
        </w:rPr>
      </w:pPr>
      <w:r w:rsidRPr="003D513E">
        <w:rPr>
          <w:rFonts w:eastAsia="Calibri" w:cs="Times New Roman"/>
          <w:b/>
          <w:color w:val="000000" w:themeColor="text1"/>
        </w:rPr>
        <w:t>Reduced costs:</w:t>
      </w:r>
      <w:r w:rsidRPr="003D513E">
        <w:rPr>
          <w:rFonts w:eastAsia="Calibri" w:cs="Times New Roman"/>
          <w:color w:val="000000" w:themeColor="text1"/>
        </w:rPr>
        <w:t xml:space="preserve"> Depending on the price of feeds, fertilizers and other livestock ranching inputs, farmers may adopt silvopastoral systems as a strategy to decrease ranching costs</w:t>
      </w:r>
      <w:r w:rsidR="00913E4B">
        <w:rPr>
          <w:rFonts w:eastAsia="Calibri" w:cs="Times New Roman"/>
          <w:color w:val="000000" w:themeColor="text1"/>
        </w:rPr>
        <w:t xml:space="preserve"> </w:t>
      </w:r>
      <w:r w:rsidR="00650896">
        <w:rPr>
          <w:rFonts w:eastAsia="Calibri" w:cs="Times New Roman"/>
          <w:color w:val="000000" w:themeColor="text1"/>
        </w:rPr>
        <w:fldChar w:fldCharType="begin"/>
      </w:r>
      <w:r w:rsidR="00650896">
        <w:rPr>
          <w:rFonts w:eastAsia="Calibri" w:cs="Times New Roman"/>
          <w:color w:val="000000" w:themeColor="text1"/>
        </w:rPr>
        <w:instrText xml:space="preserve"> ADDIN ZOTERO_ITEM CSL_CITATION {"citationID":"zU3tReXI","properties":{"formattedCitation":"(Calle et al., 2009)","plainCitation":"(Calle et al., 2009)","noteIndex":0},"citationItems":[{"id":3124,"uris":["http://zotero.org/groups/2241939/items/ZMAEYQZV"],"uri":["http://zotero.org/groups/2241939/items/ZMAEYQZV"],"itemData":{"id":3124,"type":"report","title":"Le Point sur... Systemes Silvo-Pastoraux: Farmer’s perceptions of silvopastoral system promotion in Quindío, Colombia","collection-title":"Bois et Forets des Tropiques","number":"300 (2)","author":[{"family":"Calle","given":"Alicia"},{"family":"Montagnini","given":"Florencia"},{"family":"Zuluaga","given":"Andres Felipe"}],"issued":{"date-parts":[["2009"]]}}}],"schema":"https://github.com/citation-style-language/schema/raw/master/csl-citation.json"} </w:instrText>
      </w:r>
      <w:r w:rsidR="00650896">
        <w:rPr>
          <w:rFonts w:eastAsia="Calibri" w:cs="Times New Roman"/>
          <w:color w:val="000000" w:themeColor="text1"/>
        </w:rPr>
        <w:fldChar w:fldCharType="separate"/>
      </w:r>
      <w:r w:rsidR="00650896" w:rsidRPr="00650896">
        <w:rPr>
          <w:rFonts w:cs="Times New Roman"/>
        </w:rPr>
        <w:t>(Calle et al., 2009)</w:t>
      </w:r>
      <w:r w:rsidR="00650896">
        <w:rPr>
          <w:rFonts w:eastAsia="Calibri" w:cs="Times New Roman"/>
          <w:color w:val="000000" w:themeColor="text1"/>
        </w:rPr>
        <w:fldChar w:fldCharType="end"/>
      </w:r>
      <w:r w:rsidRPr="003D513E">
        <w:rPr>
          <w:rFonts w:eastAsia="Calibri" w:cs="Times New Roman"/>
          <w:color w:val="000000" w:themeColor="text1"/>
        </w:rPr>
        <w:t>.</w:t>
      </w:r>
      <w:r w:rsidR="00913E4B">
        <w:rPr>
          <w:rFonts w:eastAsia="Calibri" w:cs="Times New Roman"/>
          <w:color w:val="000000" w:themeColor="text1"/>
        </w:rPr>
        <w:t xml:space="preserve"> </w:t>
      </w:r>
      <w:r w:rsidRPr="003D513E">
        <w:rPr>
          <w:rFonts w:eastAsia="Calibri" w:cs="Times New Roman"/>
          <w:color w:val="000000" w:themeColor="text1"/>
        </w:rPr>
        <w:t>This is particularly true in countries where values of farm inputs fluctuate greatly and in remote areas where transporting fertilizers and feeds is impractical and more costly. Of farmers that implemented silvopastoral systems in a Colombian study, 39% reported financial benefits within several months</w:t>
      </w:r>
      <w:r w:rsidR="00D86BE9">
        <w:rPr>
          <w:rFonts w:eastAsia="Calibri" w:cs="Times New Roman"/>
          <w:color w:val="000000" w:themeColor="text1"/>
        </w:rPr>
        <w:t xml:space="preserve"> </w:t>
      </w:r>
      <w:r w:rsidR="00771008">
        <w:rPr>
          <w:rFonts w:eastAsia="Calibri" w:cs="Times New Roman"/>
          <w:color w:val="000000" w:themeColor="text1"/>
        </w:rPr>
        <w:fldChar w:fldCharType="begin"/>
      </w:r>
      <w:r w:rsidR="00771008">
        <w:rPr>
          <w:rFonts w:eastAsia="Calibri" w:cs="Times New Roman"/>
          <w:color w:val="000000" w:themeColor="text1"/>
        </w:rPr>
        <w:instrText xml:space="preserve"> ADDIN ZOTERO_ITEM CSL_CITATION {"citationID":"r5g9paqT","properties":{"formattedCitation":"(Calle et al., 2009)","plainCitation":"(Calle et al., 2009)","noteIndex":0},"citationItems":[{"id":3124,"uris":["http://zotero.org/groups/2241939/items/ZMAEYQZV"],"uri":["http://zotero.org/groups/2241939/items/ZMAEYQZV"],"itemData":{"id":3124,"type":"report","title":"Le Point sur... Systemes Silvo-Pastoraux: Farmer’s perceptions of silvopastoral system promotion in Quindío, Colombia","collection-title":"Bois et Forets des Tropiques","number":"300 (2)","author":[{"family":"Calle","given":"Alicia"},{"family":"Montagnini","given":"Florencia"},{"family":"Zuluaga","given":"Andres Felipe"}],"issued":{"date-parts":[["2009"]]}}}],"schema":"https://github.com/citation-style-language/schema/raw/master/csl-citation.json"} </w:instrText>
      </w:r>
      <w:r w:rsidR="00771008">
        <w:rPr>
          <w:rFonts w:eastAsia="Calibri" w:cs="Times New Roman"/>
          <w:color w:val="000000" w:themeColor="text1"/>
        </w:rPr>
        <w:fldChar w:fldCharType="separate"/>
      </w:r>
      <w:r w:rsidR="00771008" w:rsidRPr="00771008">
        <w:rPr>
          <w:rFonts w:cs="Times New Roman"/>
        </w:rPr>
        <w:t>(Calle et al., 2009)</w:t>
      </w:r>
      <w:r w:rsidR="00771008">
        <w:rPr>
          <w:rFonts w:eastAsia="Calibri" w:cs="Times New Roman"/>
          <w:color w:val="000000" w:themeColor="text1"/>
        </w:rPr>
        <w:fldChar w:fldCharType="end"/>
      </w:r>
      <w:r w:rsidR="00D86BE9">
        <w:rPr>
          <w:rFonts w:eastAsia="Calibri" w:cs="Times New Roman"/>
          <w:color w:val="000000" w:themeColor="text1"/>
        </w:rPr>
        <w:t>.</w:t>
      </w:r>
    </w:p>
    <w:p w14:paraId="61060605" w14:textId="5E151F53" w:rsidR="008B1493" w:rsidRPr="00D86BE9" w:rsidRDefault="008B1493" w:rsidP="003D513E">
      <w:pPr>
        <w:numPr>
          <w:ilvl w:val="0"/>
          <w:numId w:val="16"/>
        </w:numPr>
        <w:pBdr>
          <w:top w:val="nil"/>
          <w:left w:val="nil"/>
          <w:bottom w:val="nil"/>
          <w:right w:val="nil"/>
          <w:between w:val="nil"/>
        </w:pBdr>
        <w:spacing w:after="0"/>
        <w:contextualSpacing/>
        <w:rPr>
          <w:rFonts w:cs="Times New Roman"/>
          <w:color w:val="000000" w:themeColor="text1"/>
        </w:rPr>
      </w:pPr>
      <w:r w:rsidRPr="003D513E">
        <w:rPr>
          <w:rFonts w:eastAsia="Calibri" w:cs="Times New Roman"/>
          <w:b/>
          <w:color w:val="000000" w:themeColor="text1"/>
        </w:rPr>
        <w:t>Increased productivity:</w:t>
      </w:r>
      <w:r w:rsidRPr="003D513E">
        <w:rPr>
          <w:rFonts w:eastAsia="Calibri" w:cs="Times New Roman"/>
          <w:color w:val="000000" w:themeColor="text1"/>
        </w:rPr>
        <w:t xml:space="preserve"> Silvopastoral systems can increase productivity, particularly in dairy systems, where cattle health is important for milk yield. Of farmers that implemented silvopastoral systems in a Colombian study, 64% reported a substantial increase in the quantity and quality of fodder and 43% reported an improved livestock body condition</w:t>
      </w:r>
      <w:r w:rsidR="00D86BE9">
        <w:rPr>
          <w:rFonts w:eastAsia="Calibri" w:cs="Times New Roman"/>
          <w:color w:val="000000" w:themeColor="text1"/>
        </w:rPr>
        <w:t xml:space="preserve"> </w:t>
      </w:r>
      <w:r w:rsidR="00771008">
        <w:rPr>
          <w:rFonts w:eastAsia="Calibri" w:cs="Times New Roman"/>
          <w:color w:val="000000" w:themeColor="text1"/>
        </w:rPr>
        <w:fldChar w:fldCharType="begin"/>
      </w:r>
      <w:r w:rsidR="00771008">
        <w:rPr>
          <w:rFonts w:eastAsia="Calibri" w:cs="Times New Roman"/>
          <w:color w:val="000000" w:themeColor="text1"/>
        </w:rPr>
        <w:instrText xml:space="preserve"> ADDIN ZOTERO_ITEM CSL_CITATION {"citationID":"14V7zcbw","properties":{"formattedCitation":"(Calle et al., 2009)","plainCitation":"(Calle et al., 2009)","noteIndex":0},"citationItems":[{"id":3124,"uris":["http://zotero.org/groups/2241939/items/ZMAEYQZV"],"uri":["http://zotero.org/groups/2241939/items/ZMAEYQZV"],"itemData":{"id":3124,"type":"report","title":"Le Point sur... Systemes Silvo-Pastoraux: Farmer’s perceptions of silvopastoral system promotion in Quindío, Colombia","collection-title":"Bois et Forets des Tropiques","number":"300 (2)","author":[{"family":"Calle","given":"Alicia"},{"family":"Montagnini","given":"Florencia"},{"family":"Zuluaga","given":"Andres Felipe"}],"issued":{"date-parts":[["2009"]]}}}],"schema":"https://github.com/citation-style-language/schema/raw/master/csl-citation.json"} </w:instrText>
      </w:r>
      <w:r w:rsidR="00771008">
        <w:rPr>
          <w:rFonts w:eastAsia="Calibri" w:cs="Times New Roman"/>
          <w:color w:val="000000" w:themeColor="text1"/>
        </w:rPr>
        <w:fldChar w:fldCharType="separate"/>
      </w:r>
      <w:r w:rsidR="00771008" w:rsidRPr="00771008">
        <w:rPr>
          <w:rFonts w:cs="Times New Roman"/>
        </w:rPr>
        <w:t>(Calle et al., 2009)</w:t>
      </w:r>
      <w:r w:rsidR="00771008">
        <w:rPr>
          <w:rFonts w:eastAsia="Calibri" w:cs="Times New Roman"/>
          <w:color w:val="000000" w:themeColor="text1"/>
        </w:rPr>
        <w:fldChar w:fldCharType="end"/>
      </w:r>
      <w:r w:rsidR="00D86BE9">
        <w:rPr>
          <w:rFonts w:eastAsia="Calibri" w:cs="Times New Roman"/>
          <w:color w:val="000000" w:themeColor="text1"/>
        </w:rPr>
        <w:t>.</w:t>
      </w:r>
      <w:r w:rsidRPr="003D513E">
        <w:rPr>
          <w:rFonts w:eastAsia="Calibri" w:cs="Times New Roman"/>
          <w:color w:val="000000" w:themeColor="text1"/>
        </w:rPr>
        <w:t xml:space="preserve"> According to</w:t>
      </w:r>
      <w:r w:rsidR="00771008">
        <w:rPr>
          <w:rFonts w:eastAsia="Calibri" w:cs="Times New Roman"/>
          <w:color w:val="000000" w:themeColor="text1"/>
        </w:rPr>
        <w:fldChar w:fldCharType="begin"/>
      </w:r>
      <w:r w:rsidR="00771008">
        <w:rPr>
          <w:rFonts w:eastAsia="Calibri" w:cs="Times New Roman"/>
          <w:color w:val="000000" w:themeColor="text1"/>
        </w:rPr>
        <w:instrText xml:space="preserve"> ADDIN ZOTERO_ITEM CSL_CITATION {"citationID":"sE9bnw8W","properties":{"formattedCitation":"(Cubbage et al., 2012)","plainCitation":"(Cubbage et al., 2012)","noteIndex":0},"citationItems":[{"id":1975,"uris":["http://zotero.org/groups/2241939/items/6NVCSHR5"],"uri":["http://zotero.org/groups/2241939/items/6NVCSHR5"],"itemData":{"id":1975,"type":"article-journal","title":"Comparing silvopastoral systems and prospects in eight regions of the world","container-title":"Agroforestry Systems","page":"303-314","volume":"86","issue":"3","source":"Crossref","DOI":"10.1007/s10457-012-9482-z","ISSN":"0167-4366, 1572-9680","language":"en","author":[{"family":"Cubbage","given":"Frederick"},{"family":"Balmelli","given":"Gustavo"},{"family":"Bussoni","given":"Adriana"},{"family":"Noellemeyer","given":"Elke"},{"family":"Pachas","given":"Anibal N."},{"family":"Fassola","given":"Hugo"},{"family":"Colcombet","given":"Luis"},{"family":"Rossner","given":"Belén"},{"family":"Frey","given":"Gregory"},{"family":"Dube","given":"Francis"},{"family":"Silva","given":"Marcio Lopes","non-dropping-particle":"de"},{"family":"Stevenson","given":"Hayley"},{"family":"Hamilton","given":"James"},{"family":"Hubbard","given":"William"}],"issued":{"date-parts":[["2012",11]]}}}],"schema":"https://github.com/citation-style-language/schema/raw/master/csl-citation.json"} </w:instrText>
      </w:r>
      <w:r w:rsidR="00771008">
        <w:rPr>
          <w:rFonts w:eastAsia="Calibri" w:cs="Times New Roman"/>
          <w:color w:val="000000" w:themeColor="text1"/>
        </w:rPr>
        <w:fldChar w:fldCharType="separate"/>
      </w:r>
      <w:r w:rsidR="00A06F54" w:rsidRPr="00A06F54">
        <w:rPr>
          <w:rFonts w:cs="Times New Roman"/>
        </w:rPr>
        <w:t>(Cubbage et al., 2012)</w:t>
      </w:r>
      <w:r w:rsidR="00771008">
        <w:rPr>
          <w:rFonts w:eastAsia="Calibri" w:cs="Times New Roman"/>
          <w:color w:val="000000" w:themeColor="text1"/>
        </w:rPr>
        <w:fldChar w:fldCharType="end"/>
      </w:r>
      <w:r w:rsidRPr="003D513E">
        <w:rPr>
          <w:rFonts w:eastAsia="Calibri" w:cs="Times New Roman"/>
          <w:color w:val="000000" w:themeColor="text1"/>
        </w:rPr>
        <w:t>, tree shade contributes positively to animal health, milk production weight gain, and reproduction.</w:t>
      </w:r>
    </w:p>
    <w:p w14:paraId="3F21D212" w14:textId="33C90BF0" w:rsidR="008B1493" w:rsidRPr="00D86BE9" w:rsidRDefault="00782428" w:rsidP="003D513E">
      <w:pPr>
        <w:numPr>
          <w:ilvl w:val="0"/>
          <w:numId w:val="16"/>
        </w:numPr>
        <w:pBdr>
          <w:top w:val="nil"/>
          <w:left w:val="nil"/>
          <w:bottom w:val="nil"/>
          <w:right w:val="nil"/>
          <w:between w:val="nil"/>
        </w:pBdr>
        <w:spacing w:after="0"/>
        <w:contextualSpacing/>
        <w:rPr>
          <w:rFonts w:cs="Times New Roman"/>
          <w:color w:val="000000" w:themeColor="text1"/>
        </w:rPr>
      </w:pPr>
      <w:r>
        <w:rPr>
          <w:rFonts w:eastAsia="Calibri" w:cs="Times New Roman"/>
          <w:b/>
          <w:color w:val="000000" w:themeColor="text1"/>
        </w:rPr>
        <w:t>Microclimate regulation &amp; c</w:t>
      </w:r>
      <w:r w:rsidRPr="003D513E">
        <w:rPr>
          <w:rFonts w:eastAsia="Calibri" w:cs="Times New Roman"/>
          <w:b/>
          <w:color w:val="000000" w:themeColor="text1"/>
        </w:rPr>
        <w:t xml:space="preserve">limate </w:t>
      </w:r>
      <w:r w:rsidR="008B1493" w:rsidRPr="003D513E">
        <w:rPr>
          <w:rFonts w:eastAsia="Calibri" w:cs="Times New Roman"/>
          <w:b/>
          <w:color w:val="000000" w:themeColor="text1"/>
        </w:rPr>
        <w:t>change adaptation</w:t>
      </w:r>
      <w:r w:rsidR="008B1493" w:rsidRPr="003D513E">
        <w:rPr>
          <w:rFonts w:eastAsia="Calibri" w:cs="Times New Roman"/>
          <w:color w:val="000000" w:themeColor="text1"/>
        </w:rPr>
        <w:t>: In seasonally dry climates trees assist in moderating seasonal water quality and quantity by moderating the microclimate below them</w:t>
      </w:r>
      <w:r w:rsidR="00A54EEA">
        <w:rPr>
          <w:rFonts w:eastAsia="Calibri" w:cs="Times New Roman"/>
          <w:color w:val="000000" w:themeColor="text1"/>
        </w:rPr>
        <w:t xml:space="preserve"> </w:t>
      </w:r>
      <w:r w:rsidR="00412693">
        <w:rPr>
          <w:rFonts w:eastAsia="Calibri" w:cs="Times New Roman"/>
          <w:color w:val="000000" w:themeColor="text1"/>
        </w:rPr>
        <w:fldChar w:fldCharType="begin"/>
      </w:r>
      <w:r w:rsidR="00412693">
        <w:rPr>
          <w:rFonts w:eastAsia="Calibri" w:cs="Times New Roman"/>
          <w:color w:val="000000" w:themeColor="text1"/>
        </w:rPr>
        <w:instrText xml:space="preserve"> ADDIN ZOTERO_ITEM CSL_CITATION {"citationID":"Z8Hn8GNx","properties":{"formattedCitation":"(Karki and Goodman, 2015)","plainCitation":"(Karki and Goodman, 2015)","noteIndex":0},"citationItems":[{"id":3126,"uris":["http://zotero.org/groups/2241939/items/CH5ATW47"],"uri":["http://zotero.org/groups/2241939/items/CH5ATW47"],"itemData":{"id":3126,"type":"article-journal","title":"Microclimatic differences between mature loblolly-pine silvopasture and open-pasture","container-title":"Agroforestry Systems","page":"319-325","volume":"89","issue":"2","source":"Crossref","DOI":"10.1007/s10457-014-9768-4","ISSN":"0167-4366, 1572-9680","language":"en","author":[{"family":"Karki","given":"Uma"},{"family":"Goodman","given":"Mary S."}],"issued":{"date-parts":[["2015",4]]}}}],"schema":"https://github.com/citation-style-language/schema/raw/master/csl-citation.json"} </w:instrText>
      </w:r>
      <w:r w:rsidR="00412693">
        <w:rPr>
          <w:rFonts w:eastAsia="Calibri" w:cs="Times New Roman"/>
          <w:color w:val="000000" w:themeColor="text1"/>
        </w:rPr>
        <w:fldChar w:fldCharType="separate"/>
      </w:r>
      <w:r w:rsidR="00412693" w:rsidRPr="00412693">
        <w:rPr>
          <w:rFonts w:cs="Times New Roman"/>
        </w:rPr>
        <w:t>(Karki and Goodman, 2015)</w:t>
      </w:r>
      <w:r w:rsidR="00412693">
        <w:rPr>
          <w:rFonts w:eastAsia="Calibri" w:cs="Times New Roman"/>
          <w:color w:val="000000" w:themeColor="text1"/>
        </w:rPr>
        <w:fldChar w:fldCharType="end"/>
      </w:r>
      <w:r w:rsidR="00412693">
        <w:rPr>
          <w:rFonts w:eastAsia="Calibri" w:cs="Times New Roman"/>
          <w:color w:val="000000" w:themeColor="text1"/>
        </w:rPr>
        <w:t>,</w:t>
      </w:r>
      <w:r w:rsidR="008B1493" w:rsidRPr="003D513E">
        <w:rPr>
          <w:rFonts w:eastAsia="Calibri" w:cs="Times New Roman"/>
          <w:color w:val="000000" w:themeColor="text1"/>
        </w:rPr>
        <w:t xml:space="preserve"> thus extending the productive pasture season. In some cases, cattle in shaded pasture can reach their target weight 20 days before cattle kept in the sun</w:t>
      </w:r>
      <w:r w:rsidR="00412693">
        <w:rPr>
          <w:rFonts w:eastAsia="Calibri" w:cs="Times New Roman"/>
          <w:color w:val="000000" w:themeColor="text1"/>
        </w:rPr>
        <w:t xml:space="preserve"> </w:t>
      </w:r>
      <w:r w:rsidR="00412693">
        <w:rPr>
          <w:rFonts w:eastAsia="Calibri" w:cs="Times New Roman"/>
          <w:color w:val="000000" w:themeColor="text1"/>
        </w:rPr>
        <w:fldChar w:fldCharType="begin"/>
      </w:r>
      <w:r w:rsidR="00412693">
        <w:rPr>
          <w:rFonts w:eastAsia="Calibri" w:cs="Times New Roman"/>
          <w:color w:val="000000" w:themeColor="text1"/>
        </w:rPr>
        <w:instrText xml:space="preserve"> ADDIN ZOTERO_ITEM CSL_CITATION {"citationID":"ymY90lrG","properties":{"formattedCitation":"(Schoeneberger, 2009; Toensmeier, 2016)","plainCitation":"(Schoeneberger, 2009; Toensmeier, 2016)","noteIndex":0},"citationItems":[{"id":3128,"uris":["http://zotero.org/groups/2241939/items/G2QI3S69"],"uri":["http://zotero.org/groups/2241939/items/G2QI3S69"],"itemData":{"id":3128,"type":"article-journal","title":"Agroforestry: working trees for sequestering carbon on agricultural lands","container-title":"Agroforestry Systems","page":"27-37","volume":"75","issue":"1","source":"Crossref","DOI":"10.1007/s10457-008-9123-8","ISSN":"0167-4366, 1572-9680","shortTitle":"Agroforestry","language":"en","author":[{"family":"Schoeneberger","given":"M. M."}],"issued":{"date-parts":[["2009",1]]}}},{"id":654,"uris":["http://zotero.org/groups/2241939/items/D37XH6EJ"],"uri":["http://zotero.org/groups/2241939/items/D37XH6EJ"],"itemData":{"id":654,"type":"book","title":"The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412693">
        <w:rPr>
          <w:rFonts w:eastAsia="Calibri" w:cs="Times New Roman"/>
          <w:color w:val="000000" w:themeColor="text1"/>
        </w:rPr>
        <w:fldChar w:fldCharType="separate"/>
      </w:r>
      <w:r w:rsidR="00412693" w:rsidRPr="00412693">
        <w:rPr>
          <w:rFonts w:cs="Times New Roman"/>
        </w:rPr>
        <w:t>(Schoeneberger, 2009; Toensmeier, 2016)</w:t>
      </w:r>
      <w:r w:rsidR="00412693">
        <w:rPr>
          <w:rFonts w:eastAsia="Calibri" w:cs="Times New Roman"/>
          <w:color w:val="000000" w:themeColor="text1"/>
        </w:rPr>
        <w:fldChar w:fldCharType="end"/>
      </w:r>
      <w:r w:rsidR="00412693">
        <w:rPr>
          <w:rFonts w:eastAsia="Calibri" w:cs="Times New Roman"/>
          <w:color w:val="000000" w:themeColor="text1"/>
        </w:rPr>
        <w:t>.</w:t>
      </w:r>
      <w:r w:rsidR="00D73DC3">
        <w:rPr>
          <w:rFonts w:eastAsia="Calibri" w:cs="Times New Roman"/>
          <w:color w:val="000000" w:themeColor="text1"/>
        </w:rPr>
        <w:t xml:space="preserve"> </w:t>
      </w:r>
      <w:r w:rsidR="008B1493" w:rsidRPr="003D513E">
        <w:rPr>
          <w:rFonts w:eastAsia="Calibri" w:cs="Times New Roman"/>
          <w:color w:val="000000" w:themeColor="text1"/>
        </w:rPr>
        <w:t>Trees in pasture also can help farmers adapt to unpredictable weather events. In New Zealand, trees reduced pasture production losses due to landslides during cyclonic events by 13.8%, with each tree saving 8.4 m</w:t>
      </w:r>
      <w:r w:rsidR="008B1493" w:rsidRPr="003D513E">
        <w:rPr>
          <w:rFonts w:eastAsia="Calibri" w:cs="Times New Roman"/>
          <w:color w:val="000000" w:themeColor="text1"/>
          <w:vertAlign w:val="superscript"/>
        </w:rPr>
        <w:t>2</w:t>
      </w:r>
      <w:r w:rsidR="008B1493" w:rsidRPr="003D513E">
        <w:rPr>
          <w:rFonts w:eastAsia="Calibri" w:cs="Times New Roman"/>
          <w:color w:val="000000" w:themeColor="text1"/>
        </w:rPr>
        <w:t xml:space="preserve"> of pasture from failure</w:t>
      </w:r>
      <w:r w:rsidR="00462809">
        <w:rPr>
          <w:rFonts w:eastAsia="Calibri" w:cs="Times New Roman"/>
          <w:color w:val="000000" w:themeColor="text1"/>
        </w:rPr>
        <w:t xml:space="preserve"> </w:t>
      </w:r>
      <w:r w:rsidR="00462809">
        <w:rPr>
          <w:rFonts w:eastAsia="Calibri" w:cs="Times New Roman"/>
          <w:color w:val="000000" w:themeColor="text1"/>
        </w:rPr>
        <w:fldChar w:fldCharType="begin"/>
      </w:r>
      <w:r w:rsidR="00462809">
        <w:rPr>
          <w:rFonts w:eastAsia="Calibri" w:cs="Times New Roman"/>
          <w:color w:val="000000" w:themeColor="text1"/>
        </w:rPr>
        <w:instrText xml:space="preserve"> ADDIN ZOTERO_ITEM CSL_CITATION {"citationID":"0ZSMAGOZ","properties":{"formattedCitation":"(Benavides et al., 2009)","plainCitation":"(Benavides et al., 2009)","noteIndex":0},"citationItems":[{"id":3130,"uris":["http://zotero.org/groups/2241939/items/FV7NG38F"],"uri":["http://zotero.org/groups/2241939/items/FV7NG38F"],"itemData":{"id":3130,"type":"article-journal","title":"Silvopastoralism in New Zealand: review of effects of evergreen and deciduous trees on pasture dynamics","container-title":"Agroforestry Systems","page":"327-350","volume":"76","issue":"2","source":"Crossref","DOI":"10.1007/s10457-008-9186-6","ISSN":"0167-4366, 1572-9680","shortTitle":"Silvopastoralism in New Zealand","language":"en","author":[{"family":"Benavides","given":"Raquel"},{"family":"Douglas","given":"Grant B."},{"family":"Osoro","given":"Koldo"}],"issued":{"date-parts":[["2009",6]]}}}],"schema":"https://github.com/citation-style-language/schema/raw/master/csl-citation.json"} </w:instrText>
      </w:r>
      <w:r w:rsidR="00462809">
        <w:rPr>
          <w:rFonts w:eastAsia="Calibri" w:cs="Times New Roman"/>
          <w:color w:val="000000" w:themeColor="text1"/>
        </w:rPr>
        <w:fldChar w:fldCharType="separate"/>
      </w:r>
      <w:r w:rsidR="00462809" w:rsidRPr="00462809">
        <w:rPr>
          <w:rFonts w:cs="Times New Roman"/>
        </w:rPr>
        <w:t>(Benavides et al., 2009)</w:t>
      </w:r>
      <w:r w:rsidR="00462809">
        <w:rPr>
          <w:rFonts w:eastAsia="Calibri" w:cs="Times New Roman"/>
          <w:color w:val="000000" w:themeColor="text1"/>
        </w:rPr>
        <w:fldChar w:fldCharType="end"/>
      </w:r>
      <w:r w:rsidR="008B1493" w:rsidRPr="003D513E">
        <w:rPr>
          <w:rFonts w:eastAsia="Calibri" w:cs="Times New Roman"/>
          <w:color w:val="000000" w:themeColor="text1"/>
        </w:rPr>
        <w:t>.</w:t>
      </w:r>
    </w:p>
    <w:p w14:paraId="0F84D7BB" w14:textId="22D4D29A" w:rsidR="008B1493" w:rsidRPr="003D513E" w:rsidRDefault="008B1493" w:rsidP="003D513E">
      <w:pPr>
        <w:numPr>
          <w:ilvl w:val="0"/>
          <w:numId w:val="16"/>
        </w:numPr>
        <w:pBdr>
          <w:top w:val="nil"/>
          <w:left w:val="nil"/>
          <w:bottom w:val="nil"/>
          <w:right w:val="nil"/>
          <w:between w:val="nil"/>
        </w:pBdr>
        <w:spacing w:after="0"/>
        <w:contextualSpacing/>
        <w:rPr>
          <w:rFonts w:cs="Times New Roman"/>
          <w:color w:val="000000" w:themeColor="text1"/>
        </w:rPr>
      </w:pPr>
      <w:r w:rsidRPr="003D513E">
        <w:rPr>
          <w:rFonts w:eastAsia="Calibri" w:cs="Times New Roman"/>
          <w:b/>
          <w:color w:val="000000" w:themeColor="text1"/>
        </w:rPr>
        <w:t xml:space="preserve">Increased wildlife habitat: </w:t>
      </w:r>
      <w:r w:rsidRPr="003D513E">
        <w:rPr>
          <w:rFonts w:cs="Times New Roman"/>
          <w:color w:val="000000" w:themeColor="text1"/>
        </w:rPr>
        <w:t>Including trees in pastures provides</w:t>
      </w:r>
      <w:r w:rsidRPr="003D513E">
        <w:rPr>
          <w:rFonts w:eastAsia="Calibri" w:cs="Times New Roman"/>
          <w:color w:val="000000" w:themeColor="text1"/>
        </w:rPr>
        <w:t xml:space="preserve"> additional habitat for wildlife and birds that would otherwise be absent. </w:t>
      </w:r>
    </w:p>
    <w:p w14:paraId="59A030D1" w14:textId="77777777" w:rsidR="009C295D" w:rsidRPr="003D513E" w:rsidRDefault="009C295D" w:rsidP="003D513E">
      <w:pPr>
        <w:pBdr>
          <w:top w:val="nil"/>
          <w:left w:val="nil"/>
          <w:bottom w:val="nil"/>
          <w:right w:val="nil"/>
          <w:between w:val="nil"/>
        </w:pBdr>
        <w:spacing w:after="0"/>
        <w:ind w:left="720"/>
        <w:contextualSpacing/>
        <w:rPr>
          <w:rFonts w:cs="Times New Roman"/>
          <w:color w:val="000000" w:themeColor="text1"/>
        </w:rPr>
      </w:pPr>
    </w:p>
    <w:p w14:paraId="6491D738" w14:textId="0A714DB9" w:rsidR="008B1493" w:rsidRPr="003D513E" w:rsidRDefault="008B1493" w:rsidP="003D513E">
      <w:pPr>
        <w:ind w:left="360"/>
        <w:contextualSpacing/>
        <w:rPr>
          <w:rFonts w:cs="Times New Roman"/>
          <w:color w:val="000000" w:themeColor="text1"/>
        </w:rPr>
      </w:pPr>
      <w:r w:rsidRPr="003D513E">
        <w:rPr>
          <w:rFonts w:cs="Times New Roman"/>
          <w:i/>
          <w:color w:val="000000" w:themeColor="text1"/>
        </w:rPr>
        <w:t>Disadvantages:</w:t>
      </w:r>
    </w:p>
    <w:p w14:paraId="49FA5F67" w14:textId="77777777" w:rsidR="008B1493" w:rsidRPr="003D513E" w:rsidRDefault="008B1493" w:rsidP="003D513E">
      <w:pPr>
        <w:numPr>
          <w:ilvl w:val="0"/>
          <w:numId w:val="15"/>
        </w:numPr>
        <w:pBdr>
          <w:top w:val="nil"/>
          <w:left w:val="nil"/>
          <w:bottom w:val="nil"/>
          <w:right w:val="nil"/>
          <w:between w:val="nil"/>
        </w:pBdr>
        <w:spacing w:after="0"/>
        <w:contextualSpacing/>
        <w:rPr>
          <w:rFonts w:eastAsia="Calibri" w:cs="Times New Roman"/>
          <w:color w:val="000000" w:themeColor="text1"/>
        </w:rPr>
      </w:pPr>
      <w:r w:rsidRPr="003D513E">
        <w:rPr>
          <w:rFonts w:eastAsia="Calibri" w:cs="Times New Roman"/>
          <w:b/>
          <w:color w:val="000000" w:themeColor="text1"/>
        </w:rPr>
        <w:t>Water demand:</w:t>
      </w:r>
      <w:r w:rsidRPr="003D513E">
        <w:rPr>
          <w:rFonts w:eastAsia="Calibri" w:cs="Times New Roman"/>
          <w:color w:val="000000" w:themeColor="text1"/>
        </w:rPr>
        <w:t xml:space="preserve"> Since trees often require higher levels of annual precipitation to thrive, silvopasture is a solution that is likely only viable in areas with sufficient annual precipitation to support them. Since a substantial amount of global grazing lands are in arid/semi-arid climates, this is a disadvantage of silvopasture compared to managed grazing, which is more applicable in arid systems. </w:t>
      </w:r>
    </w:p>
    <w:p w14:paraId="252AC704" w14:textId="77777777" w:rsidR="008B1493" w:rsidRPr="003D513E" w:rsidRDefault="008B1493" w:rsidP="003D513E">
      <w:pPr>
        <w:numPr>
          <w:ilvl w:val="0"/>
          <w:numId w:val="15"/>
        </w:numPr>
        <w:pBdr>
          <w:top w:val="nil"/>
          <w:left w:val="nil"/>
          <w:bottom w:val="nil"/>
          <w:right w:val="nil"/>
          <w:between w:val="nil"/>
        </w:pBdr>
        <w:spacing w:after="0"/>
        <w:contextualSpacing/>
        <w:rPr>
          <w:rFonts w:eastAsia="Calibri" w:cs="Times New Roman"/>
          <w:color w:val="000000" w:themeColor="text1"/>
        </w:rPr>
      </w:pPr>
      <w:r w:rsidRPr="003D513E">
        <w:rPr>
          <w:rFonts w:eastAsia="Calibri" w:cs="Times New Roman"/>
          <w:b/>
          <w:color w:val="000000" w:themeColor="text1"/>
        </w:rPr>
        <w:t xml:space="preserve">Establishment/management costs: </w:t>
      </w:r>
      <w:r w:rsidRPr="003D513E">
        <w:rPr>
          <w:rFonts w:eastAsia="Calibri" w:cs="Times New Roman"/>
          <w:color w:val="000000" w:themeColor="text1"/>
        </w:rPr>
        <w:t xml:space="preserve">Managed grazing often only requires a transition in practice for ranchers, which might incur an opportunity cost but requires few material expenditures. Silvopasture, on the other hand, can often incur extremely high startup costs that may be cost-prohibitive for some producers, limiting adoption. </w:t>
      </w:r>
    </w:p>
    <w:p w14:paraId="5CC05A70" w14:textId="37BF6A67" w:rsidR="00E067BD" w:rsidRPr="003D513E" w:rsidRDefault="008B1493" w:rsidP="003D513E">
      <w:pPr>
        <w:numPr>
          <w:ilvl w:val="0"/>
          <w:numId w:val="15"/>
        </w:numPr>
        <w:pBdr>
          <w:top w:val="nil"/>
          <w:left w:val="nil"/>
          <w:bottom w:val="nil"/>
          <w:right w:val="nil"/>
          <w:between w:val="nil"/>
        </w:pBdr>
        <w:spacing w:after="0"/>
        <w:contextualSpacing/>
        <w:rPr>
          <w:rFonts w:eastAsia="Calibri" w:cs="Times New Roman"/>
          <w:color w:val="000000" w:themeColor="text1"/>
        </w:rPr>
      </w:pPr>
      <w:r w:rsidRPr="003D513E">
        <w:rPr>
          <w:rFonts w:eastAsia="Calibri" w:cs="Times New Roman"/>
          <w:b/>
          <w:color w:val="000000" w:themeColor="text1"/>
        </w:rPr>
        <w:lastRenderedPageBreak/>
        <w:t>Management limitations:</w:t>
      </w:r>
      <w:r w:rsidRPr="003D513E">
        <w:rPr>
          <w:rFonts w:eastAsia="Calibri" w:cs="Times New Roman"/>
          <w:color w:val="000000" w:themeColor="text1"/>
        </w:rPr>
        <w:t xml:space="preserve"> While the literature suggests that silvopasture can greatly increase the biological and financial productivity of land, it may simultaneously limit producers’ options on how to utilize those parcels. For example, depending on the design of a silvopasture system, a field may not be able to be used to easily produce hay. </w:t>
      </w:r>
    </w:p>
    <w:p w14:paraId="507B8981" w14:textId="4F9ED0AE" w:rsidR="008542B3" w:rsidRDefault="009C295D" w:rsidP="003D513E">
      <w:pPr>
        <w:pStyle w:val="ListParagraph"/>
      </w:pPr>
      <w:r w:rsidRPr="003D513E">
        <w:rPr>
          <w:rFonts w:eastAsia="Calibri" w:cs="Times New Roman"/>
          <w:b/>
          <w:color w:val="000000" w:themeColor="text1"/>
        </w:rPr>
        <w:t>I</w:t>
      </w:r>
      <w:r w:rsidR="00E067BD" w:rsidRPr="003D513E">
        <w:rPr>
          <w:rFonts w:eastAsia="Calibri" w:cs="Times New Roman"/>
          <w:b/>
          <w:color w:val="000000" w:themeColor="text1"/>
        </w:rPr>
        <w:t xml:space="preserve">nformation </w:t>
      </w:r>
      <w:r w:rsidRPr="003D513E">
        <w:rPr>
          <w:rFonts w:eastAsia="Calibri" w:cs="Times New Roman"/>
          <w:b/>
          <w:color w:val="000000" w:themeColor="text1"/>
        </w:rPr>
        <w:t xml:space="preserve">access </w:t>
      </w:r>
      <w:r w:rsidR="00E067BD" w:rsidRPr="003D513E">
        <w:rPr>
          <w:rFonts w:eastAsia="Calibri" w:cs="Times New Roman"/>
          <w:b/>
          <w:color w:val="000000" w:themeColor="text1"/>
        </w:rPr>
        <w:t>for farmers</w:t>
      </w:r>
      <w:r w:rsidR="008667CB">
        <w:rPr>
          <w:rFonts w:eastAsia="Calibri" w:cs="Times New Roman"/>
          <w:b/>
          <w:color w:val="000000" w:themeColor="text1"/>
        </w:rPr>
        <w:t xml:space="preserve">: </w:t>
      </w:r>
      <w:r w:rsidR="008667CB">
        <w:t>Perception of high establishment costs and lack of knowledge and resources available to farmers about the practice might similarly present an obstacle for more widespread farmer adoption</w:t>
      </w:r>
      <w:r w:rsidR="0095164E">
        <w:t xml:space="preserve"> </w:t>
      </w:r>
      <w:r w:rsidR="0095164E">
        <w:fldChar w:fldCharType="begin"/>
      </w:r>
      <w:r w:rsidR="0095164E">
        <w:instrText xml:space="preserve"> ADDIN ZOTERO_ITEM CSL_CITATION {"citationID":"Y8i2GkuE","properties":{"formattedCitation":"(Calle, 2008; Orefice et al., 2017)","plainCitation":"(Calle, 2008; Orefice et al., 2017)","noteIndex":0},"citationItems":[{"id":3132,"uris":["http://zotero.org/groups/2241939/items/TT9T8X5S"],"uri":["http://zotero.org/groups/2241939/items/TT9T8X5S"],"itemData":{"id":3132,"type":"article-journal","title":"Using PES and technical assistance to promote silvopastoral systems in Quindío, Colombia: Attitude change as a key to permanent adoption","container-title":"MES thesis, Yale University, School of Forestry and Environmental Studies, New Haven, CT","author":[{"family":"Calle","given":"A"}],"issued":{"date-parts":[["2008"]]}}},{"id":3133,"uris":["http://zotero.org/groups/2241939/items/N9QJ8T9M"],"uri":["http://zotero.org/groups/2241939/items/N9QJ8T9M"],"itemData":{"id":3133,"type":"article-journal","title":"Silvopasture practices and perspectives in the Northeastern United States","container-title":"Agroforestry Systems","page":"149-160","volume":"91","issue":"1","author":[{"family":"Orefice","given":"Joseph"},{"family":"Carroll","given":"John"},{"family":"Conroy","given":"Drew"},{"family":"Ketner","given":"Leanne"}],"issued":{"date-parts":[["2017"]]}}}],"schema":"https://github.com/citation-style-language/schema/raw/master/csl-citation.json"} </w:instrText>
      </w:r>
      <w:r w:rsidR="0095164E">
        <w:fldChar w:fldCharType="separate"/>
      </w:r>
      <w:r w:rsidR="00A06F54" w:rsidRPr="00A06F54">
        <w:rPr>
          <w:rFonts w:cs="Times New Roman"/>
        </w:rPr>
        <w:t>(Calle, 2008; Orefice et al., 2017)</w:t>
      </w:r>
      <w:r w:rsidR="0095164E">
        <w:fldChar w:fldCharType="end"/>
      </w:r>
      <w:r w:rsidR="0095164E">
        <w:t>.</w:t>
      </w:r>
    </w:p>
    <w:p w14:paraId="0E6878D3" w14:textId="13A22861" w:rsidR="005D49A8" w:rsidRDefault="551A77D0" w:rsidP="007C08B3">
      <w:pPr>
        <w:pStyle w:val="Heading3"/>
      </w:pPr>
      <w:bookmarkStart w:id="22" w:name="_Toc18013307"/>
      <w:r w:rsidRPr="551A77D0">
        <w:t>Additional Benefits and Burdens</w:t>
      </w:r>
      <w:bookmarkStart w:id="23" w:name="_Toc524993438"/>
      <w:bookmarkEnd w:id="22"/>
    </w:p>
    <w:p w14:paraId="05BF1658" w14:textId="3C51A9D1" w:rsidR="00EF1970" w:rsidRPr="003D513E" w:rsidRDefault="00EF1970" w:rsidP="007C08B3">
      <w:pPr>
        <w:rPr>
          <w:b/>
          <w:sz w:val="24"/>
        </w:rPr>
      </w:pPr>
      <w:r>
        <w:t xml:space="preserve">Here this solution is compared with other solutions in the </w:t>
      </w:r>
      <w:r w:rsidR="00705BBE">
        <w:t>food production cluster for farm, ecosystem, and social impacts.</w:t>
      </w:r>
      <w:r w:rsidR="00C5366F">
        <w:t xml:space="preserve"> While silvopasture is associated with high start-up costs and a long delayed profit period, it is also associated with </w:t>
      </w:r>
      <w:r w:rsidR="005B130C">
        <w:t xml:space="preserve">medium yield gains, </w:t>
      </w:r>
      <w:r w:rsidR="00C5366F">
        <w:t>high net profits</w:t>
      </w:r>
      <w:r w:rsidR="005B130C">
        <w:t>, high climate impacts and high ecosystem service benefits</w:t>
      </w:r>
      <w:r w:rsidR="00C5366F">
        <w:t xml:space="preserve"> compared to other solutions</w:t>
      </w:r>
      <w:r w:rsidR="00C4258C">
        <w:t xml:space="preserve"> land-use and food solutions</w:t>
      </w:r>
      <w:r w:rsidR="00C5366F">
        <w:t>.</w:t>
      </w:r>
    </w:p>
    <w:p w14:paraId="66C56BBE" w14:textId="5443968B" w:rsidR="00695682" w:rsidRPr="003D513E" w:rsidRDefault="00695682" w:rsidP="003D513E">
      <w:pPr>
        <w:pStyle w:val="Caption"/>
        <w:jc w:val="left"/>
        <w:rPr>
          <w:b/>
          <w:color w:val="auto"/>
          <w:sz w:val="20"/>
        </w:rPr>
      </w:pPr>
      <w:bookmarkStart w:id="24" w:name="_Toc18448124"/>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1</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4</w:t>
      </w:r>
      <w:r w:rsidR="00B037A8">
        <w:rPr>
          <w:b/>
          <w:color w:val="auto"/>
          <w:sz w:val="20"/>
        </w:rPr>
        <w:fldChar w:fldCharType="end"/>
      </w:r>
      <w:r w:rsidRPr="003D513E">
        <w:rPr>
          <w:b/>
          <w:color w:val="auto"/>
          <w:sz w:val="20"/>
        </w:rPr>
        <w:t xml:space="preserve"> </w:t>
      </w:r>
      <w:bookmarkEnd w:id="23"/>
      <w:r w:rsidR="00666260" w:rsidRPr="003D513E">
        <w:rPr>
          <w:b/>
          <w:color w:val="auto"/>
          <w:sz w:val="20"/>
        </w:rPr>
        <w:t>Food Production</w:t>
      </w:r>
      <w:r w:rsidR="003D2054" w:rsidRPr="003D513E">
        <w:rPr>
          <w:b/>
          <w:color w:val="auto"/>
          <w:sz w:val="20"/>
        </w:rPr>
        <w:t xml:space="preserve"> Solutions Comparison: On-Farm Impacts</w:t>
      </w:r>
      <w:bookmarkEnd w:id="24"/>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r>
              <w:rPr>
                <w:sz w:val="20"/>
                <w:szCs w:val="20"/>
              </w:rPr>
              <w:t>Multistrata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C5366F">
        <w:trPr>
          <w:trHeight w:val="352"/>
        </w:trPr>
        <w:tc>
          <w:tcPr>
            <w:tcW w:w="2875" w:type="dxa"/>
            <w:shd w:val="clear" w:color="auto" w:fill="D9D9D9" w:themeFill="background1" w:themeFillShade="D9"/>
          </w:tcPr>
          <w:p w14:paraId="403A86FE" w14:textId="52D6C5D4" w:rsidR="003D2054" w:rsidRPr="003D2054" w:rsidRDefault="00666260" w:rsidP="00DB4CC8">
            <w:pPr>
              <w:rPr>
                <w:sz w:val="20"/>
                <w:szCs w:val="20"/>
              </w:rPr>
            </w:pPr>
            <w:r>
              <w:rPr>
                <w:sz w:val="20"/>
                <w:szCs w:val="20"/>
              </w:rPr>
              <w:t>Silvopasture</w:t>
            </w:r>
          </w:p>
        </w:tc>
        <w:tc>
          <w:tcPr>
            <w:tcW w:w="1620" w:type="dxa"/>
            <w:shd w:val="clear" w:color="auto" w:fill="D9D9D9" w:themeFill="background1" w:themeFillShade="D9"/>
          </w:tcPr>
          <w:p w14:paraId="20599139" w14:textId="5E5AAC2E" w:rsidR="003D2054" w:rsidRPr="003D2054" w:rsidRDefault="00A26C98" w:rsidP="00A26C98">
            <w:pPr>
              <w:jc w:val="center"/>
              <w:rPr>
                <w:sz w:val="20"/>
                <w:szCs w:val="20"/>
              </w:rPr>
            </w:pPr>
            <w:r>
              <w:rPr>
                <w:sz w:val="20"/>
                <w:szCs w:val="20"/>
              </w:rPr>
              <w:t>Medium</w:t>
            </w:r>
          </w:p>
        </w:tc>
        <w:tc>
          <w:tcPr>
            <w:tcW w:w="1620" w:type="dxa"/>
            <w:shd w:val="clear" w:color="auto" w:fill="D9D9D9" w:themeFill="background1" w:themeFillShade="D9"/>
          </w:tcPr>
          <w:p w14:paraId="2724EE1B" w14:textId="5388B45D" w:rsidR="003D2054" w:rsidRPr="003D2054" w:rsidRDefault="00941CA1" w:rsidP="00A26C98">
            <w:pPr>
              <w:jc w:val="center"/>
              <w:rPr>
                <w:sz w:val="20"/>
                <w:szCs w:val="20"/>
              </w:rPr>
            </w:pPr>
            <w:r>
              <w:rPr>
                <w:sz w:val="20"/>
                <w:szCs w:val="20"/>
              </w:rPr>
              <w:t>Expensive</w:t>
            </w:r>
          </w:p>
        </w:tc>
        <w:tc>
          <w:tcPr>
            <w:tcW w:w="1620" w:type="dxa"/>
            <w:shd w:val="clear" w:color="auto" w:fill="D9D9D9" w:themeFill="background1" w:themeFillShade="D9"/>
          </w:tcPr>
          <w:p w14:paraId="4ECF56B4" w14:textId="3207F4F5" w:rsidR="003D2054" w:rsidRPr="003D2054" w:rsidRDefault="00A93BEF" w:rsidP="00A26C98">
            <w:pPr>
              <w:jc w:val="center"/>
              <w:rPr>
                <w:sz w:val="20"/>
                <w:szCs w:val="20"/>
              </w:rPr>
            </w:pPr>
            <w:r>
              <w:rPr>
                <w:sz w:val="20"/>
                <w:szCs w:val="20"/>
              </w:rPr>
              <w:t>High</w:t>
            </w:r>
          </w:p>
        </w:tc>
        <w:tc>
          <w:tcPr>
            <w:tcW w:w="1615" w:type="dxa"/>
            <w:shd w:val="clear" w:color="auto" w:fill="D9D9D9" w:themeFill="background1" w:themeFillShade="D9"/>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lastRenderedPageBreak/>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Pr="003D513E" w:rsidRDefault="003D2054" w:rsidP="003D513E">
      <w:pPr>
        <w:autoSpaceDE w:val="0"/>
        <w:spacing w:after="0"/>
        <w:jc w:val="left"/>
        <w:rPr>
          <w:rFonts w:asciiTheme="majorHAnsi" w:eastAsiaTheme="majorEastAsia" w:hAnsiTheme="majorHAnsi" w:cstheme="majorBidi"/>
          <w:b/>
          <w:bCs/>
          <w:smallCaps/>
          <w:sz w:val="40"/>
          <w:szCs w:val="36"/>
        </w:rPr>
      </w:pPr>
    </w:p>
    <w:p w14:paraId="1A16B3F5" w14:textId="1D2B7E03" w:rsidR="003D2054" w:rsidRPr="003D513E" w:rsidRDefault="003D2054" w:rsidP="003D513E">
      <w:pPr>
        <w:pStyle w:val="Caption"/>
        <w:jc w:val="left"/>
        <w:rPr>
          <w:b/>
          <w:color w:val="auto"/>
          <w:sz w:val="20"/>
        </w:rPr>
      </w:pPr>
      <w:bookmarkStart w:id="25" w:name="_Toc18448125"/>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1</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5</w:t>
      </w:r>
      <w:r w:rsidR="00B037A8">
        <w:rPr>
          <w:b/>
          <w:color w:val="auto"/>
          <w:sz w:val="20"/>
        </w:rPr>
        <w:fldChar w:fldCharType="end"/>
      </w:r>
      <w:r w:rsidRPr="003D513E">
        <w:rPr>
          <w:b/>
          <w:color w:val="auto"/>
          <w:sz w:val="20"/>
        </w:rPr>
        <w:t xml:space="preserve"> </w:t>
      </w:r>
      <w:r w:rsidR="0021041A" w:rsidRPr="003D513E">
        <w:rPr>
          <w:b/>
          <w:color w:val="auto"/>
          <w:sz w:val="20"/>
        </w:rPr>
        <w:t xml:space="preserve">Food Production Solutions Comparison: On-Farm Impacts </w:t>
      </w:r>
      <w:r w:rsidRPr="003D513E">
        <w:rPr>
          <w:b/>
          <w:color w:val="auto"/>
          <w:sz w:val="20"/>
        </w:rPr>
        <w:t>Social and Ecological Impacts</w:t>
      </w:r>
      <w:bookmarkEnd w:id="25"/>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C5366F">
        <w:trPr>
          <w:trHeight w:val="352"/>
        </w:trPr>
        <w:tc>
          <w:tcPr>
            <w:tcW w:w="2874" w:type="dxa"/>
            <w:shd w:val="clear" w:color="auto" w:fill="D9D9D9" w:themeFill="background1" w:themeFillShade="D9"/>
          </w:tcPr>
          <w:p w14:paraId="7FB962B1" w14:textId="5724F0BF" w:rsidR="000509B9" w:rsidRPr="000663BB" w:rsidRDefault="000509B9" w:rsidP="000509B9">
            <w:pPr>
              <w:rPr>
                <w:sz w:val="20"/>
                <w:szCs w:val="20"/>
                <w:highlight w:val="yellow"/>
              </w:rPr>
            </w:pPr>
            <w:r>
              <w:rPr>
                <w:sz w:val="20"/>
                <w:szCs w:val="20"/>
              </w:rPr>
              <w:t>Silvopasture</w:t>
            </w:r>
          </w:p>
        </w:tc>
        <w:tc>
          <w:tcPr>
            <w:tcW w:w="1619" w:type="dxa"/>
            <w:shd w:val="clear" w:color="auto" w:fill="D9D9D9" w:themeFill="background1" w:themeFillShade="D9"/>
          </w:tcPr>
          <w:p w14:paraId="060C2AD9" w14:textId="5E29204E" w:rsidR="000509B9" w:rsidRPr="0021041A" w:rsidRDefault="000509B9" w:rsidP="000509B9">
            <w:pPr>
              <w:jc w:val="center"/>
              <w:rPr>
                <w:sz w:val="20"/>
                <w:szCs w:val="20"/>
              </w:rPr>
            </w:pPr>
            <w:r>
              <w:rPr>
                <w:sz w:val="20"/>
                <w:szCs w:val="20"/>
              </w:rPr>
              <w:t>High</w:t>
            </w:r>
          </w:p>
        </w:tc>
        <w:tc>
          <w:tcPr>
            <w:tcW w:w="1619" w:type="dxa"/>
            <w:shd w:val="clear" w:color="auto" w:fill="D9D9D9" w:themeFill="background1" w:themeFillShade="D9"/>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shd w:val="clear" w:color="auto" w:fill="D9D9D9" w:themeFill="background1" w:themeFillShade="D9"/>
          </w:tcPr>
          <w:p w14:paraId="43FFDC5E" w14:textId="409CCBBE" w:rsidR="000509B9" w:rsidRPr="0021041A" w:rsidRDefault="007572FB" w:rsidP="000509B9">
            <w:pPr>
              <w:jc w:val="center"/>
              <w:rPr>
                <w:sz w:val="20"/>
                <w:szCs w:val="20"/>
              </w:rPr>
            </w:pPr>
            <w:r>
              <w:rPr>
                <w:sz w:val="20"/>
                <w:szCs w:val="20"/>
              </w:rPr>
              <w:t>High</w:t>
            </w:r>
          </w:p>
        </w:tc>
        <w:tc>
          <w:tcPr>
            <w:tcW w:w="1619" w:type="dxa"/>
            <w:shd w:val="clear" w:color="auto" w:fill="D9D9D9" w:themeFill="background1" w:themeFillShade="D9"/>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lastRenderedPageBreak/>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756DEC01" w14:textId="2A9B7491" w:rsidR="00966563" w:rsidRDefault="551A77D0" w:rsidP="00387E91">
      <w:pPr>
        <w:pStyle w:val="Heading1"/>
        <w:numPr>
          <w:ilvl w:val="0"/>
          <w:numId w:val="4"/>
        </w:numPr>
      </w:pPr>
      <w:bookmarkStart w:id="26" w:name="_Toc18013308"/>
      <w:r>
        <w:t>Methodology</w:t>
      </w:r>
      <w:bookmarkEnd w:id="26"/>
    </w:p>
    <w:p w14:paraId="567926D6" w14:textId="2E842B8D" w:rsidR="00BD136D" w:rsidRDefault="00686965" w:rsidP="00387E91">
      <w:pPr>
        <w:pStyle w:val="Heading2"/>
        <w:numPr>
          <w:ilvl w:val="1"/>
          <w:numId w:val="5"/>
        </w:numPr>
      </w:pPr>
      <w:bookmarkStart w:id="27" w:name="_Toc18013309"/>
      <w:r>
        <w:t>Introduction</w:t>
      </w:r>
      <w:bookmarkEnd w:id="27"/>
    </w:p>
    <w:p w14:paraId="62DF67C3" w14:textId="77777777" w:rsidR="00977143" w:rsidRDefault="00977143" w:rsidP="00977143">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w:t>
      </w:r>
    </w:p>
    <w:p w14:paraId="2F9CA252" w14:textId="77777777" w:rsidR="00977143" w:rsidRDefault="00977143" w:rsidP="00977143">
      <w:pPr>
        <w:pStyle w:val="ListParagraph"/>
        <w:numPr>
          <w:ilvl w:val="0"/>
          <w:numId w:val="17"/>
        </w:numPr>
      </w:pPr>
      <w:r>
        <w:t xml:space="preserve">Sequestration of carbon dioxide from the atmosphere into plant biomass and soil; and </w:t>
      </w:r>
    </w:p>
    <w:p w14:paraId="270BEEA5" w14:textId="77777777" w:rsidR="00977143" w:rsidRDefault="00977143" w:rsidP="00977143">
      <w:pPr>
        <w:pStyle w:val="ListParagraph"/>
        <w:numPr>
          <w:ilvl w:val="0"/>
          <w:numId w:val="17"/>
        </w:numPr>
      </w:pPr>
      <w:r>
        <w:t xml:space="preserve">Reduction of emissions for a solution relative to a conventional practice. </w:t>
      </w:r>
    </w:p>
    <w:p w14:paraId="0FCEF507" w14:textId="4959AFDA" w:rsidR="00977143" w:rsidRDefault="00977143" w:rsidP="00977143">
      <w:r>
        <w:t>These practices are assumed to use land of a specific type that may be shared across several solutions.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10BC26CC" w14:textId="21AA575F" w:rsidR="00A62AF9" w:rsidRDefault="00A62AF9" w:rsidP="00977143">
      <w:r w:rsidRPr="00D57049">
        <w:t xml:space="preserve">Drawdown’s </w:t>
      </w:r>
      <w:r>
        <w:rPr>
          <w:i/>
        </w:rPr>
        <w:t>silvopasture</w:t>
      </w:r>
      <w:r w:rsidRPr="00D57049">
        <w:t xml:space="preserve"> solution models</w:t>
      </w:r>
      <w:r w:rsidR="009C7EA3">
        <w:t xml:space="preserve"> future</w:t>
      </w:r>
      <w:r w:rsidRPr="00D57049">
        <w:t xml:space="preserve"> adoption on </w:t>
      </w:r>
      <w:r w:rsidR="003963CC">
        <w:t xml:space="preserve">already established </w:t>
      </w:r>
      <w:r>
        <w:t>gra</w:t>
      </w:r>
      <w:r w:rsidR="003963CC">
        <w:t>zing and pasture areas</w:t>
      </w:r>
      <w:r w:rsidR="00954F48">
        <w:t xml:space="preserve"> and/or degraded grasslands</w:t>
      </w:r>
      <w:r w:rsidRPr="00D57049">
        <w:t>. This approach rules out adoption on</w:t>
      </w:r>
      <w:r>
        <w:t xml:space="preserve"> other land-use types such as</w:t>
      </w:r>
      <w:r w:rsidRPr="00D57049">
        <w:t xml:space="preserve"> </w:t>
      </w:r>
      <w:r>
        <w:t>forest or peatlan</w:t>
      </w:r>
      <w:r w:rsidRPr="00D57049">
        <w:t>d.</w:t>
      </w:r>
      <w:r w:rsidR="003963CC">
        <w:t xml:space="preserve"> </w:t>
      </w:r>
      <w:r w:rsidRPr="00E01AA3">
        <w:t xml:space="preserve">Current adoption is estimated at </w:t>
      </w:r>
      <w:r>
        <w:t>about</w:t>
      </w:r>
      <w:r>
        <w:rPr>
          <w:color w:val="000000"/>
        </w:rPr>
        <w:t xml:space="preserve"> 450 - 550 million hectares, making it the second most widespread form of agroforestry worldwide</w:t>
      </w:r>
      <w:r w:rsidR="00D56061">
        <w:rPr>
          <w:color w:val="000000"/>
        </w:rPr>
        <w:t xml:space="preserve"> </w:t>
      </w:r>
      <w:r w:rsidR="00D56061">
        <w:rPr>
          <w:color w:val="000000"/>
        </w:rPr>
        <w:fldChar w:fldCharType="begin"/>
      </w:r>
      <w:r w:rsidR="00D56061">
        <w:rPr>
          <w:color w:val="000000"/>
        </w:rPr>
        <w:instrText xml:space="preserve"> ADDIN ZOTERO_ITEM CSL_CITATION {"citationID":"dlAF5paV","properties":{"formattedCitation":"(Lal et al., 2018; Nair, 2012)","plainCitation":"(Lal et al., 2018; Nair, 2012)","noteIndex":0},"citationItems":[{"id":2028,"uris":["http://zotero.org/groups/2241939/items/ZJ5AC9RL"],"uri":["http://zotero.org/groups/2241939/items/ZJ5AC9RL"],"itemData":{"id":2028,"type":"article-journal","title":"The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D56061">
        <w:rPr>
          <w:color w:val="000000"/>
        </w:rPr>
        <w:fldChar w:fldCharType="separate"/>
      </w:r>
      <w:r w:rsidR="00D56061" w:rsidRPr="00D56061">
        <w:rPr>
          <w:rFonts w:cs="Times New Roman"/>
        </w:rPr>
        <w:t>(Lal et al., 2018; Nair, 2012)</w:t>
      </w:r>
      <w:r w:rsidR="00D56061">
        <w:rPr>
          <w:color w:val="000000"/>
        </w:rPr>
        <w:fldChar w:fldCharType="end"/>
      </w:r>
      <w:r>
        <w:rPr>
          <w:color w:val="000000"/>
        </w:rPr>
        <w:t xml:space="preserve">. </w:t>
      </w:r>
      <w:r w:rsidR="00512D29">
        <w:rPr>
          <w:color w:val="000000"/>
        </w:rPr>
        <w:t>While s</w:t>
      </w:r>
      <w:r>
        <w:rPr>
          <w:color w:val="000000"/>
        </w:rPr>
        <w:t xml:space="preserve">ilvopastures are most prevalent in temperate humid or semi-arid climates they are also found in cool temperate regions. </w:t>
      </w:r>
    </w:p>
    <w:p w14:paraId="09AE8382" w14:textId="266F4127" w:rsidR="00983D38" w:rsidRDefault="00983D38" w:rsidP="00882559"/>
    <w:p w14:paraId="15233529" w14:textId="77777777" w:rsidR="00983D38" w:rsidRDefault="00983D38" w:rsidP="00882559"/>
    <w:p w14:paraId="4DBDB822" w14:textId="77777777" w:rsidR="00882559" w:rsidRPr="00D57049" w:rsidRDefault="00882559" w:rsidP="00882559">
      <w:pPr>
        <w:rPr>
          <w:i/>
          <w:color w:val="000000" w:themeColor="text1"/>
        </w:rPr>
      </w:pPr>
      <w:r w:rsidRPr="00D57049">
        <w:rPr>
          <w:i/>
          <w:color w:val="000000" w:themeColor="text1"/>
        </w:rPr>
        <w:lastRenderedPageBreak/>
        <w:t>Agency Level</w:t>
      </w:r>
    </w:p>
    <w:p w14:paraId="0A5AB220" w14:textId="3E630068" w:rsidR="00882559" w:rsidRPr="001850DC" w:rsidRDefault="00882559" w:rsidP="00DB4CC8">
      <w:r w:rsidRPr="00D57049">
        <w:rPr>
          <w:color w:val="000000" w:themeColor="text1"/>
        </w:rPr>
        <w:t xml:space="preserve">The </w:t>
      </w:r>
      <w:r w:rsidR="005637A9">
        <w:rPr>
          <w:color w:val="000000" w:themeColor="text1"/>
        </w:rPr>
        <w:t>rancher or pastoralist</w:t>
      </w:r>
      <w:r w:rsidRPr="00D57049">
        <w:rPr>
          <w:color w:val="000000" w:themeColor="text1"/>
        </w:rPr>
        <w:t xml:space="preserve"> is selected as the agency level for this solution. Though certainly other agents can, do, and should play an important role in this solution, the decision-maker on the ground is the most critical player in implementation. </w:t>
      </w:r>
    </w:p>
    <w:p w14:paraId="52E65522" w14:textId="77777777" w:rsidR="00EF3511" w:rsidRPr="003D513E" w:rsidRDefault="00686965">
      <w:pPr>
        <w:pStyle w:val="Heading2"/>
        <w:numPr>
          <w:ilvl w:val="1"/>
          <w:numId w:val="4"/>
        </w:numPr>
      </w:pPr>
      <w:bookmarkStart w:id="28" w:name="_Toc18013310"/>
      <w:r w:rsidRPr="00D46641">
        <w:t>Data Sources</w:t>
      </w:r>
      <w:bookmarkEnd w:id="28"/>
    </w:p>
    <w:p w14:paraId="3A0241DA" w14:textId="0BB424B5" w:rsidR="00EF3511" w:rsidRPr="00C70984" w:rsidRDefault="00EF3511" w:rsidP="003D513E">
      <w:r w:rsidRPr="00C70984">
        <w:t xml:space="preserve">Data for the model was drawn from </w:t>
      </w:r>
      <w:r w:rsidR="0051643B">
        <w:t xml:space="preserve">a review of </w:t>
      </w:r>
      <w:r w:rsidR="00256E00">
        <w:t xml:space="preserve">54 </w:t>
      </w:r>
      <w:r w:rsidR="00DF0EB1">
        <w:t xml:space="preserve">peer-reviewed </w:t>
      </w:r>
      <w:r w:rsidR="00256E00">
        <w:t>publications</w:t>
      </w:r>
      <w:r w:rsidR="0051643B">
        <w:t>, grey literature (e.g government reports and university financial resources for farmers), as well as</w:t>
      </w:r>
      <w:r w:rsidR="00DF0EB1">
        <w:t xml:space="preserve"> public sector sources such as the </w:t>
      </w:r>
      <w:r w:rsidRPr="00C70984">
        <w:t>FAO</w:t>
      </w:r>
      <w:r w:rsidR="008B7193">
        <w:t>’s online</w:t>
      </w:r>
      <w:r w:rsidRPr="00C70984">
        <w:t xml:space="preserve"> statistical service</w:t>
      </w:r>
      <w:r w:rsidR="00B219AA">
        <w:t>, and spans most grazing areas of the world except for Africa, for which no specific sources were found to date.</w:t>
      </w:r>
      <w:r w:rsidR="0051643B">
        <w:t xml:space="preserve"> </w:t>
      </w:r>
      <w:r w:rsidR="0051643B" w:rsidRPr="0051643B">
        <w:t xml:space="preserve">Total available land </w:t>
      </w:r>
      <w:r w:rsidR="0051643B">
        <w:t xml:space="preserve">for silvopasture future adoption </w:t>
      </w:r>
      <w:r w:rsidR="0051643B" w:rsidRPr="0051643B">
        <w:t xml:space="preserve">is calculated </w:t>
      </w:r>
      <w:r w:rsidR="0051643B">
        <w:t>by</w:t>
      </w:r>
      <w:r w:rsidR="0051643B" w:rsidRPr="0051643B">
        <w:t xml:space="preserve"> the Drawdown model and based on </w:t>
      </w:r>
      <w:r w:rsidR="0051643B">
        <w:t>total global grazing areas in all grasslands except those under arctic and boreal climate conditions.</w:t>
      </w:r>
    </w:p>
    <w:p w14:paraId="3F6B79A0" w14:textId="2B9AFD9B" w:rsidR="00DF4904" w:rsidRPr="00882559" w:rsidRDefault="00686965" w:rsidP="00387E91">
      <w:pPr>
        <w:pStyle w:val="Heading2"/>
        <w:numPr>
          <w:ilvl w:val="1"/>
          <w:numId w:val="4"/>
        </w:numPr>
      </w:pPr>
      <w:bookmarkStart w:id="29" w:name="_Toc18013311"/>
      <w:r w:rsidRPr="00882559">
        <w:t xml:space="preserve">Total </w:t>
      </w:r>
      <w:r w:rsidR="00882559" w:rsidRPr="00882559">
        <w:t>Available Land</w:t>
      </w:r>
      <w:bookmarkEnd w:id="29"/>
    </w:p>
    <w:p w14:paraId="3A17D11A" w14:textId="77777777" w:rsidR="00BD0E7D" w:rsidRDefault="00BD0E7D" w:rsidP="00BD0E7D">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3EBD9967" w14:textId="77777777" w:rsidR="00BD0E7D" w:rsidRDefault="00BD0E7D" w:rsidP="00BD0E7D">
      <w:pPr>
        <w:spacing w:after="0"/>
        <w:rPr>
          <w:rFonts w:eastAsia="Times New Roman" w:cstheme="minorHAnsi"/>
          <w:color w:val="000000" w:themeColor="text1"/>
          <w:lang w:eastAsia="zh-CN"/>
        </w:rPr>
      </w:pPr>
    </w:p>
    <w:p w14:paraId="0AB2DEC9" w14:textId="77777777" w:rsidR="00BD0E7D" w:rsidRPr="003970F9" w:rsidRDefault="00BD0E7D" w:rsidP="00BD0E7D">
      <w:pPr>
        <w:pStyle w:val="ListParagraph"/>
        <w:numPr>
          <w:ilvl w:val="0"/>
          <w:numId w:val="20"/>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3970F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3970F9">
        <w:rPr>
          <w:rFonts w:eastAsia="Times New Roman" w:cstheme="minorHAnsi"/>
          <w:color w:val="000000" w:themeColor="text1"/>
          <w:lang w:eastAsia="zh-CN"/>
        </w:rPr>
        <w:t xml:space="preserve"> based on: current land cover or land use; the suitability of climate, soils, and slopes; and degraded or non-degraded status. </w:t>
      </w:r>
      <w:r>
        <w:rPr>
          <w:rFonts w:eastAsia="Times New Roman" w:cstheme="minorHAnsi"/>
          <w:color w:val="000000" w:themeColor="text1"/>
          <w:lang w:eastAsia="zh-CN"/>
        </w:rPr>
        <w:t>Relevant d</w:t>
      </w:r>
      <w:r w:rsidRPr="003970F9">
        <w:rPr>
          <w:rFonts w:eastAsia="Times New Roman" w:cstheme="minorHAnsi"/>
          <w:color w:val="000000" w:themeColor="text1"/>
          <w:lang w:eastAsia="zh-CN"/>
        </w:rPr>
        <w:t>ata on global land-use and availability is acquired from Global Agro-Ecological Zones database, developed by the Food and Agriculture Organization of the United Nations (FAO) and the International Institute for Applied Systems Analysis (IIASA).</w:t>
      </w:r>
    </w:p>
    <w:p w14:paraId="0B197ABF" w14:textId="77777777" w:rsidR="00BD0E7D" w:rsidRDefault="00BD0E7D" w:rsidP="00BD0E7D">
      <w:pPr>
        <w:pStyle w:val="ListParagraph"/>
        <w:numPr>
          <w:ilvl w:val="0"/>
          <w:numId w:val="20"/>
        </w:num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In the second stage, land is allocated using the Drawdown Agro-Ecological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r>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09D23065" w14:textId="35059358" w:rsidR="00847D4C" w:rsidRPr="00D86BE9" w:rsidRDefault="00847D4C" w:rsidP="003D513E">
      <w:pPr>
        <w:spacing w:after="0"/>
        <w:contextualSpacing/>
        <w:rPr>
          <w:rFonts w:eastAsia="Times New Roman" w:cs="Times New Roman"/>
          <w:color w:val="000000" w:themeColor="text1"/>
          <w:lang w:eastAsia="zh-CN"/>
        </w:rPr>
      </w:pPr>
    </w:p>
    <w:p w14:paraId="6063CB90" w14:textId="696E2221" w:rsidR="00BD0E7D" w:rsidRPr="00CA7BF1" w:rsidRDefault="00882559" w:rsidP="00BD0E7D">
      <w:pPr>
        <w:spacing w:after="0"/>
        <w:rPr>
          <w:rFonts w:eastAsia="Times New Roman" w:cstheme="minorHAnsi"/>
          <w:color w:val="000000" w:themeColor="text1"/>
          <w:lang w:eastAsia="zh-CN"/>
        </w:rPr>
      </w:pPr>
      <w:r w:rsidRPr="00D8218B">
        <w:rPr>
          <w:rFonts w:eastAsia="Times New Roman" w:cs="Times New Roman"/>
          <w:color w:val="000000" w:themeColor="text1"/>
          <w:lang w:eastAsia="zh-CN"/>
        </w:rPr>
        <w:t>The total land allocated for each solution is capped at the solution’s maximum adoption in the </w:t>
      </w:r>
      <w:r w:rsidRPr="00457A0E">
        <w:rPr>
          <w:rFonts w:eastAsia="Times New Roman" w:cs="Times New Roman"/>
          <w:i/>
          <w:iCs/>
          <w:color w:val="000000" w:themeColor="text1"/>
          <w:lang w:eastAsia="zh-CN"/>
        </w:rPr>
        <w:t>Optimum</w:t>
      </w:r>
      <w:r w:rsidRPr="00457A0E">
        <w:rPr>
          <w:rFonts w:eastAsia="Times New Roman" w:cs="Times New Roman"/>
          <w:color w:val="000000" w:themeColor="text1"/>
          <w:lang w:eastAsia="zh-CN"/>
        </w:rPr>
        <w:t xml:space="preserve"> Scenario. </w:t>
      </w:r>
      <w:r w:rsidR="00BD0E7D" w:rsidRPr="003970F9">
        <w:rPr>
          <w:rFonts w:eastAsia="Times New Roman" w:cstheme="minorHAnsi"/>
          <w:color w:val="000000" w:themeColor="text1"/>
          <w:lang w:eastAsia="zh-CN"/>
        </w:rPr>
        <w:t>Thus, Drawdown estimates of total available land are very conservative as final allocation numbers are less than those determined purely through technical potential.</w:t>
      </w:r>
      <w:r w:rsidR="00BD0E7D">
        <w:rPr>
          <w:rFonts w:eastAsia="Times New Roman" w:cstheme="minorHAnsi"/>
          <w:color w:val="000000" w:themeColor="text1"/>
          <w:lang w:eastAsia="zh-CN"/>
        </w:rPr>
        <w:t xml:space="preserve"> </w:t>
      </w:r>
      <w:r w:rsidR="00BD0E7D">
        <w:rPr>
          <w:rFonts w:eastAsia="Times New Roman" w:cstheme="minorHAnsi"/>
          <w:color w:val="000000" w:themeColor="text1"/>
          <w:shd w:val="clear" w:color="auto" w:fill="FFFFFF"/>
          <w:lang w:eastAsia="zh-CN"/>
        </w:rPr>
        <w:t xml:space="preserve">Drawdown </w:t>
      </w:r>
      <w:r w:rsidR="00BD0E7D" w:rsidRPr="00A750E2">
        <w:rPr>
          <w:rFonts w:eastAsia="Times New Roman" w:cstheme="minorHAnsi"/>
          <w:color w:val="000000" w:themeColor="text1"/>
          <w:shd w:val="clear" w:color="auto" w:fill="FFFFFF"/>
          <w:lang w:eastAsia="zh-CN"/>
        </w:rPr>
        <w:t xml:space="preserve">new </w:t>
      </w:r>
      <w:r w:rsidR="00BD0E7D" w:rsidRPr="00A750E2">
        <w:rPr>
          <w:rFonts w:eastAsia="Times New Roman" w:cstheme="minorHAnsi"/>
          <w:color w:val="000000" w:themeColor="text1"/>
          <w:shd w:val="clear" w:color="auto" w:fill="FFFFFF"/>
          <w:lang w:eastAsia="zh-CN"/>
        </w:rPr>
        <w:lastRenderedPageBreak/>
        <w:t>adoption</w:t>
      </w:r>
      <w:r w:rsidR="00BD0E7D">
        <w:rPr>
          <w:rFonts w:eastAsia="Times New Roman" w:cstheme="minorHAnsi"/>
          <w:color w:val="000000" w:themeColor="text1"/>
          <w:shd w:val="clear" w:color="auto" w:fill="FFFFFF"/>
          <w:lang w:eastAsia="zh-CN"/>
        </w:rPr>
        <w:t xml:space="preserve"> potential</w:t>
      </w:r>
      <w:r w:rsidR="00BD0E7D" w:rsidRPr="00A750E2">
        <w:rPr>
          <w:rFonts w:eastAsia="Times New Roman" w:cstheme="minorHAnsi"/>
          <w:color w:val="000000" w:themeColor="text1"/>
          <w:shd w:val="clear" w:color="auto" w:fill="FFFFFF"/>
          <w:lang w:eastAsia="zh-CN"/>
        </w:rPr>
        <w:t xml:space="preserve"> </w:t>
      </w:r>
      <w:r w:rsidR="00BD0E7D">
        <w:rPr>
          <w:rFonts w:eastAsia="Times New Roman" w:cstheme="minorHAnsi"/>
          <w:color w:val="000000" w:themeColor="text1"/>
          <w:shd w:val="clear" w:color="auto" w:fill="FFFFFF"/>
          <w:lang w:eastAsia="zh-CN"/>
        </w:rPr>
        <w:t xml:space="preserve">for </w:t>
      </w:r>
      <w:r w:rsidR="00BD0E7D">
        <w:rPr>
          <w:rFonts w:eastAsia="Times New Roman" w:cstheme="minorHAnsi"/>
          <w:color w:val="000000" w:themeColor="text1"/>
          <w:lang w:eastAsia="zh-CN"/>
        </w:rPr>
        <w:t>silvopasture</w:t>
      </w:r>
      <w:r w:rsidR="00BD0E7D" w:rsidRPr="00A750E2">
        <w:rPr>
          <w:rFonts w:eastAsia="Times New Roman" w:cstheme="minorHAnsi"/>
          <w:color w:val="000000" w:themeColor="text1"/>
          <w:shd w:val="clear" w:color="auto" w:fill="FFFFFF"/>
          <w:lang w:eastAsia="zh-CN"/>
        </w:rPr>
        <w:t xml:space="preserve"> is modeled </w:t>
      </w:r>
      <w:r w:rsidR="00BD0E7D">
        <w:rPr>
          <w:rFonts w:eastAsia="Times New Roman" w:cstheme="minorHAnsi"/>
          <w:color w:val="000000" w:themeColor="text1"/>
          <w:shd w:val="clear" w:color="auto" w:fill="FFFFFF"/>
          <w:lang w:eastAsia="zh-CN"/>
        </w:rPr>
        <w:t xml:space="preserve">specifically </w:t>
      </w:r>
      <w:r w:rsidR="00BD0E7D" w:rsidRPr="00A750E2">
        <w:rPr>
          <w:rFonts w:eastAsia="Times New Roman" w:cstheme="minorHAnsi"/>
          <w:color w:val="000000" w:themeColor="text1"/>
          <w:shd w:val="clear" w:color="auto" w:fill="FFFFFF"/>
          <w:lang w:eastAsia="zh-CN"/>
        </w:rPr>
        <w:t xml:space="preserve">on </w:t>
      </w:r>
      <w:r w:rsidR="00BD0E7D" w:rsidRPr="003D513E">
        <w:rPr>
          <w:rFonts w:eastAsia="Helvetica Neue" w:cs="Times New Roman"/>
          <w:color w:val="000000"/>
          <w:highlight w:val="white"/>
          <w:u w:val="single"/>
        </w:rPr>
        <w:t>non-degraded grassland with minimal or moderate slopes in humid and semi-arid climates</w:t>
      </w:r>
      <w:r w:rsidR="00BD0E7D" w:rsidRPr="00A750E2">
        <w:rPr>
          <w:rFonts w:eastAsia="Times New Roman" w:cstheme="minorHAnsi"/>
          <w:color w:val="000000" w:themeColor="text1"/>
          <w:shd w:val="clear" w:color="auto" w:fill="FFFFFF"/>
          <w:lang w:eastAsia="zh-CN"/>
        </w:rPr>
        <w:t xml:space="preserve">. </w:t>
      </w:r>
    </w:p>
    <w:p w14:paraId="196877EE" w14:textId="0E1AD0DB" w:rsidR="00882559" w:rsidRDefault="00882559" w:rsidP="00847D4C">
      <w:pPr>
        <w:spacing w:after="0"/>
        <w:contextualSpacing/>
        <w:rPr>
          <w:rFonts w:eastAsia="Times New Roman" w:cs="Times New Roman"/>
          <w:color w:val="000000" w:themeColor="text1"/>
          <w:lang w:eastAsia="zh-CN"/>
        </w:rPr>
      </w:pPr>
    </w:p>
    <w:p w14:paraId="7D0F772B" w14:textId="28557AC2" w:rsidR="007D41F1" w:rsidRPr="00D57049" w:rsidRDefault="008C0798" w:rsidP="003D513E">
      <w:pPr>
        <w:contextualSpacing/>
        <w:rPr>
          <w:rFonts w:eastAsia="Times New Roman" w:cstheme="minorHAnsi"/>
          <w:color w:val="000000" w:themeColor="text1"/>
          <w:lang w:eastAsia="zh-CN"/>
        </w:rPr>
      </w:pPr>
      <w:r>
        <w:rPr>
          <w:color w:val="000000" w:themeColor="text1"/>
        </w:rPr>
        <w:t xml:space="preserve">Based on this existing data regarding </w:t>
      </w:r>
      <w:r w:rsidR="00295EF9">
        <w:rPr>
          <w:color w:val="000000" w:themeColor="text1"/>
        </w:rPr>
        <w:t xml:space="preserve">global </w:t>
      </w:r>
      <w:r>
        <w:rPr>
          <w:color w:val="000000" w:themeColor="text1"/>
        </w:rPr>
        <w:t xml:space="preserve">available degraded grassland area as well as land allocation as determined through </w:t>
      </w:r>
      <w:r w:rsidRPr="006559D4">
        <w:rPr>
          <w:rFonts w:eastAsia="Times New Roman" w:cstheme="minorHAnsi"/>
          <w:color w:val="000000" w:themeColor="text1"/>
          <w:lang w:eastAsia="zh-CN"/>
        </w:rPr>
        <w:t>the Drawdown Agro-Ecological Zone model</w:t>
      </w:r>
      <w:r>
        <w:rPr>
          <w:rFonts w:eastAsia="Times New Roman" w:cstheme="minorHAnsi"/>
          <w:color w:val="000000" w:themeColor="text1"/>
          <w:shd w:val="clear" w:color="auto" w:fill="FFFFFF"/>
          <w:lang w:eastAsia="zh-CN"/>
        </w:rPr>
        <w:t>,</w:t>
      </w:r>
      <w:r>
        <w:rPr>
          <w:rFonts w:eastAsia="Times New Roman" w:cstheme="minorHAnsi"/>
          <w:color w:val="000000" w:themeColor="text1"/>
          <w:lang w:eastAsia="zh-CN"/>
        </w:rPr>
        <w:t xml:space="preserve"> t</w:t>
      </w:r>
      <w:r w:rsidRPr="00A3451A">
        <w:rPr>
          <w:color w:val="000000" w:themeColor="text1"/>
        </w:rPr>
        <w:t>he maximum area allocated to </w:t>
      </w:r>
      <w:r>
        <w:rPr>
          <w:rStyle w:val="Emphasis"/>
          <w:color w:val="000000" w:themeColor="text1"/>
        </w:rPr>
        <w:t>silvopasture</w:t>
      </w:r>
      <w:r w:rsidRPr="00A3451A">
        <w:rPr>
          <w:color w:val="000000" w:themeColor="text1"/>
        </w:rPr>
        <w:t> is</w:t>
      </w:r>
      <w:r>
        <w:rPr>
          <w:color w:val="000000" w:themeColor="text1"/>
        </w:rPr>
        <w:t xml:space="preserve"> </w:t>
      </w:r>
      <w:r w:rsidRPr="008C0798">
        <w:rPr>
          <w:color w:val="000000" w:themeColor="text1"/>
          <w:u w:val="single"/>
        </w:rPr>
        <w:t>9</w:t>
      </w:r>
      <w:r w:rsidR="00335154">
        <w:rPr>
          <w:color w:val="000000" w:themeColor="text1"/>
          <w:u w:val="single"/>
        </w:rPr>
        <w:t>10</w:t>
      </w:r>
      <w:r w:rsidRPr="008C0798">
        <w:rPr>
          <w:color w:val="000000" w:themeColor="text1"/>
          <w:u w:val="single"/>
        </w:rPr>
        <w:t xml:space="preserve"> million hectares</w:t>
      </w:r>
      <w:r>
        <w:rPr>
          <w:color w:val="000000"/>
        </w:rPr>
        <w:t>. This figure is used throughout the Drawdown model for this solution.</w:t>
      </w:r>
      <w:r w:rsidRPr="00A3451A">
        <w:rPr>
          <w:color w:val="000000"/>
        </w:rPr>
        <w:t> </w:t>
      </w:r>
      <w:r w:rsidR="006F200C" w:rsidRPr="00CA7BF1">
        <w:rPr>
          <w:rFonts w:eastAsia="Helvetica Neue" w:cs="Times New Roman"/>
          <w:color w:val="000000"/>
          <w:highlight w:val="white"/>
        </w:rPr>
        <w:t xml:space="preserve">As noted above, according to Dixon (2008), globally there are </w:t>
      </w:r>
      <w:r w:rsidR="006F200C" w:rsidRPr="00D86BE9">
        <w:rPr>
          <w:rFonts w:cs="Times New Roman"/>
          <w:color w:val="000000"/>
        </w:rPr>
        <w:t>773 Mha of humid grasslands and 2,902 Mha of semi-arid grasslands.</w:t>
      </w:r>
      <w:r w:rsidR="006F200C" w:rsidRPr="00CA7BF1">
        <w:rPr>
          <w:rFonts w:eastAsia="Helvetica Neue" w:cs="Times New Roman"/>
          <w:color w:val="000000"/>
          <w:highlight w:val="white"/>
        </w:rPr>
        <w:t> Current adoption of </w:t>
      </w:r>
      <w:r w:rsidR="006F200C" w:rsidRPr="00CA7BF1">
        <w:rPr>
          <w:rFonts w:eastAsia="Helvetica Neue" w:cs="Times New Roman"/>
          <w:i/>
          <w:color w:val="000000"/>
          <w:highlight w:val="white"/>
        </w:rPr>
        <w:t>silvopasture</w:t>
      </w:r>
      <w:r w:rsidR="006F200C" w:rsidRPr="00CA7BF1">
        <w:rPr>
          <w:rFonts w:eastAsia="Helvetica Neue" w:cs="Times New Roman"/>
          <w:color w:val="000000"/>
          <w:highlight w:val="white"/>
        </w:rPr>
        <w:t> is estimated at</w:t>
      </w:r>
      <w:r w:rsidR="006F200C">
        <w:rPr>
          <w:rFonts w:eastAsia="Helvetica Neue" w:cs="Times New Roman"/>
          <w:color w:val="000000"/>
          <w:highlight w:val="white"/>
        </w:rPr>
        <w:t xml:space="preserve"> </w:t>
      </w:r>
      <w:r w:rsidR="00335154">
        <w:rPr>
          <w:rFonts w:eastAsia="Helvetica Neue" w:cs="Times New Roman"/>
          <w:color w:val="000000"/>
          <w:highlight w:val="white"/>
        </w:rPr>
        <w:t>500</w:t>
      </w:r>
      <w:r w:rsidR="006F200C" w:rsidRPr="00CA7BF1">
        <w:rPr>
          <w:rFonts w:eastAsia="Helvetica Neue" w:cs="Times New Roman"/>
          <w:color w:val="000000"/>
          <w:highlight w:val="white"/>
        </w:rPr>
        <w:t xml:space="preserve"> million hectares</w:t>
      </w:r>
      <w:r w:rsidR="00926024">
        <w:rPr>
          <w:rFonts w:eastAsia="Helvetica Neue" w:cs="Times New Roman"/>
          <w:color w:val="000000"/>
          <w:highlight w:val="white"/>
        </w:rPr>
        <w:t xml:space="preserve">. </w:t>
      </w:r>
      <w:r w:rsidR="00A72BA2" w:rsidRPr="00A72BA2">
        <w:rPr>
          <w:rFonts w:eastAsia="Helvetica Neue" w:cs="Times New Roman"/>
          <w:color w:val="000000"/>
        </w:rPr>
        <w:t xml:space="preserve">This value was determined based on the global area reported under silvopasture by </w:t>
      </w:r>
      <w:r w:rsidR="00A72BA2">
        <w:rPr>
          <w:rFonts w:eastAsia="Helvetica Neue" w:cs="Times New Roman"/>
          <w:color w:val="000000"/>
        </w:rPr>
        <w:fldChar w:fldCharType="begin"/>
      </w:r>
      <w:r w:rsidR="00A72BA2">
        <w:rPr>
          <w:rFonts w:eastAsia="Helvetica Neue" w:cs="Times New Roman"/>
          <w:color w:val="000000"/>
        </w:rPr>
        <w:instrText xml:space="preserve"> ADDIN ZOTERO_ITEM CSL_CITATION {"citationID":"m5h51cCQ","properties":{"formattedCitation":"(Nair,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A72BA2">
        <w:rPr>
          <w:rFonts w:eastAsia="Helvetica Neue" w:cs="Times New Roman"/>
          <w:color w:val="000000"/>
        </w:rPr>
        <w:fldChar w:fldCharType="separate"/>
      </w:r>
      <w:r w:rsidR="00FD7CE8" w:rsidRPr="00FD7CE8">
        <w:rPr>
          <w:rFonts w:cs="Times New Roman"/>
        </w:rPr>
        <w:t>(Nair, 2012)</w:t>
      </w:r>
      <w:r w:rsidR="00A72BA2">
        <w:rPr>
          <w:rFonts w:eastAsia="Helvetica Neue" w:cs="Times New Roman"/>
          <w:color w:val="000000"/>
        </w:rPr>
        <w:fldChar w:fldCharType="end"/>
      </w:r>
      <w:r w:rsidR="00A72BA2" w:rsidRPr="00A72BA2">
        <w:rPr>
          <w:rFonts w:eastAsia="Helvetica Neue" w:cs="Times New Roman"/>
          <w:color w:val="000000"/>
        </w:rPr>
        <w:t xml:space="preserve"> and </w:t>
      </w:r>
      <w:r w:rsidR="00A72BA2">
        <w:rPr>
          <w:rFonts w:eastAsia="Helvetica Neue" w:cs="Times New Roman"/>
          <w:color w:val="000000"/>
        </w:rPr>
        <w:fldChar w:fldCharType="begin"/>
      </w:r>
      <w:r w:rsidR="00A72BA2">
        <w:rPr>
          <w:rFonts w:eastAsia="Helvetica Neue" w:cs="Times New Roman"/>
          <w:color w:val="000000"/>
        </w:rPr>
        <w:instrText xml:space="preserve"> ADDIN ZOTERO_ITEM CSL_CITATION {"citationID":"qihayv7l","properties":{"formattedCitation":"(Lal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A72BA2">
        <w:rPr>
          <w:rFonts w:eastAsia="Helvetica Neue" w:cs="Times New Roman"/>
          <w:color w:val="000000"/>
        </w:rPr>
        <w:fldChar w:fldCharType="separate"/>
      </w:r>
      <w:r w:rsidR="00FD7CE8" w:rsidRPr="00FD7CE8">
        <w:rPr>
          <w:rFonts w:cs="Times New Roman"/>
        </w:rPr>
        <w:t>(Lal et al., 2018)</w:t>
      </w:r>
      <w:r w:rsidR="00A72BA2">
        <w:rPr>
          <w:rFonts w:eastAsia="Helvetica Neue" w:cs="Times New Roman"/>
          <w:color w:val="000000"/>
        </w:rPr>
        <w:fldChar w:fldCharType="end"/>
      </w:r>
      <w:r w:rsidR="00A72BA2" w:rsidRPr="00A72BA2">
        <w:rPr>
          <w:rFonts w:eastAsia="Helvetica Neue" w:cs="Times New Roman"/>
          <w:color w:val="000000"/>
        </w:rPr>
        <w:t>, as well as an estimate of the percentage of global pasture area</w:t>
      </w:r>
      <w:r w:rsidR="00A72BA2">
        <w:rPr>
          <w:rFonts w:eastAsia="Helvetica Neue" w:cs="Times New Roman"/>
          <w:color w:val="000000"/>
        </w:rPr>
        <w:t xml:space="preserve"> </w:t>
      </w:r>
      <w:r w:rsidR="00A72BA2">
        <w:rPr>
          <w:rFonts w:eastAsia="Helvetica Neue" w:cs="Times New Roman"/>
          <w:color w:val="000000"/>
        </w:rPr>
        <w:fldChar w:fldCharType="begin"/>
      </w:r>
      <w:r w:rsidR="00A72BA2">
        <w:rPr>
          <w:rFonts w:eastAsia="Helvetica Neue" w:cs="Times New Roman"/>
          <w:color w:val="000000"/>
        </w:rPr>
        <w:instrText xml:space="preserve"> ADDIN ZOTERO_ITEM CSL_CITATION {"citationID":"S9RAroLp","properties":{"formattedCitation":"(FAO, 2016; Houghton and Nassikas, 2017; Lorenz and Lal, 2018)","plainCitation":"(FAO, 2016; Houghton and Nassikas, 2017; Lorenz and Lal, 2018)","noteIndex":0},"citationItems":[{"id":994,"uris":["http://zotero.org/groups/2241939/items/LKQDRZIS"],"uri":["http://zotero.org/groups/2241939/items/LKQDRZIS"],"itemData":{"id":994,"type":"webpage","title":"FAO Statistical Service Online","URL":"http://www.fao.org/faostat","shortTitle":"FAOSTATS","author":[{"literal":"FAO"}],"issued":{"date-parts":[["2016",12,8]]},"accessed":{"date-parts":[["2016",12,8]]}},"locator":"201"},{"id":1695,"uris":["http://zotero.org/groups/2241939/items/SEV7NV8C"],"uri":["http://zotero.org/groups/2241939/items/SEV7NV8C"],"itemData":{"id":1695,"type":"article-journal","title":"Global and regional fluxes of carbon from land use and land cover change 1850-2015: Carbon Emissions From Land Use","container-title":"Global Biogeochemical Cycles","page":"456-472","volume":"31","issue":"3","source":"Crossref","abstract":"The net ﬂux of carbon from land use and land cover change (LULCC) is an important term in the global carbon balance. Here we report a new estimate of annual ﬂuxes from 1850 to 2015, updating earlier analyses with new estimates of both historical and current rates of LULCC and including emissions from draining and burning of peatlands in Southeast Asia. For most of the 186 countries included we relied on data from Food and Agriculture Organization to document changes in the areas of croplands and pastures since 1960 and changes in the areas of forests and “other land” since 1990. For earlier years we used other sources of information. We used a bookkeeping model that prescribed changes in carbon density of vegetation and soils for 20 types of ecosystems and ﬁve land uses. The total net ﬂux attributable to LULCC over the period 1850–2015 is calculated to have been 145 ± 16 Pg C (1 standard deviation). Most of the emissions were from the tropics (102 ± 5.8 Pg C), generally increasing over time to a maximum of 2.10 Pg C yrÀ1 in 1997. Outside the tropics emissions were roughly constant at 0.5 Pg C yrÀ1 until 1940, declined to zero around 1970, and then became negative. For the most recent decade (2006–2015) global net emissions from LULCC averaged 1.11 (±0.35) Pg C yrÀ1, consisting of a net source from the tropics (1.41 ± 0.17 Pg C yrÀ1), a net sink in northern midlatitudes (À0.28 ± 0.21 Pg C yrÀ1), and carbon neutrality in southern midlatitudes.","DOI":"10.1002/2016GB005546","ISSN":"08866236","shortTitle":"Global and regional fluxes of carbon from land use and land cover change 1850-2015","language":"en","author":[{"family":"Houghton","given":"R. A."},{"family":"Nassikas","given":"Alexander A."}],"issued":{"date-parts":[["2017",3]]}}},{"id":762,"uris":["http://zotero.org/groups/2241939/items/RTNFGNUT"],"uri":["http://zotero.org/groups/2241939/items/RTNFGNUT"],"itemData":{"id":762,"type":"book","title":"Carbon Sequestration in Agricultural Ecosystems","publisher":"Springer International Publishing","publisher-place":"Cham","source":"Crossref","event-place":"Cham","URL":"http://link.springer.com/10.1007/978-3-319-92318-5","ISBN":"978-3-319-92317-8","note":"DOI: 10.1007/978-3-319-92318-5","language":"en","author":[{"family":"Lorenz","given":"Klaus"},{"family":"Lal","given":"Rattan"}],"issued":{"date-parts":[["2018"]]},"accessed":{"date-parts":[["2018",11,7]]}}}],"schema":"https://github.com/citation-style-language/schema/raw/master/csl-citation.json"} </w:instrText>
      </w:r>
      <w:r w:rsidR="00A72BA2">
        <w:rPr>
          <w:rFonts w:eastAsia="Helvetica Neue" w:cs="Times New Roman"/>
          <w:color w:val="000000"/>
        </w:rPr>
        <w:fldChar w:fldCharType="separate"/>
      </w:r>
      <w:r w:rsidR="00A72BA2" w:rsidRPr="00A72BA2">
        <w:rPr>
          <w:rFonts w:cs="Times New Roman"/>
        </w:rPr>
        <w:t>(FAO, 2016; Houghton and Nassikas, 2017; Lorenz and Lal, 2018)</w:t>
      </w:r>
      <w:r w:rsidR="00A72BA2">
        <w:rPr>
          <w:rFonts w:eastAsia="Helvetica Neue" w:cs="Times New Roman"/>
          <w:color w:val="000000"/>
        </w:rPr>
        <w:fldChar w:fldCharType="end"/>
      </w:r>
      <w:r w:rsidR="00A72BA2" w:rsidRPr="00A72BA2">
        <w:rPr>
          <w:rFonts w:eastAsia="Helvetica Neue" w:cs="Times New Roman"/>
          <w:color w:val="000000"/>
        </w:rPr>
        <w:t xml:space="preserve"> already under silvopasture</w:t>
      </w:r>
      <w:r w:rsidR="00A72BA2">
        <w:rPr>
          <w:rFonts w:eastAsia="Helvetica Neue" w:cs="Times New Roman"/>
          <w:color w:val="000000"/>
        </w:rPr>
        <w:t xml:space="preserve"> </w:t>
      </w:r>
      <w:r w:rsidR="00A72BA2">
        <w:rPr>
          <w:rFonts w:eastAsia="Helvetica Neue" w:cs="Times New Roman"/>
          <w:color w:val="000000"/>
        </w:rPr>
        <w:fldChar w:fldCharType="begin"/>
      </w:r>
      <w:r w:rsidR="00A72BA2">
        <w:rPr>
          <w:rFonts w:eastAsia="Helvetica Neue" w:cs="Times New Roman"/>
          <w:color w:val="000000"/>
        </w:rPr>
        <w:instrText xml:space="preserve"> ADDIN ZOTERO_ITEM CSL_CITATION {"citationID":"mMXHsfRX","properties":{"formattedCitation":"(Nair et al., 2009)","plainCitation":"(Nair et al., 2009)","noteIndex":0},"citationItems":[{"id":1998,"uris":["http://zotero.org/groups/2241939/items/95NPRJZL"],"uri":["http://zotero.org/groups/2241939/items/95NPRJZL"],"itemData":{"id":1998,"type":"article-journal","title":"Agroforestry as a strategy for carbon sequestration","container-title":"Journal of Plant Nutrition and Soil Science","page":"10-23","volume":"172","issue":"1","source":"Crossref","abstract":"During the past three decades, agroforestry has become recognized the world over as an integrated approach to sustainable land use because of its production and environmental benefits. Its recent recognition as a greenhouse gas–mitigation strategy under the Kyoto Protocol has earned it added attention as a strategy for biological carbon (C) sequestration. The perceived potential is based on the premise that the greater efficiency of integrated systems in resource (nutrients, light, and water) capture and utilization than single-species systems will result in greater net C sequestration. Available estimates of C-sequestration potential of agroforestry systems are derived by combining information on the aboveground, time-averaged C stocks and the soil C values; but they are generally not rigorous. Methodological difficulties in estimating C stock of biomass and the extent of soil C storage under varying conditions are compounded by the lack of reliable estimates of area under agroforestry. We estimate that the area currently under agroforestry worldwide is 1,023 million ha. Additionally, substantial extent of areas of unproductive crop, grass, and forest lands as well as degraded lands could be brought under agroforestry. The extent of C sequestered in any agroforestry system will depend on a number of site-specific biological, climatic, soil, and management factors. Furthermore, the profitability of C-sequestration projects will depend on the price of C in the international market, additional income from the sale of products such as timber, and the cost related to C monitoring. Our knowledge on these issues is unfortunately rudimentary. Until such difficulties are surmounted, the low-cost environmental benefit of agroforestry will continue to be underappreciated and underexploited.","DOI":"10.1002/jpln.200800030","ISSN":"14368730, 15222624","language":"en","author":[{"family":"Nair","given":""},{"family":"Kumar","given":""},{"family":"Nair","given":""}],"issued":{"date-parts":[["2009",2]]}}}],"schema":"https://github.com/citation-style-language/schema/raw/master/csl-citation.json"} </w:instrText>
      </w:r>
      <w:r w:rsidR="00A72BA2">
        <w:rPr>
          <w:rFonts w:eastAsia="Helvetica Neue" w:cs="Times New Roman"/>
          <w:color w:val="000000"/>
        </w:rPr>
        <w:fldChar w:fldCharType="separate"/>
      </w:r>
      <w:r w:rsidR="00A72BA2" w:rsidRPr="00A72BA2">
        <w:rPr>
          <w:rFonts w:cs="Times New Roman"/>
        </w:rPr>
        <w:t>(Nair et al., 2009)</w:t>
      </w:r>
      <w:r w:rsidR="00A72BA2">
        <w:rPr>
          <w:rFonts w:eastAsia="Helvetica Neue" w:cs="Times New Roman"/>
          <w:color w:val="000000"/>
        </w:rPr>
        <w:fldChar w:fldCharType="end"/>
      </w:r>
      <w:r w:rsidR="00A72BA2" w:rsidRPr="00A72BA2">
        <w:rPr>
          <w:rFonts w:eastAsia="Helvetica Neue" w:cs="Times New Roman"/>
          <w:color w:val="000000"/>
        </w:rPr>
        <w:t>.</w:t>
      </w:r>
    </w:p>
    <w:p w14:paraId="4303D5C0" w14:textId="73B6CC64" w:rsidR="00B144E5" w:rsidRDefault="00686965" w:rsidP="00387E91">
      <w:pPr>
        <w:pStyle w:val="Heading2"/>
        <w:numPr>
          <w:ilvl w:val="1"/>
          <w:numId w:val="4"/>
        </w:numPr>
      </w:pPr>
      <w:bookmarkStart w:id="30" w:name="_Toc18013312"/>
      <w:r>
        <w:t>Adoption Scenarios</w:t>
      </w:r>
      <w:bookmarkEnd w:id="30"/>
    </w:p>
    <w:p w14:paraId="288F5239" w14:textId="55220AB6" w:rsidR="00E2610A" w:rsidRDefault="00E2610A" w:rsidP="003D513E">
      <w:bookmarkStart w:id="31" w:name="_Hlk525033174"/>
      <w:r w:rsidRPr="00E2610A">
        <w:t>Two different types of adoption scenarios were developed: 1) a Reference (REF) Case which was considered the baseline, where not much changes in the world; and 2) a set of Project Drawdown Scenarios (PDS) with varying levels of ambitious adoption of the solution. Published results show the comparison of one PDS to the REF, and therefore focus on the change to the world relative to a baseline.</w:t>
      </w:r>
    </w:p>
    <w:p w14:paraId="38061580" w14:textId="012CB0F0" w:rsidR="00A45217" w:rsidRPr="003D513E" w:rsidRDefault="00694CB3" w:rsidP="003D513E">
      <w:pPr>
        <w:rPr>
          <w:rFonts w:ascii="Times" w:eastAsia="Helvetica Neue" w:hAnsi="Times" w:cs="Helvetica Neue"/>
          <w:color w:val="000000" w:themeColor="text1"/>
        </w:rPr>
      </w:pPr>
      <w:r w:rsidRPr="003D513E">
        <w:rPr>
          <w:rFonts w:ascii="Times" w:eastAsia="Helvetica Neue" w:hAnsi="Times" w:cs="Helvetica Neue"/>
          <w:color w:val="000000" w:themeColor="text1"/>
        </w:rPr>
        <w:t xml:space="preserve">In the absence </w:t>
      </w:r>
      <w:r w:rsidR="00D409AF">
        <w:rPr>
          <w:rFonts w:ascii="Times" w:eastAsia="Helvetica Neue" w:hAnsi="Times" w:cs="Helvetica Neue"/>
          <w:color w:val="000000" w:themeColor="text1"/>
        </w:rPr>
        <w:t>of limited</w:t>
      </w:r>
      <w:r w:rsidRPr="003D513E">
        <w:rPr>
          <w:rFonts w:ascii="Times" w:eastAsia="Helvetica Neue" w:hAnsi="Times" w:cs="Helvetica Neue"/>
          <w:color w:val="000000" w:themeColor="text1"/>
        </w:rPr>
        <w:t xml:space="preserve"> data available either on historical growth rates of silvopasture or of any future projections</w:t>
      </w:r>
      <w:r w:rsidR="00A87C44" w:rsidRPr="003D513E">
        <w:rPr>
          <w:rFonts w:ascii="Times" w:eastAsia="Helvetica Neue" w:hAnsi="Times" w:cs="Helvetica Neue"/>
          <w:color w:val="000000" w:themeColor="text1"/>
        </w:rPr>
        <w:t>, Drawdown’s f</w:t>
      </w:r>
      <w:r w:rsidR="00A45217" w:rsidRPr="003D513E">
        <w:rPr>
          <w:rFonts w:ascii="Times" w:eastAsia="Helvetica Neue" w:hAnsi="Times" w:cs="Helvetica Neue"/>
          <w:color w:val="000000" w:themeColor="text1"/>
        </w:rPr>
        <w:t xml:space="preserve">uture adoption is based on </w:t>
      </w:r>
      <w:r w:rsidR="00356FBA" w:rsidRPr="003D513E">
        <w:rPr>
          <w:rFonts w:ascii="Times" w:eastAsia="Helvetica Neue" w:hAnsi="Times" w:cs="Helvetica Neue"/>
          <w:color w:val="000000" w:themeColor="text1"/>
        </w:rPr>
        <w:t>linear</w:t>
      </w:r>
      <w:r w:rsidR="00A45217" w:rsidRPr="003D513E">
        <w:rPr>
          <w:rFonts w:ascii="Times" w:eastAsia="Helvetica Neue" w:hAnsi="Times" w:cs="Helvetica Neue"/>
          <w:color w:val="000000" w:themeColor="text1"/>
        </w:rPr>
        <w:t xml:space="preserve"> projection</w:t>
      </w:r>
      <w:r w:rsidR="00356FBA" w:rsidRPr="003D513E">
        <w:rPr>
          <w:rFonts w:ascii="Times" w:eastAsia="Helvetica Neue" w:hAnsi="Times" w:cs="Helvetica Neue"/>
          <w:color w:val="000000" w:themeColor="text1"/>
        </w:rPr>
        <w:t>s</w:t>
      </w:r>
      <w:r w:rsidR="00A45217" w:rsidRPr="003D513E">
        <w:rPr>
          <w:rFonts w:ascii="Times" w:eastAsia="Helvetica Neue" w:hAnsi="Times" w:cs="Helvetica Neue"/>
          <w:color w:val="000000" w:themeColor="text1"/>
        </w:rPr>
        <w:t xml:space="preserve"> of </w:t>
      </w:r>
      <w:r w:rsidRPr="003D513E">
        <w:rPr>
          <w:rFonts w:ascii="Times" w:eastAsia="Helvetica Neue" w:hAnsi="Times" w:cs="Helvetica Neue"/>
          <w:color w:val="000000" w:themeColor="text1"/>
        </w:rPr>
        <w:t xml:space="preserve">current </w:t>
      </w:r>
      <w:r w:rsidR="00356FBA" w:rsidRPr="003D513E">
        <w:rPr>
          <w:rFonts w:ascii="Times" w:eastAsia="Helvetica Neue" w:hAnsi="Times" w:cs="Helvetica Neue"/>
          <w:color w:val="000000" w:themeColor="text1"/>
        </w:rPr>
        <w:t xml:space="preserve">global </w:t>
      </w:r>
      <w:r w:rsidR="00A45217" w:rsidRPr="003D513E">
        <w:rPr>
          <w:rFonts w:ascii="Times" w:eastAsia="Helvetica Neue" w:hAnsi="Times" w:cs="Helvetica Neue"/>
          <w:color w:val="000000" w:themeColor="text1"/>
        </w:rPr>
        <w:t xml:space="preserve">data </w:t>
      </w:r>
      <w:r w:rsidR="00356FBA" w:rsidRPr="003D513E">
        <w:rPr>
          <w:rFonts w:ascii="Times" w:eastAsia="Helvetica Neue" w:hAnsi="Times" w:cs="Helvetica Neue"/>
          <w:color w:val="000000" w:themeColor="text1"/>
        </w:rPr>
        <w:t xml:space="preserve">on </w:t>
      </w:r>
      <w:r w:rsidRPr="003D513E">
        <w:rPr>
          <w:rFonts w:ascii="Times" w:eastAsia="Helvetica Neue" w:hAnsi="Times" w:cs="Helvetica Neue"/>
          <w:color w:val="000000" w:themeColor="text1"/>
        </w:rPr>
        <w:t>documenting areas under</w:t>
      </w:r>
      <w:r w:rsidR="00356FBA" w:rsidRPr="003D513E">
        <w:rPr>
          <w:rFonts w:ascii="Times" w:eastAsia="Helvetica Neue" w:hAnsi="Times" w:cs="Helvetica Neue"/>
          <w:color w:val="000000" w:themeColor="text1"/>
        </w:rPr>
        <w:t xml:space="preserve"> silvopasture and grazing and pasture</w:t>
      </w:r>
      <w:r w:rsidR="00A45217" w:rsidRPr="003D513E">
        <w:rPr>
          <w:rFonts w:ascii="Times" w:eastAsia="Helvetica Neue" w:hAnsi="Times" w:cs="Helvetica Neue"/>
          <w:color w:val="000000" w:themeColor="text1"/>
        </w:rPr>
        <w:t xml:space="preserve">. </w:t>
      </w:r>
      <w:r w:rsidR="0089798E" w:rsidRPr="003D513E">
        <w:rPr>
          <w:rFonts w:ascii="Times" w:eastAsia="Helvetica Neue" w:hAnsi="Times" w:cs="Helvetica Neue"/>
          <w:color w:val="000000" w:themeColor="text1"/>
        </w:rPr>
        <w:t>Seven</w:t>
      </w:r>
      <w:r w:rsidR="00A45217" w:rsidRPr="003D513E">
        <w:rPr>
          <w:rFonts w:ascii="Times" w:eastAsia="Helvetica Neue" w:hAnsi="Times" w:cs="Helvetica Neue"/>
          <w:color w:val="000000" w:themeColor="text1"/>
        </w:rPr>
        <w:t xml:space="preserve"> custom adoption scenarios were developed based on </w:t>
      </w:r>
      <w:r w:rsidR="0089798E" w:rsidRPr="003D513E">
        <w:rPr>
          <w:rFonts w:ascii="Times" w:eastAsia="Helvetica Neue" w:hAnsi="Times" w:cs="Helvetica Neue"/>
          <w:color w:val="000000" w:themeColor="text1"/>
        </w:rPr>
        <w:t xml:space="preserve">a) </w:t>
      </w:r>
      <w:r w:rsidRPr="003D513E">
        <w:rPr>
          <w:rFonts w:ascii="Times" w:eastAsia="Helvetica Neue" w:hAnsi="Times" w:cs="Helvetica Neue"/>
          <w:color w:val="000000" w:themeColor="text1"/>
        </w:rPr>
        <w:t>regional areas under &gt;30 percent tree</w:t>
      </w:r>
      <w:r w:rsidR="00AD547F" w:rsidRPr="003D513E">
        <w:rPr>
          <w:rFonts w:ascii="Times" w:eastAsia="Helvetica Neue" w:hAnsi="Times" w:cs="Helvetica Neue"/>
          <w:color w:val="000000" w:themeColor="text1"/>
        </w:rPr>
        <w:t>-</w:t>
      </w:r>
      <w:r w:rsidRPr="003D513E">
        <w:rPr>
          <w:rFonts w:ascii="Times" w:eastAsia="Helvetica Neue" w:hAnsi="Times" w:cs="Helvetica Neue"/>
          <w:color w:val="000000" w:themeColor="text1"/>
        </w:rPr>
        <w:t>cover as determined by</w:t>
      </w:r>
      <w:r w:rsidR="00675366">
        <w:rPr>
          <w:rFonts w:ascii="Times" w:eastAsia="Helvetica Neue" w:hAnsi="Times" w:cs="Helvetica Neue"/>
          <w:color w:val="000000" w:themeColor="text1"/>
        </w:rPr>
        <w:t xml:space="preserve"> </w:t>
      </w:r>
      <w:r w:rsidR="00675366">
        <w:rPr>
          <w:rFonts w:ascii="Times" w:eastAsia="Helvetica Neue" w:hAnsi="Times" w:cs="Helvetica Neue"/>
          <w:color w:val="000000" w:themeColor="text1"/>
        </w:rPr>
        <w:fldChar w:fldCharType="begin"/>
      </w:r>
      <w:r w:rsidR="00675366">
        <w:rPr>
          <w:rFonts w:ascii="Times" w:eastAsia="Helvetica Neue" w:hAnsi="Times" w:cs="Helvetica Neue"/>
          <w:color w:val="000000" w:themeColor="text1"/>
        </w:rPr>
        <w:instrText xml:space="preserve"> ADDIN ZOTERO_ITEM CSL_CITATION {"citationID":"UBoJO0dA","properties":{"formattedCitation":"(Zomer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675366">
        <w:rPr>
          <w:rFonts w:ascii="Times" w:eastAsia="Helvetica Neue" w:hAnsi="Times" w:cs="Helvetica Neue"/>
          <w:color w:val="000000" w:themeColor="text1"/>
        </w:rPr>
        <w:fldChar w:fldCharType="separate"/>
      </w:r>
      <w:r w:rsidR="005F5067" w:rsidRPr="005F5067">
        <w:rPr>
          <w:rFonts w:ascii="Times" w:hAnsi="Times" w:cs="Times"/>
        </w:rPr>
        <w:t>(Zomer et al., 2014)</w:t>
      </w:r>
      <w:r w:rsidR="00675366">
        <w:rPr>
          <w:rFonts w:ascii="Times" w:eastAsia="Helvetica Neue" w:hAnsi="Times" w:cs="Helvetica Neue"/>
          <w:color w:val="000000" w:themeColor="text1"/>
        </w:rPr>
        <w:fldChar w:fldCharType="end"/>
      </w:r>
      <w:r w:rsidR="0089798E" w:rsidRPr="003D513E">
        <w:rPr>
          <w:rFonts w:ascii="Times" w:eastAsia="Helvetica Neue" w:hAnsi="Times" w:cs="Helvetica Neue"/>
          <w:color w:val="000000" w:themeColor="text1"/>
        </w:rPr>
        <w:t>, b)</w:t>
      </w:r>
      <w:r w:rsidRPr="003D513E">
        <w:rPr>
          <w:rFonts w:ascii="Times" w:eastAsia="Helvetica Neue" w:hAnsi="Times" w:cs="Helvetica Neue"/>
          <w:color w:val="000000" w:themeColor="text1"/>
        </w:rPr>
        <w:t xml:space="preserve"> </w:t>
      </w:r>
      <w:r w:rsidR="0089798E" w:rsidRPr="003D513E">
        <w:rPr>
          <w:rFonts w:ascii="Times" w:eastAsia="Helvetica Neue" w:hAnsi="Times" w:cs="Helvetica Neue"/>
          <w:color w:val="000000" w:themeColor="text1"/>
        </w:rPr>
        <w:t xml:space="preserve">estimates of </w:t>
      </w:r>
      <w:r w:rsidR="00A45217" w:rsidRPr="003D513E">
        <w:rPr>
          <w:rFonts w:ascii="Times" w:eastAsia="Helvetica Neue" w:hAnsi="Times" w:cs="Helvetica Neue"/>
          <w:color w:val="000000" w:themeColor="text1"/>
        </w:rPr>
        <w:t>historic adoption rates</w:t>
      </w:r>
      <w:r w:rsidR="0089798E" w:rsidRPr="003D513E">
        <w:rPr>
          <w:rFonts w:ascii="Times" w:eastAsia="Helvetica Neue" w:hAnsi="Times" w:cs="Helvetica Neue"/>
          <w:color w:val="000000" w:themeColor="text1"/>
        </w:rPr>
        <w:t xml:space="preserve"> reported in </w:t>
      </w:r>
      <w:r w:rsidR="00675366">
        <w:rPr>
          <w:rFonts w:ascii="Times" w:eastAsia="Helvetica Neue" w:hAnsi="Times" w:cs="Helvetica Neue"/>
          <w:color w:val="000000" w:themeColor="text1"/>
        </w:rPr>
        <w:fldChar w:fldCharType="begin"/>
      </w:r>
      <w:r w:rsidR="00675366">
        <w:rPr>
          <w:rFonts w:ascii="Times" w:eastAsia="Helvetica Neue" w:hAnsi="Times" w:cs="Helvetica Neue"/>
          <w:color w:val="000000" w:themeColor="text1"/>
        </w:rPr>
        <w:instrText xml:space="preserve"> ADDIN ZOTERO_ITEM CSL_CITATION {"citationID":"WlTJAqtU","properties":{"formattedCitation":"(Nair,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675366">
        <w:rPr>
          <w:rFonts w:ascii="Times" w:eastAsia="Helvetica Neue" w:hAnsi="Times" w:cs="Helvetica Neue"/>
          <w:color w:val="000000" w:themeColor="text1"/>
        </w:rPr>
        <w:fldChar w:fldCharType="separate"/>
      </w:r>
      <w:r w:rsidR="00FD7CE8" w:rsidRPr="00FD7CE8">
        <w:rPr>
          <w:rFonts w:ascii="Times" w:hAnsi="Times" w:cs="Times"/>
        </w:rPr>
        <w:t>(Nair, 2012)</w:t>
      </w:r>
      <w:r w:rsidR="00675366">
        <w:rPr>
          <w:rFonts w:ascii="Times" w:eastAsia="Helvetica Neue" w:hAnsi="Times" w:cs="Helvetica Neue"/>
          <w:color w:val="000000" w:themeColor="text1"/>
        </w:rPr>
        <w:fldChar w:fldCharType="end"/>
      </w:r>
      <w:r w:rsidR="0089798E" w:rsidRPr="003D513E">
        <w:rPr>
          <w:rFonts w:ascii="Times" w:eastAsia="Helvetica Neue" w:hAnsi="Times" w:cs="Helvetica Neue"/>
          <w:color w:val="000000" w:themeColor="text1"/>
        </w:rPr>
        <w:t xml:space="preserve"> and</w:t>
      </w:r>
      <w:r w:rsidR="00675366">
        <w:rPr>
          <w:rFonts w:eastAsia="Helvetica Neue" w:cs="Times New Roman"/>
        </w:rPr>
        <w:t xml:space="preserve"> </w:t>
      </w:r>
      <w:r w:rsidR="00675366">
        <w:rPr>
          <w:rFonts w:eastAsia="Helvetica Neue" w:cs="Times New Roman"/>
        </w:rPr>
        <w:fldChar w:fldCharType="begin"/>
      </w:r>
      <w:r w:rsidR="00675366">
        <w:rPr>
          <w:rFonts w:eastAsia="Helvetica Neue" w:cs="Times New Roman"/>
        </w:rPr>
        <w:instrText xml:space="preserve"> ADDIN ZOTERO_ITEM CSL_CITATION {"citationID":"p3Fi68G0","properties":{"formattedCitation":"(Lal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675366">
        <w:rPr>
          <w:rFonts w:eastAsia="Helvetica Neue" w:cs="Times New Roman"/>
        </w:rPr>
        <w:fldChar w:fldCharType="separate"/>
      </w:r>
      <w:r w:rsidR="00FD7CE8" w:rsidRPr="00FD7CE8">
        <w:rPr>
          <w:rFonts w:cs="Times New Roman"/>
        </w:rPr>
        <w:t>(Lal et al., 2018)</w:t>
      </w:r>
      <w:r w:rsidR="00675366">
        <w:rPr>
          <w:rFonts w:eastAsia="Helvetica Neue" w:cs="Times New Roman"/>
        </w:rPr>
        <w:fldChar w:fldCharType="end"/>
      </w:r>
      <w:r w:rsidR="0089798E" w:rsidRPr="003D513E">
        <w:rPr>
          <w:rFonts w:ascii="Times" w:eastAsia="Helvetica Neue" w:hAnsi="Times" w:cs="Helvetica Neue"/>
          <w:color w:val="000000" w:themeColor="text1"/>
        </w:rPr>
        <w:t>,</w:t>
      </w:r>
      <w:r w:rsidR="007E519C">
        <w:rPr>
          <w:rFonts w:ascii="Times" w:eastAsia="Helvetica Neue" w:hAnsi="Times" w:cs="Helvetica Neue"/>
          <w:color w:val="000000" w:themeColor="text1"/>
        </w:rPr>
        <w:t xml:space="preserve"> </w:t>
      </w:r>
      <w:r w:rsidR="0089798E" w:rsidRPr="003D513E">
        <w:rPr>
          <w:rFonts w:ascii="Times" w:eastAsia="Helvetica Neue" w:hAnsi="Times" w:cs="Helvetica Neue"/>
          <w:color w:val="000000" w:themeColor="text1"/>
        </w:rPr>
        <w:t>c)</w:t>
      </w:r>
      <w:r w:rsidRPr="003D513E">
        <w:rPr>
          <w:rFonts w:ascii="Times" w:eastAsia="Helvetica Neue" w:hAnsi="Times" w:cs="Helvetica Neue"/>
          <w:color w:val="000000" w:themeColor="text1"/>
        </w:rPr>
        <w:t xml:space="preserve"> a meta-analysis of current area of grazing or pasture land already under silvopasture practice</w:t>
      </w:r>
      <w:r w:rsidR="0089798E" w:rsidRPr="003D513E">
        <w:rPr>
          <w:rFonts w:ascii="Times" w:eastAsia="Helvetica Neue" w:hAnsi="Times" w:cs="Helvetica Neue"/>
          <w:color w:val="000000" w:themeColor="text1"/>
        </w:rPr>
        <w:t>, and d) a meta-analysis of current area of grazing or pasture land under improved pasture</w:t>
      </w:r>
      <w:r w:rsidR="00E84594">
        <w:rPr>
          <w:rFonts w:ascii="Times" w:eastAsia="Helvetica Neue" w:hAnsi="Times" w:cs="Helvetica Neue"/>
          <w:color w:val="000000" w:themeColor="text1"/>
        </w:rPr>
        <w:t>.</w:t>
      </w:r>
      <w:r w:rsidRPr="003D513E">
        <w:rPr>
          <w:rFonts w:ascii="Times" w:eastAsia="Helvetica Neue" w:hAnsi="Times" w:cs="Helvetica Neue"/>
          <w:color w:val="000000" w:themeColor="text1"/>
        </w:rPr>
        <w:t xml:space="preserve"> </w:t>
      </w:r>
      <w:r w:rsidR="00A45217" w:rsidRPr="003D513E">
        <w:rPr>
          <w:rFonts w:ascii="Times" w:eastAsia="Helvetica Neue" w:hAnsi="Times" w:cs="Helvetica Neue"/>
          <w:color w:val="000000" w:themeColor="text1"/>
        </w:rPr>
        <w:t>Details are given below:</w:t>
      </w:r>
    </w:p>
    <w:p w14:paraId="5C73A24B" w14:textId="439C6FA3" w:rsidR="00A45217" w:rsidRPr="00F253D1" w:rsidRDefault="00A45217" w:rsidP="003D513E">
      <w:pPr>
        <w:numPr>
          <w:ilvl w:val="0"/>
          <w:numId w:val="6"/>
        </w:numPr>
        <w:shd w:val="clear" w:color="auto" w:fill="FFFFFF"/>
        <w:spacing w:after="180"/>
        <w:contextualSpacing/>
        <w:rPr>
          <w:rFonts w:ascii="Times" w:eastAsia="Helvetica Neue" w:hAnsi="Times" w:cs="Helvetica Neue"/>
          <w:color w:val="000000" w:themeColor="text1"/>
        </w:rPr>
      </w:pPr>
      <w:bookmarkStart w:id="32" w:name="_Hlk3882183"/>
      <w:r w:rsidRPr="003D513E">
        <w:rPr>
          <w:rFonts w:ascii="Times" w:eastAsia="Helvetica Neue" w:hAnsi="Times" w:cs="Helvetica Neue"/>
          <w:b/>
          <w:i/>
          <w:color w:val="000000" w:themeColor="text1"/>
        </w:rPr>
        <w:t>Custom adoption scenario one</w:t>
      </w:r>
      <w:r w:rsidRPr="00F253D1">
        <w:rPr>
          <w:rFonts w:ascii="Times" w:eastAsia="Helvetica Neue" w:hAnsi="Times" w:cs="Helvetica Neue"/>
          <w:color w:val="000000" w:themeColor="text1"/>
        </w:rPr>
        <w:t xml:space="preserve">: </w:t>
      </w:r>
      <w:r w:rsidR="007D41F1" w:rsidRPr="003D513E">
        <w:rPr>
          <w:color w:val="000000" w:themeColor="text1"/>
        </w:rPr>
        <w:t xml:space="preserve">This </w:t>
      </w:r>
      <w:bookmarkEnd w:id="32"/>
      <w:r w:rsidR="007D41F1" w:rsidRPr="003D513E">
        <w:rPr>
          <w:color w:val="000000" w:themeColor="text1"/>
        </w:rPr>
        <w:t xml:space="preserve">is a proxy adoption scenario which is created in the absence of any data available either on historical growth rate of silvopasture or any future projections. Thus, the present scenario builds the future adoption using the </w:t>
      </w:r>
      <w:r w:rsidR="00227BC9">
        <w:rPr>
          <w:rFonts w:ascii="Times" w:eastAsia="Helvetica Neue" w:hAnsi="Times" w:cs="Helvetica Neue"/>
          <w:color w:val="000000" w:themeColor="text1"/>
        </w:rPr>
        <w:fldChar w:fldCharType="begin"/>
      </w:r>
      <w:r w:rsidR="005F5067">
        <w:rPr>
          <w:rFonts w:ascii="Times" w:eastAsia="Helvetica Neue" w:hAnsi="Times" w:cs="Helvetica Neue"/>
          <w:color w:val="000000" w:themeColor="text1"/>
        </w:rPr>
        <w:instrText xml:space="preserve"> ADDIN ZOTERO_ITEM CSL_CITATION {"citationID":"dIyZ2yp3","properties":{"formattedCitation":"(Zomer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227BC9">
        <w:rPr>
          <w:rFonts w:ascii="Times" w:eastAsia="Helvetica Neue" w:hAnsi="Times" w:cs="Helvetica Neue"/>
          <w:color w:val="000000" w:themeColor="text1"/>
        </w:rPr>
        <w:fldChar w:fldCharType="separate"/>
      </w:r>
      <w:r w:rsidR="005F5067" w:rsidRPr="005F5067">
        <w:rPr>
          <w:rFonts w:ascii="Times" w:hAnsi="Times" w:cs="Times"/>
        </w:rPr>
        <w:t>(Zomer et al., 2014)</w:t>
      </w:r>
      <w:r w:rsidR="00227BC9">
        <w:rPr>
          <w:rFonts w:ascii="Times" w:eastAsia="Helvetica Neue" w:hAnsi="Times" w:cs="Helvetica Neue"/>
          <w:color w:val="000000" w:themeColor="text1"/>
        </w:rPr>
        <w:fldChar w:fldCharType="end"/>
      </w:r>
      <w:r w:rsidR="007D41F1" w:rsidRPr="003D513E">
        <w:rPr>
          <w:color w:val="000000" w:themeColor="text1"/>
        </w:rPr>
        <w:t xml:space="preserve"> information available on tree coverage in the agricultural area. Country level data on agricultural area with &gt; 30 percent tree cover was available at </w:t>
      </w:r>
      <w:r w:rsidR="00227BC9">
        <w:rPr>
          <w:rFonts w:ascii="Times" w:eastAsia="Helvetica Neue" w:hAnsi="Times" w:cs="Helvetica Neue"/>
          <w:color w:val="000000" w:themeColor="text1"/>
        </w:rPr>
        <w:fldChar w:fldCharType="begin"/>
      </w:r>
      <w:r w:rsidR="005F5067">
        <w:rPr>
          <w:rFonts w:ascii="Times" w:eastAsia="Helvetica Neue" w:hAnsi="Times" w:cs="Helvetica Neue"/>
          <w:color w:val="000000" w:themeColor="text1"/>
        </w:rPr>
        <w:instrText xml:space="preserve"> ADDIN ZOTERO_ITEM CSL_CITATION {"citationID":"wOBwShxy","properties":{"formattedCitation":"(Zomer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227BC9">
        <w:rPr>
          <w:rFonts w:ascii="Times" w:eastAsia="Helvetica Neue" w:hAnsi="Times" w:cs="Helvetica Neue"/>
          <w:color w:val="000000" w:themeColor="text1"/>
        </w:rPr>
        <w:fldChar w:fldCharType="separate"/>
      </w:r>
      <w:r w:rsidR="005F5067" w:rsidRPr="005F5067">
        <w:rPr>
          <w:rFonts w:ascii="Times" w:hAnsi="Times" w:cs="Times"/>
        </w:rPr>
        <w:t>(Zomer et al., 2014)</w:t>
      </w:r>
      <w:r w:rsidR="00227BC9">
        <w:rPr>
          <w:rFonts w:ascii="Times" w:eastAsia="Helvetica Neue" w:hAnsi="Times" w:cs="Helvetica Neue"/>
          <w:color w:val="000000" w:themeColor="text1"/>
        </w:rPr>
        <w:fldChar w:fldCharType="end"/>
      </w:r>
      <w:r w:rsidR="007D41F1" w:rsidRPr="003D513E">
        <w:rPr>
          <w:color w:val="000000" w:themeColor="text1"/>
        </w:rPr>
        <w:t xml:space="preserve">. This data was compiled at the Project Drawdown regions, which is then used to get their percent with respect to the total agricultural area. Those percentages were then applied on the grassland area to get the regional grassland area under &gt;30 percent tree cover. The future adoption of the silvopasture area under was thus projected based on the regional linear trend applied to </w:t>
      </w:r>
      <w:r w:rsidR="007D41F1" w:rsidRPr="003D513E">
        <w:rPr>
          <w:color w:val="000000" w:themeColor="text1"/>
        </w:rPr>
        <w:lastRenderedPageBreak/>
        <w:t>the grassland area with &gt;30 percent tree coverage. The projections were based on the regional linear trend..</w:t>
      </w:r>
    </w:p>
    <w:p w14:paraId="5B260C6F" w14:textId="7BAA55A1" w:rsidR="00A45217" w:rsidRPr="00F253D1" w:rsidRDefault="00A45217" w:rsidP="003D513E">
      <w:pPr>
        <w:numPr>
          <w:ilvl w:val="0"/>
          <w:numId w:val="6"/>
        </w:numPr>
        <w:shd w:val="clear" w:color="auto" w:fill="FFFFFF"/>
        <w:spacing w:after="180"/>
        <w:contextualSpacing/>
        <w:rPr>
          <w:rFonts w:ascii="Times" w:eastAsia="Helvetica Neue" w:hAnsi="Times" w:cs="Helvetica Neue"/>
          <w:color w:val="000000" w:themeColor="text1"/>
        </w:rPr>
      </w:pPr>
      <w:r w:rsidRPr="003D513E">
        <w:rPr>
          <w:rFonts w:ascii="Times" w:eastAsia="Helvetica Neue" w:hAnsi="Times" w:cs="Helvetica Neue"/>
          <w:b/>
          <w:i/>
          <w:color w:val="000000" w:themeColor="text1"/>
        </w:rPr>
        <w:t>Custom adoption scenario two</w:t>
      </w:r>
      <w:r w:rsidRPr="00F253D1">
        <w:rPr>
          <w:rFonts w:ascii="Times" w:eastAsia="Helvetica Neue" w:hAnsi="Times" w:cs="Helvetica Neue"/>
          <w:color w:val="000000" w:themeColor="text1"/>
        </w:rPr>
        <w:t xml:space="preserve">: </w:t>
      </w:r>
      <w:r w:rsidR="007D41F1" w:rsidRPr="003D513E">
        <w:rPr>
          <w:color w:val="000000" w:themeColor="text1"/>
        </w:rPr>
        <w:t>In this scenario, the future area in silvopasture is projected based on scenario one, in addition it was assumed that there will be some extra area available for silvopasture by the conversion of 0-10 percent/11-20 percent tree coverage grassland area to &gt;30 percent tree coverage areas as required for a silvopasture system.  The projections are based on regional linear trends.</w:t>
      </w:r>
    </w:p>
    <w:p w14:paraId="3FF0F550" w14:textId="47B5C18B" w:rsidR="00AA085B" w:rsidRPr="00F253D1" w:rsidRDefault="00A45217" w:rsidP="003D513E">
      <w:pPr>
        <w:numPr>
          <w:ilvl w:val="0"/>
          <w:numId w:val="6"/>
        </w:numPr>
        <w:shd w:val="clear" w:color="auto" w:fill="FFFFFF"/>
        <w:spacing w:after="180"/>
        <w:contextualSpacing/>
        <w:rPr>
          <w:rFonts w:ascii="Times" w:eastAsia="Helvetica Neue" w:hAnsi="Times" w:cs="Helvetica Neue"/>
          <w:color w:val="000000" w:themeColor="text1"/>
        </w:rPr>
      </w:pPr>
      <w:r w:rsidRPr="003D513E">
        <w:rPr>
          <w:rFonts w:ascii="Times" w:eastAsia="Helvetica Neue" w:hAnsi="Times" w:cs="Helvetica Neue"/>
          <w:b/>
          <w:i/>
          <w:color w:val="000000" w:themeColor="text1"/>
        </w:rPr>
        <w:t>Custom adoption scenario three</w:t>
      </w:r>
      <w:r w:rsidRPr="00AA085B">
        <w:rPr>
          <w:rFonts w:ascii="Times" w:eastAsia="Helvetica Neue" w:hAnsi="Times" w:cs="Helvetica Neue"/>
          <w:color w:val="000000" w:themeColor="text1"/>
        </w:rPr>
        <w:t xml:space="preserve">: </w:t>
      </w:r>
      <w:r w:rsidR="00AA085B" w:rsidRPr="00AA085B">
        <w:rPr>
          <w:rFonts w:ascii="Times" w:eastAsia="Helvetica Neue" w:hAnsi="Times" w:cs="Helvetica Neue"/>
          <w:color w:val="000000" w:themeColor="text1"/>
        </w:rPr>
        <w:t xml:space="preserve">In the absence of comprehensive historical data for silvopasture adoption, this scenario uses available global adoption estimates reported in peer-reviewed publications. Data points from 2012 </w:t>
      </w:r>
      <w:r w:rsidR="005F5067">
        <w:rPr>
          <w:rFonts w:ascii="Times" w:eastAsia="Helvetica Neue" w:hAnsi="Times" w:cs="Helvetica Neue"/>
          <w:color w:val="000000" w:themeColor="text1"/>
        </w:rPr>
        <w:fldChar w:fldCharType="begin"/>
      </w:r>
      <w:r w:rsidR="005F5067">
        <w:rPr>
          <w:rFonts w:ascii="Times" w:eastAsia="Helvetica Neue" w:hAnsi="Times" w:cs="Helvetica Neue"/>
          <w:color w:val="000000" w:themeColor="text1"/>
        </w:rPr>
        <w:instrText xml:space="preserve"> ADDIN ZOTERO_ITEM CSL_CITATION {"citationID":"Sq3yDVTv","properties":{"formattedCitation":"(Nair,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5F5067">
        <w:rPr>
          <w:rFonts w:ascii="Times" w:eastAsia="Helvetica Neue" w:hAnsi="Times" w:cs="Helvetica Neue"/>
          <w:color w:val="000000" w:themeColor="text1"/>
        </w:rPr>
        <w:fldChar w:fldCharType="separate"/>
      </w:r>
      <w:r w:rsidR="005F5067" w:rsidRPr="005F5067">
        <w:rPr>
          <w:rFonts w:ascii="Times" w:hAnsi="Times" w:cs="Times"/>
        </w:rPr>
        <w:t>(Nair, 2012)</w:t>
      </w:r>
      <w:r w:rsidR="005F5067">
        <w:rPr>
          <w:rFonts w:ascii="Times" w:eastAsia="Helvetica Neue" w:hAnsi="Times" w:cs="Helvetica Neue"/>
          <w:color w:val="000000" w:themeColor="text1"/>
        </w:rPr>
        <w:fldChar w:fldCharType="end"/>
      </w:r>
      <w:r w:rsidR="00AA085B" w:rsidRPr="00AA085B">
        <w:rPr>
          <w:rFonts w:ascii="Times" w:eastAsia="Helvetica Neue" w:hAnsi="Times" w:cs="Helvetica Neue"/>
          <w:color w:val="000000" w:themeColor="text1"/>
        </w:rPr>
        <w:t>and 2018</w:t>
      </w:r>
      <w:r w:rsidR="005F5067">
        <w:rPr>
          <w:rFonts w:ascii="Times" w:eastAsia="Helvetica Neue" w:hAnsi="Times" w:cs="Helvetica Neue"/>
          <w:color w:val="000000" w:themeColor="text1"/>
        </w:rPr>
        <w:t xml:space="preserve"> </w:t>
      </w:r>
      <w:r w:rsidR="005F5067">
        <w:rPr>
          <w:rFonts w:ascii="Times" w:eastAsia="Helvetica Neue" w:hAnsi="Times" w:cs="Helvetica Neue"/>
          <w:color w:val="000000" w:themeColor="text1"/>
        </w:rPr>
        <w:fldChar w:fldCharType="begin"/>
      </w:r>
      <w:r w:rsidR="005F5067">
        <w:rPr>
          <w:rFonts w:ascii="Times" w:eastAsia="Helvetica Neue" w:hAnsi="Times" w:cs="Helvetica Neue"/>
          <w:color w:val="000000" w:themeColor="text1"/>
        </w:rPr>
        <w:instrText xml:space="preserve"> ADDIN ZOTERO_ITEM CSL_CITATION {"citationID":"rgu9Zwrp","properties":{"formattedCitation":"(Lal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5F5067">
        <w:rPr>
          <w:rFonts w:ascii="Times" w:eastAsia="Helvetica Neue" w:hAnsi="Times" w:cs="Helvetica Neue"/>
          <w:color w:val="000000" w:themeColor="text1"/>
        </w:rPr>
        <w:fldChar w:fldCharType="separate"/>
      </w:r>
      <w:r w:rsidR="005F5067" w:rsidRPr="005F5067">
        <w:rPr>
          <w:rFonts w:ascii="Times" w:hAnsi="Times" w:cs="Times"/>
        </w:rPr>
        <w:t>(Lal et al., 2018)</w:t>
      </w:r>
      <w:r w:rsidR="005F5067">
        <w:rPr>
          <w:rFonts w:ascii="Times" w:eastAsia="Helvetica Neue" w:hAnsi="Times" w:cs="Helvetica Neue"/>
          <w:color w:val="000000" w:themeColor="text1"/>
        </w:rPr>
        <w:fldChar w:fldCharType="end"/>
      </w:r>
      <w:r w:rsidR="00AA085B" w:rsidRPr="00AA085B">
        <w:rPr>
          <w:rFonts w:ascii="Times" w:eastAsia="Helvetica Neue" w:hAnsi="Times" w:cs="Helvetica Neue"/>
          <w:color w:val="000000" w:themeColor="text1"/>
        </w:rPr>
        <w:t xml:space="preserve"> were used for a linear interpolation of future adoption based on historic expansion of silvopasture adoption.</w:t>
      </w:r>
      <w:r w:rsidR="00AA085B" w:rsidRPr="0089798E" w:rsidDel="00DC5D32">
        <w:rPr>
          <w:rFonts w:ascii="Times" w:eastAsia="Helvetica Neue" w:hAnsi="Times" w:cs="Helvetica Neue"/>
          <w:color w:val="000000" w:themeColor="text1"/>
        </w:rPr>
        <w:t xml:space="preserve"> </w:t>
      </w:r>
    </w:p>
    <w:p w14:paraId="716B0F3D" w14:textId="6C4D5D80" w:rsidR="00A45217" w:rsidRPr="00AA085B" w:rsidRDefault="00A45217" w:rsidP="003D513E">
      <w:pPr>
        <w:numPr>
          <w:ilvl w:val="0"/>
          <w:numId w:val="6"/>
        </w:numPr>
        <w:shd w:val="clear" w:color="auto" w:fill="FFFFFF"/>
        <w:spacing w:after="180"/>
        <w:contextualSpacing/>
        <w:rPr>
          <w:rFonts w:ascii="Times" w:eastAsia="Helvetica Neue" w:hAnsi="Times" w:cs="Helvetica Neue"/>
          <w:color w:val="000000" w:themeColor="text1"/>
        </w:rPr>
      </w:pPr>
      <w:r w:rsidRPr="003D513E">
        <w:rPr>
          <w:rFonts w:ascii="Times" w:eastAsia="Helvetica Neue" w:hAnsi="Times" w:cs="Helvetica Neue"/>
          <w:b/>
          <w:i/>
          <w:color w:val="000000" w:themeColor="text1"/>
        </w:rPr>
        <w:t>Custom adoption scenario four</w:t>
      </w:r>
      <w:r w:rsidRPr="00AA085B">
        <w:rPr>
          <w:rFonts w:ascii="Times" w:eastAsia="Helvetica Neue" w:hAnsi="Times" w:cs="Helvetica Neue"/>
          <w:color w:val="000000" w:themeColor="text1"/>
        </w:rPr>
        <w:t xml:space="preserve">: </w:t>
      </w:r>
      <w:r w:rsidR="00DC5D32" w:rsidRPr="00AA085B">
        <w:rPr>
          <w:rFonts w:ascii="Times" w:eastAsia="Helvetica Neue" w:hAnsi="Times" w:cs="Helvetica Neue"/>
          <w:color w:val="000000" w:themeColor="text1"/>
        </w:rPr>
        <w:t xml:space="preserve">Future area in silvopasture is projected based on the proportion of current area of grazing or pasture land under silvopasture practice in the EU, which currently has the highest regional proportion of grazing land under silvopasture worldwide (35%), as reported by </w:t>
      </w:r>
      <w:r w:rsidR="005F5067">
        <w:rPr>
          <w:rFonts w:ascii="Times" w:eastAsia="Helvetica Neue" w:hAnsi="Times" w:cs="Helvetica Neue"/>
          <w:color w:val="000000" w:themeColor="text1"/>
        </w:rPr>
        <w:fldChar w:fldCharType="begin"/>
      </w:r>
      <w:r w:rsidR="00C6373B">
        <w:rPr>
          <w:rFonts w:ascii="Times" w:eastAsia="Helvetica Neue" w:hAnsi="Times" w:cs="Helvetica Neue"/>
          <w:color w:val="000000" w:themeColor="text1"/>
        </w:rPr>
        <w:instrText xml:space="preserve"> ADDIN ZOTERO_ITEM CSL_CITATION {"citationID":"RxUVpZLw","properties":{"formattedCitation":"(den Herder, 2017)","plainCitation":"(den Herder, 2017)","noteIndex":0},"citationItems":[{"id":2004,"uris":["http://zotero.org/groups/2241939/items/S8GI2SXN"],"uri":["http://zotero.org/groups/2241939/items/S8GI2SXN"],"itemData":{"id":2004,"type":"article-journal","title":"Current extent and trends of agroforestry in the EU27","URL":"https://www.researchgate.net/profile/Michael_Herder/publication/315380865_Current_extent_and_trends_of_agroforestry_in_the_EU27/links/58d0fd6e92851c1db43dfb52/Current-extent-and-trends-of-agroforestry-in-the-EU27.pdf","author":[{"family":"Herder","given":"et","non-dropping-particle":"den","dropping-particle":"al."}],"issued":{"date-parts":[["2017"]]}}}],"schema":"https://github.com/citation-style-language/schema/raw/master/csl-citation.json"} </w:instrText>
      </w:r>
      <w:r w:rsidR="005F5067">
        <w:rPr>
          <w:rFonts w:ascii="Times" w:eastAsia="Helvetica Neue" w:hAnsi="Times" w:cs="Helvetica Neue"/>
          <w:color w:val="000000" w:themeColor="text1"/>
        </w:rPr>
        <w:fldChar w:fldCharType="separate"/>
      </w:r>
      <w:r w:rsidR="00FD7CE8" w:rsidRPr="00FD7CE8">
        <w:rPr>
          <w:rFonts w:ascii="Times" w:hAnsi="Times" w:cs="Times"/>
        </w:rPr>
        <w:t>(den Herder, 2017)</w:t>
      </w:r>
      <w:r w:rsidR="005F5067">
        <w:rPr>
          <w:rFonts w:ascii="Times" w:eastAsia="Helvetica Neue" w:hAnsi="Times" w:cs="Helvetica Neue"/>
          <w:color w:val="000000" w:themeColor="text1"/>
        </w:rPr>
        <w:fldChar w:fldCharType="end"/>
      </w:r>
      <w:r w:rsidR="005F5067">
        <w:rPr>
          <w:rFonts w:ascii="Times" w:eastAsia="Helvetica Neue" w:hAnsi="Times" w:cs="Helvetica Neue"/>
          <w:color w:val="000000" w:themeColor="text1"/>
        </w:rPr>
        <w:t xml:space="preserve"> </w:t>
      </w:r>
      <w:r w:rsidR="00DC5D32" w:rsidRPr="00AA085B">
        <w:rPr>
          <w:rFonts w:ascii="Times" w:eastAsia="Helvetica Neue" w:hAnsi="Times" w:cs="Helvetica Neue"/>
          <w:color w:val="000000" w:themeColor="text1"/>
        </w:rPr>
        <w:t xml:space="preserve">(see VMA, Variable 31). This percentage was applied to the total global grazing area to obtain a medium estimate of potential projected area for future silvopasture adoption. This scenario assumes </w:t>
      </w:r>
      <w:r w:rsidR="00E2644B">
        <w:rPr>
          <w:rFonts w:ascii="Times" w:eastAsia="Helvetica Neue" w:hAnsi="Times" w:cs="Helvetica Neue"/>
          <w:color w:val="000000" w:themeColor="text1"/>
        </w:rPr>
        <w:t>6</w:t>
      </w:r>
      <w:r w:rsidR="00DC5D32" w:rsidRPr="00AA085B">
        <w:rPr>
          <w:rFonts w:ascii="Times" w:eastAsia="Helvetica Neue" w:hAnsi="Times" w:cs="Helvetica Neue"/>
          <w:color w:val="000000" w:themeColor="text1"/>
        </w:rPr>
        <w:t>0 percent of future silvopasture adoption by 2050.</w:t>
      </w:r>
    </w:p>
    <w:p w14:paraId="57CDC3FC" w14:textId="45AA9AE5" w:rsidR="00457A0E" w:rsidRDefault="00A45217">
      <w:pPr>
        <w:numPr>
          <w:ilvl w:val="0"/>
          <w:numId w:val="6"/>
        </w:numPr>
        <w:shd w:val="clear" w:color="auto" w:fill="FFFFFF"/>
        <w:spacing w:after="180"/>
        <w:contextualSpacing/>
        <w:rPr>
          <w:rFonts w:ascii="Times" w:eastAsia="Helvetica Neue" w:hAnsi="Times" w:cs="Helvetica Neue"/>
          <w:color w:val="000000" w:themeColor="text1"/>
        </w:rPr>
      </w:pPr>
      <w:r w:rsidRPr="003D513E">
        <w:rPr>
          <w:rFonts w:ascii="Times" w:eastAsia="Helvetica Neue" w:hAnsi="Times" w:cs="Helvetica Neue"/>
          <w:b/>
          <w:i/>
          <w:color w:val="000000" w:themeColor="text1"/>
        </w:rPr>
        <w:t>Custom adoption scenario five</w:t>
      </w:r>
      <w:r w:rsidRPr="00F253D1">
        <w:rPr>
          <w:rFonts w:ascii="Times" w:eastAsia="Helvetica Neue" w:hAnsi="Times" w:cs="Helvetica Neue"/>
          <w:color w:val="000000" w:themeColor="text1"/>
        </w:rPr>
        <w:t xml:space="preserve">: </w:t>
      </w:r>
      <w:r w:rsidR="00DC5D32" w:rsidRPr="00DC5D32">
        <w:rPr>
          <w:rFonts w:ascii="Times" w:eastAsia="Helvetica Neue" w:hAnsi="Times" w:cs="Helvetica Neue"/>
          <w:color w:val="000000" w:themeColor="text1"/>
        </w:rPr>
        <w:t xml:space="preserve">Future area in silvopasture is projected based on the proportion of current area of grazing or pasture land under silvopasture practice in Nicaragua, which currently has the highest national proportion of grazing land under silvopasture worldwide (45%), as reported by </w:t>
      </w:r>
      <w:r w:rsidR="00661CEE">
        <w:rPr>
          <w:rFonts w:ascii="Times" w:eastAsia="Helvetica Neue" w:hAnsi="Times" w:cs="Helvetica Neue"/>
          <w:color w:val="000000" w:themeColor="text1"/>
        </w:rPr>
        <w:fldChar w:fldCharType="begin"/>
      </w:r>
      <w:r w:rsidR="00661CEE">
        <w:rPr>
          <w:rFonts w:ascii="Times" w:eastAsia="Helvetica Neue" w:hAnsi="Times" w:cs="Helvetica Neue"/>
          <w:color w:val="000000" w:themeColor="text1"/>
        </w:rPr>
        <w:instrText xml:space="preserve"> ADDIN ZOTERO_ITEM CSL_CITATION {"citationID":"TSg2YpQK","properties":{"formattedCitation":"(Somarriba et al., 2012)","plainCitation":"(Somarriba et al., 2012)","noteIndex":0},"citationItems":[{"id":1547,"uris":["http://zotero.org/groups/2241939/items/8MFE7WYG"],"uri":["http://zotero.org/groups/2241939/items/8MFE7WYG"],"itemData":{"id":1547,"type":"chapter","title":"Mainstreaming Agroforestry in Latin America","container-title":"Agroforestry - The Future of Global Land Use","collection-title":"Advances in Agroforestry","collection-number":"9","publisher":"Springer Netherlands","page":"429-453","source":"link.springer.com.proxy.library.cornell.edu","abstract":"Agroforestry covers between 200 and 357 million hectares in Latin America, including 14–26 million hectares in Central America and 88–315 million hectares in South America. Commercial silvopastoral systems and shaded tree-crop systems (involving crops such as of coffee, Coffea spp., and cacao, Theobroma cacao L.) are the most prominent agroforestry examples in the region. Agroforestry has permeated into multiple sectors of modern Latin American societies and is now included in the agendas of the international community; in national laws, institutions, and policies; in a growing body of science and technology; and in the practice by ­farmers, ranchers, and other land users. In this chapter, we explored the status and trends of Latin American agroforestry in five sectors: (1) rural development, (2) international cooperation, (3) science and technology, (4) legal-institutional-policy (public and private) frameworks, and (5) education and training. The analysis considered various geographical levels, including the Latin American subcontinent, the Central America region, and three countries individually – Nicaragua, Colombia, and Peru. This article shows the notorious relevance of agroforestry in Latin America and concludes that agroforestry has developed significantly, but unevenly, in sectors and countries in Latin America. Simultaneous actions are needed in all sectors and countries to mainstream agroforestry and to increase its visibility in modern Latin American societies","URL":"http://link.springer.com/chapter/10.1007/978-94-007-4676-3_21","ISBN":"978-94-007-4675-6","note":"DOI: 10.1007/978-94-007-4676-3_21","language":"en","author":[{"family":"Somarriba","given":"Eduardo"},{"family":"Beer","given":"John"},{"family":"Alegre-Orihuela","given":"Julio"},{"family":"Andrade","given":"Hernán J."},{"family":"Cerda","given":"Rolando"},{"family":"DeClerck","given":"Fabrice"},{"family":"Detlefsen","given":"Guillermo"},{"family":"Escalante","given":"Maybeline"},{"family":"Giraldo","given":"Luis A."},{"family":"Ibrahim","given":"Muhammad"},{"family":"Krishnamurthy","given":"L."},{"family":"Mena-Mosquera","given":"Víctor E."},{"family":"Mora-Degado","given":"Jairo R."},{"family":"Orozco","given":"Luis"},{"family":"Scheelje","given":"Mauricio"},{"family":"Campos","given":"José J."}],"editor":[{"family":"Nair","given":"P. K. Ramachandran"},{"family":"Garrity","given":"Dennis"}],"issued":{"date-parts":[["2012"]]},"accessed":{"date-parts":[["2016",6,14]]}}}],"schema":"https://github.com/citation-style-language/schema/raw/master/csl-citation.json"} </w:instrText>
      </w:r>
      <w:r w:rsidR="00661CEE">
        <w:rPr>
          <w:rFonts w:ascii="Times" w:eastAsia="Helvetica Neue" w:hAnsi="Times" w:cs="Helvetica Neue"/>
          <w:color w:val="000000" w:themeColor="text1"/>
        </w:rPr>
        <w:fldChar w:fldCharType="separate"/>
      </w:r>
      <w:r w:rsidR="00FD7CE8" w:rsidRPr="00FD7CE8">
        <w:rPr>
          <w:rFonts w:ascii="Times" w:hAnsi="Times" w:cs="Times"/>
        </w:rPr>
        <w:t>(Somarriba et al., 2012)</w:t>
      </w:r>
      <w:r w:rsidR="00661CEE">
        <w:rPr>
          <w:rFonts w:ascii="Times" w:eastAsia="Helvetica Neue" w:hAnsi="Times" w:cs="Helvetica Neue"/>
          <w:color w:val="000000" w:themeColor="text1"/>
        </w:rPr>
        <w:fldChar w:fldCharType="end"/>
      </w:r>
      <w:r w:rsidR="00C77E11">
        <w:rPr>
          <w:rFonts w:ascii="Times" w:eastAsia="Helvetica Neue" w:hAnsi="Times" w:cs="Helvetica Neue"/>
          <w:color w:val="000000" w:themeColor="text1"/>
        </w:rPr>
        <w:t xml:space="preserve"> </w:t>
      </w:r>
      <w:r w:rsidR="00DC5D32" w:rsidRPr="00DC5D32">
        <w:rPr>
          <w:rFonts w:ascii="Times" w:eastAsia="Helvetica Neue" w:hAnsi="Times" w:cs="Helvetica Neue"/>
          <w:color w:val="000000" w:themeColor="text1"/>
        </w:rPr>
        <w:t xml:space="preserve">(see VMA, Variable 31). This percentage was applied to the total global grazing area to obtain a high estimate of potential projected area for future silvopasture adoption. This scenario assumes </w:t>
      </w:r>
      <w:r w:rsidR="00E2644B">
        <w:rPr>
          <w:rFonts w:ascii="Times" w:eastAsia="Helvetica Neue" w:hAnsi="Times" w:cs="Helvetica Neue"/>
          <w:color w:val="000000" w:themeColor="text1"/>
        </w:rPr>
        <w:t>6</w:t>
      </w:r>
      <w:r w:rsidR="00DC5D32" w:rsidRPr="00DC5D32">
        <w:rPr>
          <w:rFonts w:ascii="Times" w:eastAsia="Helvetica Neue" w:hAnsi="Times" w:cs="Helvetica Neue"/>
          <w:color w:val="000000" w:themeColor="text1"/>
        </w:rPr>
        <w:t>0 percent of future silvopasture adoption by 2050.</w:t>
      </w:r>
    </w:p>
    <w:p w14:paraId="33347B0A" w14:textId="0945C16D" w:rsidR="00A45217" w:rsidRPr="00F253D1" w:rsidRDefault="003864AC" w:rsidP="003D513E">
      <w:pPr>
        <w:numPr>
          <w:ilvl w:val="0"/>
          <w:numId w:val="6"/>
        </w:numPr>
        <w:shd w:val="clear" w:color="auto" w:fill="FFFFFF"/>
        <w:spacing w:after="180"/>
        <w:contextualSpacing/>
        <w:rPr>
          <w:rFonts w:ascii="Times" w:eastAsia="Helvetica Neue" w:hAnsi="Times" w:cs="Helvetica Neue"/>
          <w:color w:val="000000" w:themeColor="text1"/>
        </w:rPr>
      </w:pPr>
      <w:r w:rsidRPr="00B50847">
        <w:rPr>
          <w:rFonts w:ascii="Times" w:eastAsia="Helvetica Neue" w:hAnsi="Times" w:cs="Helvetica Neue"/>
          <w:b/>
          <w:i/>
          <w:color w:val="000000" w:themeColor="text1"/>
        </w:rPr>
        <w:t xml:space="preserve">Custom adoption scenario </w:t>
      </w:r>
      <w:r>
        <w:rPr>
          <w:rFonts w:ascii="Times" w:eastAsia="Helvetica Neue" w:hAnsi="Times" w:cs="Helvetica Neue"/>
          <w:b/>
          <w:i/>
          <w:color w:val="000000" w:themeColor="text1"/>
        </w:rPr>
        <w:t>six</w:t>
      </w:r>
      <w:r w:rsidRPr="003D513E">
        <w:rPr>
          <w:rFonts w:ascii="Times" w:eastAsia="Helvetica Neue" w:hAnsi="Times" w:cs="Helvetica Neue"/>
          <w:color w:val="000000" w:themeColor="text1"/>
        </w:rPr>
        <w:t>:</w:t>
      </w:r>
      <w:r>
        <w:rPr>
          <w:rFonts w:ascii="Times" w:eastAsia="Helvetica Neue" w:hAnsi="Times" w:cs="Helvetica Neue"/>
          <w:b/>
          <w:i/>
          <w:color w:val="000000" w:themeColor="text1"/>
        </w:rPr>
        <w:t xml:space="preserve"> </w:t>
      </w:r>
      <w:r w:rsidR="007D41F1" w:rsidRPr="003D513E">
        <w:rPr>
          <w:color w:val="000000" w:themeColor="text1"/>
        </w:rPr>
        <w:t xml:space="preserve">This is a proxy adoption scenario which is created in the absence of any data available either on historical growth rate of silvopasture or any future projections on silvopasture. In this scenario future adoption of silvopasture area was projected using the </w:t>
      </w:r>
      <w:r w:rsidR="00B34D9C">
        <w:rPr>
          <w:color w:val="000000" w:themeColor="text1"/>
        </w:rPr>
        <w:fldChar w:fldCharType="begin"/>
      </w:r>
      <w:r w:rsidR="00B34D9C">
        <w:rPr>
          <w:color w:val="000000" w:themeColor="text1"/>
        </w:rPr>
        <w:instrText xml:space="preserve"> ADDIN ZOTERO_ITEM CSL_CITATION {"citationID":"9RvyFeoQ","properties":{"formattedCitation":"(Thornton and Herrero, 2010)","plainCitation":"(Thornton and Herrero, 2010)","noteIndex":0},"citationItems":[{"id":1290,"uris":["http://zotero.org/groups/2241939/items/JR4YEURD"],"uri":["http://zotero.org/groups/2241939/items/JR4YEURD"],"itemData":{"id":1290,"type":"article-journal","title":"Potential for reduced methane and carbon dioxide emissions from livestock and pasture management in the tropics","container-title":"Proceedings of the National Academy of Sciences","page":"19667-19672","volume":"107","issue":"46","source":"www.pnas.org","abstract":"We estimate the potential reductions in methane and carbon dioxide emissions from several livestock and pasture management options in the mixed and rangeland-based production systems in the tropics. The impacts of adoption of improved pastures, intensifying ruminant diets, changes in land-use practices, and changing breeds of large ruminants on the production of methane and carbon dioxide are calculated for two levels of adoption: complete adoption, to estimate the upper limit to reductions in these greenhouse gases (GHGs), and optimistic but plausible adoption rates taken from the literature, where these exist. Results are expressed both in GHG per ton of livestock product and in Gt CO2-eq. We estimate that the maximum mitigation potential of these options in the land-based livestock systems in the tropics amounts to approximately 7% of the global agricultural mitigation potential to 2030. Using historical adoption rates from the literature, the plausible mitigation potential of these options could contribute approximately 4% of global agricultural GHG mitigation. This could be worth on the order of $1.3 billion per year at a price of $20 per t CO2-eq. The household-level and sociocultural impacts of some of these options warrant further study, however, because livestock have multiple roles in tropical systems that often go far beyond their productive utility.","DOI":"10.1073/pnas.0912890107","ISSN":"0027-8424, 1091-6490","note":"PMID: 20823225","journalAbbreviation":"PNAS","language":"en","author":[{"family":"Thornton","given":"Philip K."},{"family":"Herrero","given":"Mario"}],"issued":{"date-parts":[["2010",11,16]]}}}],"schema":"https://github.com/citation-style-language/schema/raw/master/csl-citation.json"} </w:instrText>
      </w:r>
      <w:r w:rsidR="00B34D9C">
        <w:rPr>
          <w:color w:val="000000" w:themeColor="text1"/>
        </w:rPr>
        <w:fldChar w:fldCharType="separate"/>
      </w:r>
      <w:r w:rsidR="00FD7CE8" w:rsidRPr="00FD7CE8">
        <w:rPr>
          <w:rFonts w:cs="Times New Roman"/>
        </w:rPr>
        <w:t>(Thornton and Herrero, 2010)</w:t>
      </w:r>
      <w:r w:rsidR="00B34D9C">
        <w:rPr>
          <w:color w:val="000000" w:themeColor="text1"/>
        </w:rPr>
        <w:fldChar w:fldCharType="end"/>
      </w:r>
      <w:r w:rsidR="00B34D9C">
        <w:rPr>
          <w:color w:val="000000" w:themeColor="text1"/>
        </w:rPr>
        <w:t xml:space="preserve"> </w:t>
      </w:r>
      <w:r w:rsidR="007D41F1" w:rsidRPr="003D513E">
        <w:rPr>
          <w:color w:val="000000" w:themeColor="text1"/>
        </w:rPr>
        <w:t xml:space="preserve">future adoption rates given for improved pasture. The silvopasture adoption is projected based on the average annual adoption percent (0.60%) increase in the improved pasture area given for the five countries (Mexico, Honduras, Nicaragua, Costa Rica, and Panama) by </w:t>
      </w:r>
      <w:r w:rsidR="00B34D9C">
        <w:rPr>
          <w:color w:val="000000" w:themeColor="text1"/>
        </w:rPr>
        <w:fldChar w:fldCharType="begin"/>
      </w:r>
      <w:r w:rsidR="00B34D9C">
        <w:rPr>
          <w:color w:val="000000" w:themeColor="text1"/>
        </w:rPr>
        <w:instrText xml:space="preserve"> ADDIN ZOTERO_ITEM CSL_CITATION {"citationID":"MdKRxghB","properties":{"formattedCitation":"(Holmann et al., 2004)","plainCitation":"(Holmann et al., 2004)","noteIndex":0},"citationItems":[{"id":3134,"uris":["http://zotero.org/groups/2241939/items/6KSZZR6B"],"uri":["http://zotero.org/groups/2241939/items/6KSZZR6B"],"itemData":{"id":3134,"type":"article-journal","title":"Impact of the adoption of Brachiaria grasses: Central America and Mexico","container-title":"Livestock Research for Rural Development","page":"1–13","volume":"16","issue":"12","author":[{"family":"Holmann","given":"F"},{"family":"Rivas","given":"L"},{"family":"Argel","given":"PJ"},{"family":"Pérez","given":"E"}],"issued":{"date-parts":[["2004"]]}}}],"schema":"https://github.com/citation-style-language/schema/raw/master/csl-citation.json"} </w:instrText>
      </w:r>
      <w:r w:rsidR="00B34D9C">
        <w:rPr>
          <w:color w:val="000000" w:themeColor="text1"/>
        </w:rPr>
        <w:fldChar w:fldCharType="separate"/>
      </w:r>
      <w:r w:rsidR="00A72BA2" w:rsidRPr="00A72BA2">
        <w:rPr>
          <w:rFonts w:cs="Times New Roman"/>
        </w:rPr>
        <w:t>(Holmann et al., 2004)</w:t>
      </w:r>
      <w:r w:rsidR="00B34D9C">
        <w:rPr>
          <w:color w:val="000000" w:themeColor="text1"/>
        </w:rPr>
        <w:fldChar w:fldCharType="end"/>
      </w:r>
      <w:r w:rsidR="00B34D9C">
        <w:rPr>
          <w:color w:val="000000" w:themeColor="text1"/>
        </w:rPr>
        <w:t xml:space="preserve"> </w:t>
      </w:r>
      <w:r w:rsidR="007D41F1" w:rsidRPr="003D513E">
        <w:rPr>
          <w:color w:val="000000" w:themeColor="text1"/>
        </w:rPr>
        <w:t>and reported by</w:t>
      </w:r>
      <w:r w:rsidR="00B34D9C">
        <w:rPr>
          <w:color w:val="000000" w:themeColor="text1"/>
        </w:rPr>
        <w:t xml:space="preserve"> </w:t>
      </w:r>
      <w:r w:rsidR="00B34D9C">
        <w:rPr>
          <w:color w:val="000000" w:themeColor="text1"/>
        </w:rPr>
        <w:fldChar w:fldCharType="begin"/>
      </w:r>
      <w:r w:rsidR="00B34D9C">
        <w:rPr>
          <w:color w:val="000000" w:themeColor="text1"/>
        </w:rPr>
        <w:instrText xml:space="preserve"> ADDIN ZOTERO_ITEM CSL_CITATION {"citationID":"rGL7JxM3","properties":{"formattedCitation":"(Thornton and Herrero, 2010)","plainCitation":"(Thornton and Herrero, 2010)","noteIndex":0},"citationItems":[{"id":1290,"uris":["http://zotero.org/groups/2241939/items/JR4YEURD"],"uri":["http://zotero.org/groups/2241939/items/JR4YEURD"],"itemData":{"id":1290,"type":"article-journal","title":"Potential for reduced methane and carbon dioxide emissions from livestock and pasture management in the tropics","container-title":"Proceedings of the National Academy of Sciences","page":"19667-19672","volume":"107","issue":"46","source":"www.pnas.org","abstract":"We estimate the potential reductions in methane and carbon dioxide emissions from several livestock and pasture management options in the mixed and rangeland-based production systems in the tropics. The impacts of adoption of improved pastures, intensifying ruminant diets, changes in land-use practices, and changing breeds of large ruminants on the production of methane and carbon dioxide are calculated for two levels of adoption: complete adoption, to estimate the upper limit to reductions in these greenhouse gases (GHGs), and optimistic but plausible adoption rates taken from the literature, where these exist. Results are expressed both in GHG per ton of livestock product and in Gt CO2-eq. We estimate that the maximum mitigation potential of these options in the land-based livestock systems in the tropics amounts to approximately 7% of the global agricultural mitigation potential to 2030. Using historical adoption rates from the literature, the plausible mitigation potential of these options could contribute approximately 4% of global agricultural GHG mitigation. This could be worth on the order of $1.3 billion per year at a price of $20 per t CO2-eq. The household-level and sociocultural impacts of some of these options warrant further study, however, because livestock have multiple roles in tropical systems that often go far beyond their productive utility.","DOI":"10.1073/pnas.0912890107","ISSN":"0027-8424, 1091-6490","note":"PMID: 20823225","journalAbbreviation":"PNAS","language":"en","author":[{"family":"Thornton","given":"Philip K."},{"family":"Herrero","given":"Mario"}],"issued":{"date-parts":[["2010",11,16]]}}}],"schema":"https://github.com/citation-style-language/schema/raw/master/csl-citation.json"} </w:instrText>
      </w:r>
      <w:r w:rsidR="00B34D9C">
        <w:rPr>
          <w:color w:val="000000" w:themeColor="text1"/>
        </w:rPr>
        <w:fldChar w:fldCharType="separate"/>
      </w:r>
      <w:r w:rsidR="00A72BA2" w:rsidRPr="00A72BA2">
        <w:rPr>
          <w:rFonts w:cs="Times New Roman"/>
        </w:rPr>
        <w:t>(Thornton and Herrero, 2010)</w:t>
      </w:r>
      <w:r w:rsidR="00B34D9C">
        <w:rPr>
          <w:color w:val="000000" w:themeColor="text1"/>
        </w:rPr>
        <w:fldChar w:fldCharType="end"/>
      </w:r>
      <w:r w:rsidR="007D41F1" w:rsidRPr="003D513E">
        <w:rPr>
          <w:color w:val="000000" w:themeColor="text1"/>
        </w:rPr>
        <w:t>. With the limitation of data at the regional level, the projections are made only at the global scale.</w:t>
      </w:r>
    </w:p>
    <w:p w14:paraId="1EBDEC21" w14:textId="2F868823" w:rsidR="009F49FC" w:rsidRPr="00FA2CC3" w:rsidRDefault="007D41F1" w:rsidP="003D513E">
      <w:pPr>
        <w:numPr>
          <w:ilvl w:val="0"/>
          <w:numId w:val="6"/>
        </w:numPr>
        <w:shd w:val="clear" w:color="auto" w:fill="FFFFFF"/>
        <w:spacing w:after="180"/>
        <w:contextualSpacing/>
      </w:pPr>
      <w:r w:rsidRPr="00DC5D32">
        <w:rPr>
          <w:rFonts w:ascii="Times" w:eastAsia="Helvetica Neue" w:hAnsi="Times" w:cs="Helvetica Neue"/>
          <w:b/>
          <w:i/>
          <w:color w:val="000000" w:themeColor="text1"/>
        </w:rPr>
        <w:t>Custom adoption scenario s</w:t>
      </w:r>
      <w:r w:rsidR="003864AC">
        <w:rPr>
          <w:rFonts w:ascii="Times" w:eastAsia="Helvetica Neue" w:hAnsi="Times" w:cs="Helvetica Neue"/>
          <w:b/>
          <w:i/>
          <w:color w:val="000000" w:themeColor="text1"/>
        </w:rPr>
        <w:t>even</w:t>
      </w:r>
      <w:r w:rsidR="003864AC">
        <w:rPr>
          <w:rFonts w:ascii="Times" w:eastAsia="Helvetica Neue" w:hAnsi="Times" w:cs="Helvetica Neue"/>
          <w:color w:val="000000" w:themeColor="text1"/>
        </w:rPr>
        <w:t>:</w:t>
      </w:r>
      <w:r w:rsidRPr="00DC5D32">
        <w:rPr>
          <w:rFonts w:ascii="Times" w:eastAsia="Helvetica Neue" w:hAnsi="Times" w:cs="Helvetica Neue"/>
          <w:b/>
          <w:i/>
          <w:color w:val="000000" w:themeColor="text1"/>
        </w:rPr>
        <w:t xml:space="preserve"> </w:t>
      </w:r>
      <w:r w:rsidR="00F253D1" w:rsidRPr="003D513E">
        <w:rPr>
          <w:color w:val="000000" w:themeColor="text1"/>
        </w:rPr>
        <w:t xml:space="preserve">This is a proxy adoption scenario which is created in the absence of any data available either on historical growth rate of silvopasture or any future projections on silvopasture. In this scenario future adoption of silvopasture area was projected using the Thorton 2010 future adoption rates given for improved pasture. The silvopasture adoption is  projected based on the </w:t>
      </w:r>
      <w:r w:rsidR="00F253D1" w:rsidRPr="003D513E">
        <w:rPr>
          <w:color w:val="000000" w:themeColor="text1"/>
        </w:rPr>
        <w:lastRenderedPageBreak/>
        <w:t xml:space="preserve">maximum annual adoption percent (1.30%) increase in the improved pasture area given for the five countries (Mexico, Honduras, Nicaragua, Costa Rica, and Panama) </w:t>
      </w:r>
      <w:r w:rsidR="006F0B6C" w:rsidRPr="003D513E">
        <w:rPr>
          <w:color w:val="000000" w:themeColor="text1"/>
        </w:rPr>
        <w:t xml:space="preserve">by </w:t>
      </w:r>
      <w:r w:rsidR="006F0B6C">
        <w:rPr>
          <w:color w:val="000000" w:themeColor="text1"/>
        </w:rPr>
        <w:fldChar w:fldCharType="begin"/>
      </w:r>
      <w:r w:rsidR="00A72BA2">
        <w:rPr>
          <w:color w:val="000000" w:themeColor="text1"/>
        </w:rPr>
        <w:instrText xml:space="preserve"> ADDIN ZOTERO_ITEM CSL_CITATION {"citationID":"NxswyxJC","properties":{"formattedCitation":"(Holmann et al., 2004)","plainCitation":"(Holmann et al., 2004)","noteIndex":0},"citationItems":[{"id":3134,"uris":["http://zotero.org/groups/2241939/items/6KSZZR6B"],"uri":["http://zotero.org/groups/2241939/items/6KSZZR6B"],"itemData":{"id":3134,"type":"article-journal","title":"Impact of the adoption of Brachiaria grasses: Central America and Mexico","container-title":"Livestock Research for Rural Development","page":"1–13","volume":"16","issue":"12","author":[{"family":"Holmann","given":"F"},{"family":"Rivas","given":"L"},{"family":"Argel","given":"PJ"},{"family":"Pérez","given":"E"}],"issued":{"date-parts":[["2004"]]}}}],"schema":"https://github.com/citation-style-language/schema/raw/master/csl-citation.json"} </w:instrText>
      </w:r>
      <w:r w:rsidR="006F0B6C">
        <w:rPr>
          <w:color w:val="000000" w:themeColor="text1"/>
        </w:rPr>
        <w:fldChar w:fldCharType="separate"/>
      </w:r>
      <w:r w:rsidR="00A72BA2" w:rsidRPr="00A72BA2">
        <w:rPr>
          <w:rFonts w:cs="Times New Roman"/>
        </w:rPr>
        <w:t>(Holmann et al., 2004)</w:t>
      </w:r>
      <w:r w:rsidR="006F0B6C">
        <w:rPr>
          <w:color w:val="000000" w:themeColor="text1"/>
        </w:rPr>
        <w:fldChar w:fldCharType="end"/>
      </w:r>
      <w:r w:rsidR="006F0B6C">
        <w:rPr>
          <w:color w:val="000000" w:themeColor="text1"/>
        </w:rPr>
        <w:t xml:space="preserve"> </w:t>
      </w:r>
      <w:r w:rsidR="006F0B6C" w:rsidRPr="003D513E">
        <w:rPr>
          <w:color w:val="000000" w:themeColor="text1"/>
        </w:rPr>
        <w:t>and reported by</w:t>
      </w:r>
      <w:r w:rsidR="006F0B6C">
        <w:rPr>
          <w:color w:val="000000" w:themeColor="text1"/>
        </w:rPr>
        <w:t xml:space="preserve"> </w:t>
      </w:r>
      <w:r w:rsidR="006F0B6C">
        <w:rPr>
          <w:color w:val="000000" w:themeColor="text1"/>
        </w:rPr>
        <w:fldChar w:fldCharType="begin"/>
      </w:r>
      <w:r w:rsidR="00A72BA2">
        <w:rPr>
          <w:color w:val="000000" w:themeColor="text1"/>
        </w:rPr>
        <w:instrText xml:space="preserve"> ADDIN ZOTERO_ITEM CSL_CITATION {"citationID":"T8YfdNnz","properties":{"formattedCitation":"(Thornton and Herrero, 2010)","plainCitation":"(Thornton and Herrero, 2010)","noteIndex":0},"citationItems":[{"id":1290,"uris":["http://zotero.org/groups/2241939/items/JR4YEURD"],"uri":["http://zotero.org/groups/2241939/items/JR4YEURD"],"itemData":{"id":1290,"type":"article-journal","title":"Potential for reduced methane and carbon dioxide emissions from livestock and pasture management in the tropics","container-title":"Proceedings of the National Academy of Sciences","page":"19667-19672","volume":"107","issue":"46","source":"www.pnas.org","abstract":"We estimate the potential reductions in methane and carbon dioxide emissions from several livestock and pasture management options in the mixed and rangeland-based production systems in the tropics. The impacts of adoption of improved pastures, intensifying ruminant diets, changes in land-use practices, and changing breeds of large ruminants on the production of methane and carbon dioxide are calculated for two levels of adoption: complete adoption, to estimate the upper limit to reductions in these greenhouse gases (GHGs), and optimistic but plausible adoption rates taken from the literature, where these exist. Results are expressed both in GHG per ton of livestock product and in Gt CO2-eq. We estimate that the maximum mitigation potential of these options in the land-based livestock systems in the tropics amounts to approximately 7% of the global agricultural mitigation potential to 2030. Using historical adoption rates from the literature, the plausible mitigation potential of these options could contribute approximately 4% of global agricultural GHG mitigation. This could be worth on the order of $1.3 billion per year at a price of $20 per t CO2-eq. The household-level and sociocultural impacts of some of these options warrant further study, however, because livestock have multiple roles in tropical systems that often go far beyond their productive utility.","DOI":"10.1073/pnas.0912890107","ISSN":"0027-8424, 1091-6490","note":"PMID: 20823225","journalAbbreviation":"PNAS","language":"en","author":[{"family":"Thornton","given":"Philip K."},{"family":"Herrero","given":"Mario"}],"issued":{"date-parts":[["2010",11,16]]}}}],"schema":"https://github.com/citation-style-language/schema/raw/master/csl-citation.json"} </w:instrText>
      </w:r>
      <w:r w:rsidR="006F0B6C">
        <w:rPr>
          <w:color w:val="000000" w:themeColor="text1"/>
        </w:rPr>
        <w:fldChar w:fldCharType="separate"/>
      </w:r>
      <w:r w:rsidR="00A72BA2" w:rsidRPr="00A72BA2">
        <w:rPr>
          <w:rFonts w:cs="Times New Roman"/>
        </w:rPr>
        <w:t>(Thornton and Herrero, 2010)</w:t>
      </w:r>
      <w:r w:rsidR="006F0B6C">
        <w:rPr>
          <w:color w:val="000000" w:themeColor="text1"/>
        </w:rPr>
        <w:fldChar w:fldCharType="end"/>
      </w:r>
      <w:r w:rsidR="006F0B6C" w:rsidRPr="003D513E">
        <w:rPr>
          <w:color w:val="000000" w:themeColor="text1"/>
        </w:rPr>
        <w:t xml:space="preserve">. </w:t>
      </w:r>
      <w:r w:rsidR="00F253D1" w:rsidRPr="003D513E">
        <w:rPr>
          <w:color w:val="000000" w:themeColor="text1"/>
        </w:rPr>
        <w:t>With the limitation of data at the regional level, the projections are made only at the global scale.</w:t>
      </w:r>
    </w:p>
    <w:p w14:paraId="5BB095A5" w14:textId="6C41754B" w:rsidR="000875B5" w:rsidRDefault="000875B5" w:rsidP="00DB4CC8">
      <w:pPr>
        <w:pStyle w:val="Heading3"/>
      </w:pPr>
      <w:bookmarkStart w:id="33" w:name="_Toc18013313"/>
      <w:bookmarkEnd w:id="31"/>
      <w:r>
        <w:t>Reference Case / Current Adoption</w:t>
      </w:r>
      <w:bookmarkEnd w:id="33"/>
    </w:p>
    <w:p w14:paraId="263DA02E" w14:textId="74436F0D" w:rsidR="00F253D1" w:rsidRPr="00F253D1" w:rsidRDefault="00F253D1" w:rsidP="00F253D1">
      <w:pPr>
        <w:rPr>
          <w:rFonts w:ascii="Times" w:hAnsi="Times"/>
          <w:color w:val="000000" w:themeColor="text1"/>
        </w:rPr>
      </w:pPr>
      <w:r w:rsidRPr="00F253D1">
        <w:rPr>
          <w:rFonts w:ascii="Times" w:eastAsia="Helvetica Neue" w:hAnsi="Times" w:cs="Helvetica Neue"/>
          <w:color w:val="000000" w:themeColor="text1"/>
          <w:highlight w:val="white"/>
        </w:rPr>
        <w:t>Current adoption of </w:t>
      </w:r>
      <w:r w:rsidRPr="00F253D1">
        <w:rPr>
          <w:rFonts w:ascii="Times" w:eastAsia="Helvetica Neue" w:hAnsi="Times" w:cs="Helvetica Neue"/>
          <w:i/>
          <w:color w:val="000000" w:themeColor="text1"/>
          <w:highlight w:val="white"/>
        </w:rPr>
        <w:t>silvopasture</w:t>
      </w:r>
      <w:r w:rsidRPr="00F253D1">
        <w:rPr>
          <w:rFonts w:ascii="Times" w:eastAsia="Helvetica Neue" w:hAnsi="Times" w:cs="Helvetica Neue"/>
          <w:color w:val="000000" w:themeColor="text1"/>
          <w:highlight w:val="white"/>
        </w:rPr>
        <w:t xml:space="preserve"> is estimated at </w:t>
      </w:r>
      <w:r w:rsidR="00335154">
        <w:rPr>
          <w:rFonts w:ascii="Times" w:eastAsia="Helvetica Neue" w:hAnsi="Times" w:cs="Helvetica Neue"/>
          <w:color w:val="000000" w:themeColor="text1"/>
          <w:highlight w:val="white"/>
        </w:rPr>
        <w:t>500</w:t>
      </w:r>
      <w:r w:rsidRPr="00F253D1">
        <w:rPr>
          <w:rFonts w:ascii="Times" w:eastAsia="Helvetica Neue" w:hAnsi="Times" w:cs="Helvetica Neue"/>
          <w:color w:val="000000" w:themeColor="text1"/>
          <w:highlight w:val="white"/>
        </w:rPr>
        <w:t xml:space="preserve"> million hectares</w:t>
      </w:r>
      <w:r w:rsidR="00926024">
        <w:rPr>
          <w:rFonts w:ascii="Times" w:eastAsia="Helvetica Neue" w:hAnsi="Times" w:cs="Helvetica Neue"/>
          <w:color w:val="000000" w:themeColor="text1"/>
        </w:rPr>
        <w:t xml:space="preserve">. </w:t>
      </w:r>
      <w:r w:rsidR="00926024">
        <w:rPr>
          <w:rFonts w:eastAsia="Helvetica Neue" w:cs="Times New Roman"/>
          <w:color w:val="000000"/>
          <w:highlight w:val="white"/>
        </w:rPr>
        <w:t xml:space="preserve">This value was determined </w:t>
      </w:r>
      <w:r w:rsidR="00926024" w:rsidRPr="00CA7BF1">
        <w:rPr>
          <w:rFonts w:eastAsia="Helvetica Neue" w:cs="Times New Roman"/>
          <w:color w:val="000000"/>
          <w:highlight w:val="white"/>
        </w:rPr>
        <w:t>based on the global area reported un</w:t>
      </w:r>
      <w:r w:rsidR="00926024" w:rsidRPr="00CA7BF1">
        <w:rPr>
          <w:rFonts w:eastAsia="Helvetica Neue" w:cs="Times New Roman"/>
          <w:highlight w:val="white"/>
        </w:rPr>
        <w:t>der silvopasture</w:t>
      </w:r>
      <w:r w:rsidR="002D1D87">
        <w:rPr>
          <w:rFonts w:eastAsia="Helvetica Neue" w:cs="Times New Roman"/>
          <w:highlight w:val="white"/>
        </w:rPr>
        <w:t xml:space="preserve"> </w:t>
      </w:r>
      <w:r w:rsidR="002D1D87">
        <w:rPr>
          <w:rFonts w:eastAsia="Helvetica Neue" w:cs="Times New Roman"/>
          <w:highlight w:val="white"/>
        </w:rPr>
        <w:fldChar w:fldCharType="begin"/>
      </w:r>
      <w:r w:rsidR="002D1D87">
        <w:rPr>
          <w:rFonts w:eastAsia="Helvetica Neue" w:cs="Times New Roman"/>
          <w:highlight w:val="white"/>
        </w:rPr>
        <w:instrText xml:space="preserve"> ADDIN ZOTERO_ITEM CSL_CITATION {"citationID":"iDk7R3KC","properties":{"formattedCitation":"(Lal et al., 2018; Nair, 2012)","plainCitation":"(Lal et al., 2018; Nair, 2012)","noteIndex":0},"citationItems":[{"id":2028,"uris":["http://zotero.org/groups/2241939/items/ZJ5AC9RL"],"uri":["http://zotero.org/groups/2241939/items/ZJ5AC9RL"],"itemData":{"id":2028,"type":"article-journal","title":"The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2D1D87">
        <w:rPr>
          <w:rFonts w:eastAsia="Helvetica Neue" w:cs="Times New Roman"/>
          <w:highlight w:val="white"/>
        </w:rPr>
        <w:fldChar w:fldCharType="separate"/>
      </w:r>
      <w:r w:rsidR="002D1D87" w:rsidRPr="002D1D87">
        <w:rPr>
          <w:rFonts w:cs="Times New Roman"/>
          <w:highlight w:val="white"/>
        </w:rPr>
        <w:t>(Lal et al., 2018; Nair, 2012)</w:t>
      </w:r>
      <w:r w:rsidR="002D1D87">
        <w:rPr>
          <w:rFonts w:eastAsia="Helvetica Neue" w:cs="Times New Roman"/>
          <w:highlight w:val="white"/>
        </w:rPr>
        <w:fldChar w:fldCharType="end"/>
      </w:r>
      <w:r w:rsidR="00926024">
        <w:rPr>
          <w:rFonts w:eastAsia="Helvetica Neue" w:cs="Times New Roman"/>
          <w:highlight w:val="white"/>
        </w:rPr>
        <w:t>, as well as an estimate of the percentage of global pasture area</w:t>
      </w:r>
      <w:r w:rsidR="002D1D87">
        <w:rPr>
          <w:rFonts w:eastAsia="Helvetica Neue" w:cs="Times New Roman"/>
          <w:highlight w:val="white"/>
        </w:rPr>
        <w:t xml:space="preserve"> </w:t>
      </w:r>
      <w:r w:rsidR="002D1D87">
        <w:rPr>
          <w:rFonts w:eastAsia="Helvetica Neue" w:cs="Times New Roman"/>
          <w:highlight w:val="white"/>
        </w:rPr>
        <w:fldChar w:fldCharType="begin"/>
      </w:r>
      <w:r w:rsidR="002D1D87">
        <w:rPr>
          <w:rFonts w:eastAsia="Helvetica Neue" w:cs="Times New Roman"/>
          <w:highlight w:val="white"/>
        </w:rPr>
        <w:instrText xml:space="preserve"> ADDIN ZOTERO_ITEM CSL_CITATION {"citationID":"JAcJnpGV","properties":{"formattedCitation":"(FAO, 2016; Houghton and Nassikas, 2017; Lorenz and Lal, 2018)","plainCitation":"(FAO, 2016; Houghton and Nassikas, 2017; Lorenz and Lal, 2018)","noteIndex":0},"citationItems":[{"id":994,"uris":["http://zotero.org/groups/2241939/items/LKQDRZIS"],"uri":["http://zotero.org/groups/2241939/items/LKQDRZIS"],"itemData":{"id":994,"type":"webpage","title":"FAO Statistical Service Online","URL":"http://www.fao.org/faostat","shortTitle":"FAOSTATS","author":[{"literal":"FAO"}],"issued":{"date-parts":[["2016",12,8]]},"accessed":{"date-parts":[["2016",12,8]]}}},{"id":1695,"uris":["http://zotero.org/groups/2241939/items/SEV7NV8C"],"uri":["http://zotero.org/groups/2241939/items/SEV7NV8C"],"itemData":{"id":1695,"type":"article-journal","title":"Global and regional fluxes of carbon from land use and land cover change 1850-2015: Carbon Emissions From Land Use","container-title":"Global Biogeochemical Cycles","page":"456-472","volume":"31","issue":"3","source":"Crossref","abstract":"The net ﬂux of carbon from land use and land cover change (LULCC) is an important term in the global carbon balance. Here we report a new estimate of annual ﬂuxes from 1850 to 2015, updating earlier analyses with new estimates of both historical and current rates of LULCC and including emissions from draining and burning of peatlands in Southeast Asia. For most of the 186 countries included we relied on data from Food and Agriculture Organization to document changes in the areas of croplands and pastures since 1960 and changes in the areas of forests and “other land” since 1990. For earlier years we used other sources of information. We used a bookkeeping model that prescribed changes in carbon density of vegetation and soils for 20 types of ecosystems and ﬁve land uses. The total net ﬂux attributable to LULCC over the period 1850–2015 is calculated to have been 145 ± 16 Pg C (1 standard deviation). Most of the emissions were from the tropics (102 ± 5.8 Pg C), generally increasing over time to a maximum of 2.10 Pg C yrÀ1 in 1997. Outside the tropics emissions were roughly constant at 0.5 Pg C yrÀ1 until 1940, declined to zero around 1970, and then became negative. For the most recent decade (2006–2015) global net emissions from LULCC averaged 1.11 (±0.35) Pg C yrÀ1, consisting of a net source from the tropics (1.41 ± 0.17 Pg C yrÀ1), a net sink in northern midlatitudes (À0.28 ± 0.21 Pg C yrÀ1), and carbon neutrality in southern midlatitudes.","DOI":"10.1002/2016GB005546","ISSN":"08866236","shortTitle":"Global and regional fluxes of carbon from land use and land cover change 1850-2015","language":"en","author":[{"family":"Houghton","given":"R. A."},{"family":"Nassikas","given":"Alexander A."}],"issued":{"date-parts":[["2017",3]]}}},{"id":762,"uris":["http://zotero.org/groups/2241939/items/RTNFGNUT"],"uri":["http://zotero.org/groups/2241939/items/RTNFGNUT"],"itemData":{"id":762,"type":"book","title":"Carbon Sequestration in Agricultural Ecosystems","publisher":"Springer International Publishing","publisher-place":"Cham","source":"Crossref","event-place":"Cham","URL":"http://link.springer.com/10.1007/978-3-319-92318-5","ISBN":"978-3-319-92317-8","note":"DOI: 10.1007/978-3-319-92318-5","language":"en","author":[{"family":"Lorenz","given":"Klaus"},{"family":"Lal","given":"Rattan"}],"issued":{"date-parts":[["2018"]]},"accessed":{"date-parts":[["2018",11,7]]}}}],"schema":"https://github.com/citation-style-language/schema/raw/master/csl-citation.json"} </w:instrText>
      </w:r>
      <w:r w:rsidR="002D1D87">
        <w:rPr>
          <w:rFonts w:eastAsia="Helvetica Neue" w:cs="Times New Roman"/>
          <w:highlight w:val="white"/>
        </w:rPr>
        <w:fldChar w:fldCharType="separate"/>
      </w:r>
      <w:r w:rsidR="002D1D87" w:rsidRPr="002D1D87">
        <w:rPr>
          <w:rFonts w:cs="Times New Roman"/>
          <w:highlight w:val="white"/>
        </w:rPr>
        <w:t>(FAO, 2016; Houghton and Nassikas, 2017; Lorenz and Lal, 2018)</w:t>
      </w:r>
      <w:r w:rsidR="002D1D87">
        <w:rPr>
          <w:rFonts w:eastAsia="Helvetica Neue" w:cs="Times New Roman"/>
          <w:highlight w:val="white"/>
        </w:rPr>
        <w:fldChar w:fldCharType="end"/>
      </w:r>
      <w:r w:rsidR="00926024">
        <w:rPr>
          <w:rFonts w:eastAsia="Helvetica Neue" w:cs="Times New Roman"/>
          <w:highlight w:val="white"/>
        </w:rPr>
        <w:t xml:space="preserve"> already under silvopasture </w:t>
      </w:r>
      <w:r w:rsidR="002D1D87">
        <w:rPr>
          <w:rFonts w:eastAsia="Helvetica Neue" w:cs="Times New Roman"/>
          <w:highlight w:val="white"/>
        </w:rPr>
        <w:fldChar w:fldCharType="begin"/>
      </w:r>
      <w:r w:rsidR="002D1D87">
        <w:rPr>
          <w:rFonts w:eastAsia="Helvetica Neue" w:cs="Times New Roman"/>
          <w:highlight w:val="white"/>
        </w:rPr>
        <w:instrText xml:space="preserve"> ADDIN ZOTERO_ITEM CSL_CITATION {"citationID":"1CVcFTeE","properties":{"formattedCitation":"(Nair et al., 2009)","plainCitation":"(Nair et al., 2009)","noteIndex":0},"citationItems":[{"id":1998,"uris":["http://zotero.org/groups/2241939/items/95NPRJZL"],"uri":["http://zotero.org/groups/2241939/items/95NPRJZL"],"itemData":{"id":1998,"type":"article-journal","title":"Agroforestry as a strategy for carbon sequestration","container-title":"Journal of Plant Nutrition and Soil Science","page":"10-23","volume":"172","issue":"1","source":"Crossref","abstract":"During the past three decades, agroforestry has become recognized the world over as an integrated approach to sustainable land use because of its production and environmental benefits. Its recent recognition as a greenhouse gas–mitigation strategy under the Kyoto Protocol has earned it added attention as a strategy for biological carbon (C) sequestration. The perceived potential is based on the premise that the greater efficiency of integrated systems in resource (nutrients, light, and water) capture and utilization than single-species systems will result in greater net C sequestration. Available estimates of C-sequestration potential of agroforestry systems are derived by combining information on the aboveground, time-averaged C stocks and the soil C values; but they are generally not rigorous. Methodological difficulties in estimating C stock of biomass and the extent of soil C storage under varying conditions are compounded by the lack of reliable estimates of area under agroforestry. We estimate that the area currently under agroforestry worldwide is 1,023 million ha. Additionally, substantial extent of areas of unproductive crop, grass, and forest lands as well as degraded lands could be brought under agroforestry. The extent of C sequestered in any agroforestry system will depend on a number of site-specific biological, climatic, soil, and management factors. Furthermore, the profitability of C-sequestration projects will depend on the price of C in the international market, additional income from the sale of products such as timber, and the cost related to C monitoring. Our knowledge on these issues is unfortunately rudimentary. Until such difficulties are surmounted, the low-cost environmental benefit of agroforestry will continue to be underappreciated and underexploited.","DOI":"10.1002/jpln.200800030","ISSN":"14368730, 15222624","language":"en","author":[{"family":"Nair","given":""},{"family":"Kumar","given":""},{"family":"Nair","given":""}],"issued":{"date-parts":[["2009",2]]}}}],"schema":"https://github.com/citation-style-language/schema/raw/master/csl-citation.json"} </w:instrText>
      </w:r>
      <w:r w:rsidR="002D1D87">
        <w:rPr>
          <w:rFonts w:eastAsia="Helvetica Neue" w:cs="Times New Roman"/>
          <w:highlight w:val="white"/>
        </w:rPr>
        <w:fldChar w:fldCharType="separate"/>
      </w:r>
      <w:r w:rsidR="002D1D87" w:rsidRPr="002D1D87">
        <w:rPr>
          <w:rFonts w:cs="Times New Roman"/>
          <w:highlight w:val="white"/>
        </w:rPr>
        <w:t>(Nair et al., 2009)</w:t>
      </w:r>
      <w:r w:rsidR="002D1D87">
        <w:rPr>
          <w:rFonts w:eastAsia="Helvetica Neue" w:cs="Times New Roman"/>
          <w:highlight w:val="white"/>
        </w:rPr>
        <w:fldChar w:fldCharType="end"/>
      </w:r>
      <w:r w:rsidR="002D1D87">
        <w:rPr>
          <w:rFonts w:eastAsia="Helvetica Neue" w:cs="Times New Roman"/>
        </w:rPr>
        <w:t>.</w:t>
      </w:r>
    </w:p>
    <w:p w14:paraId="2FE0BC9D" w14:textId="730D5F1F" w:rsidR="000875B5" w:rsidRPr="00D2050B" w:rsidRDefault="00D2050B" w:rsidP="00A45217">
      <w:pPr>
        <w:pStyle w:val="Heading3"/>
        <w:numPr>
          <w:ilvl w:val="0"/>
          <w:numId w:val="0"/>
        </w:numPr>
      </w:pPr>
      <w:bookmarkStart w:id="34" w:name="_Toc18013314"/>
      <w:r w:rsidRPr="00D2050B">
        <w:t>Project Drawdown</w:t>
      </w:r>
      <w:r w:rsidR="000875B5" w:rsidRPr="00D2050B">
        <w:t xml:space="preserve"> Scenarios</w:t>
      </w:r>
      <w:bookmarkEnd w:id="34"/>
    </w:p>
    <w:p w14:paraId="2C86B687" w14:textId="77777777" w:rsidR="003431DC" w:rsidRDefault="003431DC" w:rsidP="003431DC">
      <w:r w:rsidRPr="00D2050B">
        <w:t>Three Project Drawdown scenarios (PDS) were developed</w:t>
      </w:r>
      <w:r w:rsidRPr="005A6986">
        <w:t xml:space="preserve"> for each solution</w:t>
      </w:r>
      <w:r>
        <w:t xml:space="preserve"> with the goal of comparing the impact of an increased adoption of the solution to a reference case scenario. They are as follows:</w:t>
      </w:r>
    </w:p>
    <w:p w14:paraId="455C8CA5" w14:textId="14CC73EA" w:rsidR="003431DC" w:rsidRPr="00A3451A" w:rsidRDefault="00AC493E" w:rsidP="003431DC">
      <w:pPr>
        <w:pStyle w:val="Heading4"/>
      </w:pPr>
      <w:bookmarkStart w:id="35" w:name="_Toc507486009"/>
      <w:r w:rsidRPr="004B4939">
        <w:t>Plausible Scenario</w:t>
      </w:r>
      <w:bookmarkEnd w:id="35"/>
      <w:r w:rsidR="00FB2C53">
        <w:t xml:space="preserve"> - </w:t>
      </w:r>
      <w:r w:rsidR="00335154" w:rsidRPr="00335154">
        <w:rPr>
          <w:rFonts w:ascii="Times New Roman" w:eastAsia="Helvetica Neue" w:hAnsi="Times New Roman" w:cs="Times New Roman"/>
          <w:b w:val="0"/>
          <w:i w:val="0"/>
          <w:color w:val="000000"/>
        </w:rPr>
        <w:t>A conservative approach is adopted for the plausible scenario, and future growth of the solution is estimated based on the “average of all” custom adoption scenarios as listed above.</w:t>
      </w:r>
    </w:p>
    <w:p w14:paraId="2A4D10C7" w14:textId="2BA5A1A9" w:rsidR="003431DC" w:rsidRPr="00A3451A" w:rsidRDefault="00AC493E" w:rsidP="003431DC">
      <w:pPr>
        <w:pStyle w:val="Heading4"/>
        <w:rPr>
          <w:rFonts w:ascii="Times New Roman" w:eastAsiaTheme="minorEastAsia" w:hAnsi="Times New Roman" w:cstheme="minorBidi"/>
          <w:b w:val="0"/>
          <w:bCs w:val="0"/>
          <w:i w:val="0"/>
          <w:iCs w:val="0"/>
          <w:color w:val="auto"/>
          <w:highlight w:val="yellow"/>
        </w:rPr>
      </w:pPr>
      <w:bookmarkStart w:id="36" w:name="_Toc507486010"/>
      <w:r w:rsidRPr="00F253D1">
        <w:t>Drawdown Scenario</w:t>
      </w:r>
      <w:bookmarkEnd w:id="36"/>
      <w:r w:rsidR="00FB2C53" w:rsidRPr="00F253D1">
        <w:t xml:space="preserve"> </w:t>
      </w:r>
      <w:r w:rsidR="00A3451A" w:rsidRPr="00F253D1">
        <w:t>–</w:t>
      </w:r>
      <w:r w:rsidR="00FB2C53" w:rsidRPr="00F253D1">
        <w:t xml:space="preserve"> </w:t>
      </w:r>
      <w:bookmarkStart w:id="37" w:name="_Hlk3883954"/>
      <w:r w:rsidR="003431DC" w:rsidRPr="00A3451A">
        <w:rPr>
          <w:rFonts w:ascii="Times New Roman" w:eastAsia="Helvetica Neue" w:hAnsi="Times New Roman" w:cs="Times New Roman"/>
          <w:b w:val="0"/>
          <w:i w:val="0"/>
          <w:color w:val="auto"/>
        </w:rPr>
        <w:t>Th</w:t>
      </w:r>
      <w:r w:rsidR="003431DC">
        <w:rPr>
          <w:rFonts w:ascii="Times New Roman" w:eastAsia="Helvetica Neue" w:hAnsi="Times New Roman" w:cs="Times New Roman"/>
          <w:b w:val="0"/>
          <w:i w:val="0"/>
          <w:color w:val="auto"/>
        </w:rPr>
        <w:t xml:space="preserve">e </w:t>
      </w:r>
      <w:r w:rsidR="00335154">
        <w:rPr>
          <w:rFonts w:ascii="Times New Roman" w:eastAsia="Helvetica Neue" w:hAnsi="Times New Roman" w:cs="Times New Roman"/>
          <w:b w:val="0"/>
          <w:i w:val="0"/>
          <w:color w:val="auto"/>
        </w:rPr>
        <w:t xml:space="preserve">drawdown scenario presents results based on the medium growth, as represented by scenario </w:t>
      </w:r>
      <w:r w:rsidR="000A4CF6">
        <w:rPr>
          <w:rFonts w:ascii="Times New Roman" w:eastAsia="Helvetica Neue" w:hAnsi="Times New Roman" w:cs="Times New Roman"/>
          <w:b w:val="0"/>
          <w:i w:val="0"/>
          <w:color w:val="auto"/>
        </w:rPr>
        <w:t>“custom adoption scenario four”.</w:t>
      </w:r>
    </w:p>
    <w:p w14:paraId="43FFE16D" w14:textId="7E55945E" w:rsidR="003431DC" w:rsidRPr="003431DC" w:rsidRDefault="00AC493E">
      <w:pPr>
        <w:pStyle w:val="Heading4"/>
      </w:pPr>
      <w:bookmarkStart w:id="38" w:name="_Toc507486011"/>
      <w:bookmarkEnd w:id="37"/>
      <w:r w:rsidRPr="004B4939">
        <w:t>Optimum Scenario</w:t>
      </w:r>
      <w:bookmarkEnd w:id="38"/>
      <w:r w:rsidR="00FB2C53">
        <w:t xml:space="preserve"> </w:t>
      </w:r>
      <w:r w:rsidR="0047128C">
        <w:t>–</w:t>
      </w:r>
      <w:r w:rsidR="009B64FF">
        <w:t xml:space="preserve"> </w:t>
      </w:r>
      <w:bookmarkStart w:id="39" w:name="_Hlk3883970"/>
      <w:r w:rsidR="00335154" w:rsidRPr="00335154">
        <w:rPr>
          <w:rFonts w:ascii="Times" w:hAnsi="Times"/>
          <w:b w:val="0"/>
          <w:i w:val="0"/>
          <w:color w:val="000000" w:themeColor="text1"/>
        </w:rPr>
        <w:t xml:space="preserve">For the </w:t>
      </w:r>
      <w:r w:rsidR="00335154">
        <w:rPr>
          <w:rFonts w:ascii="Times" w:hAnsi="Times"/>
          <w:b w:val="0"/>
          <w:i w:val="0"/>
          <w:color w:val="000000" w:themeColor="text1"/>
        </w:rPr>
        <w:t>optimum</w:t>
      </w:r>
      <w:r w:rsidR="00335154" w:rsidRPr="00335154">
        <w:rPr>
          <w:rFonts w:ascii="Times" w:hAnsi="Times"/>
          <w:b w:val="0"/>
          <w:i w:val="0"/>
          <w:color w:val="000000" w:themeColor="text1"/>
        </w:rPr>
        <w:t xml:space="preserve"> scenario, an ambitious approach is adopted, and future growth of the solution is estimated based on the “high of all” custom adoption scenarios as listed above</w:t>
      </w:r>
      <w:r w:rsidR="00335154">
        <w:rPr>
          <w:rFonts w:ascii="Times" w:hAnsi="Times"/>
          <w:b w:val="0"/>
          <w:i w:val="0"/>
          <w:color w:val="000000" w:themeColor="text1"/>
        </w:rPr>
        <w:t>, with a standard deviation of 0.5</w:t>
      </w:r>
      <w:r w:rsidR="00335154" w:rsidRPr="00335154">
        <w:rPr>
          <w:rFonts w:ascii="Times" w:hAnsi="Times"/>
          <w:b w:val="0"/>
          <w:i w:val="0"/>
          <w:color w:val="000000" w:themeColor="text1"/>
        </w:rPr>
        <w:t>.</w:t>
      </w:r>
    </w:p>
    <w:p w14:paraId="5B61B0F2" w14:textId="0B33297B" w:rsidR="00FB2C53" w:rsidRPr="00FB2C53" w:rsidRDefault="00686965" w:rsidP="003D513E">
      <w:pPr>
        <w:pStyle w:val="Heading2"/>
        <w:numPr>
          <w:ilvl w:val="1"/>
          <w:numId w:val="4"/>
        </w:numPr>
      </w:pPr>
      <w:bookmarkStart w:id="40" w:name="_Toc18013315"/>
      <w:bookmarkEnd w:id="39"/>
      <w:r>
        <w:t>Inputs</w:t>
      </w:r>
      <w:bookmarkEnd w:id="40"/>
    </w:p>
    <w:p w14:paraId="3EBCEF57" w14:textId="728BDF7E" w:rsidR="00FB3AB3" w:rsidRPr="00BE5134" w:rsidRDefault="00686965" w:rsidP="00DB4CC8">
      <w:pPr>
        <w:pStyle w:val="Heading3"/>
      </w:pPr>
      <w:bookmarkStart w:id="41" w:name="_Toc18013316"/>
      <w:r w:rsidRPr="00BE5134">
        <w:t>Climate Inputs</w:t>
      </w:r>
      <w:bookmarkEnd w:id="41"/>
    </w:p>
    <w:p w14:paraId="6CACC3B5" w14:textId="0C501E01" w:rsidR="00652209" w:rsidRDefault="00C30F56" w:rsidP="00652209">
      <w:pPr>
        <w:spacing w:after="0"/>
        <w:rPr>
          <w:rFonts w:ascii="Times" w:eastAsia="Helvetica Neue" w:hAnsi="Times" w:cs="Helvetica Neue"/>
          <w:color w:val="000000" w:themeColor="text1"/>
        </w:rPr>
      </w:pPr>
      <w:r>
        <w:rPr>
          <w:rFonts w:ascii="Times" w:eastAsia="Helvetica Neue" w:hAnsi="Times" w:cs="Helvetica Neue"/>
          <w:color w:val="000000" w:themeColor="text1"/>
          <w:highlight w:val="white"/>
        </w:rPr>
        <w:t>Carbon s</w:t>
      </w:r>
      <w:r w:rsidR="00652209" w:rsidRPr="001B202A">
        <w:rPr>
          <w:rFonts w:ascii="Times" w:eastAsia="Helvetica Neue" w:hAnsi="Times" w:cs="Helvetica Neue"/>
          <w:color w:val="000000" w:themeColor="text1"/>
          <w:highlight w:val="white"/>
        </w:rPr>
        <w:t>equestration rates of </w:t>
      </w:r>
      <w:r w:rsidR="00652209" w:rsidRPr="001B202A">
        <w:rPr>
          <w:rFonts w:ascii="Times" w:eastAsia="Helvetica Neue" w:hAnsi="Times" w:cs="Helvetica Neue"/>
          <w:i/>
          <w:color w:val="000000" w:themeColor="text1"/>
          <w:highlight w:val="white"/>
        </w:rPr>
        <w:t>silvopasture </w:t>
      </w:r>
      <w:r w:rsidR="00652209" w:rsidRPr="001B202A">
        <w:rPr>
          <w:rFonts w:ascii="Times" w:eastAsia="Helvetica Neue" w:hAnsi="Times" w:cs="Helvetica Neue"/>
          <w:color w:val="000000" w:themeColor="text1"/>
          <w:highlight w:val="white"/>
        </w:rPr>
        <w:t xml:space="preserve">are </w:t>
      </w:r>
      <w:r w:rsidR="00652209" w:rsidRPr="003D513E">
        <w:rPr>
          <w:rFonts w:ascii="Times" w:eastAsia="Helvetica Neue" w:hAnsi="Times" w:cs="Helvetica Neue"/>
          <w:color w:val="000000" w:themeColor="text1"/>
        </w:rPr>
        <w:t xml:space="preserve">set at </w:t>
      </w:r>
      <w:r w:rsidR="007A4F70">
        <w:rPr>
          <w:rFonts w:ascii="Times" w:eastAsia="Helvetica Neue" w:hAnsi="Times" w:cs="Helvetica Neue"/>
          <w:color w:val="000000" w:themeColor="text1"/>
        </w:rPr>
        <w:t>2.</w:t>
      </w:r>
      <w:r w:rsidR="000A4CF6">
        <w:rPr>
          <w:rFonts w:ascii="Times" w:eastAsia="Helvetica Neue" w:hAnsi="Times" w:cs="Helvetica Neue"/>
          <w:color w:val="000000" w:themeColor="text1"/>
        </w:rPr>
        <w:t>7</w:t>
      </w:r>
      <w:r w:rsidR="007A4F70">
        <w:rPr>
          <w:rFonts w:ascii="Times" w:eastAsia="Helvetica Neue" w:hAnsi="Times" w:cs="Helvetica Neue"/>
          <w:color w:val="000000" w:themeColor="text1"/>
        </w:rPr>
        <w:t>4</w:t>
      </w:r>
      <w:r w:rsidR="00652209" w:rsidRPr="003D513E">
        <w:rPr>
          <w:rFonts w:ascii="Times" w:eastAsia="Helvetica Neue" w:hAnsi="Times" w:cs="Helvetica Neue"/>
          <w:color w:val="000000" w:themeColor="text1"/>
        </w:rPr>
        <w:t xml:space="preserve"> tons of carbon per </w:t>
      </w:r>
      <w:r w:rsidR="00652209" w:rsidRPr="001B202A">
        <w:rPr>
          <w:rFonts w:ascii="Times" w:eastAsia="Helvetica Neue" w:hAnsi="Times" w:cs="Helvetica Neue"/>
          <w:color w:val="000000" w:themeColor="text1"/>
          <w:highlight w:val="white"/>
        </w:rPr>
        <w:t>hectare per year. This is the result of meta-</w:t>
      </w:r>
      <w:r w:rsidR="00652209" w:rsidRPr="003D513E">
        <w:rPr>
          <w:rFonts w:ascii="Times" w:eastAsia="Helvetica Neue" w:hAnsi="Times" w:cs="Helvetica Neue"/>
          <w:color w:val="000000" w:themeColor="text1"/>
        </w:rPr>
        <w:t xml:space="preserve">analysis of </w:t>
      </w:r>
      <w:r w:rsidR="00107BE3" w:rsidRPr="003D513E">
        <w:rPr>
          <w:rFonts w:ascii="Times" w:eastAsia="Helvetica Neue" w:hAnsi="Times" w:cs="Helvetica Neue"/>
          <w:color w:val="000000" w:themeColor="text1"/>
        </w:rPr>
        <w:t>1</w:t>
      </w:r>
      <w:r w:rsidR="000A4CF6">
        <w:rPr>
          <w:rFonts w:ascii="Times" w:eastAsia="Helvetica Neue" w:hAnsi="Times" w:cs="Helvetica Neue"/>
          <w:color w:val="000000" w:themeColor="text1"/>
        </w:rPr>
        <w:t>4</w:t>
      </w:r>
      <w:r w:rsidR="00652209" w:rsidRPr="003D513E">
        <w:rPr>
          <w:rFonts w:ascii="Times" w:eastAsia="Helvetica Neue" w:hAnsi="Times" w:cs="Helvetica Neue"/>
          <w:color w:val="000000" w:themeColor="text1"/>
        </w:rPr>
        <w:t xml:space="preserve"> data points from </w:t>
      </w:r>
      <w:r w:rsidR="004A5092">
        <w:rPr>
          <w:rFonts w:ascii="Times" w:eastAsia="Helvetica Neue" w:hAnsi="Times" w:cs="Helvetica Neue"/>
          <w:color w:val="000000" w:themeColor="text1"/>
        </w:rPr>
        <w:t>7</w:t>
      </w:r>
      <w:r w:rsidR="00652209" w:rsidRPr="003D513E">
        <w:rPr>
          <w:rFonts w:ascii="Times" w:eastAsia="Helvetica Neue" w:hAnsi="Times" w:cs="Helvetica Neue"/>
          <w:color w:val="000000" w:themeColor="text1"/>
        </w:rPr>
        <w:t xml:space="preserve"> sources. </w:t>
      </w:r>
    </w:p>
    <w:p w14:paraId="4B9770BD" w14:textId="77777777" w:rsidR="0025681E" w:rsidRPr="001B202A" w:rsidRDefault="0025681E" w:rsidP="00652209">
      <w:pPr>
        <w:spacing w:after="0"/>
        <w:rPr>
          <w:rFonts w:ascii="Times" w:eastAsia="Helvetica Neue" w:hAnsi="Times" w:cs="Helvetica Neue"/>
          <w:color w:val="000000" w:themeColor="text1"/>
          <w:highlight w:val="white"/>
        </w:rPr>
      </w:pPr>
    </w:p>
    <w:p w14:paraId="11E4612A" w14:textId="4EDD32BD" w:rsidR="00984F33" w:rsidRPr="003D513E" w:rsidRDefault="00652209" w:rsidP="003D513E">
      <w:pPr>
        <w:spacing w:after="0"/>
        <w:rPr>
          <w:rFonts w:ascii="Times" w:hAnsi="Times"/>
          <w:b/>
          <w:color w:val="000000" w:themeColor="text1"/>
        </w:rPr>
      </w:pPr>
      <w:r w:rsidRPr="003D513E">
        <w:rPr>
          <w:rFonts w:ascii="Times" w:eastAsia="Calibri" w:hAnsi="Times" w:cs="Calibri"/>
          <w:b/>
          <w:color w:val="000000" w:themeColor="text1"/>
        </w:rPr>
        <w:t>CH</w:t>
      </w:r>
      <w:r w:rsidRPr="003D513E">
        <w:rPr>
          <w:rFonts w:ascii="Times" w:eastAsia="Calibri" w:hAnsi="Times" w:cs="Calibri"/>
          <w:b/>
          <w:color w:val="000000" w:themeColor="text1"/>
          <w:vertAlign w:val="subscript"/>
        </w:rPr>
        <w:t>4</w:t>
      </w:r>
      <w:r w:rsidRPr="003D513E">
        <w:rPr>
          <w:rFonts w:ascii="Times" w:eastAsia="Calibri" w:hAnsi="Times" w:cs="Calibri"/>
          <w:b/>
          <w:color w:val="000000" w:themeColor="text1"/>
        </w:rPr>
        <w:t xml:space="preserve"> emissions reduced</w:t>
      </w:r>
      <w:r w:rsidRPr="001B202A">
        <w:rPr>
          <w:rFonts w:ascii="Times" w:hAnsi="Times"/>
          <w:b/>
          <w:color w:val="000000" w:themeColor="text1"/>
        </w:rPr>
        <w:t xml:space="preserve">: </w:t>
      </w:r>
      <w:r w:rsidRPr="001B202A">
        <w:rPr>
          <w:rFonts w:ascii="Times" w:hAnsi="Times"/>
          <w:color w:val="000000" w:themeColor="text1"/>
        </w:rPr>
        <w:t>Embedded methane emissions due to cattle were estimated using the IPCC 2006</w:t>
      </w:r>
      <w:r w:rsidR="003F0085">
        <w:rPr>
          <w:rFonts w:ascii="Times" w:hAnsi="Times"/>
          <w:color w:val="000000" w:themeColor="text1"/>
        </w:rPr>
        <w:t xml:space="preserve"> </w:t>
      </w:r>
      <w:r w:rsidR="003F0085">
        <w:rPr>
          <w:rFonts w:ascii="Times" w:hAnsi="Times"/>
          <w:color w:val="000000" w:themeColor="text1"/>
        </w:rPr>
        <w:fldChar w:fldCharType="begin"/>
      </w:r>
      <w:r w:rsidR="003F0085">
        <w:rPr>
          <w:rFonts w:ascii="Times" w:hAnsi="Times"/>
          <w:color w:val="000000" w:themeColor="text1"/>
        </w:rPr>
        <w:instrText xml:space="preserve"> ADDIN ZOTERO_ITEM CSL_CITATION {"citationID":"RxTcVfqU","properties":{"formattedCitation":"(Dong et al., 2006)","plainCitation":"(Dong et al., 2006)","noteIndex":0},"citationItems":[{"id":3135,"uris":["http://zotero.org/groups/2241939/items/K8NH67JS"],"uri":["http://zotero.org/groups/2241939/items/K8NH67JS"],"itemData":{"id":3135,"type":"chapter","title":"Chapter 10: Emissions from livestock and manure management.","container-title":"2006 IPCC guidelines for national greenhouse gas inventories","publisher":"Institute for Global Environmental Strategies","publisher-place":"Hayama, Japan","volume":"5","event-place":"Hayama, Japan","author":[{"family":"Dong","given":"H"},{"family":"Mangino","given":"J"},{"family":"McAllister","given":"T"},{"family":"Have","given":"D"}],"collection-editor":[{"family":"Eggleston","given":"et","dropping-particle":"al."}],"issued":{"date-parts":[["2006"]]}}}],"schema":"https://github.com/citation-style-language/schema/raw/master/csl-citation.json"} </w:instrText>
      </w:r>
      <w:r w:rsidR="003F0085">
        <w:rPr>
          <w:rFonts w:ascii="Times" w:hAnsi="Times"/>
          <w:color w:val="000000" w:themeColor="text1"/>
        </w:rPr>
        <w:fldChar w:fldCharType="separate"/>
      </w:r>
      <w:r w:rsidR="003F0085" w:rsidRPr="003F0085">
        <w:rPr>
          <w:rFonts w:ascii="Times" w:hAnsi="Times" w:cs="Times"/>
        </w:rPr>
        <w:t>(Dong et al., 2006)</w:t>
      </w:r>
      <w:r w:rsidR="003F0085">
        <w:rPr>
          <w:rFonts w:ascii="Times" w:hAnsi="Times"/>
          <w:color w:val="000000" w:themeColor="text1"/>
        </w:rPr>
        <w:fldChar w:fldCharType="end"/>
      </w:r>
      <w:r w:rsidR="001F770C">
        <w:rPr>
          <w:rFonts w:ascii="Times" w:hAnsi="Times"/>
          <w:color w:val="000000" w:themeColor="text1"/>
        </w:rPr>
        <w:t xml:space="preserve"> </w:t>
      </w:r>
      <w:r w:rsidRPr="001B202A">
        <w:rPr>
          <w:rFonts w:ascii="Times" w:hAnsi="Times"/>
          <w:color w:val="000000" w:themeColor="text1"/>
        </w:rPr>
        <w:t>regional estimates for per head beef cattle annual emissions factor (CH</w:t>
      </w:r>
      <w:r w:rsidRPr="003D513E">
        <w:rPr>
          <w:rFonts w:ascii="Times" w:eastAsia="Calibri" w:hAnsi="Times" w:cs="Calibri"/>
          <w:color w:val="000000" w:themeColor="text1"/>
          <w:vertAlign w:val="subscript"/>
        </w:rPr>
        <w:t>4</w:t>
      </w:r>
      <w:r w:rsidRPr="001B202A">
        <w:rPr>
          <w:rFonts w:ascii="Times" w:hAnsi="Times"/>
          <w:color w:val="000000" w:themeColor="text1"/>
        </w:rPr>
        <w:t xml:space="preserve"> head</w:t>
      </w:r>
      <w:r w:rsidRPr="003D513E">
        <w:rPr>
          <w:rFonts w:ascii="Times" w:eastAsia="Calibri" w:hAnsi="Times" w:cs="Calibri"/>
          <w:color w:val="000000" w:themeColor="text1"/>
          <w:vertAlign w:val="superscript"/>
        </w:rPr>
        <w:t>-1</w:t>
      </w:r>
      <w:r w:rsidRPr="001B202A">
        <w:rPr>
          <w:rFonts w:ascii="Times" w:hAnsi="Times"/>
          <w:color w:val="000000" w:themeColor="text1"/>
        </w:rPr>
        <w:t xml:space="preserve"> yr</w:t>
      </w:r>
      <w:r w:rsidRPr="003D513E">
        <w:rPr>
          <w:rFonts w:ascii="Times" w:eastAsia="Calibri" w:hAnsi="Times" w:cs="Calibri"/>
          <w:color w:val="000000" w:themeColor="text1"/>
          <w:vertAlign w:val="superscript"/>
        </w:rPr>
        <w:t>-1</w:t>
      </w:r>
      <w:r w:rsidRPr="001B202A">
        <w:rPr>
          <w:rFonts w:ascii="Times" w:hAnsi="Times"/>
          <w:color w:val="000000" w:themeColor="text1"/>
        </w:rPr>
        <w:t xml:space="preserve">). This rate was multiplied by an assumed stocking rate of 1 animal unit per hectare to generate estimated per hectare CH4 emissions for each region in the Land model. This stocking rate is likely not representative of all regions. </w:t>
      </w:r>
      <w:r w:rsidR="0079564E">
        <w:rPr>
          <w:rFonts w:ascii="Times" w:hAnsi="Times"/>
          <w:color w:val="000000" w:themeColor="text1"/>
        </w:rPr>
        <w:t>Drawdown’s goal was to generat</w:t>
      </w:r>
      <w:r w:rsidR="00AB6AD1">
        <w:rPr>
          <w:rFonts w:ascii="Times" w:hAnsi="Times"/>
          <w:color w:val="000000" w:themeColor="text1"/>
        </w:rPr>
        <w:t xml:space="preserve">e </w:t>
      </w:r>
      <w:r w:rsidR="0079564E">
        <w:rPr>
          <w:rFonts w:ascii="Times" w:hAnsi="Times"/>
          <w:color w:val="000000" w:themeColor="text1"/>
        </w:rPr>
        <w:t>a rough estimate to assess</w:t>
      </w:r>
      <w:r w:rsidR="0079564E" w:rsidRPr="001B202A">
        <w:rPr>
          <w:rFonts w:ascii="Times" w:hAnsi="Times"/>
          <w:color w:val="000000" w:themeColor="text1"/>
        </w:rPr>
        <w:t xml:space="preserve"> whether </w:t>
      </w:r>
      <w:r w:rsidR="0079564E">
        <w:rPr>
          <w:rFonts w:ascii="Times" w:hAnsi="Times"/>
          <w:color w:val="000000" w:themeColor="text1"/>
        </w:rPr>
        <w:t xml:space="preserve">carbon emission </w:t>
      </w:r>
      <w:r w:rsidR="0079564E">
        <w:rPr>
          <w:rFonts w:ascii="Times" w:hAnsi="Times"/>
          <w:color w:val="000000" w:themeColor="text1"/>
        </w:rPr>
        <w:lastRenderedPageBreak/>
        <w:t xml:space="preserve">reductions from </w:t>
      </w:r>
      <w:r w:rsidR="0079564E" w:rsidRPr="003D513E">
        <w:rPr>
          <w:rFonts w:ascii="Times" w:hAnsi="Times"/>
          <w:i/>
          <w:color w:val="000000" w:themeColor="text1"/>
        </w:rPr>
        <w:t xml:space="preserve">silvopasture </w:t>
      </w:r>
      <w:r w:rsidR="0079564E">
        <w:rPr>
          <w:rFonts w:ascii="Times" w:hAnsi="Times"/>
          <w:color w:val="000000" w:themeColor="text1"/>
        </w:rPr>
        <w:t>have the potential to o</w:t>
      </w:r>
      <w:r w:rsidR="0079564E" w:rsidRPr="001B202A">
        <w:rPr>
          <w:rFonts w:ascii="Times" w:hAnsi="Times"/>
          <w:color w:val="000000" w:themeColor="text1"/>
        </w:rPr>
        <w:t>ffset embedded animal emissions</w:t>
      </w:r>
      <w:r w:rsidR="0079564E">
        <w:rPr>
          <w:rFonts w:ascii="Times" w:hAnsi="Times"/>
          <w:color w:val="000000" w:themeColor="text1"/>
        </w:rPr>
        <w:t>. Nevertheless t</w:t>
      </w:r>
      <w:r w:rsidRPr="001B202A">
        <w:rPr>
          <w:rFonts w:ascii="Times" w:hAnsi="Times"/>
          <w:color w:val="000000" w:themeColor="text1"/>
        </w:rPr>
        <w:t xml:space="preserve">hese emissions were not included in </w:t>
      </w:r>
      <w:r w:rsidR="0079564E">
        <w:rPr>
          <w:rFonts w:ascii="Times" w:hAnsi="Times"/>
          <w:color w:val="000000" w:themeColor="text1"/>
        </w:rPr>
        <w:t>final</w:t>
      </w:r>
      <w:r w:rsidRPr="001B202A">
        <w:rPr>
          <w:rFonts w:ascii="Times" w:hAnsi="Times"/>
          <w:color w:val="000000" w:themeColor="text1"/>
        </w:rPr>
        <w:t xml:space="preserve"> model outputs</w:t>
      </w:r>
      <w:r w:rsidR="0079564E">
        <w:rPr>
          <w:rFonts w:ascii="Times" w:hAnsi="Times"/>
          <w:color w:val="000000" w:themeColor="text1"/>
        </w:rPr>
        <w:t>.</w:t>
      </w:r>
    </w:p>
    <w:p w14:paraId="7B09C906" w14:textId="77777777" w:rsidR="004D1553" w:rsidRPr="004D1553" w:rsidRDefault="004D1553" w:rsidP="004D1553"/>
    <w:p w14:paraId="67ED68E5" w14:textId="12D1D4E8" w:rsidR="0021082B" w:rsidRPr="003D513E" w:rsidRDefault="004F5425" w:rsidP="003D513E">
      <w:pPr>
        <w:pStyle w:val="Caption"/>
        <w:jc w:val="left"/>
        <w:rPr>
          <w:b/>
          <w:bCs/>
          <w:color w:val="auto"/>
          <w:sz w:val="22"/>
          <w:szCs w:val="20"/>
          <w:lang w:eastAsia="zh-CN"/>
        </w:rPr>
      </w:pPr>
      <w:bookmarkStart w:id="42" w:name="_Toc18448126"/>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2</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1</w:t>
      </w:r>
      <w:r w:rsidR="00B037A8">
        <w:rPr>
          <w:b/>
          <w:color w:val="auto"/>
          <w:sz w:val="20"/>
        </w:rPr>
        <w:fldChar w:fldCharType="end"/>
      </w:r>
      <w:r w:rsidRPr="003D513E">
        <w:rPr>
          <w:b/>
          <w:color w:val="auto"/>
          <w:sz w:val="20"/>
        </w:rPr>
        <w:t xml:space="preserve"> Climate Inputs</w:t>
      </w:r>
      <w:bookmarkEnd w:id="42"/>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6B655B"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6B655B"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6B655B" w:rsidRDefault="003922A1" w:rsidP="00DB4CC8">
            <w:pPr>
              <w:spacing w:after="180"/>
              <w:jc w:val="center"/>
              <w:rPr>
                <w:b/>
                <w:bCs/>
                <w:color w:val="FFFFFF" w:themeColor="background1"/>
                <w:sz w:val="20"/>
                <w:szCs w:val="20"/>
              </w:rPr>
            </w:pPr>
            <w:r w:rsidRPr="006B655B">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6B655B" w:rsidRDefault="003922A1" w:rsidP="00DB4CC8">
            <w:pPr>
              <w:spacing w:after="180"/>
              <w:jc w:val="center"/>
              <w:rPr>
                <w:b/>
                <w:bCs/>
                <w:color w:val="FFFFFF" w:themeColor="background1"/>
                <w:sz w:val="20"/>
                <w:szCs w:val="20"/>
              </w:rPr>
            </w:pPr>
            <w:r w:rsidRPr="006B655B">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6B655B" w:rsidRDefault="003922A1" w:rsidP="00DB4CC8">
            <w:pPr>
              <w:spacing w:after="180"/>
              <w:jc w:val="center"/>
              <w:rPr>
                <w:b/>
                <w:bCs/>
                <w:color w:val="FFFFFF" w:themeColor="background1"/>
                <w:sz w:val="20"/>
                <w:szCs w:val="20"/>
              </w:rPr>
            </w:pPr>
            <w:r w:rsidRPr="006B655B">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6B655B" w:rsidRDefault="003922A1" w:rsidP="00DB4CC8">
            <w:pPr>
              <w:spacing w:after="180"/>
              <w:jc w:val="center"/>
              <w:rPr>
                <w:b/>
                <w:bCs/>
                <w:color w:val="FFFFFF" w:themeColor="background1"/>
                <w:sz w:val="20"/>
                <w:szCs w:val="20"/>
              </w:rPr>
            </w:pPr>
            <w:r w:rsidRPr="006B655B">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6B655B" w:rsidRDefault="003922A1" w:rsidP="00DB4CC8">
            <w:pPr>
              <w:spacing w:after="180"/>
              <w:jc w:val="center"/>
              <w:rPr>
                <w:b/>
                <w:bCs/>
                <w:color w:val="FFFFFF" w:themeColor="background1"/>
                <w:sz w:val="20"/>
                <w:szCs w:val="20"/>
              </w:rPr>
            </w:pPr>
            <w:r w:rsidRPr="006B655B">
              <w:rPr>
                <w:b/>
                <w:bCs/>
                <w:color w:val="FFFFFF" w:themeColor="background1"/>
                <w:sz w:val="20"/>
                <w:szCs w:val="20"/>
              </w:rPr>
              <w:t>Sources (#)</w:t>
            </w:r>
          </w:p>
        </w:tc>
      </w:tr>
      <w:tr w:rsidR="003922A1" w:rsidRPr="006B655B" w14:paraId="2A24A00A" w14:textId="77777777" w:rsidTr="003922A1">
        <w:trPr>
          <w:trHeight w:val="508"/>
        </w:trPr>
        <w:tc>
          <w:tcPr>
            <w:tcW w:w="2076" w:type="dxa"/>
            <w:vAlign w:val="center"/>
          </w:tcPr>
          <w:p w14:paraId="4F2A39BC" w14:textId="60D84FF7" w:rsidR="003922A1" w:rsidRPr="006B655B" w:rsidRDefault="006B655B" w:rsidP="00DB4CC8">
            <w:pPr>
              <w:spacing w:after="180"/>
              <w:jc w:val="center"/>
              <w:rPr>
                <w:rFonts w:eastAsia="Helvetica,Times New Roman" w:cstheme="minorHAnsi"/>
                <w:color w:val="000000" w:themeColor="text1"/>
                <w:sz w:val="20"/>
                <w:szCs w:val="20"/>
              </w:rPr>
            </w:pPr>
            <w:r>
              <w:t>Bio</w:t>
            </w:r>
            <w:r w:rsidRPr="006B655B">
              <w:t>sequestration</w:t>
            </w:r>
          </w:p>
        </w:tc>
        <w:tc>
          <w:tcPr>
            <w:tcW w:w="1427" w:type="dxa"/>
            <w:shd w:val="clear" w:color="auto" w:fill="auto"/>
            <w:vAlign w:val="center"/>
          </w:tcPr>
          <w:p w14:paraId="48D37B75" w14:textId="6A6579B7" w:rsidR="003922A1" w:rsidRPr="006B655B" w:rsidRDefault="00AE72D4" w:rsidP="00DB4CC8">
            <w:pPr>
              <w:spacing w:after="180"/>
              <w:jc w:val="center"/>
              <w:rPr>
                <w:rFonts w:eastAsia="Helvetica,Times New Roman" w:cstheme="minorHAnsi"/>
                <w:i/>
                <w:sz w:val="20"/>
                <w:szCs w:val="20"/>
              </w:rPr>
            </w:pPr>
            <w:r w:rsidRPr="006B655B">
              <w:rPr>
                <w:rFonts w:eastAsia="Helvetica,Times New Roman" w:cstheme="minorHAnsi"/>
                <w:i/>
                <w:sz w:val="20"/>
                <w:szCs w:val="20"/>
              </w:rPr>
              <w:t>tC/ha/yr</w:t>
            </w:r>
          </w:p>
        </w:tc>
        <w:tc>
          <w:tcPr>
            <w:tcW w:w="1486" w:type="dxa"/>
            <w:vAlign w:val="center"/>
          </w:tcPr>
          <w:p w14:paraId="21F5B106" w14:textId="28B6A788" w:rsidR="003922A1" w:rsidRPr="006B655B" w:rsidRDefault="000A4CF6"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-0.35</w:t>
            </w:r>
            <w:r w:rsidR="006B655B" w:rsidRPr="003D513E">
              <w:rPr>
                <w:rFonts w:eastAsia="Helvetica,Times New Roman" w:cstheme="minorHAnsi"/>
                <w:color w:val="000000" w:themeColor="text1"/>
                <w:sz w:val="20"/>
                <w:szCs w:val="20"/>
              </w:rPr>
              <w:t xml:space="preserve"> – </w:t>
            </w:r>
            <w:r w:rsidR="00445E22">
              <w:rPr>
                <w:rFonts w:eastAsia="Helvetica,Times New Roman" w:cstheme="minorHAnsi"/>
                <w:color w:val="000000" w:themeColor="text1"/>
                <w:sz w:val="20"/>
                <w:szCs w:val="20"/>
              </w:rPr>
              <w:t>5.</w:t>
            </w:r>
            <w:r>
              <w:rPr>
                <w:rFonts w:eastAsia="Helvetica,Times New Roman" w:cstheme="minorHAnsi"/>
                <w:color w:val="000000" w:themeColor="text1"/>
                <w:sz w:val="20"/>
                <w:szCs w:val="20"/>
              </w:rPr>
              <w:t>8</w:t>
            </w:r>
            <w:r w:rsidR="00445E22">
              <w:rPr>
                <w:rFonts w:eastAsia="Helvetica,Times New Roman" w:cstheme="minorHAnsi"/>
                <w:color w:val="000000" w:themeColor="text1"/>
                <w:sz w:val="20"/>
                <w:szCs w:val="20"/>
              </w:rPr>
              <w:t>4</w:t>
            </w:r>
          </w:p>
        </w:tc>
        <w:tc>
          <w:tcPr>
            <w:tcW w:w="1467" w:type="dxa"/>
            <w:vAlign w:val="center"/>
          </w:tcPr>
          <w:p w14:paraId="11E87B1E" w14:textId="7C7CF6DE" w:rsidR="003922A1" w:rsidRPr="006B655B" w:rsidRDefault="005B0A51"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r w:rsidR="000A4CF6">
              <w:rPr>
                <w:rFonts w:eastAsia="Helvetica,Times New Roman" w:cstheme="minorHAnsi"/>
                <w:color w:val="000000" w:themeColor="text1"/>
                <w:sz w:val="20"/>
                <w:szCs w:val="20"/>
              </w:rPr>
              <w:t>7</w:t>
            </w:r>
            <w:r>
              <w:rPr>
                <w:rFonts w:eastAsia="Helvetica,Times New Roman" w:cstheme="minorHAnsi"/>
                <w:color w:val="000000" w:themeColor="text1"/>
                <w:sz w:val="20"/>
                <w:szCs w:val="20"/>
              </w:rPr>
              <w:t>4</w:t>
            </w:r>
          </w:p>
        </w:tc>
        <w:tc>
          <w:tcPr>
            <w:tcW w:w="1366" w:type="dxa"/>
            <w:vAlign w:val="center"/>
          </w:tcPr>
          <w:p w14:paraId="1EC7EFEA" w14:textId="0AD084A2" w:rsidR="003922A1" w:rsidRPr="006B655B" w:rsidRDefault="006B655B" w:rsidP="00DB4CC8">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1</w:t>
            </w:r>
            <w:r w:rsidR="000A4CF6">
              <w:rPr>
                <w:rFonts w:eastAsia="Helvetica,Times New Roman" w:cstheme="minorHAnsi"/>
                <w:color w:val="000000" w:themeColor="text1"/>
                <w:sz w:val="20"/>
                <w:szCs w:val="20"/>
              </w:rPr>
              <w:t>4</w:t>
            </w:r>
          </w:p>
        </w:tc>
        <w:tc>
          <w:tcPr>
            <w:tcW w:w="1528" w:type="dxa"/>
            <w:vAlign w:val="center"/>
          </w:tcPr>
          <w:p w14:paraId="774B9874" w14:textId="63B5B67D" w:rsidR="003922A1" w:rsidRPr="006B655B" w:rsidRDefault="005B0A51"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2"/>
      </w:r>
      <w:r w:rsidR="00AB783D" w:rsidRPr="00DF0D64">
        <w:t>.</w:t>
      </w: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65DED48F"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r w:rsidR="005C6708">
        <w:rPr>
          <w:rFonts w:eastAsia="Times New Roman" w:cs="Times New Roman"/>
          <w:i/>
          <w:color w:val="000000" w:themeColor="text1"/>
          <w:lang w:eastAsia="zh-CN"/>
        </w:rPr>
        <w:t>silvopasture</w:t>
      </w:r>
      <w:r w:rsidRPr="00F44C6D">
        <w:rPr>
          <w:rFonts w:eastAsia="Times New Roman" w:cs="Times New Roman"/>
          <w:color w:val="000000" w:themeColor="text1"/>
          <w:lang w:eastAsia="zh-CN"/>
        </w:rPr>
        <w:t>)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272625E6" w:rsidR="00F52595" w:rsidRDefault="00686965" w:rsidP="00DB4CC8">
      <w:pPr>
        <w:pStyle w:val="Heading3"/>
      </w:pPr>
      <w:bookmarkStart w:id="43" w:name="_Toc18013317"/>
      <w:r>
        <w:lastRenderedPageBreak/>
        <w:t>Financial Inputs</w:t>
      </w:r>
      <w:bookmarkEnd w:id="43"/>
    </w:p>
    <w:p w14:paraId="0962EC30" w14:textId="7F09A147" w:rsidR="0032353F" w:rsidRPr="00F52595" w:rsidRDefault="00F501EA" w:rsidP="003D513E">
      <w:r w:rsidRPr="00F501EA">
        <w:rPr>
          <w:rFonts w:ascii="Times" w:eastAsia="Helvetica Neue" w:hAnsi="Times" w:cs="Helvetica Neue"/>
          <w:color w:val="000000" w:themeColor="text1"/>
          <w:highlight w:val="white"/>
        </w:rPr>
        <w:t xml:space="preserve">First costs are </w:t>
      </w:r>
      <w:r w:rsidRPr="003D513E">
        <w:rPr>
          <w:rFonts w:ascii="Times" w:eastAsia="Helvetica Neue" w:hAnsi="Times" w:cs="Helvetica Neue"/>
          <w:color w:val="000000" w:themeColor="text1"/>
        </w:rPr>
        <w:t>estimated at US$</w:t>
      </w:r>
      <w:r w:rsidR="00C349C6" w:rsidRPr="003D513E">
        <w:rPr>
          <w:rFonts w:ascii="Times" w:eastAsia="Helvetica Neue" w:hAnsi="Times" w:cs="Helvetica Neue"/>
          <w:color w:val="000000" w:themeColor="text1"/>
        </w:rPr>
        <w:t>1,180.65</w:t>
      </w:r>
      <w:r w:rsidRPr="003D513E">
        <w:rPr>
          <w:rFonts w:ascii="Times" w:eastAsia="Helvetica Neue" w:hAnsi="Times" w:cs="Helvetica Neue"/>
          <w:color w:val="000000" w:themeColor="text1"/>
        </w:rPr>
        <w:t xml:space="preserve"> per hectare. For </w:t>
      </w:r>
      <w:r w:rsidRPr="00F501EA">
        <w:rPr>
          <w:rFonts w:ascii="Times" w:eastAsia="Helvetica Neue" w:hAnsi="Times" w:cs="Helvetica Neue"/>
          <w:color w:val="000000" w:themeColor="text1"/>
          <w:highlight w:val="white"/>
        </w:rPr>
        <w:t>all agricultural solutions, it is assumed that there is no conventional first cost, as conventional grazing (in this case) is already in place on the land. Results are based on meta-</w:t>
      </w:r>
      <w:r w:rsidRPr="003D513E">
        <w:rPr>
          <w:rFonts w:ascii="Times" w:eastAsia="Helvetica Neue" w:hAnsi="Times" w:cs="Helvetica Neue"/>
          <w:color w:val="000000" w:themeColor="text1"/>
        </w:rPr>
        <w:t xml:space="preserve">analysis of </w:t>
      </w:r>
      <w:r w:rsidR="00C349C6" w:rsidRPr="003D513E">
        <w:rPr>
          <w:rFonts w:ascii="Times" w:eastAsia="Helvetica Neue" w:hAnsi="Times" w:cs="Helvetica Neue"/>
          <w:color w:val="000000" w:themeColor="text1"/>
        </w:rPr>
        <w:t>20</w:t>
      </w:r>
      <w:r w:rsidRPr="003D513E">
        <w:rPr>
          <w:rFonts w:ascii="Times" w:eastAsia="Helvetica Neue" w:hAnsi="Times" w:cs="Helvetica Neue"/>
          <w:color w:val="000000" w:themeColor="text1"/>
        </w:rPr>
        <w:t xml:space="preserve"> data points from </w:t>
      </w:r>
      <w:r w:rsidR="00C349C6" w:rsidRPr="003D513E">
        <w:rPr>
          <w:rFonts w:ascii="Times" w:eastAsia="Helvetica Neue" w:hAnsi="Times" w:cs="Helvetica Neue"/>
          <w:color w:val="000000" w:themeColor="text1"/>
        </w:rPr>
        <w:t>9</w:t>
      </w:r>
      <w:r w:rsidRPr="003D513E">
        <w:rPr>
          <w:rFonts w:ascii="Times" w:eastAsia="Helvetica Neue" w:hAnsi="Times" w:cs="Helvetica Neue"/>
          <w:color w:val="000000" w:themeColor="text1"/>
        </w:rPr>
        <w:t xml:space="preserve"> sources. Net </w:t>
      </w:r>
      <w:r w:rsidRPr="00F501EA">
        <w:rPr>
          <w:rFonts w:ascii="Times" w:eastAsia="Helvetica Neue" w:hAnsi="Times" w:cs="Helvetica Neue"/>
          <w:color w:val="000000" w:themeColor="text1"/>
          <w:highlight w:val="white"/>
        </w:rPr>
        <w:t>profit per hect</w:t>
      </w:r>
      <w:r w:rsidRPr="003D513E">
        <w:rPr>
          <w:rFonts w:ascii="Times" w:eastAsia="Helvetica Neue" w:hAnsi="Times" w:cs="Helvetica Neue"/>
          <w:color w:val="000000" w:themeColor="text1"/>
        </w:rPr>
        <w:t>are is US$</w:t>
      </w:r>
      <w:r w:rsidR="000A4CF6">
        <w:rPr>
          <w:rFonts w:ascii="Times" w:eastAsia="Helvetica Neue" w:hAnsi="Times" w:cs="Helvetica Neue"/>
          <w:color w:val="000000" w:themeColor="text1"/>
        </w:rPr>
        <w:t>1152.56</w:t>
      </w:r>
      <w:r w:rsidRPr="003D513E">
        <w:rPr>
          <w:rFonts w:ascii="Times" w:eastAsia="Helvetica Neue" w:hAnsi="Times" w:cs="Helvetica Neue"/>
          <w:color w:val="000000" w:themeColor="text1"/>
        </w:rPr>
        <w:t xml:space="preserve"> per year (</w:t>
      </w:r>
      <w:r w:rsidR="000A4CF6">
        <w:rPr>
          <w:rFonts w:ascii="Times" w:eastAsia="Helvetica Neue" w:hAnsi="Times" w:cs="Helvetica Neue"/>
          <w:color w:val="000000" w:themeColor="text1"/>
        </w:rPr>
        <w:t>20</w:t>
      </w:r>
      <w:r w:rsidR="00234201" w:rsidRPr="003D513E">
        <w:rPr>
          <w:rFonts w:ascii="Times" w:eastAsia="Helvetica Neue" w:hAnsi="Times" w:cs="Helvetica Neue"/>
          <w:color w:val="000000" w:themeColor="text1"/>
        </w:rPr>
        <w:t xml:space="preserve"> </w:t>
      </w:r>
      <w:r w:rsidRPr="003D513E">
        <w:rPr>
          <w:rFonts w:ascii="Times" w:eastAsia="Helvetica Neue" w:hAnsi="Times" w:cs="Helvetica Neue"/>
          <w:color w:val="000000" w:themeColor="text1"/>
        </w:rPr>
        <w:t>data points from</w:t>
      </w:r>
      <w:r w:rsidR="00234201" w:rsidRPr="003D513E">
        <w:rPr>
          <w:rFonts w:ascii="Times" w:eastAsia="Helvetica Neue" w:hAnsi="Times" w:cs="Helvetica Neue"/>
          <w:color w:val="000000" w:themeColor="text1"/>
        </w:rPr>
        <w:t xml:space="preserve"> 9</w:t>
      </w:r>
      <w:r w:rsidRPr="003D513E">
        <w:rPr>
          <w:rFonts w:ascii="Times" w:eastAsia="Helvetica Neue" w:hAnsi="Times" w:cs="Helvetica Neue"/>
          <w:color w:val="000000" w:themeColor="text1"/>
        </w:rPr>
        <w:t xml:space="preserve"> sources), compared to US$</w:t>
      </w:r>
      <w:r w:rsidR="000A4CF6">
        <w:rPr>
          <w:rFonts w:ascii="Times" w:eastAsia="Helvetica Neue" w:hAnsi="Times" w:cs="Helvetica Neue"/>
          <w:color w:val="000000" w:themeColor="text1"/>
        </w:rPr>
        <w:t>154.12</w:t>
      </w:r>
      <w:r w:rsidRPr="003D513E">
        <w:rPr>
          <w:rFonts w:ascii="Times" w:eastAsia="Helvetica Neue" w:hAnsi="Times" w:cs="Helvetica Neue"/>
          <w:color w:val="000000" w:themeColor="text1"/>
        </w:rPr>
        <w:t xml:space="preserve"> per year for the conventional practice (</w:t>
      </w:r>
      <w:r w:rsidR="00234201" w:rsidRPr="003D513E">
        <w:rPr>
          <w:rFonts w:ascii="Times" w:eastAsia="Helvetica Neue" w:hAnsi="Times" w:cs="Helvetica Neue"/>
          <w:color w:val="000000" w:themeColor="text1"/>
        </w:rPr>
        <w:t>1</w:t>
      </w:r>
      <w:r w:rsidR="000A4CF6">
        <w:rPr>
          <w:rFonts w:ascii="Times" w:eastAsia="Helvetica Neue" w:hAnsi="Times" w:cs="Helvetica Neue"/>
          <w:color w:val="000000" w:themeColor="text1"/>
        </w:rPr>
        <w:t>8</w:t>
      </w:r>
      <w:r w:rsidR="00234201" w:rsidRPr="003D513E">
        <w:rPr>
          <w:rFonts w:ascii="Times" w:eastAsia="Helvetica Neue" w:hAnsi="Times" w:cs="Helvetica Neue"/>
          <w:color w:val="000000" w:themeColor="text1"/>
        </w:rPr>
        <w:t xml:space="preserve"> </w:t>
      </w:r>
      <w:r w:rsidRPr="003D513E">
        <w:rPr>
          <w:rFonts w:ascii="Times" w:eastAsia="Helvetica Neue" w:hAnsi="Times" w:cs="Helvetica Neue"/>
          <w:color w:val="000000" w:themeColor="text1"/>
        </w:rPr>
        <w:t xml:space="preserve">data points from </w:t>
      </w:r>
      <w:r w:rsidR="00234201" w:rsidRPr="003D513E">
        <w:rPr>
          <w:rFonts w:ascii="Times" w:eastAsia="Helvetica Neue" w:hAnsi="Times" w:cs="Helvetica Neue"/>
          <w:color w:val="000000" w:themeColor="text1"/>
        </w:rPr>
        <w:t xml:space="preserve">13 </w:t>
      </w:r>
      <w:r w:rsidRPr="003D513E">
        <w:rPr>
          <w:rFonts w:ascii="Times" w:eastAsia="Helvetica Neue" w:hAnsi="Times" w:cs="Helvetica Neue"/>
          <w:color w:val="000000" w:themeColor="text1"/>
        </w:rPr>
        <w:t>sources).</w:t>
      </w:r>
    </w:p>
    <w:p w14:paraId="1521B01D" w14:textId="7CEB0C85" w:rsidR="00D25FC7" w:rsidRPr="003D513E" w:rsidRDefault="00D25FC7" w:rsidP="003D513E">
      <w:pPr>
        <w:pStyle w:val="Caption"/>
        <w:jc w:val="left"/>
        <w:rPr>
          <w:rFonts w:asciiTheme="majorHAnsi" w:eastAsiaTheme="majorEastAsia" w:hAnsiTheme="majorHAnsi" w:cstheme="majorBidi"/>
          <w:b/>
          <w:bCs/>
          <w:color w:val="auto"/>
          <w:sz w:val="24"/>
          <w:szCs w:val="23"/>
          <w:lang w:eastAsia="zh-CN"/>
        </w:rPr>
      </w:pPr>
      <w:bookmarkStart w:id="44" w:name="_Toc18448127"/>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2</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2</w:t>
      </w:r>
      <w:r w:rsidR="00B037A8">
        <w:rPr>
          <w:b/>
          <w:color w:val="auto"/>
          <w:sz w:val="20"/>
        </w:rPr>
        <w:fldChar w:fldCharType="end"/>
      </w:r>
      <w:r w:rsidRPr="003D513E">
        <w:rPr>
          <w:b/>
          <w:color w:val="auto"/>
          <w:sz w:val="20"/>
        </w:rPr>
        <w:t xml:space="preserve"> Financial Inputs </w:t>
      </w:r>
      <w:r w:rsidR="009C0F77" w:rsidRPr="003D513E">
        <w:rPr>
          <w:b/>
          <w:color w:val="auto"/>
          <w:sz w:val="20"/>
        </w:rPr>
        <w:t xml:space="preserve">for </w:t>
      </w:r>
      <w:r w:rsidRPr="003D513E">
        <w:rPr>
          <w:b/>
          <w:color w:val="auto"/>
          <w:sz w:val="20"/>
        </w:rPr>
        <w:t>Conventional Technologies</w:t>
      </w:r>
      <w:bookmarkEnd w:id="44"/>
    </w:p>
    <w:tbl>
      <w:tblPr>
        <w:tblStyle w:val="TableGrid"/>
        <w:tblW w:w="5043" w:type="pct"/>
        <w:jc w:val="center"/>
        <w:tblLook w:val="04A0" w:firstRow="1" w:lastRow="0" w:firstColumn="1" w:lastColumn="0" w:noHBand="0" w:noVBand="1"/>
      </w:tblPr>
      <w:tblGrid>
        <w:gridCol w:w="1976"/>
        <w:gridCol w:w="1439"/>
        <w:gridCol w:w="2135"/>
        <w:gridCol w:w="1624"/>
        <w:gridCol w:w="1164"/>
        <w:gridCol w:w="1092"/>
      </w:tblGrid>
      <w:tr w:rsidR="00910DE0" w:rsidRPr="00057050" w14:paraId="5EBC0DC9" w14:textId="77777777" w:rsidTr="003D513E">
        <w:trPr>
          <w:cantSplit/>
          <w:trHeight w:val="1154"/>
          <w:tblHeader/>
          <w:jc w:val="center"/>
        </w:trPr>
        <w:tc>
          <w:tcPr>
            <w:tcW w:w="1048"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763"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1132"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3D513E">
        <w:trPr>
          <w:trHeight w:val="149"/>
          <w:jc w:val="center"/>
        </w:trPr>
        <w:tc>
          <w:tcPr>
            <w:tcW w:w="1048" w:type="pct"/>
            <w:vAlign w:val="center"/>
          </w:tcPr>
          <w:p w14:paraId="400D3B56" w14:textId="77777777" w:rsidR="00910DE0" w:rsidRPr="00AF23CA" w:rsidRDefault="00910DE0" w:rsidP="00DB4CC8">
            <w:pPr>
              <w:spacing w:after="180"/>
              <w:jc w:val="center"/>
              <w:rPr>
                <w:color w:val="000000" w:themeColor="text1"/>
                <w:sz w:val="20"/>
                <w:szCs w:val="20"/>
              </w:rPr>
            </w:pPr>
            <w:r w:rsidRPr="00AF23CA">
              <w:rPr>
                <w:color w:val="000000" w:themeColor="text1"/>
                <w:sz w:val="20"/>
                <w:szCs w:val="20"/>
              </w:rPr>
              <w:t>First costs (Conventional)</w:t>
            </w:r>
          </w:p>
        </w:tc>
        <w:tc>
          <w:tcPr>
            <w:tcW w:w="763" w:type="pct"/>
            <w:vAlign w:val="center"/>
          </w:tcPr>
          <w:p w14:paraId="56AA3572" w14:textId="35307D91" w:rsidR="00910DE0" w:rsidRPr="00AF23CA" w:rsidRDefault="0032353F" w:rsidP="00DB4CC8">
            <w:pPr>
              <w:spacing w:after="180"/>
              <w:jc w:val="center"/>
              <w:rPr>
                <w:rFonts w:eastAsia="Helvetica,Times New Roman" w:cstheme="minorHAnsi"/>
                <w:sz w:val="20"/>
                <w:szCs w:val="20"/>
              </w:rPr>
            </w:pPr>
            <w:r w:rsidRPr="00AF23CA">
              <w:rPr>
                <w:bCs/>
                <w:i/>
                <w:sz w:val="20"/>
                <w:szCs w:val="20"/>
              </w:rPr>
              <w:t xml:space="preserve"> </w:t>
            </w:r>
            <w:r w:rsidR="00910DE0" w:rsidRPr="00AF23CA">
              <w:rPr>
                <w:bCs/>
                <w:i/>
                <w:sz w:val="20"/>
                <w:szCs w:val="20"/>
              </w:rPr>
              <w:t>US$2014/</w:t>
            </w:r>
            <w:r w:rsidR="00486CBB" w:rsidRPr="00AF23CA">
              <w:rPr>
                <w:bCs/>
                <w:i/>
                <w:sz w:val="20"/>
                <w:szCs w:val="20"/>
              </w:rPr>
              <w:t>ha</w:t>
            </w:r>
          </w:p>
        </w:tc>
        <w:tc>
          <w:tcPr>
            <w:tcW w:w="1132" w:type="pct"/>
            <w:vAlign w:val="center"/>
          </w:tcPr>
          <w:p w14:paraId="5AD14322" w14:textId="58BCF78C" w:rsidR="00910DE0" w:rsidRPr="00AF23CA" w:rsidRDefault="00AC513C" w:rsidP="00DB4CC8">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$0</w:t>
            </w:r>
          </w:p>
        </w:tc>
        <w:tc>
          <w:tcPr>
            <w:tcW w:w="861" w:type="pct"/>
            <w:vAlign w:val="center"/>
          </w:tcPr>
          <w:p w14:paraId="6782A95B" w14:textId="2ABAA877" w:rsidR="00910DE0" w:rsidRPr="00AF23CA" w:rsidRDefault="003E7C7A" w:rsidP="00DB4CC8">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$0</w:t>
            </w:r>
          </w:p>
        </w:tc>
        <w:tc>
          <w:tcPr>
            <w:tcW w:w="617" w:type="pct"/>
            <w:vAlign w:val="center"/>
          </w:tcPr>
          <w:p w14:paraId="1AA7E7F8" w14:textId="14AE77E5" w:rsidR="00910DE0" w:rsidRPr="00AF23CA" w:rsidRDefault="003E7C7A" w:rsidP="00DB4CC8">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n/a</w:t>
            </w:r>
          </w:p>
        </w:tc>
        <w:tc>
          <w:tcPr>
            <w:tcW w:w="579" w:type="pct"/>
            <w:vAlign w:val="center"/>
          </w:tcPr>
          <w:p w14:paraId="367ADBC1" w14:textId="242D9F73" w:rsidR="00910DE0" w:rsidRPr="00AF23CA" w:rsidRDefault="003E7C7A" w:rsidP="00DB4CC8">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n/a</w:t>
            </w:r>
          </w:p>
        </w:tc>
      </w:tr>
      <w:tr w:rsidR="000A4CF6" w:rsidRPr="00057050" w14:paraId="29BBD18C" w14:textId="77777777" w:rsidTr="003D513E">
        <w:trPr>
          <w:trHeight w:val="583"/>
          <w:jc w:val="center"/>
        </w:trPr>
        <w:tc>
          <w:tcPr>
            <w:tcW w:w="1048" w:type="pct"/>
            <w:vAlign w:val="center"/>
          </w:tcPr>
          <w:p w14:paraId="696E0629" w14:textId="0B3726EC" w:rsidR="000A4CF6" w:rsidRPr="00AF23CA" w:rsidRDefault="000A4CF6" w:rsidP="000A4CF6">
            <w:pPr>
              <w:spacing w:after="180"/>
              <w:jc w:val="center"/>
              <w:rPr>
                <w:color w:val="000000" w:themeColor="text1"/>
                <w:sz w:val="20"/>
                <w:szCs w:val="20"/>
              </w:rPr>
            </w:pPr>
            <w:r w:rsidRPr="00AF23CA">
              <w:rPr>
                <w:color w:val="000000" w:themeColor="text1"/>
                <w:sz w:val="20"/>
                <w:szCs w:val="20"/>
              </w:rPr>
              <w:t>Net profit (Conventional)</w:t>
            </w:r>
          </w:p>
        </w:tc>
        <w:tc>
          <w:tcPr>
            <w:tcW w:w="763" w:type="pct"/>
          </w:tcPr>
          <w:p w14:paraId="3CEF4190" w14:textId="099401A3" w:rsidR="000A4CF6" w:rsidRPr="00AF23CA" w:rsidRDefault="000A4CF6" w:rsidP="000A4CF6">
            <w:pPr>
              <w:spacing w:after="180"/>
              <w:jc w:val="center"/>
              <w:rPr>
                <w:rFonts w:eastAsia="Helvetica,Times New Roman" w:cstheme="minorHAnsi"/>
                <w:sz w:val="20"/>
                <w:szCs w:val="20"/>
              </w:rPr>
            </w:pPr>
            <w:r w:rsidRPr="00AF23CA">
              <w:rPr>
                <w:bCs/>
                <w:i/>
                <w:sz w:val="20"/>
                <w:szCs w:val="20"/>
              </w:rPr>
              <w:t xml:space="preserve"> US$2014/ha</w:t>
            </w:r>
          </w:p>
        </w:tc>
        <w:tc>
          <w:tcPr>
            <w:tcW w:w="1132" w:type="pct"/>
            <w:vAlign w:val="center"/>
          </w:tcPr>
          <w:p w14:paraId="41B31604" w14:textId="25161564"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$69.49-$323.38</w:t>
            </w:r>
          </w:p>
        </w:tc>
        <w:tc>
          <w:tcPr>
            <w:tcW w:w="861" w:type="pct"/>
            <w:vAlign w:val="center"/>
          </w:tcPr>
          <w:p w14:paraId="259F13A5" w14:textId="295EC5BD"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$154.12</w:t>
            </w:r>
          </w:p>
        </w:tc>
        <w:tc>
          <w:tcPr>
            <w:tcW w:w="617" w:type="pct"/>
            <w:vAlign w:val="center"/>
          </w:tcPr>
          <w:p w14:paraId="62C158C3" w14:textId="0209999A"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579" w:type="pct"/>
            <w:vAlign w:val="center"/>
          </w:tcPr>
          <w:p w14:paraId="2E77170B" w14:textId="1B05255B"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0A4CF6" w:rsidRPr="00057050" w14:paraId="789E9F95" w14:textId="77777777" w:rsidTr="003D513E">
        <w:trPr>
          <w:trHeight w:val="149"/>
          <w:jc w:val="center"/>
        </w:trPr>
        <w:tc>
          <w:tcPr>
            <w:tcW w:w="1048" w:type="pct"/>
            <w:vAlign w:val="center"/>
          </w:tcPr>
          <w:p w14:paraId="564B7DFA" w14:textId="77A83D82" w:rsidR="000A4CF6" w:rsidRPr="00AF23CA" w:rsidRDefault="000A4CF6" w:rsidP="000A4CF6">
            <w:pPr>
              <w:spacing w:after="180"/>
              <w:jc w:val="center"/>
              <w:rPr>
                <w:color w:val="000000" w:themeColor="text1"/>
                <w:sz w:val="20"/>
                <w:szCs w:val="20"/>
              </w:rPr>
            </w:pPr>
            <w:r w:rsidRPr="00AF23CA">
              <w:rPr>
                <w:color w:val="000000" w:themeColor="text1"/>
                <w:sz w:val="20"/>
                <w:szCs w:val="20"/>
              </w:rPr>
              <w:t>Operating Cost (Conventional)</w:t>
            </w:r>
          </w:p>
        </w:tc>
        <w:tc>
          <w:tcPr>
            <w:tcW w:w="763" w:type="pct"/>
          </w:tcPr>
          <w:p w14:paraId="292CCBF2" w14:textId="03727FAF" w:rsidR="000A4CF6" w:rsidRPr="00AF23CA" w:rsidRDefault="000A4CF6" w:rsidP="000A4CF6">
            <w:pPr>
              <w:spacing w:after="180"/>
              <w:jc w:val="center"/>
              <w:rPr>
                <w:rFonts w:eastAsia="Helvetica,Times New Roman" w:cstheme="minorHAnsi"/>
                <w:sz w:val="20"/>
                <w:szCs w:val="20"/>
              </w:rPr>
            </w:pPr>
            <w:r w:rsidRPr="00AF23CA">
              <w:rPr>
                <w:bCs/>
                <w:i/>
                <w:sz w:val="20"/>
                <w:szCs w:val="20"/>
              </w:rPr>
              <w:t xml:space="preserve"> US$2014/ha</w:t>
            </w:r>
          </w:p>
        </w:tc>
        <w:tc>
          <w:tcPr>
            <w:tcW w:w="1132" w:type="pct"/>
            <w:vAlign w:val="center"/>
          </w:tcPr>
          <w:p w14:paraId="3698BA83" w14:textId="7A30ABAE"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$28.06-$684.58</w:t>
            </w:r>
          </w:p>
        </w:tc>
        <w:tc>
          <w:tcPr>
            <w:tcW w:w="861" w:type="pct"/>
            <w:vAlign w:val="center"/>
          </w:tcPr>
          <w:p w14:paraId="2C205561" w14:textId="389B9DFF"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$328.42</w:t>
            </w:r>
          </w:p>
        </w:tc>
        <w:tc>
          <w:tcPr>
            <w:tcW w:w="617" w:type="pct"/>
            <w:vAlign w:val="center"/>
          </w:tcPr>
          <w:p w14:paraId="6F7826B4" w14:textId="08E111F8"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6F71B7A1" w14:textId="36F4D652" w:rsidR="000A4CF6" w:rsidRPr="00AF23CA"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bl>
    <w:p w14:paraId="7E13702C" w14:textId="77777777" w:rsidR="00D25FC7" w:rsidRPr="003D513E" w:rsidRDefault="00D25FC7" w:rsidP="003D513E">
      <w:pPr>
        <w:jc w:val="left"/>
        <w:rPr>
          <w:b/>
          <w:bCs/>
          <w:szCs w:val="21"/>
        </w:rPr>
      </w:pPr>
    </w:p>
    <w:p w14:paraId="2A309D69" w14:textId="21E07C02" w:rsidR="0021082B" w:rsidRPr="003D513E" w:rsidRDefault="00274B56" w:rsidP="003D513E">
      <w:pPr>
        <w:pStyle w:val="Caption"/>
        <w:jc w:val="left"/>
        <w:rPr>
          <w:rFonts w:asciiTheme="majorHAnsi" w:eastAsiaTheme="majorEastAsia" w:hAnsiTheme="majorHAnsi" w:cstheme="majorBidi"/>
          <w:b/>
          <w:bCs/>
          <w:color w:val="auto"/>
          <w:sz w:val="24"/>
          <w:szCs w:val="23"/>
          <w:lang w:eastAsia="zh-CN"/>
        </w:rPr>
      </w:pPr>
      <w:bookmarkStart w:id="45" w:name="_Toc18448128"/>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2</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3</w:t>
      </w:r>
      <w:r w:rsidR="00B037A8">
        <w:rPr>
          <w:b/>
          <w:color w:val="auto"/>
          <w:sz w:val="20"/>
        </w:rPr>
        <w:fldChar w:fldCharType="end"/>
      </w:r>
      <w:r w:rsidRPr="003D513E">
        <w:rPr>
          <w:b/>
          <w:color w:val="auto"/>
          <w:sz w:val="20"/>
        </w:rPr>
        <w:t xml:space="preserve"> Financial Inputs</w:t>
      </w:r>
      <w:r w:rsidR="00D25FC7" w:rsidRPr="003D513E">
        <w:rPr>
          <w:b/>
          <w:color w:val="auto"/>
          <w:sz w:val="20"/>
        </w:rPr>
        <w:t xml:space="preserve"> </w:t>
      </w:r>
      <w:r w:rsidR="009C0F77" w:rsidRPr="003D513E">
        <w:rPr>
          <w:b/>
          <w:color w:val="auto"/>
          <w:sz w:val="20"/>
        </w:rPr>
        <w:t xml:space="preserve">for </w:t>
      </w:r>
      <w:r w:rsidR="00D25FC7" w:rsidRPr="003D513E">
        <w:rPr>
          <w:b/>
          <w:color w:val="auto"/>
          <w:sz w:val="20"/>
        </w:rPr>
        <w:t>Solution</w:t>
      </w:r>
      <w:bookmarkEnd w:id="45"/>
    </w:p>
    <w:tbl>
      <w:tblPr>
        <w:tblStyle w:val="TableGrid"/>
        <w:tblW w:w="5062" w:type="pct"/>
        <w:jc w:val="center"/>
        <w:tblLook w:val="04A0" w:firstRow="1" w:lastRow="0" w:firstColumn="1" w:lastColumn="0" w:noHBand="0" w:noVBand="1"/>
      </w:tblPr>
      <w:tblGrid>
        <w:gridCol w:w="1976"/>
        <w:gridCol w:w="1439"/>
        <w:gridCol w:w="1865"/>
        <w:gridCol w:w="2276"/>
        <w:gridCol w:w="992"/>
        <w:gridCol w:w="918"/>
      </w:tblGrid>
      <w:tr w:rsidR="00910DE0" w:rsidRPr="00057050" w14:paraId="7E18B658" w14:textId="77777777" w:rsidTr="003D513E">
        <w:trPr>
          <w:cantSplit/>
          <w:trHeight w:val="1163"/>
          <w:tblHeader/>
          <w:jc w:val="center"/>
        </w:trPr>
        <w:tc>
          <w:tcPr>
            <w:tcW w:w="1044"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760"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202"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524"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485"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D513E">
        <w:trPr>
          <w:trHeight w:val="392"/>
          <w:jc w:val="center"/>
        </w:trPr>
        <w:tc>
          <w:tcPr>
            <w:tcW w:w="1044" w:type="pct"/>
            <w:vAlign w:val="center"/>
          </w:tcPr>
          <w:p w14:paraId="48F73B69" w14:textId="13B3DA2E" w:rsidR="00486CBB" w:rsidRPr="00C349C6" w:rsidRDefault="00486CBB" w:rsidP="00486CBB">
            <w:pPr>
              <w:spacing w:after="180"/>
              <w:jc w:val="center"/>
              <w:rPr>
                <w:color w:val="000000" w:themeColor="text1"/>
                <w:sz w:val="20"/>
                <w:szCs w:val="20"/>
              </w:rPr>
            </w:pPr>
            <w:r w:rsidRPr="00C349C6">
              <w:rPr>
                <w:color w:val="000000" w:themeColor="text1"/>
                <w:sz w:val="20"/>
                <w:szCs w:val="20"/>
              </w:rPr>
              <w:t>First costs (Solution)</w:t>
            </w:r>
          </w:p>
        </w:tc>
        <w:tc>
          <w:tcPr>
            <w:tcW w:w="760" w:type="pct"/>
            <w:vAlign w:val="center"/>
          </w:tcPr>
          <w:p w14:paraId="39F98CF2" w14:textId="20483712" w:rsidR="00486CBB" w:rsidRPr="003D513E" w:rsidRDefault="00486CBB">
            <w:pPr>
              <w:spacing w:after="180"/>
              <w:jc w:val="center"/>
              <w:rPr>
                <w:bCs/>
                <w:i/>
                <w:sz w:val="20"/>
                <w:szCs w:val="20"/>
              </w:rPr>
            </w:pPr>
            <w:r w:rsidRPr="00C349C6">
              <w:rPr>
                <w:bCs/>
                <w:i/>
                <w:sz w:val="20"/>
                <w:szCs w:val="20"/>
              </w:rPr>
              <w:t>US$2014/ha</w:t>
            </w:r>
          </w:p>
        </w:tc>
        <w:tc>
          <w:tcPr>
            <w:tcW w:w="985" w:type="pct"/>
            <w:vAlign w:val="center"/>
          </w:tcPr>
          <w:p w14:paraId="0AA3AF19" w14:textId="538359AC" w:rsidR="00486CBB" w:rsidRPr="00C349C6" w:rsidRDefault="00C349C6" w:rsidP="00486CBB">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$198.84 - $2,162.45</w:t>
            </w:r>
          </w:p>
        </w:tc>
        <w:tc>
          <w:tcPr>
            <w:tcW w:w="1202" w:type="pct"/>
            <w:vAlign w:val="center"/>
          </w:tcPr>
          <w:p w14:paraId="448110A6" w14:textId="1C3A330E" w:rsidR="00486CBB" w:rsidRPr="00C349C6" w:rsidRDefault="00C349C6" w:rsidP="00486CBB">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$1,180.65</w:t>
            </w:r>
          </w:p>
        </w:tc>
        <w:tc>
          <w:tcPr>
            <w:tcW w:w="524" w:type="pct"/>
            <w:vAlign w:val="center"/>
          </w:tcPr>
          <w:p w14:paraId="26687D7C" w14:textId="7FC55582" w:rsidR="00486CBB" w:rsidRPr="00C349C6" w:rsidRDefault="00C349C6" w:rsidP="00F501EA">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20</w:t>
            </w:r>
          </w:p>
        </w:tc>
        <w:tc>
          <w:tcPr>
            <w:tcW w:w="485" w:type="pct"/>
            <w:vAlign w:val="center"/>
          </w:tcPr>
          <w:p w14:paraId="11A2B4F9" w14:textId="506E499F" w:rsidR="00486CBB" w:rsidRPr="00C349C6" w:rsidRDefault="00C349C6" w:rsidP="00486CBB">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9</w:t>
            </w:r>
          </w:p>
        </w:tc>
      </w:tr>
      <w:tr w:rsidR="00486CBB" w:rsidRPr="00057050" w14:paraId="7FBD7FC3" w14:textId="77777777" w:rsidTr="003D513E">
        <w:trPr>
          <w:trHeight w:val="906"/>
          <w:jc w:val="center"/>
        </w:trPr>
        <w:tc>
          <w:tcPr>
            <w:tcW w:w="1044" w:type="pct"/>
            <w:vAlign w:val="center"/>
          </w:tcPr>
          <w:p w14:paraId="58BCEFDE" w14:textId="38F2F453" w:rsidR="00486CBB" w:rsidRPr="000A720D" w:rsidRDefault="00486CBB" w:rsidP="00486CBB">
            <w:pPr>
              <w:spacing w:after="180"/>
              <w:jc w:val="center"/>
              <w:rPr>
                <w:color w:val="000000" w:themeColor="text1"/>
                <w:sz w:val="20"/>
                <w:szCs w:val="20"/>
              </w:rPr>
            </w:pPr>
            <w:r w:rsidRPr="000A720D">
              <w:rPr>
                <w:color w:val="000000" w:themeColor="text1"/>
                <w:sz w:val="20"/>
                <w:szCs w:val="20"/>
              </w:rPr>
              <w:t>Net profit (Solution)</w:t>
            </w:r>
          </w:p>
        </w:tc>
        <w:tc>
          <w:tcPr>
            <w:tcW w:w="760" w:type="pct"/>
            <w:vAlign w:val="center"/>
          </w:tcPr>
          <w:p w14:paraId="794FCD2A" w14:textId="0D7562BE" w:rsidR="00486CBB" w:rsidRPr="003D513E" w:rsidRDefault="00486CBB">
            <w:pPr>
              <w:spacing w:after="180"/>
              <w:jc w:val="center"/>
              <w:rPr>
                <w:bCs/>
                <w:i/>
                <w:sz w:val="20"/>
                <w:szCs w:val="20"/>
              </w:rPr>
            </w:pPr>
            <w:r w:rsidRPr="000A720D">
              <w:rPr>
                <w:bCs/>
                <w:i/>
                <w:sz w:val="20"/>
                <w:szCs w:val="20"/>
              </w:rPr>
              <w:t>US$2014/ha</w:t>
            </w:r>
          </w:p>
        </w:tc>
        <w:tc>
          <w:tcPr>
            <w:tcW w:w="985" w:type="pct"/>
            <w:vAlign w:val="center"/>
          </w:tcPr>
          <w:p w14:paraId="4F470140" w14:textId="4A02334A" w:rsidR="00486CBB" w:rsidRPr="000A720D"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Pr="000A4CF6">
              <w:rPr>
                <w:rFonts w:eastAsia="Helvetica,Times New Roman" w:cstheme="minorHAnsi"/>
                <w:color w:val="000000" w:themeColor="text1"/>
                <w:sz w:val="20"/>
                <w:szCs w:val="20"/>
              </w:rPr>
              <w:t>2628.58</w:t>
            </w:r>
            <w:r>
              <w:rPr>
                <w:rFonts w:eastAsia="Helvetica,Times New Roman" w:cstheme="minorHAnsi"/>
                <w:color w:val="000000" w:themeColor="text1"/>
                <w:sz w:val="20"/>
                <w:szCs w:val="20"/>
              </w:rPr>
              <w:t xml:space="preserve"> - $</w:t>
            </w:r>
            <w:r w:rsidRPr="000A4CF6">
              <w:rPr>
                <w:rFonts w:eastAsia="Helvetica,Times New Roman" w:cstheme="minorHAnsi"/>
                <w:color w:val="000000" w:themeColor="text1"/>
                <w:sz w:val="20"/>
                <w:szCs w:val="20"/>
              </w:rPr>
              <w:t>27.74</w:t>
            </w:r>
          </w:p>
        </w:tc>
        <w:tc>
          <w:tcPr>
            <w:tcW w:w="1202" w:type="pct"/>
            <w:vAlign w:val="center"/>
          </w:tcPr>
          <w:p w14:paraId="7207DC06" w14:textId="45A30E69" w:rsidR="00486CBB" w:rsidRPr="000A720D" w:rsidRDefault="000A4CF6" w:rsidP="00486CBB">
            <w:pPr>
              <w:spacing w:after="180"/>
              <w:jc w:val="center"/>
              <w:rPr>
                <w:rFonts w:eastAsia="Helvetica,Times New Roman" w:cstheme="minorHAnsi"/>
                <w:color w:val="000000" w:themeColor="text1"/>
                <w:sz w:val="20"/>
                <w:szCs w:val="20"/>
              </w:rPr>
            </w:pPr>
            <w:r w:rsidRPr="000A4CF6">
              <w:rPr>
                <w:rFonts w:ascii="Times" w:eastAsia="Helvetica Neue" w:hAnsi="Times" w:cs="Helvetica Neue"/>
                <w:color w:val="000000" w:themeColor="text1"/>
              </w:rPr>
              <w:t>$1,152.56</w:t>
            </w:r>
          </w:p>
        </w:tc>
        <w:tc>
          <w:tcPr>
            <w:tcW w:w="524" w:type="pct"/>
            <w:vAlign w:val="center"/>
          </w:tcPr>
          <w:p w14:paraId="3290C1F9" w14:textId="15121299" w:rsidR="00486CBB" w:rsidRPr="000A720D" w:rsidRDefault="000A4CF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w:t>
            </w:r>
          </w:p>
        </w:tc>
        <w:tc>
          <w:tcPr>
            <w:tcW w:w="485" w:type="pct"/>
            <w:vAlign w:val="center"/>
          </w:tcPr>
          <w:p w14:paraId="766E4798" w14:textId="46AADCF6" w:rsidR="00486CBB" w:rsidRPr="000A720D" w:rsidRDefault="00561F0A" w:rsidP="00486CBB">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9</w:t>
            </w:r>
          </w:p>
        </w:tc>
      </w:tr>
      <w:tr w:rsidR="00486CBB" w:rsidRPr="00057050" w14:paraId="56960ECE" w14:textId="77777777" w:rsidTr="003D513E">
        <w:trPr>
          <w:trHeight w:val="634"/>
          <w:jc w:val="center"/>
        </w:trPr>
        <w:tc>
          <w:tcPr>
            <w:tcW w:w="1044" w:type="pct"/>
            <w:vAlign w:val="center"/>
          </w:tcPr>
          <w:p w14:paraId="7C1C0BA0" w14:textId="6F4EF374" w:rsidR="00486CBB" w:rsidRPr="000A720D" w:rsidRDefault="00486CBB" w:rsidP="00486CBB">
            <w:pPr>
              <w:spacing w:after="180"/>
              <w:jc w:val="center"/>
              <w:rPr>
                <w:color w:val="000000" w:themeColor="text1"/>
                <w:sz w:val="20"/>
                <w:szCs w:val="20"/>
              </w:rPr>
            </w:pPr>
            <w:r w:rsidRPr="000A720D">
              <w:rPr>
                <w:color w:val="000000" w:themeColor="text1"/>
                <w:sz w:val="20"/>
                <w:szCs w:val="20"/>
              </w:rPr>
              <w:t>Operating Cost (Solution)</w:t>
            </w:r>
          </w:p>
        </w:tc>
        <w:tc>
          <w:tcPr>
            <w:tcW w:w="760" w:type="pct"/>
            <w:vAlign w:val="center"/>
          </w:tcPr>
          <w:p w14:paraId="18D7B6C5" w14:textId="6B59C526" w:rsidR="00486CBB" w:rsidRPr="003D513E" w:rsidRDefault="00486CBB">
            <w:pPr>
              <w:spacing w:after="180"/>
              <w:jc w:val="center"/>
              <w:rPr>
                <w:bCs/>
                <w:i/>
              </w:rPr>
            </w:pPr>
            <w:r w:rsidRPr="000A720D">
              <w:rPr>
                <w:bCs/>
                <w:i/>
                <w:sz w:val="20"/>
                <w:szCs w:val="20"/>
              </w:rPr>
              <w:t>US$2014/ha</w:t>
            </w:r>
          </w:p>
        </w:tc>
        <w:tc>
          <w:tcPr>
            <w:tcW w:w="985" w:type="pct"/>
            <w:shd w:val="clear" w:color="auto" w:fill="auto"/>
            <w:vAlign w:val="center"/>
          </w:tcPr>
          <w:p w14:paraId="503DB7E2" w14:textId="125011D1" w:rsidR="00486CBB" w:rsidRPr="000A720D" w:rsidRDefault="000A4CF6" w:rsidP="000A4CF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Pr="000A4CF6">
              <w:rPr>
                <w:rFonts w:eastAsia="Helvetica,Times New Roman" w:cstheme="minorHAnsi"/>
                <w:color w:val="000000" w:themeColor="text1"/>
                <w:sz w:val="20"/>
                <w:szCs w:val="20"/>
              </w:rPr>
              <w:t>2085.79</w:t>
            </w:r>
            <w:r>
              <w:rPr>
                <w:rFonts w:eastAsia="Helvetica,Times New Roman" w:cstheme="minorHAnsi"/>
                <w:color w:val="000000" w:themeColor="text1"/>
                <w:sz w:val="20"/>
                <w:szCs w:val="20"/>
              </w:rPr>
              <w:t xml:space="preserve"> - $</w:t>
            </w:r>
            <w:r w:rsidRPr="000A4CF6">
              <w:rPr>
                <w:rFonts w:eastAsia="Helvetica,Times New Roman" w:cstheme="minorHAnsi"/>
                <w:color w:val="000000" w:themeColor="text1"/>
                <w:sz w:val="20"/>
                <w:szCs w:val="20"/>
              </w:rPr>
              <w:t>508.29</w:t>
            </w:r>
          </w:p>
        </w:tc>
        <w:tc>
          <w:tcPr>
            <w:tcW w:w="1202" w:type="pct"/>
            <w:shd w:val="clear" w:color="auto" w:fill="auto"/>
            <w:vAlign w:val="center"/>
          </w:tcPr>
          <w:p w14:paraId="6AC44958" w14:textId="69B890F9" w:rsidR="00486CBB" w:rsidRPr="000A720D" w:rsidRDefault="000A720D" w:rsidP="00486CBB">
            <w:pPr>
              <w:jc w:val="center"/>
              <w:rPr>
                <w:bCs/>
                <w:sz w:val="20"/>
                <w:szCs w:val="20"/>
              </w:rPr>
            </w:pPr>
            <w:r w:rsidRPr="003D513E">
              <w:rPr>
                <w:bCs/>
                <w:sz w:val="20"/>
                <w:szCs w:val="20"/>
              </w:rPr>
              <w:t>$1,034.12</w:t>
            </w:r>
          </w:p>
        </w:tc>
        <w:tc>
          <w:tcPr>
            <w:tcW w:w="524" w:type="pct"/>
            <w:vAlign w:val="center"/>
          </w:tcPr>
          <w:p w14:paraId="073E928F" w14:textId="26C2F95F" w:rsidR="00486CBB" w:rsidRPr="000A720D" w:rsidRDefault="000A720D" w:rsidP="00486CBB">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15</w:t>
            </w:r>
          </w:p>
        </w:tc>
        <w:tc>
          <w:tcPr>
            <w:tcW w:w="485" w:type="pct"/>
            <w:vAlign w:val="center"/>
          </w:tcPr>
          <w:p w14:paraId="0689267C" w14:textId="20E585BC" w:rsidR="00486CBB" w:rsidRPr="000A720D" w:rsidRDefault="000A720D" w:rsidP="00486CBB">
            <w:pPr>
              <w:spacing w:after="180"/>
              <w:jc w:val="center"/>
              <w:rPr>
                <w:rFonts w:eastAsia="Helvetica,Times New Roman" w:cstheme="minorHAnsi"/>
                <w:color w:val="000000" w:themeColor="text1"/>
                <w:sz w:val="20"/>
                <w:szCs w:val="20"/>
              </w:rPr>
            </w:pPr>
            <w:r w:rsidRPr="003D513E">
              <w:rPr>
                <w:rFonts w:eastAsia="Helvetica,Times New Roman" w:cstheme="minorHAnsi"/>
                <w:color w:val="000000" w:themeColor="text1"/>
                <w:sz w:val="20"/>
                <w:szCs w:val="20"/>
              </w:rPr>
              <w:t>8</w:t>
            </w:r>
          </w:p>
        </w:tc>
      </w:tr>
    </w:tbl>
    <w:p w14:paraId="56260956" w14:textId="06434521" w:rsidR="001D17E8" w:rsidRDefault="001D17E8" w:rsidP="00DB4CC8"/>
    <w:p w14:paraId="3F927A96" w14:textId="23EB9532" w:rsidR="00E978D4" w:rsidRDefault="00F73C9C" w:rsidP="00BD7079">
      <w:pPr>
        <w:rPr>
          <w:rFonts w:cstheme="minorHAnsi"/>
          <w:color w:val="000000"/>
        </w:rPr>
      </w:pPr>
      <w:r w:rsidRPr="00A73667">
        <w:rPr>
          <w:rFonts w:cstheme="minorHAnsi"/>
          <w:color w:val="000000"/>
        </w:rPr>
        <w:t xml:space="preserve">Farmers and ranchers transitioning to carbon-friendly practices face a period of reduced income. This reflects an individual learning curve, customization of the system to their farm or ranch, and time for the practice to begin to have in impact on productivity. Meta-analysis of 12 data points from 7 sources shows </w:t>
      </w:r>
      <w:r w:rsidRPr="00A73667">
        <w:rPr>
          <w:rFonts w:cstheme="minorHAnsi"/>
          <w:color w:val="000000"/>
        </w:rPr>
        <w:lastRenderedPageBreak/>
        <w:t xml:space="preserve">that in the case of implementation of </w:t>
      </w:r>
      <w:r w:rsidR="008E5543">
        <w:rPr>
          <w:rFonts w:cstheme="minorHAnsi"/>
          <w:color w:val="000000"/>
        </w:rPr>
        <w:t>silvopasture</w:t>
      </w:r>
      <w:r w:rsidRPr="00A73667">
        <w:rPr>
          <w:rFonts w:cstheme="minorHAnsi"/>
          <w:color w:val="000000"/>
        </w:rPr>
        <w:t>, net profits per hectare do not exceed business-</w:t>
      </w:r>
      <w:r w:rsidRPr="00BE5134">
        <w:rPr>
          <w:rFonts w:cstheme="minorHAnsi"/>
          <w:color w:val="000000"/>
        </w:rPr>
        <w:t>as-usual for 6.1 years. To account for this delay in profitability, the Drawdown model assumes that net</w:t>
      </w:r>
      <w:r w:rsidRPr="00A73667">
        <w:rPr>
          <w:rFonts w:cstheme="minorHAnsi"/>
          <w:color w:val="000000"/>
        </w:rPr>
        <w:t xml:space="preserve"> profit per hectare is </w:t>
      </w:r>
      <w:r w:rsidRPr="00A73667">
        <w:rPr>
          <w:rFonts w:cstheme="minorHAnsi"/>
        </w:rPr>
        <w:t>25</w:t>
      </w:r>
      <w:r w:rsidRPr="00A73667">
        <w:rPr>
          <w:rFonts w:cstheme="minorHAnsi"/>
          <w:color w:val="000000"/>
        </w:rPr>
        <w:t>% of the conventional rate until 6 years have elapsed.</w:t>
      </w:r>
    </w:p>
    <w:p w14:paraId="1FF7125C" w14:textId="2833328F" w:rsidR="004D1553" w:rsidRDefault="004D1553" w:rsidP="004D1553">
      <w:pPr>
        <w:pStyle w:val="Heading3"/>
      </w:pPr>
      <w:bookmarkStart w:id="46" w:name="_Toc18013318"/>
      <w:r>
        <w:t>Other Inputs</w:t>
      </w:r>
      <w:bookmarkEnd w:id="46"/>
    </w:p>
    <w:p w14:paraId="4F2751DE" w14:textId="2AB01991" w:rsidR="00652209" w:rsidRPr="00F501EA" w:rsidRDefault="00652209" w:rsidP="00652209">
      <w:pPr>
        <w:rPr>
          <w:rFonts w:ascii="Times" w:hAnsi="Times"/>
          <w:color w:val="000000" w:themeColor="text1"/>
        </w:rPr>
      </w:pPr>
      <w:r w:rsidRPr="003D513E">
        <w:rPr>
          <w:rFonts w:ascii="Times" w:eastAsia="Helvetica Neue" w:hAnsi="Times" w:cs="Helvetica Neue"/>
          <w:color w:val="000000" w:themeColor="text1"/>
        </w:rPr>
        <w:t xml:space="preserve">Yield gains compared to business-as-usual annual grazing were set at </w:t>
      </w:r>
      <w:r w:rsidR="0061533D" w:rsidRPr="003D513E">
        <w:rPr>
          <w:rFonts w:ascii="Times" w:eastAsia="Helvetica Neue" w:hAnsi="Times" w:cs="Helvetica Neue"/>
          <w:color w:val="000000" w:themeColor="text1"/>
        </w:rPr>
        <w:t>11.1</w:t>
      </w:r>
      <w:r w:rsidRPr="003D513E">
        <w:rPr>
          <w:rFonts w:ascii="Times" w:eastAsia="Helvetica Neue" w:hAnsi="Times" w:cs="Helvetica Neue"/>
          <w:color w:val="000000" w:themeColor="text1"/>
        </w:rPr>
        <w:t xml:space="preserve"> percent, based on meta-analysis of </w:t>
      </w:r>
      <w:r w:rsidR="00E20838" w:rsidRPr="003D513E">
        <w:rPr>
          <w:rFonts w:ascii="Times" w:eastAsia="Helvetica Neue" w:hAnsi="Times" w:cs="Helvetica Neue"/>
          <w:color w:val="000000" w:themeColor="text1"/>
        </w:rPr>
        <w:t>6</w:t>
      </w:r>
      <w:r w:rsidRPr="003D513E">
        <w:rPr>
          <w:rFonts w:ascii="Times" w:eastAsia="Helvetica Neue" w:hAnsi="Times" w:cs="Helvetica Neue"/>
          <w:color w:val="000000" w:themeColor="text1"/>
        </w:rPr>
        <w:t xml:space="preserve"> data points from </w:t>
      </w:r>
      <w:r w:rsidR="00510ADB" w:rsidRPr="003D513E">
        <w:rPr>
          <w:rFonts w:ascii="Times" w:eastAsia="Helvetica Neue" w:hAnsi="Times" w:cs="Helvetica Neue"/>
          <w:color w:val="000000" w:themeColor="text1"/>
        </w:rPr>
        <w:t xml:space="preserve">2 </w:t>
      </w:r>
      <w:r w:rsidRPr="003D513E">
        <w:rPr>
          <w:rFonts w:ascii="Times" w:eastAsia="Helvetica Neue" w:hAnsi="Times" w:cs="Helvetica Neue"/>
          <w:color w:val="000000" w:themeColor="text1"/>
        </w:rPr>
        <w:t>sources.</w:t>
      </w:r>
      <w:r w:rsidR="00510ADB">
        <w:rPr>
          <w:rFonts w:ascii="Times" w:eastAsia="Helvetica Neue" w:hAnsi="Times" w:cs="Helvetica Neue"/>
          <w:color w:val="000000" w:themeColor="text1"/>
        </w:rPr>
        <w:t xml:space="preserve"> </w:t>
      </w:r>
    </w:p>
    <w:p w14:paraId="4E32D218" w14:textId="12B11079" w:rsidR="00B144E5" w:rsidRDefault="00686965" w:rsidP="00387E91">
      <w:pPr>
        <w:pStyle w:val="Heading2"/>
        <w:numPr>
          <w:ilvl w:val="1"/>
          <w:numId w:val="4"/>
        </w:numPr>
      </w:pPr>
      <w:bookmarkStart w:id="47" w:name="_Toc18013319"/>
      <w:r>
        <w:t>Assumptions</w:t>
      </w:r>
      <w:bookmarkEnd w:id="47"/>
    </w:p>
    <w:p w14:paraId="358CF63A" w14:textId="3C27D03C" w:rsidR="00B31C55" w:rsidRPr="003D513E" w:rsidRDefault="00B31C55" w:rsidP="003D513E">
      <w:pPr>
        <w:spacing w:after="240"/>
        <w:rPr>
          <w:b/>
        </w:rPr>
      </w:pPr>
      <w:r w:rsidRPr="00D8238F">
        <w:t>Six overarching assumptions have been made for Project Drawdown models</w:t>
      </w:r>
      <w:r>
        <w:t xml:space="preserve"> to enable the development and integration of individual model solutions: 1) infrastructure required for solution is available and in-place; 2) policies required are already in-place; 3) no carbon price is modeled; 4) all costs accrue at the level of agency </w:t>
      </w:r>
      <w:r w:rsidRPr="005C77F5">
        <w:t>modeled</w:t>
      </w:r>
      <w:r>
        <w:t>; 5)</w:t>
      </w:r>
      <w:r w:rsidRPr="005C77F5">
        <w:t xml:space="preserve"> improvements in technology are not modeled</w:t>
      </w:r>
      <w:r>
        <w:t>; 6)</w:t>
      </w:r>
      <w:r w:rsidRPr="005C77F5">
        <w:t xml:space="preserve"> first costs may change according to learning. Full details of core assumptions and methodology will be available at </w:t>
      </w:r>
      <w:hyperlink r:id="rId15" w:history="1">
        <w:r w:rsidRPr="005C77F5">
          <w:rPr>
            <w:rStyle w:val="Hyperlink"/>
          </w:rPr>
          <w:t>www.drawdown.org</w:t>
        </w:r>
      </w:hyperlink>
      <w:r w:rsidRPr="005C77F5">
        <w:t>. Beyond these core assumptions, there are other important assumptions made for the modeling of this specific solution. These are detailed below</w:t>
      </w:r>
      <w:r>
        <w:t>:</w:t>
      </w:r>
    </w:p>
    <w:p w14:paraId="30996E5B" w14:textId="38BB1856" w:rsidR="00F501EA" w:rsidRPr="001B5B28" w:rsidRDefault="00B31C55" w:rsidP="003D513E">
      <w:pPr>
        <w:rPr>
          <w:rFonts w:ascii="Times" w:hAnsi="Times"/>
          <w:bCs/>
          <w:color w:val="000000" w:themeColor="text1"/>
        </w:rPr>
      </w:pPr>
      <w:r w:rsidRPr="003D513E">
        <w:rPr>
          <w:rFonts w:ascii="Times" w:eastAsia="Calibri" w:hAnsi="Times" w:cs="Calibri"/>
          <w:b/>
          <w:color w:val="000000" w:themeColor="text1"/>
          <w:u w:val="single"/>
        </w:rPr>
        <w:t>Assumption 1:</w:t>
      </w:r>
      <w:r w:rsidR="00F501EA" w:rsidRPr="00B31C55">
        <w:rPr>
          <w:rFonts w:ascii="Times" w:eastAsia="Calibri" w:hAnsi="Times" w:cs="Calibri"/>
          <w:color w:val="000000" w:themeColor="text1"/>
        </w:rPr>
        <w:t xml:space="preserve"> </w:t>
      </w:r>
      <w:r>
        <w:rPr>
          <w:rFonts w:ascii="Times" w:eastAsia="Calibri" w:hAnsi="Times" w:cs="Calibri"/>
          <w:color w:val="000000" w:themeColor="text1"/>
        </w:rPr>
        <w:t>A</w:t>
      </w:r>
      <w:r w:rsidR="00F501EA" w:rsidRPr="001B5B28">
        <w:rPr>
          <w:rFonts w:ascii="Times" w:eastAsia="Calibri" w:hAnsi="Times" w:cs="Calibri"/>
          <w:color w:val="000000" w:themeColor="text1"/>
        </w:rPr>
        <w:t xml:space="preserve">nimal methane emissions </w:t>
      </w:r>
      <w:r>
        <w:rPr>
          <w:rFonts w:ascii="Times" w:eastAsia="Calibri" w:hAnsi="Times" w:cs="Calibri"/>
          <w:color w:val="000000" w:themeColor="text1"/>
        </w:rPr>
        <w:t>in silvopasture systems we</w:t>
      </w:r>
      <w:r w:rsidR="00F501EA" w:rsidRPr="001B5B28">
        <w:rPr>
          <w:rFonts w:ascii="Times" w:eastAsia="Calibri" w:hAnsi="Times" w:cs="Calibri"/>
          <w:color w:val="000000" w:themeColor="text1"/>
        </w:rPr>
        <w:t xml:space="preserve">re </w:t>
      </w:r>
      <w:r>
        <w:rPr>
          <w:rFonts w:ascii="Times" w:eastAsia="Calibri" w:hAnsi="Times" w:cs="Calibri"/>
          <w:color w:val="000000" w:themeColor="text1"/>
        </w:rPr>
        <w:t xml:space="preserve">considered </w:t>
      </w:r>
      <w:r w:rsidR="00F501EA" w:rsidRPr="001B5B28">
        <w:rPr>
          <w:rFonts w:ascii="Times" w:eastAsia="Calibri" w:hAnsi="Times" w:cs="Calibri"/>
          <w:color w:val="000000" w:themeColor="text1"/>
        </w:rPr>
        <w:t xml:space="preserve">a sunk cost </w:t>
      </w:r>
      <w:r>
        <w:rPr>
          <w:rFonts w:ascii="Times" w:eastAsia="Calibri" w:hAnsi="Times" w:cs="Calibri"/>
          <w:color w:val="000000" w:themeColor="text1"/>
        </w:rPr>
        <w:t>and are</w:t>
      </w:r>
      <w:r w:rsidR="00F501EA" w:rsidRPr="001B5B28">
        <w:rPr>
          <w:rFonts w:ascii="Times" w:eastAsia="Calibri" w:hAnsi="Times" w:cs="Calibri"/>
          <w:color w:val="000000" w:themeColor="text1"/>
        </w:rPr>
        <w:t xml:space="preserve"> not account</w:t>
      </w:r>
      <w:r>
        <w:rPr>
          <w:rFonts w:ascii="Times" w:eastAsia="Calibri" w:hAnsi="Times" w:cs="Calibri"/>
          <w:color w:val="000000" w:themeColor="text1"/>
        </w:rPr>
        <w:t>ed</w:t>
      </w:r>
      <w:r w:rsidR="00F501EA" w:rsidRPr="001B5B28">
        <w:rPr>
          <w:rFonts w:ascii="Times" w:eastAsia="Calibri" w:hAnsi="Times" w:cs="Calibri"/>
          <w:color w:val="000000" w:themeColor="text1"/>
        </w:rPr>
        <w:t xml:space="preserve"> for </w:t>
      </w:r>
      <w:r>
        <w:rPr>
          <w:rFonts w:ascii="Times" w:eastAsia="Calibri" w:hAnsi="Times" w:cs="Calibri"/>
          <w:color w:val="000000" w:themeColor="text1"/>
        </w:rPr>
        <w:t>in the Drawdown model</w:t>
      </w:r>
      <w:r w:rsidR="00F501EA" w:rsidRPr="001B5B28">
        <w:rPr>
          <w:rFonts w:ascii="Times" w:eastAsia="Calibri" w:hAnsi="Times" w:cs="Calibri"/>
          <w:color w:val="000000" w:themeColor="text1"/>
        </w:rPr>
        <w:t>. Similarly, possible changes in methane emissions due to changes in forage/fodder or changes in stocking rates</w:t>
      </w:r>
      <w:r>
        <w:rPr>
          <w:rFonts w:ascii="Times" w:eastAsia="Calibri" w:hAnsi="Times" w:cs="Calibri"/>
          <w:color w:val="000000" w:themeColor="text1"/>
        </w:rPr>
        <w:t xml:space="preserve"> are not included in the model</w:t>
      </w:r>
      <w:r w:rsidR="00F501EA" w:rsidRPr="001B5B28">
        <w:rPr>
          <w:rFonts w:ascii="Times" w:eastAsia="Calibri" w:hAnsi="Times" w:cs="Calibri"/>
          <w:color w:val="000000" w:themeColor="text1"/>
        </w:rPr>
        <w:t xml:space="preserve">. </w:t>
      </w:r>
      <w:r>
        <w:rPr>
          <w:rFonts w:ascii="Times" w:eastAsia="Calibri" w:hAnsi="Times" w:cs="Calibri"/>
          <w:color w:val="000000" w:themeColor="text1"/>
        </w:rPr>
        <w:t>As Drawdown assumes that</w:t>
      </w:r>
      <w:r w:rsidR="00F501EA" w:rsidRPr="001B5B28">
        <w:rPr>
          <w:rFonts w:ascii="Times" w:eastAsia="Calibri" w:hAnsi="Times" w:cs="Calibri"/>
          <w:color w:val="000000" w:themeColor="text1"/>
        </w:rPr>
        <w:t xml:space="preserve"> </w:t>
      </w:r>
      <w:r>
        <w:rPr>
          <w:rFonts w:ascii="Times" w:eastAsia="Calibri" w:hAnsi="Times" w:cs="Calibri"/>
          <w:color w:val="000000" w:themeColor="text1"/>
        </w:rPr>
        <w:t>the TLA for the</w:t>
      </w:r>
      <w:r w:rsidR="00F501EA" w:rsidRPr="001B5B28">
        <w:rPr>
          <w:rFonts w:ascii="Times" w:eastAsia="Calibri" w:hAnsi="Times" w:cs="Calibri"/>
          <w:color w:val="000000" w:themeColor="text1"/>
        </w:rPr>
        <w:t xml:space="preserve"> solution </w:t>
      </w:r>
      <w:r>
        <w:rPr>
          <w:rFonts w:ascii="Times" w:eastAsia="Calibri" w:hAnsi="Times" w:cs="Calibri"/>
          <w:color w:val="000000" w:themeColor="text1"/>
        </w:rPr>
        <w:t xml:space="preserve">is already </w:t>
      </w:r>
      <w:r w:rsidR="00F501EA" w:rsidRPr="001B5B28">
        <w:rPr>
          <w:rFonts w:ascii="Times" w:eastAsia="Calibri" w:hAnsi="Times" w:cs="Calibri"/>
          <w:color w:val="000000" w:themeColor="text1"/>
        </w:rPr>
        <w:t>under some kind of grazing management and not another type of land use</w:t>
      </w:r>
      <w:r>
        <w:rPr>
          <w:rFonts w:ascii="Times" w:eastAsia="Calibri" w:hAnsi="Times" w:cs="Calibri"/>
          <w:color w:val="000000" w:themeColor="text1"/>
        </w:rPr>
        <w:t>, the</w:t>
      </w:r>
      <w:r w:rsidR="00F501EA" w:rsidRPr="001B5B28">
        <w:rPr>
          <w:rFonts w:ascii="Times" w:eastAsia="Calibri" w:hAnsi="Times" w:cs="Calibri"/>
          <w:color w:val="000000" w:themeColor="text1"/>
        </w:rPr>
        <w:t xml:space="preserve"> implemen</w:t>
      </w:r>
      <w:r>
        <w:rPr>
          <w:rFonts w:ascii="Times" w:eastAsia="Calibri" w:hAnsi="Times" w:cs="Calibri"/>
          <w:color w:val="000000" w:themeColor="text1"/>
        </w:rPr>
        <w:t>tation of</w:t>
      </w:r>
      <w:r w:rsidR="00F501EA" w:rsidRPr="001B5B28">
        <w:rPr>
          <w:rFonts w:ascii="Times" w:eastAsia="Calibri" w:hAnsi="Times" w:cs="Calibri"/>
          <w:color w:val="000000" w:themeColor="text1"/>
        </w:rPr>
        <w:t xml:space="preserve"> silvopasture would not necessarily change animal emissions unless stocking rates or per head emissions factors also changed. </w:t>
      </w:r>
      <w:r>
        <w:rPr>
          <w:rFonts w:ascii="Times" w:eastAsia="Calibri" w:hAnsi="Times" w:cs="Calibri"/>
          <w:color w:val="000000" w:themeColor="text1"/>
        </w:rPr>
        <w:t>No</w:t>
      </w:r>
      <w:r w:rsidR="00F501EA" w:rsidRPr="001B5B28">
        <w:rPr>
          <w:rFonts w:ascii="Times" w:eastAsia="Calibri" w:hAnsi="Times" w:cs="Calibri"/>
          <w:color w:val="000000" w:themeColor="text1"/>
        </w:rPr>
        <w:t xml:space="preserve"> evidence for those types of changes </w:t>
      </w:r>
      <w:r>
        <w:rPr>
          <w:rFonts w:ascii="Times" w:eastAsia="Calibri" w:hAnsi="Times" w:cs="Calibri"/>
          <w:color w:val="000000" w:themeColor="text1"/>
        </w:rPr>
        <w:t xml:space="preserve">was found </w:t>
      </w:r>
      <w:r w:rsidR="00F501EA" w:rsidRPr="001B5B28">
        <w:rPr>
          <w:rFonts w:ascii="Times" w:eastAsia="Calibri" w:hAnsi="Times" w:cs="Calibri"/>
          <w:color w:val="000000" w:themeColor="text1"/>
        </w:rPr>
        <w:t>in the literature.</w:t>
      </w:r>
    </w:p>
    <w:p w14:paraId="5D59AD4E" w14:textId="410E4031" w:rsidR="00C15903" w:rsidRPr="003D513E" w:rsidRDefault="00B31C55" w:rsidP="003D513E">
      <w:pPr>
        <w:rPr>
          <w:rFonts w:ascii="Times" w:eastAsia="Calibri" w:hAnsi="Times" w:cs="Calibri"/>
          <w:color w:val="000000" w:themeColor="text1"/>
        </w:rPr>
      </w:pPr>
      <w:r w:rsidRPr="00CA7BF1">
        <w:rPr>
          <w:rFonts w:ascii="Times" w:eastAsia="Calibri" w:hAnsi="Times" w:cs="Calibri"/>
          <w:b/>
          <w:color w:val="000000" w:themeColor="text1"/>
          <w:u w:val="single"/>
        </w:rPr>
        <w:t xml:space="preserve">Assumption </w:t>
      </w:r>
      <w:r>
        <w:rPr>
          <w:rFonts w:ascii="Times" w:eastAsia="Calibri" w:hAnsi="Times" w:cs="Calibri"/>
          <w:b/>
          <w:color w:val="000000" w:themeColor="text1"/>
          <w:u w:val="single"/>
        </w:rPr>
        <w:t>2</w:t>
      </w:r>
      <w:r w:rsidRPr="00CA7BF1">
        <w:rPr>
          <w:rFonts w:ascii="Times" w:eastAsia="Calibri" w:hAnsi="Times" w:cs="Calibri"/>
          <w:b/>
          <w:color w:val="000000" w:themeColor="text1"/>
          <w:u w:val="single"/>
        </w:rPr>
        <w:t>:</w:t>
      </w:r>
      <w:r w:rsidRPr="00CA7BF1">
        <w:rPr>
          <w:rFonts w:ascii="Times" w:eastAsia="Calibri" w:hAnsi="Times" w:cs="Calibri"/>
          <w:color w:val="000000" w:themeColor="text1"/>
        </w:rPr>
        <w:t xml:space="preserve"> </w:t>
      </w:r>
      <w:r>
        <w:rPr>
          <w:rFonts w:ascii="Times" w:eastAsia="Calibri" w:hAnsi="Times" w:cs="Calibri"/>
          <w:color w:val="000000" w:themeColor="text1"/>
        </w:rPr>
        <w:t>A</w:t>
      </w:r>
      <w:r w:rsidR="00051138">
        <w:rPr>
          <w:rFonts w:ascii="Times" w:eastAsia="Calibri" w:hAnsi="Times" w:cs="Calibri"/>
          <w:color w:val="000000" w:themeColor="text1"/>
        </w:rPr>
        <w:t xml:space="preserve">lthough </w:t>
      </w:r>
      <w:r w:rsidR="00051138" w:rsidRPr="00CA7BF1">
        <w:rPr>
          <w:rFonts w:ascii="Times" w:eastAsia="Calibri" w:hAnsi="Times" w:cs="Calibri"/>
          <w:color w:val="000000" w:themeColor="text1"/>
        </w:rPr>
        <w:t>silvopastoral systems</w:t>
      </w:r>
      <w:r w:rsidR="00051138">
        <w:rPr>
          <w:rFonts w:ascii="Times" w:eastAsia="Calibri" w:hAnsi="Times" w:cs="Calibri"/>
          <w:color w:val="000000" w:themeColor="text1"/>
        </w:rPr>
        <w:t xml:space="preserve"> </w:t>
      </w:r>
      <w:r w:rsidR="00051138" w:rsidRPr="00CA7BF1">
        <w:rPr>
          <w:rFonts w:ascii="Times" w:eastAsia="Calibri" w:hAnsi="Times" w:cs="Calibri"/>
          <w:color w:val="000000" w:themeColor="text1"/>
        </w:rPr>
        <w:t>have longer productive periods than conventional</w:t>
      </w:r>
      <w:r w:rsidR="00051138">
        <w:rPr>
          <w:rFonts w:ascii="Times" w:eastAsia="Calibri" w:hAnsi="Times" w:cs="Calibri"/>
          <w:color w:val="000000" w:themeColor="text1"/>
        </w:rPr>
        <w:t xml:space="preserve"> pastures, and therefore might reduce</w:t>
      </w:r>
      <w:r w:rsidR="00051138" w:rsidRPr="00CA7BF1">
        <w:rPr>
          <w:rFonts w:ascii="Times" w:eastAsia="Calibri" w:hAnsi="Times" w:cs="Calibri"/>
          <w:color w:val="000000" w:themeColor="text1"/>
        </w:rPr>
        <w:t xml:space="preserve"> deforestation at forest-agriculture frontiers</w:t>
      </w:r>
      <w:r w:rsidR="003F0085">
        <w:rPr>
          <w:rFonts w:ascii="Times" w:eastAsia="Calibri" w:hAnsi="Times" w:cs="Calibri"/>
          <w:color w:val="000000" w:themeColor="text1"/>
        </w:rPr>
        <w:t xml:space="preserve"> </w:t>
      </w:r>
      <w:r w:rsidR="003F0085">
        <w:rPr>
          <w:rFonts w:ascii="Times" w:eastAsia="Calibri" w:hAnsi="Times" w:cs="Calibri"/>
          <w:color w:val="000000" w:themeColor="text1"/>
        </w:rPr>
        <w:fldChar w:fldCharType="begin"/>
      </w:r>
      <w:r w:rsidR="003F0085">
        <w:rPr>
          <w:rFonts w:ascii="Times" w:eastAsia="Calibri" w:hAnsi="Times" w:cs="Calibri"/>
          <w:color w:val="000000" w:themeColor="text1"/>
        </w:rPr>
        <w:instrText xml:space="preserve"> ADDIN ZOTERO_ITEM CSL_CITATION {"citationID":"uiUzRB44","properties":{"formattedCitation":"(Yamamoto et al., 2007)","plainCitation":"(Yamamoto et al., 2007)","noteIndex":0},"citationItems":[{"id":1099,"uris":["http://zotero.org/groups/2241939/items/83CR4PRR"],"uri":["http://zotero.org/groups/2241939/items/83CR4PRR"],"itemData":{"id":1099,"type":"article-journal","title":"Effects of silvopastoral areas on milk production at dual-purpose cattle farms at the semi-humid old agricultural frontier in central Nicaragua","container-title":"Agricultural Systems","page":"368-375","volume":"94","issue":"2","source":"ScienceDirect","abstract":"In extensive cattle production systems, the composition of grazing areas may significantly influence productivity. In dual-purpose cattle production systems in the lowland tropics, pasture lands with trees, so-called silvopastoral areas, are considered as being important, particularly to facilitate the management of crossbred European native cattle. The aim of the study was to quantify the effects of silvopastoral areas on production at dual-purpose cattle farms in the semi-humid lowlands of central Nicaragua. The relationships between seasonal milk production and herd data, and the proportions of land use types were examined for 74 farms by stepwise regression analysis.\n\nThe results showed significant positive effects on saleable milk production of areas of degraded pasture (DGPS) (P &amp;lt; 0.001), natural and cultivated pastures with moderate tree density (MTCP and MTNP) (P &amp;lt; 0.05), and cultivated pasture with low tree density (LTCP). However, negative effects of land use types under natural pasture with low tree density (LTNP) (P &amp;lt; 0.01) was also observed, suggesting that on smaller farms, high stocking rates resulted in overgrazing. Analysis by season confirmed the positive effects of DGPS on saleable milk production at the end of the dry season (P &amp;lt; 0.01), and of MTNP at the beginning of the wet season (P &amp;lt; 0.05). This suggests that degraded pasture may be important as a source of cattle feed at the end of the dry season whilst MTNP are particularly important at the beginning of the wet season. The area of Brachiaria brizantha had positive effects on saleable milk production at the end of the dry season (P &amp;lt; 0.01), suggesting that the use of this species is an important option for farmers.\n\nThe study concluded that silvopastoral systems for dual-purpose cattle production developed in the study area by maintaining useful naturally regenerated trees in grazing areas with relatively low stocking rates and limited amounts of supplemental fodder. Increases in the meat:milk price ratio is likely to reduce tree cover. Further studies are recommended on broadleaf plants in the grazing areas and their nutritional values in the dry season, the feasibility of increasing the availability of supplemental fodder for milk production in the dry season, and the impact of land use types on seasonal grazing decisions.","DOI":"10.1016/j.agsy.2006.10.011","ISSN":"0308-521X","journalAbbreviation":"Agricultural Systems","author":[{"family":"Yamamoto","given":"Wataru"},{"family":"Dewi","given":"Ioan Ap"},{"family":"Ibrahim","given":"Muhammad"}],"issued":{"date-parts":[["2007",5]]}}}],"schema":"https://github.com/citation-style-language/schema/raw/master/csl-citation.json"} </w:instrText>
      </w:r>
      <w:r w:rsidR="003F0085">
        <w:rPr>
          <w:rFonts w:ascii="Times" w:eastAsia="Calibri" w:hAnsi="Times" w:cs="Calibri"/>
          <w:color w:val="000000" w:themeColor="text1"/>
        </w:rPr>
        <w:fldChar w:fldCharType="separate"/>
      </w:r>
      <w:r w:rsidR="003F0085" w:rsidRPr="003F0085">
        <w:rPr>
          <w:rFonts w:ascii="Times" w:hAnsi="Times" w:cs="Times"/>
        </w:rPr>
        <w:t>(Yamamoto et al., 2007)</w:t>
      </w:r>
      <w:r w:rsidR="003F0085">
        <w:rPr>
          <w:rFonts w:ascii="Times" w:eastAsia="Calibri" w:hAnsi="Times" w:cs="Calibri"/>
          <w:color w:val="000000" w:themeColor="text1"/>
        </w:rPr>
        <w:fldChar w:fldCharType="end"/>
      </w:r>
      <w:r w:rsidR="00051138">
        <w:rPr>
          <w:rFonts w:ascii="Times" w:eastAsia="Calibri" w:hAnsi="Times" w:cs="Calibri"/>
          <w:color w:val="000000" w:themeColor="text1"/>
        </w:rPr>
        <w:t>, a</w:t>
      </w:r>
      <w:r w:rsidR="00C15903" w:rsidRPr="00B31C55">
        <w:rPr>
          <w:rFonts w:ascii="Times" w:eastAsia="Calibri" w:hAnsi="Times" w:cs="Calibri"/>
          <w:color w:val="000000" w:themeColor="text1"/>
        </w:rPr>
        <w:t xml:space="preserve">voided emissions due to avoided deforestation </w:t>
      </w:r>
      <w:r>
        <w:rPr>
          <w:rFonts w:ascii="Times" w:eastAsia="Calibri" w:hAnsi="Times" w:cs="Calibri"/>
          <w:color w:val="000000" w:themeColor="text1"/>
        </w:rPr>
        <w:t>are not included in the model</w:t>
      </w:r>
      <w:r w:rsidR="00051138">
        <w:rPr>
          <w:rFonts w:ascii="Times" w:eastAsia="Calibri" w:hAnsi="Times" w:cs="Calibri"/>
          <w:color w:val="000000" w:themeColor="text1"/>
        </w:rPr>
        <w:t>.</w:t>
      </w:r>
      <w:r>
        <w:rPr>
          <w:rFonts w:ascii="Times" w:eastAsia="Calibri" w:hAnsi="Times" w:cs="Calibri"/>
          <w:color w:val="000000" w:themeColor="text1"/>
        </w:rPr>
        <w:t xml:space="preserve"> </w:t>
      </w:r>
      <w:r w:rsidR="00051138">
        <w:rPr>
          <w:rFonts w:ascii="Times" w:eastAsia="Calibri" w:hAnsi="Times" w:cs="Calibri"/>
          <w:color w:val="000000" w:themeColor="text1"/>
        </w:rPr>
        <w:t>While t</w:t>
      </w:r>
      <w:r w:rsidR="00C15903" w:rsidRPr="00B31C55">
        <w:rPr>
          <w:rFonts w:ascii="Times" w:eastAsia="Calibri" w:hAnsi="Times" w:cs="Calibri"/>
          <w:color w:val="000000" w:themeColor="text1"/>
        </w:rPr>
        <w:t xml:space="preserve">his dynamic might increase the climate mitigation capacity of silvopasture, </w:t>
      </w:r>
      <w:r w:rsidR="00051138" w:rsidRPr="00B31C55">
        <w:rPr>
          <w:rFonts w:ascii="Times" w:eastAsia="Calibri" w:hAnsi="Times" w:cs="Calibri"/>
          <w:color w:val="000000" w:themeColor="text1"/>
        </w:rPr>
        <w:t>it</w:t>
      </w:r>
      <w:r w:rsidR="00051138">
        <w:rPr>
          <w:rFonts w:ascii="Times" w:eastAsia="Calibri" w:hAnsi="Times" w:cs="Calibri"/>
          <w:color w:val="000000" w:themeColor="text1"/>
        </w:rPr>
        <w:t xml:space="preserve"> is</w:t>
      </w:r>
      <w:r w:rsidR="00051138" w:rsidRPr="00B31C55">
        <w:rPr>
          <w:rFonts w:ascii="Times" w:eastAsia="Calibri" w:hAnsi="Times" w:cs="Calibri"/>
          <w:color w:val="000000" w:themeColor="text1"/>
        </w:rPr>
        <w:t xml:space="preserve"> </w:t>
      </w:r>
      <w:r w:rsidR="00C15903" w:rsidRPr="00B31C55">
        <w:rPr>
          <w:rFonts w:ascii="Times" w:eastAsia="Calibri" w:hAnsi="Times" w:cs="Calibri"/>
          <w:color w:val="000000" w:themeColor="text1"/>
        </w:rPr>
        <w:t xml:space="preserve">contingent on human behavior/decisions in such situations. </w:t>
      </w:r>
    </w:p>
    <w:p w14:paraId="2EA83460" w14:textId="16EC1303" w:rsidR="008B51BA" w:rsidRPr="003D513E" w:rsidRDefault="00264F1A" w:rsidP="003D513E">
      <w:pPr>
        <w:rPr>
          <w:rFonts w:ascii="Times" w:eastAsia="Calibri" w:hAnsi="Times" w:cs="Calibri"/>
          <w:color w:val="000000" w:themeColor="text1"/>
        </w:rPr>
      </w:pPr>
      <w:r w:rsidRPr="00CA7BF1">
        <w:rPr>
          <w:rFonts w:ascii="Times" w:eastAsia="Calibri" w:hAnsi="Times" w:cs="Calibri"/>
          <w:b/>
          <w:color w:val="000000" w:themeColor="text1"/>
          <w:u w:val="single"/>
        </w:rPr>
        <w:t xml:space="preserve">Assumption </w:t>
      </w:r>
      <w:r>
        <w:rPr>
          <w:rFonts w:ascii="Times" w:eastAsia="Calibri" w:hAnsi="Times" w:cs="Calibri"/>
          <w:b/>
          <w:color w:val="000000" w:themeColor="text1"/>
          <w:u w:val="single"/>
        </w:rPr>
        <w:t>3</w:t>
      </w:r>
      <w:r w:rsidRPr="00CA7BF1">
        <w:rPr>
          <w:rFonts w:ascii="Times" w:eastAsia="Calibri" w:hAnsi="Times" w:cs="Calibri"/>
          <w:b/>
          <w:color w:val="000000" w:themeColor="text1"/>
          <w:u w:val="single"/>
        </w:rPr>
        <w:t>:</w:t>
      </w:r>
      <w:r w:rsidRPr="00CA7BF1">
        <w:rPr>
          <w:rFonts w:ascii="Times" w:eastAsia="Calibri" w:hAnsi="Times" w:cs="Calibri"/>
          <w:color w:val="000000" w:themeColor="text1"/>
        </w:rPr>
        <w:t xml:space="preserve"> </w:t>
      </w:r>
      <w:r>
        <w:rPr>
          <w:rFonts w:ascii="Times" w:eastAsia="Calibri" w:hAnsi="Times" w:cs="Calibri"/>
          <w:color w:val="000000" w:themeColor="text1"/>
        </w:rPr>
        <w:t>Drawdown models assume that silvopastures</w:t>
      </w:r>
      <w:r w:rsidR="008B51BA" w:rsidRPr="00264F1A">
        <w:rPr>
          <w:rFonts w:ascii="Times" w:eastAsia="Calibri" w:hAnsi="Times" w:cs="Calibri"/>
          <w:color w:val="000000" w:themeColor="text1"/>
        </w:rPr>
        <w:t xml:space="preserve"> do not reach a carbon saturation point within the 30-year time period modeled.</w:t>
      </w:r>
      <w:r w:rsidR="008B51BA" w:rsidRPr="003D513E">
        <w:rPr>
          <w:rFonts w:ascii="Times" w:eastAsia="Calibri" w:hAnsi="Times" w:cs="Calibri"/>
          <w:color w:val="000000" w:themeColor="text1"/>
        </w:rPr>
        <w:t xml:space="preserve"> </w:t>
      </w:r>
      <w:r w:rsidR="008B51BA" w:rsidRPr="00264F1A">
        <w:rPr>
          <w:rFonts w:ascii="Times" w:eastAsia="Calibri" w:hAnsi="Times" w:cs="Calibri"/>
          <w:color w:val="000000" w:themeColor="text1"/>
        </w:rPr>
        <w:t xml:space="preserve">It is likely that the carbon sequestration rate of silvopasture systems will decrease over time and begin to approach zero – possibly within the 30 years. However, given the constraints of our model and a lack of data on time to carbon saturation in </w:t>
      </w:r>
      <w:r>
        <w:rPr>
          <w:rFonts w:ascii="Times" w:eastAsia="Calibri" w:hAnsi="Times" w:cs="Calibri"/>
          <w:color w:val="000000" w:themeColor="text1"/>
        </w:rPr>
        <w:t>reviewed literature</w:t>
      </w:r>
      <w:r w:rsidR="008B51BA" w:rsidRPr="00264F1A">
        <w:rPr>
          <w:rFonts w:ascii="Times" w:eastAsia="Calibri" w:hAnsi="Times" w:cs="Calibri"/>
          <w:color w:val="000000" w:themeColor="text1"/>
        </w:rPr>
        <w:t xml:space="preserve">, sequestration rates </w:t>
      </w:r>
      <w:r w:rsidR="004258F6">
        <w:rPr>
          <w:rFonts w:ascii="Times" w:eastAsia="Calibri" w:hAnsi="Times" w:cs="Calibri"/>
          <w:color w:val="000000" w:themeColor="text1"/>
        </w:rPr>
        <w:t xml:space="preserve">are assumed to </w:t>
      </w:r>
      <w:r w:rsidR="008B51BA" w:rsidRPr="00264F1A">
        <w:rPr>
          <w:rFonts w:ascii="Times" w:eastAsia="Calibri" w:hAnsi="Times" w:cs="Calibri"/>
          <w:color w:val="000000" w:themeColor="text1"/>
        </w:rPr>
        <w:t xml:space="preserve">remain relatively constant over 30 years. Saturation is difficult to model as </w:t>
      </w:r>
      <w:r w:rsidR="004258F6">
        <w:rPr>
          <w:rFonts w:ascii="Times" w:eastAsia="Calibri" w:hAnsi="Times" w:cs="Calibri"/>
          <w:color w:val="000000" w:themeColor="text1"/>
        </w:rPr>
        <w:t xml:space="preserve">reported </w:t>
      </w:r>
      <w:r w:rsidR="008B51BA" w:rsidRPr="00264F1A">
        <w:rPr>
          <w:rFonts w:ascii="Times" w:eastAsia="Calibri" w:hAnsi="Times" w:cs="Calibri"/>
          <w:color w:val="000000" w:themeColor="text1"/>
        </w:rPr>
        <w:t>rates range widely from 10-50 years</w:t>
      </w:r>
      <w:r w:rsidR="003F0085">
        <w:rPr>
          <w:rFonts w:ascii="Times" w:eastAsia="Calibri" w:hAnsi="Times" w:cs="Calibri"/>
          <w:color w:val="000000" w:themeColor="text1"/>
        </w:rPr>
        <w:t xml:space="preserve"> </w:t>
      </w:r>
      <w:r w:rsidR="003F0085">
        <w:rPr>
          <w:rFonts w:ascii="Times" w:eastAsia="Calibri" w:hAnsi="Times" w:cs="Calibri"/>
          <w:color w:val="000000" w:themeColor="text1"/>
        </w:rPr>
        <w:fldChar w:fldCharType="begin"/>
      </w:r>
      <w:r w:rsidR="003F0085">
        <w:rPr>
          <w:rFonts w:ascii="Times" w:eastAsia="Calibri" w:hAnsi="Times" w:cs="Calibri"/>
          <w:color w:val="000000" w:themeColor="text1"/>
        </w:rPr>
        <w:instrText xml:space="preserve"> ADDIN ZOTERO_ITEM CSL_CITATION {"citationID":"pwtZH8K4","properties":{"formattedCitation":"(Toensmeier,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3F0085">
        <w:rPr>
          <w:rFonts w:ascii="Times" w:eastAsia="Calibri" w:hAnsi="Times" w:cs="Calibri"/>
          <w:color w:val="000000" w:themeColor="text1"/>
        </w:rPr>
        <w:fldChar w:fldCharType="separate"/>
      </w:r>
      <w:r w:rsidR="003F0085" w:rsidRPr="003F0085">
        <w:rPr>
          <w:rFonts w:ascii="Times" w:hAnsi="Times" w:cs="Times"/>
        </w:rPr>
        <w:t>(Toensmeier, 2016)</w:t>
      </w:r>
      <w:r w:rsidR="003F0085">
        <w:rPr>
          <w:rFonts w:ascii="Times" w:eastAsia="Calibri" w:hAnsi="Times" w:cs="Calibri"/>
          <w:color w:val="000000" w:themeColor="text1"/>
        </w:rPr>
        <w:fldChar w:fldCharType="end"/>
      </w:r>
      <w:r w:rsidR="008B51BA" w:rsidRPr="00264F1A">
        <w:rPr>
          <w:rFonts w:ascii="Times" w:eastAsia="Calibri" w:hAnsi="Times" w:cs="Calibri"/>
          <w:color w:val="000000" w:themeColor="text1"/>
        </w:rPr>
        <w:t xml:space="preserve">. </w:t>
      </w:r>
      <w:r w:rsidR="004258F6">
        <w:rPr>
          <w:rFonts w:ascii="Times" w:eastAsia="Calibri" w:hAnsi="Times" w:cs="Calibri"/>
          <w:color w:val="000000" w:themeColor="text1"/>
        </w:rPr>
        <w:t xml:space="preserve">Drawdown models </w:t>
      </w:r>
      <w:r w:rsidR="008B51BA" w:rsidRPr="00264F1A">
        <w:rPr>
          <w:rFonts w:ascii="Times" w:eastAsia="Calibri" w:hAnsi="Times" w:cs="Calibri"/>
          <w:color w:val="000000" w:themeColor="text1"/>
        </w:rPr>
        <w:t xml:space="preserve">account for this by excluding </w:t>
      </w:r>
      <w:r w:rsidR="008B51BA" w:rsidRPr="00264F1A">
        <w:rPr>
          <w:rFonts w:ascii="Times" w:eastAsia="Calibri" w:hAnsi="Times" w:cs="Calibri"/>
          <w:color w:val="000000" w:themeColor="text1"/>
        </w:rPr>
        <w:lastRenderedPageBreak/>
        <w:t xml:space="preserve">sequestration from silvopastures established before 2020, and </w:t>
      </w:r>
      <w:r w:rsidR="002671E8">
        <w:rPr>
          <w:rFonts w:ascii="Times" w:eastAsia="Calibri" w:hAnsi="Times" w:cs="Calibri"/>
          <w:color w:val="000000" w:themeColor="text1"/>
        </w:rPr>
        <w:t xml:space="preserve">by further </w:t>
      </w:r>
      <w:r w:rsidR="008B51BA" w:rsidRPr="00264F1A">
        <w:rPr>
          <w:rFonts w:ascii="Times" w:eastAsia="Calibri" w:hAnsi="Times" w:cs="Calibri"/>
          <w:color w:val="000000" w:themeColor="text1"/>
        </w:rPr>
        <w:t>assuming that sequestration will continue up to 30 years from newly-planted silvopastures.</w:t>
      </w:r>
    </w:p>
    <w:p w14:paraId="4AA2A5C7" w14:textId="5AFB48C8" w:rsidR="00EF432C" w:rsidRPr="003D513E" w:rsidRDefault="005129CD" w:rsidP="003D513E">
      <w:pPr>
        <w:rPr>
          <w:rFonts w:ascii="Times" w:eastAsia="Calibri" w:hAnsi="Times" w:cs="Calibri"/>
          <w:color w:val="000000" w:themeColor="text1"/>
        </w:rPr>
      </w:pPr>
      <w:r w:rsidRPr="00CA7BF1">
        <w:rPr>
          <w:rFonts w:ascii="Times" w:eastAsia="Calibri" w:hAnsi="Times" w:cs="Calibri"/>
          <w:b/>
          <w:color w:val="000000" w:themeColor="text1"/>
          <w:u w:val="single"/>
        </w:rPr>
        <w:t xml:space="preserve">Assumption </w:t>
      </w:r>
      <w:r>
        <w:rPr>
          <w:rFonts w:ascii="Times" w:eastAsia="Calibri" w:hAnsi="Times" w:cs="Calibri"/>
          <w:b/>
          <w:color w:val="000000" w:themeColor="text1"/>
          <w:u w:val="single"/>
        </w:rPr>
        <w:t>4</w:t>
      </w:r>
      <w:r w:rsidRPr="00CA7BF1">
        <w:rPr>
          <w:rFonts w:ascii="Times" w:eastAsia="Calibri" w:hAnsi="Times" w:cs="Calibri"/>
          <w:b/>
          <w:color w:val="000000" w:themeColor="text1"/>
          <w:u w:val="single"/>
        </w:rPr>
        <w:t>:</w:t>
      </w:r>
      <w:r w:rsidRPr="00CA7BF1">
        <w:rPr>
          <w:rFonts w:ascii="Times" w:eastAsia="Calibri" w:hAnsi="Times" w:cs="Calibri"/>
          <w:color w:val="000000" w:themeColor="text1"/>
        </w:rPr>
        <w:t xml:space="preserve"> </w:t>
      </w:r>
      <w:r w:rsidR="00D834B2">
        <w:rPr>
          <w:rFonts w:ascii="Times" w:eastAsia="Calibri" w:hAnsi="Times" w:cs="Calibri"/>
          <w:color w:val="000000" w:themeColor="text1"/>
        </w:rPr>
        <w:t>S</w:t>
      </w:r>
      <w:r w:rsidR="00EF432C" w:rsidRPr="005129CD">
        <w:rPr>
          <w:rFonts w:ascii="Times" w:eastAsia="Calibri" w:hAnsi="Times" w:cs="Calibri"/>
          <w:color w:val="000000" w:themeColor="text1"/>
        </w:rPr>
        <w:t>ilvopasture</w:t>
      </w:r>
      <w:r w:rsidR="00D834B2">
        <w:rPr>
          <w:rFonts w:ascii="Times" w:eastAsia="Calibri" w:hAnsi="Times" w:cs="Calibri"/>
          <w:color w:val="000000" w:themeColor="text1"/>
        </w:rPr>
        <w:t>s</w:t>
      </w:r>
      <w:r w:rsidR="00EF432C" w:rsidRPr="005129CD">
        <w:rPr>
          <w:rFonts w:ascii="Times" w:eastAsia="Calibri" w:hAnsi="Times" w:cs="Calibri"/>
          <w:color w:val="000000" w:themeColor="text1"/>
        </w:rPr>
        <w:t xml:space="preserve"> </w:t>
      </w:r>
      <w:r w:rsidR="00D834B2">
        <w:rPr>
          <w:rFonts w:ascii="Times" w:eastAsia="Calibri" w:hAnsi="Times" w:cs="Calibri"/>
          <w:color w:val="000000" w:themeColor="text1"/>
        </w:rPr>
        <w:t>are not assumed to</w:t>
      </w:r>
      <w:r w:rsidR="00EF432C" w:rsidRPr="005129CD">
        <w:rPr>
          <w:rFonts w:ascii="Times" w:eastAsia="Calibri" w:hAnsi="Times" w:cs="Calibri"/>
          <w:color w:val="000000" w:themeColor="text1"/>
        </w:rPr>
        <w:t xml:space="preserve"> </w:t>
      </w:r>
      <w:r w:rsidR="00D834B2">
        <w:rPr>
          <w:rFonts w:ascii="Times" w:eastAsia="Calibri" w:hAnsi="Times" w:cs="Calibri"/>
          <w:color w:val="000000" w:themeColor="text1"/>
        </w:rPr>
        <w:t>impact</w:t>
      </w:r>
      <w:r w:rsidR="00D834B2" w:rsidRPr="005129CD">
        <w:rPr>
          <w:rFonts w:ascii="Times" w:eastAsia="Calibri" w:hAnsi="Times" w:cs="Calibri"/>
          <w:color w:val="000000" w:themeColor="text1"/>
        </w:rPr>
        <w:t xml:space="preserve"> </w:t>
      </w:r>
      <w:r w:rsidR="00EF432C" w:rsidRPr="005129CD">
        <w:rPr>
          <w:rFonts w:ascii="Times" w:eastAsia="Calibri" w:hAnsi="Times" w:cs="Calibri"/>
          <w:color w:val="000000" w:themeColor="text1"/>
        </w:rPr>
        <w:t xml:space="preserve">the total ecosystem respiration of </w:t>
      </w:r>
      <w:r w:rsidR="00D834B2">
        <w:rPr>
          <w:rFonts w:ascii="Times" w:eastAsia="Calibri" w:hAnsi="Times" w:cs="Calibri"/>
          <w:color w:val="000000" w:themeColor="text1"/>
        </w:rPr>
        <w:t>greenhouse gase</w:t>
      </w:r>
      <w:r w:rsidR="00D834B2" w:rsidRPr="005129CD">
        <w:rPr>
          <w:rFonts w:ascii="Times" w:eastAsia="Calibri" w:hAnsi="Times" w:cs="Calibri"/>
          <w:color w:val="000000" w:themeColor="text1"/>
        </w:rPr>
        <w:t>s</w:t>
      </w:r>
      <w:r w:rsidR="00D834B2">
        <w:rPr>
          <w:rFonts w:ascii="Times" w:eastAsia="Calibri" w:hAnsi="Times" w:cs="Calibri"/>
          <w:color w:val="000000" w:themeColor="text1"/>
        </w:rPr>
        <w:t xml:space="preserve"> (GHGs)</w:t>
      </w:r>
      <w:r w:rsidR="00EF432C" w:rsidRPr="005129CD">
        <w:rPr>
          <w:rFonts w:ascii="Times" w:eastAsia="Calibri" w:hAnsi="Times" w:cs="Calibri"/>
          <w:color w:val="000000" w:themeColor="text1"/>
        </w:rPr>
        <w:t>. Similar to Assumption 3, it is very possible that planting trees would alter t</w:t>
      </w:r>
      <w:r w:rsidR="00850EF3">
        <w:rPr>
          <w:rFonts w:ascii="Times" w:eastAsia="Calibri" w:hAnsi="Times" w:cs="Calibri"/>
          <w:color w:val="000000" w:themeColor="text1"/>
        </w:rPr>
        <w:t>otal</w:t>
      </w:r>
      <w:r w:rsidR="00EF432C" w:rsidRPr="005129CD">
        <w:rPr>
          <w:rFonts w:ascii="Times" w:eastAsia="Calibri" w:hAnsi="Times" w:cs="Calibri"/>
          <w:color w:val="000000" w:themeColor="text1"/>
        </w:rPr>
        <w:t xml:space="preserve"> respiration</w:t>
      </w:r>
      <w:r w:rsidR="00850EF3">
        <w:rPr>
          <w:rFonts w:ascii="Times" w:eastAsia="Calibri" w:hAnsi="Times" w:cs="Calibri"/>
          <w:color w:val="000000" w:themeColor="text1"/>
        </w:rPr>
        <w:t xml:space="preserve"> rates</w:t>
      </w:r>
      <w:r w:rsidR="00EF432C" w:rsidRPr="005129CD">
        <w:rPr>
          <w:rFonts w:ascii="Times" w:eastAsia="Calibri" w:hAnsi="Times" w:cs="Calibri"/>
          <w:color w:val="000000" w:themeColor="text1"/>
        </w:rPr>
        <w:t xml:space="preserve"> of GHGs in target systems. </w:t>
      </w:r>
      <w:r w:rsidR="00DA0DD3">
        <w:rPr>
          <w:rFonts w:ascii="Times" w:eastAsia="Calibri" w:hAnsi="Times" w:cs="Calibri"/>
          <w:color w:val="000000" w:themeColor="text1"/>
        </w:rPr>
        <w:t>Nevertheless</w:t>
      </w:r>
      <w:r w:rsidR="00EF432C" w:rsidRPr="005129CD">
        <w:rPr>
          <w:rFonts w:ascii="Times" w:eastAsia="Calibri" w:hAnsi="Times" w:cs="Calibri"/>
          <w:color w:val="000000" w:themeColor="text1"/>
        </w:rPr>
        <w:t xml:space="preserve">, </w:t>
      </w:r>
      <w:r w:rsidR="00DA0DD3">
        <w:rPr>
          <w:rFonts w:ascii="Times" w:eastAsia="Calibri" w:hAnsi="Times" w:cs="Calibri"/>
          <w:color w:val="000000" w:themeColor="text1"/>
        </w:rPr>
        <w:t>currently available literature does not</w:t>
      </w:r>
      <w:r w:rsidR="00EF432C" w:rsidRPr="005129CD">
        <w:rPr>
          <w:rFonts w:ascii="Times" w:eastAsia="Calibri" w:hAnsi="Times" w:cs="Calibri"/>
          <w:color w:val="000000" w:themeColor="text1"/>
        </w:rPr>
        <w:t xml:space="preserve"> sufficiently address this point. </w:t>
      </w:r>
    </w:p>
    <w:p w14:paraId="4896E1D2" w14:textId="527EB45A" w:rsidR="00BD7079" w:rsidRPr="00D8238F" w:rsidRDefault="005129CD" w:rsidP="003D513E">
      <w:r w:rsidRPr="00CA7BF1">
        <w:rPr>
          <w:rFonts w:ascii="Times" w:eastAsia="Calibri" w:hAnsi="Times" w:cs="Calibri"/>
          <w:b/>
          <w:color w:val="000000" w:themeColor="text1"/>
          <w:u w:val="single"/>
        </w:rPr>
        <w:t xml:space="preserve">Assumption </w:t>
      </w:r>
      <w:r>
        <w:rPr>
          <w:rFonts w:ascii="Times" w:eastAsia="Calibri" w:hAnsi="Times" w:cs="Calibri"/>
          <w:b/>
          <w:color w:val="000000" w:themeColor="text1"/>
          <w:u w:val="single"/>
        </w:rPr>
        <w:t>5</w:t>
      </w:r>
      <w:r w:rsidRPr="00CA7BF1">
        <w:rPr>
          <w:rFonts w:ascii="Times" w:eastAsia="Calibri" w:hAnsi="Times" w:cs="Calibri"/>
          <w:b/>
          <w:color w:val="000000" w:themeColor="text1"/>
          <w:u w:val="single"/>
        </w:rPr>
        <w:t>:</w:t>
      </w:r>
      <w:r w:rsidRPr="00CA7BF1">
        <w:rPr>
          <w:rFonts w:ascii="Times" w:eastAsia="Calibri" w:hAnsi="Times" w:cs="Calibri"/>
          <w:color w:val="000000" w:themeColor="text1"/>
        </w:rPr>
        <w:t xml:space="preserve"> </w:t>
      </w:r>
      <w:r w:rsidR="00241ABB">
        <w:rPr>
          <w:rFonts w:ascii="Times" w:eastAsia="Calibri" w:hAnsi="Times" w:cs="Calibri"/>
          <w:color w:val="000000" w:themeColor="text1"/>
        </w:rPr>
        <w:t xml:space="preserve">As </w:t>
      </w:r>
      <w:r w:rsidR="00241ABB" w:rsidRPr="00CA7BF1">
        <w:rPr>
          <w:rFonts w:ascii="Times" w:eastAsia="Calibri" w:hAnsi="Times" w:cs="Calibri"/>
          <w:color w:val="000000" w:themeColor="text1"/>
        </w:rPr>
        <w:t xml:space="preserve">it would </w:t>
      </w:r>
      <w:r w:rsidR="00241ABB">
        <w:rPr>
          <w:rFonts w:ascii="Times" w:eastAsia="Calibri" w:hAnsi="Times" w:cs="Calibri"/>
          <w:color w:val="000000" w:themeColor="text1"/>
        </w:rPr>
        <w:t>be nearly impossible with currently available methodologies</w:t>
      </w:r>
      <w:r w:rsidR="00241ABB" w:rsidRPr="00CA7BF1">
        <w:rPr>
          <w:rFonts w:ascii="Times" w:eastAsia="Calibri" w:hAnsi="Times" w:cs="Calibri"/>
          <w:color w:val="000000" w:themeColor="text1"/>
        </w:rPr>
        <w:t xml:space="preserve"> to </w:t>
      </w:r>
      <w:r w:rsidR="00241ABB">
        <w:rPr>
          <w:rFonts w:ascii="Times" w:eastAsia="Calibri" w:hAnsi="Times" w:cs="Calibri"/>
          <w:color w:val="000000" w:themeColor="text1"/>
        </w:rPr>
        <w:t xml:space="preserve">distinguish carbon saturated and unsaturated systems across </w:t>
      </w:r>
      <w:r w:rsidR="00241ABB" w:rsidRPr="00CA7BF1">
        <w:rPr>
          <w:rFonts w:ascii="Times" w:eastAsia="Calibri" w:hAnsi="Times" w:cs="Calibri"/>
          <w:color w:val="000000" w:themeColor="text1"/>
        </w:rPr>
        <w:t>current</w:t>
      </w:r>
      <w:r w:rsidR="00241ABB">
        <w:rPr>
          <w:rFonts w:ascii="Times" w:eastAsia="Calibri" w:hAnsi="Times" w:cs="Calibri"/>
          <w:color w:val="000000" w:themeColor="text1"/>
        </w:rPr>
        <w:t xml:space="preserve">ly existing </w:t>
      </w:r>
      <w:r w:rsidR="00241ABB" w:rsidRPr="00CA7BF1">
        <w:rPr>
          <w:rFonts w:ascii="Times" w:eastAsia="Calibri" w:hAnsi="Times" w:cs="Calibri"/>
          <w:color w:val="000000" w:themeColor="text1"/>
        </w:rPr>
        <w:t>silvopasture</w:t>
      </w:r>
      <w:r w:rsidR="00241ABB">
        <w:rPr>
          <w:rFonts w:ascii="Times" w:eastAsia="Calibri" w:hAnsi="Times" w:cs="Calibri"/>
          <w:color w:val="000000" w:themeColor="text1"/>
        </w:rPr>
        <w:t>s, Drawdown models assume that all currents</w:t>
      </w:r>
      <w:r w:rsidR="00584C53" w:rsidRPr="005129CD">
        <w:rPr>
          <w:rFonts w:ascii="Times" w:eastAsia="Calibri" w:hAnsi="Times" w:cs="Calibri"/>
          <w:color w:val="000000" w:themeColor="text1"/>
        </w:rPr>
        <w:t xml:space="preserve"> silvopasture</w:t>
      </w:r>
      <w:r w:rsidR="00241ABB">
        <w:rPr>
          <w:rFonts w:ascii="Times" w:eastAsia="Calibri" w:hAnsi="Times" w:cs="Calibri"/>
          <w:color w:val="000000" w:themeColor="text1"/>
        </w:rPr>
        <w:t>s have reached full</w:t>
      </w:r>
      <w:r w:rsidR="00584C53" w:rsidRPr="005129CD">
        <w:rPr>
          <w:rFonts w:ascii="Times" w:eastAsia="Calibri" w:hAnsi="Times" w:cs="Calibri"/>
          <w:color w:val="000000" w:themeColor="text1"/>
        </w:rPr>
        <w:t xml:space="preserve"> saturat</w:t>
      </w:r>
      <w:r w:rsidR="00241ABB">
        <w:rPr>
          <w:rFonts w:ascii="Times" w:eastAsia="Calibri" w:hAnsi="Times" w:cs="Calibri"/>
          <w:color w:val="000000" w:themeColor="text1"/>
        </w:rPr>
        <w:t>ion</w:t>
      </w:r>
      <w:r w:rsidR="00584C53" w:rsidRPr="005129CD">
        <w:rPr>
          <w:rFonts w:ascii="Times" w:eastAsia="Calibri" w:hAnsi="Times" w:cs="Calibri"/>
          <w:color w:val="000000" w:themeColor="text1"/>
        </w:rPr>
        <w:t xml:space="preserve"> and will not sequester more carbon going forward.</w:t>
      </w:r>
      <w:r w:rsidR="00584C53" w:rsidRPr="003D513E">
        <w:rPr>
          <w:rFonts w:ascii="Times" w:eastAsia="Calibri" w:hAnsi="Times" w:cs="Calibri"/>
          <w:color w:val="000000" w:themeColor="text1"/>
        </w:rPr>
        <w:t xml:space="preserve"> </w:t>
      </w:r>
      <w:r w:rsidR="00241ABB">
        <w:rPr>
          <w:rFonts w:ascii="Times" w:eastAsia="Calibri" w:hAnsi="Times" w:cs="Calibri"/>
          <w:color w:val="000000" w:themeColor="text1"/>
        </w:rPr>
        <w:t>S</w:t>
      </w:r>
      <w:r w:rsidR="00241ABB" w:rsidRPr="00CA7BF1">
        <w:rPr>
          <w:rFonts w:ascii="Times" w:eastAsia="Calibri" w:hAnsi="Times" w:cs="Calibri"/>
          <w:color w:val="000000" w:themeColor="text1"/>
        </w:rPr>
        <w:t xml:space="preserve">ilvopasture has primarily been a traditional land use strategy and its growth in recent years is limited, suggesting that most </w:t>
      </w:r>
      <w:r w:rsidR="00241ABB">
        <w:rPr>
          <w:rFonts w:ascii="Times" w:eastAsia="Calibri" w:hAnsi="Times" w:cs="Calibri"/>
          <w:color w:val="000000" w:themeColor="text1"/>
        </w:rPr>
        <w:t>current</w:t>
      </w:r>
      <w:r w:rsidR="00241ABB" w:rsidRPr="00CA7BF1">
        <w:rPr>
          <w:rFonts w:ascii="Times" w:eastAsia="Calibri" w:hAnsi="Times" w:cs="Calibri"/>
          <w:color w:val="000000" w:themeColor="text1"/>
        </w:rPr>
        <w:t xml:space="preserve"> silvopasture</w:t>
      </w:r>
      <w:r w:rsidR="00241ABB">
        <w:rPr>
          <w:rFonts w:ascii="Times" w:eastAsia="Calibri" w:hAnsi="Times" w:cs="Calibri"/>
          <w:color w:val="000000" w:themeColor="text1"/>
        </w:rPr>
        <w:t>s</w:t>
      </w:r>
      <w:r w:rsidR="00241ABB" w:rsidRPr="00CA7BF1">
        <w:rPr>
          <w:rFonts w:ascii="Times" w:eastAsia="Calibri" w:hAnsi="Times" w:cs="Calibri"/>
          <w:color w:val="000000" w:themeColor="text1"/>
        </w:rPr>
        <w:t xml:space="preserve"> </w:t>
      </w:r>
      <w:r w:rsidR="00241ABB">
        <w:rPr>
          <w:rFonts w:ascii="Times" w:eastAsia="Calibri" w:hAnsi="Times" w:cs="Calibri"/>
          <w:color w:val="000000" w:themeColor="text1"/>
        </w:rPr>
        <w:t>have been established for</w:t>
      </w:r>
      <w:r w:rsidR="00241ABB" w:rsidRPr="00CA7BF1">
        <w:rPr>
          <w:rFonts w:ascii="Times" w:eastAsia="Calibri" w:hAnsi="Times" w:cs="Calibri"/>
          <w:color w:val="000000" w:themeColor="text1"/>
        </w:rPr>
        <w:t xml:space="preserve"> a considerable time.</w:t>
      </w:r>
      <w:r w:rsidR="00241ABB" w:rsidRPr="001B5B28">
        <w:rPr>
          <w:rFonts w:ascii="Times" w:eastAsia="Calibri" w:hAnsi="Times" w:cs="Calibri"/>
          <w:color w:val="000000" w:themeColor="text1"/>
        </w:rPr>
        <w:t xml:space="preserve"> </w:t>
      </w:r>
      <w:r w:rsidR="00241ABB">
        <w:rPr>
          <w:rFonts w:ascii="Times" w:eastAsia="Calibri" w:hAnsi="Times" w:cs="Calibri"/>
          <w:color w:val="000000" w:themeColor="text1"/>
        </w:rPr>
        <w:t>Nevertheless, this assumption contributes to a conservative estimate of the total carbon sequestration potential of the solution</w:t>
      </w:r>
      <w:r w:rsidR="00584C53" w:rsidRPr="005129CD">
        <w:rPr>
          <w:rFonts w:ascii="Times" w:eastAsia="Calibri" w:hAnsi="Times" w:cs="Calibri"/>
          <w:color w:val="000000" w:themeColor="text1"/>
        </w:rPr>
        <w:t xml:space="preserve">. </w:t>
      </w:r>
    </w:p>
    <w:p w14:paraId="04FBF2E3" w14:textId="6267BB18" w:rsidR="009D118F" w:rsidRDefault="00686965" w:rsidP="00387E91">
      <w:pPr>
        <w:pStyle w:val="Heading2"/>
        <w:numPr>
          <w:ilvl w:val="1"/>
          <w:numId w:val="4"/>
        </w:numPr>
      </w:pPr>
      <w:bookmarkStart w:id="48" w:name="_Toc18013320"/>
      <w:r>
        <w:t>Integration</w:t>
      </w:r>
      <w:bookmarkEnd w:id="48"/>
    </w:p>
    <w:p w14:paraId="4F1C20E8" w14:textId="6CF22C6E" w:rsidR="0032353F" w:rsidRDefault="0032353F" w:rsidP="00DB4CC8">
      <w:r w:rsidRPr="00DC3559">
        <w:t xml:space="preserve">The </w:t>
      </w:r>
      <w:r>
        <w:t xml:space="preserve">complete Project Drawdown integration documentation (will be available at </w:t>
      </w:r>
      <w:hyperlink r:id="rId16"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10052444" w:rsidR="00BD7079" w:rsidRPr="00D067F6" w:rsidRDefault="001F277D" w:rsidP="00BD7079">
      <w:pPr>
        <w:rPr>
          <w:color w:val="000000" w:themeColor="text1"/>
        </w:rPr>
      </w:pPr>
      <w:r>
        <w:rPr>
          <w:i/>
          <w:color w:val="000000" w:themeColor="text1"/>
        </w:rPr>
        <w:t>Silvopasture</w:t>
      </w:r>
      <w:r w:rsidR="00BD7079" w:rsidRPr="0074611A">
        <w:rPr>
          <w:i/>
          <w:color w:val="000000" w:themeColor="text1"/>
        </w:rPr>
        <w:t xml:space="preserve"> </w:t>
      </w:r>
      <w:r w:rsidR="00BD7079" w:rsidRPr="0074611A">
        <w:rPr>
          <w:color w:val="000000" w:themeColor="text1"/>
        </w:rPr>
        <w:t>is part of Drawdown’s Food sector, specifically the supply-side set that incorporate</w:t>
      </w:r>
      <w:r w:rsidR="00BD7079" w:rsidRPr="00D067F6">
        <w:rPr>
          <w:color w:val="000000" w:themeColor="text1"/>
        </w:rPr>
        <w:t xml:space="preserve"> food production. Within agriculture it is part of a cluster of solutions based on </w:t>
      </w:r>
      <w:r w:rsidR="00CC4342">
        <w:rPr>
          <w:color w:val="000000" w:themeColor="text1"/>
        </w:rPr>
        <w:t>livestock production</w:t>
      </w:r>
      <w:r w:rsidR="00BD7079" w:rsidRPr="00D067F6">
        <w:rPr>
          <w:color w:val="000000" w:themeColor="text1"/>
        </w:rPr>
        <w:t xml:space="preserve">.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xml:space="preserve"> for AEZs with forest cover, in recognition of </w:t>
      </w:r>
      <w:r w:rsidRPr="00D067F6">
        <w:rPr>
          <w:rFonts w:eastAsia="Times New Roman" w:cstheme="minorHAnsi"/>
          <w:color w:val="000000" w:themeColor="text1"/>
          <w:lang w:eastAsia="zh-CN"/>
        </w:rPr>
        <w:lastRenderedPageBreak/>
        <w:t>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BD7079">
      <w:pPr>
        <w:spacing w:after="0"/>
        <w:rPr>
          <w:rFonts w:eastAsia="Times New Roman" w:cstheme="minorHAnsi"/>
          <w:color w:val="000000" w:themeColor="text1"/>
          <w:lang w:eastAsia="zh-CN"/>
        </w:rPr>
      </w:pPr>
    </w:p>
    <w:p w14:paraId="2FC8D641" w14:textId="12B8B310"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46D03AB4" w14:textId="77777777" w:rsidR="00BD7079" w:rsidRDefault="00BD7079" w:rsidP="00BD7079">
      <w:pPr>
        <w:spacing w:after="0"/>
        <w:rPr>
          <w:rFonts w:eastAsia="Times New Roman" w:cstheme="minorHAnsi"/>
          <w:color w:val="000000" w:themeColor="text1"/>
          <w:lang w:eastAsia="zh-CN"/>
        </w:rPr>
      </w:pP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The Yield model</w:t>
      </w:r>
    </w:p>
    <w:p w14:paraId="4031AE7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 xml:space="preserve">educating </w:t>
      </w:r>
      <w:r w:rsidRPr="00D067F6">
        <w:rPr>
          <w:rFonts w:eastAsia="Times New Roman" w:cstheme="minorHAnsi"/>
          <w:i/>
          <w:iCs/>
          <w:color w:val="000000" w:themeColor="text1"/>
          <w:lang w:eastAsia="zh-CN"/>
        </w:rPr>
        <w:lastRenderedPageBreak/>
        <w:t>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219F5F4A" w14:textId="61D9D056" w:rsidR="00BD7079" w:rsidRPr="00DC3559" w:rsidRDefault="6761EF81" w:rsidP="003D513E">
      <w:pPr>
        <w:shd w:val="clear" w:color="auto" w:fill="FFFFFF"/>
        <w:spacing w:after="135"/>
      </w:pPr>
      <w:r w:rsidRPr="6761EF81">
        <w:rPr>
          <w:rFonts w:eastAsia="Times New Roman"/>
          <w:color w:val="000000" w:themeColor="text1"/>
          <w:lang w:eastAsia="zh-CN"/>
        </w:rPr>
        <w:t>All three Drawdown scenarios show agricultural production sufficient to meet food demand and provide a surplus that can be used in bio-based industry, for example as feedstock for </w:t>
      </w:r>
      <w:r w:rsidRPr="6761EF81">
        <w:rPr>
          <w:rFonts w:eastAsia="Times New Roman"/>
          <w:i/>
          <w:iCs/>
          <w:color w:val="000000" w:themeColor="text1"/>
          <w:lang w:eastAsia="zh-CN"/>
        </w:rPr>
        <w:t>bioplastic </w:t>
      </w:r>
      <w:r w:rsidRPr="6761EF81">
        <w:rPr>
          <w:rFonts w:eastAsia="Times New Roman"/>
          <w:color w:val="000000" w:themeColor="text1"/>
          <w:lang w:eastAsia="zh-CN"/>
        </w:rPr>
        <w:t>production</w:t>
      </w:r>
      <w:r w:rsidRPr="6761EF81">
        <w:rPr>
          <w:rFonts w:eastAsia="Times New Roman"/>
          <w:i/>
          <w:iCs/>
          <w:color w:val="000000" w:themeColor="text1"/>
          <w:lang w:eastAsia="zh-CN"/>
        </w:rPr>
        <w:t>. </w:t>
      </w:r>
      <w:r w:rsidRPr="6761EF81">
        <w:rPr>
          <w:rFonts w:eastAsia="Times New Roman"/>
          <w:color w:val="000000" w:themeColor="text1"/>
          <w:lang w:eastAsia="zh-CN"/>
        </w:rPr>
        <w:t>Due to this surplus, no land clearing is necessary, resulting in impressive emissions reduction from avoided deforestation.  Because population change (resulting from </w:t>
      </w:r>
      <w:r w:rsidRPr="6761EF81">
        <w:rPr>
          <w:rFonts w:eastAsia="Times New Roman"/>
          <w:i/>
          <w:iCs/>
          <w:color w:val="000000" w:themeColor="text1"/>
          <w:lang w:eastAsia="zh-CN"/>
        </w:rPr>
        <w:t>educating girls </w:t>
      </w:r>
      <w:r w:rsidRPr="6761EF81">
        <w:rPr>
          <w:rFonts w:eastAsia="Times New Roman"/>
          <w:color w:val="000000" w:themeColor="text1"/>
          <w:lang w:eastAsia="zh-CN"/>
        </w:rPr>
        <w:t>and </w:t>
      </w:r>
      <w:r w:rsidRPr="6761EF81">
        <w:rPr>
          <w:rFonts w:eastAsia="Times New Roman"/>
          <w:i/>
          <w:iCs/>
          <w:color w:val="000000" w:themeColor="text1"/>
          <w:lang w:eastAsia="zh-CN"/>
        </w:rPr>
        <w:t>family planning</w:t>
      </w:r>
      <w:r w:rsidRPr="6761EF81">
        <w:rPr>
          <w:rFonts w:eastAsia="Times New Roman"/>
          <w:color w:val="000000" w:themeColor="text1"/>
          <w:lang w:eastAsia="zh-CN"/>
        </w:rPr>
        <w:t>),</w:t>
      </w:r>
      <w:r w:rsidRPr="6761EF81">
        <w:rPr>
          <w:rFonts w:eastAsia="Times New Roman"/>
          <w:i/>
          <w:iCs/>
          <w:color w:val="000000" w:themeColor="text1"/>
          <w:lang w:eastAsia="zh-CN"/>
        </w:rPr>
        <w:t> plant-rich diet</w:t>
      </w:r>
      <w:r w:rsidRPr="6761EF81">
        <w:rPr>
          <w:rFonts w:eastAsia="Times New Roman"/>
          <w:color w:val="000000" w:themeColor="text1"/>
          <w:lang w:eastAsia="zh-CN"/>
        </w:rPr>
        <w:t>, and </w:t>
      </w:r>
      <w:r w:rsidRPr="6761EF81">
        <w:rPr>
          <w:rFonts w:eastAsia="Times New Roman"/>
          <w:i/>
          <w:iCs/>
          <w:color w:val="000000" w:themeColor="text1"/>
          <w:lang w:eastAsia="zh-CN"/>
        </w:rPr>
        <w:t>reduced food waste</w:t>
      </w:r>
      <w:r w:rsidRPr="6761EF81">
        <w:rPr>
          <w:rFonts w:eastAsia="Times New Roman"/>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66D0D25C" w14:textId="5084CB7E" w:rsidR="6761EF81" w:rsidRDefault="6761EF81" w:rsidP="6761EF81">
      <w:r w:rsidRPr="6761EF81">
        <w:rPr>
          <w:rFonts w:eastAsia="Times New Roman" w:cs="Times New Roman"/>
          <w:b/>
          <w:bCs/>
          <w:i/>
          <w:iCs/>
          <w:color w:val="000000" w:themeColor="text1"/>
        </w:rPr>
        <w:t>The Biomass Model</w:t>
      </w:r>
    </w:p>
    <w:p w14:paraId="74DB48FB" w14:textId="381FB3D0" w:rsidR="6761EF81" w:rsidRDefault="6761EF81" w:rsidP="6761EF81">
      <w:r w:rsidRPr="6761EF81">
        <w:rPr>
          <w:rFonts w:eastAsia="Times New Roman" w:cs="Times New Roman"/>
          <w:color w:val="000000" w:themeColor="text1"/>
        </w:rPr>
        <w:t xml:space="preserve">Drawdown’s Biomass model begins with projected global biomass demand through 2060, based on FAO historical data and other sources, in categories including sawnwood, other woody biomass, and herbaceous biomass (which includes crop residues). It determines the impact of demand reduction solutions including </w:t>
      </w:r>
      <w:r w:rsidRPr="6761EF81">
        <w:rPr>
          <w:rFonts w:eastAsia="Times New Roman" w:cs="Times New Roman"/>
          <w:i/>
          <w:iCs/>
          <w:color w:val="000000" w:themeColor="text1"/>
        </w:rPr>
        <w:t>clean cookstoves</w:t>
      </w:r>
      <w:r w:rsidRPr="6761EF81">
        <w:rPr>
          <w:rFonts w:eastAsia="Times New Roman" w:cs="Times New Roman"/>
          <w:color w:val="000000" w:themeColor="text1"/>
        </w:rPr>
        <w:t xml:space="preserve"> and </w:t>
      </w:r>
      <w:r w:rsidRPr="6761EF81">
        <w:rPr>
          <w:rFonts w:eastAsia="Times New Roman" w:cs="Times New Roman"/>
          <w:i/>
          <w:iCs/>
          <w:color w:val="000000" w:themeColor="text1"/>
        </w:rPr>
        <w:t>recycled paper</w:t>
      </w:r>
      <w:r w:rsidRPr="6761EF81">
        <w:rPr>
          <w:rFonts w:eastAsia="Times New Roman" w:cs="Times New Roman"/>
          <w:color w:val="000000" w:themeColor="text1"/>
        </w:rPr>
        <w:t xml:space="preserve">, resulting in an adjusted demand projection through 2060. Biomass supply reductions are modeled as well, which result from protection of forests from </w:t>
      </w:r>
      <w:r w:rsidRPr="6761EF81">
        <w:rPr>
          <w:rFonts w:eastAsia="Times New Roman" w:cs="Times New Roman"/>
          <w:i/>
          <w:iCs/>
          <w:color w:val="000000" w:themeColor="text1"/>
        </w:rPr>
        <w:t xml:space="preserve">forest protection, Indigenous Peoples’ forest management, mangrove protection, </w:t>
      </w:r>
      <w:r w:rsidRPr="6761EF81">
        <w:rPr>
          <w:rFonts w:eastAsia="Times New Roman" w:cs="Times New Roman"/>
          <w:color w:val="000000" w:themeColor="text1"/>
        </w:rPr>
        <w:t>and</w:t>
      </w:r>
      <w:r w:rsidRPr="6761EF81">
        <w:rPr>
          <w:rFonts w:eastAsia="Times New Roman" w:cs="Times New Roman"/>
          <w:i/>
          <w:iCs/>
          <w:color w:val="000000" w:themeColor="text1"/>
        </w:rPr>
        <w:t xml:space="preserve"> peatland protection</w:t>
      </w:r>
      <w:r w:rsidRPr="6761EF81">
        <w:rPr>
          <w:rFonts w:eastAsia="Times New Roman" w:cs="Times New Roman"/>
          <w:color w:val="000000" w:themeColor="text1"/>
        </w:rPr>
        <w:t xml:space="preserve">, reducing biomass availability. Biomass supply increases are modeled through the increased adoption of solutions including </w:t>
      </w:r>
      <w:r w:rsidRPr="6761EF81">
        <w:rPr>
          <w:rFonts w:eastAsia="Times New Roman" w:cs="Times New Roman"/>
          <w:i/>
          <w:iCs/>
          <w:color w:val="000000" w:themeColor="text1"/>
        </w:rPr>
        <w:t xml:space="preserve">afforestation, bamboo, perennial biomass </w:t>
      </w:r>
      <w:r w:rsidRPr="6761EF81">
        <w:rPr>
          <w:rFonts w:eastAsia="Times New Roman" w:cs="Times New Roman"/>
          <w:color w:val="000000" w:themeColor="text1"/>
        </w:rPr>
        <w:t>and</w:t>
      </w:r>
      <w:r w:rsidRPr="6761EF81">
        <w:rPr>
          <w:rFonts w:eastAsia="Times New Roman" w:cs="Times New Roman"/>
          <w:i/>
          <w:iCs/>
          <w:color w:val="000000" w:themeColor="text1"/>
        </w:rPr>
        <w:t xml:space="preserve"> </w:t>
      </w:r>
      <w:r w:rsidRPr="6761EF81">
        <w:rPr>
          <w:rFonts w:eastAsia="Times New Roman" w:cs="Times New Roman"/>
          <w:color w:val="000000" w:themeColor="text1"/>
        </w:rPr>
        <w:t xml:space="preserve">agroforestry solutions like </w:t>
      </w:r>
      <w:r w:rsidRPr="6761EF81">
        <w:rPr>
          <w:rFonts w:eastAsia="Times New Roman" w:cs="Times New Roman"/>
          <w:i/>
          <w:iCs/>
          <w:color w:val="000000" w:themeColor="text1"/>
        </w:rPr>
        <w:t xml:space="preserve">tree intercropping, silvopasture, </w:t>
      </w:r>
      <w:r w:rsidRPr="6761EF81">
        <w:rPr>
          <w:rFonts w:eastAsia="Times New Roman" w:cs="Times New Roman"/>
          <w:color w:val="000000" w:themeColor="text1"/>
        </w:rPr>
        <w:t xml:space="preserve">and </w:t>
      </w:r>
      <w:r w:rsidRPr="6761EF81">
        <w:rPr>
          <w:rFonts w:eastAsia="Times New Roman" w:cs="Times New Roman"/>
          <w:i/>
          <w:iCs/>
          <w:color w:val="000000" w:themeColor="text1"/>
        </w:rPr>
        <w:t xml:space="preserve">multistrata agroforestry. </w:t>
      </w:r>
      <w:r w:rsidRPr="6761EF81">
        <w:rPr>
          <w:rFonts w:eastAsia="Times New Roman" w:cs="Times New Roman"/>
          <w:color w:val="000000" w:themeColor="text1"/>
        </w:rPr>
        <w:t xml:space="preserve">Biomass availability from crop residues, </w:t>
      </w:r>
      <w:r w:rsidRPr="6761EF81">
        <w:rPr>
          <w:rFonts w:eastAsia="Times New Roman" w:cs="Times New Roman"/>
          <w:i/>
          <w:iCs/>
          <w:color w:val="000000" w:themeColor="text1"/>
        </w:rPr>
        <w:t>seaweed farming</w:t>
      </w:r>
      <w:r w:rsidRPr="6761EF81">
        <w:rPr>
          <w:rFonts w:eastAsia="Times New Roman" w:cs="Times New Roman"/>
          <w:color w:val="000000" w:themeColor="text1"/>
        </w:rPr>
        <w:t xml:space="preserve">, and dedicated biomass crops planted on cropland freed up by </w:t>
      </w:r>
      <w:r w:rsidRPr="6761EF81">
        <w:rPr>
          <w:rFonts w:eastAsia="Times New Roman" w:cs="Times New Roman"/>
          <w:i/>
          <w:iCs/>
          <w:color w:val="000000" w:themeColor="text1"/>
        </w:rPr>
        <w:t>sustainable intensification</w:t>
      </w:r>
      <w:r w:rsidRPr="6761EF81">
        <w:rPr>
          <w:rFonts w:eastAsia="Times New Roman" w:cs="Times New Roman"/>
          <w:color w:val="000000" w:themeColor="text1"/>
        </w:rPr>
        <w:t xml:space="preserve"> is also modeled.</w:t>
      </w:r>
    </w:p>
    <w:p w14:paraId="6713AD98" w14:textId="06556BB0" w:rsidR="6761EF81" w:rsidRDefault="6761EF81" w:rsidP="6761EF81">
      <w:r w:rsidRPr="6761EF81">
        <w:rPr>
          <w:rFonts w:eastAsia="Times New Roman" w:cs="Times New Roman"/>
          <w:color w:val="000000" w:themeColor="text1"/>
        </w:rPr>
        <w:t xml:space="preserve">Surplus biomass is allocated to climate solutions that require biomass as feedstock. These include </w:t>
      </w:r>
      <w:r w:rsidRPr="6761EF81">
        <w:rPr>
          <w:rFonts w:eastAsia="Times New Roman" w:cs="Times New Roman"/>
          <w:i/>
          <w:iCs/>
          <w:color w:val="000000" w:themeColor="text1"/>
        </w:rPr>
        <w:t>biochar, biomass electricity, bioplastic, 2</w:t>
      </w:r>
      <w:r w:rsidRPr="6761EF81">
        <w:rPr>
          <w:rFonts w:eastAsia="Times New Roman" w:cs="Times New Roman"/>
          <w:i/>
          <w:iCs/>
          <w:color w:val="000000" w:themeColor="text1"/>
          <w:vertAlign w:val="superscript"/>
        </w:rPr>
        <w:t>nd</w:t>
      </w:r>
      <w:r w:rsidRPr="6761EF81">
        <w:rPr>
          <w:rFonts w:eastAsia="Times New Roman" w:cs="Times New Roman"/>
          <w:i/>
          <w:iCs/>
          <w:color w:val="000000" w:themeColor="text1"/>
        </w:rPr>
        <w:t xml:space="preserve"> generation biofuels, building with wood, insulation, small-scale biogas, </w:t>
      </w:r>
      <w:r w:rsidRPr="6761EF81">
        <w:rPr>
          <w:rFonts w:eastAsia="Times New Roman" w:cs="Times New Roman"/>
          <w:color w:val="000000" w:themeColor="text1"/>
        </w:rPr>
        <w:t xml:space="preserve">and </w:t>
      </w:r>
      <w:r w:rsidRPr="6761EF81">
        <w:rPr>
          <w:rFonts w:eastAsia="Times New Roman" w:cs="Times New Roman"/>
          <w:i/>
          <w:iCs/>
          <w:color w:val="000000" w:themeColor="text1"/>
        </w:rPr>
        <w:t xml:space="preserve">district heating. </w:t>
      </w:r>
      <w:r w:rsidRPr="6761EF81">
        <w:rPr>
          <w:rFonts w:eastAsia="Times New Roman" w:cs="Times New Roman"/>
          <w:color w:val="000000" w:themeColor="text1"/>
        </w:rPr>
        <w:t xml:space="preserve">This biomass feedstock allocation was a constraint to the adoption of this solution. </w:t>
      </w:r>
      <w:r w:rsidRPr="6761EF81">
        <w:rPr>
          <w:rFonts w:eastAsia="Times New Roman" w:cs="Times New Roman"/>
          <w:i/>
          <w:iCs/>
          <w:color w:val="000000" w:themeColor="text1"/>
        </w:rPr>
        <w:t xml:space="preserve"> </w:t>
      </w:r>
    </w:p>
    <w:p w14:paraId="0ED84BEA" w14:textId="7FCE4E73" w:rsidR="009D118F" w:rsidRDefault="00686965" w:rsidP="00387E91">
      <w:pPr>
        <w:pStyle w:val="Heading2"/>
        <w:numPr>
          <w:ilvl w:val="1"/>
          <w:numId w:val="4"/>
        </w:numPr>
      </w:pPr>
      <w:bookmarkStart w:id="49" w:name="_Toc18013321"/>
      <w:r>
        <w:t>Limitations/Further Development</w:t>
      </w:r>
      <w:bookmarkEnd w:id="49"/>
    </w:p>
    <w:p w14:paraId="6A116155" w14:textId="09927FD2" w:rsidR="001B5B28" w:rsidRPr="001B5B28" w:rsidRDefault="007807E2" w:rsidP="001B5B28">
      <w:pPr>
        <w:rPr>
          <w:color w:val="000000" w:themeColor="text1"/>
        </w:rPr>
      </w:pPr>
      <w:r>
        <w:rPr>
          <w:color w:val="000000" w:themeColor="text1"/>
        </w:rPr>
        <w:t xml:space="preserve">In the absence of accurate satellite-based data on </w:t>
      </w:r>
      <w:r w:rsidR="00EA63B2">
        <w:rPr>
          <w:color w:val="000000" w:themeColor="text1"/>
        </w:rPr>
        <w:t xml:space="preserve">historical and </w:t>
      </w:r>
      <w:r>
        <w:rPr>
          <w:color w:val="000000" w:themeColor="text1"/>
        </w:rPr>
        <w:t xml:space="preserve">current </w:t>
      </w:r>
      <w:r w:rsidR="001B5B28" w:rsidRPr="001B5B28">
        <w:rPr>
          <w:color w:val="000000" w:themeColor="text1"/>
        </w:rPr>
        <w:t>adoption</w:t>
      </w:r>
      <w:r>
        <w:rPr>
          <w:color w:val="000000" w:themeColor="text1"/>
        </w:rPr>
        <w:t xml:space="preserve"> at global scales, Drawdown figures</w:t>
      </w:r>
      <w:r w:rsidR="00044C67">
        <w:rPr>
          <w:color w:val="000000" w:themeColor="text1"/>
        </w:rPr>
        <w:t xml:space="preserve"> for current adoption</w:t>
      </w:r>
      <w:r>
        <w:rPr>
          <w:color w:val="000000" w:themeColor="text1"/>
        </w:rPr>
        <w:t xml:space="preserve"> are based on estimates reported in peer-reviewed publications</w:t>
      </w:r>
      <w:r w:rsidR="003F0085">
        <w:rPr>
          <w:color w:val="000000" w:themeColor="text1"/>
        </w:rPr>
        <w:t xml:space="preserve"> </w:t>
      </w:r>
      <w:r w:rsidR="003F0085">
        <w:rPr>
          <w:color w:val="000000" w:themeColor="text1"/>
        </w:rPr>
        <w:fldChar w:fldCharType="begin"/>
      </w:r>
      <w:r w:rsidR="003F0085">
        <w:rPr>
          <w:color w:val="000000" w:themeColor="text1"/>
        </w:rPr>
        <w:instrText xml:space="preserve"> ADDIN ZOTERO_ITEM CSL_CITATION {"citationID":"O0IFkD2P","properties":{"formattedCitation":"(Lal et al., 2018; Nair, 2012)","plainCitation":"(Lal et al., 2018; Nair, 2012)","noteIndex":0},"citationItems":[{"id":2028,"uris":["http://zotero.org/groups/2241939/items/ZJ5AC9RL"],"uri":["http://zotero.org/groups/2241939/items/ZJ5AC9RL"],"itemData":{"id":2028,"type":"article-journal","title":"The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3F0085">
        <w:rPr>
          <w:color w:val="000000" w:themeColor="text1"/>
        </w:rPr>
        <w:fldChar w:fldCharType="separate"/>
      </w:r>
      <w:r w:rsidR="003F0085" w:rsidRPr="003F0085">
        <w:rPr>
          <w:rFonts w:cs="Times New Roman"/>
        </w:rPr>
        <w:t>(Lal et al., 2018; Nair, 2012)</w:t>
      </w:r>
      <w:r w:rsidR="003F0085">
        <w:rPr>
          <w:color w:val="000000" w:themeColor="text1"/>
        </w:rPr>
        <w:fldChar w:fldCharType="end"/>
      </w:r>
      <w:r>
        <w:rPr>
          <w:color w:val="000000" w:themeColor="text1"/>
        </w:rPr>
        <w:t xml:space="preserve">. </w:t>
      </w:r>
      <w:r w:rsidR="00D3290C">
        <w:rPr>
          <w:color w:val="000000" w:themeColor="text1"/>
        </w:rPr>
        <w:t>As global or regional projections of silvopasture adoption in the future</w:t>
      </w:r>
      <w:r w:rsidR="004D6BB3">
        <w:rPr>
          <w:color w:val="000000" w:themeColor="text1"/>
        </w:rPr>
        <w:t xml:space="preserve"> </w:t>
      </w:r>
      <w:r>
        <w:rPr>
          <w:color w:val="000000" w:themeColor="text1"/>
        </w:rPr>
        <w:t>are similarly lacking, Drawdown predictions are</w:t>
      </w:r>
      <w:r w:rsidR="001B5B28" w:rsidRPr="001B5B28">
        <w:rPr>
          <w:color w:val="000000" w:themeColor="text1"/>
        </w:rPr>
        <w:t xml:space="preserve"> based on</w:t>
      </w:r>
      <w:r w:rsidR="00AC424C">
        <w:rPr>
          <w:color w:val="000000" w:themeColor="text1"/>
        </w:rPr>
        <w:t>: a)</w:t>
      </w:r>
      <w:r w:rsidR="001B5B28" w:rsidRPr="001B5B28">
        <w:rPr>
          <w:color w:val="000000" w:themeColor="text1"/>
        </w:rPr>
        <w:t xml:space="preserve"> </w:t>
      </w:r>
      <w:r w:rsidR="00E23D3D">
        <w:rPr>
          <w:color w:val="000000" w:themeColor="text1"/>
        </w:rPr>
        <w:t>data collected by</w:t>
      </w:r>
      <w:r w:rsidR="003F0085">
        <w:rPr>
          <w:color w:val="000000" w:themeColor="text1"/>
        </w:rPr>
        <w:t xml:space="preserve"> </w:t>
      </w:r>
      <w:r w:rsidR="003F0085">
        <w:rPr>
          <w:color w:val="000000" w:themeColor="text1"/>
        </w:rPr>
        <w:fldChar w:fldCharType="begin"/>
      </w:r>
      <w:r w:rsidR="003F0085">
        <w:rPr>
          <w:color w:val="000000" w:themeColor="text1"/>
        </w:rPr>
        <w:instrText xml:space="preserve"> ADDIN ZOTERO_ITEM CSL_CITATION {"citationID":"fN3Hpgw8","properties":{"formattedCitation":"(Zomer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3F0085">
        <w:rPr>
          <w:color w:val="000000" w:themeColor="text1"/>
        </w:rPr>
        <w:fldChar w:fldCharType="separate"/>
      </w:r>
      <w:r w:rsidR="00FD7CE8" w:rsidRPr="00FD7CE8">
        <w:rPr>
          <w:rFonts w:cs="Times New Roman"/>
        </w:rPr>
        <w:t>(Zomer et al., 2014)</w:t>
      </w:r>
      <w:r w:rsidR="003F0085">
        <w:rPr>
          <w:color w:val="000000" w:themeColor="text1"/>
        </w:rPr>
        <w:fldChar w:fldCharType="end"/>
      </w:r>
      <w:r w:rsidR="00E23D3D">
        <w:rPr>
          <w:color w:val="000000" w:themeColor="text1"/>
        </w:rPr>
        <w:t xml:space="preserve"> on tree cover in agricultural land</w:t>
      </w:r>
      <w:r>
        <w:rPr>
          <w:color w:val="000000" w:themeColor="text1"/>
        </w:rPr>
        <w:t xml:space="preserve">, and </w:t>
      </w:r>
      <w:r w:rsidR="00AC424C">
        <w:rPr>
          <w:color w:val="000000" w:themeColor="text1"/>
        </w:rPr>
        <w:t>b)</w:t>
      </w:r>
      <w:r>
        <w:rPr>
          <w:color w:val="000000" w:themeColor="text1"/>
        </w:rPr>
        <w:t xml:space="preserve"> </w:t>
      </w:r>
      <w:r w:rsidR="00BE6422">
        <w:rPr>
          <w:color w:val="000000" w:themeColor="text1"/>
        </w:rPr>
        <w:t xml:space="preserve">national and regional levels of </w:t>
      </w:r>
      <w:r w:rsidR="00E23D3D">
        <w:rPr>
          <w:color w:val="000000" w:themeColor="text1"/>
        </w:rPr>
        <w:t xml:space="preserve">current silvopasture </w:t>
      </w:r>
      <w:r w:rsidR="00BE6422">
        <w:rPr>
          <w:color w:val="000000" w:themeColor="text1"/>
        </w:rPr>
        <w:t>adoption</w:t>
      </w:r>
      <w:r w:rsidR="00CB4248">
        <w:rPr>
          <w:color w:val="000000" w:themeColor="text1"/>
        </w:rPr>
        <w:t xml:space="preserve"> in relation to total grazing and </w:t>
      </w:r>
      <w:r w:rsidR="00CB4248">
        <w:rPr>
          <w:color w:val="000000" w:themeColor="text1"/>
        </w:rPr>
        <w:lastRenderedPageBreak/>
        <w:t>pasture land area</w:t>
      </w:r>
      <w:r w:rsidR="00AC424C">
        <w:rPr>
          <w:color w:val="000000" w:themeColor="text1"/>
        </w:rPr>
        <w:t>. While this approach</w:t>
      </w:r>
      <w:r w:rsidR="00BE6422">
        <w:rPr>
          <w:color w:val="000000" w:themeColor="text1"/>
        </w:rPr>
        <w:t xml:space="preserve"> may not accurately reflect </w:t>
      </w:r>
      <w:r w:rsidR="00A35EE5">
        <w:rPr>
          <w:color w:val="000000" w:themeColor="text1"/>
        </w:rPr>
        <w:t xml:space="preserve">local </w:t>
      </w:r>
      <w:r w:rsidR="00BE6422">
        <w:rPr>
          <w:color w:val="000000" w:themeColor="text1"/>
        </w:rPr>
        <w:t>realities across different regions</w:t>
      </w:r>
      <w:r w:rsidR="00AC424C">
        <w:rPr>
          <w:color w:val="000000" w:themeColor="text1"/>
        </w:rPr>
        <w:t xml:space="preserve"> it provides an approximation of future silvopasture adoption trends.</w:t>
      </w:r>
    </w:p>
    <w:p w14:paraId="37CFFAFB" w14:textId="72C60DA5" w:rsidR="001B5B28" w:rsidRPr="001B5B28" w:rsidRDefault="001B5B28" w:rsidP="001B5B28">
      <w:pPr>
        <w:rPr>
          <w:color w:val="000000" w:themeColor="text1"/>
        </w:rPr>
      </w:pPr>
      <w:r w:rsidRPr="001B5B28">
        <w:rPr>
          <w:color w:val="000000" w:themeColor="text1"/>
        </w:rPr>
        <w:t xml:space="preserve">This approach is primarily limited by data limitations in the current literature. Most importantly, </w:t>
      </w:r>
      <w:r w:rsidR="00BE6422">
        <w:rPr>
          <w:color w:val="000000" w:themeColor="text1"/>
        </w:rPr>
        <w:t>there is currently</w:t>
      </w:r>
      <w:r w:rsidRPr="001B5B28">
        <w:rPr>
          <w:color w:val="000000" w:themeColor="text1"/>
        </w:rPr>
        <w:t xml:space="preserve"> very little understanding of how silvopasture might change GHG emissions of pastureland</w:t>
      </w:r>
      <w:r w:rsidR="001D634C">
        <w:rPr>
          <w:color w:val="000000" w:themeColor="text1"/>
        </w:rPr>
        <w:t>,</w:t>
      </w:r>
      <w:r w:rsidRPr="001B5B28">
        <w:rPr>
          <w:color w:val="000000" w:themeColor="text1"/>
        </w:rPr>
        <w:t xml:space="preserve"> nor </w:t>
      </w:r>
      <w:r w:rsidR="001D634C">
        <w:rPr>
          <w:color w:val="000000" w:themeColor="text1"/>
        </w:rPr>
        <w:t xml:space="preserve">of </w:t>
      </w:r>
      <w:r w:rsidRPr="001B5B28">
        <w:rPr>
          <w:color w:val="000000" w:themeColor="text1"/>
        </w:rPr>
        <w:t xml:space="preserve">how quickly some of these systems may saturate aboveground and belowground carbon pools and cease to sequester additional carbon. </w:t>
      </w:r>
      <w:r w:rsidR="001D634C">
        <w:rPr>
          <w:color w:val="000000" w:themeColor="text1"/>
        </w:rPr>
        <w:t>S</w:t>
      </w:r>
      <w:r w:rsidRPr="001B5B28">
        <w:rPr>
          <w:color w:val="000000" w:themeColor="text1"/>
        </w:rPr>
        <w:t xml:space="preserve">uch dynamics </w:t>
      </w:r>
      <w:r w:rsidR="001D634C">
        <w:rPr>
          <w:color w:val="000000" w:themeColor="text1"/>
        </w:rPr>
        <w:t>are</w:t>
      </w:r>
      <w:r w:rsidRPr="001B5B28">
        <w:rPr>
          <w:color w:val="000000" w:themeColor="text1"/>
        </w:rPr>
        <w:t xml:space="preserve"> highly dependent on local conditions and </w:t>
      </w:r>
      <w:r w:rsidR="001D634C">
        <w:rPr>
          <w:color w:val="000000" w:themeColor="text1"/>
        </w:rPr>
        <w:t xml:space="preserve">therefore </w:t>
      </w:r>
      <w:r w:rsidRPr="001B5B28">
        <w:rPr>
          <w:color w:val="000000" w:themeColor="text1"/>
        </w:rPr>
        <w:t xml:space="preserve">very difficult to </w:t>
      </w:r>
      <w:r w:rsidR="001D634C">
        <w:rPr>
          <w:color w:val="000000" w:themeColor="text1"/>
        </w:rPr>
        <w:t>accurately predict through a</w:t>
      </w:r>
      <w:r w:rsidRPr="001B5B28">
        <w:rPr>
          <w:color w:val="000000" w:themeColor="text1"/>
        </w:rPr>
        <w:t xml:space="preserve"> modeling framework. But since new evidence suggests that some trees may be emitting more methane than previously understood</w:t>
      </w:r>
      <w:r w:rsidR="00A63E06">
        <w:rPr>
          <w:color w:val="000000" w:themeColor="text1"/>
        </w:rPr>
        <w:t xml:space="preserve"> </w:t>
      </w:r>
      <w:r w:rsidR="00A63E06">
        <w:rPr>
          <w:color w:val="000000" w:themeColor="text1"/>
        </w:rPr>
        <w:fldChar w:fldCharType="begin"/>
      </w:r>
      <w:r w:rsidR="00A63E06">
        <w:rPr>
          <w:color w:val="000000" w:themeColor="text1"/>
        </w:rPr>
        <w:instrText xml:space="preserve"> ADDIN ZOTERO_ITEM CSL_CITATION {"citationID":"pgss63PO","properties":{"formattedCitation":"(Covey et al., 2012)","plainCitation":"(Covey et al., 2012)","noteIndex":0},"citationItems":[{"id":505,"uris":["http://zotero.org/groups/2241939/items/IBFT7Z6R"],"uri":["http://zotero.org/groups/2241939/items/IBFT7Z6R"],"itemData":{"id":505,"type":"article-journal","title":"Elevated methane concentrations in trees of an upland forest","container-title":"Geophysical Research Letters","volume":"39","issue":"15","source":"CrossRef","URL":"http://doi.wiley.com/10.1029/2012GL052361","DOI":"10.1029/2012GL052361","ISSN":"00948276","shortTitle":"Elevated methane concentrations in trees of an upland forest","language":"en","author":[{"family":"Covey","given":"Kristofer R."},{"family":"Wood","given":"Stephen A."},{"family":"Warren","given":"Robert J."},{"family":"Lee","given":"Xuhui"},{"family":"Bradford","given":"Mark A."}],"issued":{"date-parts":[["2012",8,16]]},"accessed":{"date-parts":[["2017",4,1]]}}}],"schema":"https://github.com/citation-style-language/schema/raw/master/csl-citation.json"} </w:instrText>
      </w:r>
      <w:r w:rsidR="00A63E06">
        <w:rPr>
          <w:color w:val="000000" w:themeColor="text1"/>
        </w:rPr>
        <w:fldChar w:fldCharType="separate"/>
      </w:r>
      <w:r w:rsidR="00A63E06" w:rsidRPr="00A63E06">
        <w:rPr>
          <w:rFonts w:cs="Times New Roman"/>
        </w:rPr>
        <w:t>(Covey et al., 2012)</w:t>
      </w:r>
      <w:r w:rsidR="00A63E06">
        <w:rPr>
          <w:color w:val="000000" w:themeColor="text1"/>
        </w:rPr>
        <w:fldChar w:fldCharType="end"/>
      </w:r>
      <w:r w:rsidR="001D634C">
        <w:rPr>
          <w:color w:val="000000" w:themeColor="text1"/>
        </w:rPr>
        <w:t xml:space="preserve"> </w:t>
      </w:r>
      <w:r w:rsidRPr="001B5B28">
        <w:rPr>
          <w:color w:val="000000" w:themeColor="text1"/>
        </w:rPr>
        <w:t>and that grassland soils in mesic systems may saturate with carbon relatively quickly with good management</w:t>
      </w:r>
      <w:r w:rsidR="00A63E06">
        <w:rPr>
          <w:color w:val="000000" w:themeColor="text1"/>
        </w:rPr>
        <w:t xml:space="preserve"> </w:t>
      </w:r>
      <w:r w:rsidR="00843BE4">
        <w:rPr>
          <w:color w:val="000000" w:themeColor="text1"/>
        </w:rPr>
        <w:t xml:space="preserve"> </w:t>
      </w:r>
      <w:r w:rsidR="00A63E06">
        <w:rPr>
          <w:color w:val="000000" w:themeColor="text1"/>
        </w:rPr>
        <w:fldChar w:fldCharType="begin"/>
      </w:r>
      <w:r w:rsidR="00A63E06">
        <w:rPr>
          <w:color w:val="000000" w:themeColor="text1"/>
        </w:rPr>
        <w:instrText xml:space="preserve"> ADDIN ZOTERO_ITEM CSL_CITATION {"citationID":"dHe5g1A4","properties":{"formattedCitation":"(Machmuller et al., 2015)","plainCitation":"(Machmuller et al., 2015)","noteIndex":0},"citationItems":[{"id":3137,"uris":["http://zotero.org/groups/2241939/items/ZZZWP3XN"],"uri":["http://zotero.org/groups/2241939/items/ZZZWP3XN"],"itemData":{"id":3137,"type":"article-journal","title":"Emerging land use practices rapidly increase soil organic matter","container-title":"Nature Communications","volume":"6","issue":"1","source":"Crossref","URL":"http://www.nature.com/articles/ncomms7995","DOI":"10.1038/ncomms7995","ISSN":"2041-1723","language":"en","author":[{"family":"Machmuller","given":"Megan B."},{"family":"Kramer","given":"Marc G."},{"family":"Cyle","given":"Taylor K."},{"family":"Hill","given":"Nick"},{"family":"Hancock","given":"Dennis"},{"family":"Thompson","given":"Aaron"}],"issued":{"date-parts":[["2015",12]]},"accessed":{"date-parts":[["2019",4,3]]}}}],"schema":"https://github.com/citation-style-language/schema/raw/master/csl-citation.json"} </w:instrText>
      </w:r>
      <w:r w:rsidR="00A63E06">
        <w:rPr>
          <w:color w:val="000000" w:themeColor="text1"/>
        </w:rPr>
        <w:fldChar w:fldCharType="separate"/>
      </w:r>
      <w:r w:rsidR="00A63E06" w:rsidRPr="00A63E06">
        <w:rPr>
          <w:rFonts w:cs="Times New Roman"/>
        </w:rPr>
        <w:t>(Machmuller et al., 2015)</w:t>
      </w:r>
      <w:r w:rsidR="00A63E06">
        <w:rPr>
          <w:color w:val="000000" w:themeColor="text1"/>
        </w:rPr>
        <w:fldChar w:fldCharType="end"/>
      </w:r>
      <w:r w:rsidRPr="001B5B28">
        <w:rPr>
          <w:color w:val="000000" w:themeColor="text1"/>
        </w:rPr>
        <w:t xml:space="preserve">, </w:t>
      </w:r>
      <w:r w:rsidR="0065596A">
        <w:rPr>
          <w:color w:val="000000" w:themeColor="text1"/>
        </w:rPr>
        <w:t>current models</w:t>
      </w:r>
      <w:r w:rsidRPr="001B5B28">
        <w:rPr>
          <w:color w:val="000000" w:themeColor="text1"/>
        </w:rPr>
        <w:t xml:space="preserve"> </w:t>
      </w:r>
      <w:r w:rsidR="009C4715">
        <w:rPr>
          <w:color w:val="000000" w:themeColor="text1"/>
        </w:rPr>
        <w:t xml:space="preserve">may </w:t>
      </w:r>
      <w:r w:rsidRPr="001B5B28">
        <w:rPr>
          <w:color w:val="000000" w:themeColor="text1"/>
        </w:rPr>
        <w:t xml:space="preserve">be largely overestimating the global impact of silvopasture on climate. Studies to fill in these gaps in the data would significantly enhance future models. </w:t>
      </w:r>
    </w:p>
    <w:p w14:paraId="40DC47C0" w14:textId="77777777" w:rsidR="001B5B28" w:rsidRPr="001B5B28" w:rsidRDefault="001B5B28" w:rsidP="001B5B28">
      <w:pPr>
        <w:rPr>
          <w:color w:val="000000" w:themeColor="text1"/>
        </w:rPr>
      </w:pPr>
      <w:r w:rsidRPr="001B5B28">
        <w:rPr>
          <w:color w:val="000000" w:themeColor="text1"/>
        </w:rPr>
        <w:t xml:space="preserve">Furthermore, extrapolating sequestration rates from the few areas represented in the literature we found to all tropical-humid grasslands is likely inaccurate. A more accurate approach might utilize earth systems models that model carbon pools based on localized data inputs, but such an approach is computationally intense and beyond the scope of our work. </w:t>
      </w:r>
    </w:p>
    <w:p w14:paraId="5DB95F0C" w14:textId="77777777" w:rsidR="001B5B28" w:rsidRPr="001B5B28" w:rsidRDefault="001B5B28" w:rsidP="001B5B28">
      <w:pPr>
        <w:rPr>
          <w:color w:val="000000" w:themeColor="text1"/>
        </w:rPr>
      </w:pPr>
      <w:r w:rsidRPr="001B5B28">
        <w:rPr>
          <w:color w:val="000000" w:themeColor="text1"/>
        </w:rPr>
        <w:t xml:space="preserve">Similarly, financial components of our model were based on a limited number of studies from a limited number of areas. Since agricultural markets are highly localized, especially in communities where producers are primarily smallholders, access to markets, input costs, and prices differ broadly. </w:t>
      </w:r>
    </w:p>
    <w:p w14:paraId="4673FC3E" w14:textId="606DC33F" w:rsidR="00FF5E1C" w:rsidRPr="001B5B28" w:rsidRDefault="00BA2D2E" w:rsidP="001B5B28">
      <w:pPr>
        <w:rPr>
          <w:color w:val="000000" w:themeColor="text1"/>
        </w:rPr>
      </w:pPr>
      <w:r>
        <w:rPr>
          <w:color w:val="000000"/>
        </w:rPr>
        <w:t>Current literature acknowledges the lack of data regarding silvopasture systems due to their complexity and diversity</w:t>
      </w:r>
      <w:r w:rsidR="00A63E06">
        <w:rPr>
          <w:color w:val="000000"/>
        </w:rPr>
        <w:t xml:space="preserve"> </w:t>
      </w:r>
      <w:r w:rsidR="00A63E06">
        <w:rPr>
          <w:color w:val="000000"/>
        </w:rPr>
        <w:fldChar w:fldCharType="begin"/>
      </w:r>
      <w:r w:rsidR="00A63E06">
        <w:rPr>
          <w:color w:val="000000"/>
        </w:rPr>
        <w:instrText xml:space="preserve"> ADDIN ZOTERO_ITEM CSL_CITATION {"citationID":"VmMMSKkA","properties":{"formattedCitation":"(De Pinto, 2017)","plainCitation":"(De Pinto, 2017)","noteIndex":0},"citationItems":[{"id":2008,"uris":["http://zotero.org/groups/2241939/items/DU7YEFMG"],"uri":["http://zotero.org/groups/2241939/items/DU7YEFMG"],"itemData":{"id":2008,"type":"report","title":"Cropland Restoration as an Essential Component to the Forest Landscape Restoration Approach—Global Effects of Wide-Scale Adoption","publisher":"IFPRI","author":[{"family":"De Pinto","given":"Alessandro"}],"issued":{"date-parts":[["2017"]]}}}],"schema":"https://github.com/citation-style-language/schema/raw/master/csl-citation.json"} </w:instrText>
      </w:r>
      <w:r w:rsidR="00A63E06">
        <w:rPr>
          <w:color w:val="000000"/>
        </w:rPr>
        <w:fldChar w:fldCharType="separate"/>
      </w:r>
      <w:r w:rsidR="00A63E06" w:rsidRPr="00A63E06">
        <w:rPr>
          <w:rFonts w:cs="Times New Roman"/>
        </w:rPr>
        <w:t>(De Pinto, 2017)</w:t>
      </w:r>
      <w:r w:rsidR="00A63E06">
        <w:rPr>
          <w:color w:val="000000"/>
        </w:rPr>
        <w:fldChar w:fldCharType="end"/>
      </w:r>
      <w:r>
        <w:rPr>
          <w:color w:val="000000"/>
        </w:rPr>
        <w:t xml:space="preserve">. </w:t>
      </w:r>
      <w:r w:rsidR="001B5B28" w:rsidRPr="001B5B28">
        <w:rPr>
          <w:color w:val="000000" w:themeColor="text1"/>
        </w:rPr>
        <w:t xml:space="preserve">Given these limitations, </w:t>
      </w:r>
      <w:r w:rsidR="001A09C2">
        <w:rPr>
          <w:color w:val="000000" w:themeColor="text1"/>
        </w:rPr>
        <w:t>Drawdown’s</w:t>
      </w:r>
      <w:r w:rsidR="001B5B28" w:rsidRPr="001B5B28">
        <w:rPr>
          <w:color w:val="000000" w:themeColor="text1"/>
        </w:rPr>
        <w:t xml:space="preserve"> model outcomes should not be taken as completely accurate but as being indicative of the general scale and direction of </w:t>
      </w:r>
      <w:r w:rsidR="001B5B28" w:rsidRPr="003D513E">
        <w:rPr>
          <w:i/>
          <w:color w:val="000000" w:themeColor="text1"/>
        </w:rPr>
        <w:t>silvopasture</w:t>
      </w:r>
      <w:r w:rsidR="001B5B28" w:rsidRPr="001B5B28">
        <w:rPr>
          <w:color w:val="000000" w:themeColor="text1"/>
        </w:rPr>
        <w:t xml:space="preserve">’s drawdown capacity given current knowledge. </w:t>
      </w:r>
    </w:p>
    <w:p w14:paraId="7CAFC693" w14:textId="270A87C3" w:rsidR="007C645A" w:rsidRDefault="551A77D0" w:rsidP="00387E91">
      <w:pPr>
        <w:pStyle w:val="Heading1"/>
        <w:numPr>
          <w:ilvl w:val="0"/>
          <w:numId w:val="4"/>
        </w:numPr>
      </w:pPr>
      <w:bookmarkStart w:id="50" w:name="_Toc18013322"/>
      <w:r>
        <w:t>Results</w:t>
      </w:r>
      <w:bookmarkEnd w:id="50"/>
    </w:p>
    <w:p w14:paraId="7E39F2AB" w14:textId="79101C06" w:rsidR="00B261E0" w:rsidRDefault="007C645A" w:rsidP="00387E91">
      <w:pPr>
        <w:pStyle w:val="Heading2"/>
        <w:numPr>
          <w:ilvl w:val="1"/>
          <w:numId w:val="4"/>
        </w:numPr>
      </w:pPr>
      <w:bookmarkStart w:id="51" w:name="_Toc18013323"/>
      <w:r>
        <w:t>Adoption</w:t>
      </w:r>
      <w:bookmarkEnd w:id="51"/>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1774E29A" w:rsidR="00341625" w:rsidRPr="00D36D25" w:rsidRDefault="00341625" w:rsidP="00341625">
      <w:pPr>
        <w:shd w:val="clear" w:color="auto" w:fill="FFFFFF"/>
        <w:spacing w:after="180"/>
        <w:rPr>
          <w:rFonts w:eastAsia="Helvetica Neue" w:cstheme="minorHAnsi"/>
          <w:color w:val="000000"/>
        </w:rPr>
      </w:pPr>
      <w:r w:rsidRPr="00D36D25">
        <w:rPr>
          <w:rFonts w:eastAsia="Helvetica Neue" w:cstheme="minorHAnsi"/>
          <w:color w:val="000000"/>
        </w:rPr>
        <w:t>Total adoption in the </w:t>
      </w:r>
      <w:r w:rsidRPr="00D36D25">
        <w:rPr>
          <w:rFonts w:eastAsia="Helvetica Neue" w:cstheme="minorHAnsi"/>
          <w:i/>
          <w:color w:val="000000"/>
        </w:rPr>
        <w:t>Plausible</w:t>
      </w:r>
      <w:r w:rsidRPr="00D36D25">
        <w:rPr>
          <w:rFonts w:eastAsia="Helvetica Neue" w:cstheme="minorHAnsi"/>
          <w:color w:val="000000"/>
        </w:rPr>
        <w:t xml:space="preserve"> Scenario is </w:t>
      </w:r>
      <w:r w:rsidR="002464ED" w:rsidRPr="003D513E">
        <w:rPr>
          <w:rFonts w:eastAsia="Helvetica Neue" w:cstheme="minorHAnsi"/>
          <w:color w:val="000000"/>
        </w:rPr>
        <w:t>69</w:t>
      </w:r>
      <w:r w:rsidR="000A4CF6">
        <w:rPr>
          <w:rFonts w:eastAsia="Helvetica Neue" w:cstheme="minorHAnsi"/>
          <w:color w:val="000000"/>
        </w:rPr>
        <w:t>8.50</w:t>
      </w:r>
      <w:r w:rsidRPr="00D36D25">
        <w:rPr>
          <w:rFonts w:eastAsia="Helvetica Neue" w:cstheme="minorHAnsi"/>
          <w:color w:val="000000"/>
        </w:rPr>
        <w:t xml:space="preserve"> million hectares in 2050, representing </w:t>
      </w:r>
      <w:r w:rsidR="002464ED" w:rsidRPr="003D513E">
        <w:rPr>
          <w:rFonts w:eastAsia="Helvetica Neue" w:cstheme="minorHAnsi"/>
          <w:color w:val="000000"/>
        </w:rPr>
        <w:t>7</w:t>
      </w:r>
      <w:r w:rsidR="000A4CF6">
        <w:rPr>
          <w:rFonts w:eastAsia="Helvetica Neue" w:cstheme="minorHAnsi"/>
          <w:color w:val="000000"/>
        </w:rPr>
        <w:t>7</w:t>
      </w:r>
      <w:r w:rsidR="002464ED" w:rsidRPr="003D513E">
        <w:rPr>
          <w:rFonts w:eastAsia="Helvetica Neue" w:cstheme="minorHAnsi"/>
          <w:color w:val="000000"/>
        </w:rPr>
        <w:t xml:space="preserve"> </w:t>
      </w:r>
      <w:r w:rsidRPr="00D36D25">
        <w:rPr>
          <w:rFonts w:eastAsia="Helvetica Neue" w:cstheme="minorHAnsi"/>
          <w:color w:val="000000"/>
        </w:rPr>
        <w:t xml:space="preserve">percent of the total suitable land. Of this, </w:t>
      </w:r>
      <w:r w:rsidR="000A4CF6">
        <w:rPr>
          <w:rFonts w:eastAsia="Helvetica Neue" w:cstheme="minorHAnsi"/>
          <w:color w:val="000000"/>
        </w:rPr>
        <w:t>198.5</w:t>
      </w:r>
      <w:r w:rsidR="002464ED" w:rsidRPr="003D513E">
        <w:rPr>
          <w:rFonts w:eastAsia="Helvetica Neue" w:cstheme="minorHAnsi"/>
          <w:color w:val="000000"/>
        </w:rPr>
        <w:t xml:space="preserve"> </w:t>
      </w:r>
      <w:r w:rsidRPr="00D36D25">
        <w:rPr>
          <w:rFonts w:eastAsia="Helvetica Neue" w:cstheme="minorHAnsi"/>
          <w:color w:val="000000"/>
        </w:rPr>
        <w:t xml:space="preserve">million hectares are adopted from 2020-2050. </w:t>
      </w:r>
    </w:p>
    <w:p w14:paraId="71793B5B" w14:textId="5D751C79" w:rsidR="00341625" w:rsidRPr="00D36D25" w:rsidRDefault="00341625" w:rsidP="00341625">
      <w:pPr>
        <w:shd w:val="clear" w:color="auto" w:fill="FFFFFF"/>
        <w:spacing w:after="180"/>
        <w:rPr>
          <w:rFonts w:eastAsia="Helvetica Neue" w:cstheme="minorHAnsi"/>
          <w:color w:val="000000"/>
        </w:rPr>
      </w:pPr>
      <w:r w:rsidRPr="00D36D25">
        <w:rPr>
          <w:rFonts w:eastAsia="Helvetica Neue" w:cstheme="minorHAnsi"/>
          <w:color w:val="000000"/>
        </w:rPr>
        <w:lastRenderedPageBreak/>
        <w:t>Total adoption in the </w:t>
      </w:r>
      <w:r w:rsidRPr="00D36D25">
        <w:rPr>
          <w:rFonts w:eastAsia="Helvetica Neue" w:cstheme="minorHAnsi"/>
          <w:i/>
          <w:color w:val="000000"/>
        </w:rPr>
        <w:t>Drawdown</w:t>
      </w:r>
      <w:r w:rsidRPr="00D36D25">
        <w:rPr>
          <w:rFonts w:eastAsia="Helvetica Neue" w:cstheme="minorHAnsi"/>
          <w:color w:val="000000"/>
        </w:rPr>
        <w:t xml:space="preserve"> Scenario is </w:t>
      </w:r>
      <w:r w:rsidR="000A4CF6">
        <w:rPr>
          <w:rFonts w:eastAsia="Helvetica Neue" w:cstheme="minorHAnsi"/>
          <w:color w:val="000000"/>
        </w:rPr>
        <w:t>738</w:t>
      </w:r>
      <w:r w:rsidRPr="00D36D25">
        <w:rPr>
          <w:rFonts w:eastAsia="Helvetica Neue" w:cstheme="minorHAnsi"/>
          <w:color w:val="000000"/>
        </w:rPr>
        <w:t xml:space="preserve"> million hectares in 2050, representing </w:t>
      </w:r>
      <w:r w:rsidR="00BD7B4A" w:rsidRPr="003D513E">
        <w:rPr>
          <w:rFonts w:eastAsia="Helvetica Neue" w:cstheme="minorHAnsi"/>
          <w:color w:val="000000"/>
        </w:rPr>
        <w:t>8</w:t>
      </w:r>
      <w:r w:rsidR="000A4CF6">
        <w:rPr>
          <w:rFonts w:eastAsia="Helvetica Neue" w:cstheme="minorHAnsi"/>
          <w:color w:val="000000"/>
        </w:rPr>
        <w:t>1</w:t>
      </w:r>
      <w:r w:rsidR="00BD7B4A" w:rsidRPr="00D36D25">
        <w:rPr>
          <w:rFonts w:eastAsia="Helvetica Neue" w:cstheme="minorHAnsi"/>
          <w:color w:val="000000"/>
        </w:rPr>
        <w:t xml:space="preserve"> </w:t>
      </w:r>
      <w:r w:rsidRPr="00D36D25">
        <w:rPr>
          <w:rFonts w:eastAsia="Helvetica Neue" w:cstheme="minorHAnsi"/>
          <w:color w:val="000000"/>
        </w:rPr>
        <w:t xml:space="preserve">percent of the total suitable land. Of this, </w:t>
      </w:r>
      <w:r w:rsidR="0056035B">
        <w:rPr>
          <w:rFonts w:eastAsia="Helvetica Neue" w:cstheme="minorHAnsi"/>
          <w:color w:val="000000"/>
        </w:rPr>
        <w:t>238</w:t>
      </w:r>
      <w:r w:rsidRPr="00D36D25">
        <w:rPr>
          <w:rFonts w:eastAsia="Helvetica Neue" w:cstheme="minorHAnsi"/>
          <w:color w:val="000000"/>
        </w:rPr>
        <w:t xml:space="preserve"> million hectares are adopted from 2020-2050. </w:t>
      </w:r>
    </w:p>
    <w:p w14:paraId="52E70466" w14:textId="0AE8B5D9" w:rsidR="00341625" w:rsidRPr="00C66A24" w:rsidRDefault="00341625" w:rsidP="00341625">
      <w:pPr>
        <w:shd w:val="clear" w:color="auto" w:fill="FFFFFF"/>
        <w:spacing w:after="180"/>
        <w:rPr>
          <w:rFonts w:eastAsia="Helvetica Neue" w:cstheme="minorHAnsi"/>
          <w:color w:val="000000"/>
        </w:rPr>
      </w:pPr>
      <w:r w:rsidRPr="00D36D25">
        <w:rPr>
          <w:rFonts w:eastAsia="Helvetica Neue" w:cstheme="minorHAnsi"/>
          <w:color w:val="000000"/>
        </w:rPr>
        <w:t>Total adoption in the </w:t>
      </w:r>
      <w:r w:rsidRPr="00D36D25">
        <w:rPr>
          <w:rFonts w:eastAsia="Helvetica Neue" w:cstheme="minorHAnsi"/>
          <w:i/>
          <w:color w:val="000000"/>
        </w:rPr>
        <w:t>Optimum</w:t>
      </w:r>
      <w:r w:rsidRPr="00D36D25">
        <w:rPr>
          <w:rFonts w:eastAsia="Helvetica Neue" w:cstheme="minorHAnsi"/>
          <w:color w:val="000000"/>
        </w:rPr>
        <w:t xml:space="preserve"> Scenario is </w:t>
      </w:r>
      <w:r w:rsidR="0056035B">
        <w:rPr>
          <w:rFonts w:eastAsia="Helvetica Neue" w:cstheme="minorHAnsi"/>
          <w:color w:val="000000"/>
        </w:rPr>
        <w:t>765.90</w:t>
      </w:r>
      <w:r w:rsidRPr="00D36D25">
        <w:rPr>
          <w:rFonts w:eastAsia="Helvetica Neue" w:cstheme="minorHAnsi"/>
          <w:color w:val="000000"/>
        </w:rPr>
        <w:t xml:space="preserve"> million hectares in 2050, representing</w:t>
      </w:r>
      <w:r w:rsidR="00BD7B4A" w:rsidRPr="003D513E">
        <w:rPr>
          <w:rFonts w:eastAsia="Helvetica Neue" w:cstheme="minorHAnsi"/>
          <w:color w:val="000000"/>
        </w:rPr>
        <w:t xml:space="preserve"> </w:t>
      </w:r>
      <w:r w:rsidR="0056035B">
        <w:rPr>
          <w:rFonts w:eastAsia="Helvetica Neue" w:cstheme="minorHAnsi"/>
          <w:color w:val="000000"/>
        </w:rPr>
        <w:t>84</w:t>
      </w:r>
      <w:r w:rsidRPr="00D36D25">
        <w:rPr>
          <w:rFonts w:eastAsia="Helvetica Neue" w:cstheme="minorHAnsi"/>
          <w:color w:val="000000"/>
        </w:rPr>
        <w:t xml:space="preserve"> percent of the total suitable land. Of this, </w:t>
      </w:r>
      <w:r w:rsidR="0056035B">
        <w:rPr>
          <w:rFonts w:eastAsia="Helvetica Neue" w:cstheme="minorHAnsi"/>
          <w:color w:val="000000"/>
        </w:rPr>
        <w:t>265.90</w:t>
      </w:r>
      <w:r w:rsidRPr="00D36D25">
        <w:rPr>
          <w:rFonts w:eastAsia="Helvetica Neue" w:cstheme="minorHAnsi"/>
          <w:color w:val="000000"/>
        </w:rPr>
        <w:t xml:space="preserve"> million hectares are adopted from 2020-2050.</w:t>
      </w:r>
      <w:r w:rsidRPr="00482F10">
        <w:rPr>
          <w:rFonts w:eastAsia="Helvetica Neue" w:cstheme="minorHAnsi"/>
          <w:color w:val="000000"/>
        </w:rPr>
        <w:t xml:space="preserve"> </w:t>
      </w:r>
    </w:p>
    <w:p w14:paraId="4D63FADF" w14:textId="77777777" w:rsidR="00341625" w:rsidRDefault="00341625" w:rsidP="00DB4CC8">
      <w:pPr>
        <w:pStyle w:val="Caption"/>
        <w:jc w:val="center"/>
      </w:pPr>
    </w:p>
    <w:p w14:paraId="21183A78" w14:textId="489BE283" w:rsidR="008D1491" w:rsidRPr="003D513E" w:rsidRDefault="008D1491" w:rsidP="003D513E">
      <w:pPr>
        <w:pStyle w:val="Caption"/>
        <w:jc w:val="left"/>
        <w:rPr>
          <w:b/>
          <w:color w:val="auto"/>
          <w:sz w:val="20"/>
        </w:rPr>
      </w:pPr>
      <w:bookmarkStart w:id="52" w:name="_Toc18448129"/>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3</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1</w:t>
      </w:r>
      <w:r w:rsidR="00B037A8">
        <w:rPr>
          <w:b/>
          <w:color w:val="auto"/>
          <w:sz w:val="20"/>
        </w:rPr>
        <w:fldChar w:fldCharType="end"/>
      </w:r>
      <w:r w:rsidRPr="003D513E">
        <w:rPr>
          <w:b/>
          <w:color w:val="auto"/>
          <w:sz w:val="20"/>
        </w:rPr>
        <w:t xml:space="preserve"> </w:t>
      </w:r>
      <w:r w:rsidR="005C77F5" w:rsidRPr="003D513E">
        <w:rPr>
          <w:b/>
          <w:color w:val="auto"/>
          <w:sz w:val="20"/>
        </w:rPr>
        <w:t xml:space="preserve">World </w:t>
      </w:r>
      <w:r w:rsidRPr="003D513E">
        <w:rPr>
          <w:b/>
          <w:color w:val="auto"/>
          <w:sz w:val="20"/>
        </w:rPr>
        <w:t>Adoption</w:t>
      </w:r>
      <w:r w:rsidR="005C77F5" w:rsidRPr="003D513E">
        <w:rPr>
          <w:b/>
          <w:color w:val="auto"/>
          <w:sz w:val="20"/>
        </w:rPr>
        <w:t xml:space="preserve"> of the Solution</w:t>
      </w:r>
      <w:bookmarkEnd w:id="52"/>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6035B" w:rsidRPr="008D1491" w14:paraId="305C72A7" w14:textId="77777777" w:rsidTr="0056035B">
        <w:trPr>
          <w:trHeight w:val="840"/>
        </w:trPr>
        <w:tc>
          <w:tcPr>
            <w:tcW w:w="1951" w:type="dxa"/>
            <w:vMerge w:val="restart"/>
            <w:vAlign w:val="center"/>
          </w:tcPr>
          <w:p w14:paraId="2B8FFE1B" w14:textId="33FDCC2A" w:rsidR="0056035B" w:rsidRPr="008D1491" w:rsidRDefault="0056035B" w:rsidP="0056035B">
            <w:pPr>
              <w:jc w:val="center"/>
              <w:rPr>
                <w:sz w:val="20"/>
                <w:szCs w:val="20"/>
              </w:rPr>
            </w:pPr>
            <w:r>
              <w:rPr>
                <w:sz w:val="20"/>
                <w:szCs w:val="20"/>
              </w:rPr>
              <w:t>Silvopasture</w:t>
            </w:r>
          </w:p>
        </w:tc>
        <w:tc>
          <w:tcPr>
            <w:tcW w:w="1730" w:type="dxa"/>
            <w:vAlign w:val="center"/>
          </w:tcPr>
          <w:p w14:paraId="5BDA7373" w14:textId="7A13D18D" w:rsidR="0056035B" w:rsidRPr="00341625" w:rsidRDefault="0056035B" w:rsidP="0056035B">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223D67DC" w:rsidR="0056035B" w:rsidRPr="0056035B" w:rsidRDefault="0056035B" w:rsidP="0056035B">
            <w:pPr>
              <w:jc w:val="center"/>
              <w:rPr>
                <w:rFonts w:cstheme="minorHAnsi"/>
                <w:bCs/>
                <w:sz w:val="20"/>
                <w:szCs w:val="20"/>
              </w:rPr>
            </w:pPr>
            <w:r w:rsidRPr="0056035B">
              <w:rPr>
                <w:sz w:val="20"/>
                <w:szCs w:val="20"/>
              </w:rPr>
              <w:t xml:space="preserve"> 500.00 </w:t>
            </w:r>
          </w:p>
        </w:tc>
        <w:tc>
          <w:tcPr>
            <w:tcW w:w="1417" w:type="dxa"/>
            <w:vAlign w:val="center"/>
          </w:tcPr>
          <w:p w14:paraId="2A8FE7A2" w14:textId="54A91DF5" w:rsidR="0056035B" w:rsidRPr="0056035B" w:rsidRDefault="0056035B" w:rsidP="0056035B">
            <w:pPr>
              <w:jc w:val="center"/>
              <w:rPr>
                <w:rFonts w:cstheme="minorHAnsi"/>
                <w:bCs/>
                <w:sz w:val="20"/>
                <w:szCs w:val="20"/>
              </w:rPr>
            </w:pPr>
            <w:r w:rsidRPr="0056035B">
              <w:rPr>
                <w:sz w:val="20"/>
                <w:szCs w:val="20"/>
              </w:rPr>
              <w:t>198.50</w:t>
            </w:r>
          </w:p>
        </w:tc>
        <w:tc>
          <w:tcPr>
            <w:tcW w:w="1559" w:type="dxa"/>
            <w:vAlign w:val="center"/>
          </w:tcPr>
          <w:p w14:paraId="79EE8DDC" w14:textId="4C523591" w:rsidR="0056035B" w:rsidRPr="0056035B" w:rsidRDefault="0056035B" w:rsidP="0056035B">
            <w:pPr>
              <w:jc w:val="center"/>
              <w:rPr>
                <w:rFonts w:cstheme="minorHAnsi"/>
                <w:bCs/>
                <w:sz w:val="20"/>
                <w:szCs w:val="20"/>
              </w:rPr>
            </w:pPr>
            <w:r w:rsidRPr="0056035B">
              <w:rPr>
                <w:sz w:val="20"/>
                <w:szCs w:val="20"/>
              </w:rPr>
              <w:t>238.00</w:t>
            </w:r>
          </w:p>
        </w:tc>
        <w:tc>
          <w:tcPr>
            <w:tcW w:w="1284" w:type="dxa"/>
            <w:vAlign w:val="center"/>
          </w:tcPr>
          <w:p w14:paraId="5B002A1D" w14:textId="3F3892F0" w:rsidR="0056035B" w:rsidRPr="0056035B" w:rsidRDefault="0056035B" w:rsidP="0056035B">
            <w:pPr>
              <w:jc w:val="center"/>
              <w:rPr>
                <w:rFonts w:cstheme="minorHAnsi"/>
                <w:bCs/>
                <w:sz w:val="20"/>
                <w:szCs w:val="20"/>
              </w:rPr>
            </w:pPr>
            <w:r w:rsidRPr="0056035B">
              <w:rPr>
                <w:sz w:val="20"/>
                <w:szCs w:val="20"/>
              </w:rPr>
              <w:t>265.90</w:t>
            </w:r>
          </w:p>
        </w:tc>
      </w:tr>
      <w:tr w:rsidR="0056035B" w:rsidRPr="008D1491" w14:paraId="59E1863D" w14:textId="77777777" w:rsidTr="0056035B">
        <w:trPr>
          <w:trHeight w:val="32"/>
        </w:trPr>
        <w:tc>
          <w:tcPr>
            <w:tcW w:w="1951" w:type="dxa"/>
            <w:vMerge/>
            <w:vAlign w:val="center"/>
          </w:tcPr>
          <w:p w14:paraId="518ED63B" w14:textId="77777777" w:rsidR="0056035B" w:rsidRDefault="0056035B" w:rsidP="0056035B">
            <w:pPr>
              <w:jc w:val="center"/>
              <w:rPr>
                <w:sz w:val="20"/>
                <w:szCs w:val="20"/>
              </w:rPr>
            </w:pPr>
          </w:p>
        </w:tc>
        <w:tc>
          <w:tcPr>
            <w:tcW w:w="1730" w:type="dxa"/>
            <w:vAlign w:val="center"/>
          </w:tcPr>
          <w:p w14:paraId="2352B4C1" w14:textId="73B014A0" w:rsidR="0056035B" w:rsidRPr="005C77F5" w:rsidRDefault="0056035B" w:rsidP="0056035B">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1112A110" w:rsidR="0056035B" w:rsidRPr="0056035B" w:rsidRDefault="0056035B" w:rsidP="0056035B">
            <w:pPr>
              <w:jc w:val="center"/>
              <w:rPr>
                <w:rFonts w:cstheme="minorHAnsi"/>
                <w:bCs/>
                <w:sz w:val="20"/>
                <w:szCs w:val="20"/>
              </w:rPr>
            </w:pPr>
            <w:r w:rsidRPr="0056035B">
              <w:rPr>
                <w:sz w:val="20"/>
                <w:szCs w:val="20"/>
              </w:rPr>
              <w:t>55%</w:t>
            </w:r>
          </w:p>
        </w:tc>
        <w:tc>
          <w:tcPr>
            <w:tcW w:w="1417" w:type="dxa"/>
            <w:vAlign w:val="center"/>
          </w:tcPr>
          <w:p w14:paraId="34CAFB53" w14:textId="74266DCB" w:rsidR="0056035B" w:rsidRPr="0056035B" w:rsidRDefault="0056035B" w:rsidP="0056035B">
            <w:pPr>
              <w:jc w:val="center"/>
              <w:rPr>
                <w:rFonts w:cstheme="minorHAnsi"/>
                <w:bCs/>
                <w:sz w:val="20"/>
                <w:szCs w:val="20"/>
              </w:rPr>
            </w:pPr>
            <w:r w:rsidRPr="0056035B">
              <w:rPr>
                <w:sz w:val="20"/>
                <w:szCs w:val="20"/>
              </w:rPr>
              <w:t>77%</w:t>
            </w:r>
          </w:p>
        </w:tc>
        <w:tc>
          <w:tcPr>
            <w:tcW w:w="1559" w:type="dxa"/>
            <w:vAlign w:val="center"/>
          </w:tcPr>
          <w:p w14:paraId="43B375D1" w14:textId="4F836FC4" w:rsidR="0056035B" w:rsidRPr="0056035B" w:rsidRDefault="0056035B" w:rsidP="0056035B">
            <w:pPr>
              <w:jc w:val="center"/>
              <w:rPr>
                <w:rFonts w:cstheme="minorHAnsi"/>
                <w:bCs/>
                <w:sz w:val="20"/>
                <w:szCs w:val="20"/>
              </w:rPr>
            </w:pPr>
            <w:r w:rsidRPr="0056035B">
              <w:rPr>
                <w:sz w:val="20"/>
                <w:szCs w:val="20"/>
              </w:rPr>
              <w:t>81%</w:t>
            </w:r>
          </w:p>
        </w:tc>
        <w:tc>
          <w:tcPr>
            <w:tcW w:w="1284" w:type="dxa"/>
            <w:vAlign w:val="center"/>
          </w:tcPr>
          <w:p w14:paraId="7641EB01" w14:textId="05BE421C" w:rsidR="0056035B" w:rsidRPr="0056035B" w:rsidRDefault="0056035B" w:rsidP="0056035B">
            <w:pPr>
              <w:jc w:val="center"/>
              <w:rPr>
                <w:rFonts w:cstheme="minorHAnsi"/>
                <w:bCs/>
                <w:sz w:val="20"/>
                <w:szCs w:val="20"/>
              </w:rPr>
            </w:pPr>
            <w:r w:rsidRPr="0056035B">
              <w:rPr>
                <w:sz w:val="20"/>
                <w:szCs w:val="20"/>
              </w:rPr>
              <w:t>84%</w:t>
            </w:r>
          </w:p>
        </w:tc>
      </w:tr>
    </w:tbl>
    <w:p w14:paraId="2AB38D2C" w14:textId="77777777" w:rsidR="00762877" w:rsidRDefault="00762877" w:rsidP="00DB4CC8">
      <w:pPr>
        <w:spacing w:after="0"/>
        <w:jc w:val="center"/>
        <w:rPr>
          <w:rFonts w:cstheme="minorHAnsi"/>
          <w:b/>
          <w:bCs/>
          <w:i/>
        </w:rPr>
      </w:pPr>
    </w:p>
    <w:p w14:paraId="7A2926D4" w14:textId="5202100C" w:rsidR="003A7929" w:rsidRDefault="0056035B" w:rsidP="0056035B">
      <w:pPr>
        <w:pStyle w:val="Caption"/>
        <w:jc w:val="center"/>
      </w:pPr>
      <w:bookmarkStart w:id="53" w:name="_Hlk3888945"/>
      <w:r>
        <w:rPr>
          <w:noProof/>
        </w:rPr>
        <w:drawing>
          <wp:inline distT="0" distB="0" distL="0" distR="0" wp14:anchorId="5E82182F" wp14:editId="3FE6AEBF">
            <wp:extent cx="4623707" cy="3271977"/>
            <wp:effectExtent l="0" t="0" r="5715" b="5080"/>
            <wp:docPr id="4" name="Chart 4">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2E7EBE" w14:textId="54A4D0AB" w:rsidR="00713D96" w:rsidRPr="00713D96" w:rsidRDefault="00713D96" w:rsidP="00713D96">
      <w:pPr>
        <w:jc w:val="center"/>
      </w:pPr>
      <w:r>
        <w:rPr>
          <w:noProof/>
        </w:rPr>
        <w:lastRenderedPageBreak/>
        <w:drawing>
          <wp:inline distT="0" distB="0" distL="0" distR="0" wp14:anchorId="51E60431" wp14:editId="69F79F31">
            <wp:extent cx="4642757" cy="3119577"/>
            <wp:effectExtent l="0" t="0" r="5715" b="5080"/>
            <wp:docPr id="5" name="Chart 5">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78BB54" w14:textId="3413A228" w:rsidR="00A456E1" w:rsidRPr="003D513E" w:rsidRDefault="00A456E1" w:rsidP="003D513E">
      <w:pPr>
        <w:pStyle w:val="Caption"/>
        <w:jc w:val="left"/>
        <w:rPr>
          <w:b/>
          <w:color w:val="auto"/>
          <w:sz w:val="20"/>
        </w:rPr>
      </w:pPr>
      <w:bookmarkStart w:id="54" w:name="_Toc18146512"/>
      <w:r w:rsidRPr="003D513E">
        <w:rPr>
          <w:b/>
          <w:color w:val="auto"/>
          <w:sz w:val="20"/>
        </w:rPr>
        <w:t xml:space="preserve">Figure </w:t>
      </w:r>
      <w:r w:rsidRPr="003D513E">
        <w:rPr>
          <w:b/>
          <w:noProof/>
          <w:color w:val="auto"/>
          <w:sz w:val="20"/>
        </w:rPr>
        <w:fldChar w:fldCharType="begin"/>
      </w:r>
      <w:r w:rsidRPr="003D513E">
        <w:rPr>
          <w:b/>
          <w:noProof/>
          <w:color w:val="auto"/>
          <w:sz w:val="20"/>
        </w:rPr>
        <w:instrText xml:space="preserve"> STYLEREF 1 \s </w:instrText>
      </w:r>
      <w:r w:rsidRPr="003D513E">
        <w:rPr>
          <w:b/>
          <w:noProof/>
          <w:color w:val="auto"/>
          <w:sz w:val="20"/>
        </w:rPr>
        <w:fldChar w:fldCharType="separate"/>
      </w:r>
      <w:r w:rsidR="00614A66">
        <w:rPr>
          <w:b/>
          <w:noProof/>
          <w:color w:val="auto"/>
          <w:sz w:val="20"/>
        </w:rPr>
        <w:t>3</w:t>
      </w:r>
      <w:r w:rsidRPr="003D513E">
        <w:rPr>
          <w:b/>
          <w:noProof/>
          <w:color w:val="auto"/>
          <w:sz w:val="20"/>
        </w:rPr>
        <w:fldChar w:fldCharType="end"/>
      </w:r>
      <w:r w:rsidRPr="003D513E">
        <w:rPr>
          <w:b/>
          <w:color w:val="auto"/>
          <w:sz w:val="20"/>
        </w:rPr>
        <w:t>.</w:t>
      </w:r>
      <w:r w:rsidRPr="003D513E">
        <w:rPr>
          <w:b/>
          <w:noProof/>
          <w:color w:val="auto"/>
          <w:sz w:val="20"/>
        </w:rPr>
        <w:fldChar w:fldCharType="begin"/>
      </w:r>
      <w:r w:rsidRPr="003D513E">
        <w:rPr>
          <w:b/>
          <w:noProof/>
          <w:color w:val="auto"/>
          <w:sz w:val="20"/>
        </w:rPr>
        <w:instrText xml:space="preserve"> SEQ Figure \* ARABIC \s 1 </w:instrText>
      </w:r>
      <w:r w:rsidRPr="003D513E">
        <w:rPr>
          <w:b/>
          <w:noProof/>
          <w:color w:val="auto"/>
          <w:sz w:val="20"/>
        </w:rPr>
        <w:fldChar w:fldCharType="separate"/>
      </w:r>
      <w:r w:rsidR="00614A66">
        <w:rPr>
          <w:b/>
          <w:noProof/>
          <w:color w:val="auto"/>
          <w:sz w:val="20"/>
        </w:rPr>
        <w:t>1</w:t>
      </w:r>
      <w:r w:rsidRPr="003D513E">
        <w:rPr>
          <w:b/>
          <w:noProof/>
          <w:color w:val="auto"/>
          <w:sz w:val="20"/>
        </w:rPr>
        <w:fldChar w:fldCharType="end"/>
      </w:r>
      <w:r w:rsidRPr="003D513E">
        <w:rPr>
          <w:b/>
          <w:color w:val="auto"/>
          <w:sz w:val="20"/>
        </w:rPr>
        <w:t xml:space="preserve"> World Annual Adoption 2020-2050 in Mha (a) and as a percentage of TLA (b).</w:t>
      </w:r>
      <w:bookmarkEnd w:id="54"/>
    </w:p>
    <w:p w14:paraId="6B6F22E7" w14:textId="19002B27" w:rsidR="003A7929" w:rsidRDefault="551A77D0" w:rsidP="00387E91">
      <w:pPr>
        <w:pStyle w:val="Heading2"/>
        <w:numPr>
          <w:ilvl w:val="1"/>
          <w:numId w:val="4"/>
        </w:numPr>
      </w:pPr>
      <w:bookmarkStart w:id="55" w:name="_Toc18013324"/>
      <w:bookmarkEnd w:id="53"/>
      <w:r w:rsidRPr="551A77D0">
        <w:t>Climate Impacts</w:t>
      </w:r>
      <w:bookmarkEnd w:id="55"/>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31F16FD1" w:rsidR="00FE712D" w:rsidRPr="00304550" w:rsidRDefault="00421312" w:rsidP="00FE712D">
      <w:pPr>
        <w:shd w:val="clear" w:color="auto" w:fill="FFFFFF"/>
        <w:spacing w:after="180"/>
        <w:rPr>
          <w:rFonts w:eastAsia="Helvetica Neue" w:cstheme="minorHAnsi"/>
          <w:color w:val="000000"/>
        </w:rPr>
      </w:pPr>
      <w:bookmarkStart w:id="56" w:name="_Hlk3889144"/>
      <w:r>
        <w:rPr>
          <w:rFonts w:eastAsia="Helvetica Neue" w:cstheme="minorHAnsi"/>
          <w:color w:val="000000"/>
        </w:rPr>
        <w:t xml:space="preserve">Carbon </w:t>
      </w:r>
      <w:r w:rsidRPr="00304550">
        <w:rPr>
          <w:rFonts w:eastAsia="Helvetica Neue" w:cstheme="minorHAnsi"/>
          <w:color w:val="000000"/>
        </w:rPr>
        <w:t xml:space="preserve">sequestration </w:t>
      </w:r>
      <w:bookmarkEnd w:id="56"/>
      <w:r w:rsidR="00FE712D" w:rsidRPr="00304550">
        <w:rPr>
          <w:rFonts w:eastAsia="Helvetica Neue" w:cstheme="minorHAnsi"/>
          <w:color w:val="000000"/>
        </w:rPr>
        <w:t>impact is</w:t>
      </w:r>
      <w:r w:rsidR="00713D96" w:rsidRPr="00713D96">
        <w:rPr>
          <w:rFonts w:eastAsia="Helvetica Neue" w:cstheme="minorHAnsi"/>
          <w:color w:val="000000"/>
        </w:rPr>
        <w:t xml:space="preserve"> 35.69</w:t>
      </w:r>
      <w:r w:rsidR="00713D96">
        <w:rPr>
          <w:rFonts w:eastAsia="Helvetica Neue" w:cstheme="minorHAnsi"/>
          <w:color w:val="000000"/>
        </w:rPr>
        <w:t>,</w:t>
      </w:r>
      <w:r w:rsidR="00713D96" w:rsidRPr="00713D96">
        <w:rPr>
          <w:rFonts w:eastAsia="Helvetica Neue" w:cstheme="minorHAnsi"/>
          <w:color w:val="000000"/>
        </w:rPr>
        <w:t xml:space="preserve"> 42.87</w:t>
      </w:r>
      <w:r w:rsidR="00713D96">
        <w:rPr>
          <w:rFonts w:eastAsia="Helvetica Neue" w:cstheme="minorHAnsi"/>
          <w:color w:val="000000"/>
        </w:rPr>
        <w:t>, and</w:t>
      </w:r>
      <w:r w:rsidR="00713D96" w:rsidRPr="00713D96">
        <w:rPr>
          <w:rFonts w:eastAsia="Helvetica Neue" w:cstheme="minorHAnsi"/>
          <w:color w:val="000000"/>
        </w:rPr>
        <w:t xml:space="preserve"> 52.39 </w:t>
      </w:r>
      <w:r w:rsidR="00FE712D" w:rsidRPr="00304550">
        <w:rPr>
          <w:rFonts w:eastAsia="Helvetica Neue" w:cstheme="minorHAnsi"/>
          <w:color w:val="000000"/>
        </w:rPr>
        <w:t xml:space="preserve">gigatons of carbon-dioxide equivalent in the </w:t>
      </w:r>
      <w:r w:rsidR="00FE712D" w:rsidRPr="00304550">
        <w:rPr>
          <w:rFonts w:eastAsia="Helvetica Neue" w:cstheme="minorHAnsi"/>
          <w:i/>
          <w:color w:val="000000"/>
        </w:rPr>
        <w:t xml:space="preserve">Plausible, Drawdown, </w:t>
      </w:r>
      <w:r w:rsidR="00FE712D" w:rsidRPr="00304550">
        <w:rPr>
          <w:rFonts w:eastAsia="Helvetica Neue" w:cstheme="minorHAnsi"/>
          <w:color w:val="000000"/>
        </w:rPr>
        <w:t xml:space="preserve">and </w:t>
      </w:r>
      <w:r w:rsidR="00FE712D" w:rsidRPr="00304550">
        <w:rPr>
          <w:rFonts w:eastAsia="Helvetica Neue" w:cstheme="minorHAnsi"/>
          <w:i/>
          <w:color w:val="000000"/>
        </w:rPr>
        <w:t>Optimum</w:t>
      </w:r>
      <w:r w:rsidR="00FE712D" w:rsidRPr="00304550">
        <w:rPr>
          <w:rFonts w:eastAsia="Helvetica Neue" w:cstheme="minorHAnsi"/>
          <w:color w:val="000000"/>
        </w:rPr>
        <w:t xml:space="preserve"> Scenarios respectively.</w:t>
      </w:r>
    </w:p>
    <w:p w14:paraId="4DA2B4CB" w14:textId="6BA747A5" w:rsidR="00762877" w:rsidRPr="003D513E" w:rsidRDefault="0066753A" w:rsidP="003D513E">
      <w:pPr>
        <w:pStyle w:val="Caption"/>
        <w:jc w:val="left"/>
        <w:rPr>
          <w:rFonts w:eastAsia="Times New Roman" w:cs="Times New Roman"/>
          <w:b/>
          <w:color w:val="auto"/>
          <w:sz w:val="28"/>
          <w:szCs w:val="24"/>
          <w:lang w:eastAsia="zh-CN"/>
        </w:rPr>
      </w:pPr>
      <w:bookmarkStart w:id="57" w:name="_Toc18448130"/>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3</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2</w:t>
      </w:r>
      <w:r w:rsidR="00B037A8">
        <w:rPr>
          <w:b/>
          <w:color w:val="auto"/>
          <w:sz w:val="20"/>
        </w:rPr>
        <w:fldChar w:fldCharType="end"/>
      </w:r>
      <w:r w:rsidRPr="003D513E">
        <w:rPr>
          <w:b/>
          <w:color w:val="auto"/>
          <w:sz w:val="20"/>
        </w:rPr>
        <w:t xml:space="preserve"> Climate Impacts</w:t>
      </w:r>
      <w:bookmarkEnd w:id="57"/>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713D96" w:rsidRPr="006B675D" w14:paraId="354A2249" w14:textId="7B11184C" w:rsidTr="00DF5048">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713D96" w:rsidRPr="006B675D" w:rsidRDefault="00713D96" w:rsidP="00713D96">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E8268F2" w:rsidR="00713D96" w:rsidRPr="006B675D" w:rsidRDefault="00713D96" w:rsidP="00713D96">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861250C" w:rsidR="00713D96" w:rsidRPr="006B675D" w:rsidRDefault="00713D96" w:rsidP="00713D96">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41C04DED" w:rsidR="00713D96" w:rsidRPr="00713D96"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 xml:space="preserve"> 2.00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411D021F" w:rsidR="00713D96" w:rsidRPr="00713D96"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35.69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3AF857CD" w:rsidR="00713D96" w:rsidRPr="003D513E"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35.69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2BB44EAF" w:rsidR="00713D96" w:rsidRPr="00713D96"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sz w:val="20"/>
                <w:szCs w:val="20"/>
              </w:rPr>
              <w:t xml:space="preserve"> 0.86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62B2B6EC" w:rsidR="00713D96" w:rsidRPr="00713D96"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sz w:val="20"/>
                <w:szCs w:val="20"/>
              </w:rPr>
              <w:t xml:space="preserve"> 2.00 </w:t>
            </w:r>
          </w:p>
        </w:tc>
      </w:tr>
      <w:tr w:rsidR="00713D96" w:rsidRPr="006B675D" w14:paraId="7DCB0C2E" w14:textId="35D5AF3A" w:rsidTr="00DF5048">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713D96" w:rsidRPr="006B675D" w:rsidRDefault="00713D96" w:rsidP="00713D96">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lastRenderedPageBreak/>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5AA6583" w:rsidR="00713D96" w:rsidRPr="006B675D" w:rsidRDefault="00713D96" w:rsidP="00713D96">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006BDD42" w:rsidR="00713D96" w:rsidRPr="006B675D" w:rsidRDefault="00713D96" w:rsidP="00713D96">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32E7E392" w:rsidR="00713D96" w:rsidRPr="00713D96"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 xml:space="preserve"> 2.39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118C2BDD" w:rsidR="00713D96" w:rsidRPr="00713D96"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42.87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7D88A1FC" w:rsidR="00713D96" w:rsidRPr="003D513E"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42.87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607F0C08" w:rsidR="00713D96" w:rsidRPr="00713D96"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sz w:val="20"/>
                <w:szCs w:val="20"/>
              </w:rPr>
              <w:t xml:space="preserve"> 1.06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0CF80767" w:rsidR="00713D96" w:rsidRPr="00713D96"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sz w:val="20"/>
                <w:szCs w:val="20"/>
              </w:rPr>
              <w:t xml:space="preserve"> 2.39 </w:t>
            </w:r>
          </w:p>
        </w:tc>
      </w:tr>
      <w:tr w:rsidR="00713D96" w:rsidRPr="006B675D" w14:paraId="7CA1AA1B" w14:textId="3D7819CF" w:rsidTr="00DF5048">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713D96" w:rsidRPr="006B675D" w:rsidRDefault="00713D96" w:rsidP="00713D96">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1249AC3" w:rsidR="00713D96" w:rsidRPr="006B675D" w:rsidRDefault="00713D96" w:rsidP="00713D96">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4020AC12" w:rsidR="00713D96" w:rsidRPr="006B675D" w:rsidRDefault="00713D96" w:rsidP="00713D96">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251EE147" w:rsidR="00713D96" w:rsidRPr="00713D96"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 xml:space="preserve"> 2.67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1E544984" w:rsidR="00713D96" w:rsidRPr="00713D96"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52.39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12820527" w:rsidR="00713D96" w:rsidRPr="003D513E" w:rsidRDefault="00713D96" w:rsidP="00713D96">
            <w:pPr>
              <w:shd w:val="clear" w:color="auto" w:fill="FFFFFF"/>
              <w:spacing w:after="0"/>
              <w:jc w:val="center"/>
              <w:rPr>
                <w:rFonts w:eastAsia="Times New Roman" w:cstheme="minorHAnsi"/>
                <w:color w:val="000000" w:themeColor="text1"/>
                <w:sz w:val="20"/>
                <w:szCs w:val="20"/>
                <w:highlight w:val="yellow"/>
                <w:lang w:eastAsia="zh-CN"/>
              </w:rPr>
            </w:pPr>
            <w:r w:rsidRPr="00713D96">
              <w:rPr>
                <w:sz w:val="20"/>
                <w:szCs w:val="20"/>
              </w:rPr>
              <w:t>52.39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24DACD32" w:rsidR="00713D96" w:rsidRPr="00713D96"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sz w:val="20"/>
                <w:szCs w:val="20"/>
              </w:rPr>
              <w:t xml:space="preserve"> 1.34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5F188DE7" w:rsidR="00713D96" w:rsidRPr="00713D96"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sz w:val="20"/>
                <w:szCs w:val="20"/>
              </w:rPr>
              <w:t xml:space="preserve"> 2.67 </w:t>
            </w:r>
          </w:p>
        </w:tc>
      </w:tr>
    </w:tbl>
    <w:p w14:paraId="43965544" w14:textId="77777777" w:rsidR="00BB79D6" w:rsidRDefault="00BB79D6" w:rsidP="00DB4CC8">
      <w:pPr>
        <w:pStyle w:val="Caption"/>
      </w:pPr>
      <w:bookmarkStart w:id="58" w:name="_Toc524993443"/>
    </w:p>
    <w:p w14:paraId="54B5EBE5" w14:textId="0530AE56" w:rsidR="006B675D" w:rsidRP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43093E71" w:rsidR="00762877" w:rsidRPr="003D513E" w:rsidRDefault="003A7929" w:rsidP="003D513E">
      <w:pPr>
        <w:pStyle w:val="Caption"/>
        <w:jc w:val="left"/>
        <w:rPr>
          <w:rFonts w:eastAsia="Times New Roman" w:cs="Times New Roman"/>
          <w:b/>
          <w:color w:val="auto"/>
          <w:sz w:val="28"/>
          <w:szCs w:val="24"/>
          <w:lang w:eastAsia="zh-CN"/>
        </w:rPr>
      </w:pPr>
      <w:bookmarkStart w:id="59" w:name="_Toc18448131"/>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3</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3</w:t>
      </w:r>
      <w:r w:rsidR="00B037A8">
        <w:rPr>
          <w:b/>
          <w:color w:val="auto"/>
          <w:sz w:val="20"/>
        </w:rPr>
        <w:fldChar w:fldCharType="end"/>
      </w:r>
      <w:r w:rsidRPr="003D513E">
        <w:rPr>
          <w:b/>
          <w:color w:val="auto"/>
          <w:sz w:val="20"/>
        </w:rPr>
        <w:t xml:space="preserve"> Impacts on Atmospheric Concentrations of CO</w:t>
      </w:r>
      <w:r w:rsidRPr="003D513E">
        <w:rPr>
          <w:b/>
          <w:color w:val="auto"/>
          <w:sz w:val="20"/>
          <w:vertAlign w:val="subscript"/>
        </w:rPr>
        <w:t>2</w:t>
      </w:r>
      <w:r w:rsidRPr="003D513E">
        <w:rPr>
          <w:b/>
          <w:color w:val="auto"/>
          <w:sz w:val="20"/>
        </w:rPr>
        <w:t>-eq</w:t>
      </w:r>
      <w:bookmarkEnd w:id="58"/>
      <w:bookmarkEnd w:id="59"/>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656F19AD" w:rsidR="003A7929" w:rsidRPr="0066753A"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rFonts w:eastAsia="Times New Roman" w:cstheme="minorHAnsi"/>
                <w:color w:val="000000" w:themeColor="text1"/>
                <w:sz w:val="20"/>
                <w:szCs w:val="20"/>
                <w:lang w:eastAsia="zh-CN"/>
              </w:rPr>
              <w:t>3.00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7074B742" w:rsidR="003A7929" w:rsidRPr="0066753A" w:rsidRDefault="00713D96" w:rsidP="00DB4CC8">
            <w:pPr>
              <w:shd w:val="clear" w:color="auto" w:fill="FFFFFF"/>
              <w:spacing w:after="0"/>
              <w:jc w:val="center"/>
              <w:rPr>
                <w:rFonts w:eastAsia="Times New Roman" w:cstheme="minorHAnsi"/>
                <w:color w:val="000000" w:themeColor="text1"/>
                <w:sz w:val="20"/>
                <w:szCs w:val="20"/>
                <w:lang w:eastAsia="zh-CN"/>
              </w:rPr>
            </w:pPr>
            <w:r w:rsidRPr="00713D96">
              <w:rPr>
                <w:rFonts w:eastAsia="Times New Roman" w:cstheme="minorHAnsi"/>
                <w:color w:val="000000" w:themeColor="text1"/>
                <w:sz w:val="20"/>
                <w:szCs w:val="20"/>
                <w:lang w:eastAsia="zh-CN"/>
              </w:rPr>
              <w:t>0.15</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434916DD" w:rsidR="0030099E" w:rsidRPr="0066753A"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rFonts w:eastAsia="Times New Roman" w:cstheme="minorHAnsi"/>
                <w:color w:val="000000" w:themeColor="text1"/>
                <w:sz w:val="20"/>
                <w:szCs w:val="20"/>
                <w:lang w:eastAsia="zh-CN"/>
              </w:rPr>
              <w:t>3.62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01235002" w:rsidR="0030099E" w:rsidRPr="0066753A" w:rsidRDefault="00713D96" w:rsidP="00DB4CC8">
            <w:pPr>
              <w:shd w:val="clear" w:color="auto" w:fill="FFFFFF"/>
              <w:spacing w:after="0"/>
              <w:jc w:val="center"/>
              <w:rPr>
                <w:rFonts w:eastAsia="Times New Roman" w:cstheme="minorHAnsi"/>
                <w:color w:val="000000" w:themeColor="text1"/>
                <w:sz w:val="20"/>
                <w:szCs w:val="20"/>
                <w:lang w:eastAsia="zh-CN"/>
              </w:rPr>
            </w:pPr>
            <w:r w:rsidRPr="00713D96">
              <w:rPr>
                <w:rFonts w:eastAsia="Times New Roman" w:cstheme="minorHAnsi"/>
                <w:color w:val="000000" w:themeColor="text1"/>
                <w:sz w:val="20"/>
                <w:szCs w:val="20"/>
                <w:lang w:eastAsia="zh-CN"/>
              </w:rPr>
              <w:t>0.18</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7238E0EE" w:rsidR="0030099E" w:rsidRPr="0066753A" w:rsidRDefault="00713D96" w:rsidP="00713D96">
            <w:pPr>
              <w:shd w:val="clear" w:color="auto" w:fill="FFFFFF"/>
              <w:spacing w:after="0"/>
              <w:jc w:val="center"/>
              <w:rPr>
                <w:rFonts w:eastAsia="Times New Roman" w:cstheme="minorHAnsi"/>
                <w:color w:val="000000" w:themeColor="text1"/>
                <w:sz w:val="20"/>
                <w:szCs w:val="20"/>
                <w:lang w:eastAsia="zh-CN"/>
              </w:rPr>
            </w:pPr>
            <w:r w:rsidRPr="00713D96">
              <w:rPr>
                <w:rFonts w:eastAsia="Times New Roman" w:cstheme="minorHAnsi"/>
                <w:color w:val="000000" w:themeColor="text1"/>
                <w:sz w:val="20"/>
                <w:szCs w:val="20"/>
                <w:lang w:eastAsia="zh-CN"/>
              </w:rPr>
              <w:t xml:space="preserve">4.40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1AE10EC3" w:rsidR="0030099E" w:rsidRPr="0066753A" w:rsidRDefault="00713D96" w:rsidP="00DB4CC8">
            <w:pPr>
              <w:shd w:val="clear" w:color="auto" w:fill="FFFFFF"/>
              <w:spacing w:after="0"/>
              <w:jc w:val="center"/>
              <w:rPr>
                <w:rFonts w:eastAsia="Times New Roman" w:cstheme="minorHAnsi"/>
                <w:color w:val="000000" w:themeColor="text1"/>
                <w:sz w:val="20"/>
                <w:szCs w:val="20"/>
                <w:lang w:eastAsia="zh-CN"/>
              </w:rPr>
            </w:pPr>
            <w:r w:rsidRPr="00713D96">
              <w:rPr>
                <w:rFonts w:eastAsia="Times New Roman" w:cstheme="minorHAnsi"/>
                <w:color w:val="000000" w:themeColor="text1"/>
                <w:sz w:val="20"/>
                <w:szCs w:val="20"/>
                <w:lang w:eastAsia="zh-CN"/>
              </w:rPr>
              <w:t>0.</w:t>
            </w:r>
            <w:r>
              <w:rPr>
                <w:rFonts w:eastAsia="Times New Roman" w:cstheme="minorHAnsi"/>
                <w:color w:val="000000" w:themeColor="text1"/>
                <w:sz w:val="20"/>
                <w:szCs w:val="20"/>
                <w:lang w:eastAsia="zh-CN"/>
              </w:rPr>
              <w:t>20</w:t>
            </w:r>
          </w:p>
        </w:tc>
      </w:tr>
    </w:tbl>
    <w:p w14:paraId="6DD4F749" w14:textId="77777777" w:rsidR="006B675D" w:rsidRPr="006B675D" w:rsidRDefault="006B675D" w:rsidP="00DB4CC8"/>
    <w:p w14:paraId="61997373" w14:textId="075AB9EC" w:rsidR="003A7929" w:rsidRPr="00996E91" w:rsidRDefault="00713D96" w:rsidP="00713D96">
      <w:pPr>
        <w:jc w:val="center"/>
        <w:rPr>
          <w:highlight w:val="red"/>
        </w:rPr>
      </w:pPr>
      <w:bookmarkStart w:id="60" w:name="_Hlk3889392"/>
      <w:r>
        <w:rPr>
          <w:noProof/>
        </w:rPr>
        <w:lastRenderedPageBreak/>
        <w:drawing>
          <wp:inline distT="0" distB="0" distL="0" distR="0" wp14:anchorId="3E9B477C" wp14:editId="61E0BEF2">
            <wp:extent cx="4547507" cy="3271977"/>
            <wp:effectExtent l="0" t="0" r="5715" b="5080"/>
            <wp:docPr id="6" name="Chart 6">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DBBED3" w14:textId="6FDA9999" w:rsidR="00A407ED" w:rsidRPr="003D513E" w:rsidRDefault="00A407ED" w:rsidP="003D513E">
      <w:pPr>
        <w:pStyle w:val="Caption"/>
        <w:jc w:val="left"/>
        <w:rPr>
          <w:rFonts w:eastAsia="Times New Roman" w:cs="Times New Roman"/>
          <w:b/>
          <w:color w:val="auto"/>
          <w:sz w:val="28"/>
          <w:szCs w:val="24"/>
          <w:lang w:eastAsia="zh-CN"/>
        </w:rPr>
      </w:pPr>
      <w:bookmarkStart w:id="61" w:name="_Toc18146513"/>
      <w:bookmarkStart w:id="62" w:name="_Toc524993433"/>
      <w:r w:rsidRPr="003D513E">
        <w:rPr>
          <w:b/>
          <w:color w:val="auto"/>
          <w:sz w:val="20"/>
        </w:rPr>
        <w:t xml:space="preserve">Figure </w:t>
      </w:r>
      <w:r w:rsidRPr="003D513E">
        <w:rPr>
          <w:b/>
          <w:noProof/>
          <w:color w:val="auto"/>
          <w:sz w:val="20"/>
        </w:rPr>
        <w:fldChar w:fldCharType="begin"/>
      </w:r>
      <w:r w:rsidRPr="003D513E">
        <w:rPr>
          <w:b/>
          <w:noProof/>
          <w:color w:val="auto"/>
          <w:sz w:val="20"/>
        </w:rPr>
        <w:instrText xml:space="preserve"> STYLEREF 1 \s </w:instrText>
      </w:r>
      <w:r w:rsidRPr="003D513E">
        <w:rPr>
          <w:b/>
          <w:noProof/>
          <w:color w:val="auto"/>
          <w:sz w:val="20"/>
        </w:rPr>
        <w:fldChar w:fldCharType="separate"/>
      </w:r>
      <w:r w:rsidR="00614A66">
        <w:rPr>
          <w:b/>
          <w:noProof/>
          <w:color w:val="auto"/>
          <w:sz w:val="20"/>
        </w:rPr>
        <w:t>3</w:t>
      </w:r>
      <w:r w:rsidRPr="003D513E">
        <w:rPr>
          <w:b/>
          <w:noProof/>
          <w:color w:val="auto"/>
          <w:sz w:val="20"/>
        </w:rPr>
        <w:fldChar w:fldCharType="end"/>
      </w:r>
      <w:r w:rsidRPr="003D513E">
        <w:rPr>
          <w:b/>
          <w:color w:val="auto"/>
          <w:sz w:val="20"/>
        </w:rPr>
        <w:t>.</w:t>
      </w:r>
      <w:r w:rsidRPr="003D513E">
        <w:rPr>
          <w:b/>
          <w:noProof/>
          <w:color w:val="auto"/>
          <w:sz w:val="20"/>
        </w:rPr>
        <w:fldChar w:fldCharType="begin"/>
      </w:r>
      <w:r w:rsidRPr="003D513E">
        <w:rPr>
          <w:b/>
          <w:noProof/>
          <w:color w:val="auto"/>
          <w:sz w:val="20"/>
        </w:rPr>
        <w:instrText xml:space="preserve"> SEQ Figure \* ARABIC \s 1 </w:instrText>
      </w:r>
      <w:r w:rsidRPr="003D513E">
        <w:rPr>
          <w:b/>
          <w:noProof/>
          <w:color w:val="auto"/>
          <w:sz w:val="20"/>
        </w:rPr>
        <w:fldChar w:fldCharType="separate"/>
      </w:r>
      <w:r w:rsidR="00614A66">
        <w:rPr>
          <w:b/>
          <w:noProof/>
          <w:color w:val="auto"/>
          <w:sz w:val="20"/>
        </w:rPr>
        <w:t>2</w:t>
      </w:r>
      <w:r w:rsidRPr="003D513E">
        <w:rPr>
          <w:b/>
          <w:noProof/>
          <w:color w:val="auto"/>
          <w:sz w:val="20"/>
        </w:rPr>
        <w:fldChar w:fldCharType="end"/>
      </w:r>
      <w:r w:rsidRPr="003D513E">
        <w:rPr>
          <w:b/>
          <w:color w:val="auto"/>
          <w:sz w:val="20"/>
        </w:rPr>
        <w:t xml:space="preserve"> World Annual</w:t>
      </w:r>
      <w:r w:rsidRPr="003D513E">
        <w:rPr>
          <w:b/>
          <w:color w:val="auto"/>
          <w:sz w:val="20"/>
          <w:vertAlign w:val="subscript"/>
        </w:rPr>
        <w:t xml:space="preserve"> </w:t>
      </w:r>
      <w:r w:rsidRPr="003D513E">
        <w:rPr>
          <w:b/>
          <w:color w:val="auto"/>
          <w:sz w:val="20"/>
        </w:rPr>
        <w:t>Greenhouse Gas Emissions Reduction</w:t>
      </w:r>
      <w:bookmarkEnd w:id="61"/>
    </w:p>
    <w:p w14:paraId="3D9E8A9A" w14:textId="71AD4A99" w:rsidR="00792CF6" w:rsidRPr="00792CF6" w:rsidRDefault="551A77D0" w:rsidP="00387E91">
      <w:pPr>
        <w:pStyle w:val="Heading2"/>
        <w:numPr>
          <w:ilvl w:val="1"/>
          <w:numId w:val="4"/>
        </w:numPr>
      </w:pPr>
      <w:bookmarkStart w:id="63" w:name="_Toc18013325"/>
      <w:bookmarkEnd w:id="60"/>
      <w:bookmarkEnd w:id="62"/>
      <w:r w:rsidRPr="551A77D0">
        <w:t>Financial Impacts</w:t>
      </w:r>
      <w:bookmarkEnd w:id="63"/>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0219ED45" w14:textId="1CD7C359" w:rsidR="007631C9" w:rsidRPr="00052DDA" w:rsidRDefault="007631C9" w:rsidP="00940E79">
      <w:pPr>
        <w:shd w:val="clear" w:color="auto" w:fill="FFFFFF"/>
        <w:spacing w:after="180"/>
        <w:rPr>
          <w:rFonts w:eastAsia="Helvetica Neue" w:cstheme="minorHAnsi"/>
          <w:color w:val="000000" w:themeColor="text1"/>
        </w:rPr>
      </w:pPr>
      <w:r w:rsidRPr="00052DDA">
        <w:rPr>
          <w:rFonts w:eastAsia="Helvetica Neue" w:cstheme="minorHAnsi"/>
          <w:color w:val="000000" w:themeColor="text1"/>
        </w:rPr>
        <w:t xml:space="preserve">For the </w:t>
      </w:r>
      <w:r w:rsidRPr="00052DDA">
        <w:rPr>
          <w:rFonts w:eastAsia="Helvetica Neue" w:cstheme="minorHAnsi"/>
          <w:i/>
          <w:color w:val="000000" w:themeColor="text1"/>
        </w:rPr>
        <w:t xml:space="preserve">Plausible </w:t>
      </w:r>
      <w:r w:rsidRPr="00052DDA">
        <w:rPr>
          <w:rFonts w:eastAsia="Helvetica Neue" w:cstheme="minorHAnsi"/>
          <w:color w:val="000000" w:themeColor="text1"/>
        </w:rPr>
        <w:t xml:space="preserve">Scenario, cumulative first cost is </w:t>
      </w:r>
      <w:bookmarkStart w:id="64" w:name="_Hlk18013083"/>
      <w:r w:rsidRPr="00052DDA">
        <w:rPr>
          <w:rFonts w:eastAsia="Helvetica Neue" w:cstheme="minorHAnsi"/>
          <w:color w:val="000000" w:themeColor="text1"/>
        </w:rPr>
        <w:t>US</w:t>
      </w:r>
      <w:r w:rsidR="00052DDA">
        <w:rPr>
          <w:rFonts w:eastAsia="Helvetica Neue" w:cstheme="minorHAnsi"/>
          <w:color w:val="000000" w:themeColor="text1"/>
        </w:rPr>
        <w:t>$</w:t>
      </w:r>
      <w:r w:rsidR="00713D96" w:rsidRPr="00713D96">
        <w:rPr>
          <w:rFonts w:eastAsia="Helvetica Neue" w:cstheme="minorHAnsi"/>
          <w:color w:val="000000" w:themeColor="text1"/>
        </w:rPr>
        <w:t xml:space="preserve"> 244.78 </w:t>
      </w:r>
      <w:bookmarkEnd w:id="64"/>
      <w:r w:rsidRPr="00052DDA">
        <w:rPr>
          <w:rFonts w:eastAsia="Helvetica Neue" w:cstheme="minorHAnsi"/>
          <w:color w:val="000000" w:themeColor="text1"/>
        </w:rPr>
        <w:t>billion. Marginal first cost is the same as cumulative first cost. Net operating savings is US$</w:t>
      </w:r>
      <w:r w:rsidR="00713D96" w:rsidRPr="00713D96">
        <w:rPr>
          <w:rFonts w:eastAsia="Helvetica Neue" w:cstheme="minorHAnsi"/>
          <w:color w:val="000000" w:themeColor="text1"/>
        </w:rPr>
        <w:t xml:space="preserve">-2,505.15 </w:t>
      </w:r>
      <w:r w:rsidRPr="00052DDA">
        <w:rPr>
          <w:rFonts w:eastAsia="Helvetica Neue" w:cstheme="minorHAnsi"/>
          <w:color w:val="000000" w:themeColor="text1"/>
        </w:rPr>
        <w:t xml:space="preserve">billion. Net profit margin is </w:t>
      </w:r>
      <w:bookmarkStart w:id="65" w:name="_Hlk18013105"/>
      <w:r w:rsidRPr="00052DDA">
        <w:rPr>
          <w:rFonts w:eastAsia="Helvetica Neue" w:cstheme="minorHAnsi"/>
          <w:color w:val="000000" w:themeColor="text1"/>
        </w:rPr>
        <w:t>US$</w:t>
      </w:r>
      <w:r w:rsidR="00940E79" w:rsidRPr="00940E79">
        <w:rPr>
          <w:rFonts w:eastAsia="Helvetica Neue" w:cstheme="minorHAnsi"/>
          <w:color w:val="000000" w:themeColor="text1"/>
        </w:rPr>
        <w:t xml:space="preserve">1,655.12 </w:t>
      </w:r>
      <w:bookmarkEnd w:id="65"/>
      <w:r w:rsidR="00940E79" w:rsidRPr="00940E79">
        <w:rPr>
          <w:rFonts w:eastAsia="Helvetica Neue" w:cstheme="minorHAnsi"/>
          <w:color w:val="000000" w:themeColor="text1"/>
        </w:rPr>
        <w:t>billion</w:t>
      </w:r>
      <w:r w:rsidRPr="00052DDA">
        <w:rPr>
          <w:rFonts w:eastAsia="Helvetica Neue" w:cstheme="minorHAnsi"/>
          <w:color w:val="000000" w:themeColor="text1"/>
        </w:rPr>
        <w:t>, and lifetime profit margin is US$</w:t>
      </w:r>
      <w:r w:rsidR="00940E79" w:rsidRPr="00940E79">
        <w:rPr>
          <w:rFonts w:eastAsia="Helvetica Neue" w:cstheme="minorHAnsi"/>
          <w:color w:val="000000" w:themeColor="text1"/>
        </w:rPr>
        <w:t>3,609.14</w:t>
      </w:r>
      <w:r w:rsidRPr="00052DDA">
        <w:rPr>
          <w:rFonts w:eastAsia="Helvetica Neue" w:cstheme="minorHAnsi"/>
          <w:color w:val="000000" w:themeColor="text1"/>
        </w:rPr>
        <w:t>. Lifetime cashflow savings NPV is $</w:t>
      </w:r>
      <w:r w:rsidR="002356CB" w:rsidRPr="00052DDA">
        <w:rPr>
          <w:rFonts w:eastAsia="Helvetica Neue" w:cstheme="minorHAnsi"/>
          <w:color w:val="000000" w:themeColor="text1"/>
        </w:rPr>
        <w:t>-</w:t>
      </w:r>
      <w:r w:rsidR="00940E79" w:rsidRPr="00940E79">
        <w:rPr>
          <w:rFonts w:eastAsia="Helvetica Neue" w:cstheme="minorHAnsi"/>
          <w:color w:val="000000" w:themeColor="text1"/>
        </w:rPr>
        <w:t>387.48</w:t>
      </w:r>
      <w:r w:rsidRPr="00052DDA">
        <w:rPr>
          <w:rFonts w:eastAsia="Helvetica Neue" w:cstheme="minorHAnsi"/>
          <w:color w:val="000000" w:themeColor="text1"/>
        </w:rPr>
        <w:t>.</w:t>
      </w:r>
    </w:p>
    <w:p w14:paraId="37B02C29" w14:textId="0AFFBE7A" w:rsidR="007631C9" w:rsidRPr="00052DDA" w:rsidRDefault="007631C9" w:rsidP="007631C9">
      <w:pPr>
        <w:shd w:val="clear" w:color="auto" w:fill="FFFFFF"/>
        <w:spacing w:after="180"/>
        <w:rPr>
          <w:rFonts w:eastAsia="Helvetica Neue" w:cstheme="minorHAnsi"/>
          <w:color w:val="000000" w:themeColor="text1"/>
        </w:rPr>
      </w:pPr>
      <w:r w:rsidRPr="00052DDA">
        <w:rPr>
          <w:rFonts w:eastAsia="Helvetica Neue" w:cstheme="minorHAnsi"/>
          <w:color w:val="000000" w:themeColor="text1"/>
        </w:rPr>
        <w:t xml:space="preserve">For the </w:t>
      </w:r>
      <w:r w:rsidRPr="00052DDA">
        <w:rPr>
          <w:rFonts w:eastAsia="Helvetica Neue" w:cstheme="minorHAnsi"/>
          <w:i/>
          <w:color w:val="000000" w:themeColor="text1"/>
        </w:rPr>
        <w:t xml:space="preserve">Drawdown </w:t>
      </w:r>
      <w:r w:rsidRPr="00052DDA">
        <w:rPr>
          <w:rFonts w:eastAsia="Helvetica Neue" w:cstheme="minorHAnsi"/>
          <w:color w:val="000000" w:themeColor="text1"/>
        </w:rPr>
        <w:t xml:space="preserve">Scenario, cumulative first cost is </w:t>
      </w:r>
      <w:bookmarkStart w:id="66" w:name="_Hlk18013124"/>
      <w:r w:rsidRPr="00052DDA">
        <w:rPr>
          <w:rFonts w:eastAsia="Helvetica Neue" w:cstheme="minorHAnsi"/>
          <w:color w:val="000000" w:themeColor="text1"/>
        </w:rPr>
        <w:t>US$</w:t>
      </w:r>
      <w:r w:rsidR="00940E79" w:rsidRPr="00940E79">
        <w:rPr>
          <w:rFonts w:eastAsia="Helvetica Neue" w:cstheme="minorHAnsi"/>
          <w:color w:val="000000" w:themeColor="text1"/>
        </w:rPr>
        <w:t xml:space="preserve">$319.96 </w:t>
      </w:r>
      <w:bookmarkEnd w:id="66"/>
      <w:r w:rsidR="00940E79">
        <w:rPr>
          <w:rFonts w:eastAsia="Helvetica Neue" w:cstheme="minorHAnsi"/>
          <w:color w:val="000000" w:themeColor="text1"/>
        </w:rPr>
        <w:t>b</w:t>
      </w:r>
      <w:r w:rsidRPr="00052DDA">
        <w:rPr>
          <w:rFonts w:eastAsia="Helvetica Neue" w:cstheme="minorHAnsi"/>
          <w:color w:val="000000" w:themeColor="text1"/>
        </w:rPr>
        <w:t>illion. Marginal first cost is the same as cumulative first cost. Net operating savings is US</w:t>
      </w:r>
      <w:r w:rsidR="00940E79" w:rsidRPr="00940E79">
        <w:rPr>
          <w:rFonts w:eastAsia="Helvetica Neue" w:cstheme="minorHAnsi"/>
          <w:color w:val="000000" w:themeColor="text1"/>
        </w:rPr>
        <w:t>$-3,008.72</w:t>
      </w:r>
      <w:r w:rsidR="00940E79">
        <w:rPr>
          <w:rFonts w:eastAsia="Helvetica Neue" w:cstheme="minorHAnsi"/>
          <w:color w:val="000000" w:themeColor="text1"/>
        </w:rPr>
        <w:t xml:space="preserve"> </w:t>
      </w:r>
      <w:r w:rsidRPr="00052DDA">
        <w:rPr>
          <w:rFonts w:eastAsia="Helvetica Neue" w:cstheme="minorHAnsi"/>
          <w:color w:val="000000" w:themeColor="text1"/>
        </w:rPr>
        <w:t xml:space="preserve">billion. Net profit margin is </w:t>
      </w:r>
      <w:bookmarkStart w:id="67" w:name="_Hlk18013144"/>
      <w:r w:rsidR="00940E79">
        <w:rPr>
          <w:rFonts w:eastAsia="Helvetica Neue" w:cstheme="minorHAnsi"/>
          <w:color w:val="000000" w:themeColor="text1"/>
        </w:rPr>
        <w:t>US</w:t>
      </w:r>
      <w:r w:rsidR="00940E79" w:rsidRPr="00940E79">
        <w:rPr>
          <w:rFonts w:eastAsia="Helvetica Neue" w:cstheme="minorHAnsi"/>
          <w:color w:val="000000" w:themeColor="text1"/>
        </w:rPr>
        <w:t>$2,055.17</w:t>
      </w:r>
      <w:r w:rsidR="0081723E">
        <w:rPr>
          <w:rFonts w:eastAsia="Helvetica Neue" w:cstheme="minorHAnsi"/>
          <w:color w:val="000000" w:themeColor="text1"/>
        </w:rPr>
        <w:t xml:space="preserve"> </w:t>
      </w:r>
      <w:bookmarkEnd w:id="67"/>
      <w:r w:rsidRPr="00052DDA">
        <w:rPr>
          <w:rFonts w:eastAsia="Helvetica Neue" w:cstheme="minorHAnsi"/>
          <w:color w:val="000000" w:themeColor="text1"/>
        </w:rPr>
        <w:t xml:space="preserve">billion, and lifetime profit margin is </w:t>
      </w:r>
      <w:r w:rsidR="00940E79">
        <w:rPr>
          <w:rFonts w:eastAsia="Helvetica Neue" w:cstheme="minorHAnsi"/>
          <w:color w:val="000000" w:themeColor="text1"/>
        </w:rPr>
        <w:t>US</w:t>
      </w:r>
      <w:r w:rsidR="00940E79" w:rsidRPr="00940E79">
        <w:rPr>
          <w:rFonts w:eastAsia="Helvetica Neue" w:cstheme="minorHAnsi"/>
          <w:color w:val="000000" w:themeColor="text1"/>
        </w:rPr>
        <w:t>$4,770.15</w:t>
      </w:r>
      <w:r w:rsidR="00940E79">
        <w:rPr>
          <w:rFonts w:eastAsia="Helvetica Neue" w:cstheme="minorHAnsi"/>
          <w:color w:val="000000" w:themeColor="text1"/>
        </w:rPr>
        <w:t xml:space="preserve"> </w:t>
      </w:r>
      <w:r w:rsidR="00DC149A" w:rsidRPr="00052DDA">
        <w:rPr>
          <w:rFonts w:eastAsia="Helvetica Neue" w:cstheme="minorHAnsi"/>
          <w:color w:val="000000" w:themeColor="text1"/>
        </w:rPr>
        <w:t>billion</w:t>
      </w:r>
      <w:r w:rsidRPr="00052DDA">
        <w:rPr>
          <w:rFonts w:eastAsia="Helvetica Neue" w:cstheme="minorHAnsi"/>
          <w:color w:val="000000" w:themeColor="text1"/>
        </w:rPr>
        <w:t xml:space="preserve">. Lifetime cashflow savings NPV is </w:t>
      </w:r>
      <w:r w:rsidR="00940E79">
        <w:rPr>
          <w:rFonts w:eastAsia="Helvetica Neue" w:cstheme="minorHAnsi"/>
          <w:color w:val="000000" w:themeColor="text1"/>
        </w:rPr>
        <w:t>US</w:t>
      </w:r>
      <w:r w:rsidR="00940E79" w:rsidRPr="00940E79">
        <w:rPr>
          <w:rFonts w:eastAsia="Helvetica Neue" w:cstheme="minorHAnsi"/>
          <w:color w:val="000000" w:themeColor="text1"/>
        </w:rPr>
        <w:t>$-531.21</w:t>
      </w:r>
      <w:r w:rsidR="00940E79">
        <w:rPr>
          <w:rFonts w:eastAsia="Helvetica Neue" w:cstheme="minorHAnsi"/>
          <w:color w:val="000000" w:themeColor="text1"/>
        </w:rPr>
        <w:t xml:space="preserve"> </w:t>
      </w:r>
      <w:r w:rsidR="00DC149A" w:rsidRPr="00052DDA">
        <w:rPr>
          <w:rFonts w:eastAsia="Helvetica Neue" w:cstheme="minorHAnsi"/>
          <w:color w:val="000000" w:themeColor="text1"/>
        </w:rPr>
        <w:t>billion</w:t>
      </w:r>
      <w:r w:rsidRPr="00052DDA">
        <w:rPr>
          <w:rFonts w:eastAsia="Helvetica Neue" w:cstheme="minorHAnsi"/>
          <w:color w:val="000000" w:themeColor="text1"/>
        </w:rPr>
        <w:t>.</w:t>
      </w:r>
    </w:p>
    <w:p w14:paraId="5909DB7C" w14:textId="7D0D0AF6" w:rsidR="00E9216C" w:rsidRPr="007A2EFB" w:rsidRDefault="007631C9" w:rsidP="00940E79">
      <w:pPr>
        <w:shd w:val="clear" w:color="auto" w:fill="FFFFFF"/>
        <w:spacing w:after="180"/>
        <w:rPr>
          <w:rFonts w:eastAsia="Helvetica Neue" w:cstheme="minorHAnsi"/>
          <w:color w:val="000000" w:themeColor="text1"/>
        </w:rPr>
      </w:pPr>
      <w:r w:rsidRPr="009C2C13">
        <w:rPr>
          <w:rFonts w:eastAsia="Helvetica Neue" w:cstheme="minorHAnsi"/>
          <w:color w:val="000000" w:themeColor="text1"/>
        </w:rPr>
        <w:t xml:space="preserve">For the </w:t>
      </w:r>
      <w:r w:rsidRPr="009C2C13">
        <w:rPr>
          <w:rFonts w:eastAsia="Helvetica Neue" w:cstheme="minorHAnsi"/>
          <w:i/>
          <w:color w:val="000000" w:themeColor="text1"/>
        </w:rPr>
        <w:t xml:space="preserve">Optimum </w:t>
      </w:r>
      <w:r w:rsidRPr="009C2C13">
        <w:rPr>
          <w:rFonts w:eastAsia="Helvetica Neue" w:cstheme="minorHAnsi"/>
          <w:color w:val="000000" w:themeColor="text1"/>
        </w:rPr>
        <w:t xml:space="preserve">Scenario, cumulative first cost is </w:t>
      </w:r>
      <w:bookmarkStart w:id="68" w:name="_Hlk18013159"/>
      <w:r w:rsidRPr="009C2C13">
        <w:rPr>
          <w:rFonts w:eastAsia="Helvetica Neue" w:cstheme="minorHAnsi"/>
          <w:color w:val="000000" w:themeColor="text1"/>
        </w:rPr>
        <w:t>US</w:t>
      </w:r>
      <w:r w:rsidR="00940E79" w:rsidRPr="00940E79">
        <w:rPr>
          <w:rFonts w:eastAsia="Helvetica Neue" w:cstheme="minorHAnsi"/>
          <w:color w:val="000000" w:themeColor="text1"/>
        </w:rPr>
        <w:t xml:space="preserve">$357.08 </w:t>
      </w:r>
      <w:bookmarkEnd w:id="68"/>
      <w:r w:rsidRPr="009C2C13">
        <w:rPr>
          <w:rFonts w:eastAsia="Helvetica Neue" w:cstheme="minorHAnsi"/>
          <w:color w:val="000000" w:themeColor="text1"/>
        </w:rPr>
        <w:t>billion. Marginal first cost is the same as cumulative first cost. Net operating savings is US</w:t>
      </w:r>
      <w:r w:rsidR="00866B32" w:rsidRPr="00866B32">
        <w:rPr>
          <w:rFonts w:eastAsia="Helvetica Neue" w:cstheme="minorHAnsi"/>
          <w:color w:val="000000" w:themeColor="text1"/>
        </w:rPr>
        <w:t>$-3,676.77</w:t>
      </w:r>
      <w:r w:rsidR="00866B32">
        <w:rPr>
          <w:rFonts w:eastAsia="Helvetica Neue" w:cstheme="minorHAnsi"/>
          <w:color w:val="000000" w:themeColor="text1"/>
        </w:rPr>
        <w:t xml:space="preserve"> </w:t>
      </w:r>
      <w:r w:rsidRPr="009C2C13">
        <w:rPr>
          <w:rFonts w:eastAsia="Helvetica Neue" w:cstheme="minorHAnsi"/>
          <w:color w:val="000000" w:themeColor="text1"/>
        </w:rPr>
        <w:t xml:space="preserve">billion. Net profit margin is </w:t>
      </w:r>
      <w:bookmarkStart w:id="69" w:name="_Hlk18013173"/>
      <w:r w:rsidRPr="009C2C13">
        <w:rPr>
          <w:rFonts w:eastAsia="Helvetica Neue" w:cstheme="minorHAnsi"/>
          <w:color w:val="000000" w:themeColor="text1"/>
        </w:rPr>
        <w:t>US</w:t>
      </w:r>
      <w:r w:rsidR="00866B32" w:rsidRPr="00940E79">
        <w:rPr>
          <w:rFonts w:eastAsia="Helvetica Neue" w:cstheme="minorHAnsi"/>
          <w:color w:val="000000" w:themeColor="text1"/>
        </w:rPr>
        <w:t>$2,578.85</w:t>
      </w:r>
      <w:r w:rsidR="00866B32">
        <w:rPr>
          <w:rFonts w:eastAsia="Helvetica Neue" w:cstheme="minorHAnsi"/>
          <w:color w:val="000000" w:themeColor="text1"/>
        </w:rPr>
        <w:t xml:space="preserve"> </w:t>
      </w:r>
      <w:bookmarkEnd w:id="69"/>
      <w:r w:rsidRPr="009C2C13">
        <w:rPr>
          <w:rFonts w:eastAsia="Helvetica Neue" w:cstheme="minorHAnsi"/>
          <w:color w:val="000000" w:themeColor="text1"/>
        </w:rPr>
        <w:t>billion, and lifetime profit margin is US</w:t>
      </w:r>
      <w:r w:rsidR="00866B32" w:rsidRPr="00940E79">
        <w:rPr>
          <w:rFonts w:eastAsia="Helvetica Neue" w:cstheme="minorHAnsi"/>
          <w:color w:val="000000" w:themeColor="text1"/>
        </w:rPr>
        <w:t>$5,347.71</w:t>
      </w:r>
      <w:r w:rsidR="00866B32">
        <w:rPr>
          <w:rFonts w:eastAsia="Helvetica Neue" w:cstheme="minorHAnsi"/>
          <w:color w:val="000000" w:themeColor="text1"/>
        </w:rPr>
        <w:t xml:space="preserve"> </w:t>
      </w:r>
      <w:r w:rsidR="00AA5CF0" w:rsidRPr="009C2C13">
        <w:rPr>
          <w:rFonts w:eastAsia="Helvetica Neue" w:cstheme="minorHAnsi"/>
          <w:color w:val="000000" w:themeColor="text1"/>
        </w:rPr>
        <w:t>billion</w:t>
      </w:r>
      <w:r w:rsidRPr="009C2C13">
        <w:rPr>
          <w:rFonts w:eastAsia="Helvetica Neue" w:cstheme="minorHAnsi"/>
          <w:color w:val="000000" w:themeColor="text1"/>
        </w:rPr>
        <w:t xml:space="preserve">. Lifetime cashflow savings NPV is </w:t>
      </w:r>
      <w:r w:rsidR="00866B32" w:rsidRPr="00940E79">
        <w:rPr>
          <w:rFonts w:eastAsia="Helvetica Neue" w:cstheme="minorHAnsi"/>
          <w:color w:val="000000" w:themeColor="text1"/>
        </w:rPr>
        <w:t>$-642.23</w:t>
      </w:r>
      <w:r w:rsidR="00866B32">
        <w:rPr>
          <w:rFonts w:eastAsia="Helvetica Neue" w:cstheme="minorHAnsi"/>
          <w:color w:val="000000" w:themeColor="text1"/>
        </w:rPr>
        <w:t xml:space="preserve"> </w:t>
      </w:r>
      <w:r w:rsidR="00AA5CF0" w:rsidRPr="009C2C13">
        <w:rPr>
          <w:rFonts w:eastAsia="Helvetica Neue" w:cstheme="minorHAnsi"/>
          <w:color w:val="000000" w:themeColor="text1"/>
        </w:rPr>
        <w:t>billion</w:t>
      </w:r>
      <w:r w:rsidRPr="009C2C13">
        <w:rPr>
          <w:rFonts w:eastAsia="Helvetica Neue" w:cstheme="minorHAnsi"/>
          <w:color w:val="000000" w:themeColor="text1"/>
        </w:rPr>
        <w:t>.</w:t>
      </w:r>
    </w:p>
    <w:p w14:paraId="4F6C2C45" w14:textId="77777777" w:rsidR="00E14F94" w:rsidRPr="003D513E" w:rsidRDefault="00E14F94" w:rsidP="003D513E">
      <w:pPr>
        <w:spacing w:after="0"/>
        <w:jc w:val="left"/>
        <w:rPr>
          <w:b/>
          <w:bCs/>
          <w:i/>
        </w:rPr>
      </w:pPr>
    </w:p>
    <w:p w14:paraId="09347CCA" w14:textId="6365A10B" w:rsidR="00492F5E" w:rsidRPr="003D513E" w:rsidRDefault="00492F5E" w:rsidP="003D513E">
      <w:pPr>
        <w:pStyle w:val="Caption"/>
        <w:jc w:val="left"/>
        <w:rPr>
          <w:b/>
          <w:i w:val="0"/>
          <w:iCs w:val="0"/>
          <w:color w:val="auto"/>
          <w:sz w:val="20"/>
        </w:rPr>
      </w:pPr>
      <w:bookmarkStart w:id="70" w:name="_Toc18448132"/>
      <w:r w:rsidRPr="003D513E">
        <w:rPr>
          <w:b/>
          <w:color w:val="auto"/>
          <w:sz w:val="20"/>
        </w:rPr>
        <w:t xml:space="preserve">Table </w:t>
      </w:r>
      <w:r w:rsidR="00B037A8">
        <w:rPr>
          <w:b/>
          <w:color w:val="auto"/>
          <w:sz w:val="20"/>
        </w:rPr>
        <w:fldChar w:fldCharType="begin"/>
      </w:r>
      <w:r w:rsidR="00B037A8">
        <w:rPr>
          <w:b/>
          <w:color w:val="auto"/>
          <w:sz w:val="20"/>
        </w:rPr>
        <w:instrText xml:space="preserve"> STYLEREF 1 \s </w:instrText>
      </w:r>
      <w:r w:rsidR="00B037A8">
        <w:rPr>
          <w:b/>
          <w:color w:val="auto"/>
          <w:sz w:val="20"/>
        </w:rPr>
        <w:fldChar w:fldCharType="separate"/>
      </w:r>
      <w:r w:rsidR="00614A66">
        <w:rPr>
          <w:b/>
          <w:noProof/>
          <w:color w:val="auto"/>
          <w:sz w:val="20"/>
        </w:rPr>
        <w:t>3</w:t>
      </w:r>
      <w:r w:rsidR="00B037A8">
        <w:rPr>
          <w:b/>
          <w:color w:val="auto"/>
          <w:sz w:val="20"/>
        </w:rPr>
        <w:fldChar w:fldCharType="end"/>
      </w:r>
      <w:r w:rsidR="00B037A8">
        <w:rPr>
          <w:b/>
          <w:color w:val="auto"/>
          <w:sz w:val="20"/>
        </w:rPr>
        <w:t>.</w:t>
      </w:r>
      <w:r w:rsidR="00B037A8">
        <w:rPr>
          <w:b/>
          <w:color w:val="auto"/>
          <w:sz w:val="20"/>
        </w:rPr>
        <w:fldChar w:fldCharType="begin"/>
      </w:r>
      <w:r w:rsidR="00B037A8">
        <w:rPr>
          <w:b/>
          <w:color w:val="auto"/>
          <w:sz w:val="20"/>
        </w:rPr>
        <w:instrText xml:space="preserve"> SEQ Table \* ARABIC \s 1 </w:instrText>
      </w:r>
      <w:r w:rsidR="00B037A8">
        <w:rPr>
          <w:b/>
          <w:color w:val="auto"/>
          <w:sz w:val="20"/>
        </w:rPr>
        <w:fldChar w:fldCharType="separate"/>
      </w:r>
      <w:r w:rsidR="00614A66">
        <w:rPr>
          <w:b/>
          <w:noProof/>
          <w:color w:val="auto"/>
          <w:sz w:val="20"/>
        </w:rPr>
        <w:t>4</w:t>
      </w:r>
      <w:r w:rsidR="00B037A8">
        <w:rPr>
          <w:b/>
          <w:color w:val="auto"/>
          <w:sz w:val="20"/>
        </w:rPr>
        <w:fldChar w:fldCharType="end"/>
      </w:r>
      <w:r w:rsidRPr="003D513E">
        <w:rPr>
          <w:b/>
          <w:color w:val="auto"/>
          <w:sz w:val="20"/>
        </w:rPr>
        <w:t xml:space="preserve"> Financial Impacts</w:t>
      </w:r>
      <w:bookmarkEnd w:id="70"/>
    </w:p>
    <w:tbl>
      <w:tblPr>
        <w:tblW w:w="0" w:type="auto"/>
        <w:tblLayout w:type="fixed"/>
        <w:tblCellMar>
          <w:top w:w="15" w:type="dxa"/>
          <w:left w:w="15" w:type="dxa"/>
          <w:bottom w:w="15" w:type="dxa"/>
          <w:right w:w="15" w:type="dxa"/>
        </w:tblCellMar>
        <w:tblLook w:val="04A0" w:firstRow="1" w:lastRow="0" w:firstColumn="1" w:lastColumn="0" w:noHBand="0" w:noVBand="1"/>
      </w:tblPr>
      <w:tblGrid>
        <w:gridCol w:w="1145"/>
        <w:gridCol w:w="1502"/>
        <w:gridCol w:w="1502"/>
        <w:gridCol w:w="1078"/>
        <w:gridCol w:w="1102"/>
        <w:gridCol w:w="1155"/>
        <w:gridCol w:w="1856"/>
      </w:tblGrid>
      <w:tr w:rsidR="006B675D" w:rsidRPr="006B675D" w14:paraId="02CA9FB7" w14:textId="77777777" w:rsidTr="003D513E">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1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18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3D513E">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1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8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AF6022" w:rsidRPr="006B675D" w14:paraId="2CCDE781" w14:textId="77777777" w:rsidTr="003D513E">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AF6022" w:rsidRPr="006B675D" w:rsidRDefault="00AF6022" w:rsidP="00AF6022">
            <w:pPr>
              <w:spacing w:after="0"/>
              <w:jc w:val="center"/>
              <w:rPr>
                <w:sz w:val="20"/>
                <w:szCs w:val="20"/>
                <w:lang w:eastAsia="zh-CN"/>
              </w:rPr>
            </w:pPr>
            <w:r w:rsidRPr="006B675D">
              <w:rPr>
                <w:b/>
                <w:bCs/>
                <w:color w:val="000000" w:themeColor="text1"/>
                <w:sz w:val="20"/>
                <w:szCs w:val="20"/>
                <w:lang w:eastAsia="zh-CN"/>
              </w:rPr>
              <w:t>Plausible</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2D7A71A2" w:rsidR="00AF6022" w:rsidRPr="003D513E" w:rsidRDefault="00940E79" w:rsidP="00AF6022">
            <w:pPr>
              <w:spacing w:after="0"/>
              <w:jc w:val="center"/>
              <w:rPr>
                <w:rFonts w:eastAsia="Times New Roman" w:cstheme="minorHAnsi"/>
                <w:sz w:val="20"/>
                <w:szCs w:val="20"/>
                <w:highlight w:val="yellow"/>
                <w:lang w:eastAsia="zh-CN"/>
              </w:rPr>
            </w:pPr>
            <w:r>
              <w:rPr>
                <w:rFonts w:ascii="Arial" w:eastAsia="Arial" w:hAnsi="Arial" w:cs="Arial"/>
                <w:i/>
                <w:sz w:val="18"/>
                <w:szCs w:val="18"/>
              </w:rPr>
              <w:t>$</w:t>
            </w:r>
            <w:r w:rsidRPr="00940E79">
              <w:rPr>
                <w:rFonts w:ascii="Arial" w:eastAsia="Arial" w:hAnsi="Arial" w:cs="Arial"/>
                <w:i/>
                <w:sz w:val="18"/>
                <w:szCs w:val="18"/>
              </w:rPr>
              <w:t>244.78</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479FBB6E" w:rsidR="00AF6022" w:rsidRPr="003D513E" w:rsidRDefault="00940E79" w:rsidP="00AF6022">
            <w:pPr>
              <w:spacing w:after="0"/>
              <w:jc w:val="center"/>
              <w:rPr>
                <w:rFonts w:eastAsia="Times New Roman" w:cstheme="minorHAnsi"/>
                <w:sz w:val="20"/>
                <w:szCs w:val="20"/>
                <w:highlight w:val="yellow"/>
                <w:lang w:eastAsia="zh-CN"/>
              </w:rPr>
            </w:pPr>
            <w:r>
              <w:rPr>
                <w:rFonts w:ascii="Arial" w:eastAsia="Arial" w:hAnsi="Arial" w:cs="Arial"/>
                <w:i/>
                <w:sz w:val="18"/>
                <w:szCs w:val="18"/>
              </w:rPr>
              <w:t>$</w:t>
            </w:r>
            <w:r w:rsidRPr="00940E79">
              <w:rPr>
                <w:rFonts w:ascii="Arial" w:eastAsia="Arial" w:hAnsi="Arial" w:cs="Arial"/>
                <w:i/>
                <w:sz w:val="18"/>
                <w:szCs w:val="18"/>
              </w:rPr>
              <w:t>244.78</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2D23A6F4" w:rsidR="00AF6022" w:rsidRPr="003D513E" w:rsidRDefault="00052DDA"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2,505.15</w:t>
            </w:r>
          </w:p>
        </w:tc>
        <w:tc>
          <w:tcPr>
            <w:tcW w:w="11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373BB929" w:rsidR="00AF6022" w:rsidRPr="003D513E" w:rsidRDefault="00052DDA" w:rsidP="00940E79">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 xml:space="preserve"> 1,655.12</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63FD492B" w:rsidR="00AF6022" w:rsidRPr="003D513E" w:rsidRDefault="00052DDA"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3,609.14</w:t>
            </w:r>
          </w:p>
        </w:tc>
        <w:tc>
          <w:tcPr>
            <w:tcW w:w="1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2993387A" w:rsidR="00AF6022" w:rsidRPr="003D513E" w:rsidRDefault="00052DDA"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-387.48</w:t>
            </w:r>
          </w:p>
        </w:tc>
      </w:tr>
      <w:tr w:rsidR="00AF6022" w:rsidRPr="006B675D" w14:paraId="6C3482B4" w14:textId="77777777" w:rsidTr="003D513E">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AF6022" w:rsidRPr="006B675D" w:rsidRDefault="00AF6022" w:rsidP="00AF6022">
            <w:pPr>
              <w:spacing w:after="0"/>
              <w:jc w:val="center"/>
              <w:rPr>
                <w:sz w:val="20"/>
                <w:szCs w:val="20"/>
                <w:lang w:eastAsia="zh-CN"/>
              </w:rPr>
            </w:pPr>
            <w:r w:rsidRPr="006B675D">
              <w:rPr>
                <w:b/>
                <w:bCs/>
                <w:color w:val="000000" w:themeColor="text1"/>
                <w:sz w:val="20"/>
                <w:szCs w:val="20"/>
                <w:lang w:eastAsia="zh-CN"/>
              </w:rPr>
              <w:t>Drawdown</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01F7C607" w:rsidR="00AF6022" w:rsidRPr="003D513E" w:rsidRDefault="00940E79"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Pr="00940E79">
              <w:rPr>
                <w:rFonts w:ascii="Arial" w:eastAsia="Arial" w:hAnsi="Arial" w:cs="Arial"/>
                <w:i/>
                <w:sz w:val="18"/>
                <w:szCs w:val="18"/>
              </w:rPr>
              <w:t>319.96</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1974B909" w:rsidR="00AF6022" w:rsidRPr="003D513E" w:rsidRDefault="00052DDA" w:rsidP="00940E79">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 xml:space="preserve">319.96 </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51C405F5" w:rsidR="00AF6022" w:rsidRPr="003D513E" w:rsidRDefault="00052DDA"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3,008.72</w:t>
            </w:r>
          </w:p>
        </w:tc>
        <w:tc>
          <w:tcPr>
            <w:tcW w:w="11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4F451EF5" w:rsidR="00AF6022" w:rsidRPr="003D513E" w:rsidRDefault="00052DDA" w:rsidP="00940E79">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 xml:space="preserve"> 2,055.17</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17A6D73A" w:rsidR="00AF6022" w:rsidRPr="003D513E" w:rsidRDefault="00052DDA"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4,770.15</w:t>
            </w:r>
          </w:p>
        </w:tc>
        <w:tc>
          <w:tcPr>
            <w:tcW w:w="1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0A7FD3BF" w:rsidR="00AF6022" w:rsidRPr="003D513E" w:rsidRDefault="00052DDA" w:rsidP="00AF6022">
            <w:pPr>
              <w:spacing w:after="0"/>
              <w:jc w:val="center"/>
              <w:rPr>
                <w:rFonts w:eastAsia="Times New Roman" w:cstheme="minorHAnsi"/>
                <w:sz w:val="20"/>
                <w:szCs w:val="20"/>
                <w:highlight w:val="yellow"/>
                <w:lang w:eastAsia="zh-CN"/>
              </w:rPr>
            </w:pPr>
            <w:r w:rsidRPr="00052DDA">
              <w:rPr>
                <w:rFonts w:ascii="Arial" w:eastAsia="Arial" w:hAnsi="Arial" w:cs="Arial"/>
                <w:i/>
                <w:sz w:val="18"/>
                <w:szCs w:val="18"/>
              </w:rPr>
              <w:t>$-</w:t>
            </w:r>
            <w:r w:rsidR="00940E79" w:rsidRPr="00940E79">
              <w:rPr>
                <w:rFonts w:ascii="Arial" w:eastAsia="Arial" w:hAnsi="Arial" w:cs="Arial"/>
                <w:i/>
                <w:sz w:val="18"/>
                <w:szCs w:val="18"/>
              </w:rPr>
              <w:t>531.21</w:t>
            </w:r>
          </w:p>
        </w:tc>
      </w:tr>
      <w:tr w:rsidR="00AF6022" w:rsidRPr="006B675D" w14:paraId="76A27626" w14:textId="77777777" w:rsidTr="003D513E">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AF6022" w:rsidRPr="006B675D" w:rsidRDefault="00AF6022" w:rsidP="00AF6022">
            <w:pPr>
              <w:spacing w:after="0"/>
              <w:jc w:val="center"/>
              <w:rPr>
                <w:sz w:val="20"/>
                <w:szCs w:val="20"/>
                <w:lang w:eastAsia="zh-CN"/>
              </w:rPr>
            </w:pPr>
            <w:r w:rsidRPr="006B675D">
              <w:rPr>
                <w:b/>
                <w:bCs/>
                <w:color w:val="000000" w:themeColor="text1"/>
                <w:sz w:val="20"/>
                <w:szCs w:val="20"/>
                <w:lang w:eastAsia="zh-CN"/>
              </w:rPr>
              <w:t>Optimum</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157EEEBC" w:rsidR="00AF6022" w:rsidRPr="00940E79" w:rsidRDefault="00940E79" w:rsidP="00940E79">
            <w:pPr>
              <w:spacing w:after="0"/>
              <w:jc w:val="center"/>
              <w:rPr>
                <w:rFonts w:ascii="Arial" w:eastAsia="Arial" w:hAnsi="Arial" w:cs="Arial"/>
                <w:i/>
                <w:sz w:val="18"/>
                <w:szCs w:val="18"/>
              </w:rPr>
            </w:pPr>
            <w:r w:rsidRPr="009C2C13">
              <w:rPr>
                <w:rFonts w:ascii="Arial" w:eastAsia="Arial" w:hAnsi="Arial" w:cs="Arial"/>
                <w:i/>
                <w:sz w:val="18"/>
                <w:szCs w:val="18"/>
              </w:rPr>
              <w:t>$</w:t>
            </w:r>
            <w:r w:rsidRPr="00940E79">
              <w:rPr>
                <w:rFonts w:ascii="Arial" w:eastAsia="Arial" w:hAnsi="Arial" w:cs="Arial"/>
                <w:i/>
                <w:sz w:val="18"/>
                <w:szCs w:val="18"/>
              </w:rPr>
              <w:t xml:space="preserve">357.08 </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7843D8" w14:textId="74073804" w:rsidR="00940E79" w:rsidRPr="00940E79" w:rsidRDefault="009C2C13" w:rsidP="00940E79">
            <w:pPr>
              <w:spacing w:after="0"/>
              <w:jc w:val="center"/>
              <w:rPr>
                <w:rFonts w:ascii="Arial" w:eastAsia="Arial" w:hAnsi="Arial" w:cs="Arial"/>
                <w:i/>
                <w:sz w:val="18"/>
                <w:szCs w:val="18"/>
              </w:rPr>
            </w:pPr>
            <w:r w:rsidRPr="009C2C13">
              <w:rPr>
                <w:rFonts w:ascii="Arial" w:eastAsia="Arial" w:hAnsi="Arial" w:cs="Arial"/>
                <w:i/>
                <w:sz w:val="18"/>
                <w:szCs w:val="18"/>
              </w:rPr>
              <w:t>$</w:t>
            </w:r>
            <w:r w:rsidR="00940E79" w:rsidRPr="00940E79">
              <w:rPr>
                <w:rFonts w:ascii="Arial" w:eastAsia="Arial" w:hAnsi="Arial" w:cs="Arial"/>
                <w:i/>
                <w:sz w:val="18"/>
                <w:szCs w:val="18"/>
              </w:rPr>
              <w:t xml:space="preserve">357.08 </w:t>
            </w:r>
          </w:p>
          <w:p w14:paraId="796F6A9C" w14:textId="45612286" w:rsidR="00AF6022" w:rsidRPr="003D513E" w:rsidRDefault="00AF6022" w:rsidP="00940E79">
            <w:pPr>
              <w:spacing w:after="0"/>
              <w:jc w:val="center"/>
              <w:rPr>
                <w:rFonts w:eastAsia="Times New Roman" w:cstheme="minorHAnsi"/>
                <w:sz w:val="20"/>
                <w:szCs w:val="20"/>
                <w:highlight w:val="yellow"/>
                <w:lang w:eastAsia="zh-CN"/>
              </w:rPr>
            </w:pP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0B2785D4" w:rsidR="00AF6022" w:rsidRPr="003D513E" w:rsidRDefault="009C2C13" w:rsidP="00AF6022">
            <w:pPr>
              <w:spacing w:after="0"/>
              <w:jc w:val="center"/>
              <w:rPr>
                <w:rFonts w:eastAsia="Times New Roman" w:cstheme="minorHAnsi"/>
                <w:sz w:val="20"/>
                <w:szCs w:val="20"/>
                <w:highlight w:val="yellow"/>
                <w:lang w:eastAsia="zh-CN"/>
              </w:rPr>
            </w:pPr>
            <w:r w:rsidRPr="009C2C13">
              <w:rPr>
                <w:rFonts w:ascii="Arial" w:eastAsia="Arial" w:hAnsi="Arial" w:cs="Arial"/>
                <w:i/>
                <w:sz w:val="18"/>
                <w:szCs w:val="18"/>
              </w:rPr>
              <w:t>$</w:t>
            </w:r>
            <w:r>
              <w:rPr>
                <w:rFonts w:ascii="Arial" w:eastAsia="Arial" w:hAnsi="Arial" w:cs="Arial"/>
                <w:i/>
                <w:sz w:val="18"/>
                <w:szCs w:val="18"/>
              </w:rPr>
              <w:t>-</w:t>
            </w:r>
            <w:r w:rsidR="00940E79" w:rsidRPr="00940E79">
              <w:rPr>
                <w:rFonts w:ascii="Arial" w:eastAsia="Arial" w:hAnsi="Arial" w:cs="Arial"/>
                <w:i/>
                <w:sz w:val="18"/>
                <w:szCs w:val="18"/>
              </w:rPr>
              <w:t>3,676.77</w:t>
            </w:r>
          </w:p>
        </w:tc>
        <w:tc>
          <w:tcPr>
            <w:tcW w:w="11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703604DF" w:rsidR="00AF6022" w:rsidRPr="003D513E" w:rsidRDefault="009C2C13" w:rsidP="00940E79">
            <w:pPr>
              <w:spacing w:after="0"/>
              <w:jc w:val="center"/>
              <w:rPr>
                <w:rFonts w:eastAsia="Times New Roman" w:cstheme="minorHAnsi"/>
                <w:sz w:val="20"/>
                <w:szCs w:val="20"/>
                <w:highlight w:val="yellow"/>
                <w:lang w:eastAsia="zh-CN"/>
              </w:rPr>
            </w:pPr>
            <w:r w:rsidRPr="009C2C13">
              <w:rPr>
                <w:rFonts w:ascii="Arial" w:eastAsia="Arial" w:hAnsi="Arial" w:cs="Arial"/>
                <w:i/>
                <w:sz w:val="18"/>
                <w:szCs w:val="18"/>
              </w:rPr>
              <w:t>$</w:t>
            </w:r>
            <w:r w:rsidR="00940E79" w:rsidRPr="00940E79">
              <w:rPr>
                <w:rFonts w:ascii="Arial" w:eastAsia="Arial" w:hAnsi="Arial" w:cs="Arial"/>
                <w:i/>
                <w:sz w:val="18"/>
                <w:szCs w:val="18"/>
              </w:rPr>
              <w:t xml:space="preserve"> 2,578.85</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2181E8D4" w:rsidR="00AF6022" w:rsidRPr="003D513E" w:rsidRDefault="009C2C13" w:rsidP="00AF6022">
            <w:pPr>
              <w:spacing w:after="0"/>
              <w:jc w:val="center"/>
              <w:rPr>
                <w:rFonts w:eastAsia="Times New Roman" w:cstheme="minorHAnsi"/>
                <w:sz w:val="20"/>
                <w:szCs w:val="20"/>
                <w:highlight w:val="yellow"/>
                <w:lang w:eastAsia="zh-CN"/>
              </w:rPr>
            </w:pPr>
            <w:r w:rsidRPr="009C2C13">
              <w:rPr>
                <w:rFonts w:ascii="Arial" w:eastAsia="Arial" w:hAnsi="Arial" w:cs="Arial"/>
                <w:i/>
                <w:sz w:val="18"/>
                <w:szCs w:val="18"/>
              </w:rPr>
              <w:t>$</w:t>
            </w:r>
            <w:r w:rsidR="00940E79" w:rsidRPr="00940E79">
              <w:rPr>
                <w:rFonts w:ascii="Arial" w:eastAsia="Arial" w:hAnsi="Arial" w:cs="Arial"/>
                <w:i/>
                <w:sz w:val="18"/>
                <w:szCs w:val="18"/>
              </w:rPr>
              <w:t>5,347.71</w:t>
            </w:r>
          </w:p>
        </w:tc>
        <w:tc>
          <w:tcPr>
            <w:tcW w:w="1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16311534" w:rsidR="00AF6022" w:rsidRPr="003D513E" w:rsidRDefault="009C2C13" w:rsidP="00AF6022">
            <w:pPr>
              <w:spacing w:after="0"/>
              <w:jc w:val="center"/>
              <w:rPr>
                <w:rFonts w:eastAsia="Times New Roman" w:cstheme="minorHAnsi"/>
                <w:sz w:val="20"/>
                <w:szCs w:val="20"/>
                <w:highlight w:val="yellow"/>
                <w:lang w:eastAsia="zh-CN"/>
              </w:rPr>
            </w:pPr>
            <w:r w:rsidRPr="009C2C13">
              <w:rPr>
                <w:rFonts w:ascii="Arial" w:eastAsia="Arial" w:hAnsi="Arial" w:cs="Arial"/>
                <w:i/>
                <w:sz w:val="18"/>
                <w:szCs w:val="18"/>
              </w:rPr>
              <w:t>$</w:t>
            </w:r>
            <w:r w:rsidR="00940E79" w:rsidRPr="00940E79">
              <w:rPr>
                <w:rFonts w:ascii="Arial" w:eastAsia="Arial" w:hAnsi="Arial" w:cs="Arial"/>
                <w:i/>
                <w:sz w:val="18"/>
                <w:szCs w:val="18"/>
              </w:rPr>
              <w:t>-642.23</w:t>
            </w:r>
          </w:p>
        </w:tc>
      </w:tr>
    </w:tbl>
    <w:p w14:paraId="65064E23" w14:textId="77777777" w:rsidR="00E8320F" w:rsidRDefault="00E8320F" w:rsidP="00DB4CC8">
      <w:pPr>
        <w:pStyle w:val="Caption"/>
      </w:pPr>
    </w:p>
    <w:p w14:paraId="6039AB12" w14:textId="53E5F68E" w:rsidR="009E6074" w:rsidRPr="00AF7DE4" w:rsidRDefault="00866B32" w:rsidP="00AF7DE4">
      <w:pPr>
        <w:jc w:val="center"/>
      </w:pPr>
      <w:bookmarkStart w:id="71" w:name="_Toc524993434"/>
      <w:bookmarkStart w:id="72" w:name="_Hlk3893415"/>
      <w:r>
        <w:rPr>
          <w:noProof/>
        </w:rPr>
        <w:drawing>
          <wp:inline distT="0" distB="0" distL="0" distR="0" wp14:anchorId="38308AD1" wp14:editId="56688D7C">
            <wp:extent cx="5943600" cy="3021330"/>
            <wp:effectExtent l="0" t="0" r="0" b="7620"/>
            <wp:docPr id="1" name="Chart 1">
              <a:extLst xmlns:a="http://schemas.openxmlformats.org/drawingml/2006/main">
                <a:ext uri="{FF2B5EF4-FFF2-40B4-BE49-F238E27FC236}">
                  <a16:creationId xmlns:a16="http://schemas.microsoft.com/office/drawing/2014/main" id="{00000000-0008-0000-1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5C0514" w14:textId="3011B221" w:rsidR="006B675D" w:rsidRPr="003D513E" w:rsidRDefault="004E0AFC" w:rsidP="003D513E">
      <w:pPr>
        <w:pStyle w:val="Caption"/>
        <w:jc w:val="left"/>
        <w:rPr>
          <w:rFonts w:asciiTheme="majorHAnsi" w:eastAsiaTheme="majorEastAsia" w:hAnsiTheme="majorHAnsi" w:cstheme="majorBidi"/>
          <w:b/>
          <w:bCs/>
          <w:smallCaps/>
          <w:color w:val="365F91" w:themeColor="accent1" w:themeShade="BF"/>
          <w:sz w:val="28"/>
          <w:szCs w:val="28"/>
        </w:rPr>
      </w:pPr>
      <w:bookmarkStart w:id="73" w:name="_Toc18146514"/>
      <w:bookmarkStart w:id="74" w:name="_Toc526978707"/>
      <w:bookmarkStart w:id="75" w:name="_Toc524993435"/>
      <w:bookmarkEnd w:id="71"/>
      <w:r w:rsidRPr="003D513E">
        <w:rPr>
          <w:b/>
          <w:color w:val="auto"/>
          <w:sz w:val="20"/>
        </w:rPr>
        <w:t xml:space="preserve">Figure </w:t>
      </w:r>
      <w:r w:rsidRPr="003D513E">
        <w:rPr>
          <w:b/>
          <w:i w:val="0"/>
          <w:iCs w:val="0"/>
          <w:noProof/>
          <w:color w:val="auto"/>
          <w:sz w:val="20"/>
        </w:rPr>
        <w:fldChar w:fldCharType="begin"/>
      </w:r>
      <w:r w:rsidRPr="003D513E">
        <w:rPr>
          <w:b/>
          <w:noProof/>
          <w:color w:val="auto"/>
          <w:sz w:val="20"/>
        </w:rPr>
        <w:instrText xml:space="preserve"> STYLEREF 1 \s </w:instrText>
      </w:r>
      <w:r w:rsidRPr="003D513E">
        <w:rPr>
          <w:b/>
          <w:i w:val="0"/>
          <w:iCs w:val="0"/>
          <w:noProof/>
          <w:color w:val="auto"/>
          <w:sz w:val="20"/>
        </w:rPr>
        <w:fldChar w:fldCharType="separate"/>
      </w:r>
      <w:r w:rsidR="00614A66">
        <w:rPr>
          <w:b/>
          <w:noProof/>
          <w:color w:val="auto"/>
          <w:sz w:val="20"/>
        </w:rPr>
        <w:t>3</w:t>
      </w:r>
      <w:r w:rsidRPr="003D513E">
        <w:rPr>
          <w:b/>
          <w:i w:val="0"/>
          <w:iCs w:val="0"/>
          <w:noProof/>
          <w:color w:val="auto"/>
          <w:sz w:val="20"/>
        </w:rPr>
        <w:fldChar w:fldCharType="end"/>
      </w:r>
      <w:r w:rsidRPr="003D513E">
        <w:rPr>
          <w:b/>
          <w:color w:val="auto"/>
          <w:sz w:val="20"/>
        </w:rPr>
        <w:t>.</w:t>
      </w:r>
      <w:r w:rsidRPr="003D513E">
        <w:rPr>
          <w:b/>
          <w:i w:val="0"/>
          <w:iCs w:val="0"/>
          <w:noProof/>
          <w:color w:val="auto"/>
          <w:sz w:val="20"/>
        </w:rPr>
        <w:fldChar w:fldCharType="begin"/>
      </w:r>
      <w:r w:rsidRPr="003D513E">
        <w:rPr>
          <w:b/>
          <w:noProof/>
          <w:color w:val="auto"/>
          <w:sz w:val="20"/>
        </w:rPr>
        <w:instrText xml:space="preserve"> SEQ Figure \* ARABIC \s 1 </w:instrText>
      </w:r>
      <w:r w:rsidRPr="003D513E">
        <w:rPr>
          <w:b/>
          <w:i w:val="0"/>
          <w:iCs w:val="0"/>
          <w:noProof/>
          <w:color w:val="auto"/>
          <w:sz w:val="20"/>
        </w:rPr>
        <w:fldChar w:fldCharType="separate"/>
      </w:r>
      <w:r w:rsidR="00614A66">
        <w:rPr>
          <w:b/>
          <w:noProof/>
          <w:color w:val="auto"/>
          <w:sz w:val="20"/>
        </w:rPr>
        <w:t>3</w:t>
      </w:r>
      <w:r w:rsidRPr="003D513E">
        <w:rPr>
          <w:b/>
          <w:i w:val="0"/>
          <w:iCs w:val="0"/>
          <w:noProof/>
          <w:color w:val="auto"/>
          <w:sz w:val="20"/>
        </w:rPr>
        <w:fldChar w:fldCharType="end"/>
      </w:r>
      <w:r w:rsidRPr="003D513E">
        <w:rPr>
          <w:b/>
          <w:color w:val="auto"/>
          <w:sz w:val="20"/>
        </w:rPr>
        <w:t xml:space="preserve"> Net Profit Margin Increase</w:t>
      </w:r>
      <w:bookmarkEnd w:id="73"/>
      <w:r w:rsidRPr="003D513E">
        <w:rPr>
          <w:b/>
          <w:color w:val="auto"/>
          <w:sz w:val="20"/>
        </w:rPr>
        <w:t xml:space="preserve"> </w:t>
      </w:r>
      <w:bookmarkEnd w:id="72"/>
      <w:bookmarkEnd w:id="74"/>
    </w:p>
    <w:p w14:paraId="2013B590" w14:textId="6119B078" w:rsidR="00792CF6" w:rsidRDefault="00792CF6" w:rsidP="00387E91">
      <w:pPr>
        <w:pStyle w:val="Heading2"/>
        <w:numPr>
          <w:ilvl w:val="1"/>
          <w:numId w:val="4"/>
        </w:numPr>
      </w:pPr>
      <w:bookmarkStart w:id="76" w:name="_Toc18013326"/>
      <w:bookmarkEnd w:id="75"/>
      <w:r>
        <w:lastRenderedPageBreak/>
        <w:t>Other</w:t>
      </w:r>
      <w:r w:rsidRPr="551A77D0">
        <w:t xml:space="preserve"> Impacts</w:t>
      </w:r>
      <w:bookmarkEnd w:id="76"/>
    </w:p>
    <w:p w14:paraId="4AAB4BE2" w14:textId="6CA2FFA3" w:rsidR="003F1112" w:rsidRPr="003D513E" w:rsidRDefault="004531D3" w:rsidP="003D513E">
      <w:pPr>
        <w:shd w:val="clear" w:color="auto" w:fill="FFFFFF"/>
        <w:spacing w:after="180"/>
        <w:rPr>
          <w:rFonts w:eastAsia="Helvetica Neue" w:cstheme="minorHAnsi"/>
          <w:color w:val="000000"/>
        </w:rPr>
      </w:pPr>
      <w:r>
        <w:t xml:space="preserve">The introduction of silvopasture practices leads to significant yield </w:t>
      </w:r>
      <w:r w:rsidRPr="00304550">
        <w:rPr>
          <w:rFonts w:eastAsia="Helvetica Neue" w:cstheme="minorHAnsi"/>
          <w:color w:val="000000"/>
        </w:rPr>
        <w:t>i</w:t>
      </w:r>
      <w:r w:rsidR="00217BB3">
        <w:rPr>
          <w:rFonts w:eastAsia="Helvetica Neue" w:cstheme="minorHAnsi"/>
          <w:color w:val="000000"/>
        </w:rPr>
        <w:t>ncreases of</w:t>
      </w:r>
      <w:r w:rsidRPr="00304550">
        <w:rPr>
          <w:rFonts w:eastAsia="Helvetica Neue" w:cstheme="minorHAnsi"/>
          <w:color w:val="000000"/>
        </w:rPr>
        <w:t xml:space="preserve"> </w:t>
      </w:r>
      <w:r w:rsidR="00DA40C0">
        <w:rPr>
          <w:rFonts w:eastAsia="Helvetica Neue" w:cstheme="minorHAnsi"/>
          <w:color w:val="000000"/>
        </w:rPr>
        <w:t>1.</w:t>
      </w:r>
      <w:r w:rsidR="00866B32">
        <w:rPr>
          <w:rFonts w:eastAsia="Helvetica Neue" w:cstheme="minorHAnsi"/>
          <w:color w:val="000000"/>
        </w:rPr>
        <w:t>36</w:t>
      </w:r>
      <w:r w:rsidR="00DA40C0">
        <w:rPr>
          <w:rFonts w:eastAsia="Helvetica Neue" w:cstheme="minorHAnsi"/>
          <w:color w:val="000000"/>
        </w:rPr>
        <w:t xml:space="preserve">, </w:t>
      </w:r>
      <w:r w:rsidR="00866B32">
        <w:rPr>
          <w:rFonts w:eastAsia="Helvetica Neue" w:cstheme="minorHAnsi"/>
          <w:color w:val="000000"/>
        </w:rPr>
        <w:t>1.64</w:t>
      </w:r>
      <w:r w:rsidR="00DA40C0">
        <w:rPr>
          <w:rFonts w:eastAsia="Helvetica Neue" w:cstheme="minorHAnsi"/>
          <w:color w:val="000000"/>
        </w:rPr>
        <w:t xml:space="preserve"> and 2.</w:t>
      </w:r>
      <w:r w:rsidR="00866B32">
        <w:rPr>
          <w:rFonts w:eastAsia="Helvetica Neue" w:cstheme="minorHAnsi"/>
          <w:color w:val="000000"/>
        </w:rPr>
        <w:t>04</w:t>
      </w:r>
      <w:r w:rsidR="00DA40C0">
        <w:rPr>
          <w:rFonts w:eastAsia="Helvetica Neue" w:cstheme="minorHAnsi"/>
          <w:color w:val="000000"/>
        </w:rPr>
        <w:t xml:space="preserve"> </w:t>
      </w:r>
      <w:r w:rsidR="004F124B">
        <w:rPr>
          <w:rFonts w:eastAsia="Helvetica Neue" w:cstheme="minorHAnsi"/>
          <w:color w:val="000000"/>
        </w:rPr>
        <w:t xml:space="preserve">million metric tons compared to conventional grazing, </w:t>
      </w:r>
      <w:r>
        <w:rPr>
          <w:rFonts w:eastAsia="Helvetica Neue" w:cstheme="minorHAnsi"/>
          <w:color w:val="000000"/>
        </w:rPr>
        <w:t>under</w:t>
      </w:r>
      <w:r w:rsidRPr="00304550">
        <w:rPr>
          <w:rFonts w:eastAsia="Helvetica Neue" w:cstheme="minorHAnsi"/>
          <w:color w:val="000000"/>
        </w:rPr>
        <w:t xml:space="preserve"> the </w:t>
      </w:r>
      <w:r w:rsidRPr="00304550">
        <w:rPr>
          <w:rFonts w:eastAsia="Helvetica Neue" w:cstheme="minorHAnsi"/>
          <w:i/>
          <w:color w:val="000000"/>
        </w:rPr>
        <w:t xml:space="preserve">Plausible, Drawdown, </w:t>
      </w:r>
      <w:r w:rsidRPr="00304550">
        <w:rPr>
          <w:rFonts w:eastAsia="Helvetica Neue" w:cstheme="minorHAnsi"/>
          <w:color w:val="000000"/>
        </w:rPr>
        <w:t xml:space="preserve">and </w:t>
      </w:r>
      <w:r w:rsidRPr="00304550">
        <w:rPr>
          <w:rFonts w:eastAsia="Helvetica Neue" w:cstheme="minorHAnsi"/>
          <w:i/>
          <w:color w:val="000000"/>
        </w:rPr>
        <w:t>Optimum</w:t>
      </w:r>
      <w:r w:rsidRPr="00304550">
        <w:rPr>
          <w:rFonts w:eastAsia="Helvetica Neue" w:cstheme="minorHAnsi"/>
          <w:color w:val="000000"/>
        </w:rPr>
        <w:t xml:space="preserve"> Scenarios respectively.</w:t>
      </w:r>
      <w:r w:rsidR="003F1112">
        <w:br w:type="page"/>
      </w:r>
    </w:p>
    <w:p w14:paraId="638C27B6" w14:textId="063A52EE" w:rsidR="00F52595" w:rsidRDefault="551A77D0" w:rsidP="00387E91">
      <w:pPr>
        <w:pStyle w:val="Heading1"/>
        <w:numPr>
          <w:ilvl w:val="0"/>
          <w:numId w:val="4"/>
        </w:numPr>
      </w:pPr>
      <w:bookmarkStart w:id="77" w:name="_Toc18013327"/>
      <w:r>
        <w:lastRenderedPageBreak/>
        <w:t>Discussion</w:t>
      </w:r>
      <w:bookmarkEnd w:id="77"/>
    </w:p>
    <w:p w14:paraId="707F13AF" w14:textId="29B72BAE" w:rsidR="00353149" w:rsidRDefault="004828E0" w:rsidP="0078465B">
      <w:pPr>
        <w:rPr>
          <w:rFonts w:ascii="Times" w:hAnsi="Times"/>
          <w:color w:val="000000" w:themeColor="text1"/>
        </w:rPr>
      </w:pPr>
      <w:r>
        <w:rPr>
          <w:rFonts w:ascii="Times" w:hAnsi="Times"/>
          <w:color w:val="000000" w:themeColor="text1"/>
        </w:rPr>
        <w:t>Results presented in this report</w:t>
      </w:r>
      <w:r w:rsidR="00020577" w:rsidRPr="0078465B">
        <w:rPr>
          <w:rFonts w:ascii="Times" w:hAnsi="Times"/>
          <w:color w:val="000000" w:themeColor="text1"/>
        </w:rPr>
        <w:t xml:space="preserve"> suggests that silvopasture is an agroforestry system with a high potential to sequester carbon, particularly in the Latin American tropics. It is one of the most powerful biosequestration solutions modeled by Project Drawdown. </w:t>
      </w:r>
    </w:p>
    <w:p w14:paraId="66757434" w14:textId="2EC732B8" w:rsidR="00020577" w:rsidRPr="0078465B" w:rsidRDefault="001035B0" w:rsidP="0078465B">
      <w:pPr>
        <w:rPr>
          <w:rFonts w:ascii="Times" w:hAnsi="Times"/>
          <w:color w:val="000000" w:themeColor="text1"/>
        </w:rPr>
      </w:pPr>
      <w:r>
        <w:rPr>
          <w:rFonts w:ascii="Times" w:hAnsi="Times"/>
          <w:color w:val="000000" w:themeColor="text1"/>
        </w:rPr>
        <w:t>Drawdown m</w:t>
      </w:r>
      <w:r w:rsidR="00020577" w:rsidRPr="0078465B">
        <w:rPr>
          <w:rFonts w:ascii="Times" w:hAnsi="Times"/>
          <w:color w:val="000000" w:themeColor="text1"/>
        </w:rPr>
        <w:t>odel</w:t>
      </w:r>
      <w:r>
        <w:rPr>
          <w:rFonts w:ascii="Times" w:hAnsi="Times"/>
          <w:color w:val="000000" w:themeColor="text1"/>
        </w:rPr>
        <w:t xml:space="preserve"> estimates</w:t>
      </w:r>
      <w:r w:rsidR="00020577" w:rsidRPr="0078465B">
        <w:rPr>
          <w:rFonts w:ascii="Times" w:hAnsi="Times"/>
          <w:color w:val="000000" w:themeColor="text1"/>
        </w:rPr>
        <w:t xml:space="preserve"> clearly indicate the importance of increasing adoption to make silvopasture a more effective drawdown solution. </w:t>
      </w:r>
      <w:r>
        <w:rPr>
          <w:rFonts w:ascii="Times" w:hAnsi="Times"/>
          <w:color w:val="000000" w:themeColor="text1"/>
        </w:rPr>
        <w:t>S</w:t>
      </w:r>
      <w:r w:rsidR="00020577" w:rsidRPr="0078465B">
        <w:rPr>
          <w:rFonts w:ascii="Times" w:hAnsi="Times"/>
          <w:color w:val="000000" w:themeColor="text1"/>
        </w:rPr>
        <w:t>ection 1.2</w:t>
      </w:r>
      <w:r>
        <w:rPr>
          <w:rFonts w:ascii="Times" w:hAnsi="Times"/>
          <w:color w:val="000000" w:themeColor="text1"/>
        </w:rPr>
        <w:t xml:space="preserve"> highlights that s</w:t>
      </w:r>
      <w:r w:rsidR="00020577" w:rsidRPr="0078465B">
        <w:rPr>
          <w:rFonts w:ascii="Times" w:hAnsi="Times"/>
          <w:color w:val="000000" w:themeColor="text1"/>
        </w:rPr>
        <w:t xml:space="preserve">trategies in Latin America, such as pilot projects led by CIPAV or payments for environmental services in Costa Rica, have helped to encourage producers to adopt silvopasture despite high startup costs and potential risk. Creating similar programming that is locally relevant in target areas where adoption is currently low could increase the drawdown impact of silvopasture globally. </w:t>
      </w:r>
    </w:p>
    <w:p w14:paraId="2C0E62DD" w14:textId="0C116A42" w:rsidR="00020577" w:rsidRPr="0078465B" w:rsidRDefault="001035B0" w:rsidP="0078465B">
      <w:pPr>
        <w:rPr>
          <w:rFonts w:ascii="Times" w:hAnsi="Times"/>
          <w:color w:val="000000" w:themeColor="text1"/>
        </w:rPr>
      </w:pPr>
      <w:r>
        <w:rPr>
          <w:rFonts w:ascii="Times" w:hAnsi="Times"/>
          <w:color w:val="000000" w:themeColor="text1"/>
        </w:rPr>
        <w:t>A</w:t>
      </w:r>
      <w:r w:rsidR="00020577" w:rsidRPr="0078465B">
        <w:rPr>
          <w:rFonts w:ascii="Times" w:hAnsi="Times"/>
          <w:color w:val="000000" w:themeColor="text1"/>
        </w:rPr>
        <w:t xml:space="preserve"> few key gaps </w:t>
      </w:r>
      <w:r>
        <w:rPr>
          <w:rFonts w:ascii="Times" w:hAnsi="Times"/>
          <w:color w:val="000000" w:themeColor="text1"/>
        </w:rPr>
        <w:t xml:space="preserve">nonetheless remain </w:t>
      </w:r>
      <w:r w:rsidR="00020577" w:rsidRPr="0078465B">
        <w:rPr>
          <w:rFonts w:ascii="Times" w:hAnsi="Times"/>
          <w:color w:val="000000" w:themeColor="text1"/>
        </w:rPr>
        <w:t>in the literature on silvopasture</w:t>
      </w:r>
      <w:r>
        <w:rPr>
          <w:rFonts w:ascii="Times" w:hAnsi="Times"/>
          <w:color w:val="000000" w:themeColor="text1"/>
        </w:rPr>
        <w:t>; addressing them</w:t>
      </w:r>
      <w:r w:rsidR="00020577" w:rsidRPr="0078465B">
        <w:rPr>
          <w:rFonts w:ascii="Times" w:hAnsi="Times"/>
          <w:color w:val="000000" w:themeColor="text1"/>
        </w:rPr>
        <w:t xml:space="preserve"> could provide crucial data that would reduce the impact of silvopasture. </w:t>
      </w:r>
      <w:r w:rsidR="00C44D93">
        <w:rPr>
          <w:rFonts w:ascii="Times" w:hAnsi="Times"/>
          <w:color w:val="000000" w:themeColor="text1"/>
        </w:rPr>
        <w:t>Studies including</w:t>
      </w:r>
      <w:r w:rsidR="00020577" w:rsidRPr="0078465B">
        <w:rPr>
          <w:rFonts w:ascii="Times" w:hAnsi="Times"/>
          <w:color w:val="000000" w:themeColor="text1"/>
        </w:rPr>
        <w:t xml:space="preserve"> GHG budgets </w:t>
      </w:r>
      <w:r w:rsidR="00C44D93">
        <w:rPr>
          <w:rFonts w:ascii="Times" w:hAnsi="Times"/>
          <w:color w:val="000000" w:themeColor="text1"/>
        </w:rPr>
        <w:t xml:space="preserve">which </w:t>
      </w:r>
      <w:r w:rsidR="00020577" w:rsidRPr="0078465B">
        <w:rPr>
          <w:rFonts w:ascii="Times" w:hAnsi="Times"/>
          <w:color w:val="000000" w:themeColor="text1"/>
        </w:rPr>
        <w:t>compar</w:t>
      </w:r>
      <w:r w:rsidR="00C44D93">
        <w:rPr>
          <w:rFonts w:ascii="Times" w:hAnsi="Times"/>
          <w:color w:val="000000" w:themeColor="text1"/>
        </w:rPr>
        <w:t>e</w:t>
      </w:r>
      <w:r w:rsidR="00020577" w:rsidRPr="0078465B">
        <w:rPr>
          <w:rFonts w:ascii="Times" w:hAnsi="Times"/>
          <w:color w:val="000000" w:themeColor="text1"/>
        </w:rPr>
        <w:t xml:space="preserve"> silvopasture systems to control pasture systems</w:t>
      </w:r>
      <w:r w:rsidR="00C44D93">
        <w:rPr>
          <w:rFonts w:ascii="Times" w:hAnsi="Times"/>
          <w:color w:val="000000" w:themeColor="text1"/>
        </w:rPr>
        <w:t xml:space="preserve"> remain scarce</w:t>
      </w:r>
      <w:r w:rsidR="00020577" w:rsidRPr="0078465B">
        <w:rPr>
          <w:rFonts w:ascii="Times" w:hAnsi="Times"/>
          <w:color w:val="000000" w:themeColor="text1"/>
        </w:rPr>
        <w:t>. Recent evidence shows that trees may emit more methane than previously thought</w:t>
      </w:r>
      <w:r w:rsidR="00FF2968">
        <w:rPr>
          <w:rFonts w:ascii="Times" w:hAnsi="Times"/>
          <w:color w:val="000000" w:themeColor="text1"/>
        </w:rPr>
        <w:t xml:space="preserve"> </w:t>
      </w:r>
      <w:r w:rsidR="00FF2968">
        <w:rPr>
          <w:rFonts w:ascii="Times" w:hAnsi="Times"/>
          <w:color w:val="000000" w:themeColor="text1"/>
        </w:rPr>
        <w:fldChar w:fldCharType="begin"/>
      </w:r>
      <w:r w:rsidR="00FF2968">
        <w:rPr>
          <w:rFonts w:ascii="Times" w:hAnsi="Times"/>
          <w:color w:val="000000" w:themeColor="text1"/>
        </w:rPr>
        <w:instrText xml:space="preserve"> ADDIN ZOTERO_ITEM CSL_CITATION {"citationID":"0vWujuiv","properties":{"formattedCitation":"(Covey et al., 2012)","plainCitation":"(Covey et al., 2012)","noteIndex":0},"citationItems":[{"id":505,"uris":["http://zotero.org/groups/2241939/items/IBFT7Z6R"],"uri":["http://zotero.org/groups/2241939/items/IBFT7Z6R"],"itemData":{"id":505,"type":"article-journal","title":"Elevated methane concentrations in trees of an upland forest","container-title":"Geophysical Research Letters","volume":"39","issue":"15","source":"CrossRef","URL":"http://doi.wiley.com/10.1029/2012GL052361","DOI":"10.1029/2012GL052361","ISSN":"00948276","shortTitle":"Elevated methane concentrations in trees of an upland forest","language":"en","author":[{"family":"Covey","given":"Kristofer R."},{"family":"Wood","given":"Stephen A."},{"family":"Warren","given":"Robert J."},{"family":"Lee","given":"Xuhui"},{"family":"Bradford","given":"Mark A."}],"issued":{"date-parts":[["2012",8,16]]},"accessed":{"date-parts":[["2017",4,1]]}}}],"schema":"https://github.com/citation-style-language/schema/raw/master/csl-citation.json"} </w:instrText>
      </w:r>
      <w:r w:rsidR="00FF2968">
        <w:rPr>
          <w:rFonts w:ascii="Times" w:hAnsi="Times"/>
          <w:color w:val="000000" w:themeColor="text1"/>
        </w:rPr>
        <w:fldChar w:fldCharType="separate"/>
      </w:r>
      <w:r w:rsidR="00FF2968" w:rsidRPr="00FF2968">
        <w:rPr>
          <w:rFonts w:ascii="Times" w:hAnsi="Times" w:cs="Times"/>
        </w:rPr>
        <w:t>(Covey et al., 2012)</w:t>
      </w:r>
      <w:r w:rsidR="00FF2968">
        <w:rPr>
          <w:rFonts w:ascii="Times" w:hAnsi="Times"/>
          <w:color w:val="000000" w:themeColor="text1"/>
        </w:rPr>
        <w:fldChar w:fldCharType="end"/>
      </w:r>
      <w:r w:rsidR="00B34B8D">
        <w:rPr>
          <w:rFonts w:ascii="Times" w:hAnsi="Times"/>
          <w:color w:val="000000" w:themeColor="text1"/>
        </w:rPr>
        <w:t>,</w:t>
      </w:r>
      <w:r w:rsidR="00020577" w:rsidRPr="0078465B">
        <w:rPr>
          <w:rFonts w:ascii="Times" w:hAnsi="Times"/>
          <w:color w:val="000000" w:themeColor="text1"/>
        </w:rPr>
        <w:t xml:space="preserve"> and soil moisture dynamics can strongly control soil GHG emissions. Understanding how planting trees in pasture may alter GHG cycles and net emissions within the system will be crucial in more fully understanding the impact of silvopasture. Similarly,</w:t>
      </w:r>
      <w:r w:rsidR="00B34B8D">
        <w:rPr>
          <w:rFonts w:ascii="Times" w:hAnsi="Times"/>
          <w:color w:val="000000" w:themeColor="text1"/>
        </w:rPr>
        <w:t xml:space="preserve"> as</w:t>
      </w:r>
      <w:r w:rsidR="00020577" w:rsidRPr="0078465B">
        <w:rPr>
          <w:rFonts w:ascii="Times" w:hAnsi="Times"/>
          <w:color w:val="000000" w:themeColor="text1"/>
        </w:rPr>
        <w:t xml:space="preserve"> </w:t>
      </w:r>
      <w:r w:rsidR="00B34B8D">
        <w:rPr>
          <w:rFonts w:ascii="Times" w:hAnsi="Times"/>
          <w:color w:val="000000" w:themeColor="text1"/>
        </w:rPr>
        <w:t>the majority of existing studies</w:t>
      </w:r>
      <w:r w:rsidR="00020577" w:rsidRPr="0078465B">
        <w:rPr>
          <w:rFonts w:ascii="Times" w:hAnsi="Times"/>
          <w:color w:val="000000" w:themeColor="text1"/>
        </w:rPr>
        <w:t xml:space="preserve"> were conducted over short time periods</w:t>
      </w:r>
      <w:r w:rsidR="00B34B8D">
        <w:rPr>
          <w:rFonts w:ascii="Times" w:hAnsi="Times"/>
          <w:color w:val="000000" w:themeColor="text1"/>
        </w:rPr>
        <w:t xml:space="preserve"> it is currently difficult to</w:t>
      </w:r>
      <w:r w:rsidR="00020577" w:rsidRPr="0078465B">
        <w:rPr>
          <w:rFonts w:ascii="Times" w:hAnsi="Times"/>
          <w:color w:val="000000" w:themeColor="text1"/>
        </w:rPr>
        <w:t xml:space="preserve"> account for the possibility that silvopasture systems, and particularly the soil component, may reach carbon saturation points after a short time</w:t>
      </w:r>
      <w:r w:rsidR="00FF2968">
        <w:rPr>
          <w:rFonts w:ascii="Times" w:hAnsi="Times"/>
          <w:color w:val="000000" w:themeColor="text1"/>
        </w:rPr>
        <w:t xml:space="preserve"> </w:t>
      </w:r>
      <w:r w:rsidR="00FF2968">
        <w:rPr>
          <w:rFonts w:ascii="Times" w:hAnsi="Times"/>
          <w:color w:val="000000" w:themeColor="text1"/>
        </w:rPr>
        <w:fldChar w:fldCharType="begin"/>
      </w:r>
      <w:r w:rsidR="00FF2968">
        <w:rPr>
          <w:rFonts w:ascii="Times" w:hAnsi="Times"/>
          <w:color w:val="000000" w:themeColor="text1"/>
        </w:rPr>
        <w:instrText xml:space="preserve"> ADDIN ZOTERO_ITEM CSL_CITATION {"citationID":"VERsDr68","properties":{"formattedCitation":"(Machmuller et al., 2015)","plainCitation":"(Machmuller et al., 2015)","noteIndex":0},"citationItems":[{"id":3137,"uris":["http://zotero.org/groups/2241939/items/ZZZWP3XN"],"uri":["http://zotero.org/groups/2241939/items/ZZZWP3XN"],"itemData":{"id":3137,"type":"article-journal","title":"Emerging land use practices rapidly increase soil organic matter","container-title":"Nature Communications","volume":"6","issue":"1","source":"Crossref","URL":"http://www.nature.com/articles/ncomms7995","DOI":"10.1038/ncomms7995","ISSN":"2041-1723","language":"en","author":[{"family":"Machmuller","given":"Megan B."},{"family":"Kramer","given":"Marc G."},{"family":"Cyle","given":"Taylor K."},{"family":"Hill","given":"Nick"},{"family":"Hancock","given":"Dennis"},{"family":"Thompson","given":"Aaron"}],"issued":{"date-parts":[["2015",12]]},"accessed":{"date-parts":[["2019",4,3]]}}}],"schema":"https://github.com/citation-style-language/schema/raw/master/csl-citation.json"} </w:instrText>
      </w:r>
      <w:r w:rsidR="00FF2968">
        <w:rPr>
          <w:rFonts w:ascii="Times" w:hAnsi="Times"/>
          <w:color w:val="000000" w:themeColor="text1"/>
        </w:rPr>
        <w:fldChar w:fldCharType="separate"/>
      </w:r>
      <w:r w:rsidR="00FF2968" w:rsidRPr="00FF2968">
        <w:rPr>
          <w:rFonts w:ascii="Times" w:hAnsi="Times" w:cs="Times"/>
        </w:rPr>
        <w:t>(Machmuller et al., 2015)</w:t>
      </w:r>
      <w:r w:rsidR="00FF2968">
        <w:rPr>
          <w:rFonts w:ascii="Times" w:hAnsi="Times"/>
          <w:color w:val="000000" w:themeColor="text1"/>
        </w:rPr>
        <w:fldChar w:fldCharType="end"/>
      </w:r>
      <w:r w:rsidR="00B34B8D" w:rsidRPr="0078465B">
        <w:rPr>
          <w:rFonts w:ascii="Times" w:hAnsi="Times"/>
          <w:color w:val="000000" w:themeColor="text1"/>
        </w:rPr>
        <w:t xml:space="preserve">. </w:t>
      </w:r>
    </w:p>
    <w:p w14:paraId="3EF38B75" w14:textId="690B4A1C" w:rsidR="00020577" w:rsidRPr="0078465B" w:rsidRDefault="00020577" w:rsidP="0078465B">
      <w:pPr>
        <w:rPr>
          <w:rFonts w:ascii="Times" w:hAnsi="Times"/>
          <w:color w:val="000000" w:themeColor="text1"/>
        </w:rPr>
      </w:pPr>
      <w:r w:rsidRPr="0078465B">
        <w:rPr>
          <w:rFonts w:ascii="Times" w:hAnsi="Times"/>
          <w:color w:val="000000" w:themeColor="text1"/>
        </w:rPr>
        <w:t xml:space="preserve">Despite </w:t>
      </w:r>
      <w:r w:rsidR="00123AE7">
        <w:rPr>
          <w:rFonts w:ascii="Times" w:hAnsi="Times"/>
          <w:color w:val="000000" w:themeColor="text1"/>
        </w:rPr>
        <w:t>significant knowledge gaps in the literature,</w:t>
      </w:r>
      <w:r w:rsidRPr="0078465B">
        <w:rPr>
          <w:rFonts w:ascii="Times" w:hAnsi="Times"/>
          <w:color w:val="000000" w:themeColor="text1"/>
        </w:rPr>
        <w:t xml:space="preserve"> and </w:t>
      </w:r>
      <w:r w:rsidR="00256B3B">
        <w:rPr>
          <w:rFonts w:ascii="Times" w:hAnsi="Times"/>
          <w:color w:val="000000" w:themeColor="text1"/>
        </w:rPr>
        <w:t>inherent limitations in Drawdown’s modeling</w:t>
      </w:r>
      <w:r w:rsidRPr="0078465B">
        <w:rPr>
          <w:rFonts w:ascii="Times" w:hAnsi="Times"/>
          <w:color w:val="000000" w:themeColor="text1"/>
        </w:rPr>
        <w:t xml:space="preserve"> framework, </w:t>
      </w:r>
      <w:r w:rsidR="00123AE7">
        <w:rPr>
          <w:rFonts w:ascii="Times" w:hAnsi="Times"/>
          <w:color w:val="000000" w:themeColor="text1"/>
        </w:rPr>
        <w:t xml:space="preserve">the </w:t>
      </w:r>
      <w:r w:rsidRPr="0078465B">
        <w:rPr>
          <w:rFonts w:ascii="Times" w:hAnsi="Times"/>
          <w:color w:val="000000" w:themeColor="text1"/>
        </w:rPr>
        <w:t>results</w:t>
      </w:r>
      <w:r w:rsidR="00123AE7">
        <w:rPr>
          <w:rFonts w:ascii="Times" w:hAnsi="Times"/>
          <w:color w:val="000000" w:themeColor="text1"/>
        </w:rPr>
        <w:t xml:space="preserve"> presented in this report</w:t>
      </w:r>
      <w:r w:rsidRPr="0078465B">
        <w:rPr>
          <w:rFonts w:ascii="Times" w:hAnsi="Times"/>
          <w:color w:val="000000" w:themeColor="text1"/>
        </w:rPr>
        <w:t xml:space="preserve"> outline the general magnitude and direction of silvopasture’s potential given current </w:t>
      </w:r>
      <w:r w:rsidR="00123AE7">
        <w:rPr>
          <w:rFonts w:ascii="Times" w:hAnsi="Times"/>
          <w:color w:val="000000" w:themeColor="text1"/>
        </w:rPr>
        <w:t xml:space="preserve">estimates of </w:t>
      </w:r>
      <w:r w:rsidRPr="0078465B">
        <w:rPr>
          <w:rFonts w:ascii="Times" w:hAnsi="Times"/>
          <w:color w:val="000000" w:themeColor="text1"/>
        </w:rPr>
        <w:t>adoption rates</w:t>
      </w:r>
      <w:r w:rsidR="00123AE7">
        <w:rPr>
          <w:rFonts w:ascii="Times" w:hAnsi="Times"/>
          <w:color w:val="000000" w:themeColor="text1"/>
        </w:rPr>
        <w:t>. The results presented here further highlight the practice’s</w:t>
      </w:r>
      <w:r w:rsidRPr="0078465B">
        <w:rPr>
          <w:rFonts w:ascii="Times" w:hAnsi="Times"/>
          <w:color w:val="000000" w:themeColor="text1"/>
        </w:rPr>
        <w:t xml:space="preserve"> </w:t>
      </w:r>
      <w:r w:rsidR="00123AE7">
        <w:rPr>
          <w:rFonts w:ascii="Times" w:hAnsi="Times"/>
          <w:color w:val="000000" w:themeColor="text1"/>
        </w:rPr>
        <w:t xml:space="preserve">significant </w:t>
      </w:r>
      <w:r w:rsidRPr="0078465B">
        <w:rPr>
          <w:rFonts w:ascii="Times" w:hAnsi="Times"/>
          <w:color w:val="000000" w:themeColor="text1"/>
        </w:rPr>
        <w:t xml:space="preserve">potential </w:t>
      </w:r>
      <w:r w:rsidR="00123AE7">
        <w:rPr>
          <w:rFonts w:ascii="Times" w:hAnsi="Times"/>
          <w:color w:val="000000" w:themeColor="text1"/>
        </w:rPr>
        <w:t>in the case of</w:t>
      </w:r>
      <w:r w:rsidRPr="0078465B">
        <w:rPr>
          <w:rFonts w:ascii="Times" w:hAnsi="Times"/>
          <w:color w:val="000000" w:themeColor="text1"/>
        </w:rPr>
        <w:t xml:space="preserve"> widespread, rapid adoption. As such, silvopasture appears to be a system that warrants more attention and should possibly be supported and promoted by stakeholders. </w:t>
      </w:r>
    </w:p>
    <w:p w14:paraId="29051B19" w14:textId="67BD7B15" w:rsidR="00020577" w:rsidRPr="009C03EB" w:rsidRDefault="00020577" w:rsidP="003D513E">
      <w:pPr>
        <w:shd w:val="clear" w:color="auto" w:fill="FFFFFF"/>
        <w:spacing w:after="0"/>
        <w:rPr>
          <w:rFonts w:ascii="Helvetica Neue" w:eastAsia="Helvetica Neue" w:hAnsi="Helvetica Neue" w:cs="Helvetica Neue"/>
          <w:color w:val="9F2936"/>
          <w:sz w:val="23"/>
          <w:szCs w:val="23"/>
        </w:rPr>
      </w:pPr>
      <w:r w:rsidRPr="0078465B">
        <w:rPr>
          <w:rFonts w:ascii="Times" w:eastAsia="Arial" w:hAnsi="Times" w:cs="Arial"/>
          <w:color w:val="000000" w:themeColor="text1"/>
        </w:rPr>
        <w:t>Silvopasture is the highest ranked of all of Drawdown</w:t>
      </w:r>
      <w:r w:rsidR="00866B32">
        <w:rPr>
          <w:rFonts w:ascii="Times" w:eastAsia="Arial" w:hAnsi="Times" w:cs="Arial"/>
          <w:color w:val="000000" w:themeColor="text1"/>
        </w:rPr>
        <w:t>’</w:t>
      </w:r>
      <w:r w:rsidRPr="0078465B">
        <w:rPr>
          <w:rFonts w:ascii="Times" w:eastAsia="Arial" w:hAnsi="Times" w:cs="Arial"/>
          <w:color w:val="000000" w:themeColor="text1"/>
        </w:rPr>
        <w:t xml:space="preserve">s agricultural solutions in terms of mitigation impact, though </w:t>
      </w:r>
      <w:r w:rsidR="00123AE7">
        <w:rPr>
          <w:rFonts w:ascii="Times" w:eastAsia="Arial" w:hAnsi="Times" w:cs="Arial"/>
          <w:color w:val="000000" w:themeColor="text1"/>
        </w:rPr>
        <w:t>to date it</w:t>
      </w:r>
      <w:r w:rsidRPr="0078465B">
        <w:rPr>
          <w:rFonts w:ascii="Times" w:eastAsia="Arial" w:hAnsi="Times" w:cs="Arial"/>
          <w:color w:val="000000" w:themeColor="text1"/>
        </w:rPr>
        <w:t xml:space="preserve"> has received little attention. </w:t>
      </w:r>
      <w:r w:rsidR="00106FCC">
        <w:rPr>
          <w:rFonts w:ascii="Times" w:eastAsia="Arial" w:hAnsi="Times" w:cs="Arial"/>
          <w:color w:val="000000" w:themeColor="text1"/>
        </w:rPr>
        <w:t>Adopting the practice</w:t>
      </w:r>
      <w:r w:rsidR="00106FCC" w:rsidRPr="0078465B">
        <w:rPr>
          <w:rFonts w:ascii="Times" w:eastAsia="Arial" w:hAnsi="Times" w:cs="Arial"/>
          <w:color w:val="000000" w:themeColor="text1"/>
        </w:rPr>
        <w:t xml:space="preserve"> </w:t>
      </w:r>
      <w:r w:rsidRPr="0078465B">
        <w:rPr>
          <w:rFonts w:ascii="Times" w:eastAsia="Arial" w:hAnsi="Times" w:cs="Arial"/>
          <w:color w:val="000000" w:themeColor="text1"/>
        </w:rPr>
        <w:t>should be a priority for scaling up wherever grasslands are humid enough to permit tree growth. This is particularly important given the need to produce climate-friendly livestock products to meet global demand for meat and dairy, even given plant-based diet and reduced food waste projections. Thus</w:t>
      </w:r>
      <w:r w:rsidR="00106FCC">
        <w:rPr>
          <w:rFonts w:ascii="Times" w:eastAsia="Arial" w:hAnsi="Times" w:cs="Arial"/>
          <w:color w:val="000000" w:themeColor="text1"/>
        </w:rPr>
        <w:t>,</w:t>
      </w:r>
      <w:r w:rsidRPr="0078465B">
        <w:rPr>
          <w:rFonts w:ascii="Times" w:eastAsia="Arial" w:hAnsi="Times" w:cs="Arial"/>
          <w:color w:val="000000" w:themeColor="text1"/>
        </w:rPr>
        <w:t xml:space="preserve"> silvopasture </w:t>
      </w:r>
      <w:r w:rsidR="00106FCC">
        <w:rPr>
          <w:rFonts w:ascii="Times" w:eastAsia="Arial" w:hAnsi="Times" w:cs="Arial"/>
          <w:color w:val="000000" w:themeColor="text1"/>
        </w:rPr>
        <w:t xml:space="preserve">should </w:t>
      </w:r>
      <w:r w:rsidR="003462A7">
        <w:rPr>
          <w:rFonts w:ascii="Times" w:eastAsia="Arial" w:hAnsi="Times" w:cs="Arial"/>
          <w:color w:val="000000" w:themeColor="text1"/>
        </w:rPr>
        <w:t>be</w:t>
      </w:r>
      <w:r w:rsidRPr="0078465B">
        <w:rPr>
          <w:rFonts w:ascii="Times" w:eastAsia="Arial" w:hAnsi="Times" w:cs="Arial"/>
          <w:color w:val="000000" w:themeColor="text1"/>
        </w:rPr>
        <w:t xml:space="preserve"> an essential supply-side food solution in any mitigation program. </w:t>
      </w:r>
    </w:p>
    <w:p w14:paraId="319DCBD8" w14:textId="325B162B" w:rsidR="006745FF" w:rsidRDefault="006745FF" w:rsidP="00387E91">
      <w:pPr>
        <w:pStyle w:val="Heading2"/>
        <w:numPr>
          <w:ilvl w:val="1"/>
          <w:numId w:val="4"/>
        </w:numPr>
      </w:pPr>
      <w:bookmarkStart w:id="78" w:name="_Toc18013328"/>
      <w:r w:rsidRPr="551A77D0">
        <w:lastRenderedPageBreak/>
        <w:t>Limitations</w:t>
      </w:r>
      <w:bookmarkEnd w:id="78"/>
    </w:p>
    <w:p w14:paraId="36E2A305" w14:textId="4B4E3A73" w:rsidR="007F09B9" w:rsidRPr="00432794" w:rsidRDefault="00020577" w:rsidP="003D513E">
      <w:pPr>
        <w:shd w:val="clear" w:color="auto" w:fill="FFFFFF"/>
        <w:spacing w:after="0"/>
        <w:rPr>
          <w:rFonts w:ascii="Helvetica Neue" w:eastAsia="Helvetica Neue" w:hAnsi="Helvetica Neue" w:cs="Helvetica Neue"/>
          <w:color w:val="9F2936"/>
          <w:sz w:val="23"/>
          <w:szCs w:val="23"/>
        </w:rPr>
      </w:pPr>
      <w:r w:rsidRPr="0078465B">
        <w:rPr>
          <w:rFonts w:ascii="Times" w:eastAsia="Arial" w:hAnsi="Times" w:cs="Arial"/>
          <w:color w:val="000000" w:themeColor="text1"/>
        </w:rPr>
        <w:t>This study could be improved with additional</w:t>
      </w:r>
      <w:r w:rsidR="00E409CD">
        <w:rPr>
          <w:rFonts w:ascii="Times" w:eastAsia="Arial" w:hAnsi="Times" w:cs="Arial"/>
          <w:color w:val="000000" w:themeColor="text1"/>
        </w:rPr>
        <w:t>, more accurate</w:t>
      </w:r>
      <w:r w:rsidRPr="0078465B">
        <w:rPr>
          <w:rFonts w:ascii="Times" w:eastAsia="Arial" w:hAnsi="Times" w:cs="Arial"/>
          <w:color w:val="000000" w:themeColor="text1"/>
        </w:rPr>
        <w:t xml:space="preserve"> data points on financials</w:t>
      </w:r>
      <w:r w:rsidR="00E409CD">
        <w:rPr>
          <w:rFonts w:ascii="Times" w:eastAsia="Arial" w:hAnsi="Times" w:cs="Arial"/>
          <w:color w:val="000000" w:themeColor="text1"/>
        </w:rPr>
        <w:t xml:space="preserve"> and C sequestration</w:t>
      </w:r>
      <w:r w:rsidR="00526D93">
        <w:rPr>
          <w:rFonts w:ascii="Times" w:eastAsia="Arial" w:hAnsi="Times" w:cs="Arial"/>
          <w:color w:val="000000" w:themeColor="text1"/>
        </w:rPr>
        <w:t xml:space="preserve"> parameters, as well as more accurate</w:t>
      </w:r>
      <w:r w:rsidRPr="0078465B">
        <w:rPr>
          <w:rFonts w:ascii="Times" w:eastAsia="Arial" w:hAnsi="Times" w:cs="Arial"/>
          <w:color w:val="000000" w:themeColor="text1"/>
        </w:rPr>
        <w:t xml:space="preserve"> data on current and projected adoption</w:t>
      </w:r>
      <w:r w:rsidR="00526D93">
        <w:rPr>
          <w:rFonts w:ascii="Times" w:eastAsia="Arial" w:hAnsi="Times" w:cs="Arial"/>
          <w:color w:val="000000" w:themeColor="text1"/>
        </w:rPr>
        <w:t>, which</w:t>
      </w:r>
      <w:r w:rsidR="00E409CD">
        <w:rPr>
          <w:rFonts w:ascii="Times" w:eastAsia="Arial" w:hAnsi="Times" w:cs="Arial"/>
          <w:color w:val="000000" w:themeColor="text1"/>
        </w:rPr>
        <w:t xml:space="preserve"> currently do not exist</w:t>
      </w:r>
      <w:r w:rsidR="00526D93">
        <w:rPr>
          <w:rFonts w:ascii="Times" w:eastAsia="Arial" w:hAnsi="Times" w:cs="Arial"/>
          <w:color w:val="000000" w:themeColor="text1"/>
        </w:rPr>
        <w:t xml:space="preserve"> (Nair, personal communication). Similarly, </w:t>
      </w:r>
      <w:r w:rsidRPr="0078465B">
        <w:rPr>
          <w:rFonts w:ascii="Times" w:eastAsia="Arial" w:hAnsi="Times" w:cs="Arial"/>
          <w:color w:val="000000" w:themeColor="text1"/>
        </w:rPr>
        <w:t>projections of mitigation impact</w:t>
      </w:r>
      <w:r w:rsidR="00E409CD">
        <w:rPr>
          <w:rFonts w:ascii="Times" w:eastAsia="Arial" w:hAnsi="Times" w:cs="Arial"/>
          <w:color w:val="000000" w:themeColor="text1"/>
        </w:rPr>
        <w:t xml:space="preserve"> would greatly improve the accuracy of model results.</w:t>
      </w:r>
      <w:r w:rsidRPr="0078465B">
        <w:rPr>
          <w:rFonts w:ascii="Times" w:eastAsia="Arial" w:hAnsi="Times" w:cs="Arial"/>
          <w:color w:val="000000" w:themeColor="text1"/>
        </w:rPr>
        <w:t xml:space="preserve"> More research on the suitable area of global grassland, with sufficient rainfall to permit tree growth, is also essential to precisely determine the potential impact of this solution.</w:t>
      </w:r>
    </w:p>
    <w:p w14:paraId="2139E8E7" w14:textId="767A0E25" w:rsidR="006745FF" w:rsidRDefault="006745FF" w:rsidP="00387E91">
      <w:pPr>
        <w:pStyle w:val="Heading2"/>
        <w:numPr>
          <w:ilvl w:val="1"/>
          <w:numId w:val="4"/>
        </w:numPr>
      </w:pPr>
      <w:bookmarkStart w:id="79" w:name="_Toc18013329"/>
      <w:r w:rsidRPr="551A77D0">
        <w:t>Benchmarks</w:t>
      </w:r>
      <w:bookmarkEnd w:id="79"/>
    </w:p>
    <w:p w14:paraId="3D2DCBE2" w14:textId="4188B840" w:rsidR="00811DDB" w:rsidRDefault="00FF2968" w:rsidP="00811DDB">
      <w:pPr>
        <w:rPr>
          <w:rFonts w:ascii="Times" w:eastAsia="Helvetica Neue" w:hAnsi="Times" w:cs="Helvetica Neue"/>
          <w:color w:val="000000" w:themeColor="text1"/>
          <w:highlight w:val="white"/>
        </w:rPr>
      </w:pPr>
      <w:bookmarkStart w:id="80" w:name="_Hlk3896818"/>
      <w:r w:rsidRPr="00FF2968">
        <w:rPr>
          <w:rFonts w:ascii="Times" w:eastAsia="Helvetica Neue" w:hAnsi="Times" w:cs="Helvetica Neue"/>
          <w:color w:val="000000" w:themeColor="text1"/>
        </w:rPr>
        <w:t>A recent study by</w:t>
      </w:r>
      <w:r>
        <w:rPr>
          <w:rFonts w:ascii="Times" w:eastAsia="Helvetica Neue" w:hAnsi="Times" w:cs="Helvetica Neue"/>
          <w:color w:val="000000" w:themeColor="text1"/>
        </w:rPr>
        <w:t xml:space="preserve"> </w:t>
      </w:r>
      <w:r>
        <w:rPr>
          <w:rFonts w:ascii="Times" w:eastAsia="Helvetica Neue" w:hAnsi="Times" w:cs="Helvetica Neue"/>
          <w:color w:val="000000" w:themeColor="text1"/>
        </w:rPr>
        <w:fldChar w:fldCharType="begin"/>
      </w:r>
      <w:r>
        <w:rPr>
          <w:rFonts w:ascii="Times" w:eastAsia="Helvetica Neue" w:hAnsi="Times" w:cs="Helvetica Neue"/>
          <w:color w:val="000000" w:themeColor="text1"/>
        </w:rPr>
        <w:instrText xml:space="preserve"> ADDIN ZOTERO_ITEM CSL_CITATION {"citationID":"iYKHUdzw","properties":{"formattedCitation":"(Lal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Pr>
          <w:rFonts w:ascii="Times" w:eastAsia="Helvetica Neue" w:hAnsi="Times" w:cs="Helvetica Neue"/>
          <w:color w:val="000000" w:themeColor="text1"/>
        </w:rPr>
        <w:fldChar w:fldCharType="separate"/>
      </w:r>
      <w:r w:rsidR="00FD7CE8" w:rsidRPr="00FD7CE8">
        <w:rPr>
          <w:rFonts w:ascii="Times" w:hAnsi="Times" w:cs="Times"/>
        </w:rPr>
        <w:t>(Lal et al., 2018)</w:t>
      </w:r>
      <w:r>
        <w:rPr>
          <w:rFonts w:ascii="Times" w:eastAsia="Helvetica Neue" w:hAnsi="Times" w:cs="Helvetica Neue"/>
          <w:color w:val="000000" w:themeColor="text1"/>
        </w:rPr>
        <w:fldChar w:fldCharType="end"/>
      </w:r>
      <w:r w:rsidRPr="00FF2968">
        <w:rPr>
          <w:rFonts w:ascii="Times" w:eastAsia="Helvetica Neue" w:hAnsi="Times" w:cs="Helvetica Neue"/>
          <w:color w:val="000000" w:themeColor="text1"/>
        </w:rPr>
        <w:t xml:space="preserve"> estimates a range between 0.55 </w:t>
      </w:r>
      <w:r w:rsidR="00866B32">
        <w:rPr>
          <w:rFonts w:ascii="Times" w:eastAsia="Helvetica Neue" w:hAnsi="Times" w:cs="Helvetica Neue"/>
          <w:color w:val="000000" w:themeColor="text1"/>
        </w:rPr>
        <w:t>–</w:t>
      </w:r>
      <w:r w:rsidRPr="00FF2968">
        <w:rPr>
          <w:rFonts w:ascii="Times" w:eastAsia="Helvetica Neue" w:hAnsi="Times" w:cs="Helvetica Neue"/>
          <w:color w:val="000000" w:themeColor="text1"/>
        </w:rPr>
        <w:t xml:space="preserve"> 1.90 for </w:t>
      </w:r>
      <w:r w:rsidR="00A17123">
        <w:rPr>
          <w:rFonts w:ascii="Times" w:eastAsia="Helvetica Neue" w:hAnsi="Times" w:cs="Helvetica Neue"/>
          <w:color w:val="000000" w:themeColor="text1"/>
        </w:rPr>
        <w:t>the technical potential of</w:t>
      </w:r>
      <w:r w:rsidRPr="00FF2968">
        <w:rPr>
          <w:rFonts w:ascii="Times" w:eastAsia="Helvetica Neue" w:hAnsi="Times" w:cs="Helvetica Neue"/>
          <w:color w:val="000000" w:themeColor="text1"/>
        </w:rPr>
        <w:t xml:space="preserve"> C sequestration </w:t>
      </w:r>
      <w:r w:rsidR="00A17123">
        <w:rPr>
          <w:rFonts w:ascii="Times" w:eastAsia="Helvetica Neue" w:hAnsi="Times" w:cs="Helvetica Neue"/>
          <w:color w:val="000000" w:themeColor="text1"/>
        </w:rPr>
        <w:t>by</w:t>
      </w:r>
      <w:r w:rsidR="000833C6">
        <w:rPr>
          <w:rFonts w:ascii="Times" w:eastAsia="Helvetica Neue" w:hAnsi="Times" w:cs="Helvetica Neue"/>
          <w:color w:val="000000" w:themeColor="text1"/>
        </w:rPr>
        <w:t xml:space="preserve"> silvopastures</w:t>
      </w:r>
      <w:r w:rsidRPr="00FF2968">
        <w:rPr>
          <w:rFonts w:ascii="Times" w:eastAsia="Helvetica Neue" w:hAnsi="Times" w:cs="Helvetica Neue"/>
          <w:color w:val="000000" w:themeColor="text1"/>
        </w:rPr>
        <w:t>.</w:t>
      </w:r>
      <w:r w:rsidR="00106AA3">
        <w:rPr>
          <w:rFonts w:ascii="Times" w:eastAsia="Helvetica Neue" w:hAnsi="Times" w:cs="Helvetica Neue"/>
          <w:color w:val="000000" w:themeColor="text1"/>
        </w:rPr>
        <w:t xml:space="preserve"> </w:t>
      </w:r>
      <w:r w:rsidR="00020577" w:rsidRPr="0078465B">
        <w:rPr>
          <w:rFonts w:ascii="Times" w:eastAsia="Helvetica Neue" w:hAnsi="Times" w:cs="Helvetica Neue"/>
          <w:color w:val="000000" w:themeColor="text1"/>
          <w:highlight w:val="white"/>
        </w:rPr>
        <w:t xml:space="preserve">Annual impact of </w:t>
      </w:r>
      <w:r w:rsidR="00020577" w:rsidRPr="0078465B">
        <w:rPr>
          <w:rFonts w:ascii="Times" w:eastAsia="Helvetica Neue" w:hAnsi="Times" w:cs="Helvetica Neue"/>
          <w:i/>
          <w:color w:val="000000" w:themeColor="text1"/>
          <w:highlight w:val="white"/>
        </w:rPr>
        <w:t xml:space="preserve">silvopasture </w:t>
      </w:r>
      <w:r w:rsidR="00020577" w:rsidRPr="0078465B">
        <w:rPr>
          <w:rFonts w:ascii="Times" w:eastAsia="Helvetica Neue" w:hAnsi="Times" w:cs="Helvetica Neue"/>
          <w:color w:val="000000" w:themeColor="text1"/>
          <w:highlight w:val="white"/>
        </w:rPr>
        <w:t xml:space="preserve">in 2030 is </w:t>
      </w:r>
      <w:r w:rsidR="00866B32">
        <w:rPr>
          <w:rFonts w:ascii="Times" w:eastAsia="Helvetica Neue" w:hAnsi="Times" w:cs="Helvetica Neue"/>
          <w:color w:val="000000" w:themeColor="text1"/>
        </w:rPr>
        <w:t>0.86-1.34</w:t>
      </w:r>
      <w:r w:rsidR="00020577" w:rsidRPr="003D513E">
        <w:rPr>
          <w:rFonts w:ascii="Times" w:eastAsia="Helvetica Neue" w:hAnsi="Times" w:cs="Helvetica Neue"/>
          <w:color w:val="000000" w:themeColor="text1"/>
        </w:rPr>
        <w:t xml:space="preserve"> gigatons </w:t>
      </w:r>
      <w:r w:rsidR="00020577" w:rsidRPr="0078465B">
        <w:rPr>
          <w:rFonts w:ascii="Times" w:eastAsia="Helvetica Neue" w:hAnsi="Times" w:cs="Helvetica Neue"/>
          <w:color w:val="000000" w:themeColor="text1"/>
          <w:highlight w:val="white"/>
        </w:rPr>
        <w:t>of carbon dioxide equivalent per year.</w:t>
      </w:r>
    </w:p>
    <w:p w14:paraId="35114C89" w14:textId="497A20AF" w:rsidR="00B037A8" w:rsidRDefault="00B037A8" w:rsidP="00B037A8">
      <w:pPr>
        <w:pStyle w:val="Caption"/>
        <w:rPr>
          <w:rFonts w:ascii="Times" w:eastAsia="Helvetica Neue" w:hAnsi="Times" w:cs="Helvetica Neue"/>
          <w:color w:val="000000" w:themeColor="text1"/>
          <w:highlight w:val="white"/>
        </w:rPr>
      </w:pPr>
      <w:bookmarkStart w:id="81" w:name="_Toc18448133"/>
      <w:r>
        <w:t xml:space="preserve">Table </w:t>
      </w:r>
      <w:fldSimple w:instr=" STYLEREF 1 \s ">
        <w:r w:rsidR="00614A66">
          <w:rPr>
            <w:noProof/>
          </w:rPr>
          <w:t>4</w:t>
        </w:r>
      </w:fldSimple>
      <w:r>
        <w:t>.</w:t>
      </w:r>
      <w:fldSimple w:instr=" SEQ Table \* ARABIC \s 1 ">
        <w:r w:rsidR="00614A66">
          <w:rPr>
            <w:noProof/>
          </w:rPr>
          <w:t>1</w:t>
        </w:r>
      </w:fldSimple>
      <w:r>
        <w:t>: Benchmarks</w:t>
      </w:r>
      <w:bookmarkEnd w:id="81"/>
    </w:p>
    <w:tbl>
      <w:tblPr>
        <w:tblStyle w:val="TableGrid"/>
        <w:tblW w:w="2799" w:type="pct"/>
        <w:jc w:val="center"/>
        <w:tblLook w:val="04A0" w:firstRow="1" w:lastRow="0" w:firstColumn="1" w:lastColumn="0" w:noHBand="0" w:noVBand="1"/>
      </w:tblPr>
      <w:tblGrid>
        <w:gridCol w:w="2341"/>
        <w:gridCol w:w="1446"/>
        <w:gridCol w:w="1447"/>
      </w:tblGrid>
      <w:tr w:rsidR="00121FFA" w:rsidRPr="006B675D" w14:paraId="4A0ADC82" w14:textId="77777777" w:rsidTr="00121FFA">
        <w:trPr>
          <w:cantSplit/>
          <w:trHeight w:val="329"/>
          <w:tblHeader/>
          <w:jc w:val="center"/>
        </w:trPr>
        <w:tc>
          <w:tcPr>
            <w:tcW w:w="2236" w:type="pct"/>
            <w:shd w:val="clear" w:color="auto" w:fill="4F81BD" w:themeFill="accent1"/>
            <w:vAlign w:val="center"/>
          </w:tcPr>
          <w:bookmarkEnd w:id="80"/>
          <w:p w14:paraId="6DBC8362" w14:textId="77777777" w:rsidR="00121FFA" w:rsidRPr="006B675D" w:rsidRDefault="00121FFA" w:rsidP="00121FFA">
            <w:pPr>
              <w:jc w:val="center"/>
              <w:rPr>
                <w:b/>
                <w:bCs/>
                <w:color w:val="FFFFFF" w:themeColor="background1"/>
                <w:sz w:val="20"/>
                <w:szCs w:val="20"/>
              </w:rPr>
            </w:pPr>
            <w:r w:rsidRPr="006B675D">
              <w:rPr>
                <w:b/>
                <w:bCs/>
                <w:color w:val="FFFFFF" w:themeColor="background1"/>
                <w:sz w:val="20"/>
                <w:szCs w:val="20"/>
              </w:rPr>
              <w:t>Source and Scenario</w:t>
            </w:r>
          </w:p>
        </w:tc>
        <w:tc>
          <w:tcPr>
            <w:tcW w:w="1381" w:type="pct"/>
            <w:shd w:val="clear" w:color="auto" w:fill="4F81BD" w:themeFill="accent1"/>
            <w:vAlign w:val="center"/>
          </w:tcPr>
          <w:p w14:paraId="740930FF" w14:textId="7F63F4BA" w:rsidR="00121FFA" w:rsidRPr="006B675D" w:rsidRDefault="00121FFA" w:rsidP="00121FFA">
            <w:pPr>
              <w:jc w:val="center"/>
              <w:rPr>
                <w:b/>
                <w:color w:val="FFFFFF" w:themeColor="background1"/>
                <w:sz w:val="20"/>
                <w:szCs w:val="20"/>
              </w:rPr>
            </w:pPr>
            <w:r w:rsidRPr="006B675D">
              <w:rPr>
                <w:b/>
                <w:color w:val="FFFFFF" w:themeColor="background1"/>
                <w:sz w:val="20"/>
                <w:szCs w:val="20"/>
              </w:rPr>
              <w:t>New Adoption</w:t>
            </w:r>
            <w:r w:rsidR="00866B32">
              <w:rPr>
                <w:b/>
                <w:color w:val="FFFFFF" w:themeColor="background1"/>
                <w:sz w:val="20"/>
                <w:szCs w:val="20"/>
              </w:rPr>
              <w:t xml:space="preserve"> (million hectares)</w:t>
            </w:r>
          </w:p>
        </w:tc>
        <w:tc>
          <w:tcPr>
            <w:tcW w:w="1382" w:type="pct"/>
            <w:shd w:val="clear" w:color="auto" w:fill="4F81BD" w:themeFill="accent1"/>
            <w:vAlign w:val="center"/>
          </w:tcPr>
          <w:p w14:paraId="1FA9A425" w14:textId="77777777" w:rsidR="00121FFA" w:rsidRPr="006B675D" w:rsidRDefault="00121FFA" w:rsidP="00121FFA">
            <w:pPr>
              <w:jc w:val="center"/>
              <w:rPr>
                <w:b/>
                <w:color w:val="FFFFFF" w:themeColor="background1"/>
                <w:sz w:val="20"/>
                <w:szCs w:val="20"/>
              </w:rPr>
            </w:pPr>
            <w:r w:rsidRPr="006B675D">
              <w:rPr>
                <w:b/>
                <w:color w:val="FFFFFF" w:themeColor="background1"/>
                <w:sz w:val="20"/>
                <w:szCs w:val="20"/>
              </w:rPr>
              <w:t>Mitigation Impact (i.e.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C717BB" w:rsidRPr="006B675D" w14:paraId="1952BCCA" w14:textId="77777777" w:rsidTr="00121FFA">
        <w:trPr>
          <w:trHeight w:val="432"/>
          <w:jc w:val="center"/>
        </w:trPr>
        <w:tc>
          <w:tcPr>
            <w:tcW w:w="2236" w:type="pct"/>
            <w:vAlign w:val="center"/>
          </w:tcPr>
          <w:p w14:paraId="1DBA427E" w14:textId="574CECB2" w:rsidR="00C717BB" w:rsidRPr="005414F8" w:rsidRDefault="00C717BB" w:rsidP="00C717BB">
            <w:pPr>
              <w:jc w:val="center"/>
              <w:rPr>
                <w:sz w:val="20"/>
                <w:szCs w:val="20"/>
              </w:rPr>
            </w:pPr>
            <w:r w:rsidRPr="005414F8">
              <w:rPr>
                <w:sz w:val="20"/>
                <w:szCs w:val="20"/>
              </w:rPr>
              <w:t>Lal (2018)</w:t>
            </w:r>
          </w:p>
        </w:tc>
        <w:tc>
          <w:tcPr>
            <w:tcW w:w="1381" w:type="pct"/>
            <w:vAlign w:val="center"/>
          </w:tcPr>
          <w:p w14:paraId="0D959865" w14:textId="21BF184D" w:rsidR="00C717BB" w:rsidRPr="005414F8" w:rsidRDefault="00824056" w:rsidP="00C717BB">
            <w:pPr>
              <w:jc w:val="center"/>
              <w:rPr>
                <w:sz w:val="20"/>
                <w:szCs w:val="20"/>
              </w:rPr>
            </w:pPr>
            <w:r>
              <w:rPr>
                <w:bCs/>
                <w:sz w:val="20"/>
                <w:szCs w:val="20"/>
              </w:rPr>
              <w:t>n/a</w:t>
            </w:r>
            <w:r w:rsidR="00C717BB">
              <w:rPr>
                <w:bCs/>
                <w:sz w:val="20"/>
                <w:szCs w:val="20"/>
              </w:rPr>
              <w:t xml:space="preserve"> </w:t>
            </w:r>
          </w:p>
        </w:tc>
        <w:tc>
          <w:tcPr>
            <w:tcW w:w="1382" w:type="pct"/>
            <w:vAlign w:val="center"/>
          </w:tcPr>
          <w:p w14:paraId="3F040C25" w14:textId="2DE15EC3" w:rsidR="00C717BB" w:rsidRPr="005414F8" w:rsidRDefault="00C717BB" w:rsidP="00C717BB">
            <w:pPr>
              <w:jc w:val="center"/>
              <w:rPr>
                <w:sz w:val="20"/>
                <w:szCs w:val="20"/>
              </w:rPr>
            </w:pPr>
            <w:r>
              <w:rPr>
                <w:sz w:val="20"/>
                <w:szCs w:val="20"/>
              </w:rPr>
              <w:t>0.55 – 1.90</w:t>
            </w:r>
          </w:p>
        </w:tc>
      </w:tr>
      <w:tr w:rsidR="00FE40F4" w:rsidRPr="006B675D" w14:paraId="626D36D6" w14:textId="77777777" w:rsidTr="00FE40F4">
        <w:trPr>
          <w:trHeight w:val="329"/>
          <w:jc w:val="center"/>
        </w:trPr>
        <w:tc>
          <w:tcPr>
            <w:tcW w:w="2236" w:type="pct"/>
            <w:vAlign w:val="center"/>
          </w:tcPr>
          <w:p w14:paraId="43E21646" w14:textId="77777777" w:rsidR="00FE40F4" w:rsidRPr="006B675D" w:rsidRDefault="00FE40F4" w:rsidP="00FE40F4">
            <w:pPr>
              <w:jc w:val="center"/>
              <w:rPr>
                <w:bCs/>
                <w:sz w:val="20"/>
                <w:szCs w:val="20"/>
              </w:rPr>
            </w:pPr>
            <w:r w:rsidRPr="006B675D">
              <w:rPr>
                <w:sz w:val="20"/>
                <w:szCs w:val="20"/>
              </w:rPr>
              <w:t>Project Drawdown – Plausible Scenario (PDS1)</w:t>
            </w:r>
          </w:p>
        </w:tc>
        <w:tc>
          <w:tcPr>
            <w:tcW w:w="1381" w:type="pct"/>
            <w:vAlign w:val="center"/>
          </w:tcPr>
          <w:p w14:paraId="537D5F02" w14:textId="42744FF0" w:rsidR="00FE40F4" w:rsidRPr="00B368B5" w:rsidRDefault="00FE40F4" w:rsidP="00FE40F4">
            <w:pPr>
              <w:jc w:val="center"/>
              <w:rPr>
                <w:bCs/>
                <w:sz w:val="20"/>
                <w:szCs w:val="20"/>
              </w:rPr>
            </w:pPr>
            <w:r w:rsidRPr="008D594A">
              <w:t>199</w:t>
            </w:r>
          </w:p>
        </w:tc>
        <w:tc>
          <w:tcPr>
            <w:tcW w:w="1382" w:type="pct"/>
            <w:vAlign w:val="center"/>
          </w:tcPr>
          <w:p w14:paraId="0BB2B8EE" w14:textId="39F786CF" w:rsidR="00FE40F4" w:rsidRPr="00B368B5" w:rsidRDefault="00FE40F4" w:rsidP="00FE40F4">
            <w:pPr>
              <w:jc w:val="center"/>
              <w:rPr>
                <w:bCs/>
                <w:sz w:val="20"/>
                <w:szCs w:val="20"/>
              </w:rPr>
            </w:pPr>
            <w:r w:rsidRPr="00BC11A7">
              <w:t xml:space="preserve"> 0.86 </w:t>
            </w:r>
          </w:p>
        </w:tc>
      </w:tr>
      <w:tr w:rsidR="00FE40F4" w:rsidRPr="006B675D" w14:paraId="71BB0010" w14:textId="77777777" w:rsidTr="00FE40F4">
        <w:trPr>
          <w:trHeight w:val="329"/>
          <w:jc w:val="center"/>
        </w:trPr>
        <w:tc>
          <w:tcPr>
            <w:tcW w:w="2236" w:type="pct"/>
            <w:vAlign w:val="center"/>
          </w:tcPr>
          <w:p w14:paraId="12DD884F" w14:textId="77777777" w:rsidR="00FE40F4" w:rsidRPr="006B675D" w:rsidRDefault="00FE40F4" w:rsidP="00FE40F4">
            <w:pPr>
              <w:jc w:val="center"/>
              <w:rPr>
                <w:sz w:val="20"/>
                <w:szCs w:val="20"/>
              </w:rPr>
            </w:pPr>
            <w:r w:rsidRPr="006B675D">
              <w:rPr>
                <w:sz w:val="20"/>
                <w:szCs w:val="20"/>
              </w:rPr>
              <w:t>Project Drawdown – Drawdown Scenario (PDS2)</w:t>
            </w:r>
          </w:p>
        </w:tc>
        <w:tc>
          <w:tcPr>
            <w:tcW w:w="1381" w:type="pct"/>
            <w:vAlign w:val="center"/>
          </w:tcPr>
          <w:p w14:paraId="57C30D00" w14:textId="3597A7AF" w:rsidR="00FE40F4" w:rsidRPr="00B368B5" w:rsidRDefault="00FE40F4" w:rsidP="00FE40F4">
            <w:pPr>
              <w:jc w:val="center"/>
              <w:rPr>
                <w:bCs/>
                <w:sz w:val="20"/>
                <w:szCs w:val="20"/>
              </w:rPr>
            </w:pPr>
            <w:r w:rsidRPr="008D594A">
              <w:t>238</w:t>
            </w:r>
          </w:p>
        </w:tc>
        <w:tc>
          <w:tcPr>
            <w:tcW w:w="1382" w:type="pct"/>
            <w:vAlign w:val="center"/>
          </w:tcPr>
          <w:p w14:paraId="70D68BB8" w14:textId="37FCCEB4" w:rsidR="00FE40F4" w:rsidRPr="00B368B5" w:rsidRDefault="00FE40F4" w:rsidP="00FE40F4">
            <w:pPr>
              <w:jc w:val="center"/>
              <w:rPr>
                <w:bCs/>
                <w:sz w:val="20"/>
                <w:szCs w:val="20"/>
              </w:rPr>
            </w:pPr>
            <w:r w:rsidRPr="00BC11A7">
              <w:t xml:space="preserve"> 1.06 </w:t>
            </w:r>
          </w:p>
        </w:tc>
      </w:tr>
      <w:tr w:rsidR="00FE40F4" w:rsidRPr="006B675D" w14:paraId="6099B007" w14:textId="77777777" w:rsidTr="00FE40F4">
        <w:trPr>
          <w:trHeight w:val="329"/>
          <w:jc w:val="center"/>
        </w:trPr>
        <w:tc>
          <w:tcPr>
            <w:tcW w:w="2236" w:type="pct"/>
            <w:vAlign w:val="center"/>
          </w:tcPr>
          <w:p w14:paraId="2DFE4725" w14:textId="77777777" w:rsidR="00FE40F4" w:rsidRPr="006B675D" w:rsidRDefault="00FE40F4" w:rsidP="00FE40F4">
            <w:pPr>
              <w:jc w:val="center"/>
              <w:rPr>
                <w:sz w:val="20"/>
                <w:szCs w:val="20"/>
              </w:rPr>
            </w:pPr>
            <w:r w:rsidRPr="006B675D">
              <w:rPr>
                <w:sz w:val="20"/>
                <w:szCs w:val="20"/>
              </w:rPr>
              <w:t>Project Drawdown – Optimum Scenario (PDS3)</w:t>
            </w:r>
          </w:p>
        </w:tc>
        <w:tc>
          <w:tcPr>
            <w:tcW w:w="1381" w:type="pct"/>
            <w:vAlign w:val="center"/>
          </w:tcPr>
          <w:p w14:paraId="0EFC2E7C" w14:textId="67755D14" w:rsidR="00FE40F4" w:rsidRPr="00B368B5" w:rsidRDefault="00FE40F4" w:rsidP="00FE40F4">
            <w:pPr>
              <w:jc w:val="center"/>
              <w:rPr>
                <w:bCs/>
                <w:sz w:val="20"/>
                <w:szCs w:val="20"/>
              </w:rPr>
            </w:pPr>
            <w:r w:rsidRPr="008D594A">
              <w:t>266</w:t>
            </w:r>
          </w:p>
        </w:tc>
        <w:tc>
          <w:tcPr>
            <w:tcW w:w="1382" w:type="pct"/>
            <w:vAlign w:val="center"/>
          </w:tcPr>
          <w:p w14:paraId="7B900EEE" w14:textId="2B6225E7" w:rsidR="00FE40F4" w:rsidRPr="00B368B5" w:rsidRDefault="00FE40F4" w:rsidP="00FE40F4">
            <w:pPr>
              <w:jc w:val="center"/>
              <w:rPr>
                <w:bCs/>
                <w:sz w:val="20"/>
                <w:szCs w:val="20"/>
              </w:rPr>
            </w:pPr>
            <w:r w:rsidRPr="00BC11A7">
              <w:t xml:space="preserve"> 1.34 </w:t>
            </w:r>
          </w:p>
        </w:tc>
      </w:tr>
    </w:tbl>
    <w:p w14:paraId="5A0A3C28" w14:textId="77777777" w:rsidR="009F429A" w:rsidRPr="00811DDB" w:rsidRDefault="009F429A" w:rsidP="00811DDB">
      <w:pPr>
        <w:rPr>
          <w:rFonts w:ascii="Times" w:eastAsia="Helvetica Neue" w:hAnsi="Times" w:cs="Helvetica Neue"/>
          <w:color w:val="000000" w:themeColor="text1"/>
          <w:highlight w:val="white"/>
        </w:rPr>
      </w:pPr>
    </w:p>
    <w:p w14:paraId="6AE90D91" w14:textId="09BA5EE7" w:rsidR="009E4C68" w:rsidRDefault="009E4C68" w:rsidP="009E4C68"/>
    <w:p w14:paraId="4DD774B2" w14:textId="5DA4B404" w:rsidR="009E4C68" w:rsidRDefault="009E4C68" w:rsidP="009E4C68"/>
    <w:p w14:paraId="129AF81D" w14:textId="5E2D3146" w:rsidR="009E4C68" w:rsidRDefault="009E4C68" w:rsidP="009E4C68"/>
    <w:p w14:paraId="06C821E0" w14:textId="77777777" w:rsidR="009E4C68" w:rsidRPr="009E4C68" w:rsidRDefault="009E4C68" w:rsidP="003D513E"/>
    <w:p w14:paraId="7454D80C" w14:textId="7215C901" w:rsidR="00434F61" w:rsidRDefault="551A77D0" w:rsidP="000D59C5">
      <w:pPr>
        <w:pStyle w:val="Heading1"/>
        <w:numPr>
          <w:ilvl w:val="0"/>
          <w:numId w:val="4"/>
        </w:numPr>
      </w:pPr>
      <w:bookmarkStart w:id="82" w:name="_Toc18013330"/>
      <w:r>
        <w:lastRenderedPageBreak/>
        <w:t>References</w:t>
      </w:r>
      <w:bookmarkEnd w:id="82"/>
    </w:p>
    <w:p w14:paraId="6367A0E6" w14:textId="77777777" w:rsidR="00FD7CE8" w:rsidRPr="00FD7CE8" w:rsidRDefault="000D59C5" w:rsidP="00FD7CE8">
      <w:pPr>
        <w:pStyle w:val="Bibliography"/>
        <w:rPr>
          <w:rFonts w:ascii="Times New Roman" w:hAnsi="Times New Roman" w:cs="Times New Roman"/>
          <w:sz w:val="20"/>
        </w:rPr>
      </w:pPr>
      <w:r w:rsidRPr="000D59C5">
        <w:rPr>
          <w:sz w:val="20"/>
          <w:szCs w:val="20"/>
        </w:rPr>
        <w:fldChar w:fldCharType="begin"/>
      </w:r>
      <w:r w:rsidRPr="000D59C5">
        <w:rPr>
          <w:sz w:val="20"/>
          <w:szCs w:val="20"/>
        </w:rPr>
        <w:instrText xml:space="preserve"> ADDIN ZOTERO_BIBL {"uncited":[],"omitted":[],"custom":[]} CSL_BIBLIOGRAPHY </w:instrText>
      </w:r>
      <w:r w:rsidRPr="000D59C5">
        <w:rPr>
          <w:sz w:val="20"/>
          <w:szCs w:val="20"/>
        </w:rPr>
        <w:fldChar w:fldCharType="separate"/>
      </w:r>
      <w:r w:rsidR="00FD7CE8" w:rsidRPr="00FD7CE8">
        <w:rPr>
          <w:rFonts w:ascii="Times New Roman" w:hAnsi="Times New Roman" w:cs="Times New Roman"/>
          <w:sz w:val="20"/>
        </w:rPr>
        <w:t>Abberton, M., Conant, R., and Batello, C. (2010). Plant Production and Protection Division Food and Agriculture Organization of the United Nations (FAO). 342.</w:t>
      </w:r>
    </w:p>
    <w:p w14:paraId="19949390"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lang w:val="de-DE"/>
        </w:rPr>
        <w:t xml:space="preserve">Albrecht, A., and Kandji, S.T. (2003). </w:t>
      </w:r>
      <w:r w:rsidRPr="00FD7CE8">
        <w:rPr>
          <w:rFonts w:ascii="Times New Roman" w:hAnsi="Times New Roman" w:cs="Times New Roman"/>
          <w:sz w:val="20"/>
        </w:rPr>
        <w:t xml:space="preserve">Carbon sequestration in tropical agroforestry systems. Agric. Ecosyst. Environ. </w:t>
      </w:r>
      <w:r w:rsidRPr="00FD7CE8">
        <w:rPr>
          <w:rFonts w:ascii="Times New Roman" w:hAnsi="Times New Roman" w:cs="Times New Roman"/>
          <w:i/>
          <w:iCs/>
          <w:sz w:val="20"/>
        </w:rPr>
        <w:t>99</w:t>
      </w:r>
      <w:r w:rsidRPr="00FD7CE8">
        <w:rPr>
          <w:rFonts w:ascii="Times New Roman" w:hAnsi="Times New Roman" w:cs="Times New Roman"/>
          <w:sz w:val="20"/>
        </w:rPr>
        <w:t>, 15–27.</w:t>
      </w:r>
    </w:p>
    <w:p w14:paraId="73EDC663"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Andrade, H.J., Brook, R., and Ibrahim, M. (2008). Growth, production and carbon sequestration of silvopastoral systems with native timber species in the dry lowlands of Costa Rica. Plant Soil </w:t>
      </w:r>
      <w:r w:rsidRPr="00FD7CE8">
        <w:rPr>
          <w:rFonts w:ascii="Times New Roman" w:hAnsi="Times New Roman" w:cs="Times New Roman"/>
          <w:i/>
          <w:iCs/>
          <w:sz w:val="20"/>
        </w:rPr>
        <w:t>308</w:t>
      </w:r>
      <w:r w:rsidRPr="00FD7CE8">
        <w:rPr>
          <w:rFonts w:ascii="Times New Roman" w:hAnsi="Times New Roman" w:cs="Times New Roman"/>
          <w:sz w:val="20"/>
        </w:rPr>
        <w:t>, 11–22.</w:t>
      </w:r>
    </w:p>
    <w:p w14:paraId="03E0C452"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Benavides, R., Douglas, G.B., and Osoro, K. (2009). Silvopastoralism in New Zealand: review of effects of evergreen and deciduous trees on pasture dynamics. Agrofor. Syst. </w:t>
      </w:r>
      <w:r w:rsidRPr="00FD7CE8">
        <w:rPr>
          <w:rFonts w:ascii="Times New Roman" w:hAnsi="Times New Roman" w:cs="Times New Roman"/>
          <w:i/>
          <w:iCs/>
          <w:sz w:val="20"/>
        </w:rPr>
        <w:t>76</w:t>
      </w:r>
      <w:r w:rsidRPr="00FD7CE8">
        <w:rPr>
          <w:rFonts w:ascii="Times New Roman" w:hAnsi="Times New Roman" w:cs="Times New Roman"/>
          <w:sz w:val="20"/>
        </w:rPr>
        <w:t>, 327–350.</w:t>
      </w:r>
    </w:p>
    <w:p w14:paraId="60D8371C"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Calle, A. (2008). Using PES and technical assistance to promote silvopastoral systems in Quindío, Colombia: Attitude change as a key to permanent adoption. MES Thesis Yale Univ. Sch. For. Environ. Stud. N. Hav. CT.</w:t>
      </w:r>
    </w:p>
    <w:p w14:paraId="61C70549" w14:textId="77777777" w:rsidR="00FD7CE8" w:rsidRPr="006674F7" w:rsidRDefault="00FD7CE8" w:rsidP="00FD7CE8">
      <w:pPr>
        <w:pStyle w:val="Bibliography"/>
        <w:rPr>
          <w:rFonts w:ascii="Times New Roman" w:hAnsi="Times New Roman" w:cs="Times New Roman"/>
          <w:sz w:val="20"/>
          <w:lang w:val="it-IT"/>
        </w:rPr>
      </w:pPr>
      <w:r w:rsidRPr="006674F7">
        <w:rPr>
          <w:rFonts w:ascii="Times New Roman" w:hAnsi="Times New Roman" w:cs="Times New Roman"/>
          <w:sz w:val="20"/>
          <w:lang w:val="it-IT"/>
        </w:rPr>
        <w:t>Calle, A., Montagnini, F., and Zuluaga, A.F. (2009). Le Point sur... Systemes Silvo-Pastoraux: Farmer’s perceptions of silvopastoral system promotion in Quindío, Colombia.</w:t>
      </w:r>
    </w:p>
    <w:p w14:paraId="2B22B2BD" w14:textId="77777777" w:rsidR="00FD7CE8" w:rsidRPr="006674F7" w:rsidRDefault="00FD7CE8" w:rsidP="00FD7CE8">
      <w:pPr>
        <w:pStyle w:val="Bibliography"/>
        <w:rPr>
          <w:rFonts w:ascii="Times New Roman" w:hAnsi="Times New Roman" w:cs="Times New Roman"/>
          <w:sz w:val="20"/>
        </w:rPr>
      </w:pPr>
      <w:r w:rsidRPr="006674F7">
        <w:rPr>
          <w:rFonts w:ascii="Times New Roman" w:hAnsi="Times New Roman" w:cs="Times New Roman"/>
          <w:sz w:val="20"/>
          <w:lang w:val="it-IT"/>
        </w:rPr>
        <w:t xml:space="preserve">Covey, K.R., Wood, S.A., Warren, R.J., Lee, X., and Bradford, M.A. (2012). </w:t>
      </w:r>
      <w:r w:rsidRPr="00FD7CE8">
        <w:rPr>
          <w:rFonts w:ascii="Times New Roman" w:hAnsi="Times New Roman" w:cs="Times New Roman"/>
          <w:sz w:val="20"/>
        </w:rPr>
        <w:t xml:space="preserve">Elevated methane concentrations in trees of an upland forest. Geophys. </w:t>
      </w:r>
      <w:r w:rsidRPr="006674F7">
        <w:rPr>
          <w:rFonts w:ascii="Times New Roman" w:hAnsi="Times New Roman" w:cs="Times New Roman"/>
          <w:sz w:val="20"/>
        </w:rPr>
        <w:t xml:space="preserve">Res. Lett. </w:t>
      </w:r>
      <w:r w:rsidRPr="006674F7">
        <w:rPr>
          <w:rFonts w:ascii="Times New Roman" w:hAnsi="Times New Roman" w:cs="Times New Roman"/>
          <w:i/>
          <w:iCs/>
          <w:sz w:val="20"/>
        </w:rPr>
        <w:t>39</w:t>
      </w:r>
      <w:r w:rsidRPr="006674F7">
        <w:rPr>
          <w:rFonts w:ascii="Times New Roman" w:hAnsi="Times New Roman" w:cs="Times New Roman"/>
          <w:sz w:val="20"/>
        </w:rPr>
        <w:t>.</w:t>
      </w:r>
    </w:p>
    <w:p w14:paraId="6D2FC1BE" w14:textId="77777777" w:rsidR="00FD7CE8" w:rsidRPr="00FD7CE8" w:rsidRDefault="00FD7CE8" w:rsidP="00FD7CE8">
      <w:pPr>
        <w:pStyle w:val="Bibliography"/>
        <w:rPr>
          <w:rFonts w:ascii="Times New Roman" w:hAnsi="Times New Roman" w:cs="Times New Roman"/>
          <w:sz w:val="20"/>
        </w:rPr>
      </w:pPr>
      <w:r w:rsidRPr="006674F7">
        <w:rPr>
          <w:rFonts w:ascii="Times New Roman" w:hAnsi="Times New Roman" w:cs="Times New Roman"/>
          <w:sz w:val="20"/>
        </w:rPr>
        <w:t xml:space="preserve">Cubbage, F., Balmelli, G., Bussoni, A., Noellemeyer, E., Pachas, A.N., Fassola, H., Colcombet, L., Rossner, B., Frey, G., Dube, F., et al. </w:t>
      </w:r>
      <w:r w:rsidRPr="00FD7CE8">
        <w:rPr>
          <w:rFonts w:ascii="Times New Roman" w:hAnsi="Times New Roman" w:cs="Times New Roman"/>
          <w:sz w:val="20"/>
        </w:rPr>
        <w:t xml:space="preserve">(2012). Comparing silvopastoral systems and prospects in eight regions of the world. Agrofor. Syst. </w:t>
      </w:r>
      <w:r w:rsidRPr="00FD7CE8">
        <w:rPr>
          <w:rFonts w:ascii="Times New Roman" w:hAnsi="Times New Roman" w:cs="Times New Roman"/>
          <w:i/>
          <w:iCs/>
          <w:sz w:val="20"/>
        </w:rPr>
        <w:t>86</w:t>
      </w:r>
      <w:r w:rsidRPr="00FD7CE8">
        <w:rPr>
          <w:rFonts w:ascii="Times New Roman" w:hAnsi="Times New Roman" w:cs="Times New Roman"/>
          <w:sz w:val="20"/>
        </w:rPr>
        <w:t>, 303–314.</w:t>
      </w:r>
    </w:p>
    <w:p w14:paraId="5C2881FE"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De Pinto, A. (2017). Cropland Restoration as an Essential Component to the Forest Landscape Restoration Approach—Global Effects of Wide-Scale Adoption (IFPRI).</w:t>
      </w:r>
    </w:p>
    <w:p w14:paraId="190FE3BD"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Dixon, A.P., Faber-Langendoen, D., Josse, C., Morrison, J., and Loucks, C.J. (2014). Distribution mapping of world grassland types. J. Biogeogr. </w:t>
      </w:r>
      <w:r w:rsidRPr="00FD7CE8">
        <w:rPr>
          <w:rFonts w:ascii="Times New Roman" w:hAnsi="Times New Roman" w:cs="Times New Roman"/>
          <w:i/>
          <w:iCs/>
          <w:sz w:val="20"/>
        </w:rPr>
        <w:t>41</w:t>
      </w:r>
      <w:r w:rsidRPr="00FD7CE8">
        <w:rPr>
          <w:rFonts w:ascii="Times New Roman" w:hAnsi="Times New Roman" w:cs="Times New Roman"/>
          <w:sz w:val="20"/>
        </w:rPr>
        <w:t>, 2003–2019.</w:t>
      </w:r>
    </w:p>
    <w:p w14:paraId="11A083CF"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Dong, H., Mangino, J., McAllister, T., and Have, D. (2006). Chapter 10: Emissions from livestock and manure management. In 2006 IPCC Guidelines for National Greenhouse Gas Inventories, (Hayama, Japan: Institute for Global Environmental Strategies), p.</w:t>
      </w:r>
    </w:p>
    <w:p w14:paraId="55ED4DE0"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Dube, F., Thevathasan, N.V., Zagal, E., Gordon, A.M., Stolpe, N.B., and Espinosa, M. (2011). Carbon sequestration potential of silvopastoral and other land use systems in the Chilean Patagonia. In Carbon Sequestration Potential of Agroforestry Systems, (Springer), pp. 101–127.</w:t>
      </w:r>
    </w:p>
    <w:p w14:paraId="0BD174A0" w14:textId="77777777" w:rsidR="00FD7CE8" w:rsidRPr="006674F7" w:rsidRDefault="00FD7CE8" w:rsidP="00FD7CE8">
      <w:pPr>
        <w:pStyle w:val="Bibliography"/>
        <w:rPr>
          <w:rFonts w:ascii="Times New Roman" w:hAnsi="Times New Roman" w:cs="Times New Roman"/>
          <w:sz w:val="20"/>
          <w:lang w:val="it-IT"/>
        </w:rPr>
      </w:pPr>
      <w:r w:rsidRPr="00FD7CE8">
        <w:rPr>
          <w:rFonts w:ascii="Times New Roman" w:hAnsi="Times New Roman" w:cs="Times New Roman"/>
          <w:sz w:val="20"/>
        </w:rPr>
        <w:t xml:space="preserve">FAO (2016). </w:t>
      </w:r>
      <w:r w:rsidRPr="006674F7">
        <w:rPr>
          <w:rFonts w:ascii="Times New Roman" w:hAnsi="Times New Roman" w:cs="Times New Roman"/>
          <w:sz w:val="20"/>
          <w:lang w:val="it-IT"/>
        </w:rPr>
        <w:t>FAO Statistical Service Online.</w:t>
      </w:r>
    </w:p>
    <w:p w14:paraId="7D73E754" w14:textId="77777777" w:rsidR="00FD7CE8" w:rsidRPr="00FD7CE8" w:rsidRDefault="00FD7CE8" w:rsidP="00FD7CE8">
      <w:pPr>
        <w:pStyle w:val="Bibliography"/>
        <w:rPr>
          <w:rFonts w:ascii="Times New Roman" w:hAnsi="Times New Roman" w:cs="Times New Roman"/>
          <w:sz w:val="20"/>
        </w:rPr>
      </w:pPr>
      <w:r w:rsidRPr="006674F7">
        <w:rPr>
          <w:rFonts w:ascii="Times New Roman" w:hAnsi="Times New Roman" w:cs="Times New Roman"/>
          <w:sz w:val="20"/>
          <w:lang w:val="it-IT"/>
        </w:rPr>
        <w:t xml:space="preserve">Feliciano et al (2018). </w:t>
      </w:r>
      <w:r w:rsidRPr="00FD7CE8">
        <w:rPr>
          <w:rFonts w:ascii="Times New Roman" w:hAnsi="Times New Roman" w:cs="Times New Roman"/>
          <w:sz w:val="20"/>
        </w:rPr>
        <w:t xml:space="preserve">Which agroforestry options give the greatest soil and above ground carbon benefits in different world regions? Agric. Ecosyst. Environ. </w:t>
      </w:r>
      <w:r w:rsidRPr="00FD7CE8">
        <w:rPr>
          <w:rFonts w:ascii="Times New Roman" w:hAnsi="Times New Roman" w:cs="Times New Roman"/>
          <w:i/>
          <w:iCs/>
          <w:sz w:val="20"/>
        </w:rPr>
        <w:t>254</w:t>
      </w:r>
      <w:r w:rsidRPr="00FD7CE8">
        <w:rPr>
          <w:rFonts w:ascii="Times New Roman" w:hAnsi="Times New Roman" w:cs="Times New Roman"/>
          <w:sz w:val="20"/>
        </w:rPr>
        <w:t>, 117–129.</w:t>
      </w:r>
    </w:p>
    <w:p w14:paraId="627E6D1C"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Fernández-Núñez, E., Rigueiro-Rodríguez, A., and Mosquera-Losada, M.R. (2010). Carbon allocation dynamics one decade after afforestation with Pinus radiata D. Don and Betula alba L. under two stand densities in NW Spain. Ecol. Eng. </w:t>
      </w:r>
      <w:r w:rsidRPr="00FD7CE8">
        <w:rPr>
          <w:rFonts w:ascii="Times New Roman" w:hAnsi="Times New Roman" w:cs="Times New Roman"/>
          <w:i/>
          <w:iCs/>
          <w:sz w:val="20"/>
        </w:rPr>
        <w:t>36</w:t>
      </w:r>
      <w:r w:rsidRPr="00FD7CE8">
        <w:rPr>
          <w:rFonts w:ascii="Times New Roman" w:hAnsi="Times New Roman" w:cs="Times New Roman"/>
          <w:sz w:val="20"/>
        </w:rPr>
        <w:t>, 876–890.</w:t>
      </w:r>
    </w:p>
    <w:p w14:paraId="272CC515"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Harvey, C.A., Chacón, M., Donatti, C.I., Garen, E., Hannah, L., Andrade, A., Bede, L., Brown, D., Calle, A., Chará, J., et al. (2014). Climate-Smart Landscapes: Opportunities and Challenges for Integrating Adaptation and Mitigation in Tropical Agriculture: Climate-smart landscapes. Conserv. Lett. </w:t>
      </w:r>
      <w:r w:rsidRPr="00FD7CE8">
        <w:rPr>
          <w:rFonts w:ascii="Times New Roman" w:hAnsi="Times New Roman" w:cs="Times New Roman"/>
          <w:i/>
          <w:iCs/>
          <w:sz w:val="20"/>
        </w:rPr>
        <w:t>7</w:t>
      </w:r>
      <w:r w:rsidRPr="00FD7CE8">
        <w:rPr>
          <w:rFonts w:ascii="Times New Roman" w:hAnsi="Times New Roman" w:cs="Times New Roman"/>
          <w:sz w:val="20"/>
        </w:rPr>
        <w:t>, 77–90.</w:t>
      </w:r>
    </w:p>
    <w:p w14:paraId="7B917E68"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lastRenderedPageBreak/>
        <w:t>den Herder,  et al. (2017). Current extent and trends of agroforestry in the EU27.</w:t>
      </w:r>
    </w:p>
    <w:p w14:paraId="17AB5C70"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Holmann, F., Rivas, L., Argel, P., and Pérez, E. (2004). Impact of the adoption of Brachiaria grasses: Central America and Mexico. Livest. Res. Rural Dev. </w:t>
      </w:r>
      <w:r w:rsidRPr="00FD7CE8">
        <w:rPr>
          <w:rFonts w:ascii="Times New Roman" w:hAnsi="Times New Roman" w:cs="Times New Roman"/>
          <w:i/>
          <w:iCs/>
          <w:sz w:val="20"/>
        </w:rPr>
        <w:t>16</w:t>
      </w:r>
      <w:r w:rsidRPr="00FD7CE8">
        <w:rPr>
          <w:rFonts w:ascii="Times New Roman" w:hAnsi="Times New Roman" w:cs="Times New Roman"/>
          <w:sz w:val="20"/>
        </w:rPr>
        <w:t>, 1–13.</w:t>
      </w:r>
    </w:p>
    <w:p w14:paraId="2405E385"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Houghton, R.A., and Nassikas, A.A. (2017). Global and regional fluxes of carbon from land use and land cover change 1850-2015: Carbon Emissions From Land Use. Glob. Biogeochem. Cycles </w:t>
      </w:r>
      <w:r w:rsidRPr="00FD7CE8">
        <w:rPr>
          <w:rFonts w:ascii="Times New Roman" w:hAnsi="Times New Roman" w:cs="Times New Roman"/>
          <w:i/>
          <w:iCs/>
          <w:sz w:val="20"/>
        </w:rPr>
        <w:t>31</w:t>
      </w:r>
      <w:r w:rsidRPr="00FD7CE8">
        <w:rPr>
          <w:rFonts w:ascii="Times New Roman" w:hAnsi="Times New Roman" w:cs="Times New Roman"/>
          <w:sz w:val="20"/>
        </w:rPr>
        <w:t>, 456–472.</w:t>
      </w:r>
    </w:p>
    <w:p w14:paraId="10F62CF3" w14:textId="2FF4D659" w:rsid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Ibrahim, M., Chacón, M., Cuartas, C., Naranjo, J., Ponce, G., Vega, P., Casasola, F., and Rojas, J. (2007). </w:t>
      </w:r>
      <w:r w:rsidRPr="006674F7">
        <w:rPr>
          <w:rFonts w:ascii="Times New Roman" w:hAnsi="Times New Roman" w:cs="Times New Roman"/>
          <w:sz w:val="20"/>
          <w:lang w:val="es-US"/>
        </w:rPr>
        <w:t xml:space="preserve">Almacenamiento de carbono en el suelo y la biomasa arbórea en sistemas de usos de la tierra en paisajes ganaderos de Colombia, Costa Rica y Nicaragua. </w:t>
      </w:r>
      <w:r w:rsidRPr="00FD7CE8">
        <w:rPr>
          <w:rFonts w:ascii="Times New Roman" w:hAnsi="Times New Roman" w:cs="Times New Roman"/>
          <w:sz w:val="20"/>
        </w:rPr>
        <w:t>10.</w:t>
      </w:r>
    </w:p>
    <w:p w14:paraId="5C17AC96" w14:textId="77777777" w:rsidR="00444B5D" w:rsidRPr="00444B5D" w:rsidRDefault="00064487" w:rsidP="00444B5D">
      <w:pPr>
        <w:spacing w:after="0" w:line="240" w:lineRule="auto"/>
        <w:jc w:val="left"/>
        <w:rPr>
          <w:sz w:val="20"/>
          <w:szCs w:val="20"/>
        </w:rPr>
      </w:pPr>
      <w:r w:rsidRPr="00444B5D">
        <w:rPr>
          <w:sz w:val="20"/>
          <w:szCs w:val="20"/>
        </w:rPr>
        <w:t xml:space="preserve">IPCC (2006) </w:t>
      </w:r>
      <w:r w:rsidRPr="00444B5D">
        <w:rPr>
          <w:i/>
          <w:iCs/>
          <w:sz w:val="20"/>
          <w:szCs w:val="20"/>
        </w:rPr>
        <w:t>2006</w:t>
      </w:r>
      <w:r w:rsidRPr="00444B5D">
        <w:rPr>
          <w:sz w:val="20"/>
          <w:szCs w:val="20"/>
        </w:rPr>
        <w:t xml:space="preserve"> </w:t>
      </w:r>
      <w:r w:rsidRPr="00444B5D">
        <w:rPr>
          <w:i/>
          <w:iCs/>
          <w:sz w:val="20"/>
          <w:szCs w:val="20"/>
        </w:rPr>
        <w:t xml:space="preserve">IPCC Guidelines for National Greenhouse Gas Inventories: Chapter 10 Emissions from Livestock and Manure Management. </w:t>
      </w:r>
      <w:hyperlink r:id="rId21" w:history="1">
        <w:r w:rsidR="00444B5D" w:rsidRPr="00444B5D">
          <w:rPr>
            <w:rStyle w:val="Hyperlink"/>
            <w:sz w:val="20"/>
            <w:szCs w:val="20"/>
          </w:rPr>
          <w:t>https://www.ipcc-nggip.iges.or.jp/public/2006gl/pdf/4_Volume4/V4_10_Ch10_Livestock.pdf</w:t>
        </w:r>
      </w:hyperlink>
    </w:p>
    <w:p w14:paraId="5ECFD0B9" w14:textId="4006BCCF" w:rsidR="00064487" w:rsidRPr="00064487" w:rsidRDefault="00064487" w:rsidP="00064487">
      <w:pPr>
        <w:rPr>
          <w:i/>
          <w:iCs/>
        </w:rPr>
      </w:pPr>
    </w:p>
    <w:p w14:paraId="4F2732A1"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Karki, U., and Goodman, M.S. (2015). Microclimatic differences between mature loblolly-pine silvopasture and open-pasture. Agrofor. Syst. </w:t>
      </w:r>
      <w:r w:rsidRPr="00FD7CE8">
        <w:rPr>
          <w:rFonts w:ascii="Times New Roman" w:hAnsi="Times New Roman" w:cs="Times New Roman"/>
          <w:i/>
          <w:iCs/>
          <w:sz w:val="20"/>
        </w:rPr>
        <w:t>89</w:t>
      </w:r>
      <w:r w:rsidRPr="00FD7CE8">
        <w:rPr>
          <w:rFonts w:ascii="Times New Roman" w:hAnsi="Times New Roman" w:cs="Times New Roman"/>
          <w:sz w:val="20"/>
        </w:rPr>
        <w:t>, 319–325.</w:t>
      </w:r>
    </w:p>
    <w:p w14:paraId="2DCE27DA"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Lal, R., Smith, P., Jungkunst, H.F., Mitsch, W.J., Lehmann, J., Nair, P.K.R., McBratney, A.B., de Moraes Sá, J.C., Schneider, J., Zinn, Y.L., et al. (2018). The carbon sequestration potential of terrestrial ecosystems. J. Soil Water Conserv. </w:t>
      </w:r>
      <w:r w:rsidRPr="00FD7CE8">
        <w:rPr>
          <w:rFonts w:ascii="Times New Roman" w:hAnsi="Times New Roman" w:cs="Times New Roman"/>
          <w:i/>
          <w:iCs/>
          <w:sz w:val="20"/>
        </w:rPr>
        <w:t>73</w:t>
      </w:r>
      <w:r w:rsidRPr="00FD7CE8">
        <w:rPr>
          <w:rFonts w:ascii="Times New Roman" w:hAnsi="Times New Roman" w:cs="Times New Roman"/>
          <w:sz w:val="20"/>
        </w:rPr>
        <w:t>, 145A-152A.</w:t>
      </w:r>
    </w:p>
    <w:p w14:paraId="58DB961C"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Lasco (2006). 2006 IPCC Guidelines for National Greenhouse Gas Inventories  - Volume 5.</w:t>
      </w:r>
    </w:p>
    <w:p w14:paraId="7B1A87AF" w14:textId="77777777" w:rsidR="00FD7CE8" w:rsidRPr="00FD7CE8" w:rsidRDefault="00FD7CE8" w:rsidP="00FD7CE8">
      <w:pPr>
        <w:pStyle w:val="Bibliography"/>
        <w:rPr>
          <w:rFonts w:ascii="Times New Roman" w:hAnsi="Times New Roman" w:cs="Times New Roman"/>
          <w:sz w:val="20"/>
        </w:rPr>
      </w:pPr>
      <w:r w:rsidRPr="006674F7">
        <w:rPr>
          <w:rFonts w:ascii="Times New Roman" w:hAnsi="Times New Roman" w:cs="Times New Roman"/>
          <w:sz w:val="20"/>
        </w:rPr>
        <w:t xml:space="preserve">Lorenz, K., and Lal, R. (2018). </w:t>
      </w:r>
      <w:r w:rsidRPr="00FD7CE8">
        <w:rPr>
          <w:rFonts w:ascii="Times New Roman" w:hAnsi="Times New Roman" w:cs="Times New Roman"/>
          <w:sz w:val="20"/>
        </w:rPr>
        <w:t>Carbon Sequestration in Agricultural Ecosystems (Cham: Springer International Publishing).</w:t>
      </w:r>
    </w:p>
    <w:p w14:paraId="43D44AC5"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Machmuller, M.B., Kramer, M.G., Cyle, T.K., Hill, N., Hancock, D., and Thompson, A. (2015). Emerging land use practices rapidly increase soil organic matter. Nat. Commun. </w:t>
      </w:r>
      <w:r w:rsidRPr="00FD7CE8">
        <w:rPr>
          <w:rFonts w:ascii="Times New Roman" w:hAnsi="Times New Roman" w:cs="Times New Roman"/>
          <w:i/>
          <w:iCs/>
          <w:sz w:val="20"/>
        </w:rPr>
        <w:t>6</w:t>
      </w:r>
      <w:r w:rsidRPr="00FD7CE8">
        <w:rPr>
          <w:rFonts w:ascii="Times New Roman" w:hAnsi="Times New Roman" w:cs="Times New Roman"/>
          <w:sz w:val="20"/>
        </w:rPr>
        <w:t>.</w:t>
      </w:r>
    </w:p>
    <w:p w14:paraId="42454DB2"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Mercer, D.E., Frey, G.E., and Cubbage, F.W. (2014). Economics of Agroforestry. 22.</w:t>
      </w:r>
    </w:p>
    <w:p w14:paraId="77C26F3E" w14:textId="77777777" w:rsidR="00FD7CE8" w:rsidRPr="006674F7" w:rsidRDefault="00FD7CE8" w:rsidP="00FD7CE8">
      <w:pPr>
        <w:pStyle w:val="Bibliography"/>
        <w:rPr>
          <w:rFonts w:ascii="Times New Roman" w:hAnsi="Times New Roman" w:cs="Times New Roman"/>
          <w:sz w:val="20"/>
          <w:lang w:val="es-US"/>
        </w:rPr>
      </w:pPr>
      <w:r w:rsidRPr="00FD7CE8">
        <w:rPr>
          <w:rFonts w:ascii="Times New Roman" w:hAnsi="Times New Roman" w:cs="Times New Roman"/>
          <w:sz w:val="20"/>
        </w:rPr>
        <w:t xml:space="preserve">Montagnini, F. (2015). </w:t>
      </w:r>
      <w:r w:rsidRPr="006674F7">
        <w:rPr>
          <w:rFonts w:ascii="Times New Roman" w:hAnsi="Times New Roman" w:cs="Times New Roman"/>
          <w:sz w:val="20"/>
          <w:lang w:val="es-US"/>
        </w:rPr>
        <w:t>Función de los sistemas agroforestales en la adaptación y mitigación del cambio climático. In Sistemas Agroforestales: Funciones Productivas, Socioeconómicas y Ambientales, (Turrialba, Costa Rica: CATIE), pp. 269–298.</w:t>
      </w:r>
    </w:p>
    <w:p w14:paraId="79328598" w14:textId="77777777" w:rsidR="00FD7CE8" w:rsidRPr="00FD7CE8" w:rsidRDefault="00FD7CE8" w:rsidP="00FD7CE8">
      <w:pPr>
        <w:pStyle w:val="Bibliography"/>
        <w:rPr>
          <w:rFonts w:ascii="Times New Roman" w:hAnsi="Times New Roman" w:cs="Times New Roman"/>
          <w:sz w:val="20"/>
        </w:rPr>
      </w:pPr>
      <w:r w:rsidRPr="006674F7">
        <w:rPr>
          <w:rFonts w:ascii="Times New Roman" w:hAnsi="Times New Roman" w:cs="Times New Roman"/>
          <w:sz w:val="20"/>
        </w:rPr>
        <w:t xml:space="preserve">Montagnini, F., Ibrahim, M., and Murgueitio Restrepo, E. (2013). </w:t>
      </w:r>
      <w:r w:rsidRPr="00FD7CE8">
        <w:rPr>
          <w:rFonts w:ascii="Times New Roman" w:hAnsi="Times New Roman" w:cs="Times New Roman"/>
          <w:sz w:val="20"/>
        </w:rPr>
        <w:t xml:space="preserve">Silvopastoral systems and climate change mitigation in Latin America. Bois Forets Trop. </w:t>
      </w:r>
      <w:r w:rsidRPr="00FD7CE8">
        <w:rPr>
          <w:rFonts w:ascii="Times New Roman" w:hAnsi="Times New Roman" w:cs="Times New Roman"/>
          <w:i/>
          <w:iCs/>
          <w:sz w:val="20"/>
        </w:rPr>
        <w:t>316</w:t>
      </w:r>
      <w:r w:rsidRPr="00FD7CE8">
        <w:rPr>
          <w:rFonts w:ascii="Times New Roman" w:hAnsi="Times New Roman" w:cs="Times New Roman"/>
          <w:sz w:val="20"/>
        </w:rPr>
        <w:t>.</w:t>
      </w:r>
    </w:p>
    <w:p w14:paraId="223C23F6" w14:textId="77777777" w:rsidR="00FD7CE8" w:rsidRPr="00FD7CE8" w:rsidRDefault="00FD7CE8" w:rsidP="00FD7CE8">
      <w:pPr>
        <w:pStyle w:val="Bibliography"/>
        <w:rPr>
          <w:rFonts w:ascii="Times New Roman" w:hAnsi="Times New Roman" w:cs="Times New Roman"/>
          <w:sz w:val="20"/>
        </w:rPr>
      </w:pPr>
      <w:r w:rsidRPr="006674F7">
        <w:rPr>
          <w:rFonts w:ascii="Times New Roman" w:hAnsi="Times New Roman" w:cs="Times New Roman"/>
          <w:sz w:val="20"/>
          <w:lang w:val="pt-BR"/>
        </w:rPr>
        <w:t xml:space="preserve">Mosquera-Losada, M., Rigueiro-Rodríguez, A., McAdam, J., and others (2005). </w:t>
      </w:r>
      <w:r w:rsidRPr="00FD7CE8">
        <w:rPr>
          <w:rFonts w:ascii="Times New Roman" w:hAnsi="Times New Roman" w:cs="Times New Roman"/>
          <w:sz w:val="20"/>
        </w:rPr>
        <w:t>Silvopastoralism and sustainable land management. Proceedings of an international congress on silvopastoralism and sustainable management held in Lugo, Spain, April 2004. In Silvopastoralism and Sustainable Land Management. Proceedings of an International Congress on Silvopastoralism and Sustainable Management Held in Lugo, Spain, April 2004., (CABI Publishing), p.</w:t>
      </w:r>
    </w:p>
    <w:p w14:paraId="783C6510"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Nair (2012). Climate Change Mitigation: A Low-Hanging Fruit of Agroforestry. In Agroforestry - The Future of Global Land Use, Nair, and D. Garrity, eds. (Dordrecht: Springer Netherlands), pp. 31–67.</w:t>
      </w:r>
    </w:p>
    <w:p w14:paraId="3FFE08B4"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Nair, Kumar, and Nair (2009). Agroforestry as a strategy for carbon sequestration. J. Plant Nutr. Soil Sci. </w:t>
      </w:r>
      <w:r w:rsidRPr="00FD7CE8">
        <w:rPr>
          <w:rFonts w:ascii="Times New Roman" w:hAnsi="Times New Roman" w:cs="Times New Roman"/>
          <w:i/>
          <w:iCs/>
          <w:sz w:val="20"/>
        </w:rPr>
        <w:t>172</w:t>
      </w:r>
      <w:r w:rsidRPr="00FD7CE8">
        <w:rPr>
          <w:rFonts w:ascii="Times New Roman" w:hAnsi="Times New Roman" w:cs="Times New Roman"/>
          <w:sz w:val="20"/>
        </w:rPr>
        <w:t>, 10–23.</w:t>
      </w:r>
    </w:p>
    <w:p w14:paraId="0FA0BED4"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Orefice, J., Carroll, J., Conroy, D., and Ketner, L. (2017). Silvopasture practices and perspectives in the Northeastern United States. Agrofor. Syst. </w:t>
      </w:r>
      <w:r w:rsidRPr="00FD7CE8">
        <w:rPr>
          <w:rFonts w:ascii="Times New Roman" w:hAnsi="Times New Roman" w:cs="Times New Roman"/>
          <w:i/>
          <w:iCs/>
          <w:sz w:val="20"/>
        </w:rPr>
        <w:t>91</w:t>
      </w:r>
      <w:r w:rsidRPr="00FD7CE8">
        <w:rPr>
          <w:rFonts w:ascii="Times New Roman" w:hAnsi="Times New Roman" w:cs="Times New Roman"/>
          <w:sz w:val="20"/>
        </w:rPr>
        <w:t>, 149–160.</w:t>
      </w:r>
    </w:p>
    <w:p w14:paraId="24C591E6"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lastRenderedPageBreak/>
        <w:t>Oviedo, J.L., Ovando, P., Forero, L., Huntsinger, L., Álvarez, A., Mesa, B., and Campos, P. (2013). The Private Economy of Dehesas and Ranches: Case Studies. In Mediterranean Oak Woodland Working Landscapes, P. Campos, L. Huntsinger, J.L. Oviedo Pro, P.F. Starrs, M. Diaz, R.B. Standiford, and G. Montero, eds. (Dordrecht: Springer Netherlands), pp. 389–424.</w:t>
      </w:r>
    </w:p>
    <w:p w14:paraId="4A7AF7F3"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Paciullo, D.S.C., de Castro, C.R.T., Gomide, C.A. de M., Maurício, R.M., Pires, M. de F.Á., Müller, M.D., and Xavier, D.F. (2011). Performance of dairy heifers in a silvopastoral system. Livest. Sci. </w:t>
      </w:r>
      <w:r w:rsidRPr="00FD7CE8">
        <w:rPr>
          <w:rFonts w:ascii="Times New Roman" w:hAnsi="Times New Roman" w:cs="Times New Roman"/>
          <w:i/>
          <w:iCs/>
          <w:sz w:val="20"/>
        </w:rPr>
        <w:t>141</w:t>
      </w:r>
      <w:r w:rsidRPr="00FD7CE8">
        <w:rPr>
          <w:rFonts w:ascii="Times New Roman" w:hAnsi="Times New Roman" w:cs="Times New Roman"/>
          <w:sz w:val="20"/>
        </w:rPr>
        <w:t>, 166–172.</w:t>
      </w:r>
    </w:p>
    <w:p w14:paraId="6A87057C"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Pagiola, S., Ramírez, E., Gobbi, J., de Haan, C., Ibrahim, M., Murgueitio, E., and Ruíz, J.P. (2007). Paying for the environmental services of silvopastoral practices in Nicaragua. Ecol. Econ. </w:t>
      </w:r>
      <w:r w:rsidRPr="00FD7CE8">
        <w:rPr>
          <w:rFonts w:ascii="Times New Roman" w:hAnsi="Times New Roman" w:cs="Times New Roman"/>
          <w:i/>
          <w:iCs/>
          <w:sz w:val="20"/>
        </w:rPr>
        <w:t>64</w:t>
      </w:r>
      <w:r w:rsidRPr="00FD7CE8">
        <w:rPr>
          <w:rFonts w:ascii="Times New Roman" w:hAnsi="Times New Roman" w:cs="Times New Roman"/>
          <w:sz w:val="20"/>
        </w:rPr>
        <w:t>, 374–385.</w:t>
      </w:r>
    </w:p>
    <w:p w14:paraId="58EA4894"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Pimentel, D., Cerasale, D., Stanley, R.C., Perlman, R., Newman, E.M., Brent, L.C., Mullan, A., and Chang, D.T.-I. (2012). Annual vs. perennial grain production. Agric. Ecosyst. Environ. </w:t>
      </w:r>
      <w:r w:rsidRPr="00FD7CE8">
        <w:rPr>
          <w:rFonts w:ascii="Times New Roman" w:hAnsi="Times New Roman" w:cs="Times New Roman"/>
          <w:i/>
          <w:iCs/>
          <w:sz w:val="20"/>
        </w:rPr>
        <w:t>161</w:t>
      </w:r>
      <w:r w:rsidRPr="00FD7CE8">
        <w:rPr>
          <w:rFonts w:ascii="Times New Roman" w:hAnsi="Times New Roman" w:cs="Times New Roman"/>
          <w:sz w:val="20"/>
        </w:rPr>
        <w:t>, 1–9.</w:t>
      </w:r>
    </w:p>
    <w:p w14:paraId="2EEF2A23"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Pinheiro, F.M., and Nair, P.K.R. (2018). Silvopasture in the Caatinga biome of Brazil: A review of its ecology, management, and development opportunities. For. Syst. </w:t>
      </w:r>
      <w:r w:rsidRPr="00FD7CE8">
        <w:rPr>
          <w:rFonts w:ascii="Times New Roman" w:hAnsi="Times New Roman" w:cs="Times New Roman"/>
          <w:i/>
          <w:iCs/>
          <w:sz w:val="20"/>
        </w:rPr>
        <w:t>27</w:t>
      </w:r>
      <w:r w:rsidRPr="00FD7CE8">
        <w:rPr>
          <w:rFonts w:ascii="Times New Roman" w:hAnsi="Times New Roman" w:cs="Times New Roman"/>
          <w:sz w:val="20"/>
        </w:rPr>
        <w:t>, eR01S.</w:t>
      </w:r>
    </w:p>
    <w:p w14:paraId="2830486C"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Rocha, C., Cardenas, C.A., and Mora Delgado, J. (2013). </w:t>
      </w:r>
      <w:r w:rsidRPr="006674F7">
        <w:rPr>
          <w:rFonts w:ascii="Times New Roman" w:hAnsi="Times New Roman" w:cs="Times New Roman"/>
          <w:sz w:val="20"/>
        </w:rPr>
        <w:t xml:space="preserve">Costos de establecimiento de un sistema silvopastoril de sauco (Sambucus nigra) y Kikuyo (Penisetum clandestinum) en Roncesvalles (Tolima). </w:t>
      </w:r>
      <w:r w:rsidRPr="00FD7CE8">
        <w:rPr>
          <w:rFonts w:ascii="Times New Roman" w:hAnsi="Times New Roman" w:cs="Times New Roman"/>
          <w:sz w:val="20"/>
        </w:rPr>
        <w:t xml:space="preserve">Agroforestería Neotropical </w:t>
      </w:r>
      <w:r w:rsidRPr="00FD7CE8">
        <w:rPr>
          <w:rFonts w:ascii="Times New Roman" w:hAnsi="Times New Roman" w:cs="Times New Roman"/>
          <w:i/>
          <w:iCs/>
          <w:sz w:val="20"/>
        </w:rPr>
        <w:t>3</w:t>
      </w:r>
      <w:r w:rsidRPr="00FD7CE8">
        <w:rPr>
          <w:rFonts w:ascii="Times New Roman" w:hAnsi="Times New Roman" w:cs="Times New Roman"/>
          <w:sz w:val="20"/>
        </w:rPr>
        <w:t>, 9.</w:t>
      </w:r>
    </w:p>
    <w:p w14:paraId="5F572A8E"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Rosenstock, T., Wilkes, A., Jallo, C., Namoi, N., Bulusu, M., Suber, M., Bernard, F., and Mboi, D. (2018). Making Trees Count (CGIAR Research Program on Climate Change, Agriculture and Food Security (CCAFS)).</w:t>
      </w:r>
    </w:p>
    <w:p w14:paraId="2E0862D4"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Schoeneberger, M.M. (2009). Agroforestry: working trees for sequestering carbon on agricultural lands. Agrofor. Syst. </w:t>
      </w:r>
      <w:r w:rsidRPr="00FD7CE8">
        <w:rPr>
          <w:rFonts w:ascii="Times New Roman" w:hAnsi="Times New Roman" w:cs="Times New Roman"/>
          <w:i/>
          <w:iCs/>
          <w:sz w:val="20"/>
        </w:rPr>
        <w:t>75</w:t>
      </w:r>
      <w:r w:rsidRPr="00FD7CE8">
        <w:rPr>
          <w:rFonts w:ascii="Times New Roman" w:hAnsi="Times New Roman" w:cs="Times New Roman"/>
          <w:sz w:val="20"/>
        </w:rPr>
        <w:t>, 27–37.</w:t>
      </w:r>
    </w:p>
    <w:p w14:paraId="12C41F4F"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Somarriba, E., Beer, J., Alegre-Orihuela, J., Andrade, H.J., Cerda, R., DeClerck, F., Detlefsen, G., Escalante, M., Giraldo, L.A., Ibrahim, M., et al. (2012). Mainstreaming Agroforestry in Latin America. In Agroforestry - The Future of Global Land Use, P.K.R. Nair, and D. Garrity, eds. (Springer Netherlands), pp. 429–453.</w:t>
      </w:r>
    </w:p>
    <w:p w14:paraId="08F1C756"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Thornton, P.K., and Herrero, M. (2010). Potential for reduced methane and carbon dioxide emissions from livestock and pasture management in the tropics. Proc. Natl. Acad. Sci. </w:t>
      </w:r>
      <w:r w:rsidRPr="00FD7CE8">
        <w:rPr>
          <w:rFonts w:ascii="Times New Roman" w:hAnsi="Times New Roman" w:cs="Times New Roman"/>
          <w:i/>
          <w:iCs/>
          <w:sz w:val="20"/>
        </w:rPr>
        <w:t>107</w:t>
      </w:r>
      <w:r w:rsidRPr="00FD7CE8">
        <w:rPr>
          <w:rFonts w:ascii="Times New Roman" w:hAnsi="Times New Roman" w:cs="Times New Roman"/>
          <w:sz w:val="20"/>
        </w:rPr>
        <w:t>, 19667–19672.</w:t>
      </w:r>
    </w:p>
    <w:p w14:paraId="3E78D31B"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Toensmeier, E. (2016). The carbon farming solution: a global toolkit of perennial crops and regenerative agriculture practices for climate change mitigation and food security (White River Junction, Vermont: Chelsea Green Publishing).</w:t>
      </w:r>
    </w:p>
    <w:p w14:paraId="3C479ABC"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Toensmeier, E. (2017). Perennial Staple Crops and Agroforestry for Climate Change Mitigation. In Integrating Landscapes: Agroforestry for Biodiversity Conservation and Food Sovereignty, F. Montagnini, ed. (Cham: Springer International Publishing), pp. 439–451.</w:t>
      </w:r>
    </w:p>
    <w:p w14:paraId="2207F5AA"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 xml:space="preserve">Yamamoto, W., Dewi, I.A., and Ibrahim, M. (2007). Effects of silvopastoral areas on milk production at dual-purpose cattle farms at the semi-humid old agricultural frontier in central Nicaragua. Agric. Syst. </w:t>
      </w:r>
      <w:r w:rsidRPr="00FD7CE8">
        <w:rPr>
          <w:rFonts w:ascii="Times New Roman" w:hAnsi="Times New Roman" w:cs="Times New Roman"/>
          <w:i/>
          <w:iCs/>
          <w:sz w:val="20"/>
        </w:rPr>
        <w:t>94</w:t>
      </w:r>
      <w:r w:rsidRPr="00FD7CE8">
        <w:rPr>
          <w:rFonts w:ascii="Times New Roman" w:hAnsi="Times New Roman" w:cs="Times New Roman"/>
          <w:sz w:val="20"/>
        </w:rPr>
        <w:t>, 368–375.</w:t>
      </w:r>
    </w:p>
    <w:p w14:paraId="26684CA8"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Zomer, R.., Trabucco A, Coe, R., Place, F., van Noordwijk, M., and Xu, J.. (2014). Trees on farms: an update and reanalysis of agroforestry’s global extent and socio-ecological characteristics (World Agroforestry Centre (ICRAF)).</w:t>
      </w:r>
    </w:p>
    <w:p w14:paraId="0A5190F7" w14:textId="77777777" w:rsidR="00FD7CE8" w:rsidRPr="00FD7CE8" w:rsidRDefault="00FD7CE8" w:rsidP="00FD7CE8">
      <w:pPr>
        <w:pStyle w:val="Bibliography"/>
        <w:rPr>
          <w:rFonts w:ascii="Times New Roman" w:hAnsi="Times New Roman" w:cs="Times New Roman"/>
          <w:sz w:val="20"/>
        </w:rPr>
      </w:pPr>
      <w:r w:rsidRPr="00FD7CE8">
        <w:rPr>
          <w:rFonts w:ascii="Times New Roman" w:hAnsi="Times New Roman" w:cs="Times New Roman"/>
          <w:sz w:val="20"/>
        </w:rPr>
        <w:t>Zomer, R.J., Trabucco, A., Coe, R., and Place, F. (2009). Trees on Farm: Analysis of Global Extent and Geographic Patterns of Agroforestry (Nairobi, Kenya: World Agroforestry Centre).</w:t>
      </w:r>
    </w:p>
    <w:p w14:paraId="48CD251F" w14:textId="20D03519" w:rsidR="000D59C5" w:rsidRPr="000D59C5" w:rsidRDefault="000D59C5" w:rsidP="000D59C5">
      <w:r w:rsidRPr="000D59C5">
        <w:rPr>
          <w:sz w:val="20"/>
          <w:szCs w:val="20"/>
        </w:rPr>
        <w:fldChar w:fldCharType="end"/>
      </w:r>
    </w:p>
    <w:p w14:paraId="02EABFF3" w14:textId="0ED798FB" w:rsidR="006745FF" w:rsidRPr="003A0234" w:rsidRDefault="006745FF" w:rsidP="00387E91">
      <w:pPr>
        <w:pStyle w:val="Heading1"/>
        <w:numPr>
          <w:ilvl w:val="0"/>
          <w:numId w:val="4"/>
        </w:numPr>
      </w:pPr>
      <w:bookmarkStart w:id="83" w:name="_Toc18013331"/>
      <w:r w:rsidRPr="00BB79D6">
        <w:lastRenderedPageBreak/>
        <w:t>Glossary</w:t>
      </w:r>
      <w:bookmarkEnd w:id="83"/>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w:t>
      </w:r>
      <w:r w:rsidRPr="00BB79D6">
        <w:lastRenderedPageBreak/>
        <w:t xml:space="preserve">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lastRenderedPageBreak/>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w:t>
      </w:r>
      <w:r w:rsidRPr="00BB79D6">
        <w:lastRenderedPageBreak/>
        <w:t xml:space="preserve">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05B73807" w:rsidR="006745FF" w:rsidRPr="00996E91" w:rsidRDefault="006745FF" w:rsidP="00DB4CC8">
      <w:r w:rsidRPr="00BB79D6">
        <w:rPr>
          <w:b/>
        </w:rPr>
        <w:t>TWh/ Terawatt-hour</w:t>
      </w:r>
      <w:r w:rsidRPr="00BB79D6">
        <w:t xml:space="preserve"> – A unit of energy equal to 1 billion kilowatt-hours</w:t>
      </w:r>
    </w:p>
    <w:sectPr w:rsidR="006745FF" w:rsidRPr="00996E9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BA368" w14:textId="77777777" w:rsidR="00D21135" w:rsidRDefault="00D21135" w:rsidP="00D26F59">
      <w:pPr>
        <w:spacing w:after="0"/>
      </w:pPr>
      <w:r>
        <w:separator/>
      </w:r>
    </w:p>
  </w:endnote>
  <w:endnote w:type="continuationSeparator" w:id="0">
    <w:p w14:paraId="711CFFBC" w14:textId="77777777" w:rsidR="00D21135" w:rsidRDefault="00D21135"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56035B" w:rsidRPr="00F26176" w:rsidRDefault="0056035B"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7B960" w14:textId="77777777" w:rsidR="00D21135" w:rsidRDefault="00D21135" w:rsidP="00D26F59">
      <w:pPr>
        <w:spacing w:after="0"/>
      </w:pPr>
      <w:r>
        <w:separator/>
      </w:r>
    </w:p>
  </w:footnote>
  <w:footnote w:type="continuationSeparator" w:id="0">
    <w:p w14:paraId="6E3827F9" w14:textId="77777777" w:rsidR="00D21135" w:rsidRDefault="00D21135" w:rsidP="00D26F59">
      <w:pPr>
        <w:spacing w:after="0"/>
      </w:pPr>
      <w:r>
        <w:continuationSeparator/>
      </w:r>
    </w:p>
  </w:footnote>
  <w:footnote w:id="1">
    <w:p w14:paraId="119AD328" w14:textId="77777777" w:rsidR="0056035B" w:rsidRDefault="0056035B" w:rsidP="00977143">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6314C35E" w14:textId="2FE355C0" w:rsidR="0056035B" w:rsidRDefault="0056035B">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6395B"/>
    <w:multiLevelType w:val="multilevel"/>
    <w:tmpl w:val="3BF6DE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186D25"/>
    <w:multiLevelType w:val="hybridMultilevel"/>
    <w:tmpl w:val="AD868D4C"/>
    <w:lvl w:ilvl="0" w:tplc="A68CC5C4">
      <w:start w:val="5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75C94"/>
    <w:multiLevelType w:val="hybridMultilevel"/>
    <w:tmpl w:val="B03A47BE"/>
    <w:lvl w:ilvl="0" w:tplc="69962AA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72AB5"/>
    <w:multiLevelType w:val="hybridMultilevel"/>
    <w:tmpl w:val="B3901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633B5"/>
    <w:multiLevelType w:val="multilevel"/>
    <w:tmpl w:val="D5B292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3C38751B"/>
    <w:multiLevelType w:val="hybridMultilevel"/>
    <w:tmpl w:val="B5B0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E40479"/>
    <w:multiLevelType w:val="hybridMultilevel"/>
    <w:tmpl w:val="170C7884"/>
    <w:lvl w:ilvl="0" w:tplc="EB42FB70">
      <w:start w:val="1"/>
      <w:numFmt w:val="decimal"/>
      <w:lvlText w:val="Assumption %1:"/>
      <w:lvlJc w:val="left"/>
      <w:pPr>
        <w:ind w:left="2520" w:hanging="360"/>
      </w:pPr>
      <w:rPr>
        <w:rFonts w:hint="default"/>
        <w:b/>
        <w:u w:val="single"/>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835037C"/>
    <w:multiLevelType w:val="hybridMultilevel"/>
    <w:tmpl w:val="98DE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F419F"/>
    <w:multiLevelType w:val="hybridMultilevel"/>
    <w:tmpl w:val="5E50B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62F69"/>
    <w:multiLevelType w:val="multilevel"/>
    <w:tmpl w:val="26F284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2"/>
  </w:num>
  <w:num w:numId="3">
    <w:abstractNumId w:val="8"/>
  </w:num>
  <w:num w:numId="4">
    <w:abstractNumId w:val="11"/>
  </w:num>
  <w:num w:numId="5">
    <w:abstractNumId w:val="11"/>
    <w:lvlOverride w:ilvl="0">
      <w:startOverride w:val="2"/>
    </w:lvlOverride>
    <w:lvlOverride w:ilvl="1">
      <w:startOverride w:val="1"/>
    </w:lvlOverride>
  </w:num>
  <w:num w:numId="6">
    <w:abstractNumId w:val="9"/>
  </w:num>
  <w:num w:numId="7">
    <w:abstractNumId w:val="13"/>
  </w:num>
  <w:num w:numId="8">
    <w:abstractNumId w:val="2"/>
  </w:num>
  <w:num w:numId="9">
    <w:abstractNumId w:val="5"/>
  </w:num>
  <w:num w:numId="10">
    <w:abstractNumId w:val="11"/>
  </w:num>
  <w:num w:numId="11">
    <w:abstractNumId w:val="6"/>
  </w:num>
  <w:num w:numId="12">
    <w:abstractNumId w:val="14"/>
  </w:num>
  <w:num w:numId="13">
    <w:abstractNumId w:val="11"/>
  </w:num>
  <w:num w:numId="14">
    <w:abstractNumId w:val="11"/>
  </w:num>
  <w:num w:numId="15">
    <w:abstractNumId w:val="3"/>
  </w:num>
  <w:num w:numId="16">
    <w:abstractNumId w:val="17"/>
  </w:num>
  <w:num w:numId="17">
    <w:abstractNumId w:val="7"/>
  </w:num>
  <w:num w:numId="18">
    <w:abstractNumId w:val="16"/>
  </w:num>
  <w:num w:numId="19">
    <w:abstractNumId w:val="10"/>
  </w:num>
  <w:num w:numId="20">
    <w:abstractNumId w:val="15"/>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143C"/>
    <w:rsid w:val="00001AF3"/>
    <w:rsid w:val="00014CE5"/>
    <w:rsid w:val="00016358"/>
    <w:rsid w:val="000178CE"/>
    <w:rsid w:val="00020577"/>
    <w:rsid w:val="00020C6F"/>
    <w:rsid w:val="000234D1"/>
    <w:rsid w:val="00023612"/>
    <w:rsid w:val="000243A9"/>
    <w:rsid w:val="00024F11"/>
    <w:rsid w:val="00025EF0"/>
    <w:rsid w:val="00027B88"/>
    <w:rsid w:val="000330C6"/>
    <w:rsid w:val="0003445B"/>
    <w:rsid w:val="00034A49"/>
    <w:rsid w:val="000362E2"/>
    <w:rsid w:val="000376D1"/>
    <w:rsid w:val="00041201"/>
    <w:rsid w:val="00043C62"/>
    <w:rsid w:val="00044C67"/>
    <w:rsid w:val="00045BE4"/>
    <w:rsid w:val="00046BE7"/>
    <w:rsid w:val="0004770B"/>
    <w:rsid w:val="000509B9"/>
    <w:rsid w:val="00051132"/>
    <w:rsid w:val="00051138"/>
    <w:rsid w:val="00052DDA"/>
    <w:rsid w:val="00054158"/>
    <w:rsid w:val="00056ED1"/>
    <w:rsid w:val="00057050"/>
    <w:rsid w:val="00064487"/>
    <w:rsid w:val="00064BC8"/>
    <w:rsid w:val="00065BB5"/>
    <w:rsid w:val="000663BB"/>
    <w:rsid w:val="00071543"/>
    <w:rsid w:val="00075F31"/>
    <w:rsid w:val="00081B33"/>
    <w:rsid w:val="00081F00"/>
    <w:rsid w:val="000828F9"/>
    <w:rsid w:val="000829DC"/>
    <w:rsid w:val="000833C6"/>
    <w:rsid w:val="00085501"/>
    <w:rsid w:val="000856B7"/>
    <w:rsid w:val="00086007"/>
    <w:rsid w:val="0008733A"/>
    <w:rsid w:val="000875B5"/>
    <w:rsid w:val="00087D3B"/>
    <w:rsid w:val="0009232E"/>
    <w:rsid w:val="00092539"/>
    <w:rsid w:val="0009271D"/>
    <w:rsid w:val="00092D17"/>
    <w:rsid w:val="0009541F"/>
    <w:rsid w:val="000971F9"/>
    <w:rsid w:val="000A099E"/>
    <w:rsid w:val="000A4CF6"/>
    <w:rsid w:val="000A6F40"/>
    <w:rsid w:val="000A720D"/>
    <w:rsid w:val="000B1609"/>
    <w:rsid w:val="000B1918"/>
    <w:rsid w:val="000B2CD2"/>
    <w:rsid w:val="000B3EE3"/>
    <w:rsid w:val="000C2AB0"/>
    <w:rsid w:val="000C3205"/>
    <w:rsid w:val="000C3F49"/>
    <w:rsid w:val="000C7A55"/>
    <w:rsid w:val="000D26FC"/>
    <w:rsid w:val="000D2A7E"/>
    <w:rsid w:val="000D2D92"/>
    <w:rsid w:val="000D30DE"/>
    <w:rsid w:val="000D3855"/>
    <w:rsid w:val="000D59C5"/>
    <w:rsid w:val="000D7BC5"/>
    <w:rsid w:val="000E5080"/>
    <w:rsid w:val="000E534E"/>
    <w:rsid w:val="000E594F"/>
    <w:rsid w:val="000E71B9"/>
    <w:rsid w:val="000E7583"/>
    <w:rsid w:val="000F131E"/>
    <w:rsid w:val="000F5398"/>
    <w:rsid w:val="000F75AA"/>
    <w:rsid w:val="00101408"/>
    <w:rsid w:val="00101BD6"/>
    <w:rsid w:val="00102257"/>
    <w:rsid w:val="00102F5A"/>
    <w:rsid w:val="001035B0"/>
    <w:rsid w:val="00103E9E"/>
    <w:rsid w:val="00103F63"/>
    <w:rsid w:val="00106AA3"/>
    <w:rsid w:val="00106FCC"/>
    <w:rsid w:val="001073C8"/>
    <w:rsid w:val="00107BE3"/>
    <w:rsid w:val="001113BE"/>
    <w:rsid w:val="00112479"/>
    <w:rsid w:val="00112D16"/>
    <w:rsid w:val="0011508E"/>
    <w:rsid w:val="0011630B"/>
    <w:rsid w:val="00120159"/>
    <w:rsid w:val="00121FFA"/>
    <w:rsid w:val="00123A28"/>
    <w:rsid w:val="00123AE7"/>
    <w:rsid w:val="00124262"/>
    <w:rsid w:val="00124C49"/>
    <w:rsid w:val="00125B80"/>
    <w:rsid w:val="00130CA7"/>
    <w:rsid w:val="00136093"/>
    <w:rsid w:val="00137B82"/>
    <w:rsid w:val="00140F1E"/>
    <w:rsid w:val="001420E0"/>
    <w:rsid w:val="001431BF"/>
    <w:rsid w:val="001466F3"/>
    <w:rsid w:val="001521C2"/>
    <w:rsid w:val="00152E5D"/>
    <w:rsid w:val="0015421C"/>
    <w:rsid w:val="00157093"/>
    <w:rsid w:val="001621AD"/>
    <w:rsid w:val="001668A5"/>
    <w:rsid w:val="00174DD8"/>
    <w:rsid w:val="001759D2"/>
    <w:rsid w:val="00176B3E"/>
    <w:rsid w:val="00193744"/>
    <w:rsid w:val="001940DD"/>
    <w:rsid w:val="001976F7"/>
    <w:rsid w:val="001A09C2"/>
    <w:rsid w:val="001A1AB8"/>
    <w:rsid w:val="001A6EB0"/>
    <w:rsid w:val="001A7AF4"/>
    <w:rsid w:val="001B1300"/>
    <w:rsid w:val="001B202A"/>
    <w:rsid w:val="001B3003"/>
    <w:rsid w:val="001B58F5"/>
    <w:rsid w:val="001B5B28"/>
    <w:rsid w:val="001B6745"/>
    <w:rsid w:val="001B7D5F"/>
    <w:rsid w:val="001C1A19"/>
    <w:rsid w:val="001C2B6F"/>
    <w:rsid w:val="001C3DC0"/>
    <w:rsid w:val="001C49CB"/>
    <w:rsid w:val="001C5872"/>
    <w:rsid w:val="001C71C1"/>
    <w:rsid w:val="001D17E8"/>
    <w:rsid w:val="001D2DCA"/>
    <w:rsid w:val="001D33CB"/>
    <w:rsid w:val="001D3A96"/>
    <w:rsid w:val="001D634C"/>
    <w:rsid w:val="001E0FF2"/>
    <w:rsid w:val="001E19FF"/>
    <w:rsid w:val="001F277D"/>
    <w:rsid w:val="001F2EFC"/>
    <w:rsid w:val="001F3053"/>
    <w:rsid w:val="001F6FB0"/>
    <w:rsid w:val="001F770C"/>
    <w:rsid w:val="00202788"/>
    <w:rsid w:val="0020317B"/>
    <w:rsid w:val="002042A5"/>
    <w:rsid w:val="002054FC"/>
    <w:rsid w:val="0021041A"/>
    <w:rsid w:val="0021082B"/>
    <w:rsid w:val="00214EFF"/>
    <w:rsid w:val="00215F04"/>
    <w:rsid w:val="00216B08"/>
    <w:rsid w:val="00217B33"/>
    <w:rsid w:val="00217BB3"/>
    <w:rsid w:val="00221954"/>
    <w:rsid w:val="00227BC9"/>
    <w:rsid w:val="0023178B"/>
    <w:rsid w:val="002318F7"/>
    <w:rsid w:val="00231B81"/>
    <w:rsid w:val="00232AAA"/>
    <w:rsid w:val="00233C0E"/>
    <w:rsid w:val="00233E87"/>
    <w:rsid w:val="00234201"/>
    <w:rsid w:val="002356CB"/>
    <w:rsid w:val="00241ABB"/>
    <w:rsid w:val="002464ED"/>
    <w:rsid w:val="002476A8"/>
    <w:rsid w:val="00255AA0"/>
    <w:rsid w:val="00255D19"/>
    <w:rsid w:val="0025681E"/>
    <w:rsid w:val="00256B3B"/>
    <w:rsid w:val="00256E00"/>
    <w:rsid w:val="00260326"/>
    <w:rsid w:val="002603E9"/>
    <w:rsid w:val="00260C11"/>
    <w:rsid w:val="0026327C"/>
    <w:rsid w:val="00264D1A"/>
    <w:rsid w:val="00264F1A"/>
    <w:rsid w:val="00265C78"/>
    <w:rsid w:val="00266635"/>
    <w:rsid w:val="00266805"/>
    <w:rsid w:val="002671E8"/>
    <w:rsid w:val="00270442"/>
    <w:rsid w:val="00270719"/>
    <w:rsid w:val="0027141B"/>
    <w:rsid w:val="002716AE"/>
    <w:rsid w:val="00272912"/>
    <w:rsid w:val="00273A26"/>
    <w:rsid w:val="00274B56"/>
    <w:rsid w:val="002765D2"/>
    <w:rsid w:val="0028169B"/>
    <w:rsid w:val="002817F7"/>
    <w:rsid w:val="00283911"/>
    <w:rsid w:val="00287458"/>
    <w:rsid w:val="002878CC"/>
    <w:rsid w:val="00290D71"/>
    <w:rsid w:val="00291D3C"/>
    <w:rsid w:val="002957D4"/>
    <w:rsid w:val="00295EF9"/>
    <w:rsid w:val="002A01BE"/>
    <w:rsid w:val="002A4E84"/>
    <w:rsid w:val="002A5556"/>
    <w:rsid w:val="002A62C7"/>
    <w:rsid w:val="002B4A1E"/>
    <w:rsid w:val="002B4E23"/>
    <w:rsid w:val="002C0282"/>
    <w:rsid w:val="002C0E23"/>
    <w:rsid w:val="002C476C"/>
    <w:rsid w:val="002C4D17"/>
    <w:rsid w:val="002D1D87"/>
    <w:rsid w:val="002D27AF"/>
    <w:rsid w:val="002D402C"/>
    <w:rsid w:val="002D4B9E"/>
    <w:rsid w:val="002D5C14"/>
    <w:rsid w:val="002D6588"/>
    <w:rsid w:val="002E49AA"/>
    <w:rsid w:val="002E523E"/>
    <w:rsid w:val="002E69FF"/>
    <w:rsid w:val="002F0DB3"/>
    <w:rsid w:val="002F38EC"/>
    <w:rsid w:val="002F62C8"/>
    <w:rsid w:val="003005AB"/>
    <w:rsid w:val="0030099E"/>
    <w:rsid w:val="00300CEE"/>
    <w:rsid w:val="00303670"/>
    <w:rsid w:val="0030425E"/>
    <w:rsid w:val="00304550"/>
    <w:rsid w:val="003069EE"/>
    <w:rsid w:val="00314627"/>
    <w:rsid w:val="003160D0"/>
    <w:rsid w:val="0032353F"/>
    <w:rsid w:val="00325AF7"/>
    <w:rsid w:val="00325DAF"/>
    <w:rsid w:val="003260E9"/>
    <w:rsid w:val="003270E2"/>
    <w:rsid w:val="00327B08"/>
    <w:rsid w:val="003310C7"/>
    <w:rsid w:val="00332E9F"/>
    <w:rsid w:val="00333492"/>
    <w:rsid w:val="00333748"/>
    <w:rsid w:val="00334CEA"/>
    <w:rsid w:val="00335154"/>
    <w:rsid w:val="00337C21"/>
    <w:rsid w:val="00341625"/>
    <w:rsid w:val="003431DC"/>
    <w:rsid w:val="00344262"/>
    <w:rsid w:val="003462A7"/>
    <w:rsid w:val="0034746E"/>
    <w:rsid w:val="003474EE"/>
    <w:rsid w:val="003529FD"/>
    <w:rsid w:val="00353149"/>
    <w:rsid w:val="00353255"/>
    <w:rsid w:val="00354636"/>
    <w:rsid w:val="00356FBA"/>
    <w:rsid w:val="003634C4"/>
    <w:rsid w:val="00363713"/>
    <w:rsid w:val="00365524"/>
    <w:rsid w:val="00366F6B"/>
    <w:rsid w:val="00367667"/>
    <w:rsid w:val="0037089C"/>
    <w:rsid w:val="003727F8"/>
    <w:rsid w:val="00372A6B"/>
    <w:rsid w:val="00373C1A"/>
    <w:rsid w:val="00374564"/>
    <w:rsid w:val="00375DCF"/>
    <w:rsid w:val="003775E1"/>
    <w:rsid w:val="0038334F"/>
    <w:rsid w:val="00384C66"/>
    <w:rsid w:val="00385DBC"/>
    <w:rsid w:val="003864AC"/>
    <w:rsid w:val="00387E91"/>
    <w:rsid w:val="003922A1"/>
    <w:rsid w:val="00392979"/>
    <w:rsid w:val="00395868"/>
    <w:rsid w:val="003963CC"/>
    <w:rsid w:val="0039653B"/>
    <w:rsid w:val="00397EDB"/>
    <w:rsid w:val="003A0234"/>
    <w:rsid w:val="003A0349"/>
    <w:rsid w:val="003A2697"/>
    <w:rsid w:val="003A2D0F"/>
    <w:rsid w:val="003A3A41"/>
    <w:rsid w:val="003A489C"/>
    <w:rsid w:val="003A4CBC"/>
    <w:rsid w:val="003A6254"/>
    <w:rsid w:val="003A7929"/>
    <w:rsid w:val="003A7FE2"/>
    <w:rsid w:val="003B2BDF"/>
    <w:rsid w:val="003B34CD"/>
    <w:rsid w:val="003B3993"/>
    <w:rsid w:val="003B4C27"/>
    <w:rsid w:val="003B60B7"/>
    <w:rsid w:val="003C025A"/>
    <w:rsid w:val="003C04AF"/>
    <w:rsid w:val="003C3271"/>
    <w:rsid w:val="003C3E81"/>
    <w:rsid w:val="003C69B0"/>
    <w:rsid w:val="003D2054"/>
    <w:rsid w:val="003D2AD3"/>
    <w:rsid w:val="003D513E"/>
    <w:rsid w:val="003E0AE3"/>
    <w:rsid w:val="003E4A14"/>
    <w:rsid w:val="003E7C7A"/>
    <w:rsid w:val="003F0085"/>
    <w:rsid w:val="003F1112"/>
    <w:rsid w:val="003F5C65"/>
    <w:rsid w:val="003F5CF3"/>
    <w:rsid w:val="003F7CE7"/>
    <w:rsid w:val="004024E4"/>
    <w:rsid w:val="00402C80"/>
    <w:rsid w:val="004057C8"/>
    <w:rsid w:val="00405E15"/>
    <w:rsid w:val="00412693"/>
    <w:rsid w:val="00415730"/>
    <w:rsid w:val="00416A4B"/>
    <w:rsid w:val="00421312"/>
    <w:rsid w:val="004258F6"/>
    <w:rsid w:val="00432794"/>
    <w:rsid w:val="00433358"/>
    <w:rsid w:val="00433CEF"/>
    <w:rsid w:val="00434E96"/>
    <w:rsid w:val="00434F61"/>
    <w:rsid w:val="0043732B"/>
    <w:rsid w:val="00440C2C"/>
    <w:rsid w:val="0044137C"/>
    <w:rsid w:val="00442F4B"/>
    <w:rsid w:val="00444B5D"/>
    <w:rsid w:val="00445B97"/>
    <w:rsid w:val="00445E22"/>
    <w:rsid w:val="004471D7"/>
    <w:rsid w:val="00447BA7"/>
    <w:rsid w:val="004511D5"/>
    <w:rsid w:val="0045189F"/>
    <w:rsid w:val="004531D3"/>
    <w:rsid w:val="0045676A"/>
    <w:rsid w:val="004575C6"/>
    <w:rsid w:val="00457A0E"/>
    <w:rsid w:val="00462809"/>
    <w:rsid w:val="00462A33"/>
    <w:rsid w:val="00465D42"/>
    <w:rsid w:val="00466B5C"/>
    <w:rsid w:val="0047128C"/>
    <w:rsid w:val="00471378"/>
    <w:rsid w:val="00473028"/>
    <w:rsid w:val="004739DD"/>
    <w:rsid w:val="0047419B"/>
    <w:rsid w:val="00476218"/>
    <w:rsid w:val="00481F8C"/>
    <w:rsid w:val="004828E0"/>
    <w:rsid w:val="00482F10"/>
    <w:rsid w:val="00483FFA"/>
    <w:rsid w:val="004858E0"/>
    <w:rsid w:val="00486C75"/>
    <w:rsid w:val="00486CBB"/>
    <w:rsid w:val="00487017"/>
    <w:rsid w:val="00490F36"/>
    <w:rsid w:val="00492F5E"/>
    <w:rsid w:val="00496526"/>
    <w:rsid w:val="004A00C8"/>
    <w:rsid w:val="004A1E69"/>
    <w:rsid w:val="004A1E9B"/>
    <w:rsid w:val="004A4DFA"/>
    <w:rsid w:val="004A5092"/>
    <w:rsid w:val="004A5470"/>
    <w:rsid w:val="004A5FE1"/>
    <w:rsid w:val="004A6074"/>
    <w:rsid w:val="004B1A0B"/>
    <w:rsid w:val="004B45D0"/>
    <w:rsid w:val="004B4859"/>
    <w:rsid w:val="004B4939"/>
    <w:rsid w:val="004B75B7"/>
    <w:rsid w:val="004C1365"/>
    <w:rsid w:val="004C1461"/>
    <w:rsid w:val="004C2EA3"/>
    <w:rsid w:val="004C41F3"/>
    <w:rsid w:val="004C72C0"/>
    <w:rsid w:val="004D1553"/>
    <w:rsid w:val="004D345F"/>
    <w:rsid w:val="004D5520"/>
    <w:rsid w:val="004D6BB3"/>
    <w:rsid w:val="004D7512"/>
    <w:rsid w:val="004E0AFC"/>
    <w:rsid w:val="004E2700"/>
    <w:rsid w:val="004E375F"/>
    <w:rsid w:val="004E3E5E"/>
    <w:rsid w:val="004E4047"/>
    <w:rsid w:val="004E4194"/>
    <w:rsid w:val="004E5DE7"/>
    <w:rsid w:val="004E6575"/>
    <w:rsid w:val="004F124B"/>
    <w:rsid w:val="004F1696"/>
    <w:rsid w:val="004F5425"/>
    <w:rsid w:val="004F762E"/>
    <w:rsid w:val="00500D9C"/>
    <w:rsid w:val="00501461"/>
    <w:rsid w:val="00503F11"/>
    <w:rsid w:val="00510ADB"/>
    <w:rsid w:val="00510E44"/>
    <w:rsid w:val="005129CD"/>
    <w:rsid w:val="00512D29"/>
    <w:rsid w:val="005141EF"/>
    <w:rsid w:val="0051643B"/>
    <w:rsid w:val="005168FB"/>
    <w:rsid w:val="005251A9"/>
    <w:rsid w:val="00526D93"/>
    <w:rsid w:val="005315C2"/>
    <w:rsid w:val="005316FD"/>
    <w:rsid w:val="0053240D"/>
    <w:rsid w:val="005341AC"/>
    <w:rsid w:val="00535AC0"/>
    <w:rsid w:val="00536DA5"/>
    <w:rsid w:val="00540434"/>
    <w:rsid w:val="00540530"/>
    <w:rsid w:val="00541D39"/>
    <w:rsid w:val="00542221"/>
    <w:rsid w:val="00546725"/>
    <w:rsid w:val="0055383D"/>
    <w:rsid w:val="005540FC"/>
    <w:rsid w:val="00557A3B"/>
    <w:rsid w:val="0056035B"/>
    <w:rsid w:val="00561650"/>
    <w:rsid w:val="00561F0A"/>
    <w:rsid w:val="005621A5"/>
    <w:rsid w:val="005637A9"/>
    <w:rsid w:val="00564C96"/>
    <w:rsid w:val="00570C51"/>
    <w:rsid w:val="00571C64"/>
    <w:rsid w:val="00573D68"/>
    <w:rsid w:val="005749A8"/>
    <w:rsid w:val="005832AC"/>
    <w:rsid w:val="00584C53"/>
    <w:rsid w:val="00584CBD"/>
    <w:rsid w:val="00584ECC"/>
    <w:rsid w:val="00586AA5"/>
    <w:rsid w:val="00592C39"/>
    <w:rsid w:val="00592D80"/>
    <w:rsid w:val="005979B8"/>
    <w:rsid w:val="005A0633"/>
    <w:rsid w:val="005A0833"/>
    <w:rsid w:val="005A0AE6"/>
    <w:rsid w:val="005A6986"/>
    <w:rsid w:val="005B0A51"/>
    <w:rsid w:val="005B130C"/>
    <w:rsid w:val="005B36F6"/>
    <w:rsid w:val="005B4B68"/>
    <w:rsid w:val="005B5500"/>
    <w:rsid w:val="005B7A11"/>
    <w:rsid w:val="005C01A0"/>
    <w:rsid w:val="005C3B5F"/>
    <w:rsid w:val="005C54A5"/>
    <w:rsid w:val="005C6708"/>
    <w:rsid w:val="005C6C49"/>
    <w:rsid w:val="005C6EC2"/>
    <w:rsid w:val="005C77F5"/>
    <w:rsid w:val="005D026A"/>
    <w:rsid w:val="005D2C9C"/>
    <w:rsid w:val="005D49A8"/>
    <w:rsid w:val="005D60A0"/>
    <w:rsid w:val="005E1274"/>
    <w:rsid w:val="005E4066"/>
    <w:rsid w:val="005E40E9"/>
    <w:rsid w:val="005E7C31"/>
    <w:rsid w:val="005F08CD"/>
    <w:rsid w:val="005F09E1"/>
    <w:rsid w:val="005F1E2F"/>
    <w:rsid w:val="005F38E3"/>
    <w:rsid w:val="005F5067"/>
    <w:rsid w:val="005F6F5D"/>
    <w:rsid w:val="005F7AC5"/>
    <w:rsid w:val="00602DC8"/>
    <w:rsid w:val="00602DF7"/>
    <w:rsid w:val="006032A2"/>
    <w:rsid w:val="006035E9"/>
    <w:rsid w:val="00603E88"/>
    <w:rsid w:val="0060672D"/>
    <w:rsid w:val="00606B85"/>
    <w:rsid w:val="0061040F"/>
    <w:rsid w:val="0061098C"/>
    <w:rsid w:val="0061330E"/>
    <w:rsid w:val="00614A66"/>
    <w:rsid w:val="0061533D"/>
    <w:rsid w:val="00616CFF"/>
    <w:rsid w:val="006207E6"/>
    <w:rsid w:val="00630CD1"/>
    <w:rsid w:val="006319C5"/>
    <w:rsid w:val="00631D39"/>
    <w:rsid w:val="00634A27"/>
    <w:rsid w:val="00635618"/>
    <w:rsid w:val="00640665"/>
    <w:rsid w:val="006414AD"/>
    <w:rsid w:val="0064645A"/>
    <w:rsid w:val="00650896"/>
    <w:rsid w:val="00652209"/>
    <w:rsid w:val="00652B00"/>
    <w:rsid w:val="00652B19"/>
    <w:rsid w:val="0065322B"/>
    <w:rsid w:val="00654D87"/>
    <w:rsid w:val="0065579A"/>
    <w:rsid w:val="0065596A"/>
    <w:rsid w:val="00656416"/>
    <w:rsid w:val="006605F2"/>
    <w:rsid w:val="00661CEE"/>
    <w:rsid w:val="00662E9B"/>
    <w:rsid w:val="00666260"/>
    <w:rsid w:val="00666AAB"/>
    <w:rsid w:val="006674F7"/>
    <w:rsid w:val="0066753A"/>
    <w:rsid w:val="00667609"/>
    <w:rsid w:val="0066787A"/>
    <w:rsid w:val="00671B58"/>
    <w:rsid w:val="006745FF"/>
    <w:rsid w:val="0067488B"/>
    <w:rsid w:val="00675366"/>
    <w:rsid w:val="006755C2"/>
    <w:rsid w:val="00683100"/>
    <w:rsid w:val="006844F1"/>
    <w:rsid w:val="00686965"/>
    <w:rsid w:val="0069014F"/>
    <w:rsid w:val="00692F67"/>
    <w:rsid w:val="0069370D"/>
    <w:rsid w:val="00694CB3"/>
    <w:rsid w:val="00694F98"/>
    <w:rsid w:val="00695682"/>
    <w:rsid w:val="00695E13"/>
    <w:rsid w:val="006A0A73"/>
    <w:rsid w:val="006A106E"/>
    <w:rsid w:val="006A4A08"/>
    <w:rsid w:val="006A555F"/>
    <w:rsid w:val="006A7503"/>
    <w:rsid w:val="006B256B"/>
    <w:rsid w:val="006B267A"/>
    <w:rsid w:val="006B655B"/>
    <w:rsid w:val="006B675D"/>
    <w:rsid w:val="006B7205"/>
    <w:rsid w:val="006C273F"/>
    <w:rsid w:val="006C2E3F"/>
    <w:rsid w:val="006C4B1C"/>
    <w:rsid w:val="006C758B"/>
    <w:rsid w:val="006D0443"/>
    <w:rsid w:val="006D46A3"/>
    <w:rsid w:val="006D6012"/>
    <w:rsid w:val="006D6758"/>
    <w:rsid w:val="006D6A94"/>
    <w:rsid w:val="006E32FC"/>
    <w:rsid w:val="006E35F3"/>
    <w:rsid w:val="006E6C65"/>
    <w:rsid w:val="006F0B6C"/>
    <w:rsid w:val="006F200C"/>
    <w:rsid w:val="006F2600"/>
    <w:rsid w:val="006F3709"/>
    <w:rsid w:val="006F4BF7"/>
    <w:rsid w:val="006F505C"/>
    <w:rsid w:val="006F6334"/>
    <w:rsid w:val="006F6B1C"/>
    <w:rsid w:val="00701EEB"/>
    <w:rsid w:val="007052A3"/>
    <w:rsid w:val="00705BBE"/>
    <w:rsid w:val="00706F13"/>
    <w:rsid w:val="007102BE"/>
    <w:rsid w:val="00712070"/>
    <w:rsid w:val="007133BE"/>
    <w:rsid w:val="00713D96"/>
    <w:rsid w:val="00717861"/>
    <w:rsid w:val="00720E8F"/>
    <w:rsid w:val="00720F3A"/>
    <w:rsid w:val="007219F0"/>
    <w:rsid w:val="007247D0"/>
    <w:rsid w:val="0072606A"/>
    <w:rsid w:val="00730427"/>
    <w:rsid w:val="0073464A"/>
    <w:rsid w:val="00735049"/>
    <w:rsid w:val="007365E2"/>
    <w:rsid w:val="00736D2D"/>
    <w:rsid w:val="007376F1"/>
    <w:rsid w:val="00740504"/>
    <w:rsid w:val="00743347"/>
    <w:rsid w:val="0074611A"/>
    <w:rsid w:val="007470A7"/>
    <w:rsid w:val="007500D3"/>
    <w:rsid w:val="00750711"/>
    <w:rsid w:val="00753F11"/>
    <w:rsid w:val="007546AE"/>
    <w:rsid w:val="007546C9"/>
    <w:rsid w:val="00756A15"/>
    <w:rsid w:val="007572FB"/>
    <w:rsid w:val="007576C6"/>
    <w:rsid w:val="00761959"/>
    <w:rsid w:val="00762877"/>
    <w:rsid w:val="007631C9"/>
    <w:rsid w:val="00763862"/>
    <w:rsid w:val="00763931"/>
    <w:rsid w:val="00767F96"/>
    <w:rsid w:val="00771008"/>
    <w:rsid w:val="0077499B"/>
    <w:rsid w:val="007807E2"/>
    <w:rsid w:val="0078229E"/>
    <w:rsid w:val="00782428"/>
    <w:rsid w:val="00783D0C"/>
    <w:rsid w:val="00784338"/>
    <w:rsid w:val="0078465B"/>
    <w:rsid w:val="00785DDD"/>
    <w:rsid w:val="007864AB"/>
    <w:rsid w:val="007912EF"/>
    <w:rsid w:val="00791571"/>
    <w:rsid w:val="00792CF6"/>
    <w:rsid w:val="0079350D"/>
    <w:rsid w:val="0079564E"/>
    <w:rsid w:val="007A027F"/>
    <w:rsid w:val="007A159A"/>
    <w:rsid w:val="007A2BF1"/>
    <w:rsid w:val="007A42B1"/>
    <w:rsid w:val="007A4F70"/>
    <w:rsid w:val="007A58F9"/>
    <w:rsid w:val="007A70C4"/>
    <w:rsid w:val="007B0D3C"/>
    <w:rsid w:val="007B4D74"/>
    <w:rsid w:val="007B520D"/>
    <w:rsid w:val="007B6910"/>
    <w:rsid w:val="007B6F43"/>
    <w:rsid w:val="007C08B3"/>
    <w:rsid w:val="007C28E3"/>
    <w:rsid w:val="007C53CF"/>
    <w:rsid w:val="007C559B"/>
    <w:rsid w:val="007C645A"/>
    <w:rsid w:val="007D1608"/>
    <w:rsid w:val="007D2C50"/>
    <w:rsid w:val="007D2C6A"/>
    <w:rsid w:val="007D371C"/>
    <w:rsid w:val="007D41F1"/>
    <w:rsid w:val="007D4C43"/>
    <w:rsid w:val="007D6DEC"/>
    <w:rsid w:val="007E2DF4"/>
    <w:rsid w:val="007E33AC"/>
    <w:rsid w:val="007E519C"/>
    <w:rsid w:val="007E5B97"/>
    <w:rsid w:val="007F09B9"/>
    <w:rsid w:val="007F1A54"/>
    <w:rsid w:val="007F218C"/>
    <w:rsid w:val="007F7E23"/>
    <w:rsid w:val="008006D0"/>
    <w:rsid w:val="00800DE7"/>
    <w:rsid w:val="00801004"/>
    <w:rsid w:val="00801A8E"/>
    <w:rsid w:val="00807D37"/>
    <w:rsid w:val="00807F8A"/>
    <w:rsid w:val="00811099"/>
    <w:rsid w:val="008113FA"/>
    <w:rsid w:val="00811912"/>
    <w:rsid w:val="00811DDB"/>
    <w:rsid w:val="00814EF4"/>
    <w:rsid w:val="0081723E"/>
    <w:rsid w:val="008203FB"/>
    <w:rsid w:val="00824056"/>
    <w:rsid w:val="0082668E"/>
    <w:rsid w:val="00826C41"/>
    <w:rsid w:val="008274C2"/>
    <w:rsid w:val="00827E87"/>
    <w:rsid w:val="008324D7"/>
    <w:rsid w:val="008332CA"/>
    <w:rsid w:val="00834437"/>
    <w:rsid w:val="0083647A"/>
    <w:rsid w:val="008368CA"/>
    <w:rsid w:val="00837784"/>
    <w:rsid w:val="008426F6"/>
    <w:rsid w:val="0084344A"/>
    <w:rsid w:val="00843BE4"/>
    <w:rsid w:val="00843F48"/>
    <w:rsid w:val="0084641A"/>
    <w:rsid w:val="00847D4C"/>
    <w:rsid w:val="00847D79"/>
    <w:rsid w:val="00850EF3"/>
    <w:rsid w:val="0085286D"/>
    <w:rsid w:val="00853C53"/>
    <w:rsid w:val="008542B3"/>
    <w:rsid w:val="00854D3E"/>
    <w:rsid w:val="00861FE7"/>
    <w:rsid w:val="008627CC"/>
    <w:rsid w:val="008632A4"/>
    <w:rsid w:val="008667CB"/>
    <w:rsid w:val="00866B32"/>
    <w:rsid w:val="008806DE"/>
    <w:rsid w:val="0088139D"/>
    <w:rsid w:val="00882559"/>
    <w:rsid w:val="00882F0C"/>
    <w:rsid w:val="008841FC"/>
    <w:rsid w:val="00890CF8"/>
    <w:rsid w:val="00891B4E"/>
    <w:rsid w:val="0089465B"/>
    <w:rsid w:val="00894CA5"/>
    <w:rsid w:val="00895F53"/>
    <w:rsid w:val="0089798E"/>
    <w:rsid w:val="008A28A1"/>
    <w:rsid w:val="008A3259"/>
    <w:rsid w:val="008A4D47"/>
    <w:rsid w:val="008A535D"/>
    <w:rsid w:val="008A5FF5"/>
    <w:rsid w:val="008A7600"/>
    <w:rsid w:val="008B1493"/>
    <w:rsid w:val="008B4104"/>
    <w:rsid w:val="008B4D68"/>
    <w:rsid w:val="008B51BA"/>
    <w:rsid w:val="008B7193"/>
    <w:rsid w:val="008B7E2F"/>
    <w:rsid w:val="008C0798"/>
    <w:rsid w:val="008C1206"/>
    <w:rsid w:val="008C5E1D"/>
    <w:rsid w:val="008C66EA"/>
    <w:rsid w:val="008C701C"/>
    <w:rsid w:val="008D0C0D"/>
    <w:rsid w:val="008D1491"/>
    <w:rsid w:val="008D1AC2"/>
    <w:rsid w:val="008D4AAB"/>
    <w:rsid w:val="008D6D1A"/>
    <w:rsid w:val="008E5543"/>
    <w:rsid w:val="008E6B1D"/>
    <w:rsid w:val="008F1383"/>
    <w:rsid w:val="008F2ACC"/>
    <w:rsid w:val="008F3179"/>
    <w:rsid w:val="008F3794"/>
    <w:rsid w:val="008F7C51"/>
    <w:rsid w:val="00901ED8"/>
    <w:rsid w:val="00905FBB"/>
    <w:rsid w:val="00907B1B"/>
    <w:rsid w:val="00907C48"/>
    <w:rsid w:val="00910DE0"/>
    <w:rsid w:val="00913E4B"/>
    <w:rsid w:val="0091496E"/>
    <w:rsid w:val="00914E8C"/>
    <w:rsid w:val="00915F37"/>
    <w:rsid w:val="0092057D"/>
    <w:rsid w:val="00922CE1"/>
    <w:rsid w:val="00923F5D"/>
    <w:rsid w:val="00926024"/>
    <w:rsid w:val="00926595"/>
    <w:rsid w:val="00926C81"/>
    <w:rsid w:val="0093067B"/>
    <w:rsid w:val="00930DE7"/>
    <w:rsid w:val="009323F1"/>
    <w:rsid w:val="00933557"/>
    <w:rsid w:val="00933FD7"/>
    <w:rsid w:val="009353A9"/>
    <w:rsid w:val="00936B09"/>
    <w:rsid w:val="00937635"/>
    <w:rsid w:val="00937CEB"/>
    <w:rsid w:val="00940E79"/>
    <w:rsid w:val="00941CA1"/>
    <w:rsid w:val="00941CE1"/>
    <w:rsid w:val="00942702"/>
    <w:rsid w:val="00942DE7"/>
    <w:rsid w:val="0094349E"/>
    <w:rsid w:val="00945F67"/>
    <w:rsid w:val="009470AC"/>
    <w:rsid w:val="0095164E"/>
    <w:rsid w:val="00951B63"/>
    <w:rsid w:val="00954872"/>
    <w:rsid w:val="00954CF1"/>
    <w:rsid w:val="00954F48"/>
    <w:rsid w:val="00955FDA"/>
    <w:rsid w:val="00956A20"/>
    <w:rsid w:val="00962111"/>
    <w:rsid w:val="0096211B"/>
    <w:rsid w:val="00962201"/>
    <w:rsid w:val="00966325"/>
    <w:rsid w:val="00966563"/>
    <w:rsid w:val="00966A6C"/>
    <w:rsid w:val="00967E71"/>
    <w:rsid w:val="00970306"/>
    <w:rsid w:val="00974D0C"/>
    <w:rsid w:val="00975091"/>
    <w:rsid w:val="00975179"/>
    <w:rsid w:val="00975DD8"/>
    <w:rsid w:val="00977143"/>
    <w:rsid w:val="0097765A"/>
    <w:rsid w:val="009777E1"/>
    <w:rsid w:val="00977F6D"/>
    <w:rsid w:val="00981A95"/>
    <w:rsid w:val="00982379"/>
    <w:rsid w:val="00983D38"/>
    <w:rsid w:val="00983E39"/>
    <w:rsid w:val="00984F33"/>
    <w:rsid w:val="0098559A"/>
    <w:rsid w:val="00986CE6"/>
    <w:rsid w:val="00992B8D"/>
    <w:rsid w:val="00996E91"/>
    <w:rsid w:val="009A4537"/>
    <w:rsid w:val="009B1C57"/>
    <w:rsid w:val="009B20C9"/>
    <w:rsid w:val="009B472D"/>
    <w:rsid w:val="009B64FF"/>
    <w:rsid w:val="009B7C4C"/>
    <w:rsid w:val="009C03EB"/>
    <w:rsid w:val="009C0F77"/>
    <w:rsid w:val="009C295D"/>
    <w:rsid w:val="009C2C13"/>
    <w:rsid w:val="009C30D4"/>
    <w:rsid w:val="009C4715"/>
    <w:rsid w:val="009C57FB"/>
    <w:rsid w:val="009C5E27"/>
    <w:rsid w:val="009C71A0"/>
    <w:rsid w:val="009C7B04"/>
    <w:rsid w:val="009C7EA3"/>
    <w:rsid w:val="009D118F"/>
    <w:rsid w:val="009D3B78"/>
    <w:rsid w:val="009D7FEE"/>
    <w:rsid w:val="009E1C85"/>
    <w:rsid w:val="009E262A"/>
    <w:rsid w:val="009E36FA"/>
    <w:rsid w:val="009E4334"/>
    <w:rsid w:val="009E4C68"/>
    <w:rsid w:val="009E4F7D"/>
    <w:rsid w:val="009E6074"/>
    <w:rsid w:val="009E6E89"/>
    <w:rsid w:val="009F233D"/>
    <w:rsid w:val="009F306A"/>
    <w:rsid w:val="009F429A"/>
    <w:rsid w:val="009F4361"/>
    <w:rsid w:val="009F49FC"/>
    <w:rsid w:val="009F5599"/>
    <w:rsid w:val="00A02DFA"/>
    <w:rsid w:val="00A0321D"/>
    <w:rsid w:val="00A0399A"/>
    <w:rsid w:val="00A05595"/>
    <w:rsid w:val="00A06F54"/>
    <w:rsid w:val="00A07B5E"/>
    <w:rsid w:val="00A15761"/>
    <w:rsid w:val="00A17123"/>
    <w:rsid w:val="00A2204D"/>
    <w:rsid w:val="00A2217E"/>
    <w:rsid w:val="00A24706"/>
    <w:rsid w:val="00A26C98"/>
    <w:rsid w:val="00A30010"/>
    <w:rsid w:val="00A30548"/>
    <w:rsid w:val="00A339E5"/>
    <w:rsid w:val="00A3443B"/>
    <w:rsid w:val="00A3451A"/>
    <w:rsid w:val="00A34C76"/>
    <w:rsid w:val="00A35BB5"/>
    <w:rsid w:val="00A35EE5"/>
    <w:rsid w:val="00A405FC"/>
    <w:rsid w:val="00A407ED"/>
    <w:rsid w:val="00A42843"/>
    <w:rsid w:val="00A44819"/>
    <w:rsid w:val="00A45217"/>
    <w:rsid w:val="00A456E1"/>
    <w:rsid w:val="00A52E22"/>
    <w:rsid w:val="00A53CDF"/>
    <w:rsid w:val="00A54EEA"/>
    <w:rsid w:val="00A5526A"/>
    <w:rsid w:val="00A5758D"/>
    <w:rsid w:val="00A60AF2"/>
    <w:rsid w:val="00A60F6D"/>
    <w:rsid w:val="00A62AF9"/>
    <w:rsid w:val="00A63C99"/>
    <w:rsid w:val="00A63E06"/>
    <w:rsid w:val="00A65656"/>
    <w:rsid w:val="00A67518"/>
    <w:rsid w:val="00A7030F"/>
    <w:rsid w:val="00A70C04"/>
    <w:rsid w:val="00A70D18"/>
    <w:rsid w:val="00A71D5A"/>
    <w:rsid w:val="00A72BA2"/>
    <w:rsid w:val="00A768E0"/>
    <w:rsid w:val="00A8377A"/>
    <w:rsid w:val="00A84A65"/>
    <w:rsid w:val="00A8560C"/>
    <w:rsid w:val="00A85F6D"/>
    <w:rsid w:val="00A87030"/>
    <w:rsid w:val="00A87C44"/>
    <w:rsid w:val="00A87D0F"/>
    <w:rsid w:val="00A93B1D"/>
    <w:rsid w:val="00A93BEF"/>
    <w:rsid w:val="00A95567"/>
    <w:rsid w:val="00A957B7"/>
    <w:rsid w:val="00A96D83"/>
    <w:rsid w:val="00AA085B"/>
    <w:rsid w:val="00AA228F"/>
    <w:rsid w:val="00AA5CF0"/>
    <w:rsid w:val="00AB01A1"/>
    <w:rsid w:val="00AB0721"/>
    <w:rsid w:val="00AB3B71"/>
    <w:rsid w:val="00AB6AD1"/>
    <w:rsid w:val="00AB71E0"/>
    <w:rsid w:val="00AB783D"/>
    <w:rsid w:val="00AC07CF"/>
    <w:rsid w:val="00AC424C"/>
    <w:rsid w:val="00AC493E"/>
    <w:rsid w:val="00AC513C"/>
    <w:rsid w:val="00AD3ABE"/>
    <w:rsid w:val="00AD4CF8"/>
    <w:rsid w:val="00AD547F"/>
    <w:rsid w:val="00AE06CE"/>
    <w:rsid w:val="00AE1C1F"/>
    <w:rsid w:val="00AE3F8B"/>
    <w:rsid w:val="00AE72D4"/>
    <w:rsid w:val="00AE749D"/>
    <w:rsid w:val="00AE7A86"/>
    <w:rsid w:val="00AE7EFC"/>
    <w:rsid w:val="00AF0AA6"/>
    <w:rsid w:val="00AF1049"/>
    <w:rsid w:val="00AF1F5E"/>
    <w:rsid w:val="00AF23CA"/>
    <w:rsid w:val="00AF4483"/>
    <w:rsid w:val="00AF6022"/>
    <w:rsid w:val="00AF78D3"/>
    <w:rsid w:val="00AF7DA5"/>
    <w:rsid w:val="00AF7DE4"/>
    <w:rsid w:val="00B037A8"/>
    <w:rsid w:val="00B06E18"/>
    <w:rsid w:val="00B144E5"/>
    <w:rsid w:val="00B20FC3"/>
    <w:rsid w:val="00B219AA"/>
    <w:rsid w:val="00B23497"/>
    <w:rsid w:val="00B24F59"/>
    <w:rsid w:val="00B251A2"/>
    <w:rsid w:val="00B256A6"/>
    <w:rsid w:val="00B2587E"/>
    <w:rsid w:val="00B261E0"/>
    <w:rsid w:val="00B31BC4"/>
    <w:rsid w:val="00B31C55"/>
    <w:rsid w:val="00B34B8D"/>
    <w:rsid w:val="00B34D9C"/>
    <w:rsid w:val="00B36063"/>
    <w:rsid w:val="00B3662F"/>
    <w:rsid w:val="00B404A4"/>
    <w:rsid w:val="00B41304"/>
    <w:rsid w:val="00B43EF7"/>
    <w:rsid w:val="00B46B9B"/>
    <w:rsid w:val="00B46BD1"/>
    <w:rsid w:val="00B47A40"/>
    <w:rsid w:val="00B502A3"/>
    <w:rsid w:val="00B51ACB"/>
    <w:rsid w:val="00B51F1B"/>
    <w:rsid w:val="00B52FAB"/>
    <w:rsid w:val="00B5320C"/>
    <w:rsid w:val="00B6183A"/>
    <w:rsid w:val="00B6274D"/>
    <w:rsid w:val="00B65A3B"/>
    <w:rsid w:val="00B65C95"/>
    <w:rsid w:val="00B7202B"/>
    <w:rsid w:val="00B72DEE"/>
    <w:rsid w:val="00B74EED"/>
    <w:rsid w:val="00B76D3C"/>
    <w:rsid w:val="00B826D7"/>
    <w:rsid w:val="00B83BC5"/>
    <w:rsid w:val="00B87B9A"/>
    <w:rsid w:val="00B926E4"/>
    <w:rsid w:val="00B92837"/>
    <w:rsid w:val="00B945AD"/>
    <w:rsid w:val="00B94F2A"/>
    <w:rsid w:val="00B952BF"/>
    <w:rsid w:val="00B96AE0"/>
    <w:rsid w:val="00BA2D2E"/>
    <w:rsid w:val="00BA36BD"/>
    <w:rsid w:val="00BA3A98"/>
    <w:rsid w:val="00BA5AA4"/>
    <w:rsid w:val="00BB1972"/>
    <w:rsid w:val="00BB1B6E"/>
    <w:rsid w:val="00BB2393"/>
    <w:rsid w:val="00BB49BE"/>
    <w:rsid w:val="00BB65E8"/>
    <w:rsid w:val="00BB6B58"/>
    <w:rsid w:val="00BB79D6"/>
    <w:rsid w:val="00BC35B4"/>
    <w:rsid w:val="00BC4CC9"/>
    <w:rsid w:val="00BC52D0"/>
    <w:rsid w:val="00BC5D2D"/>
    <w:rsid w:val="00BD0E7D"/>
    <w:rsid w:val="00BD136D"/>
    <w:rsid w:val="00BD1FF6"/>
    <w:rsid w:val="00BD4917"/>
    <w:rsid w:val="00BD5067"/>
    <w:rsid w:val="00BD5090"/>
    <w:rsid w:val="00BD662B"/>
    <w:rsid w:val="00BD67B3"/>
    <w:rsid w:val="00BD7079"/>
    <w:rsid w:val="00BD72E0"/>
    <w:rsid w:val="00BD7B4A"/>
    <w:rsid w:val="00BE2EE4"/>
    <w:rsid w:val="00BE46E1"/>
    <w:rsid w:val="00BE5134"/>
    <w:rsid w:val="00BE5283"/>
    <w:rsid w:val="00BE6422"/>
    <w:rsid w:val="00BE7194"/>
    <w:rsid w:val="00BF1435"/>
    <w:rsid w:val="00BF175F"/>
    <w:rsid w:val="00BF1A88"/>
    <w:rsid w:val="00BF4674"/>
    <w:rsid w:val="00BF4EBA"/>
    <w:rsid w:val="00C002D1"/>
    <w:rsid w:val="00C04501"/>
    <w:rsid w:val="00C057BF"/>
    <w:rsid w:val="00C110B5"/>
    <w:rsid w:val="00C11378"/>
    <w:rsid w:val="00C15067"/>
    <w:rsid w:val="00C15903"/>
    <w:rsid w:val="00C16AC6"/>
    <w:rsid w:val="00C23CAC"/>
    <w:rsid w:val="00C24F1D"/>
    <w:rsid w:val="00C27F71"/>
    <w:rsid w:val="00C30F56"/>
    <w:rsid w:val="00C31614"/>
    <w:rsid w:val="00C33C5B"/>
    <w:rsid w:val="00C33CFC"/>
    <w:rsid w:val="00C349C6"/>
    <w:rsid w:val="00C3635B"/>
    <w:rsid w:val="00C4258C"/>
    <w:rsid w:val="00C44058"/>
    <w:rsid w:val="00C44D93"/>
    <w:rsid w:val="00C5366F"/>
    <w:rsid w:val="00C53A13"/>
    <w:rsid w:val="00C54147"/>
    <w:rsid w:val="00C57FAA"/>
    <w:rsid w:val="00C605BA"/>
    <w:rsid w:val="00C607B1"/>
    <w:rsid w:val="00C60911"/>
    <w:rsid w:val="00C62E2C"/>
    <w:rsid w:val="00C62F49"/>
    <w:rsid w:val="00C6373B"/>
    <w:rsid w:val="00C65700"/>
    <w:rsid w:val="00C70172"/>
    <w:rsid w:val="00C7056E"/>
    <w:rsid w:val="00C70809"/>
    <w:rsid w:val="00C717BB"/>
    <w:rsid w:val="00C77E11"/>
    <w:rsid w:val="00C81D94"/>
    <w:rsid w:val="00C856AC"/>
    <w:rsid w:val="00C877DF"/>
    <w:rsid w:val="00C904CD"/>
    <w:rsid w:val="00C9178D"/>
    <w:rsid w:val="00C954E0"/>
    <w:rsid w:val="00CA2EB1"/>
    <w:rsid w:val="00CA4B55"/>
    <w:rsid w:val="00CB11FC"/>
    <w:rsid w:val="00CB4248"/>
    <w:rsid w:val="00CB603A"/>
    <w:rsid w:val="00CC3B2F"/>
    <w:rsid w:val="00CC4342"/>
    <w:rsid w:val="00CC5164"/>
    <w:rsid w:val="00CD0CDB"/>
    <w:rsid w:val="00CD1855"/>
    <w:rsid w:val="00CD1975"/>
    <w:rsid w:val="00CD77D2"/>
    <w:rsid w:val="00CE2FEA"/>
    <w:rsid w:val="00CE38A3"/>
    <w:rsid w:val="00CE4998"/>
    <w:rsid w:val="00CF6B3C"/>
    <w:rsid w:val="00D01EA1"/>
    <w:rsid w:val="00D1007B"/>
    <w:rsid w:val="00D114C9"/>
    <w:rsid w:val="00D14B14"/>
    <w:rsid w:val="00D1508C"/>
    <w:rsid w:val="00D158BC"/>
    <w:rsid w:val="00D201BF"/>
    <w:rsid w:val="00D2050B"/>
    <w:rsid w:val="00D21135"/>
    <w:rsid w:val="00D2337A"/>
    <w:rsid w:val="00D25FC7"/>
    <w:rsid w:val="00D2666C"/>
    <w:rsid w:val="00D26F59"/>
    <w:rsid w:val="00D27C35"/>
    <w:rsid w:val="00D30E16"/>
    <w:rsid w:val="00D3290C"/>
    <w:rsid w:val="00D34DF6"/>
    <w:rsid w:val="00D35237"/>
    <w:rsid w:val="00D35569"/>
    <w:rsid w:val="00D360D5"/>
    <w:rsid w:val="00D36D25"/>
    <w:rsid w:val="00D409AF"/>
    <w:rsid w:val="00D4582D"/>
    <w:rsid w:val="00D46390"/>
    <w:rsid w:val="00D46641"/>
    <w:rsid w:val="00D47D29"/>
    <w:rsid w:val="00D541B8"/>
    <w:rsid w:val="00D54E67"/>
    <w:rsid w:val="00D56061"/>
    <w:rsid w:val="00D63B2C"/>
    <w:rsid w:val="00D6471D"/>
    <w:rsid w:val="00D71535"/>
    <w:rsid w:val="00D71684"/>
    <w:rsid w:val="00D7211C"/>
    <w:rsid w:val="00D722B5"/>
    <w:rsid w:val="00D72D0B"/>
    <w:rsid w:val="00D73DC3"/>
    <w:rsid w:val="00D8218B"/>
    <w:rsid w:val="00D834B2"/>
    <w:rsid w:val="00D85366"/>
    <w:rsid w:val="00D86BE9"/>
    <w:rsid w:val="00D87D78"/>
    <w:rsid w:val="00D9073E"/>
    <w:rsid w:val="00D93BC3"/>
    <w:rsid w:val="00D95C70"/>
    <w:rsid w:val="00DA06FE"/>
    <w:rsid w:val="00DA0DD3"/>
    <w:rsid w:val="00DA1392"/>
    <w:rsid w:val="00DA3F8A"/>
    <w:rsid w:val="00DA40C0"/>
    <w:rsid w:val="00DA44EB"/>
    <w:rsid w:val="00DA57CE"/>
    <w:rsid w:val="00DA57F1"/>
    <w:rsid w:val="00DB2ED2"/>
    <w:rsid w:val="00DB3D25"/>
    <w:rsid w:val="00DB4CC8"/>
    <w:rsid w:val="00DC068D"/>
    <w:rsid w:val="00DC149A"/>
    <w:rsid w:val="00DC1888"/>
    <w:rsid w:val="00DC5D32"/>
    <w:rsid w:val="00DC6F55"/>
    <w:rsid w:val="00DD22F3"/>
    <w:rsid w:val="00DD2BFC"/>
    <w:rsid w:val="00DD34C2"/>
    <w:rsid w:val="00DD43B9"/>
    <w:rsid w:val="00DD5DFE"/>
    <w:rsid w:val="00DE1402"/>
    <w:rsid w:val="00DE1B68"/>
    <w:rsid w:val="00DE40D9"/>
    <w:rsid w:val="00DF0D64"/>
    <w:rsid w:val="00DF0EB1"/>
    <w:rsid w:val="00DF2363"/>
    <w:rsid w:val="00DF34DF"/>
    <w:rsid w:val="00DF428B"/>
    <w:rsid w:val="00DF4904"/>
    <w:rsid w:val="00DF5D64"/>
    <w:rsid w:val="00E00C61"/>
    <w:rsid w:val="00E03C06"/>
    <w:rsid w:val="00E054EE"/>
    <w:rsid w:val="00E067BD"/>
    <w:rsid w:val="00E06EF2"/>
    <w:rsid w:val="00E116B4"/>
    <w:rsid w:val="00E11CD2"/>
    <w:rsid w:val="00E131B4"/>
    <w:rsid w:val="00E14F94"/>
    <w:rsid w:val="00E166DE"/>
    <w:rsid w:val="00E17450"/>
    <w:rsid w:val="00E20838"/>
    <w:rsid w:val="00E23241"/>
    <w:rsid w:val="00E23D3D"/>
    <w:rsid w:val="00E24751"/>
    <w:rsid w:val="00E25B57"/>
    <w:rsid w:val="00E2610A"/>
    <w:rsid w:val="00E2644B"/>
    <w:rsid w:val="00E2663F"/>
    <w:rsid w:val="00E2775F"/>
    <w:rsid w:val="00E27952"/>
    <w:rsid w:val="00E30692"/>
    <w:rsid w:val="00E33621"/>
    <w:rsid w:val="00E33AD2"/>
    <w:rsid w:val="00E359AD"/>
    <w:rsid w:val="00E36AAB"/>
    <w:rsid w:val="00E409CD"/>
    <w:rsid w:val="00E439FB"/>
    <w:rsid w:val="00E43DEA"/>
    <w:rsid w:val="00E51FDA"/>
    <w:rsid w:val="00E52313"/>
    <w:rsid w:val="00E5698F"/>
    <w:rsid w:val="00E6013E"/>
    <w:rsid w:val="00E62D9D"/>
    <w:rsid w:val="00E6454A"/>
    <w:rsid w:val="00E6531F"/>
    <w:rsid w:val="00E74BD5"/>
    <w:rsid w:val="00E74F94"/>
    <w:rsid w:val="00E805A1"/>
    <w:rsid w:val="00E815C8"/>
    <w:rsid w:val="00E81F8C"/>
    <w:rsid w:val="00E82D62"/>
    <w:rsid w:val="00E8320F"/>
    <w:rsid w:val="00E844EA"/>
    <w:rsid w:val="00E84594"/>
    <w:rsid w:val="00E91D24"/>
    <w:rsid w:val="00E9216C"/>
    <w:rsid w:val="00E9782A"/>
    <w:rsid w:val="00E978D4"/>
    <w:rsid w:val="00E97B6E"/>
    <w:rsid w:val="00EA240E"/>
    <w:rsid w:val="00EA2588"/>
    <w:rsid w:val="00EA31F8"/>
    <w:rsid w:val="00EA34EF"/>
    <w:rsid w:val="00EA466A"/>
    <w:rsid w:val="00EA63B2"/>
    <w:rsid w:val="00EB247F"/>
    <w:rsid w:val="00EB419F"/>
    <w:rsid w:val="00EB5AC6"/>
    <w:rsid w:val="00EB72DB"/>
    <w:rsid w:val="00EC30D7"/>
    <w:rsid w:val="00EC3F09"/>
    <w:rsid w:val="00EC57B8"/>
    <w:rsid w:val="00EC6304"/>
    <w:rsid w:val="00ED0F46"/>
    <w:rsid w:val="00ED5C72"/>
    <w:rsid w:val="00ED7208"/>
    <w:rsid w:val="00ED7489"/>
    <w:rsid w:val="00EE0272"/>
    <w:rsid w:val="00EE2158"/>
    <w:rsid w:val="00EE2350"/>
    <w:rsid w:val="00EE274A"/>
    <w:rsid w:val="00EE294B"/>
    <w:rsid w:val="00EE6414"/>
    <w:rsid w:val="00EF1970"/>
    <w:rsid w:val="00EF21F4"/>
    <w:rsid w:val="00EF2247"/>
    <w:rsid w:val="00EF3511"/>
    <w:rsid w:val="00EF432C"/>
    <w:rsid w:val="00F02AA2"/>
    <w:rsid w:val="00F05491"/>
    <w:rsid w:val="00F0595F"/>
    <w:rsid w:val="00F0598F"/>
    <w:rsid w:val="00F06F88"/>
    <w:rsid w:val="00F120BE"/>
    <w:rsid w:val="00F15AEE"/>
    <w:rsid w:val="00F23FA0"/>
    <w:rsid w:val="00F253D1"/>
    <w:rsid w:val="00F254E9"/>
    <w:rsid w:val="00F26176"/>
    <w:rsid w:val="00F27B67"/>
    <w:rsid w:val="00F335CE"/>
    <w:rsid w:val="00F346F2"/>
    <w:rsid w:val="00F34970"/>
    <w:rsid w:val="00F36C95"/>
    <w:rsid w:val="00F4203D"/>
    <w:rsid w:val="00F4393C"/>
    <w:rsid w:val="00F44C6D"/>
    <w:rsid w:val="00F46737"/>
    <w:rsid w:val="00F501EA"/>
    <w:rsid w:val="00F52595"/>
    <w:rsid w:val="00F53092"/>
    <w:rsid w:val="00F530FC"/>
    <w:rsid w:val="00F54FA8"/>
    <w:rsid w:val="00F61DCA"/>
    <w:rsid w:val="00F649AC"/>
    <w:rsid w:val="00F64BF0"/>
    <w:rsid w:val="00F65586"/>
    <w:rsid w:val="00F665D9"/>
    <w:rsid w:val="00F66D25"/>
    <w:rsid w:val="00F73235"/>
    <w:rsid w:val="00F73C9C"/>
    <w:rsid w:val="00F74517"/>
    <w:rsid w:val="00F750AB"/>
    <w:rsid w:val="00F820DF"/>
    <w:rsid w:val="00F84DB6"/>
    <w:rsid w:val="00F85FFB"/>
    <w:rsid w:val="00F90C8F"/>
    <w:rsid w:val="00F90D56"/>
    <w:rsid w:val="00F96F8A"/>
    <w:rsid w:val="00FA2194"/>
    <w:rsid w:val="00FA47C2"/>
    <w:rsid w:val="00FA5114"/>
    <w:rsid w:val="00FA5170"/>
    <w:rsid w:val="00FA5F15"/>
    <w:rsid w:val="00FA6897"/>
    <w:rsid w:val="00FA7C26"/>
    <w:rsid w:val="00FB2C53"/>
    <w:rsid w:val="00FB2DC0"/>
    <w:rsid w:val="00FB3AB3"/>
    <w:rsid w:val="00FB649C"/>
    <w:rsid w:val="00FB679F"/>
    <w:rsid w:val="00FC1270"/>
    <w:rsid w:val="00FC2C8B"/>
    <w:rsid w:val="00FC3587"/>
    <w:rsid w:val="00FC446D"/>
    <w:rsid w:val="00FD2788"/>
    <w:rsid w:val="00FD4360"/>
    <w:rsid w:val="00FD4E76"/>
    <w:rsid w:val="00FD77AF"/>
    <w:rsid w:val="00FD7CE8"/>
    <w:rsid w:val="00FE05E4"/>
    <w:rsid w:val="00FE17C5"/>
    <w:rsid w:val="00FE40F4"/>
    <w:rsid w:val="00FE53D4"/>
    <w:rsid w:val="00FE659A"/>
    <w:rsid w:val="00FE712D"/>
    <w:rsid w:val="00FE71B5"/>
    <w:rsid w:val="00FF038A"/>
    <w:rsid w:val="00FF2968"/>
    <w:rsid w:val="00FF47F5"/>
    <w:rsid w:val="00FF5986"/>
    <w:rsid w:val="00FF5E1C"/>
    <w:rsid w:val="00FF6B6B"/>
    <w:rsid w:val="19B34150"/>
    <w:rsid w:val="2D56E7D4"/>
    <w:rsid w:val="2FC5C4D9"/>
    <w:rsid w:val="4C1B5F5A"/>
    <w:rsid w:val="551A77D0"/>
    <w:rsid w:val="624BD695"/>
    <w:rsid w:val="6761EF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240" w:line="240" w:lineRule="auto"/>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021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96193732">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0"/>
          <w:marRight w:val="0"/>
          <w:marTop w:val="0"/>
          <w:marBottom w:val="0"/>
          <w:divBdr>
            <w:top w:val="none" w:sz="0" w:space="0" w:color="auto"/>
            <w:left w:val="none" w:sz="0" w:space="0" w:color="auto"/>
            <w:bottom w:val="none" w:sz="0" w:space="0" w:color="auto"/>
            <w:right w:val="none" w:sz="0" w:space="0" w:color="auto"/>
          </w:divBdr>
        </w:div>
      </w:divsChild>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99804044">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hyperlink" Target="https://www.ipcc-nggip.iges.or.jp/public/2006gl/pdf/4_Volume4/V4_10_Ch10_Livestock.pdf"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rawdown.org" TargetMode="External"/><Relationship Id="rId23" Type="http://schemas.openxmlformats.org/officeDocument/2006/relationships/fontTable" Target="fontTable.xml"/><Relationship Id="rId10" Type="http://schemas.openxmlformats.org/officeDocument/2006/relationships/hyperlink" Target="mailto:info@drawdown.org"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Silvopasture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Silvopasture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Silvopasture_Aug20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Silvopasture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125059394983289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numCache>
            </c:numRef>
          </c:val>
          <c:smooth val="1"/>
          <c:extLst>
            <c:ext xmlns:c16="http://schemas.microsoft.com/office/drawing/2014/chart" uri="{C3380CC4-5D6E-409C-BE32-E72D297353CC}">
              <c16:uniqueId val="{00000000-5F92-4CA8-8BEA-C70E3F104987}"/>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500</c:v>
                </c:pt>
                <c:pt idx="1">
                  <c:v>500</c:v>
                </c:pt>
                <c:pt idx="2">
                  <c:v>500</c:v>
                </c:pt>
                <c:pt idx="3">
                  <c:v>502.1</c:v>
                </c:pt>
                <c:pt idx="4">
                  <c:v>508.8</c:v>
                </c:pt>
                <c:pt idx="5">
                  <c:v>515.6</c:v>
                </c:pt>
                <c:pt idx="6">
                  <c:v>522.4</c:v>
                </c:pt>
                <c:pt idx="7">
                  <c:v>529.20000000000005</c:v>
                </c:pt>
                <c:pt idx="8">
                  <c:v>535.9</c:v>
                </c:pt>
                <c:pt idx="9">
                  <c:v>542.70000000000005</c:v>
                </c:pt>
                <c:pt idx="10">
                  <c:v>549.5</c:v>
                </c:pt>
                <c:pt idx="11">
                  <c:v>558.79999999999995</c:v>
                </c:pt>
                <c:pt idx="12">
                  <c:v>565.6</c:v>
                </c:pt>
                <c:pt idx="13">
                  <c:v>572.4</c:v>
                </c:pt>
                <c:pt idx="14">
                  <c:v>579.1</c:v>
                </c:pt>
                <c:pt idx="15">
                  <c:v>585.9</c:v>
                </c:pt>
                <c:pt idx="16">
                  <c:v>592.70000000000005</c:v>
                </c:pt>
                <c:pt idx="17">
                  <c:v>599.5</c:v>
                </c:pt>
                <c:pt idx="18">
                  <c:v>606.20000000000005</c:v>
                </c:pt>
                <c:pt idx="19">
                  <c:v>613</c:v>
                </c:pt>
                <c:pt idx="20">
                  <c:v>619.79999999999995</c:v>
                </c:pt>
                <c:pt idx="21">
                  <c:v>626.9</c:v>
                </c:pt>
                <c:pt idx="22">
                  <c:v>633.70000000000005</c:v>
                </c:pt>
                <c:pt idx="23">
                  <c:v>640.4</c:v>
                </c:pt>
                <c:pt idx="24">
                  <c:v>647.20000000000005</c:v>
                </c:pt>
                <c:pt idx="25">
                  <c:v>652.4</c:v>
                </c:pt>
                <c:pt idx="26">
                  <c:v>656.9</c:v>
                </c:pt>
                <c:pt idx="27">
                  <c:v>661.3</c:v>
                </c:pt>
                <c:pt idx="28">
                  <c:v>665.8</c:v>
                </c:pt>
                <c:pt idx="29">
                  <c:v>670.2</c:v>
                </c:pt>
                <c:pt idx="30">
                  <c:v>674.7</c:v>
                </c:pt>
                <c:pt idx="31">
                  <c:v>680.6</c:v>
                </c:pt>
                <c:pt idx="32">
                  <c:v>685.1</c:v>
                </c:pt>
                <c:pt idx="33">
                  <c:v>689.6</c:v>
                </c:pt>
                <c:pt idx="34">
                  <c:v>694</c:v>
                </c:pt>
                <c:pt idx="35">
                  <c:v>698.5</c:v>
                </c:pt>
                <c:pt idx="36">
                  <c:v>701.8</c:v>
                </c:pt>
                <c:pt idx="37">
                  <c:v>706.2</c:v>
                </c:pt>
                <c:pt idx="38">
                  <c:v>710.7</c:v>
                </c:pt>
                <c:pt idx="39">
                  <c:v>715.2</c:v>
                </c:pt>
                <c:pt idx="40">
                  <c:v>719.6</c:v>
                </c:pt>
                <c:pt idx="41">
                  <c:v>724.1</c:v>
                </c:pt>
                <c:pt idx="42">
                  <c:v>728.5</c:v>
                </c:pt>
                <c:pt idx="43">
                  <c:v>733</c:v>
                </c:pt>
                <c:pt idx="44">
                  <c:v>737.5</c:v>
                </c:pt>
                <c:pt idx="45">
                  <c:v>741.9</c:v>
                </c:pt>
              </c:numCache>
            </c:numRef>
          </c:val>
          <c:smooth val="0"/>
          <c:extLst>
            <c:ext xmlns:c16="http://schemas.microsoft.com/office/drawing/2014/chart" uri="{C3380CC4-5D6E-409C-BE32-E72D297353CC}">
              <c16:uniqueId val="{00000001-5F92-4CA8-8BEA-C70E3F104987}"/>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500</c:v>
                </c:pt>
                <c:pt idx="1">
                  <c:v>500</c:v>
                </c:pt>
                <c:pt idx="2">
                  <c:v>500</c:v>
                </c:pt>
                <c:pt idx="3">
                  <c:v>526.4</c:v>
                </c:pt>
                <c:pt idx="4">
                  <c:v>533.1</c:v>
                </c:pt>
                <c:pt idx="5">
                  <c:v>539.70000000000005</c:v>
                </c:pt>
                <c:pt idx="6">
                  <c:v>546.29999999999995</c:v>
                </c:pt>
                <c:pt idx="7">
                  <c:v>552.9</c:v>
                </c:pt>
                <c:pt idx="8">
                  <c:v>559.5</c:v>
                </c:pt>
                <c:pt idx="9">
                  <c:v>566.1</c:v>
                </c:pt>
                <c:pt idx="10">
                  <c:v>572.70000000000005</c:v>
                </c:pt>
                <c:pt idx="11">
                  <c:v>579.29999999999995</c:v>
                </c:pt>
                <c:pt idx="12">
                  <c:v>585.9</c:v>
                </c:pt>
                <c:pt idx="13">
                  <c:v>592.5</c:v>
                </c:pt>
                <c:pt idx="14">
                  <c:v>599.20000000000005</c:v>
                </c:pt>
                <c:pt idx="15">
                  <c:v>605.79999999999995</c:v>
                </c:pt>
                <c:pt idx="16">
                  <c:v>612.4</c:v>
                </c:pt>
                <c:pt idx="17">
                  <c:v>619</c:v>
                </c:pt>
                <c:pt idx="18">
                  <c:v>625.6</c:v>
                </c:pt>
                <c:pt idx="19">
                  <c:v>632.20000000000005</c:v>
                </c:pt>
                <c:pt idx="20">
                  <c:v>638.79999999999995</c:v>
                </c:pt>
                <c:pt idx="21">
                  <c:v>645.4</c:v>
                </c:pt>
                <c:pt idx="22">
                  <c:v>652</c:v>
                </c:pt>
                <c:pt idx="23">
                  <c:v>658.6</c:v>
                </c:pt>
                <c:pt idx="24">
                  <c:v>665.3</c:v>
                </c:pt>
                <c:pt idx="25">
                  <c:v>671.9</c:v>
                </c:pt>
                <c:pt idx="26">
                  <c:v>678.5</c:v>
                </c:pt>
                <c:pt idx="27">
                  <c:v>685.1</c:v>
                </c:pt>
                <c:pt idx="28">
                  <c:v>691.7</c:v>
                </c:pt>
                <c:pt idx="29">
                  <c:v>698.3</c:v>
                </c:pt>
                <c:pt idx="30">
                  <c:v>704.9</c:v>
                </c:pt>
                <c:pt idx="31">
                  <c:v>711.5</c:v>
                </c:pt>
                <c:pt idx="32">
                  <c:v>718.1</c:v>
                </c:pt>
                <c:pt idx="33">
                  <c:v>724.7</c:v>
                </c:pt>
                <c:pt idx="34">
                  <c:v>731.4</c:v>
                </c:pt>
                <c:pt idx="35">
                  <c:v>738</c:v>
                </c:pt>
                <c:pt idx="36">
                  <c:v>744.6</c:v>
                </c:pt>
                <c:pt idx="37">
                  <c:v>751.2</c:v>
                </c:pt>
                <c:pt idx="38">
                  <c:v>757.8</c:v>
                </c:pt>
                <c:pt idx="39">
                  <c:v>764.4</c:v>
                </c:pt>
                <c:pt idx="40">
                  <c:v>771</c:v>
                </c:pt>
                <c:pt idx="41">
                  <c:v>777.6</c:v>
                </c:pt>
                <c:pt idx="42">
                  <c:v>784.2</c:v>
                </c:pt>
                <c:pt idx="43">
                  <c:v>790.8</c:v>
                </c:pt>
                <c:pt idx="44">
                  <c:v>797.5</c:v>
                </c:pt>
                <c:pt idx="45">
                  <c:v>804.1</c:v>
                </c:pt>
              </c:numCache>
            </c:numRef>
          </c:val>
          <c:smooth val="0"/>
          <c:extLst>
            <c:ext xmlns:c16="http://schemas.microsoft.com/office/drawing/2014/chart" uri="{C3380CC4-5D6E-409C-BE32-E72D297353CC}">
              <c16:uniqueId val="{00000002-5F92-4CA8-8BEA-C70E3F104987}"/>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500</c:v>
                </c:pt>
                <c:pt idx="1">
                  <c:v>500</c:v>
                </c:pt>
                <c:pt idx="2">
                  <c:v>500</c:v>
                </c:pt>
                <c:pt idx="3">
                  <c:v>528</c:v>
                </c:pt>
                <c:pt idx="4">
                  <c:v>536.6</c:v>
                </c:pt>
                <c:pt idx="5">
                  <c:v>545.1</c:v>
                </c:pt>
                <c:pt idx="6">
                  <c:v>553.79999999999995</c:v>
                </c:pt>
                <c:pt idx="7">
                  <c:v>562.5</c:v>
                </c:pt>
                <c:pt idx="8">
                  <c:v>571.20000000000005</c:v>
                </c:pt>
                <c:pt idx="9">
                  <c:v>579.9</c:v>
                </c:pt>
                <c:pt idx="10">
                  <c:v>588.70000000000005</c:v>
                </c:pt>
                <c:pt idx="11">
                  <c:v>598.29999999999995</c:v>
                </c:pt>
                <c:pt idx="12">
                  <c:v>607.20000000000005</c:v>
                </c:pt>
                <c:pt idx="13">
                  <c:v>616</c:v>
                </c:pt>
                <c:pt idx="14">
                  <c:v>624.9</c:v>
                </c:pt>
                <c:pt idx="15">
                  <c:v>633.79999999999995</c:v>
                </c:pt>
                <c:pt idx="16">
                  <c:v>642.6</c:v>
                </c:pt>
                <c:pt idx="17">
                  <c:v>651.5</c:v>
                </c:pt>
                <c:pt idx="18">
                  <c:v>660.4</c:v>
                </c:pt>
                <c:pt idx="19">
                  <c:v>669.3</c:v>
                </c:pt>
                <c:pt idx="20">
                  <c:v>678.2</c:v>
                </c:pt>
                <c:pt idx="21">
                  <c:v>687.3</c:v>
                </c:pt>
                <c:pt idx="22">
                  <c:v>696.2</c:v>
                </c:pt>
                <c:pt idx="23">
                  <c:v>705.1</c:v>
                </c:pt>
                <c:pt idx="24">
                  <c:v>714.1</c:v>
                </c:pt>
                <c:pt idx="25">
                  <c:v>719.9</c:v>
                </c:pt>
                <c:pt idx="26">
                  <c:v>724.3</c:v>
                </c:pt>
                <c:pt idx="27">
                  <c:v>728.7</c:v>
                </c:pt>
                <c:pt idx="28">
                  <c:v>733.2</c:v>
                </c:pt>
                <c:pt idx="29">
                  <c:v>737.7</c:v>
                </c:pt>
                <c:pt idx="30">
                  <c:v>742.2</c:v>
                </c:pt>
                <c:pt idx="31">
                  <c:v>747.4</c:v>
                </c:pt>
                <c:pt idx="32">
                  <c:v>752</c:v>
                </c:pt>
                <c:pt idx="33">
                  <c:v>756.6</c:v>
                </c:pt>
                <c:pt idx="34">
                  <c:v>761.2</c:v>
                </c:pt>
                <c:pt idx="35">
                  <c:v>765.9</c:v>
                </c:pt>
                <c:pt idx="36">
                  <c:v>770.1</c:v>
                </c:pt>
                <c:pt idx="37">
                  <c:v>774.9</c:v>
                </c:pt>
                <c:pt idx="38">
                  <c:v>779.6</c:v>
                </c:pt>
                <c:pt idx="39">
                  <c:v>784.4</c:v>
                </c:pt>
                <c:pt idx="40">
                  <c:v>789.2</c:v>
                </c:pt>
                <c:pt idx="41">
                  <c:v>794.1</c:v>
                </c:pt>
                <c:pt idx="42">
                  <c:v>798.9</c:v>
                </c:pt>
                <c:pt idx="43">
                  <c:v>803.8</c:v>
                </c:pt>
                <c:pt idx="44">
                  <c:v>808.8</c:v>
                </c:pt>
                <c:pt idx="45">
                  <c:v>813.7</c:v>
                </c:pt>
              </c:numCache>
            </c:numRef>
          </c:val>
          <c:smooth val="0"/>
          <c:extLst>
            <c:ext xmlns:c16="http://schemas.microsoft.com/office/drawing/2014/chart" uri="{C3380CC4-5D6E-409C-BE32-E72D297353CC}">
              <c16:uniqueId val="{00000003-5F92-4CA8-8BEA-C70E3F104987}"/>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5F92-4CA8-8BEA-C70E3F104987}"/>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5F92-4CA8-8BEA-C70E3F104987}"/>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5F92-4CA8-8BEA-C70E3F104987}"/>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5F92-4CA8-8BEA-C70E3F104987}"/>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5F92-4CA8-8BEA-C70E3F104987}"/>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5F92-4CA8-8BEA-C70E3F104987}"/>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5F92-4CA8-8BEA-C70E3F104987}"/>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5F92-4CA8-8BEA-C70E3F104987}"/>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5F92-4CA8-8BEA-C70E3F104987}"/>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36440198308411"/>
              <c:y val="0.9353559025628848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950"/>
          <c:min val="45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6639155552027838"/>
          <c:y val="0.30011396779378341"/>
          <c:w val="0.21712816145140684"/>
          <c:h val="0.3858572355490274"/>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0.54935511415630267</c:v>
                </c:pt>
                <c:pt idx="1">
                  <c:v>0.54935511415630267</c:v>
                </c:pt>
                <c:pt idx="2">
                  <c:v>0.54935511415630267</c:v>
                </c:pt>
                <c:pt idx="3">
                  <c:v>0.54935511415630267</c:v>
                </c:pt>
                <c:pt idx="4">
                  <c:v>0.54935511415630267</c:v>
                </c:pt>
                <c:pt idx="5">
                  <c:v>0.54935511415630267</c:v>
                </c:pt>
                <c:pt idx="6">
                  <c:v>0.54935511415630267</c:v>
                </c:pt>
                <c:pt idx="7">
                  <c:v>0.54935511415630267</c:v>
                </c:pt>
                <c:pt idx="8">
                  <c:v>0.54935511415630267</c:v>
                </c:pt>
                <c:pt idx="9">
                  <c:v>0.54935511415630267</c:v>
                </c:pt>
                <c:pt idx="10">
                  <c:v>0.54935511415630267</c:v>
                </c:pt>
                <c:pt idx="11">
                  <c:v>0.54935511415630267</c:v>
                </c:pt>
                <c:pt idx="12">
                  <c:v>0.54935511415630267</c:v>
                </c:pt>
                <c:pt idx="13">
                  <c:v>0.54935511415630267</c:v>
                </c:pt>
                <c:pt idx="14">
                  <c:v>0.54935511415630267</c:v>
                </c:pt>
                <c:pt idx="15">
                  <c:v>0.54935511415630267</c:v>
                </c:pt>
                <c:pt idx="16">
                  <c:v>0.54935511415630267</c:v>
                </c:pt>
                <c:pt idx="17">
                  <c:v>0.54935511415630267</c:v>
                </c:pt>
                <c:pt idx="18">
                  <c:v>0.54935511415630267</c:v>
                </c:pt>
                <c:pt idx="19">
                  <c:v>0.54935511415630267</c:v>
                </c:pt>
                <c:pt idx="20">
                  <c:v>0.54935511415630267</c:v>
                </c:pt>
                <c:pt idx="21">
                  <c:v>0.54935511415630267</c:v>
                </c:pt>
                <c:pt idx="22">
                  <c:v>0.54935511415630267</c:v>
                </c:pt>
                <c:pt idx="23">
                  <c:v>0.54935511415630267</c:v>
                </c:pt>
                <c:pt idx="24">
                  <c:v>0.54935511415630267</c:v>
                </c:pt>
                <c:pt idx="25">
                  <c:v>0.54935511415630267</c:v>
                </c:pt>
                <c:pt idx="26">
                  <c:v>0.54935511415630267</c:v>
                </c:pt>
                <c:pt idx="27">
                  <c:v>0.54935511415630267</c:v>
                </c:pt>
                <c:pt idx="28">
                  <c:v>0.54935511415630267</c:v>
                </c:pt>
                <c:pt idx="29">
                  <c:v>0.54935511415630267</c:v>
                </c:pt>
                <c:pt idx="30">
                  <c:v>0.54935511415630267</c:v>
                </c:pt>
                <c:pt idx="31">
                  <c:v>0.54935511415630267</c:v>
                </c:pt>
                <c:pt idx="32">
                  <c:v>0.54935511415630267</c:v>
                </c:pt>
                <c:pt idx="33">
                  <c:v>0.54935511415630267</c:v>
                </c:pt>
                <c:pt idx="34">
                  <c:v>0.54935511415630267</c:v>
                </c:pt>
                <c:pt idx="35">
                  <c:v>0.54935511415630267</c:v>
                </c:pt>
                <c:pt idx="36">
                  <c:v>0.54935511415630267</c:v>
                </c:pt>
                <c:pt idx="37">
                  <c:v>0.54935511415630267</c:v>
                </c:pt>
                <c:pt idx="38">
                  <c:v>0.54935511415630267</c:v>
                </c:pt>
                <c:pt idx="39">
                  <c:v>0.54935511415630267</c:v>
                </c:pt>
                <c:pt idx="40">
                  <c:v>0.54935511415630267</c:v>
                </c:pt>
                <c:pt idx="41">
                  <c:v>0.54935511415630267</c:v>
                </c:pt>
                <c:pt idx="42">
                  <c:v>0.54935511415630267</c:v>
                </c:pt>
                <c:pt idx="43">
                  <c:v>0.54935511415630267</c:v>
                </c:pt>
                <c:pt idx="44">
                  <c:v>0.54935511415630267</c:v>
                </c:pt>
                <c:pt idx="45">
                  <c:v>0.54935511415630267</c:v>
                </c:pt>
                <c:pt idx="46">
                  <c:v>0.54935511415630267</c:v>
                </c:pt>
              </c:numCache>
            </c:numRef>
          </c:val>
          <c:smooth val="1"/>
          <c:extLst>
            <c:ext xmlns:c16="http://schemas.microsoft.com/office/drawing/2014/chart" uri="{C3380CC4-5D6E-409C-BE32-E72D297353CC}">
              <c16:uniqueId val="{00000000-93B4-4C0E-B21B-FD46DC94D318}"/>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0.54935511415630267</c:v>
                </c:pt>
                <c:pt idx="1">
                  <c:v>0.54935511415630267</c:v>
                </c:pt>
                <c:pt idx="2">
                  <c:v>0.54935511415630267</c:v>
                </c:pt>
                <c:pt idx="3">
                  <c:v>0.55166240563575919</c:v>
                </c:pt>
                <c:pt idx="4">
                  <c:v>0.55902376416545363</c:v>
                </c:pt>
                <c:pt idx="5">
                  <c:v>0.56649499371797929</c:v>
                </c:pt>
                <c:pt idx="6">
                  <c:v>0.57396622327050495</c:v>
                </c:pt>
                <c:pt idx="7">
                  <c:v>0.58143745282303083</c:v>
                </c:pt>
                <c:pt idx="8">
                  <c:v>0.58879881135272516</c:v>
                </c:pt>
                <c:pt idx="9">
                  <c:v>0.59627004090525093</c:v>
                </c:pt>
                <c:pt idx="10">
                  <c:v>0.60374127045777659</c:v>
                </c:pt>
                <c:pt idx="11">
                  <c:v>0.61395927558108376</c:v>
                </c:pt>
                <c:pt idx="12">
                  <c:v>0.62143050513360953</c:v>
                </c:pt>
                <c:pt idx="13">
                  <c:v>0.62890173468613531</c:v>
                </c:pt>
                <c:pt idx="14">
                  <c:v>0.63626309321582974</c:v>
                </c:pt>
                <c:pt idx="15">
                  <c:v>0.6437343227683554</c:v>
                </c:pt>
                <c:pt idx="16">
                  <c:v>0.65120555232088118</c:v>
                </c:pt>
                <c:pt idx="17">
                  <c:v>0.65867678187340684</c:v>
                </c:pt>
                <c:pt idx="18">
                  <c:v>0.66603814040310139</c:v>
                </c:pt>
                <c:pt idx="19">
                  <c:v>0.67350936995562705</c:v>
                </c:pt>
                <c:pt idx="20">
                  <c:v>0.68098059950815271</c:v>
                </c:pt>
                <c:pt idx="21">
                  <c:v>0.68878144212917225</c:v>
                </c:pt>
                <c:pt idx="22">
                  <c:v>0.69625267168169802</c:v>
                </c:pt>
                <c:pt idx="23">
                  <c:v>0.70361403021139246</c:v>
                </c:pt>
                <c:pt idx="24">
                  <c:v>0.71108525976391823</c:v>
                </c:pt>
                <c:pt idx="25">
                  <c:v>0.7167985529511437</c:v>
                </c:pt>
                <c:pt idx="26">
                  <c:v>0.7217427489785504</c:v>
                </c:pt>
                <c:pt idx="27">
                  <c:v>0.72657707398312588</c:v>
                </c:pt>
                <c:pt idx="28">
                  <c:v>0.73152127001053258</c:v>
                </c:pt>
                <c:pt idx="29">
                  <c:v>0.73635559501510817</c:v>
                </c:pt>
                <c:pt idx="30">
                  <c:v>0.74129979104251487</c:v>
                </c:pt>
                <c:pt idx="31">
                  <c:v>0.74778218138955921</c:v>
                </c:pt>
                <c:pt idx="32">
                  <c:v>0.75272637741696591</c:v>
                </c:pt>
                <c:pt idx="33">
                  <c:v>0.75767057344437261</c:v>
                </c:pt>
                <c:pt idx="34">
                  <c:v>0.76250489844894809</c:v>
                </c:pt>
                <c:pt idx="35">
                  <c:v>0.76744909447635479</c:v>
                </c:pt>
                <c:pt idx="36">
                  <c:v>0.7710748382297864</c:v>
                </c:pt>
                <c:pt idx="37">
                  <c:v>0.77590916323436188</c:v>
                </c:pt>
                <c:pt idx="38">
                  <c:v>0.78085335926176869</c:v>
                </c:pt>
                <c:pt idx="39">
                  <c:v>0.78579755528917539</c:v>
                </c:pt>
                <c:pt idx="40">
                  <c:v>0.79063188029375076</c:v>
                </c:pt>
                <c:pt idx="41">
                  <c:v>0.79557607632115757</c:v>
                </c:pt>
                <c:pt idx="42">
                  <c:v>0.80041040132573293</c:v>
                </c:pt>
                <c:pt idx="43">
                  <c:v>0.80535459735313963</c:v>
                </c:pt>
                <c:pt idx="44">
                  <c:v>0.81029879338054644</c:v>
                </c:pt>
                <c:pt idx="45">
                  <c:v>0.81513311838512181</c:v>
                </c:pt>
              </c:numCache>
            </c:numRef>
          </c:val>
          <c:smooth val="0"/>
          <c:extLst>
            <c:ext xmlns:c16="http://schemas.microsoft.com/office/drawing/2014/chart" uri="{C3380CC4-5D6E-409C-BE32-E72D297353CC}">
              <c16:uniqueId val="{00000001-93B4-4C0E-B21B-FD46DC94D318}"/>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0.54935511415630267</c:v>
                </c:pt>
                <c:pt idx="1">
                  <c:v>0.54935511415630267</c:v>
                </c:pt>
                <c:pt idx="2">
                  <c:v>0.54935511415630267</c:v>
                </c:pt>
                <c:pt idx="3">
                  <c:v>0.57836106418375544</c:v>
                </c:pt>
                <c:pt idx="4">
                  <c:v>0.58572242271344988</c:v>
                </c:pt>
                <c:pt idx="5">
                  <c:v>0.59297391022031309</c:v>
                </c:pt>
                <c:pt idx="6">
                  <c:v>0.6002253977271762</c:v>
                </c:pt>
                <c:pt idx="7">
                  <c:v>0.60747688523403942</c:v>
                </c:pt>
                <c:pt idx="8">
                  <c:v>0.61472837274090264</c:v>
                </c:pt>
                <c:pt idx="9">
                  <c:v>0.62197986024776586</c:v>
                </c:pt>
                <c:pt idx="10">
                  <c:v>0.62923134775462908</c:v>
                </c:pt>
                <c:pt idx="11">
                  <c:v>0.63648283526149219</c:v>
                </c:pt>
                <c:pt idx="12">
                  <c:v>0.6437343227683554</c:v>
                </c:pt>
                <c:pt idx="13">
                  <c:v>0.65098581027521862</c:v>
                </c:pt>
                <c:pt idx="14">
                  <c:v>0.65834716880491317</c:v>
                </c:pt>
                <c:pt idx="15">
                  <c:v>0.66559865631177628</c:v>
                </c:pt>
                <c:pt idx="16">
                  <c:v>0.6728501438186395</c:v>
                </c:pt>
                <c:pt idx="17">
                  <c:v>0.68010163132550272</c:v>
                </c:pt>
                <c:pt idx="18">
                  <c:v>0.68735311883236594</c:v>
                </c:pt>
                <c:pt idx="19">
                  <c:v>0.69460460633922916</c:v>
                </c:pt>
                <c:pt idx="20">
                  <c:v>0.70185609384609227</c:v>
                </c:pt>
                <c:pt idx="21">
                  <c:v>0.70910758135295548</c:v>
                </c:pt>
                <c:pt idx="22">
                  <c:v>0.7163590688598187</c:v>
                </c:pt>
                <c:pt idx="23">
                  <c:v>0.72361055636668192</c:v>
                </c:pt>
                <c:pt idx="24">
                  <c:v>0.73097191489637625</c:v>
                </c:pt>
                <c:pt idx="25">
                  <c:v>0.73822340240323947</c:v>
                </c:pt>
                <c:pt idx="26">
                  <c:v>0.74547488991010269</c:v>
                </c:pt>
                <c:pt idx="27">
                  <c:v>0.75272637741696591</c:v>
                </c:pt>
                <c:pt idx="28">
                  <c:v>0.75997786492382913</c:v>
                </c:pt>
                <c:pt idx="29">
                  <c:v>0.76722935243069224</c:v>
                </c:pt>
                <c:pt idx="30">
                  <c:v>0.77448083993755545</c:v>
                </c:pt>
                <c:pt idx="31">
                  <c:v>0.78173232744441867</c:v>
                </c:pt>
                <c:pt idx="32">
                  <c:v>0.78898381495128189</c:v>
                </c:pt>
                <c:pt idx="33">
                  <c:v>0.79623530245814511</c:v>
                </c:pt>
                <c:pt idx="34">
                  <c:v>0.80359666098783944</c:v>
                </c:pt>
                <c:pt idx="35">
                  <c:v>0.81084814849470277</c:v>
                </c:pt>
                <c:pt idx="36">
                  <c:v>0.81809963600156599</c:v>
                </c:pt>
                <c:pt idx="37">
                  <c:v>0.82535112350842921</c:v>
                </c:pt>
                <c:pt idx="38">
                  <c:v>0.8326026110152922</c:v>
                </c:pt>
                <c:pt idx="39">
                  <c:v>0.83985409852215542</c:v>
                </c:pt>
                <c:pt idx="40">
                  <c:v>0.84710558602901864</c:v>
                </c:pt>
                <c:pt idx="41">
                  <c:v>0.85435707353588186</c:v>
                </c:pt>
                <c:pt idx="42">
                  <c:v>0.86160856104274508</c:v>
                </c:pt>
                <c:pt idx="43">
                  <c:v>0.86886004854960819</c:v>
                </c:pt>
                <c:pt idx="44">
                  <c:v>0.87622140707930274</c:v>
                </c:pt>
                <c:pt idx="45">
                  <c:v>0.88347289458616596</c:v>
                </c:pt>
              </c:numCache>
            </c:numRef>
          </c:val>
          <c:smooth val="0"/>
          <c:extLst>
            <c:ext xmlns:c16="http://schemas.microsoft.com/office/drawing/2014/chart" uri="{C3380CC4-5D6E-409C-BE32-E72D297353CC}">
              <c16:uniqueId val="{00000002-93B4-4C0E-B21B-FD46DC94D318}"/>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0.54935511415630267</c:v>
                </c:pt>
                <c:pt idx="1">
                  <c:v>0.54935511415630267</c:v>
                </c:pt>
                <c:pt idx="2">
                  <c:v>0.54935511415630267</c:v>
                </c:pt>
                <c:pt idx="3">
                  <c:v>0.58011900054905563</c:v>
                </c:pt>
                <c:pt idx="4">
                  <c:v>0.58956790851254404</c:v>
                </c:pt>
                <c:pt idx="5">
                  <c:v>0.59890694545320122</c:v>
                </c:pt>
                <c:pt idx="6">
                  <c:v>0.60846572443952074</c:v>
                </c:pt>
                <c:pt idx="7">
                  <c:v>0.61802450342584048</c:v>
                </c:pt>
                <c:pt idx="8">
                  <c:v>0.62758328241216021</c:v>
                </c:pt>
                <c:pt idx="9">
                  <c:v>0.63714206139847984</c:v>
                </c:pt>
                <c:pt idx="10">
                  <c:v>0.6468107114076308</c:v>
                </c:pt>
                <c:pt idx="11">
                  <c:v>0.65735832959943175</c:v>
                </c:pt>
                <c:pt idx="12">
                  <c:v>0.66713685063141404</c:v>
                </c:pt>
                <c:pt idx="13">
                  <c:v>0.67680550064056488</c:v>
                </c:pt>
                <c:pt idx="14">
                  <c:v>0.68658402167254706</c:v>
                </c:pt>
                <c:pt idx="15">
                  <c:v>0.69636254270452924</c:v>
                </c:pt>
                <c:pt idx="16">
                  <c:v>0.7060311927136802</c:v>
                </c:pt>
                <c:pt idx="17">
                  <c:v>0.71580971374566238</c:v>
                </c:pt>
                <c:pt idx="18">
                  <c:v>0.72558823477764456</c:v>
                </c:pt>
                <c:pt idx="19">
                  <c:v>0.73536675580962663</c:v>
                </c:pt>
                <c:pt idx="20">
                  <c:v>0.74514527684160892</c:v>
                </c:pt>
                <c:pt idx="21">
                  <c:v>0.75514353991925354</c:v>
                </c:pt>
                <c:pt idx="22">
                  <c:v>0.76492206095123583</c:v>
                </c:pt>
                <c:pt idx="23">
                  <c:v>0.77470058198321801</c:v>
                </c:pt>
                <c:pt idx="24">
                  <c:v>0.78458897403803152</c:v>
                </c:pt>
                <c:pt idx="25">
                  <c:v>0.79096149336224453</c:v>
                </c:pt>
                <c:pt idx="26">
                  <c:v>0.79579581836682001</c:v>
                </c:pt>
                <c:pt idx="27">
                  <c:v>0.80063014337139549</c:v>
                </c:pt>
                <c:pt idx="28">
                  <c:v>0.8055743393988023</c:v>
                </c:pt>
                <c:pt idx="29">
                  <c:v>0.810518535426209</c:v>
                </c:pt>
                <c:pt idx="30">
                  <c:v>0.8154627314536157</c:v>
                </c:pt>
                <c:pt idx="31">
                  <c:v>0.82117602464084116</c:v>
                </c:pt>
                <c:pt idx="32">
                  <c:v>0.82623009169107919</c:v>
                </c:pt>
                <c:pt idx="33">
                  <c:v>0.83128415874131723</c:v>
                </c:pt>
                <c:pt idx="34">
                  <c:v>0.83633822579155526</c:v>
                </c:pt>
                <c:pt idx="35">
                  <c:v>0.8415021638646244</c:v>
                </c:pt>
                <c:pt idx="36">
                  <c:v>0.84611674682353732</c:v>
                </c:pt>
                <c:pt idx="37">
                  <c:v>0.8513905559194378</c:v>
                </c:pt>
                <c:pt idx="38">
                  <c:v>0.85655449399250716</c:v>
                </c:pt>
                <c:pt idx="39">
                  <c:v>0.86182830308840752</c:v>
                </c:pt>
                <c:pt idx="40">
                  <c:v>0.8671021121843081</c:v>
                </c:pt>
                <c:pt idx="41">
                  <c:v>0.87248579230303991</c:v>
                </c:pt>
                <c:pt idx="42">
                  <c:v>0.87775960139894038</c:v>
                </c:pt>
                <c:pt idx="43">
                  <c:v>0.88314328151767207</c:v>
                </c:pt>
                <c:pt idx="44">
                  <c:v>0.8886368326592351</c:v>
                </c:pt>
                <c:pt idx="45">
                  <c:v>0.89402051277796701</c:v>
                </c:pt>
              </c:numCache>
            </c:numRef>
          </c:val>
          <c:smooth val="0"/>
          <c:extLst>
            <c:ext xmlns:c16="http://schemas.microsoft.com/office/drawing/2014/chart" uri="{C3380CC4-5D6E-409C-BE32-E72D297353CC}">
              <c16:uniqueId val="{00000003-93B4-4C0E-B21B-FD46DC94D318}"/>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93B4-4C0E-B21B-FD46DC94D318}"/>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93B4-4C0E-B21B-FD46DC94D318}"/>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93B4-4C0E-B21B-FD46DC94D318}"/>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93B4-4C0E-B21B-FD46DC94D318}"/>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93B4-4C0E-B21B-FD46DC94D318}"/>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93B4-4C0E-B21B-FD46DC94D318}"/>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93B4-4C0E-B21B-FD46DC94D318}"/>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93B4-4C0E-B21B-FD46DC94D318}"/>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93B4-4C0E-B21B-FD46DC94D318}"/>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5"/>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27200300084639256"/>
          <c:w val="0.2367494944279506"/>
          <c:h val="0.43128542665880121"/>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 Sequestration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0</c:v>
                </c:pt>
                <c:pt idx="1">
                  <c:v>0</c:v>
                </c:pt>
                <c:pt idx="2">
                  <c:v>0</c:v>
                </c:pt>
                <c:pt idx="3">
                  <c:v>20.785388430638942</c:v>
                </c:pt>
                <c:pt idx="4">
                  <c:v>88.912683468086186</c:v>
                </c:pt>
                <c:pt idx="5">
                  <c:v>157.03997850553057</c:v>
                </c:pt>
                <c:pt idx="6">
                  <c:v>225.1672735429824</c:v>
                </c:pt>
                <c:pt idx="7">
                  <c:v>293.29456858042397</c:v>
                </c:pt>
                <c:pt idx="8">
                  <c:v>361.42186361787464</c:v>
                </c:pt>
                <c:pt idx="9">
                  <c:v>429.54915865531609</c:v>
                </c:pt>
                <c:pt idx="10">
                  <c:v>497.67645369277255</c:v>
                </c:pt>
                <c:pt idx="11">
                  <c:v>591.25644998564599</c:v>
                </c:pt>
                <c:pt idx="12">
                  <c:v>659.38374502308977</c:v>
                </c:pt>
                <c:pt idx="13">
                  <c:v>727.51104006054504</c:v>
                </c:pt>
                <c:pt idx="14">
                  <c:v>795.63833509798303</c:v>
                </c:pt>
                <c:pt idx="15">
                  <c:v>863.76563013543262</c:v>
                </c:pt>
                <c:pt idx="16">
                  <c:v>931.89292517287538</c:v>
                </c:pt>
                <c:pt idx="17">
                  <c:v>1000.0202202103158</c:v>
                </c:pt>
                <c:pt idx="18">
                  <c:v>1068.1475152477699</c:v>
                </c:pt>
                <c:pt idx="19">
                  <c:v>1136.2748102852147</c:v>
                </c:pt>
                <c:pt idx="20">
                  <c:v>1204.4021053226661</c:v>
                </c:pt>
                <c:pt idx="21">
                  <c:v>1275.7668941485206</c:v>
                </c:pt>
                <c:pt idx="22">
                  <c:v>1343.8941891859724</c:v>
                </c:pt>
                <c:pt idx="23">
                  <c:v>1412.0214842234129</c:v>
                </c:pt>
                <c:pt idx="24">
                  <c:v>1480.1487792608589</c:v>
                </c:pt>
                <c:pt idx="25">
                  <c:v>1532.2767146503256</c:v>
                </c:pt>
                <c:pt idx="26">
                  <c:v>1577.1283748498113</c:v>
                </c:pt>
                <c:pt idx="27">
                  <c:v>1621.9800350492947</c:v>
                </c:pt>
                <c:pt idx="28">
                  <c:v>1666.8316952487785</c:v>
                </c:pt>
                <c:pt idx="29">
                  <c:v>1711.6833554482605</c:v>
                </c:pt>
                <c:pt idx="30">
                  <c:v>1756.5350156477466</c:v>
                </c:pt>
                <c:pt idx="31">
                  <c:v>1816.3632202070155</c:v>
                </c:pt>
                <c:pt idx="32">
                  <c:v>1861.2148804065023</c:v>
                </c:pt>
                <c:pt idx="33">
                  <c:v>1906.0665406059827</c:v>
                </c:pt>
                <c:pt idx="34">
                  <c:v>1950.9182008054636</c:v>
                </c:pt>
                <c:pt idx="35">
                  <c:v>1995.7698610049515</c:v>
                </c:pt>
                <c:pt idx="36">
                  <c:v>2028.7502419405216</c:v>
                </c:pt>
                <c:pt idx="37">
                  <c:v>2073.6019021400048</c:v>
                </c:pt>
                <c:pt idx="38">
                  <c:v>2118.4535623394854</c:v>
                </c:pt>
                <c:pt idx="39">
                  <c:v>2163.3052225389733</c:v>
                </c:pt>
                <c:pt idx="40">
                  <c:v>2208.1568827384567</c:v>
                </c:pt>
                <c:pt idx="41">
                  <c:v>2253.0085429379424</c:v>
                </c:pt>
                <c:pt idx="42">
                  <c:v>2297.8602031374226</c:v>
                </c:pt>
                <c:pt idx="43">
                  <c:v>2342.7118633369096</c:v>
                </c:pt>
                <c:pt idx="44">
                  <c:v>2387.5635235363916</c:v>
                </c:pt>
                <c:pt idx="45">
                  <c:v>2432.4151837358718</c:v>
                </c:pt>
              </c:numCache>
            </c:numRef>
          </c:val>
          <c:smooth val="0"/>
          <c:extLst>
            <c:ext xmlns:c16="http://schemas.microsoft.com/office/drawing/2014/chart" uri="{C3380CC4-5D6E-409C-BE32-E72D297353CC}">
              <c16:uniqueId val="{00000000-2C35-42D0-AF28-C489F31A09BC}"/>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0</c:v>
                </c:pt>
                <c:pt idx="1">
                  <c:v>0</c:v>
                </c:pt>
                <c:pt idx="2">
                  <c:v>0</c:v>
                </c:pt>
                <c:pt idx="3">
                  <c:v>265.8537612084877</c:v>
                </c:pt>
                <c:pt idx="4">
                  <c:v>332.31720151060966</c:v>
                </c:pt>
                <c:pt idx="5">
                  <c:v>398.78064181273163</c:v>
                </c:pt>
                <c:pt idx="6">
                  <c:v>465.2440821148536</c:v>
                </c:pt>
                <c:pt idx="7">
                  <c:v>531.7075224169572</c:v>
                </c:pt>
                <c:pt idx="8">
                  <c:v>598.17096271907917</c:v>
                </c:pt>
                <c:pt idx="9">
                  <c:v>664.63440302120102</c:v>
                </c:pt>
                <c:pt idx="10">
                  <c:v>731.09784332332299</c:v>
                </c:pt>
                <c:pt idx="11">
                  <c:v>797.56128362544484</c:v>
                </c:pt>
                <c:pt idx="12">
                  <c:v>864.02472392756692</c:v>
                </c:pt>
                <c:pt idx="13">
                  <c:v>930.48816422968878</c:v>
                </c:pt>
                <c:pt idx="14">
                  <c:v>996.95160453181074</c:v>
                </c:pt>
                <c:pt idx="15">
                  <c:v>1063.4150448339144</c:v>
                </c:pt>
                <c:pt idx="16">
                  <c:v>1129.8784851360363</c:v>
                </c:pt>
                <c:pt idx="17">
                  <c:v>1196.3419254381583</c:v>
                </c:pt>
                <c:pt idx="18">
                  <c:v>1262.8053657402802</c:v>
                </c:pt>
                <c:pt idx="19">
                  <c:v>1329.268806042402</c:v>
                </c:pt>
                <c:pt idx="20">
                  <c:v>1395.7322463445234</c:v>
                </c:pt>
                <c:pt idx="21">
                  <c:v>1462.1956866466453</c:v>
                </c:pt>
                <c:pt idx="22">
                  <c:v>1528.659126948749</c:v>
                </c:pt>
                <c:pt idx="23">
                  <c:v>1595.122567250871</c:v>
                </c:pt>
                <c:pt idx="24">
                  <c:v>1661.5860075529931</c:v>
                </c:pt>
                <c:pt idx="25">
                  <c:v>1728.0494478551147</c:v>
                </c:pt>
                <c:pt idx="26">
                  <c:v>1794.5128881572368</c:v>
                </c:pt>
                <c:pt idx="27">
                  <c:v>1860.9763284593587</c:v>
                </c:pt>
                <c:pt idx="28">
                  <c:v>1927.4397687614805</c:v>
                </c:pt>
                <c:pt idx="29">
                  <c:v>1993.9032090636026</c:v>
                </c:pt>
                <c:pt idx="30">
                  <c:v>2060.3666493657061</c:v>
                </c:pt>
                <c:pt idx="31">
                  <c:v>2126.8300896678284</c:v>
                </c:pt>
                <c:pt idx="32">
                  <c:v>2193.2935299699502</c:v>
                </c:pt>
                <c:pt idx="33">
                  <c:v>2259.7569702720721</c:v>
                </c:pt>
                <c:pt idx="34">
                  <c:v>2326.2204105741939</c:v>
                </c:pt>
                <c:pt idx="35">
                  <c:v>2392.6838508763158</c:v>
                </c:pt>
                <c:pt idx="36">
                  <c:v>2459.1472911784376</c:v>
                </c:pt>
                <c:pt idx="37">
                  <c:v>2525.6107314805413</c:v>
                </c:pt>
                <c:pt idx="38">
                  <c:v>2592.0741717826631</c:v>
                </c:pt>
                <c:pt idx="39">
                  <c:v>2658.5376120847855</c:v>
                </c:pt>
                <c:pt idx="40">
                  <c:v>2725.0010523869073</c:v>
                </c:pt>
                <c:pt idx="41">
                  <c:v>2791.4644926890292</c:v>
                </c:pt>
                <c:pt idx="42">
                  <c:v>2857.927932991151</c:v>
                </c:pt>
                <c:pt idx="43">
                  <c:v>2924.3913732932733</c:v>
                </c:pt>
                <c:pt idx="44">
                  <c:v>2990.8548135953947</c:v>
                </c:pt>
                <c:pt idx="45">
                  <c:v>3057.3182538974984</c:v>
                </c:pt>
              </c:numCache>
            </c:numRef>
          </c:val>
          <c:smooth val="0"/>
          <c:extLst>
            <c:ext xmlns:c16="http://schemas.microsoft.com/office/drawing/2014/chart" uri="{C3380CC4-5D6E-409C-BE32-E72D297353CC}">
              <c16:uniqueId val="{00000001-2C35-42D0-AF28-C489F31A09BC}"/>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0</c:v>
                </c:pt>
                <c:pt idx="1">
                  <c:v>0</c:v>
                </c:pt>
                <c:pt idx="2">
                  <c:v>0</c:v>
                </c:pt>
                <c:pt idx="3">
                  <c:v>281.70033795358387</c:v>
                </c:pt>
                <c:pt idx="4">
                  <c:v>367.50398690699114</c:v>
                </c:pt>
                <c:pt idx="5">
                  <c:v>453.911481676226</c:v>
                </c:pt>
                <c:pt idx="6">
                  <c:v>540.81792856159575</c:v>
                </c:pt>
                <c:pt idx="7">
                  <c:v>628.13938966676426</c:v>
                </c:pt>
                <c:pt idx="8">
                  <c:v>715.80843782578552</c:v>
                </c:pt>
                <c:pt idx="9">
                  <c:v>803.77062426772966</c:v>
                </c:pt>
                <c:pt idx="10">
                  <c:v>891.98171392550842</c:v>
                </c:pt>
                <c:pt idx="11">
                  <c:v>988.81775670404818</c:v>
                </c:pt>
                <c:pt idx="12">
                  <c:v>1077.6409709064292</c:v>
                </c:pt>
                <c:pt idx="13">
                  <c:v>1166.6081739425895</c:v>
                </c:pt>
                <c:pt idx="14">
                  <c:v>1255.6997989688791</c:v>
                </c:pt>
                <c:pt idx="15">
                  <c:v>1344.8995820349626</c:v>
                </c:pt>
                <c:pt idx="16">
                  <c:v>1434.1939110147143</c:v>
                </c:pt>
                <c:pt idx="17">
                  <c:v>1523.5713186340768</c:v>
                </c:pt>
                <c:pt idx="18">
                  <c:v>1613.0220847769276</c:v>
                </c:pt>
                <c:pt idx="19">
                  <c:v>1702.5379222342881</c:v>
                </c:pt>
                <c:pt idx="20">
                  <c:v>1792.1117266193837</c:v>
                </c:pt>
                <c:pt idx="21">
                  <c:v>1883.1018695749615</c:v>
                </c:pt>
                <c:pt idx="22">
                  <c:v>1972.7859500145587</c:v>
                </c:pt>
                <c:pt idx="23">
                  <c:v>2062.5112941941184</c:v>
                </c:pt>
                <c:pt idx="24">
                  <c:v>2152.2739242221105</c:v>
                </c:pt>
                <c:pt idx="25">
                  <c:v>2210.6808816556681</c:v>
                </c:pt>
                <c:pt idx="26">
                  <c:v>2255.0668302519052</c:v>
                </c:pt>
                <c:pt idx="27">
                  <c:v>2299.7489054799903</c:v>
                </c:pt>
                <c:pt idx="28">
                  <c:v>2344.7273295804857</c:v>
                </c:pt>
                <c:pt idx="29">
                  <c:v>2390.0019364087357</c:v>
                </c:pt>
                <c:pt idx="30">
                  <c:v>2435.5721725218295</c:v>
                </c:pt>
                <c:pt idx="31">
                  <c:v>2487.5270060965304</c:v>
                </c:pt>
                <c:pt idx="32">
                  <c:v>2533.6059979388924</c:v>
                </c:pt>
                <c:pt idx="33">
                  <c:v>2579.9808966576443</c:v>
                </c:pt>
                <c:pt idx="34">
                  <c:v>2626.6497011499087</c:v>
                </c:pt>
                <c:pt idx="35">
                  <c:v>2673.6100477246127</c:v>
                </c:pt>
                <c:pt idx="36">
                  <c:v>2716.2826929500307</c:v>
                </c:pt>
                <c:pt idx="37">
                  <c:v>2763.8638822296612</c:v>
                </c:pt>
                <c:pt idx="38">
                  <c:v>2811.7241358045658</c:v>
                </c:pt>
                <c:pt idx="39">
                  <c:v>2859.8598376389477</c:v>
                </c:pt>
                <c:pt idx="40">
                  <c:v>2908.267111567247</c:v>
                </c:pt>
                <c:pt idx="41">
                  <c:v>2956.9418424155961</c:v>
                </c:pt>
                <c:pt idx="42">
                  <c:v>3005.8796976610183</c:v>
                </c:pt>
                <c:pt idx="43">
                  <c:v>3055.0761493918476</c:v>
                </c:pt>
                <c:pt idx="44">
                  <c:v>3104.5264963437985</c:v>
                </c:pt>
                <c:pt idx="45">
                  <c:v>3154.2258858013543</c:v>
                </c:pt>
              </c:numCache>
            </c:numRef>
          </c:val>
          <c:smooth val="0"/>
          <c:extLst>
            <c:ext xmlns:c16="http://schemas.microsoft.com/office/drawing/2014/chart" uri="{C3380CC4-5D6E-409C-BE32-E72D297353CC}">
              <c16:uniqueId val="{00000002-2C35-42D0-AF28-C489F31A09BC}"/>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2C35-42D0-AF28-C489F31A09BC}"/>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2C35-42D0-AF28-C489F31A09BC}"/>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C35-42D0-AF28-C489F31A09BC}"/>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C35-42D0-AF28-C489F31A09BC}"/>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C35-42D0-AF28-C489F31A09BC}"/>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C35-42D0-AF28-C489F31A09BC}"/>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C35-42D0-AF28-C489F31A09BC}"/>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C35-42D0-AF28-C489F31A09BC}"/>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C35-42D0-AF28-C489F31A09BC}"/>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C35-42D0-AF28-C489F31A09BC}"/>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744261072937723"/>
              <c:y val="0.93935296131461832"/>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(Silvopasture vs. Conventional Grazing)</c:v>
            </c:pt>
          </c:strCache>
        </c:strRef>
      </c:tx>
      <c:layout>
        <c:manualLayout>
          <c:xMode val="edge"/>
          <c:yMode val="edge"/>
          <c:x val="0.20955002339556975"/>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c:v>
                </c:pt>
                <c:pt idx="1">
                  <c:v>0</c:v>
                </c:pt>
                <c:pt idx="2">
                  <c:v>0</c:v>
                </c:pt>
                <c:pt idx="3">
                  <c:v>0.53442283163912663</c:v>
                </c:pt>
                <c:pt idx="4">
                  <c:v>2.286075539372892</c:v>
                </c:pt>
                <c:pt idx="5">
                  <c:v>4.0377282471065836</c:v>
                </c:pt>
                <c:pt idx="6">
                  <c:v>5.7893809548404667</c:v>
                </c:pt>
                <c:pt idx="7">
                  <c:v>7.541033662574085</c:v>
                </c:pt>
                <c:pt idx="8">
                  <c:v>9.2926863703079388</c:v>
                </c:pt>
                <c:pt idx="9">
                  <c:v>12.647607572958936</c:v>
                </c:pt>
                <c:pt idx="10">
                  <c:v>19.654218403894234</c:v>
                </c:pt>
                <c:pt idx="11">
                  <c:v>27.315255526797653</c:v>
                </c:pt>
                <c:pt idx="12">
                  <c:v>34.321866357732972</c:v>
                </c:pt>
                <c:pt idx="13">
                  <c:v>41.328477188667804</c:v>
                </c:pt>
                <c:pt idx="14">
                  <c:v>48.3350880196029</c:v>
                </c:pt>
                <c:pt idx="15">
                  <c:v>55.341698850537576</c:v>
                </c:pt>
                <c:pt idx="16">
                  <c:v>62.348309681473225</c:v>
                </c:pt>
                <c:pt idx="17">
                  <c:v>71.318199388313843</c:v>
                </c:pt>
                <c:pt idx="18">
                  <c:v>78.324810219248803</c:v>
                </c:pt>
                <c:pt idx="19">
                  <c:v>85.331421050184446</c:v>
                </c:pt>
                <c:pt idx="20">
                  <c:v>92.338031881118923</c:v>
                </c:pt>
                <c:pt idx="21">
                  <c:v>99.42788342721272</c:v>
                </c:pt>
                <c:pt idx="22">
                  <c:v>106.43449425814754</c:v>
                </c:pt>
                <c:pt idx="23">
                  <c:v>113.44110508908192</c:v>
                </c:pt>
                <c:pt idx="24">
                  <c:v>120.44771592001746</c:v>
                </c:pt>
                <c:pt idx="25">
                  <c:v>127.04295974109253</c:v>
                </c:pt>
                <c:pt idx="26">
                  <c:v>133.45111985171494</c:v>
                </c:pt>
                <c:pt idx="27">
                  <c:v>140.10900210781256</c:v>
                </c:pt>
                <c:pt idx="28">
                  <c:v>146.51716221843486</c:v>
                </c:pt>
                <c:pt idx="29">
                  <c:v>152.92532232905631</c:v>
                </c:pt>
                <c:pt idx="30">
                  <c:v>159.33348243967825</c:v>
                </c:pt>
                <c:pt idx="31">
                  <c:v>164.89261044890728</c:v>
                </c:pt>
                <c:pt idx="32">
                  <c:v>169.50541839859034</c:v>
                </c:pt>
                <c:pt idx="33">
                  <c:v>174.118226348273</c:v>
                </c:pt>
                <c:pt idx="34">
                  <c:v>178.73103429795572</c:v>
                </c:pt>
                <c:pt idx="35">
                  <c:v>183.34384224763852</c:v>
                </c:pt>
                <c:pt idx="36">
                  <c:v>187.65142219061039</c:v>
                </c:pt>
                <c:pt idx="37">
                  <c:v>193.41943692485253</c:v>
                </c:pt>
                <c:pt idx="38">
                  <c:v>198.03224487453545</c:v>
                </c:pt>
                <c:pt idx="39">
                  <c:v>202.64505282421803</c:v>
                </c:pt>
                <c:pt idx="40">
                  <c:v>207.2578607739006</c:v>
                </c:pt>
                <c:pt idx="41">
                  <c:v>211.87066872358378</c:v>
                </c:pt>
                <c:pt idx="42">
                  <c:v>215.56779265313321</c:v>
                </c:pt>
                <c:pt idx="43">
                  <c:v>220.18060060281607</c:v>
                </c:pt>
                <c:pt idx="44">
                  <c:v>224.79340855249853</c:v>
                </c:pt>
                <c:pt idx="45">
                  <c:v>229.40621650218154</c:v>
                </c:pt>
              </c:numCache>
            </c:numRef>
          </c:val>
          <c:smooth val="0"/>
          <c:extLst>
            <c:ext xmlns:c16="http://schemas.microsoft.com/office/drawing/2014/chart" uri="{C3380CC4-5D6E-409C-BE32-E72D297353CC}">
              <c16:uniqueId val="{00000000-4127-43C0-96F8-AA2ED5CC8FB7}"/>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0</c:v>
                </c:pt>
                <c:pt idx="1">
                  <c:v>0</c:v>
                </c:pt>
                <c:pt idx="2">
                  <c:v>0</c:v>
                </c:pt>
                <c:pt idx="3">
                  <c:v>0.67888620221075247</c:v>
                </c:pt>
                <c:pt idx="4">
                  <c:v>2.9040397397163424</c:v>
                </c:pt>
                <c:pt idx="5">
                  <c:v>5.12919327722184</c:v>
                </c:pt>
                <c:pt idx="6">
                  <c:v>7.3543468147275792</c:v>
                </c:pt>
                <c:pt idx="7">
                  <c:v>9.5795003522329818</c:v>
                </c:pt>
                <c:pt idx="8">
                  <c:v>11.804653889738686</c:v>
                </c:pt>
                <c:pt idx="9">
                  <c:v>14.029807427244089</c:v>
                </c:pt>
                <c:pt idx="10">
                  <c:v>16.254960964749976</c:v>
                </c:pt>
                <c:pt idx="11">
                  <c:v>19.311443093922879</c:v>
                </c:pt>
                <c:pt idx="12">
                  <c:v>21.536596631428356</c:v>
                </c:pt>
                <c:pt idx="13">
                  <c:v>23.761750168934206</c:v>
                </c:pt>
                <c:pt idx="14">
                  <c:v>25.986903706439499</c:v>
                </c:pt>
                <c:pt idx="15">
                  <c:v>28.212057243945164</c:v>
                </c:pt>
                <c:pt idx="16">
                  <c:v>30.437210781450602</c:v>
                </c:pt>
                <c:pt idx="17">
                  <c:v>32.662364318955973</c:v>
                </c:pt>
                <c:pt idx="18">
                  <c:v>34.887517856461784</c:v>
                </c:pt>
                <c:pt idx="19">
                  <c:v>37.112671393967304</c:v>
                </c:pt>
                <c:pt idx="20">
                  <c:v>39.337824931473037</c:v>
                </c:pt>
                <c:pt idx="21">
                  <c:v>41.668720532449179</c:v>
                </c:pt>
                <c:pt idx="22">
                  <c:v>43.893874069954919</c:v>
                </c:pt>
                <c:pt idx="23">
                  <c:v>46.119027607460282</c:v>
                </c:pt>
                <c:pt idx="24">
                  <c:v>48.344181144965837</c:v>
                </c:pt>
                <c:pt idx="25">
                  <c:v>50.046768335180523</c:v>
                </c:pt>
                <c:pt idx="26">
                  <c:v>51.511699979700197</c:v>
                </c:pt>
                <c:pt idx="27">
                  <c:v>52.976631624219799</c:v>
                </c:pt>
                <c:pt idx="28">
                  <c:v>54.441563268739394</c:v>
                </c:pt>
                <c:pt idx="29">
                  <c:v>55.90649491325896</c:v>
                </c:pt>
                <c:pt idx="30">
                  <c:v>57.371426557778626</c:v>
                </c:pt>
                <c:pt idx="31">
                  <c:v>59.325517659509444</c:v>
                </c:pt>
                <c:pt idx="32">
                  <c:v>60.790449304029153</c:v>
                </c:pt>
                <c:pt idx="33">
                  <c:v>62.255380948548613</c:v>
                </c:pt>
                <c:pt idx="34">
                  <c:v>63.720312593068137</c:v>
                </c:pt>
                <c:pt idx="35">
                  <c:v>65.185244237587881</c:v>
                </c:pt>
                <c:pt idx="36">
                  <c:v>66.262439673965147</c:v>
                </c:pt>
                <c:pt idx="37">
                  <c:v>67.727371318484742</c:v>
                </c:pt>
                <c:pt idx="38">
                  <c:v>69.192302963004224</c:v>
                </c:pt>
                <c:pt idx="39">
                  <c:v>70.657234607523975</c:v>
                </c:pt>
                <c:pt idx="40">
                  <c:v>72.12216625204357</c:v>
                </c:pt>
                <c:pt idx="41">
                  <c:v>73.587097896563236</c:v>
                </c:pt>
                <c:pt idx="42">
                  <c:v>75.052029541082717</c:v>
                </c:pt>
                <c:pt idx="43">
                  <c:v>76.516961185602426</c:v>
                </c:pt>
                <c:pt idx="44">
                  <c:v>77.981892830121993</c:v>
                </c:pt>
                <c:pt idx="45">
                  <c:v>79.446824474641474</c:v>
                </c:pt>
              </c:numCache>
            </c:numRef>
          </c:val>
          <c:smooth val="0"/>
          <c:extLst>
            <c:ext xmlns:c16="http://schemas.microsoft.com/office/drawing/2014/chart" uri="{C3380CC4-5D6E-409C-BE32-E72D297353CC}">
              <c16:uniqueId val="{00000001-4127-43C0-96F8-AA2ED5CC8FB7}"/>
            </c:ext>
          </c:extLst>
        </c:ser>
        <c:ser>
          <c:idx val="3"/>
          <c:order val="2"/>
          <c:tx>
            <c:strRef>
              <c:f>'NPM Plots'!$Q$9</c:f>
              <c:strCache>
                <c:ptCount val="1"/>
                <c:pt idx="0">
                  <c:v>Solution_Drawdown</c:v>
                </c:pt>
              </c:strCache>
            </c:strRef>
          </c:tx>
          <c:spPr>
            <a:ln>
              <a:solidFill>
                <a:schemeClr val="accent1">
                  <a:lumMod val="40000"/>
                  <a:lumOff val="6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0</c:v>
                </c:pt>
                <c:pt idx="1">
                  <c:v>0</c:v>
                </c:pt>
                <c:pt idx="2">
                  <c:v>0</c:v>
                </c:pt>
                <c:pt idx="3">
                  <c:v>6.8354902455188205</c:v>
                </c:pt>
                <c:pt idx="4">
                  <c:v>8.5443628068985262</c:v>
                </c:pt>
                <c:pt idx="5">
                  <c:v>10.253235368278231</c:v>
                </c:pt>
                <c:pt idx="6">
                  <c:v>11.962107929657936</c:v>
                </c:pt>
                <c:pt idx="7">
                  <c:v>13.67098049103717</c:v>
                </c:pt>
                <c:pt idx="8">
                  <c:v>15.379853052416875</c:v>
                </c:pt>
                <c:pt idx="9">
                  <c:v>37.595196350353042</c:v>
                </c:pt>
                <c:pt idx="10">
                  <c:v>44.430686595871869</c:v>
                </c:pt>
                <c:pt idx="11">
                  <c:v>51.266176841390696</c:v>
                </c:pt>
                <c:pt idx="12">
                  <c:v>58.101667086909515</c:v>
                </c:pt>
                <c:pt idx="13">
                  <c:v>64.937157332426921</c:v>
                </c:pt>
                <c:pt idx="14">
                  <c:v>71.772647577945733</c:v>
                </c:pt>
                <c:pt idx="15">
                  <c:v>78.608137823464062</c:v>
                </c:pt>
                <c:pt idx="16">
                  <c:v>85.443628068982875</c:v>
                </c:pt>
                <c:pt idx="17">
                  <c:v>92.279118314501687</c:v>
                </c:pt>
                <c:pt idx="18">
                  <c:v>99.114608560020514</c:v>
                </c:pt>
                <c:pt idx="19">
                  <c:v>105.95009880553933</c:v>
                </c:pt>
                <c:pt idx="20">
                  <c:v>112.78558905105814</c:v>
                </c:pt>
                <c:pt idx="21">
                  <c:v>119.62107929657553</c:v>
                </c:pt>
                <c:pt idx="22">
                  <c:v>126.45656954209389</c:v>
                </c:pt>
                <c:pt idx="23">
                  <c:v>133.29205978761271</c:v>
                </c:pt>
                <c:pt idx="24">
                  <c:v>140.12755003313154</c:v>
                </c:pt>
                <c:pt idx="25">
                  <c:v>146.96304027865034</c:v>
                </c:pt>
                <c:pt idx="26">
                  <c:v>153.79853052416917</c:v>
                </c:pt>
                <c:pt idx="27">
                  <c:v>160.63402076968799</c:v>
                </c:pt>
                <c:pt idx="28">
                  <c:v>167.46951101520537</c:v>
                </c:pt>
                <c:pt idx="29">
                  <c:v>174.30500126072423</c:v>
                </c:pt>
                <c:pt idx="30">
                  <c:v>181.1404915062426</c:v>
                </c:pt>
                <c:pt idx="31">
                  <c:v>187.97598175176142</c:v>
                </c:pt>
                <c:pt idx="32">
                  <c:v>194.81147199728025</c:v>
                </c:pt>
                <c:pt idx="33">
                  <c:v>201.64696224279908</c:v>
                </c:pt>
                <c:pt idx="34">
                  <c:v>208.4824524883179</c:v>
                </c:pt>
                <c:pt idx="35">
                  <c:v>215.31794273383673</c:v>
                </c:pt>
                <c:pt idx="36">
                  <c:v>222.15343297935414</c:v>
                </c:pt>
                <c:pt idx="37">
                  <c:v>228.98892322487251</c:v>
                </c:pt>
                <c:pt idx="38">
                  <c:v>235.82441347039133</c:v>
                </c:pt>
                <c:pt idx="39">
                  <c:v>242.6599037159101</c:v>
                </c:pt>
                <c:pt idx="40">
                  <c:v>249.49539396142893</c:v>
                </c:pt>
                <c:pt idx="41">
                  <c:v>256.33088420694776</c:v>
                </c:pt>
                <c:pt idx="42">
                  <c:v>263.16637445246658</c:v>
                </c:pt>
                <c:pt idx="43">
                  <c:v>270.00186469798399</c:v>
                </c:pt>
                <c:pt idx="44">
                  <c:v>276.83735494350282</c:v>
                </c:pt>
                <c:pt idx="45">
                  <c:v>283.67284518902119</c:v>
                </c:pt>
              </c:numCache>
            </c:numRef>
          </c:val>
          <c:smooth val="0"/>
          <c:extLst>
            <c:ext xmlns:c16="http://schemas.microsoft.com/office/drawing/2014/chart" uri="{C3380CC4-5D6E-409C-BE32-E72D297353CC}">
              <c16:uniqueId val="{00000002-4127-43C0-96F8-AA2ED5CC8FB7}"/>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0</c:v>
                </c:pt>
                <c:pt idx="1">
                  <c:v>0</c:v>
                </c:pt>
                <c:pt idx="2">
                  <c:v>0</c:v>
                </c:pt>
                <c:pt idx="3">
                  <c:v>8.6832368272814833</c:v>
                </c:pt>
                <c:pt idx="4">
                  <c:v>10.854046034101852</c:v>
                </c:pt>
                <c:pt idx="5">
                  <c:v>13.024855240922221</c:v>
                </c:pt>
                <c:pt idx="6">
                  <c:v>15.195664447742592</c:v>
                </c:pt>
                <c:pt idx="7">
                  <c:v>17.366473654562366</c:v>
                </c:pt>
                <c:pt idx="8">
                  <c:v>19.537282861382735</c:v>
                </c:pt>
                <c:pt idx="9">
                  <c:v>21.708092068203104</c:v>
                </c:pt>
                <c:pt idx="10">
                  <c:v>23.878901275023477</c:v>
                </c:pt>
                <c:pt idx="11">
                  <c:v>26.049710481843846</c:v>
                </c:pt>
                <c:pt idx="12">
                  <c:v>28.220519688664215</c:v>
                </c:pt>
                <c:pt idx="13">
                  <c:v>30.391328895484584</c:v>
                </c:pt>
                <c:pt idx="14">
                  <c:v>32.562138102304957</c:v>
                </c:pt>
                <c:pt idx="15">
                  <c:v>34.732947309124725</c:v>
                </c:pt>
                <c:pt idx="16">
                  <c:v>36.903756515945098</c:v>
                </c:pt>
                <c:pt idx="17">
                  <c:v>39.07456572276547</c:v>
                </c:pt>
                <c:pt idx="18">
                  <c:v>41.245374929585843</c:v>
                </c:pt>
                <c:pt idx="19">
                  <c:v>43.416184136406223</c:v>
                </c:pt>
                <c:pt idx="20">
                  <c:v>45.586993343226595</c:v>
                </c:pt>
                <c:pt idx="21">
                  <c:v>47.757802550046968</c:v>
                </c:pt>
                <c:pt idx="22">
                  <c:v>49.928611756866736</c:v>
                </c:pt>
                <c:pt idx="23">
                  <c:v>52.099420963687109</c:v>
                </c:pt>
                <c:pt idx="24">
                  <c:v>54.270230170507482</c:v>
                </c:pt>
                <c:pt idx="25">
                  <c:v>56.441039377327861</c:v>
                </c:pt>
                <c:pt idx="26">
                  <c:v>58.611848584148234</c:v>
                </c:pt>
                <c:pt idx="27">
                  <c:v>60.782657790968607</c:v>
                </c:pt>
                <c:pt idx="28">
                  <c:v>62.953466997788979</c:v>
                </c:pt>
                <c:pt idx="29">
                  <c:v>65.124276204609359</c:v>
                </c:pt>
                <c:pt idx="30">
                  <c:v>67.295085411429127</c:v>
                </c:pt>
                <c:pt idx="31">
                  <c:v>69.465894618249493</c:v>
                </c:pt>
                <c:pt idx="32">
                  <c:v>71.636703825069873</c:v>
                </c:pt>
                <c:pt idx="33">
                  <c:v>73.807513031890224</c:v>
                </c:pt>
                <c:pt idx="34">
                  <c:v>75.978322238710604</c:v>
                </c:pt>
                <c:pt idx="35">
                  <c:v>78.149131445530969</c:v>
                </c:pt>
                <c:pt idx="36">
                  <c:v>80.319940652351349</c:v>
                </c:pt>
                <c:pt idx="37">
                  <c:v>82.490749859171132</c:v>
                </c:pt>
                <c:pt idx="38">
                  <c:v>84.661559065991497</c:v>
                </c:pt>
                <c:pt idx="39">
                  <c:v>86.832368272811877</c:v>
                </c:pt>
                <c:pt idx="40">
                  <c:v>89.003177479632242</c:v>
                </c:pt>
                <c:pt idx="41">
                  <c:v>91.173986686452622</c:v>
                </c:pt>
                <c:pt idx="42">
                  <c:v>93.344795893273002</c:v>
                </c:pt>
                <c:pt idx="43">
                  <c:v>95.515605100093367</c:v>
                </c:pt>
                <c:pt idx="44">
                  <c:v>97.686414306913747</c:v>
                </c:pt>
                <c:pt idx="45">
                  <c:v>99.857223513733516</c:v>
                </c:pt>
              </c:numCache>
            </c:numRef>
          </c:val>
          <c:smooth val="0"/>
          <c:extLst>
            <c:ext xmlns:c16="http://schemas.microsoft.com/office/drawing/2014/chart" uri="{C3380CC4-5D6E-409C-BE32-E72D297353CC}">
              <c16:uniqueId val="{00000003-4127-43C0-96F8-AA2ED5CC8FB7}"/>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0</c:v>
                </c:pt>
                <c:pt idx="1">
                  <c:v>0</c:v>
                </c:pt>
                <c:pt idx="2">
                  <c:v>0</c:v>
                </c:pt>
                <c:pt idx="3">
                  <c:v>7.2429289827914678</c:v>
                </c:pt>
                <c:pt idx="4">
                  <c:v>9.4490666834011776</c:v>
                </c:pt>
                <c:pt idx="5">
                  <c:v>11.670730145862535</c:v>
                </c:pt>
                <c:pt idx="6">
                  <c:v>13.90522239926263</c:v>
                </c:pt>
                <c:pt idx="7">
                  <c:v>16.150385277137964</c:v>
                </c:pt>
                <c:pt idx="8">
                  <c:v>18.404485128126939</c:v>
                </c:pt>
                <c:pt idx="9">
                  <c:v>42.394908942819335</c:v>
                </c:pt>
                <c:pt idx="10">
                  <c:v>51.281358577821585</c:v>
                </c:pt>
                <c:pt idx="11">
                  <c:v>60.436145697132503</c:v>
                </c:pt>
                <c:pt idx="12">
                  <c:v>69.423397610620412</c:v>
                </c:pt>
                <c:pt idx="13">
                  <c:v>78.446363561702356</c:v>
                </c:pt>
                <c:pt idx="14">
                  <c:v>87.499339504036016</c:v>
                </c:pt>
                <c:pt idx="15">
                  <c:v>96.577707394242879</c:v>
                </c:pt>
                <c:pt idx="16">
                  <c:v>105.67770519916766</c:v>
                </c:pt>
                <c:pt idx="17">
                  <c:v>115.44511967406605</c:v>
                </c:pt>
                <c:pt idx="18">
                  <c:v>124.59635556831294</c:v>
                </c:pt>
                <c:pt idx="19">
                  <c:v>133.76037103402965</c:v>
                </c:pt>
                <c:pt idx="20">
                  <c:v>142.9354741302364</c:v>
                </c:pt>
                <c:pt idx="21">
                  <c:v>152.15533607471653</c:v>
                </c:pt>
                <c:pt idx="22">
                  <c:v>161.3489099781911</c:v>
                </c:pt>
                <c:pt idx="23">
                  <c:v>170.54995305409713</c:v>
                </c:pt>
                <c:pt idx="24">
                  <c:v>179.75761326966844</c:v>
                </c:pt>
                <c:pt idx="25">
                  <c:v>188.16409237655071</c:v>
                </c:pt>
                <c:pt idx="26">
                  <c:v>196.21454201970724</c:v>
                </c:pt>
                <c:pt idx="27">
                  <c:v>204.3818539408727</c:v>
                </c:pt>
                <c:pt idx="28">
                  <c:v>212.45604307594365</c:v>
                </c:pt>
                <c:pt idx="29">
                  <c:v>220.54103035736935</c:v>
                </c:pt>
                <c:pt idx="30">
                  <c:v>228.6364947230384</c:v>
                </c:pt>
                <c:pt idx="31">
                  <c:v>234.4775154197973</c:v>
                </c:pt>
                <c:pt idx="32">
                  <c:v>239.08595748093492</c:v>
                </c:pt>
                <c:pt idx="33">
                  <c:v>243.72484929249421</c:v>
                </c:pt>
                <c:pt idx="34">
                  <c:v>248.394156545577</c:v>
                </c:pt>
                <c:pt idx="35">
                  <c:v>253.0938056507494</c:v>
                </c:pt>
                <c:pt idx="36">
                  <c:v>257.70601485150007</c:v>
                </c:pt>
                <c:pt idx="37">
                  <c:v>262.93690202492922</c:v>
                </c:pt>
                <c:pt idx="38">
                  <c:v>267.72173481594302</c:v>
                </c:pt>
                <c:pt idx="39">
                  <c:v>272.53647438561626</c:v>
                </c:pt>
                <c:pt idx="40">
                  <c:v>277.38086671817285</c:v>
                </c:pt>
                <c:pt idx="41">
                  <c:v>282.25462368455914</c:v>
                </c:pt>
                <c:pt idx="42">
                  <c:v>286.80441668818196</c:v>
                </c:pt>
                <c:pt idx="43">
                  <c:v>291.73947619431635</c:v>
                </c:pt>
                <c:pt idx="44">
                  <c:v>296.70258917645992</c:v>
                </c:pt>
                <c:pt idx="45">
                  <c:v>301.6933519434204</c:v>
                </c:pt>
              </c:numCache>
            </c:numRef>
          </c:val>
          <c:smooth val="0"/>
          <c:extLst>
            <c:ext xmlns:c16="http://schemas.microsoft.com/office/drawing/2014/chart" uri="{C3380CC4-5D6E-409C-BE32-E72D297353CC}">
              <c16:uniqueId val="{00000004-4127-43C0-96F8-AA2ED5CC8FB7}"/>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0</c:v>
                </c:pt>
                <c:pt idx="1">
                  <c:v>0</c:v>
                </c:pt>
                <c:pt idx="2">
                  <c:v>0</c:v>
                </c:pt>
                <c:pt idx="3">
                  <c:v>9.2008130246385438</c:v>
                </c:pt>
                <c:pt idx="4">
                  <c:v>12.003306399645087</c:v>
                </c:pt>
                <c:pt idx="5">
                  <c:v>14.825522407884876</c:v>
                </c:pt>
                <c:pt idx="6">
                  <c:v>17.664035042398364</c:v>
                </c:pt>
                <c:pt idx="7">
                  <c:v>20.516102748470068</c:v>
                </c:pt>
                <c:pt idx="8">
                  <c:v>23.379523239971562</c:v>
                </c:pt>
                <c:pt idx="9">
                  <c:v>26.252518127269408</c:v>
                </c:pt>
                <c:pt idx="10">
                  <c:v>29.13364261770073</c:v>
                </c:pt>
                <c:pt idx="11">
                  <c:v>32.296472773048471</c:v>
                </c:pt>
                <c:pt idx="12">
                  <c:v>35.197590294100877</c:v>
                </c:pt>
                <c:pt idx="13">
                  <c:v>38.103410735806001</c:v>
                </c:pt>
                <c:pt idx="14">
                  <c:v>41.013295011710433</c:v>
                </c:pt>
                <c:pt idx="15">
                  <c:v>43.926711913484198</c:v>
                </c:pt>
                <c:pt idx="16">
                  <c:v>46.843216845894439</c:v>
                </c:pt>
                <c:pt idx="17">
                  <c:v>49.762435268231435</c:v>
                </c:pt>
                <c:pt idx="18">
                  <c:v>52.684049704940591</c:v>
                </c:pt>
                <c:pt idx="19">
                  <c:v>55.607789481656148</c:v>
                </c:pt>
                <c:pt idx="20">
                  <c:v>58.533422557000968</c:v>
                </c:pt>
                <c:pt idx="21">
                  <c:v>61.505315663346281</c:v>
                </c:pt>
                <c:pt idx="22">
                  <c:v>64.434550542529635</c:v>
                </c:pt>
                <c:pt idx="23">
                  <c:v>67.365133165769137</c:v>
                </c:pt>
                <c:pt idx="24">
                  <c:v>70.296933608349519</c:v>
                </c:pt>
                <c:pt idx="25">
                  <c:v>72.204604357302387</c:v>
                </c:pt>
                <c:pt idx="26">
                  <c:v>73.654325067337481</c:v>
                </c:pt>
                <c:pt idx="27">
                  <c:v>75.113717777736653</c:v>
                </c:pt>
                <c:pt idx="28">
                  <c:v>76.582789747255347</c:v>
                </c:pt>
                <c:pt idx="29">
                  <c:v>78.061535549326024</c:v>
                </c:pt>
                <c:pt idx="30">
                  <c:v>79.549937107560183</c:v>
                </c:pt>
                <c:pt idx="31">
                  <c:v>81.246870497557751</c:v>
                </c:pt>
                <c:pt idx="32">
                  <c:v>82.751888884774843</c:v>
                </c:pt>
                <c:pt idx="33">
                  <c:v>84.266572094768307</c:v>
                </c:pt>
                <c:pt idx="34">
                  <c:v>85.790854768108545</c:v>
                </c:pt>
                <c:pt idx="35">
                  <c:v>87.324659702617623</c:v>
                </c:pt>
                <c:pt idx="36">
                  <c:v>88.718421005277108</c:v>
                </c:pt>
                <c:pt idx="37">
                  <c:v>90.272503720378253</c:v>
                </c:pt>
                <c:pt idx="38">
                  <c:v>91.835701150858597</c:v>
                </c:pt>
                <c:pt idx="39">
                  <c:v>93.407895190827688</c:v>
                </c:pt>
                <c:pt idx="40">
                  <c:v>94.988959238113736</c:v>
                </c:pt>
                <c:pt idx="41">
                  <c:v>96.57875888412643</c:v>
                </c:pt>
                <c:pt idx="42">
                  <c:v>98.177152621283213</c:v>
                </c:pt>
                <c:pt idx="43">
                  <c:v>99.783992560273987</c:v>
                </c:pt>
                <c:pt idx="44">
                  <c:v>101.3991251497967</c:v>
                </c:pt>
                <c:pt idx="45">
                  <c:v>103.02239189189415</c:v>
                </c:pt>
              </c:numCache>
            </c:numRef>
          </c:val>
          <c:smooth val="0"/>
          <c:extLst>
            <c:ext xmlns:c16="http://schemas.microsoft.com/office/drawing/2014/chart" uri="{C3380CC4-5D6E-409C-BE32-E72D297353CC}">
              <c16:uniqueId val="{00000005-4127-43C0-96F8-AA2ED5CC8FB7}"/>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35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A37B7EE-575D-46A1-9822-ABEB6F30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32911</Words>
  <Characters>187595</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2019-09-04T04:09:00Z</cp:lastPrinted>
  <dcterms:created xsi:type="dcterms:W3CDTF">2019-09-04T04:08:00Z</dcterms:created>
  <dcterms:modified xsi:type="dcterms:W3CDTF">2019-09-04T04:09:00Z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id="Bo1z9QBm"/&gt;&lt;style id="http://www.zotero.org/styles/cell" hasBibliography="1" bibliographyStyleHasBeenSet="1"/&gt;&lt;prefs&gt;&lt;pref name="fieldType" value="Field"/&gt;&lt;pref name="automaticJournalAbbreviation</vt:lpwstr>
  </property>
  <property fmtid="{D5CDD505-2E9C-101B-9397-08002B2CF9AE}" pid="4" name="ZOTERO_PREF_2">
    <vt:lpwstr>s" value="true"/&gt;&lt;/prefs&gt;&lt;/data&gt;</vt:lpwstr>
  </property>
</Properties>
</file>