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B7BB" w14:textId="199B4CCD" w:rsidR="00D04F58" w:rsidRDefault="00D04F58" w:rsidP="00D04F58">
      <w:pPr>
        <w:spacing w:line="258" w:lineRule="auto"/>
        <w:jc w:val="center"/>
        <w:textDirection w:val="btLr"/>
      </w:pPr>
      <w:r>
        <w:rPr>
          <w:smallCaps/>
          <w:sz w:val="48"/>
        </w:rPr>
        <w:t>Technical assessment for Family Planning and Universal Education</w:t>
      </w:r>
    </w:p>
    <w:p w14:paraId="07DE5DC6" w14:textId="77777777" w:rsidR="00D04F58" w:rsidRPr="000F75E3" w:rsidRDefault="00D04F58" w:rsidP="00D04F58">
      <w:pPr>
        <w:spacing w:line="258" w:lineRule="auto"/>
        <w:jc w:val="center"/>
        <w:textDirection w:val="btLr"/>
      </w:pPr>
    </w:p>
    <w:p w14:paraId="78C02A6D" w14:textId="77777777" w:rsidR="00D04F58" w:rsidRPr="000F75E3" w:rsidRDefault="00D04F58" w:rsidP="00D04F58">
      <w:pPr>
        <w:spacing w:line="240" w:lineRule="auto"/>
        <w:jc w:val="center"/>
        <w:rPr>
          <w:rFonts w:cs="Times New Roman"/>
          <w:smallCaps/>
          <w:sz w:val="36"/>
          <w:szCs w:val="36"/>
        </w:rPr>
      </w:pPr>
      <w:r w:rsidRPr="000F75E3">
        <w:rPr>
          <w:rFonts w:cs="Times New Roman"/>
          <w:smallCaps/>
          <w:sz w:val="36"/>
          <w:szCs w:val="36"/>
        </w:rPr>
        <w:t>Sector: Health And Education</w:t>
      </w:r>
    </w:p>
    <w:p w14:paraId="7F288BF5" w14:textId="77777777" w:rsidR="00D04F58" w:rsidRPr="000F75E3" w:rsidRDefault="00D04F58" w:rsidP="00D04F58">
      <w:pPr>
        <w:spacing w:line="240" w:lineRule="auto"/>
        <w:jc w:val="center"/>
        <w:rPr>
          <w:rFonts w:cs="Times New Roman"/>
          <w:smallCaps/>
          <w:sz w:val="36"/>
          <w:szCs w:val="36"/>
        </w:rPr>
      </w:pPr>
      <w:r w:rsidRPr="000F75E3">
        <w:rPr>
          <w:rFonts w:cs="Times New Roman"/>
          <w:smallCaps/>
          <w:sz w:val="36"/>
          <w:szCs w:val="36"/>
        </w:rPr>
        <w:t>Agency Level: Individual and Community</w:t>
      </w:r>
    </w:p>
    <w:p w14:paraId="518E39A7" w14:textId="77777777" w:rsidR="00D04F58" w:rsidRDefault="00D04F58" w:rsidP="00D86F2F">
      <w:pPr>
        <w:spacing w:line="240" w:lineRule="auto"/>
        <w:rPr>
          <w:rFonts w:cs="Times New Roman"/>
          <w:smallCaps/>
          <w:sz w:val="36"/>
          <w:szCs w:val="36"/>
        </w:rPr>
      </w:pPr>
    </w:p>
    <w:p w14:paraId="58469B0D" w14:textId="77777777" w:rsidR="00D04F58" w:rsidRPr="000F75E3" w:rsidRDefault="00D04F58" w:rsidP="00D04F58">
      <w:pPr>
        <w:spacing w:line="240" w:lineRule="auto"/>
        <w:jc w:val="center"/>
        <w:rPr>
          <w:rFonts w:cs="Times New Roman"/>
          <w:smallCaps/>
          <w:sz w:val="36"/>
          <w:szCs w:val="36"/>
        </w:rPr>
      </w:pPr>
      <w:r w:rsidRPr="000F75E3">
        <w:rPr>
          <w:rFonts w:cs="Times New Roman"/>
          <w:smallCaps/>
          <w:sz w:val="36"/>
          <w:szCs w:val="36"/>
        </w:rPr>
        <w:t xml:space="preserve">Keywords: </w:t>
      </w:r>
    </w:p>
    <w:p w14:paraId="37F985DB" w14:textId="11CC361F" w:rsidR="00D04F58" w:rsidRDefault="00D04F58" w:rsidP="00FD0BBD">
      <w:pPr>
        <w:spacing w:line="258" w:lineRule="auto"/>
        <w:jc w:val="center"/>
        <w:textDirection w:val="btLr"/>
      </w:pPr>
      <w:r>
        <w:rPr>
          <w:smallCaps/>
          <w:sz w:val="36"/>
        </w:rPr>
        <w:t xml:space="preserve">keywords: </w:t>
      </w:r>
      <w:r w:rsidR="00FD0BBD">
        <w:rPr>
          <w:smallCaps/>
          <w:sz w:val="36"/>
        </w:rPr>
        <w:t xml:space="preserve">population, </w:t>
      </w:r>
      <w:r>
        <w:rPr>
          <w:smallCaps/>
          <w:sz w:val="36"/>
        </w:rPr>
        <w:t>fertility, education, women, girls, empowerment</w:t>
      </w:r>
    </w:p>
    <w:p w14:paraId="7A90E624" w14:textId="77777777" w:rsidR="00D04F58" w:rsidRDefault="00D04F58" w:rsidP="00D04F58">
      <w:pPr>
        <w:spacing w:line="258" w:lineRule="auto"/>
        <w:textDirection w:val="btLr"/>
      </w:pPr>
    </w:p>
    <w:p w14:paraId="23D9ED23" w14:textId="7AC238EF" w:rsidR="00D04F58" w:rsidRDefault="00D04F58" w:rsidP="00D04F58">
      <w:pPr>
        <w:spacing w:after="0" w:line="240" w:lineRule="auto"/>
        <w:jc w:val="center"/>
        <w:textDirection w:val="btLr"/>
        <w:rPr>
          <w:smallCaps/>
          <w:sz w:val="36"/>
        </w:rPr>
      </w:pPr>
      <w:r>
        <w:rPr>
          <w:smallCaps/>
          <w:sz w:val="36"/>
        </w:rPr>
        <w:t>JUNE 2021</w:t>
      </w:r>
      <w:r w:rsidR="00AC20ED">
        <w:rPr>
          <w:smallCaps/>
          <w:sz w:val="36"/>
        </w:rPr>
        <w:t xml:space="preserve"> (update)</w:t>
      </w:r>
    </w:p>
    <w:p w14:paraId="7A6B2D81" w14:textId="77777777" w:rsidR="00D04F58" w:rsidRDefault="00D04F58" w:rsidP="00D04F58">
      <w:pPr>
        <w:spacing w:after="0" w:line="240" w:lineRule="auto"/>
        <w:jc w:val="center"/>
        <w:textDirection w:val="btLr"/>
      </w:pPr>
    </w:p>
    <w:p w14:paraId="2C4006FA" w14:textId="77777777" w:rsidR="00D04F58" w:rsidRDefault="00D04F58" w:rsidP="00D04F58">
      <w:pPr>
        <w:spacing w:after="0" w:line="240" w:lineRule="auto"/>
        <w:textDirection w:val="btLr"/>
      </w:pPr>
    </w:p>
    <w:p w14:paraId="2F586D94" w14:textId="77777777" w:rsidR="00D04F58" w:rsidRDefault="00D04F58" w:rsidP="00D04F58">
      <w:pPr>
        <w:spacing w:after="0" w:line="240" w:lineRule="auto"/>
        <w:textDirection w:val="btLr"/>
      </w:pPr>
    </w:p>
    <w:p w14:paraId="6E33757E" w14:textId="77777777" w:rsidR="00D04F58" w:rsidRDefault="00D04F58" w:rsidP="00D04F58">
      <w:pPr>
        <w:spacing w:after="0" w:line="240" w:lineRule="auto"/>
        <w:textDirection w:val="btLr"/>
      </w:pPr>
    </w:p>
    <w:p w14:paraId="472F4EBF" w14:textId="77777777" w:rsidR="00D04F58" w:rsidRDefault="00D04F58" w:rsidP="00D04F58">
      <w:pPr>
        <w:spacing w:after="0" w:line="240" w:lineRule="auto"/>
        <w:textDirection w:val="btLr"/>
      </w:pPr>
      <w:r>
        <w:rPr>
          <w:b/>
          <w:smallCaps/>
          <w:sz w:val="28"/>
        </w:rPr>
        <w:t>Prepared by:</w:t>
      </w:r>
    </w:p>
    <w:p w14:paraId="7CECC57B" w14:textId="38463A83" w:rsidR="00D04F58" w:rsidRDefault="00D04F58" w:rsidP="00D04F58">
      <w:pPr>
        <w:spacing w:after="0" w:line="240" w:lineRule="auto"/>
        <w:textDirection w:val="btLr"/>
        <w:rPr>
          <w:smallCaps/>
          <w:sz w:val="28"/>
        </w:rPr>
      </w:pPr>
      <w:r>
        <w:rPr>
          <w:smallCaps/>
          <w:sz w:val="28"/>
        </w:rPr>
        <w:t xml:space="preserve">Amrita Namasivayam, Research Fellow </w:t>
      </w:r>
      <w:r w:rsidR="007D306B">
        <w:rPr>
          <w:smallCaps/>
          <w:sz w:val="28"/>
        </w:rPr>
        <w:t>(2021)</w:t>
      </w:r>
    </w:p>
    <w:p w14:paraId="793F92D2" w14:textId="77777777" w:rsidR="007D306B" w:rsidRDefault="007D306B" w:rsidP="00D04F58">
      <w:pPr>
        <w:spacing w:after="0" w:line="240" w:lineRule="auto"/>
        <w:textDirection w:val="btLr"/>
        <w:rPr>
          <w:smallCaps/>
          <w:sz w:val="28"/>
        </w:rPr>
      </w:pPr>
    </w:p>
    <w:p w14:paraId="6C7C634B" w14:textId="6B8FF285" w:rsidR="007D306B" w:rsidRDefault="007D306B" w:rsidP="00D04F58">
      <w:pPr>
        <w:spacing w:after="0" w:line="240" w:lineRule="auto"/>
        <w:textDirection w:val="btLr"/>
        <w:rPr>
          <w:smallCaps/>
          <w:sz w:val="28"/>
        </w:rPr>
      </w:pPr>
    </w:p>
    <w:p w14:paraId="0C57D021" w14:textId="3CB62D59" w:rsidR="007D306B" w:rsidRPr="00D86F2F" w:rsidRDefault="007D306B" w:rsidP="00D04F58">
      <w:pPr>
        <w:spacing w:after="0" w:line="240" w:lineRule="auto"/>
        <w:textDirection w:val="btLr"/>
        <w:rPr>
          <w:b/>
          <w:smallCaps/>
          <w:sz w:val="28"/>
        </w:rPr>
      </w:pPr>
      <w:r w:rsidRPr="00D86F2F">
        <w:rPr>
          <w:b/>
          <w:smallCaps/>
          <w:sz w:val="28"/>
        </w:rPr>
        <w:t>Past research Fellows:</w:t>
      </w:r>
    </w:p>
    <w:p w14:paraId="33F67BE9" w14:textId="42256CAC" w:rsidR="007D306B" w:rsidRDefault="007D306B" w:rsidP="00D04F58">
      <w:pPr>
        <w:spacing w:after="0" w:line="240" w:lineRule="auto"/>
        <w:textDirection w:val="btLr"/>
        <w:rPr>
          <w:smallCaps/>
          <w:sz w:val="28"/>
        </w:rPr>
      </w:pPr>
      <w:r>
        <w:rPr>
          <w:smallCaps/>
          <w:sz w:val="28"/>
        </w:rPr>
        <w:t>Alisha Graves (2015)</w:t>
      </w:r>
    </w:p>
    <w:p w14:paraId="5E4C8BB8" w14:textId="262AB7E8" w:rsidR="007D306B" w:rsidRDefault="007D306B" w:rsidP="00D04F58">
      <w:pPr>
        <w:spacing w:after="0" w:line="240" w:lineRule="auto"/>
        <w:textDirection w:val="btLr"/>
      </w:pPr>
      <w:r>
        <w:rPr>
          <w:smallCaps/>
          <w:sz w:val="28"/>
        </w:rPr>
        <w:t>Jvani Cabiness (2015)</w:t>
      </w:r>
    </w:p>
    <w:p w14:paraId="162942D8" w14:textId="77777777" w:rsidR="00FD0BBD" w:rsidRDefault="00FD0BBD" w:rsidP="00D04F58">
      <w:pPr>
        <w:rPr>
          <w:rFonts w:cs="Times New Roman"/>
          <w:smallCaps/>
          <w:color w:val="404040" w:themeColor="text1" w:themeTint="BF"/>
        </w:rPr>
      </w:pPr>
    </w:p>
    <w:p w14:paraId="20BFDD60" w14:textId="77777777" w:rsidR="00D04F58" w:rsidRPr="00EB247F" w:rsidRDefault="00D04F58" w:rsidP="00D04F58">
      <w:pPr>
        <w:rPr>
          <w:rFonts w:cs="Times New Roman"/>
          <w:smallCaps/>
          <w:color w:val="404040" w:themeColor="text1" w:themeTint="BF"/>
        </w:rPr>
      </w:pPr>
    </w:p>
    <w:p w14:paraId="7B9C753A" w14:textId="77777777" w:rsidR="00D04F58" w:rsidRPr="00EB247F" w:rsidRDefault="00D04F58" w:rsidP="00D04F58">
      <w:pPr>
        <w:rPr>
          <w:rFonts w:cs="Times New Roman"/>
          <w:smallCaps/>
          <w:color w:val="404040" w:themeColor="text1" w:themeTint="BF"/>
        </w:rPr>
      </w:pPr>
      <w:r w:rsidRPr="00EB247F">
        <w:rPr>
          <w:rFonts w:cs="Times New Roman"/>
          <w:noProof/>
          <w:lang w:val="en-NZ" w:eastAsia="en-NZ"/>
        </w:rPr>
        <w:drawing>
          <wp:inline distT="0" distB="0" distL="0" distR="0" wp14:anchorId="0477A4C4" wp14:editId="7CF8A34E">
            <wp:extent cx="3203517" cy="7531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0CE75A57" w14:textId="3C4A2B9B" w:rsidR="00C81D94" w:rsidRPr="000829DC" w:rsidRDefault="00D04F58" w:rsidP="00D04F58">
      <w:pPr>
        <w:pStyle w:val="TableofFigures"/>
        <w:tabs>
          <w:tab w:val="right" w:leader="dot" w:pos="9350"/>
        </w:tabs>
        <w:spacing w:line="240" w:lineRule="auto"/>
        <w:rPr>
          <w:rStyle w:val="Hyperlink"/>
          <w:noProof/>
        </w:rPr>
      </w:pPr>
      <w:r w:rsidRPr="00E6531F">
        <w:rPr>
          <w:smallCaps/>
          <w:color w:val="000000" w:themeColor="text1"/>
          <w:sz w:val="20"/>
          <w:szCs w:val="20"/>
          <w:lang w:val="pt-PT"/>
        </w:rPr>
        <w:t xml:space="preserve">27 GATE 5 RD., SAUSALITO, CA 94965              </w:t>
      </w:r>
      <w:hyperlink r:id="rId10" w:history="1">
        <w:r w:rsidRPr="00E6531F">
          <w:rPr>
            <w:color w:val="000000" w:themeColor="text1"/>
            <w:lang w:val="pt-PT"/>
          </w:rPr>
          <w:t>info@drawdown.org</w:t>
        </w:r>
      </w:hyperlink>
      <w:r w:rsidRPr="00E6531F">
        <w:rPr>
          <w:smallCaps/>
          <w:color w:val="000000" w:themeColor="text1"/>
          <w:sz w:val="20"/>
          <w:szCs w:val="20"/>
          <w:lang w:val="pt-PT"/>
        </w:rPr>
        <w:t xml:space="preserve">             </w:t>
      </w:r>
      <w:hyperlink r:id="rId11" w:history="1">
        <w:r w:rsidRPr="00E6531F">
          <w:rPr>
            <w:color w:val="000000" w:themeColor="text1"/>
            <w:lang w:val="pt-PT"/>
          </w:rPr>
          <w:t>www.drawdown.org</w:t>
        </w:r>
      </w:hyperlink>
      <w:r w:rsidRPr="00E6531F">
        <w:rPr>
          <w:smallCaps/>
          <w:color w:val="000000" w:themeColor="text1"/>
          <w:sz w:val="20"/>
          <w:szCs w:val="20"/>
          <w:lang w:val="pt-PT"/>
        </w:rPr>
        <w:t xml:space="preserve">  </w:t>
      </w:r>
      <w:r w:rsidR="003260E9">
        <w:rPr>
          <w:noProof/>
          <w:color w:val="000080"/>
          <w:u w:val="single"/>
          <w:lang w:val="en-NZ" w:eastAsia="en-NZ"/>
        </w:rPr>
        <mc:AlternateContent>
          <mc:Choice Requires="wps">
            <w:drawing>
              <wp:anchor distT="0" distB="0" distL="114300" distR="114300" simplePos="0" relativeHeight="251660288" behindDoc="0" locked="0" layoutInCell="1" allowOverlap="1" wp14:anchorId="292FA88B" wp14:editId="48276B72">
                <wp:simplePos x="0" y="0"/>
                <wp:positionH relativeFrom="column">
                  <wp:posOffset>5715000</wp:posOffset>
                </wp:positionH>
                <wp:positionV relativeFrom="paragraph">
                  <wp:posOffset>8458200</wp:posOffset>
                </wp:positionV>
                <wp:extent cx="457200" cy="342900"/>
                <wp:effectExtent l="0" t="0" r="0" b="12700"/>
                <wp:wrapThrough wrapText="bothSides">
                  <wp:wrapPolygon edited="0">
                    <wp:start x="0" y="0"/>
                    <wp:lineTo x="0" y="20800"/>
                    <wp:lineTo x="20400" y="20800"/>
                    <wp:lineTo x="204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42C67" id="Rectangle 1" o:spid="_x0000_s1026" style="position:absolute;margin-left:450pt;margin-top:666pt;width:36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BdAIAAGAFAAAOAAAAZHJzL2Uyb0RvYy54bWysVNtqGzEQfS/0H4Tem7Udt01M1sEkpBRC&#10;YpKUPMtayV6QNOpI9tr9+o60F6dpIFD6sjvSnLmf0cXl3hq2UxhqcCUfn4w4U05CVbt1yX883Xw6&#10;4yxE4SphwKmSH1Tgl/OPHy4aP1MT2ICpFDJy4sKs8SXfxOhnRRHkRlkRTsArR0oNaEWkI66LCkVD&#10;3q0pJqPRl6IBrDyCVCHQ7XWr5PPsX2sl473WQUVmSk65xfzF/F2lbzG/ELM1Cr+pZZeG+IcsrKgd&#10;BR1cXYso2Bbrv1zZWiIE0PFEgi1A61qqXANVMx69quZxI7zKtVBzgh/aFP6fW3m3WyKrK5odZ05Y&#10;GtEDNU24tVFsnNrT+DAj1KNfYncKJKZa9xpt+lMVbJ9behhaqvaRSbqcfv5KY+JMkup0OjknmbwU&#10;R2OPIX5TYFkSSo4UPDdS7G5DbKE9JMUKYOrqpjYmHxJL1JVBthM039U6J0zO/0AZl7AOklXrMN0U&#10;qa62kizFg1EJZ9yD0tQQyn2cE8lUPAYRUioX+0AZncw0OR8MT9837PDJVGWaDsaT940HixwZXByM&#10;be0A33JghpR1i+870NadWrCC6kBcQGiXJHh5U9NMbkWIS4G0FTRG2vR4Tx9toCk5dBJnG8Bfb90n&#10;PJGVtJw1tGUlDz+3AhVn5rsjGp+Pp9O0lvmQucIZvtSsXmrc1l4BDZqoStllkYwxml7UCPaZHoRF&#10;ikoq4STFLrmM2B+uYrv99KRItVhkGK2iF/HWPXrZTz1x7mn/LNB3xIzE6DvoN1LMXvGzxaZ5OFhs&#10;I+g6k/fY167ftMaZ/t2Tk96Jl+eMOj6M898AAAD//wMAUEsDBBQABgAIAAAAIQCkPh+b4AAAAA0B&#10;AAAPAAAAZHJzL2Rvd25yZXYueG1sTE9BTsMwELwj8QdrkbhRm0YKbRqnAgTqAS4UpHJ0YzeOiNcm&#10;dpvQ17M5wW1mZzQ7U65H17GT6WPrUcLtTAAzWHvdYiPh4/35ZgEsJoVadR6NhB8TYV1dXpSq0H7A&#10;N3PapoZRCMZCSbAphYLzWFvjVJz5YJC0g++dSkT7huteDRTuOj4XIudOtUgfrArm0Zr6a3t0EoLd&#10;fA+bnNtePJzPTy+v2WfY7aS8vhrvV8CSGdOfGab6VB0q6rT3R9SRdRKWQtCWREKWzQmRZXk3gf10&#10;WuQCeFXy/yuqXwAAAP//AwBQSwECLQAUAAYACAAAACEAtoM4kv4AAADhAQAAEwAAAAAAAAAAAAAA&#10;AAAAAAAAW0NvbnRlbnRfVHlwZXNdLnhtbFBLAQItABQABgAIAAAAIQA4/SH/1gAAAJQBAAALAAAA&#10;AAAAAAAAAAAAAC8BAABfcmVscy8ucmVsc1BLAQItABQABgAIAAAAIQCi+0qBdAIAAGAFAAAOAAAA&#10;AAAAAAAAAAAAAC4CAABkcnMvZTJvRG9jLnhtbFBLAQItABQABgAIAAAAIQCkPh+b4AAAAA0BAAAP&#10;AAAAAAAAAAAAAAAAAM4EAABkcnMvZG93bnJldi54bWxQSwUGAAAAAAQABADzAAAA2wUAAAAA&#10;" fillcolor="white [3212]" stroked="f" strokeweight=".5pt">
                <w10:wrap type="through"/>
              </v:rect>
            </w:pict>
          </mc:Fallback>
        </mc:AlternateContent>
      </w:r>
    </w:p>
    <w:sdt>
      <w:sdtPr>
        <w:rPr>
          <w:rFonts w:asciiTheme="minorHAnsi" w:eastAsiaTheme="minorEastAsia" w:hAnsiTheme="minorHAnsi" w:cstheme="minorBidi"/>
          <w:b w:val="0"/>
          <w:bCs w:val="0"/>
          <w:smallCaps w:val="0"/>
          <w:color w:val="auto"/>
          <w:sz w:val="22"/>
          <w:szCs w:val="22"/>
        </w:rPr>
        <w:id w:val="442275696"/>
        <w:docPartObj>
          <w:docPartGallery w:val="Table of Contents"/>
          <w:docPartUnique/>
        </w:docPartObj>
      </w:sdtPr>
      <w:sdtEndPr>
        <w:rPr>
          <w:noProof/>
        </w:rPr>
      </w:sdtEndPr>
      <w:sdtContent>
        <w:p w14:paraId="62199C04" w14:textId="77777777" w:rsidR="00640665" w:rsidRDefault="00640665" w:rsidP="00B144E5">
          <w:pPr>
            <w:pStyle w:val="TOCHeading"/>
            <w:numPr>
              <w:ilvl w:val="0"/>
              <w:numId w:val="0"/>
            </w:numPr>
            <w:spacing w:before="0" w:after="0" w:line="240" w:lineRule="auto"/>
          </w:pPr>
          <w:r>
            <w:t>Table of Contents</w:t>
          </w:r>
        </w:p>
        <w:p w14:paraId="05F75F3C" w14:textId="671D7B1A" w:rsidR="005878B7" w:rsidRDefault="00571731">
          <w:pPr>
            <w:pStyle w:val="TOC1"/>
            <w:rPr>
              <w:noProof/>
              <w:lang w:val="en-NZ" w:eastAsia="en-NZ"/>
            </w:rPr>
          </w:pPr>
          <w:r>
            <w:fldChar w:fldCharType="begin"/>
          </w:r>
          <w:r>
            <w:instrText xml:space="preserve"> TOC \o "1-5" \h \z \u </w:instrText>
          </w:r>
          <w:r>
            <w:fldChar w:fldCharType="separate"/>
          </w:r>
          <w:hyperlink w:anchor="_Toc74154024" w:history="1">
            <w:r w:rsidR="005878B7" w:rsidRPr="008D0C15">
              <w:rPr>
                <w:rStyle w:val="Hyperlink"/>
                <w:noProof/>
              </w:rPr>
              <w:t>Executive Summary</w:t>
            </w:r>
            <w:r w:rsidR="005878B7">
              <w:rPr>
                <w:noProof/>
                <w:webHidden/>
              </w:rPr>
              <w:tab/>
            </w:r>
            <w:r w:rsidR="005878B7">
              <w:rPr>
                <w:noProof/>
                <w:webHidden/>
              </w:rPr>
              <w:fldChar w:fldCharType="begin"/>
            </w:r>
            <w:r w:rsidR="005878B7">
              <w:rPr>
                <w:noProof/>
                <w:webHidden/>
              </w:rPr>
              <w:instrText xml:space="preserve"> PAGEREF _Toc74154024 \h </w:instrText>
            </w:r>
            <w:r w:rsidR="005878B7">
              <w:rPr>
                <w:noProof/>
                <w:webHidden/>
              </w:rPr>
            </w:r>
            <w:r w:rsidR="005878B7">
              <w:rPr>
                <w:noProof/>
                <w:webHidden/>
              </w:rPr>
              <w:fldChar w:fldCharType="separate"/>
            </w:r>
            <w:r w:rsidR="005878B7">
              <w:rPr>
                <w:noProof/>
                <w:webHidden/>
              </w:rPr>
              <w:t>5</w:t>
            </w:r>
            <w:r w:rsidR="005878B7">
              <w:rPr>
                <w:noProof/>
                <w:webHidden/>
              </w:rPr>
              <w:fldChar w:fldCharType="end"/>
            </w:r>
          </w:hyperlink>
        </w:p>
        <w:p w14:paraId="7E0D40DB" w14:textId="27917480" w:rsidR="005878B7" w:rsidRDefault="00AC466B">
          <w:pPr>
            <w:pStyle w:val="TOC1"/>
            <w:rPr>
              <w:noProof/>
              <w:lang w:val="en-NZ" w:eastAsia="en-NZ"/>
            </w:rPr>
          </w:pPr>
          <w:hyperlink w:anchor="_Toc74154025" w:history="1">
            <w:r w:rsidR="005878B7" w:rsidRPr="008D0C15">
              <w:rPr>
                <w:rStyle w:val="Hyperlink"/>
                <w:noProof/>
              </w:rPr>
              <w:t>1</w:t>
            </w:r>
            <w:r w:rsidR="005878B7">
              <w:rPr>
                <w:noProof/>
                <w:lang w:val="en-NZ" w:eastAsia="en-NZ"/>
              </w:rPr>
              <w:tab/>
            </w:r>
            <w:r w:rsidR="005878B7" w:rsidRPr="008D0C15">
              <w:rPr>
                <w:rStyle w:val="Hyperlink"/>
                <w:noProof/>
              </w:rPr>
              <w:t>Literature Review</w:t>
            </w:r>
            <w:r w:rsidR="005878B7">
              <w:rPr>
                <w:noProof/>
                <w:webHidden/>
              </w:rPr>
              <w:tab/>
            </w:r>
            <w:r w:rsidR="005878B7">
              <w:rPr>
                <w:noProof/>
                <w:webHidden/>
              </w:rPr>
              <w:fldChar w:fldCharType="begin"/>
            </w:r>
            <w:r w:rsidR="005878B7">
              <w:rPr>
                <w:noProof/>
                <w:webHidden/>
              </w:rPr>
              <w:instrText xml:space="preserve"> PAGEREF _Toc74154025 \h </w:instrText>
            </w:r>
            <w:r w:rsidR="005878B7">
              <w:rPr>
                <w:noProof/>
                <w:webHidden/>
              </w:rPr>
            </w:r>
            <w:r w:rsidR="005878B7">
              <w:rPr>
                <w:noProof/>
                <w:webHidden/>
              </w:rPr>
              <w:fldChar w:fldCharType="separate"/>
            </w:r>
            <w:r w:rsidR="005878B7">
              <w:rPr>
                <w:noProof/>
                <w:webHidden/>
              </w:rPr>
              <w:t>6</w:t>
            </w:r>
            <w:r w:rsidR="005878B7">
              <w:rPr>
                <w:noProof/>
                <w:webHidden/>
              </w:rPr>
              <w:fldChar w:fldCharType="end"/>
            </w:r>
          </w:hyperlink>
        </w:p>
        <w:p w14:paraId="5D7E1D60" w14:textId="23F57587" w:rsidR="005878B7" w:rsidRDefault="00AC466B">
          <w:pPr>
            <w:pStyle w:val="TOC2"/>
            <w:tabs>
              <w:tab w:val="left" w:pos="880"/>
              <w:tab w:val="right" w:leader="dot" w:pos="9350"/>
            </w:tabs>
            <w:rPr>
              <w:noProof/>
              <w:lang w:val="en-NZ" w:eastAsia="en-NZ"/>
            </w:rPr>
          </w:pPr>
          <w:hyperlink w:anchor="_Toc74154026" w:history="1">
            <w:r w:rsidR="005878B7" w:rsidRPr="008D0C15">
              <w:rPr>
                <w:rStyle w:val="Hyperlink"/>
                <w:noProof/>
              </w:rPr>
              <w:t>1.1</w:t>
            </w:r>
            <w:r w:rsidR="005878B7">
              <w:rPr>
                <w:noProof/>
                <w:lang w:val="en-NZ" w:eastAsia="en-NZ"/>
              </w:rPr>
              <w:tab/>
            </w:r>
            <w:r w:rsidR="005878B7" w:rsidRPr="008D0C15">
              <w:rPr>
                <w:rStyle w:val="Hyperlink"/>
                <w:noProof/>
              </w:rPr>
              <w:t>Introduction</w:t>
            </w:r>
            <w:r w:rsidR="005878B7">
              <w:rPr>
                <w:noProof/>
                <w:webHidden/>
              </w:rPr>
              <w:tab/>
            </w:r>
            <w:r w:rsidR="005878B7">
              <w:rPr>
                <w:noProof/>
                <w:webHidden/>
              </w:rPr>
              <w:fldChar w:fldCharType="begin"/>
            </w:r>
            <w:r w:rsidR="005878B7">
              <w:rPr>
                <w:noProof/>
                <w:webHidden/>
              </w:rPr>
              <w:instrText xml:space="preserve"> PAGEREF _Toc74154026 \h </w:instrText>
            </w:r>
            <w:r w:rsidR="005878B7">
              <w:rPr>
                <w:noProof/>
                <w:webHidden/>
              </w:rPr>
            </w:r>
            <w:r w:rsidR="005878B7">
              <w:rPr>
                <w:noProof/>
                <w:webHidden/>
              </w:rPr>
              <w:fldChar w:fldCharType="separate"/>
            </w:r>
            <w:r w:rsidR="005878B7">
              <w:rPr>
                <w:noProof/>
                <w:webHidden/>
              </w:rPr>
              <w:t>6</w:t>
            </w:r>
            <w:r w:rsidR="005878B7">
              <w:rPr>
                <w:noProof/>
                <w:webHidden/>
              </w:rPr>
              <w:fldChar w:fldCharType="end"/>
            </w:r>
          </w:hyperlink>
        </w:p>
        <w:p w14:paraId="4A39C39E" w14:textId="75F3907F" w:rsidR="005878B7" w:rsidRDefault="00AC466B">
          <w:pPr>
            <w:pStyle w:val="TOC2"/>
            <w:tabs>
              <w:tab w:val="left" w:pos="880"/>
              <w:tab w:val="right" w:leader="dot" w:pos="9350"/>
            </w:tabs>
            <w:rPr>
              <w:noProof/>
              <w:lang w:val="en-NZ" w:eastAsia="en-NZ"/>
            </w:rPr>
          </w:pPr>
          <w:hyperlink w:anchor="_Toc74154027" w:history="1">
            <w:r w:rsidR="005878B7" w:rsidRPr="008D0C15">
              <w:rPr>
                <w:rStyle w:val="Hyperlink"/>
                <w:noProof/>
              </w:rPr>
              <w:t>1.2</w:t>
            </w:r>
            <w:r w:rsidR="005878B7">
              <w:rPr>
                <w:noProof/>
                <w:lang w:val="en-NZ" w:eastAsia="en-NZ"/>
              </w:rPr>
              <w:tab/>
            </w:r>
            <w:r w:rsidR="005878B7" w:rsidRPr="008D0C15">
              <w:rPr>
                <w:rStyle w:val="Hyperlink"/>
                <w:noProof/>
              </w:rPr>
              <w:t>Determinants of Fertility</w:t>
            </w:r>
            <w:r w:rsidR="005878B7">
              <w:rPr>
                <w:noProof/>
                <w:webHidden/>
              </w:rPr>
              <w:tab/>
            </w:r>
            <w:r w:rsidR="005878B7">
              <w:rPr>
                <w:noProof/>
                <w:webHidden/>
              </w:rPr>
              <w:fldChar w:fldCharType="begin"/>
            </w:r>
            <w:r w:rsidR="005878B7">
              <w:rPr>
                <w:noProof/>
                <w:webHidden/>
              </w:rPr>
              <w:instrText xml:space="preserve"> PAGEREF _Toc74154027 \h </w:instrText>
            </w:r>
            <w:r w:rsidR="005878B7">
              <w:rPr>
                <w:noProof/>
                <w:webHidden/>
              </w:rPr>
            </w:r>
            <w:r w:rsidR="005878B7">
              <w:rPr>
                <w:noProof/>
                <w:webHidden/>
              </w:rPr>
              <w:fldChar w:fldCharType="separate"/>
            </w:r>
            <w:r w:rsidR="005878B7">
              <w:rPr>
                <w:noProof/>
                <w:webHidden/>
              </w:rPr>
              <w:t>6</w:t>
            </w:r>
            <w:r w:rsidR="005878B7">
              <w:rPr>
                <w:noProof/>
                <w:webHidden/>
              </w:rPr>
              <w:fldChar w:fldCharType="end"/>
            </w:r>
          </w:hyperlink>
        </w:p>
        <w:p w14:paraId="251252C7" w14:textId="38E720A4" w:rsidR="005878B7" w:rsidRDefault="00AC466B">
          <w:pPr>
            <w:pStyle w:val="TOC3"/>
            <w:tabs>
              <w:tab w:val="left" w:pos="1320"/>
              <w:tab w:val="right" w:leader="dot" w:pos="9350"/>
            </w:tabs>
            <w:rPr>
              <w:noProof/>
              <w:lang w:val="en-NZ" w:eastAsia="en-NZ"/>
            </w:rPr>
          </w:pPr>
          <w:hyperlink w:anchor="_Toc74154028" w:history="1">
            <w:r w:rsidR="005878B7" w:rsidRPr="008D0C15">
              <w:rPr>
                <w:rStyle w:val="Hyperlink"/>
                <w:noProof/>
              </w:rPr>
              <w:t>1.2.1</w:t>
            </w:r>
            <w:r w:rsidR="005878B7">
              <w:rPr>
                <w:noProof/>
                <w:lang w:val="en-NZ" w:eastAsia="en-NZ"/>
              </w:rPr>
              <w:tab/>
            </w:r>
            <w:r w:rsidR="005878B7" w:rsidRPr="008D0C15">
              <w:rPr>
                <w:rStyle w:val="Hyperlink"/>
                <w:noProof/>
              </w:rPr>
              <w:t>Female agency and reproduction</w:t>
            </w:r>
            <w:r w:rsidR="005878B7">
              <w:rPr>
                <w:noProof/>
                <w:webHidden/>
              </w:rPr>
              <w:tab/>
            </w:r>
            <w:r w:rsidR="005878B7">
              <w:rPr>
                <w:noProof/>
                <w:webHidden/>
              </w:rPr>
              <w:fldChar w:fldCharType="begin"/>
            </w:r>
            <w:r w:rsidR="005878B7">
              <w:rPr>
                <w:noProof/>
                <w:webHidden/>
              </w:rPr>
              <w:instrText xml:space="preserve"> PAGEREF _Toc74154028 \h </w:instrText>
            </w:r>
            <w:r w:rsidR="005878B7">
              <w:rPr>
                <w:noProof/>
                <w:webHidden/>
              </w:rPr>
            </w:r>
            <w:r w:rsidR="005878B7">
              <w:rPr>
                <w:noProof/>
                <w:webHidden/>
              </w:rPr>
              <w:fldChar w:fldCharType="separate"/>
            </w:r>
            <w:r w:rsidR="005878B7">
              <w:rPr>
                <w:noProof/>
                <w:webHidden/>
              </w:rPr>
              <w:t>7</w:t>
            </w:r>
            <w:r w:rsidR="005878B7">
              <w:rPr>
                <w:noProof/>
                <w:webHidden/>
              </w:rPr>
              <w:fldChar w:fldCharType="end"/>
            </w:r>
          </w:hyperlink>
        </w:p>
        <w:p w14:paraId="4AFE4F9E" w14:textId="51DC5BC6" w:rsidR="005878B7" w:rsidRDefault="00AC466B">
          <w:pPr>
            <w:pStyle w:val="TOC3"/>
            <w:tabs>
              <w:tab w:val="left" w:pos="1320"/>
              <w:tab w:val="right" w:leader="dot" w:pos="9350"/>
            </w:tabs>
            <w:rPr>
              <w:noProof/>
              <w:lang w:val="en-NZ" w:eastAsia="en-NZ"/>
            </w:rPr>
          </w:pPr>
          <w:hyperlink w:anchor="_Toc74154029" w:history="1">
            <w:r w:rsidR="005878B7" w:rsidRPr="008D0C15">
              <w:rPr>
                <w:rStyle w:val="Hyperlink"/>
                <w:noProof/>
              </w:rPr>
              <w:t>1.2.2</w:t>
            </w:r>
            <w:r w:rsidR="005878B7">
              <w:rPr>
                <w:noProof/>
                <w:lang w:val="en-NZ" w:eastAsia="en-NZ"/>
              </w:rPr>
              <w:tab/>
            </w:r>
            <w:r w:rsidR="005878B7" w:rsidRPr="008D0C15">
              <w:rPr>
                <w:rStyle w:val="Hyperlink"/>
                <w:noProof/>
              </w:rPr>
              <w:t>Education and fertility</w:t>
            </w:r>
            <w:r w:rsidR="005878B7">
              <w:rPr>
                <w:noProof/>
                <w:webHidden/>
              </w:rPr>
              <w:tab/>
            </w:r>
            <w:r w:rsidR="005878B7">
              <w:rPr>
                <w:noProof/>
                <w:webHidden/>
              </w:rPr>
              <w:fldChar w:fldCharType="begin"/>
            </w:r>
            <w:r w:rsidR="005878B7">
              <w:rPr>
                <w:noProof/>
                <w:webHidden/>
              </w:rPr>
              <w:instrText xml:space="preserve"> PAGEREF _Toc74154029 \h </w:instrText>
            </w:r>
            <w:r w:rsidR="005878B7">
              <w:rPr>
                <w:noProof/>
                <w:webHidden/>
              </w:rPr>
            </w:r>
            <w:r w:rsidR="005878B7">
              <w:rPr>
                <w:noProof/>
                <w:webHidden/>
              </w:rPr>
              <w:fldChar w:fldCharType="separate"/>
            </w:r>
            <w:r w:rsidR="005878B7">
              <w:rPr>
                <w:noProof/>
                <w:webHidden/>
              </w:rPr>
              <w:t>8</w:t>
            </w:r>
            <w:r w:rsidR="005878B7">
              <w:rPr>
                <w:noProof/>
                <w:webHidden/>
              </w:rPr>
              <w:fldChar w:fldCharType="end"/>
            </w:r>
          </w:hyperlink>
        </w:p>
        <w:p w14:paraId="19414A80" w14:textId="2A5990E0" w:rsidR="005878B7" w:rsidRDefault="00AC466B">
          <w:pPr>
            <w:pStyle w:val="TOC3"/>
            <w:tabs>
              <w:tab w:val="left" w:pos="1320"/>
              <w:tab w:val="right" w:leader="dot" w:pos="9350"/>
            </w:tabs>
            <w:rPr>
              <w:noProof/>
              <w:lang w:val="en-NZ" w:eastAsia="en-NZ"/>
            </w:rPr>
          </w:pPr>
          <w:hyperlink w:anchor="_Toc74154030" w:history="1">
            <w:r w:rsidR="005878B7" w:rsidRPr="008D0C15">
              <w:rPr>
                <w:rStyle w:val="Hyperlink"/>
                <w:noProof/>
              </w:rPr>
              <w:t>1.2.3</w:t>
            </w:r>
            <w:r w:rsidR="005878B7">
              <w:rPr>
                <w:noProof/>
                <w:lang w:val="en-NZ" w:eastAsia="en-NZ"/>
              </w:rPr>
              <w:tab/>
            </w:r>
            <w:r w:rsidR="005878B7" w:rsidRPr="008D0C15">
              <w:rPr>
                <w:rStyle w:val="Hyperlink"/>
                <w:noProof/>
              </w:rPr>
              <w:t>Access to voluntary family planning services</w:t>
            </w:r>
            <w:r w:rsidR="005878B7">
              <w:rPr>
                <w:noProof/>
                <w:webHidden/>
              </w:rPr>
              <w:tab/>
            </w:r>
            <w:r w:rsidR="005878B7">
              <w:rPr>
                <w:noProof/>
                <w:webHidden/>
              </w:rPr>
              <w:fldChar w:fldCharType="begin"/>
            </w:r>
            <w:r w:rsidR="005878B7">
              <w:rPr>
                <w:noProof/>
                <w:webHidden/>
              </w:rPr>
              <w:instrText xml:space="preserve"> PAGEREF _Toc74154030 \h </w:instrText>
            </w:r>
            <w:r w:rsidR="005878B7">
              <w:rPr>
                <w:noProof/>
                <w:webHidden/>
              </w:rPr>
            </w:r>
            <w:r w:rsidR="005878B7">
              <w:rPr>
                <w:noProof/>
                <w:webHidden/>
              </w:rPr>
              <w:fldChar w:fldCharType="separate"/>
            </w:r>
            <w:r w:rsidR="005878B7">
              <w:rPr>
                <w:noProof/>
                <w:webHidden/>
              </w:rPr>
              <w:t>9</w:t>
            </w:r>
            <w:r w:rsidR="005878B7">
              <w:rPr>
                <w:noProof/>
                <w:webHidden/>
              </w:rPr>
              <w:fldChar w:fldCharType="end"/>
            </w:r>
          </w:hyperlink>
        </w:p>
        <w:p w14:paraId="78D3CBC4" w14:textId="7CA27B5C" w:rsidR="005878B7" w:rsidRDefault="00AC466B">
          <w:pPr>
            <w:pStyle w:val="TOC2"/>
            <w:tabs>
              <w:tab w:val="left" w:pos="880"/>
              <w:tab w:val="right" w:leader="dot" w:pos="9350"/>
            </w:tabs>
            <w:rPr>
              <w:noProof/>
              <w:lang w:val="en-NZ" w:eastAsia="en-NZ"/>
            </w:rPr>
          </w:pPr>
          <w:hyperlink w:anchor="_Toc74154031" w:history="1">
            <w:r w:rsidR="005878B7" w:rsidRPr="008D0C15">
              <w:rPr>
                <w:rStyle w:val="Hyperlink"/>
                <w:noProof/>
              </w:rPr>
              <w:t>1.3</w:t>
            </w:r>
            <w:r w:rsidR="005878B7">
              <w:rPr>
                <w:noProof/>
                <w:lang w:val="en-NZ" w:eastAsia="en-NZ"/>
              </w:rPr>
              <w:tab/>
            </w:r>
            <w:r w:rsidR="005878B7" w:rsidRPr="008D0C15">
              <w:rPr>
                <w:rStyle w:val="Hyperlink"/>
                <w:noProof/>
              </w:rPr>
              <w:t>Current State of Family Planning</w:t>
            </w:r>
            <w:r w:rsidR="005878B7">
              <w:rPr>
                <w:noProof/>
                <w:webHidden/>
              </w:rPr>
              <w:tab/>
            </w:r>
            <w:r w:rsidR="005878B7">
              <w:rPr>
                <w:noProof/>
                <w:webHidden/>
              </w:rPr>
              <w:fldChar w:fldCharType="begin"/>
            </w:r>
            <w:r w:rsidR="005878B7">
              <w:rPr>
                <w:noProof/>
                <w:webHidden/>
              </w:rPr>
              <w:instrText xml:space="preserve"> PAGEREF _Toc74154031 \h </w:instrText>
            </w:r>
            <w:r w:rsidR="005878B7">
              <w:rPr>
                <w:noProof/>
                <w:webHidden/>
              </w:rPr>
            </w:r>
            <w:r w:rsidR="005878B7">
              <w:rPr>
                <w:noProof/>
                <w:webHidden/>
              </w:rPr>
              <w:fldChar w:fldCharType="separate"/>
            </w:r>
            <w:r w:rsidR="005878B7">
              <w:rPr>
                <w:noProof/>
                <w:webHidden/>
              </w:rPr>
              <w:t>11</w:t>
            </w:r>
            <w:r w:rsidR="005878B7">
              <w:rPr>
                <w:noProof/>
                <w:webHidden/>
              </w:rPr>
              <w:fldChar w:fldCharType="end"/>
            </w:r>
          </w:hyperlink>
        </w:p>
        <w:p w14:paraId="703D120A" w14:textId="56DD5FD5" w:rsidR="005878B7" w:rsidRDefault="00AC466B">
          <w:pPr>
            <w:pStyle w:val="TOC3"/>
            <w:tabs>
              <w:tab w:val="left" w:pos="1320"/>
              <w:tab w:val="right" w:leader="dot" w:pos="9350"/>
            </w:tabs>
            <w:rPr>
              <w:noProof/>
              <w:lang w:val="en-NZ" w:eastAsia="en-NZ"/>
            </w:rPr>
          </w:pPr>
          <w:hyperlink w:anchor="_Toc74154032" w:history="1">
            <w:r w:rsidR="005878B7" w:rsidRPr="008D0C15">
              <w:rPr>
                <w:rStyle w:val="Hyperlink"/>
                <w:noProof/>
              </w:rPr>
              <w:t>1.3.1</w:t>
            </w:r>
            <w:r w:rsidR="005878B7">
              <w:rPr>
                <w:noProof/>
                <w:lang w:val="en-NZ" w:eastAsia="en-NZ"/>
              </w:rPr>
              <w:tab/>
            </w:r>
            <w:r w:rsidR="005878B7" w:rsidRPr="008D0C15">
              <w:rPr>
                <w:rStyle w:val="Hyperlink"/>
                <w:noProof/>
              </w:rPr>
              <w:t>A rights-based approach to family planning</w:t>
            </w:r>
            <w:r w:rsidR="005878B7">
              <w:rPr>
                <w:noProof/>
                <w:webHidden/>
              </w:rPr>
              <w:tab/>
            </w:r>
            <w:r w:rsidR="005878B7">
              <w:rPr>
                <w:noProof/>
                <w:webHidden/>
              </w:rPr>
              <w:fldChar w:fldCharType="begin"/>
            </w:r>
            <w:r w:rsidR="005878B7">
              <w:rPr>
                <w:noProof/>
                <w:webHidden/>
              </w:rPr>
              <w:instrText xml:space="preserve"> PAGEREF _Toc74154032 \h </w:instrText>
            </w:r>
            <w:r w:rsidR="005878B7">
              <w:rPr>
                <w:noProof/>
                <w:webHidden/>
              </w:rPr>
            </w:r>
            <w:r w:rsidR="005878B7">
              <w:rPr>
                <w:noProof/>
                <w:webHidden/>
              </w:rPr>
              <w:fldChar w:fldCharType="separate"/>
            </w:r>
            <w:r w:rsidR="005878B7">
              <w:rPr>
                <w:noProof/>
                <w:webHidden/>
              </w:rPr>
              <w:t>14</w:t>
            </w:r>
            <w:r w:rsidR="005878B7">
              <w:rPr>
                <w:noProof/>
                <w:webHidden/>
              </w:rPr>
              <w:fldChar w:fldCharType="end"/>
            </w:r>
          </w:hyperlink>
        </w:p>
        <w:p w14:paraId="71EA02F0" w14:textId="29B90580" w:rsidR="005878B7" w:rsidRDefault="00AC466B">
          <w:pPr>
            <w:pStyle w:val="TOC3"/>
            <w:tabs>
              <w:tab w:val="left" w:pos="1320"/>
              <w:tab w:val="right" w:leader="dot" w:pos="9350"/>
            </w:tabs>
            <w:rPr>
              <w:noProof/>
              <w:lang w:val="en-NZ" w:eastAsia="en-NZ"/>
            </w:rPr>
          </w:pPr>
          <w:hyperlink w:anchor="_Toc74154033" w:history="1">
            <w:r w:rsidR="005878B7" w:rsidRPr="008D0C15">
              <w:rPr>
                <w:rStyle w:val="Hyperlink"/>
                <w:noProof/>
              </w:rPr>
              <w:t>1.3.2</w:t>
            </w:r>
            <w:r w:rsidR="005878B7">
              <w:rPr>
                <w:noProof/>
                <w:lang w:val="en-NZ" w:eastAsia="en-NZ"/>
              </w:rPr>
              <w:tab/>
            </w:r>
            <w:r w:rsidR="005878B7" w:rsidRPr="008D0C15">
              <w:rPr>
                <w:rStyle w:val="Hyperlink"/>
                <w:noProof/>
              </w:rPr>
              <w:t>Family planning and the SDGs</w:t>
            </w:r>
            <w:r w:rsidR="005878B7">
              <w:rPr>
                <w:noProof/>
                <w:webHidden/>
              </w:rPr>
              <w:tab/>
            </w:r>
            <w:r w:rsidR="005878B7">
              <w:rPr>
                <w:noProof/>
                <w:webHidden/>
              </w:rPr>
              <w:fldChar w:fldCharType="begin"/>
            </w:r>
            <w:r w:rsidR="005878B7">
              <w:rPr>
                <w:noProof/>
                <w:webHidden/>
              </w:rPr>
              <w:instrText xml:space="preserve"> PAGEREF _Toc74154033 \h </w:instrText>
            </w:r>
            <w:r w:rsidR="005878B7">
              <w:rPr>
                <w:noProof/>
                <w:webHidden/>
              </w:rPr>
            </w:r>
            <w:r w:rsidR="005878B7">
              <w:rPr>
                <w:noProof/>
                <w:webHidden/>
              </w:rPr>
              <w:fldChar w:fldCharType="separate"/>
            </w:r>
            <w:r w:rsidR="005878B7">
              <w:rPr>
                <w:noProof/>
                <w:webHidden/>
              </w:rPr>
              <w:t>14</w:t>
            </w:r>
            <w:r w:rsidR="005878B7">
              <w:rPr>
                <w:noProof/>
                <w:webHidden/>
              </w:rPr>
              <w:fldChar w:fldCharType="end"/>
            </w:r>
          </w:hyperlink>
        </w:p>
        <w:p w14:paraId="397FB463" w14:textId="5F0B2990" w:rsidR="005878B7" w:rsidRDefault="00AC466B">
          <w:pPr>
            <w:pStyle w:val="TOC2"/>
            <w:tabs>
              <w:tab w:val="left" w:pos="880"/>
              <w:tab w:val="right" w:leader="dot" w:pos="9350"/>
            </w:tabs>
            <w:rPr>
              <w:noProof/>
              <w:lang w:val="en-NZ" w:eastAsia="en-NZ"/>
            </w:rPr>
          </w:pPr>
          <w:hyperlink w:anchor="_Toc74154034" w:history="1">
            <w:r w:rsidR="005878B7" w:rsidRPr="008D0C15">
              <w:rPr>
                <w:rStyle w:val="Hyperlink"/>
                <w:noProof/>
              </w:rPr>
              <w:t>1.4</w:t>
            </w:r>
            <w:r w:rsidR="005878B7">
              <w:rPr>
                <w:noProof/>
                <w:lang w:val="en-NZ" w:eastAsia="en-NZ"/>
              </w:rPr>
              <w:tab/>
            </w:r>
            <w:r w:rsidR="005878B7" w:rsidRPr="008D0C15">
              <w:rPr>
                <w:rStyle w:val="Hyperlink"/>
                <w:noProof/>
              </w:rPr>
              <w:t>Current State of Education for girls and boys</w:t>
            </w:r>
            <w:r w:rsidR="005878B7">
              <w:rPr>
                <w:noProof/>
                <w:webHidden/>
              </w:rPr>
              <w:tab/>
            </w:r>
            <w:r w:rsidR="005878B7">
              <w:rPr>
                <w:noProof/>
                <w:webHidden/>
              </w:rPr>
              <w:fldChar w:fldCharType="begin"/>
            </w:r>
            <w:r w:rsidR="005878B7">
              <w:rPr>
                <w:noProof/>
                <w:webHidden/>
              </w:rPr>
              <w:instrText xml:space="preserve"> PAGEREF _Toc74154034 \h </w:instrText>
            </w:r>
            <w:r w:rsidR="005878B7">
              <w:rPr>
                <w:noProof/>
                <w:webHidden/>
              </w:rPr>
            </w:r>
            <w:r w:rsidR="005878B7">
              <w:rPr>
                <w:noProof/>
                <w:webHidden/>
              </w:rPr>
              <w:fldChar w:fldCharType="separate"/>
            </w:r>
            <w:r w:rsidR="005878B7">
              <w:rPr>
                <w:noProof/>
                <w:webHidden/>
              </w:rPr>
              <w:t>15</w:t>
            </w:r>
            <w:r w:rsidR="005878B7">
              <w:rPr>
                <w:noProof/>
                <w:webHidden/>
              </w:rPr>
              <w:fldChar w:fldCharType="end"/>
            </w:r>
          </w:hyperlink>
        </w:p>
        <w:p w14:paraId="733815E6" w14:textId="1AF2BAA6" w:rsidR="005878B7" w:rsidRDefault="00AC466B">
          <w:pPr>
            <w:pStyle w:val="TOC3"/>
            <w:tabs>
              <w:tab w:val="left" w:pos="1320"/>
              <w:tab w:val="right" w:leader="dot" w:pos="9350"/>
            </w:tabs>
            <w:rPr>
              <w:noProof/>
              <w:lang w:val="en-NZ" w:eastAsia="en-NZ"/>
            </w:rPr>
          </w:pPr>
          <w:hyperlink w:anchor="_Toc74154035" w:history="1">
            <w:r w:rsidR="005878B7" w:rsidRPr="008D0C15">
              <w:rPr>
                <w:rStyle w:val="Hyperlink"/>
                <w:noProof/>
              </w:rPr>
              <w:t>1.4.1</w:t>
            </w:r>
            <w:r w:rsidR="005878B7">
              <w:rPr>
                <w:noProof/>
                <w:lang w:val="en-NZ" w:eastAsia="en-NZ"/>
              </w:rPr>
              <w:tab/>
            </w:r>
            <w:r w:rsidR="005878B7" w:rsidRPr="008D0C15">
              <w:rPr>
                <w:rStyle w:val="Hyperlink"/>
                <w:noProof/>
              </w:rPr>
              <w:t>Global levels of primary and secondary education</w:t>
            </w:r>
            <w:r w:rsidR="005878B7">
              <w:rPr>
                <w:noProof/>
                <w:webHidden/>
              </w:rPr>
              <w:tab/>
            </w:r>
            <w:r w:rsidR="005878B7">
              <w:rPr>
                <w:noProof/>
                <w:webHidden/>
              </w:rPr>
              <w:fldChar w:fldCharType="begin"/>
            </w:r>
            <w:r w:rsidR="005878B7">
              <w:rPr>
                <w:noProof/>
                <w:webHidden/>
              </w:rPr>
              <w:instrText xml:space="preserve"> PAGEREF _Toc74154035 \h </w:instrText>
            </w:r>
            <w:r w:rsidR="005878B7">
              <w:rPr>
                <w:noProof/>
                <w:webHidden/>
              </w:rPr>
            </w:r>
            <w:r w:rsidR="005878B7">
              <w:rPr>
                <w:noProof/>
                <w:webHidden/>
              </w:rPr>
              <w:fldChar w:fldCharType="separate"/>
            </w:r>
            <w:r w:rsidR="005878B7">
              <w:rPr>
                <w:noProof/>
                <w:webHidden/>
              </w:rPr>
              <w:t>15</w:t>
            </w:r>
            <w:r w:rsidR="005878B7">
              <w:rPr>
                <w:noProof/>
                <w:webHidden/>
              </w:rPr>
              <w:fldChar w:fldCharType="end"/>
            </w:r>
          </w:hyperlink>
        </w:p>
        <w:p w14:paraId="49AD13E3" w14:textId="5E2942F0" w:rsidR="005878B7" w:rsidRDefault="00AC466B">
          <w:pPr>
            <w:pStyle w:val="TOC3"/>
            <w:tabs>
              <w:tab w:val="left" w:pos="1320"/>
              <w:tab w:val="right" w:leader="dot" w:pos="9350"/>
            </w:tabs>
            <w:rPr>
              <w:noProof/>
              <w:lang w:val="en-NZ" w:eastAsia="en-NZ"/>
            </w:rPr>
          </w:pPr>
          <w:hyperlink w:anchor="_Toc74154036" w:history="1">
            <w:r w:rsidR="005878B7" w:rsidRPr="008D0C15">
              <w:rPr>
                <w:rStyle w:val="Hyperlink"/>
                <w:noProof/>
              </w:rPr>
              <w:t>1.4.2</w:t>
            </w:r>
            <w:r w:rsidR="005878B7">
              <w:rPr>
                <w:noProof/>
                <w:lang w:val="en-NZ" w:eastAsia="en-NZ"/>
              </w:rPr>
              <w:tab/>
            </w:r>
            <w:r w:rsidR="005878B7" w:rsidRPr="008D0C15">
              <w:rPr>
                <w:rStyle w:val="Hyperlink"/>
                <w:noProof/>
              </w:rPr>
              <w:t>Education and the SDGs</w:t>
            </w:r>
            <w:r w:rsidR="005878B7">
              <w:rPr>
                <w:noProof/>
                <w:webHidden/>
              </w:rPr>
              <w:tab/>
            </w:r>
            <w:r w:rsidR="005878B7">
              <w:rPr>
                <w:noProof/>
                <w:webHidden/>
              </w:rPr>
              <w:fldChar w:fldCharType="begin"/>
            </w:r>
            <w:r w:rsidR="005878B7">
              <w:rPr>
                <w:noProof/>
                <w:webHidden/>
              </w:rPr>
              <w:instrText xml:space="preserve"> PAGEREF _Toc74154036 \h </w:instrText>
            </w:r>
            <w:r w:rsidR="005878B7">
              <w:rPr>
                <w:noProof/>
                <w:webHidden/>
              </w:rPr>
            </w:r>
            <w:r w:rsidR="005878B7">
              <w:rPr>
                <w:noProof/>
                <w:webHidden/>
              </w:rPr>
              <w:fldChar w:fldCharType="separate"/>
            </w:r>
            <w:r w:rsidR="005878B7">
              <w:rPr>
                <w:noProof/>
                <w:webHidden/>
              </w:rPr>
              <w:t>17</w:t>
            </w:r>
            <w:r w:rsidR="005878B7">
              <w:rPr>
                <w:noProof/>
                <w:webHidden/>
              </w:rPr>
              <w:fldChar w:fldCharType="end"/>
            </w:r>
          </w:hyperlink>
        </w:p>
        <w:p w14:paraId="0FE0C4B5" w14:textId="3DB0093F" w:rsidR="005878B7" w:rsidRDefault="00AC466B">
          <w:pPr>
            <w:pStyle w:val="TOC3"/>
            <w:tabs>
              <w:tab w:val="left" w:pos="1320"/>
              <w:tab w:val="right" w:leader="dot" w:pos="9350"/>
            </w:tabs>
            <w:rPr>
              <w:noProof/>
              <w:lang w:val="en-NZ" w:eastAsia="en-NZ"/>
            </w:rPr>
          </w:pPr>
          <w:hyperlink w:anchor="_Toc74154037" w:history="1">
            <w:r w:rsidR="005878B7" w:rsidRPr="008D0C15">
              <w:rPr>
                <w:rStyle w:val="Hyperlink"/>
                <w:noProof/>
              </w:rPr>
              <w:t>1.4.3</w:t>
            </w:r>
            <w:r w:rsidR="005878B7">
              <w:rPr>
                <w:noProof/>
                <w:lang w:val="en-NZ" w:eastAsia="en-NZ"/>
              </w:rPr>
              <w:tab/>
            </w:r>
            <w:r w:rsidR="005878B7" w:rsidRPr="008D0C15">
              <w:rPr>
                <w:rStyle w:val="Hyperlink"/>
                <w:noProof/>
              </w:rPr>
              <w:t>The social costs of not educating girls</w:t>
            </w:r>
            <w:r w:rsidR="005878B7">
              <w:rPr>
                <w:noProof/>
                <w:webHidden/>
              </w:rPr>
              <w:tab/>
            </w:r>
            <w:r w:rsidR="005878B7">
              <w:rPr>
                <w:noProof/>
                <w:webHidden/>
              </w:rPr>
              <w:fldChar w:fldCharType="begin"/>
            </w:r>
            <w:r w:rsidR="005878B7">
              <w:rPr>
                <w:noProof/>
                <w:webHidden/>
              </w:rPr>
              <w:instrText xml:space="preserve"> PAGEREF _Toc74154037 \h </w:instrText>
            </w:r>
            <w:r w:rsidR="005878B7">
              <w:rPr>
                <w:noProof/>
                <w:webHidden/>
              </w:rPr>
            </w:r>
            <w:r w:rsidR="005878B7">
              <w:rPr>
                <w:noProof/>
                <w:webHidden/>
              </w:rPr>
              <w:fldChar w:fldCharType="separate"/>
            </w:r>
            <w:r w:rsidR="005878B7">
              <w:rPr>
                <w:noProof/>
                <w:webHidden/>
              </w:rPr>
              <w:t>17</w:t>
            </w:r>
            <w:r w:rsidR="005878B7">
              <w:rPr>
                <w:noProof/>
                <w:webHidden/>
              </w:rPr>
              <w:fldChar w:fldCharType="end"/>
            </w:r>
          </w:hyperlink>
        </w:p>
        <w:p w14:paraId="3CE7140B" w14:textId="79CD82C9" w:rsidR="005878B7" w:rsidRDefault="00AC466B">
          <w:pPr>
            <w:pStyle w:val="TOC3"/>
            <w:tabs>
              <w:tab w:val="left" w:pos="1320"/>
              <w:tab w:val="right" w:leader="dot" w:pos="9350"/>
            </w:tabs>
            <w:rPr>
              <w:noProof/>
              <w:lang w:val="en-NZ" w:eastAsia="en-NZ"/>
            </w:rPr>
          </w:pPr>
          <w:hyperlink w:anchor="_Toc74154038" w:history="1">
            <w:r w:rsidR="005878B7" w:rsidRPr="008D0C15">
              <w:rPr>
                <w:rStyle w:val="Hyperlink"/>
                <w:noProof/>
              </w:rPr>
              <w:t>1.4.4</w:t>
            </w:r>
            <w:r w:rsidR="005878B7">
              <w:rPr>
                <w:noProof/>
                <w:lang w:val="en-NZ" w:eastAsia="en-NZ"/>
              </w:rPr>
              <w:tab/>
            </w:r>
            <w:r w:rsidR="005878B7" w:rsidRPr="008D0C15">
              <w:rPr>
                <w:rStyle w:val="Hyperlink"/>
                <w:noProof/>
              </w:rPr>
              <w:t>Climate education and green skills</w:t>
            </w:r>
            <w:r w:rsidR="005878B7">
              <w:rPr>
                <w:noProof/>
                <w:webHidden/>
              </w:rPr>
              <w:tab/>
            </w:r>
            <w:r w:rsidR="005878B7">
              <w:rPr>
                <w:noProof/>
                <w:webHidden/>
              </w:rPr>
              <w:fldChar w:fldCharType="begin"/>
            </w:r>
            <w:r w:rsidR="005878B7">
              <w:rPr>
                <w:noProof/>
                <w:webHidden/>
              </w:rPr>
              <w:instrText xml:space="preserve"> PAGEREF _Toc74154038 \h </w:instrText>
            </w:r>
            <w:r w:rsidR="005878B7">
              <w:rPr>
                <w:noProof/>
                <w:webHidden/>
              </w:rPr>
            </w:r>
            <w:r w:rsidR="005878B7">
              <w:rPr>
                <w:noProof/>
                <w:webHidden/>
              </w:rPr>
              <w:fldChar w:fldCharType="separate"/>
            </w:r>
            <w:r w:rsidR="005878B7">
              <w:rPr>
                <w:noProof/>
                <w:webHidden/>
              </w:rPr>
              <w:t>18</w:t>
            </w:r>
            <w:r w:rsidR="005878B7">
              <w:rPr>
                <w:noProof/>
                <w:webHidden/>
              </w:rPr>
              <w:fldChar w:fldCharType="end"/>
            </w:r>
          </w:hyperlink>
        </w:p>
        <w:p w14:paraId="07F8BDFF" w14:textId="4501F2C8" w:rsidR="005878B7" w:rsidRDefault="00AC466B">
          <w:pPr>
            <w:pStyle w:val="TOC2"/>
            <w:tabs>
              <w:tab w:val="left" w:pos="880"/>
              <w:tab w:val="right" w:leader="dot" w:pos="9350"/>
            </w:tabs>
            <w:rPr>
              <w:noProof/>
              <w:lang w:val="en-NZ" w:eastAsia="en-NZ"/>
            </w:rPr>
          </w:pPr>
          <w:hyperlink w:anchor="_Toc74154039" w:history="1">
            <w:r w:rsidR="005878B7" w:rsidRPr="008D0C15">
              <w:rPr>
                <w:rStyle w:val="Hyperlink"/>
                <w:noProof/>
              </w:rPr>
              <w:t>1.5</w:t>
            </w:r>
            <w:r w:rsidR="005878B7">
              <w:rPr>
                <w:noProof/>
                <w:lang w:val="en-NZ" w:eastAsia="en-NZ"/>
              </w:rPr>
              <w:tab/>
            </w:r>
            <w:r w:rsidR="005878B7" w:rsidRPr="008D0C15">
              <w:rPr>
                <w:rStyle w:val="Hyperlink"/>
                <w:noProof/>
              </w:rPr>
              <w:t>Population dynamics and climate change</w:t>
            </w:r>
            <w:r w:rsidR="005878B7">
              <w:rPr>
                <w:noProof/>
                <w:webHidden/>
              </w:rPr>
              <w:tab/>
            </w:r>
            <w:r w:rsidR="005878B7">
              <w:rPr>
                <w:noProof/>
                <w:webHidden/>
              </w:rPr>
              <w:fldChar w:fldCharType="begin"/>
            </w:r>
            <w:r w:rsidR="005878B7">
              <w:rPr>
                <w:noProof/>
                <w:webHidden/>
              </w:rPr>
              <w:instrText xml:space="preserve"> PAGEREF _Toc74154039 \h </w:instrText>
            </w:r>
            <w:r w:rsidR="005878B7">
              <w:rPr>
                <w:noProof/>
                <w:webHidden/>
              </w:rPr>
            </w:r>
            <w:r w:rsidR="005878B7">
              <w:rPr>
                <w:noProof/>
                <w:webHidden/>
              </w:rPr>
              <w:fldChar w:fldCharType="separate"/>
            </w:r>
            <w:r w:rsidR="005878B7">
              <w:rPr>
                <w:noProof/>
                <w:webHidden/>
              </w:rPr>
              <w:t>19</w:t>
            </w:r>
            <w:r w:rsidR="005878B7">
              <w:rPr>
                <w:noProof/>
                <w:webHidden/>
              </w:rPr>
              <w:fldChar w:fldCharType="end"/>
            </w:r>
          </w:hyperlink>
        </w:p>
        <w:p w14:paraId="6C9D8480" w14:textId="44D22A72" w:rsidR="005878B7" w:rsidRDefault="00AC466B">
          <w:pPr>
            <w:pStyle w:val="TOC2"/>
            <w:tabs>
              <w:tab w:val="left" w:pos="880"/>
              <w:tab w:val="right" w:leader="dot" w:pos="9350"/>
            </w:tabs>
            <w:rPr>
              <w:noProof/>
              <w:lang w:val="en-NZ" w:eastAsia="en-NZ"/>
            </w:rPr>
          </w:pPr>
          <w:hyperlink w:anchor="_Toc74154040" w:history="1">
            <w:r w:rsidR="005878B7" w:rsidRPr="008D0C15">
              <w:rPr>
                <w:rStyle w:val="Hyperlink"/>
                <w:noProof/>
              </w:rPr>
              <w:t>1.6</w:t>
            </w:r>
            <w:r w:rsidR="005878B7">
              <w:rPr>
                <w:noProof/>
                <w:lang w:val="en-NZ" w:eastAsia="en-NZ"/>
              </w:rPr>
              <w:tab/>
            </w:r>
            <w:r w:rsidR="005878B7" w:rsidRPr="008D0C15">
              <w:rPr>
                <w:rStyle w:val="Hyperlink"/>
                <w:noProof/>
              </w:rPr>
              <w:t>Pathways to Adoption</w:t>
            </w:r>
            <w:r w:rsidR="005878B7">
              <w:rPr>
                <w:noProof/>
                <w:webHidden/>
              </w:rPr>
              <w:tab/>
            </w:r>
            <w:r w:rsidR="005878B7">
              <w:rPr>
                <w:noProof/>
                <w:webHidden/>
              </w:rPr>
              <w:fldChar w:fldCharType="begin"/>
            </w:r>
            <w:r w:rsidR="005878B7">
              <w:rPr>
                <w:noProof/>
                <w:webHidden/>
              </w:rPr>
              <w:instrText xml:space="preserve"> PAGEREF _Toc74154040 \h </w:instrText>
            </w:r>
            <w:r w:rsidR="005878B7">
              <w:rPr>
                <w:noProof/>
                <w:webHidden/>
              </w:rPr>
            </w:r>
            <w:r w:rsidR="005878B7">
              <w:rPr>
                <w:noProof/>
                <w:webHidden/>
              </w:rPr>
              <w:fldChar w:fldCharType="separate"/>
            </w:r>
            <w:r w:rsidR="005878B7">
              <w:rPr>
                <w:noProof/>
                <w:webHidden/>
              </w:rPr>
              <w:t>21</w:t>
            </w:r>
            <w:r w:rsidR="005878B7">
              <w:rPr>
                <w:noProof/>
                <w:webHidden/>
              </w:rPr>
              <w:fldChar w:fldCharType="end"/>
            </w:r>
          </w:hyperlink>
        </w:p>
        <w:p w14:paraId="71F10A6C" w14:textId="1F0615BC" w:rsidR="005878B7" w:rsidRDefault="00AC466B">
          <w:pPr>
            <w:pStyle w:val="TOC3"/>
            <w:tabs>
              <w:tab w:val="left" w:pos="1320"/>
              <w:tab w:val="right" w:leader="dot" w:pos="9350"/>
            </w:tabs>
            <w:rPr>
              <w:noProof/>
              <w:lang w:val="en-NZ" w:eastAsia="en-NZ"/>
            </w:rPr>
          </w:pPr>
          <w:hyperlink w:anchor="_Toc74154041" w:history="1">
            <w:r w:rsidR="005878B7" w:rsidRPr="008D0C15">
              <w:rPr>
                <w:rStyle w:val="Hyperlink"/>
                <w:noProof/>
              </w:rPr>
              <w:t>1.6.1</w:t>
            </w:r>
            <w:r w:rsidR="005878B7">
              <w:rPr>
                <w:noProof/>
                <w:lang w:val="en-NZ" w:eastAsia="en-NZ"/>
              </w:rPr>
              <w:tab/>
            </w:r>
            <w:r w:rsidR="005878B7" w:rsidRPr="008D0C15">
              <w:rPr>
                <w:rStyle w:val="Hyperlink"/>
                <w:noProof/>
              </w:rPr>
              <w:t>Barriers to family planning uptake</w:t>
            </w:r>
            <w:r w:rsidR="005878B7">
              <w:rPr>
                <w:noProof/>
                <w:webHidden/>
              </w:rPr>
              <w:tab/>
            </w:r>
            <w:r w:rsidR="005878B7">
              <w:rPr>
                <w:noProof/>
                <w:webHidden/>
              </w:rPr>
              <w:fldChar w:fldCharType="begin"/>
            </w:r>
            <w:r w:rsidR="005878B7">
              <w:rPr>
                <w:noProof/>
                <w:webHidden/>
              </w:rPr>
              <w:instrText xml:space="preserve"> PAGEREF _Toc74154041 \h </w:instrText>
            </w:r>
            <w:r w:rsidR="005878B7">
              <w:rPr>
                <w:noProof/>
                <w:webHidden/>
              </w:rPr>
            </w:r>
            <w:r w:rsidR="005878B7">
              <w:rPr>
                <w:noProof/>
                <w:webHidden/>
              </w:rPr>
              <w:fldChar w:fldCharType="separate"/>
            </w:r>
            <w:r w:rsidR="005878B7">
              <w:rPr>
                <w:noProof/>
                <w:webHidden/>
              </w:rPr>
              <w:t>21</w:t>
            </w:r>
            <w:r w:rsidR="005878B7">
              <w:rPr>
                <w:noProof/>
                <w:webHidden/>
              </w:rPr>
              <w:fldChar w:fldCharType="end"/>
            </w:r>
          </w:hyperlink>
        </w:p>
        <w:p w14:paraId="4729CF0A" w14:textId="48BEF1F6" w:rsidR="005878B7" w:rsidRDefault="00AC466B">
          <w:pPr>
            <w:pStyle w:val="TOC3"/>
            <w:tabs>
              <w:tab w:val="left" w:pos="1320"/>
              <w:tab w:val="right" w:leader="dot" w:pos="9350"/>
            </w:tabs>
            <w:rPr>
              <w:noProof/>
              <w:lang w:val="en-NZ" w:eastAsia="en-NZ"/>
            </w:rPr>
          </w:pPr>
          <w:hyperlink w:anchor="_Toc74154042" w:history="1">
            <w:r w:rsidR="005878B7" w:rsidRPr="008D0C15">
              <w:rPr>
                <w:rStyle w:val="Hyperlink"/>
                <w:noProof/>
              </w:rPr>
              <w:t>1.6.2</w:t>
            </w:r>
            <w:r w:rsidR="005878B7">
              <w:rPr>
                <w:noProof/>
                <w:lang w:val="en-NZ" w:eastAsia="en-NZ"/>
              </w:rPr>
              <w:tab/>
            </w:r>
            <w:r w:rsidR="005878B7" w:rsidRPr="008D0C15">
              <w:rPr>
                <w:rStyle w:val="Hyperlink"/>
                <w:noProof/>
              </w:rPr>
              <w:t>Barriers to education</w:t>
            </w:r>
            <w:r w:rsidR="005878B7">
              <w:rPr>
                <w:noProof/>
                <w:webHidden/>
              </w:rPr>
              <w:tab/>
            </w:r>
            <w:r w:rsidR="005878B7">
              <w:rPr>
                <w:noProof/>
                <w:webHidden/>
              </w:rPr>
              <w:fldChar w:fldCharType="begin"/>
            </w:r>
            <w:r w:rsidR="005878B7">
              <w:rPr>
                <w:noProof/>
                <w:webHidden/>
              </w:rPr>
              <w:instrText xml:space="preserve"> PAGEREF _Toc74154042 \h </w:instrText>
            </w:r>
            <w:r w:rsidR="005878B7">
              <w:rPr>
                <w:noProof/>
                <w:webHidden/>
              </w:rPr>
            </w:r>
            <w:r w:rsidR="005878B7">
              <w:rPr>
                <w:noProof/>
                <w:webHidden/>
              </w:rPr>
              <w:fldChar w:fldCharType="separate"/>
            </w:r>
            <w:r w:rsidR="005878B7">
              <w:rPr>
                <w:noProof/>
                <w:webHidden/>
              </w:rPr>
              <w:t>22</w:t>
            </w:r>
            <w:r w:rsidR="005878B7">
              <w:rPr>
                <w:noProof/>
                <w:webHidden/>
              </w:rPr>
              <w:fldChar w:fldCharType="end"/>
            </w:r>
          </w:hyperlink>
        </w:p>
        <w:p w14:paraId="29F88B93" w14:textId="2C53E3DC" w:rsidR="005878B7" w:rsidRDefault="00AC466B">
          <w:pPr>
            <w:pStyle w:val="TOC3"/>
            <w:tabs>
              <w:tab w:val="left" w:pos="1320"/>
              <w:tab w:val="right" w:leader="dot" w:pos="9350"/>
            </w:tabs>
            <w:rPr>
              <w:noProof/>
              <w:lang w:val="en-NZ" w:eastAsia="en-NZ"/>
            </w:rPr>
          </w:pPr>
          <w:hyperlink w:anchor="_Toc74154043" w:history="1">
            <w:r w:rsidR="005878B7" w:rsidRPr="008D0C15">
              <w:rPr>
                <w:rStyle w:val="Hyperlink"/>
                <w:noProof/>
              </w:rPr>
              <w:t>1.6.3</w:t>
            </w:r>
            <w:r w:rsidR="005878B7">
              <w:rPr>
                <w:noProof/>
                <w:lang w:val="en-NZ" w:eastAsia="en-NZ"/>
              </w:rPr>
              <w:tab/>
            </w:r>
            <w:r w:rsidR="005878B7" w:rsidRPr="008D0C15">
              <w:rPr>
                <w:rStyle w:val="Hyperlink"/>
                <w:noProof/>
              </w:rPr>
              <w:t>Other factors that affect health and education</w:t>
            </w:r>
            <w:r w:rsidR="005878B7">
              <w:rPr>
                <w:noProof/>
                <w:webHidden/>
              </w:rPr>
              <w:tab/>
            </w:r>
            <w:r w:rsidR="005878B7">
              <w:rPr>
                <w:noProof/>
                <w:webHidden/>
              </w:rPr>
              <w:fldChar w:fldCharType="begin"/>
            </w:r>
            <w:r w:rsidR="005878B7">
              <w:rPr>
                <w:noProof/>
                <w:webHidden/>
              </w:rPr>
              <w:instrText xml:space="preserve"> PAGEREF _Toc74154043 \h </w:instrText>
            </w:r>
            <w:r w:rsidR="005878B7">
              <w:rPr>
                <w:noProof/>
                <w:webHidden/>
              </w:rPr>
            </w:r>
            <w:r w:rsidR="005878B7">
              <w:rPr>
                <w:noProof/>
                <w:webHidden/>
              </w:rPr>
              <w:fldChar w:fldCharType="separate"/>
            </w:r>
            <w:r w:rsidR="005878B7">
              <w:rPr>
                <w:noProof/>
                <w:webHidden/>
              </w:rPr>
              <w:t>23</w:t>
            </w:r>
            <w:r w:rsidR="005878B7">
              <w:rPr>
                <w:noProof/>
                <w:webHidden/>
              </w:rPr>
              <w:fldChar w:fldCharType="end"/>
            </w:r>
          </w:hyperlink>
        </w:p>
        <w:p w14:paraId="3F0F512E" w14:textId="6C9631A4" w:rsidR="005878B7" w:rsidRDefault="00AC466B">
          <w:pPr>
            <w:pStyle w:val="TOC4"/>
            <w:tabs>
              <w:tab w:val="left" w:pos="1540"/>
              <w:tab w:val="right" w:leader="dot" w:pos="9350"/>
            </w:tabs>
            <w:rPr>
              <w:noProof/>
              <w:lang w:val="en-NZ" w:eastAsia="en-NZ"/>
            </w:rPr>
          </w:pPr>
          <w:hyperlink w:anchor="_Toc74154044" w:history="1">
            <w:r w:rsidR="005878B7" w:rsidRPr="008D0C15">
              <w:rPr>
                <w:rStyle w:val="Hyperlink"/>
                <w:noProof/>
              </w:rPr>
              <w:t>1.6.3.1</w:t>
            </w:r>
            <w:r w:rsidR="005878B7">
              <w:rPr>
                <w:noProof/>
                <w:lang w:val="en-NZ" w:eastAsia="en-NZ"/>
              </w:rPr>
              <w:tab/>
            </w:r>
            <w:r w:rsidR="005878B7" w:rsidRPr="008D0C15">
              <w:rPr>
                <w:rStyle w:val="Hyperlink"/>
                <w:noProof/>
              </w:rPr>
              <w:t>Poverty</w:t>
            </w:r>
            <w:r w:rsidR="005878B7">
              <w:rPr>
                <w:noProof/>
                <w:webHidden/>
              </w:rPr>
              <w:tab/>
            </w:r>
            <w:r w:rsidR="005878B7">
              <w:rPr>
                <w:noProof/>
                <w:webHidden/>
              </w:rPr>
              <w:fldChar w:fldCharType="begin"/>
            </w:r>
            <w:r w:rsidR="005878B7">
              <w:rPr>
                <w:noProof/>
                <w:webHidden/>
              </w:rPr>
              <w:instrText xml:space="preserve"> PAGEREF _Toc74154044 \h </w:instrText>
            </w:r>
            <w:r w:rsidR="005878B7">
              <w:rPr>
                <w:noProof/>
                <w:webHidden/>
              </w:rPr>
            </w:r>
            <w:r w:rsidR="005878B7">
              <w:rPr>
                <w:noProof/>
                <w:webHidden/>
              </w:rPr>
              <w:fldChar w:fldCharType="separate"/>
            </w:r>
            <w:r w:rsidR="005878B7">
              <w:rPr>
                <w:noProof/>
                <w:webHidden/>
              </w:rPr>
              <w:t>23</w:t>
            </w:r>
            <w:r w:rsidR="005878B7">
              <w:rPr>
                <w:noProof/>
                <w:webHidden/>
              </w:rPr>
              <w:fldChar w:fldCharType="end"/>
            </w:r>
          </w:hyperlink>
        </w:p>
        <w:p w14:paraId="49AA3631" w14:textId="1E04AF04" w:rsidR="005878B7" w:rsidRDefault="00AC466B">
          <w:pPr>
            <w:pStyle w:val="TOC4"/>
            <w:tabs>
              <w:tab w:val="left" w:pos="1540"/>
              <w:tab w:val="right" w:leader="dot" w:pos="9350"/>
            </w:tabs>
            <w:rPr>
              <w:noProof/>
              <w:lang w:val="en-NZ" w:eastAsia="en-NZ"/>
            </w:rPr>
          </w:pPr>
          <w:hyperlink w:anchor="_Toc74154045" w:history="1">
            <w:r w:rsidR="005878B7" w:rsidRPr="008D0C15">
              <w:rPr>
                <w:rStyle w:val="Hyperlink"/>
                <w:noProof/>
              </w:rPr>
              <w:t>1.6.3.2</w:t>
            </w:r>
            <w:r w:rsidR="005878B7">
              <w:rPr>
                <w:noProof/>
                <w:lang w:val="en-NZ" w:eastAsia="en-NZ"/>
              </w:rPr>
              <w:tab/>
            </w:r>
            <w:r w:rsidR="005878B7" w:rsidRPr="008D0C15">
              <w:rPr>
                <w:rStyle w:val="Hyperlink"/>
                <w:noProof/>
              </w:rPr>
              <w:t>Gender equity</w:t>
            </w:r>
            <w:r w:rsidR="005878B7">
              <w:rPr>
                <w:noProof/>
                <w:webHidden/>
              </w:rPr>
              <w:tab/>
            </w:r>
            <w:r w:rsidR="005878B7">
              <w:rPr>
                <w:noProof/>
                <w:webHidden/>
              </w:rPr>
              <w:fldChar w:fldCharType="begin"/>
            </w:r>
            <w:r w:rsidR="005878B7">
              <w:rPr>
                <w:noProof/>
                <w:webHidden/>
              </w:rPr>
              <w:instrText xml:space="preserve"> PAGEREF _Toc74154045 \h </w:instrText>
            </w:r>
            <w:r w:rsidR="005878B7">
              <w:rPr>
                <w:noProof/>
                <w:webHidden/>
              </w:rPr>
            </w:r>
            <w:r w:rsidR="005878B7">
              <w:rPr>
                <w:noProof/>
                <w:webHidden/>
              </w:rPr>
              <w:fldChar w:fldCharType="separate"/>
            </w:r>
            <w:r w:rsidR="005878B7">
              <w:rPr>
                <w:noProof/>
                <w:webHidden/>
              </w:rPr>
              <w:t>24</w:t>
            </w:r>
            <w:r w:rsidR="005878B7">
              <w:rPr>
                <w:noProof/>
                <w:webHidden/>
              </w:rPr>
              <w:fldChar w:fldCharType="end"/>
            </w:r>
          </w:hyperlink>
        </w:p>
        <w:p w14:paraId="21EDBF88" w14:textId="6829338A" w:rsidR="005878B7" w:rsidRDefault="00AC466B">
          <w:pPr>
            <w:pStyle w:val="TOC4"/>
            <w:tabs>
              <w:tab w:val="left" w:pos="1540"/>
              <w:tab w:val="right" w:leader="dot" w:pos="9350"/>
            </w:tabs>
            <w:rPr>
              <w:noProof/>
              <w:lang w:val="en-NZ" w:eastAsia="en-NZ"/>
            </w:rPr>
          </w:pPr>
          <w:hyperlink w:anchor="_Toc74154046" w:history="1">
            <w:r w:rsidR="005878B7" w:rsidRPr="008D0C15">
              <w:rPr>
                <w:rStyle w:val="Hyperlink"/>
                <w:noProof/>
              </w:rPr>
              <w:t>1.6.3.3</w:t>
            </w:r>
            <w:r w:rsidR="005878B7">
              <w:rPr>
                <w:noProof/>
                <w:lang w:val="en-NZ" w:eastAsia="en-NZ"/>
              </w:rPr>
              <w:tab/>
            </w:r>
            <w:r w:rsidR="005878B7" w:rsidRPr="008D0C15">
              <w:rPr>
                <w:rStyle w:val="Hyperlink"/>
                <w:noProof/>
              </w:rPr>
              <w:t>Urbanization</w:t>
            </w:r>
            <w:r w:rsidR="005878B7">
              <w:rPr>
                <w:noProof/>
                <w:webHidden/>
              </w:rPr>
              <w:tab/>
            </w:r>
            <w:r w:rsidR="005878B7">
              <w:rPr>
                <w:noProof/>
                <w:webHidden/>
              </w:rPr>
              <w:fldChar w:fldCharType="begin"/>
            </w:r>
            <w:r w:rsidR="005878B7">
              <w:rPr>
                <w:noProof/>
                <w:webHidden/>
              </w:rPr>
              <w:instrText xml:space="preserve"> PAGEREF _Toc74154046 \h </w:instrText>
            </w:r>
            <w:r w:rsidR="005878B7">
              <w:rPr>
                <w:noProof/>
                <w:webHidden/>
              </w:rPr>
            </w:r>
            <w:r w:rsidR="005878B7">
              <w:rPr>
                <w:noProof/>
                <w:webHidden/>
              </w:rPr>
              <w:fldChar w:fldCharType="separate"/>
            </w:r>
            <w:r w:rsidR="005878B7">
              <w:rPr>
                <w:noProof/>
                <w:webHidden/>
              </w:rPr>
              <w:t>25</w:t>
            </w:r>
            <w:r w:rsidR="005878B7">
              <w:rPr>
                <w:noProof/>
                <w:webHidden/>
              </w:rPr>
              <w:fldChar w:fldCharType="end"/>
            </w:r>
          </w:hyperlink>
        </w:p>
        <w:p w14:paraId="38D9940E" w14:textId="01175EBC" w:rsidR="005878B7" w:rsidRDefault="00AC466B">
          <w:pPr>
            <w:pStyle w:val="TOC4"/>
            <w:tabs>
              <w:tab w:val="left" w:pos="1540"/>
              <w:tab w:val="right" w:leader="dot" w:pos="9350"/>
            </w:tabs>
            <w:rPr>
              <w:noProof/>
              <w:lang w:val="en-NZ" w:eastAsia="en-NZ"/>
            </w:rPr>
          </w:pPr>
          <w:hyperlink w:anchor="_Toc74154047" w:history="1">
            <w:r w:rsidR="005878B7" w:rsidRPr="008D0C15">
              <w:rPr>
                <w:rStyle w:val="Hyperlink"/>
                <w:noProof/>
              </w:rPr>
              <w:t>1.6.3.4</w:t>
            </w:r>
            <w:r w:rsidR="005878B7">
              <w:rPr>
                <w:noProof/>
                <w:lang w:val="en-NZ" w:eastAsia="en-NZ"/>
              </w:rPr>
              <w:tab/>
            </w:r>
            <w:r w:rsidR="005878B7" w:rsidRPr="008D0C15">
              <w:rPr>
                <w:rStyle w:val="Hyperlink"/>
                <w:noProof/>
              </w:rPr>
              <w:t>COVID-19</w:t>
            </w:r>
            <w:r w:rsidR="005878B7">
              <w:rPr>
                <w:noProof/>
                <w:webHidden/>
              </w:rPr>
              <w:tab/>
            </w:r>
            <w:r w:rsidR="005878B7">
              <w:rPr>
                <w:noProof/>
                <w:webHidden/>
              </w:rPr>
              <w:fldChar w:fldCharType="begin"/>
            </w:r>
            <w:r w:rsidR="005878B7">
              <w:rPr>
                <w:noProof/>
                <w:webHidden/>
              </w:rPr>
              <w:instrText xml:space="preserve"> PAGEREF _Toc74154047 \h </w:instrText>
            </w:r>
            <w:r w:rsidR="005878B7">
              <w:rPr>
                <w:noProof/>
                <w:webHidden/>
              </w:rPr>
            </w:r>
            <w:r w:rsidR="005878B7">
              <w:rPr>
                <w:noProof/>
                <w:webHidden/>
              </w:rPr>
              <w:fldChar w:fldCharType="separate"/>
            </w:r>
            <w:r w:rsidR="005878B7">
              <w:rPr>
                <w:noProof/>
                <w:webHidden/>
              </w:rPr>
              <w:t>25</w:t>
            </w:r>
            <w:r w:rsidR="005878B7">
              <w:rPr>
                <w:noProof/>
                <w:webHidden/>
              </w:rPr>
              <w:fldChar w:fldCharType="end"/>
            </w:r>
          </w:hyperlink>
        </w:p>
        <w:p w14:paraId="0E11BA26" w14:textId="6152D421" w:rsidR="005878B7" w:rsidRDefault="00AC466B">
          <w:pPr>
            <w:pStyle w:val="TOC4"/>
            <w:tabs>
              <w:tab w:val="left" w:pos="1540"/>
              <w:tab w:val="right" w:leader="dot" w:pos="9350"/>
            </w:tabs>
            <w:rPr>
              <w:noProof/>
              <w:lang w:val="en-NZ" w:eastAsia="en-NZ"/>
            </w:rPr>
          </w:pPr>
          <w:hyperlink w:anchor="_Toc74154048" w:history="1">
            <w:r w:rsidR="005878B7" w:rsidRPr="008D0C15">
              <w:rPr>
                <w:rStyle w:val="Hyperlink"/>
                <w:noProof/>
              </w:rPr>
              <w:t>1.6.3.5</w:t>
            </w:r>
            <w:r w:rsidR="005878B7">
              <w:rPr>
                <w:noProof/>
                <w:lang w:val="en-NZ" w:eastAsia="en-NZ"/>
              </w:rPr>
              <w:tab/>
            </w:r>
            <w:r w:rsidR="005878B7" w:rsidRPr="008D0C15">
              <w:rPr>
                <w:rStyle w:val="Hyperlink"/>
                <w:noProof/>
              </w:rPr>
              <w:t>The demographic dividend</w:t>
            </w:r>
            <w:r w:rsidR="005878B7">
              <w:rPr>
                <w:noProof/>
                <w:webHidden/>
              </w:rPr>
              <w:tab/>
            </w:r>
            <w:r w:rsidR="005878B7">
              <w:rPr>
                <w:noProof/>
                <w:webHidden/>
              </w:rPr>
              <w:fldChar w:fldCharType="begin"/>
            </w:r>
            <w:r w:rsidR="005878B7">
              <w:rPr>
                <w:noProof/>
                <w:webHidden/>
              </w:rPr>
              <w:instrText xml:space="preserve"> PAGEREF _Toc74154048 \h </w:instrText>
            </w:r>
            <w:r w:rsidR="005878B7">
              <w:rPr>
                <w:noProof/>
                <w:webHidden/>
              </w:rPr>
            </w:r>
            <w:r w:rsidR="005878B7">
              <w:rPr>
                <w:noProof/>
                <w:webHidden/>
              </w:rPr>
              <w:fldChar w:fldCharType="separate"/>
            </w:r>
            <w:r w:rsidR="005878B7">
              <w:rPr>
                <w:noProof/>
                <w:webHidden/>
              </w:rPr>
              <w:t>26</w:t>
            </w:r>
            <w:r w:rsidR="005878B7">
              <w:rPr>
                <w:noProof/>
                <w:webHidden/>
              </w:rPr>
              <w:fldChar w:fldCharType="end"/>
            </w:r>
          </w:hyperlink>
        </w:p>
        <w:p w14:paraId="591F0E35" w14:textId="7B88BD6B" w:rsidR="005878B7" w:rsidRDefault="00AC466B">
          <w:pPr>
            <w:pStyle w:val="TOC2"/>
            <w:tabs>
              <w:tab w:val="left" w:pos="880"/>
              <w:tab w:val="right" w:leader="dot" w:pos="9350"/>
            </w:tabs>
            <w:rPr>
              <w:noProof/>
              <w:lang w:val="en-NZ" w:eastAsia="en-NZ"/>
            </w:rPr>
          </w:pPr>
          <w:hyperlink w:anchor="_Toc74154049" w:history="1">
            <w:r w:rsidR="005878B7" w:rsidRPr="008D0C15">
              <w:rPr>
                <w:rStyle w:val="Hyperlink"/>
                <w:noProof/>
              </w:rPr>
              <w:t>1.7</w:t>
            </w:r>
            <w:r w:rsidR="005878B7">
              <w:rPr>
                <w:noProof/>
                <w:lang w:val="en-NZ" w:eastAsia="en-NZ"/>
              </w:rPr>
              <w:tab/>
            </w:r>
            <w:r w:rsidR="005878B7" w:rsidRPr="008D0C15">
              <w:rPr>
                <w:rStyle w:val="Hyperlink"/>
                <w:noProof/>
              </w:rPr>
              <w:t>Advantages of improving health and education</w:t>
            </w:r>
            <w:r w:rsidR="005878B7">
              <w:rPr>
                <w:noProof/>
                <w:webHidden/>
              </w:rPr>
              <w:tab/>
            </w:r>
            <w:r w:rsidR="005878B7">
              <w:rPr>
                <w:noProof/>
                <w:webHidden/>
              </w:rPr>
              <w:fldChar w:fldCharType="begin"/>
            </w:r>
            <w:r w:rsidR="005878B7">
              <w:rPr>
                <w:noProof/>
                <w:webHidden/>
              </w:rPr>
              <w:instrText xml:space="preserve"> PAGEREF _Toc74154049 \h </w:instrText>
            </w:r>
            <w:r w:rsidR="005878B7">
              <w:rPr>
                <w:noProof/>
                <w:webHidden/>
              </w:rPr>
            </w:r>
            <w:r w:rsidR="005878B7">
              <w:rPr>
                <w:noProof/>
                <w:webHidden/>
              </w:rPr>
              <w:fldChar w:fldCharType="separate"/>
            </w:r>
            <w:r w:rsidR="005878B7">
              <w:rPr>
                <w:noProof/>
                <w:webHidden/>
              </w:rPr>
              <w:t>27</w:t>
            </w:r>
            <w:r w:rsidR="005878B7">
              <w:rPr>
                <w:noProof/>
                <w:webHidden/>
              </w:rPr>
              <w:fldChar w:fldCharType="end"/>
            </w:r>
          </w:hyperlink>
        </w:p>
        <w:p w14:paraId="1770EF42" w14:textId="7074BCDA" w:rsidR="005878B7" w:rsidRDefault="00AC466B">
          <w:pPr>
            <w:pStyle w:val="TOC1"/>
            <w:rPr>
              <w:noProof/>
              <w:lang w:val="en-NZ" w:eastAsia="en-NZ"/>
            </w:rPr>
          </w:pPr>
          <w:hyperlink w:anchor="_Toc74154050" w:history="1">
            <w:r w:rsidR="005878B7" w:rsidRPr="008D0C15">
              <w:rPr>
                <w:rStyle w:val="Hyperlink"/>
                <w:noProof/>
              </w:rPr>
              <w:t>2</w:t>
            </w:r>
            <w:r w:rsidR="005878B7">
              <w:rPr>
                <w:noProof/>
                <w:lang w:val="en-NZ" w:eastAsia="en-NZ"/>
              </w:rPr>
              <w:tab/>
            </w:r>
            <w:r w:rsidR="005878B7" w:rsidRPr="008D0C15">
              <w:rPr>
                <w:rStyle w:val="Hyperlink"/>
                <w:noProof/>
              </w:rPr>
              <w:t>Methodology</w:t>
            </w:r>
            <w:r w:rsidR="005878B7">
              <w:rPr>
                <w:noProof/>
                <w:webHidden/>
              </w:rPr>
              <w:tab/>
            </w:r>
            <w:r w:rsidR="005878B7">
              <w:rPr>
                <w:noProof/>
                <w:webHidden/>
              </w:rPr>
              <w:fldChar w:fldCharType="begin"/>
            </w:r>
            <w:r w:rsidR="005878B7">
              <w:rPr>
                <w:noProof/>
                <w:webHidden/>
              </w:rPr>
              <w:instrText xml:space="preserve"> PAGEREF _Toc74154050 \h </w:instrText>
            </w:r>
            <w:r w:rsidR="005878B7">
              <w:rPr>
                <w:noProof/>
                <w:webHidden/>
              </w:rPr>
            </w:r>
            <w:r w:rsidR="005878B7">
              <w:rPr>
                <w:noProof/>
                <w:webHidden/>
              </w:rPr>
              <w:fldChar w:fldCharType="separate"/>
            </w:r>
            <w:r w:rsidR="005878B7">
              <w:rPr>
                <w:noProof/>
                <w:webHidden/>
              </w:rPr>
              <w:t>29</w:t>
            </w:r>
            <w:r w:rsidR="005878B7">
              <w:rPr>
                <w:noProof/>
                <w:webHidden/>
              </w:rPr>
              <w:fldChar w:fldCharType="end"/>
            </w:r>
          </w:hyperlink>
        </w:p>
        <w:p w14:paraId="62976EF2" w14:textId="41DBD3AC" w:rsidR="005878B7" w:rsidRDefault="00AC466B">
          <w:pPr>
            <w:pStyle w:val="TOC2"/>
            <w:tabs>
              <w:tab w:val="left" w:pos="880"/>
              <w:tab w:val="right" w:leader="dot" w:pos="9350"/>
            </w:tabs>
            <w:rPr>
              <w:noProof/>
              <w:lang w:val="en-NZ" w:eastAsia="en-NZ"/>
            </w:rPr>
          </w:pPr>
          <w:hyperlink w:anchor="_Toc74154051" w:history="1">
            <w:r w:rsidR="005878B7" w:rsidRPr="008D0C15">
              <w:rPr>
                <w:rStyle w:val="Hyperlink"/>
                <w:noProof/>
              </w:rPr>
              <w:t>2.1</w:t>
            </w:r>
            <w:r w:rsidR="005878B7">
              <w:rPr>
                <w:noProof/>
                <w:lang w:val="en-NZ" w:eastAsia="en-NZ"/>
              </w:rPr>
              <w:tab/>
            </w:r>
            <w:r w:rsidR="005878B7" w:rsidRPr="008D0C15">
              <w:rPr>
                <w:rStyle w:val="Hyperlink"/>
                <w:noProof/>
              </w:rPr>
              <w:t>Introduction</w:t>
            </w:r>
            <w:r w:rsidR="005878B7">
              <w:rPr>
                <w:noProof/>
                <w:webHidden/>
              </w:rPr>
              <w:tab/>
            </w:r>
            <w:r w:rsidR="005878B7">
              <w:rPr>
                <w:noProof/>
                <w:webHidden/>
              </w:rPr>
              <w:fldChar w:fldCharType="begin"/>
            </w:r>
            <w:r w:rsidR="005878B7">
              <w:rPr>
                <w:noProof/>
                <w:webHidden/>
              </w:rPr>
              <w:instrText xml:space="preserve"> PAGEREF _Toc74154051 \h </w:instrText>
            </w:r>
            <w:r w:rsidR="005878B7">
              <w:rPr>
                <w:noProof/>
                <w:webHidden/>
              </w:rPr>
            </w:r>
            <w:r w:rsidR="005878B7">
              <w:rPr>
                <w:noProof/>
                <w:webHidden/>
              </w:rPr>
              <w:fldChar w:fldCharType="separate"/>
            </w:r>
            <w:r w:rsidR="005878B7">
              <w:rPr>
                <w:noProof/>
                <w:webHidden/>
              </w:rPr>
              <w:t>29</w:t>
            </w:r>
            <w:r w:rsidR="005878B7">
              <w:rPr>
                <w:noProof/>
                <w:webHidden/>
              </w:rPr>
              <w:fldChar w:fldCharType="end"/>
            </w:r>
          </w:hyperlink>
        </w:p>
        <w:p w14:paraId="66882E0D" w14:textId="5DEBB561" w:rsidR="005878B7" w:rsidRDefault="00AC466B">
          <w:pPr>
            <w:pStyle w:val="TOC2"/>
            <w:tabs>
              <w:tab w:val="left" w:pos="880"/>
              <w:tab w:val="right" w:leader="dot" w:pos="9350"/>
            </w:tabs>
            <w:rPr>
              <w:noProof/>
              <w:lang w:val="en-NZ" w:eastAsia="en-NZ"/>
            </w:rPr>
          </w:pPr>
          <w:hyperlink w:anchor="_Toc74154052" w:history="1">
            <w:r w:rsidR="005878B7" w:rsidRPr="008D0C15">
              <w:rPr>
                <w:rStyle w:val="Hyperlink"/>
                <w:noProof/>
              </w:rPr>
              <w:t>2.2</w:t>
            </w:r>
            <w:r w:rsidR="005878B7">
              <w:rPr>
                <w:noProof/>
                <w:lang w:val="en-NZ" w:eastAsia="en-NZ"/>
              </w:rPr>
              <w:tab/>
            </w:r>
            <w:r w:rsidR="005878B7" w:rsidRPr="008D0C15">
              <w:rPr>
                <w:rStyle w:val="Hyperlink"/>
                <w:noProof/>
              </w:rPr>
              <w:t>UN Methodology for Fertility Projections</w:t>
            </w:r>
            <w:r w:rsidR="005878B7">
              <w:rPr>
                <w:noProof/>
                <w:webHidden/>
              </w:rPr>
              <w:tab/>
            </w:r>
            <w:r w:rsidR="005878B7">
              <w:rPr>
                <w:noProof/>
                <w:webHidden/>
              </w:rPr>
              <w:fldChar w:fldCharType="begin"/>
            </w:r>
            <w:r w:rsidR="005878B7">
              <w:rPr>
                <w:noProof/>
                <w:webHidden/>
              </w:rPr>
              <w:instrText xml:space="preserve"> PAGEREF _Toc74154052 \h </w:instrText>
            </w:r>
            <w:r w:rsidR="005878B7">
              <w:rPr>
                <w:noProof/>
                <w:webHidden/>
              </w:rPr>
            </w:r>
            <w:r w:rsidR="005878B7">
              <w:rPr>
                <w:noProof/>
                <w:webHidden/>
              </w:rPr>
              <w:fldChar w:fldCharType="separate"/>
            </w:r>
            <w:r w:rsidR="005878B7">
              <w:rPr>
                <w:noProof/>
                <w:webHidden/>
              </w:rPr>
              <w:t>30</w:t>
            </w:r>
            <w:r w:rsidR="005878B7">
              <w:rPr>
                <w:noProof/>
                <w:webHidden/>
              </w:rPr>
              <w:fldChar w:fldCharType="end"/>
            </w:r>
          </w:hyperlink>
        </w:p>
        <w:p w14:paraId="115B9765" w14:textId="135D4CE9" w:rsidR="005878B7" w:rsidRDefault="00AC466B">
          <w:pPr>
            <w:pStyle w:val="TOC3"/>
            <w:tabs>
              <w:tab w:val="left" w:pos="1320"/>
              <w:tab w:val="right" w:leader="dot" w:pos="9350"/>
            </w:tabs>
            <w:rPr>
              <w:noProof/>
              <w:lang w:val="en-NZ" w:eastAsia="en-NZ"/>
            </w:rPr>
          </w:pPr>
          <w:hyperlink w:anchor="_Toc74154053" w:history="1">
            <w:r w:rsidR="005878B7" w:rsidRPr="008D0C15">
              <w:rPr>
                <w:rStyle w:val="Hyperlink"/>
                <w:noProof/>
              </w:rPr>
              <w:t>2.2.1</w:t>
            </w:r>
            <w:r w:rsidR="005878B7">
              <w:rPr>
                <w:noProof/>
                <w:lang w:val="en-NZ" w:eastAsia="en-NZ"/>
              </w:rPr>
              <w:tab/>
            </w:r>
            <w:r w:rsidR="005878B7" w:rsidRPr="008D0C15">
              <w:rPr>
                <w:rStyle w:val="Hyperlink"/>
                <w:noProof/>
              </w:rPr>
              <w:t>Assumptions around the uptake of Family Planning</w:t>
            </w:r>
            <w:r w:rsidR="005878B7">
              <w:rPr>
                <w:noProof/>
                <w:webHidden/>
              </w:rPr>
              <w:tab/>
            </w:r>
            <w:r w:rsidR="005878B7">
              <w:rPr>
                <w:noProof/>
                <w:webHidden/>
              </w:rPr>
              <w:fldChar w:fldCharType="begin"/>
            </w:r>
            <w:r w:rsidR="005878B7">
              <w:rPr>
                <w:noProof/>
                <w:webHidden/>
              </w:rPr>
              <w:instrText xml:space="preserve"> PAGEREF _Toc74154053 \h </w:instrText>
            </w:r>
            <w:r w:rsidR="005878B7">
              <w:rPr>
                <w:noProof/>
                <w:webHidden/>
              </w:rPr>
            </w:r>
            <w:r w:rsidR="005878B7">
              <w:rPr>
                <w:noProof/>
                <w:webHidden/>
              </w:rPr>
              <w:fldChar w:fldCharType="separate"/>
            </w:r>
            <w:r w:rsidR="005878B7">
              <w:rPr>
                <w:noProof/>
                <w:webHidden/>
              </w:rPr>
              <w:t>32</w:t>
            </w:r>
            <w:r w:rsidR="005878B7">
              <w:rPr>
                <w:noProof/>
                <w:webHidden/>
              </w:rPr>
              <w:fldChar w:fldCharType="end"/>
            </w:r>
          </w:hyperlink>
        </w:p>
        <w:p w14:paraId="01CBBC09" w14:textId="460CA9DF" w:rsidR="005878B7" w:rsidRDefault="00AC466B">
          <w:pPr>
            <w:pStyle w:val="TOC2"/>
            <w:tabs>
              <w:tab w:val="left" w:pos="880"/>
              <w:tab w:val="right" w:leader="dot" w:pos="9350"/>
            </w:tabs>
            <w:rPr>
              <w:noProof/>
              <w:lang w:val="en-NZ" w:eastAsia="en-NZ"/>
            </w:rPr>
          </w:pPr>
          <w:hyperlink w:anchor="_Toc74154054" w:history="1">
            <w:r w:rsidR="005878B7" w:rsidRPr="008D0C15">
              <w:rPr>
                <w:rStyle w:val="Hyperlink"/>
                <w:noProof/>
              </w:rPr>
              <w:t>2.3</w:t>
            </w:r>
            <w:r w:rsidR="005878B7">
              <w:rPr>
                <w:noProof/>
                <w:lang w:val="en-NZ" w:eastAsia="en-NZ"/>
              </w:rPr>
              <w:tab/>
            </w:r>
            <w:r w:rsidR="005878B7" w:rsidRPr="008D0C15">
              <w:rPr>
                <w:rStyle w:val="Hyperlink"/>
                <w:noProof/>
              </w:rPr>
              <w:t>The PDS Population Emissions model</w:t>
            </w:r>
            <w:r w:rsidR="005878B7">
              <w:rPr>
                <w:noProof/>
                <w:webHidden/>
              </w:rPr>
              <w:tab/>
            </w:r>
            <w:r w:rsidR="005878B7">
              <w:rPr>
                <w:noProof/>
                <w:webHidden/>
              </w:rPr>
              <w:fldChar w:fldCharType="begin"/>
            </w:r>
            <w:r w:rsidR="005878B7">
              <w:rPr>
                <w:noProof/>
                <w:webHidden/>
              </w:rPr>
              <w:instrText xml:space="preserve"> PAGEREF _Toc74154054 \h </w:instrText>
            </w:r>
            <w:r w:rsidR="005878B7">
              <w:rPr>
                <w:noProof/>
                <w:webHidden/>
              </w:rPr>
            </w:r>
            <w:r w:rsidR="005878B7">
              <w:rPr>
                <w:noProof/>
                <w:webHidden/>
              </w:rPr>
              <w:fldChar w:fldCharType="separate"/>
            </w:r>
            <w:r w:rsidR="005878B7">
              <w:rPr>
                <w:noProof/>
                <w:webHidden/>
              </w:rPr>
              <w:t>33</w:t>
            </w:r>
            <w:r w:rsidR="005878B7">
              <w:rPr>
                <w:noProof/>
                <w:webHidden/>
              </w:rPr>
              <w:fldChar w:fldCharType="end"/>
            </w:r>
          </w:hyperlink>
        </w:p>
        <w:p w14:paraId="7FF95D89" w14:textId="00A14F67" w:rsidR="005878B7" w:rsidRDefault="00AC466B">
          <w:pPr>
            <w:pStyle w:val="TOC3"/>
            <w:tabs>
              <w:tab w:val="left" w:pos="1320"/>
              <w:tab w:val="right" w:leader="dot" w:pos="9350"/>
            </w:tabs>
            <w:rPr>
              <w:noProof/>
              <w:lang w:val="en-NZ" w:eastAsia="en-NZ"/>
            </w:rPr>
          </w:pPr>
          <w:hyperlink w:anchor="_Toc74154055" w:history="1">
            <w:r w:rsidR="005878B7" w:rsidRPr="008D0C15">
              <w:rPr>
                <w:rStyle w:val="Hyperlink"/>
                <w:noProof/>
              </w:rPr>
              <w:t>2.3.1</w:t>
            </w:r>
            <w:r w:rsidR="005878B7">
              <w:rPr>
                <w:noProof/>
                <w:lang w:val="en-NZ" w:eastAsia="en-NZ"/>
              </w:rPr>
              <w:tab/>
            </w:r>
            <w:r w:rsidR="005878B7" w:rsidRPr="008D0C15">
              <w:rPr>
                <w:rStyle w:val="Hyperlink"/>
                <w:noProof/>
              </w:rPr>
              <w:t>Model structure and terminology</w:t>
            </w:r>
            <w:r w:rsidR="005878B7">
              <w:rPr>
                <w:noProof/>
                <w:webHidden/>
              </w:rPr>
              <w:tab/>
            </w:r>
            <w:r w:rsidR="005878B7">
              <w:rPr>
                <w:noProof/>
                <w:webHidden/>
              </w:rPr>
              <w:fldChar w:fldCharType="begin"/>
            </w:r>
            <w:r w:rsidR="005878B7">
              <w:rPr>
                <w:noProof/>
                <w:webHidden/>
              </w:rPr>
              <w:instrText xml:space="preserve"> PAGEREF _Toc74154055 \h </w:instrText>
            </w:r>
            <w:r w:rsidR="005878B7">
              <w:rPr>
                <w:noProof/>
                <w:webHidden/>
              </w:rPr>
            </w:r>
            <w:r w:rsidR="005878B7">
              <w:rPr>
                <w:noProof/>
                <w:webHidden/>
              </w:rPr>
              <w:fldChar w:fldCharType="separate"/>
            </w:r>
            <w:r w:rsidR="005878B7">
              <w:rPr>
                <w:noProof/>
                <w:webHidden/>
              </w:rPr>
              <w:t>33</w:t>
            </w:r>
            <w:r w:rsidR="005878B7">
              <w:rPr>
                <w:noProof/>
                <w:webHidden/>
              </w:rPr>
              <w:fldChar w:fldCharType="end"/>
            </w:r>
          </w:hyperlink>
        </w:p>
        <w:p w14:paraId="1C8660C9" w14:textId="59DEF07F" w:rsidR="005878B7" w:rsidRDefault="00AC466B">
          <w:pPr>
            <w:pStyle w:val="TOC3"/>
            <w:tabs>
              <w:tab w:val="left" w:pos="1320"/>
              <w:tab w:val="right" w:leader="dot" w:pos="9350"/>
            </w:tabs>
            <w:rPr>
              <w:noProof/>
              <w:lang w:val="en-NZ" w:eastAsia="en-NZ"/>
            </w:rPr>
          </w:pPr>
          <w:hyperlink w:anchor="_Toc74154056" w:history="1">
            <w:r w:rsidR="005878B7" w:rsidRPr="008D0C15">
              <w:rPr>
                <w:rStyle w:val="Hyperlink"/>
                <w:noProof/>
              </w:rPr>
              <w:t>2.3.2</w:t>
            </w:r>
            <w:r w:rsidR="005878B7">
              <w:rPr>
                <w:noProof/>
                <w:lang w:val="en-NZ" w:eastAsia="en-NZ"/>
              </w:rPr>
              <w:tab/>
            </w:r>
            <w:r w:rsidR="005878B7" w:rsidRPr="008D0C15">
              <w:rPr>
                <w:rStyle w:val="Hyperlink"/>
                <w:noProof/>
              </w:rPr>
              <w:t>Adoption Scenarios for population</w:t>
            </w:r>
            <w:r w:rsidR="005878B7">
              <w:rPr>
                <w:noProof/>
                <w:webHidden/>
              </w:rPr>
              <w:tab/>
            </w:r>
            <w:r w:rsidR="005878B7">
              <w:rPr>
                <w:noProof/>
                <w:webHidden/>
              </w:rPr>
              <w:fldChar w:fldCharType="begin"/>
            </w:r>
            <w:r w:rsidR="005878B7">
              <w:rPr>
                <w:noProof/>
                <w:webHidden/>
              </w:rPr>
              <w:instrText xml:space="preserve"> PAGEREF _Toc74154056 \h </w:instrText>
            </w:r>
            <w:r w:rsidR="005878B7">
              <w:rPr>
                <w:noProof/>
                <w:webHidden/>
              </w:rPr>
            </w:r>
            <w:r w:rsidR="005878B7">
              <w:rPr>
                <w:noProof/>
                <w:webHidden/>
              </w:rPr>
              <w:fldChar w:fldCharType="separate"/>
            </w:r>
            <w:r w:rsidR="005878B7">
              <w:rPr>
                <w:noProof/>
                <w:webHidden/>
              </w:rPr>
              <w:t>34</w:t>
            </w:r>
            <w:r w:rsidR="005878B7">
              <w:rPr>
                <w:noProof/>
                <w:webHidden/>
              </w:rPr>
              <w:fldChar w:fldCharType="end"/>
            </w:r>
          </w:hyperlink>
        </w:p>
        <w:p w14:paraId="6A3BCDEB" w14:textId="0CD32420" w:rsidR="005878B7" w:rsidRDefault="00AC466B">
          <w:pPr>
            <w:pStyle w:val="TOC3"/>
            <w:tabs>
              <w:tab w:val="left" w:pos="1320"/>
              <w:tab w:val="right" w:leader="dot" w:pos="9350"/>
            </w:tabs>
            <w:rPr>
              <w:noProof/>
              <w:lang w:val="en-NZ" w:eastAsia="en-NZ"/>
            </w:rPr>
          </w:pPr>
          <w:hyperlink w:anchor="_Toc74154057" w:history="1">
            <w:r w:rsidR="005878B7" w:rsidRPr="008D0C15">
              <w:rPr>
                <w:rStyle w:val="Hyperlink"/>
                <w:noProof/>
              </w:rPr>
              <w:t>2.3.3</w:t>
            </w:r>
            <w:r w:rsidR="005878B7">
              <w:rPr>
                <w:noProof/>
                <w:lang w:val="en-NZ" w:eastAsia="en-NZ"/>
              </w:rPr>
              <w:tab/>
            </w:r>
            <w:r w:rsidR="005878B7" w:rsidRPr="008D0C15">
              <w:rPr>
                <w:rStyle w:val="Hyperlink"/>
                <w:noProof/>
              </w:rPr>
              <w:t>Total addressable market and PDS scenarios for emissions reductions</w:t>
            </w:r>
            <w:r w:rsidR="005878B7">
              <w:rPr>
                <w:noProof/>
                <w:webHidden/>
              </w:rPr>
              <w:tab/>
            </w:r>
            <w:r w:rsidR="005878B7">
              <w:rPr>
                <w:noProof/>
                <w:webHidden/>
              </w:rPr>
              <w:fldChar w:fldCharType="begin"/>
            </w:r>
            <w:r w:rsidR="005878B7">
              <w:rPr>
                <w:noProof/>
                <w:webHidden/>
              </w:rPr>
              <w:instrText xml:space="preserve"> PAGEREF _Toc74154057 \h </w:instrText>
            </w:r>
            <w:r w:rsidR="005878B7">
              <w:rPr>
                <w:noProof/>
                <w:webHidden/>
              </w:rPr>
            </w:r>
            <w:r w:rsidR="005878B7">
              <w:rPr>
                <w:noProof/>
                <w:webHidden/>
              </w:rPr>
              <w:fldChar w:fldCharType="separate"/>
            </w:r>
            <w:r w:rsidR="005878B7">
              <w:rPr>
                <w:noProof/>
                <w:webHidden/>
              </w:rPr>
              <w:t>36</w:t>
            </w:r>
            <w:r w:rsidR="005878B7">
              <w:rPr>
                <w:noProof/>
                <w:webHidden/>
              </w:rPr>
              <w:fldChar w:fldCharType="end"/>
            </w:r>
          </w:hyperlink>
        </w:p>
        <w:p w14:paraId="1357947A" w14:textId="7314BC06" w:rsidR="005878B7" w:rsidRDefault="00AC466B">
          <w:pPr>
            <w:pStyle w:val="TOC3"/>
            <w:tabs>
              <w:tab w:val="left" w:pos="1320"/>
              <w:tab w:val="right" w:leader="dot" w:pos="9350"/>
            </w:tabs>
            <w:rPr>
              <w:noProof/>
              <w:lang w:val="en-NZ" w:eastAsia="en-NZ"/>
            </w:rPr>
          </w:pPr>
          <w:hyperlink w:anchor="_Toc74154058" w:history="1">
            <w:r w:rsidR="005878B7" w:rsidRPr="008D0C15">
              <w:rPr>
                <w:rStyle w:val="Hyperlink"/>
                <w:noProof/>
              </w:rPr>
              <w:t>2.3.4</w:t>
            </w:r>
            <w:r w:rsidR="005878B7">
              <w:rPr>
                <w:noProof/>
                <w:lang w:val="en-NZ" w:eastAsia="en-NZ"/>
              </w:rPr>
              <w:tab/>
            </w:r>
            <w:r w:rsidR="005878B7" w:rsidRPr="008D0C15">
              <w:rPr>
                <w:rStyle w:val="Hyperlink"/>
                <w:noProof/>
              </w:rPr>
              <w:t>Financial inputs</w:t>
            </w:r>
            <w:r w:rsidR="005878B7">
              <w:rPr>
                <w:noProof/>
                <w:webHidden/>
              </w:rPr>
              <w:tab/>
            </w:r>
            <w:r w:rsidR="005878B7">
              <w:rPr>
                <w:noProof/>
                <w:webHidden/>
              </w:rPr>
              <w:fldChar w:fldCharType="begin"/>
            </w:r>
            <w:r w:rsidR="005878B7">
              <w:rPr>
                <w:noProof/>
                <w:webHidden/>
              </w:rPr>
              <w:instrText xml:space="preserve"> PAGEREF _Toc74154058 \h </w:instrText>
            </w:r>
            <w:r w:rsidR="005878B7">
              <w:rPr>
                <w:noProof/>
                <w:webHidden/>
              </w:rPr>
            </w:r>
            <w:r w:rsidR="005878B7">
              <w:rPr>
                <w:noProof/>
                <w:webHidden/>
              </w:rPr>
              <w:fldChar w:fldCharType="separate"/>
            </w:r>
            <w:r w:rsidR="005878B7">
              <w:rPr>
                <w:noProof/>
                <w:webHidden/>
              </w:rPr>
              <w:t>37</w:t>
            </w:r>
            <w:r w:rsidR="005878B7">
              <w:rPr>
                <w:noProof/>
                <w:webHidden/>
              </w:rPr>
              <w:fldChar w:fldCharType="end"/>
            </w:r>
          </w:hyperlink>
        </w:p>
        <w:p w14:paraId="21E7D993" w14:textId="5D87C320" w:rsidR="005878B7" w:rsidRDefault="00AC466B">
          <w:pPr>
            <w:pStyle w:val="TOC3"/>
            <w:tabs>
              <w:tab w:val="left" w:pos="1320"/>
              <w:tab w:val="right" w:leader="dot" w:pos="9350"/>
            </w:tabs>
            <w:rPr>
              <w:noProof/>
              <w:lang w:val="en-NZ" w:eastAsia="en-NZ"/>
            </w:rPr>
          </w:pPr>
          <w:hyperlink w:anchor="_Toc74154059" w:history="1">
            <w:r w:rsidR="005878B7" w:rsidRPr="008D0C15">
              <w:rPr>
                <w:rStyle w:val="Hyperlink"/>
                <w:noProof/>
              </w:rPr>
              <w:t>2.3.5</w:t>
            </w:r>
            <w:r w:rsidR="005878B7">
              <w:rPr>
                <w:noProof/>
                <w:lang w:val="en-NZ" w:eastAsia="en-NZ"/>
              </w:rPr>
              <w:tab/>
            </w:r>
            <w:r w:rsidR="005878B7" w:rsidRPr="008D0C15">
              <w:rPr>
                <w:rStyle w:val="Hyperlink"/>
                <w:noProof/>
              </w:rPr>
              <w:t>Terms and Assumptions in the model</w:t>
            </w:r>
            <w:r w:rsidR="005878B7">
              <w:rPr>
                <w:noProof/>
                <w:webHidden/>
              </w:rPr>
              <w:tab/>
            </w:r>
            <w:r w:rsidR="005878B7">
              <w:rPr>
                <w:noProof/>
                <w:webHidden/>
              </w:rPr>
              <w:fldChar w:fldCharType="begin"/>
            </w:r>
            <w:r w:rsidR="005878B7">
              <w:rPr>
                <w:noProof/>
                <w:webHidden/>
              </w:rPr>
              <w:instrText xml:space="preserve"> PAGEREF _Toc74154059 \h </w:instrText>
            </w:r>
            <w:r w:rsidR="005878B7">
              <w:rPr>
                <w:noProof/>
                <w:webHidden/>
              </w:rPr>
            </w:r>
            <w:r w:rsidR="005878B7">
              <w:rPr>
                <w:noProof/>
                <w:webHidden/>
              </w:rPr>
              <w:fldChar w:fldCharType="separate"/>
            </w:r>
            <w:r w:rsidR="005878B7">
              <w:rPr>
                <w:noProof/>
                <w:webHidden/>
              </w:rPr>
              <w:t>37</w:t>
            </w:r>
            <w:r w:rsidR="005878B7">
              <w:rPr>
                <w:noProof/>
                <w:webHidden/>
              </w:rPr>
              <w:fldChar w:fldCharType="end"/>
            </w:r>
          </w:hyperlink>
        </w:p>
        <w:p w14:paraId="56929A4B" w14:textId="7F3D9CBB" w:rsidR="005878B7" w:rsidRDefault="00AC466B">
          <w:pPr>
            <w:pStyle w:val="TOC3"/>
            <w:tabs>
              <w:tab w:val="left" w:pos="1320"/>
              <w:tab w:val="right" w:leader="dot" w:pos="9350"/>
            </w:tabs>
            <w:rPr>
              <w:noProof/>
              <w:lang w:val="en-NZ" w:eastAsia="en-NZ"/>
            </w:rPr>
          </w:pPr>
          <w:hyperlink w:anchor="_Toc74154060" w:history="1">
            <w:r w:rsidR="005878B7" w:rsidRPr="008D0C15">
              <w:rPr>
                <w:rStyle w:val="Hyperlink"/>
                <w:noProof/>
              </w:rPr>
              <w:t>2.3.6</w:t>
            </w:r>
            <w:r w:rsidR="005878B7">
              <w:rPr>
                <w:noProof/>
                <w:lang w:val="en-NZ" w:eastAsia="en-NZ"/>
              </w:rPr>
              <w:tab/>
            </w:r>
            <w:r w:rsidR="005878B7" w:rsidRPr="008D0C15">
              <w:rPr>
                <w:rStyle w:val="Hyperlink"/>
                <w:noProof/>
              </w:rPr>
              <w:t>Emissions calculations</w:t>
            </w:r>
            <w:r w:rsidR="005878B7">
              <w:rPr>
                <w:noProof/>
                <w:webHidden/>
              </w:rPr>
              <w:tab/>
            </w:r>
            <w:r w:rsidR="005878B7">
              <w:rPr>
                <w:noProof/>
                <w:webHidden/>
              </w:rPr>
              <w:fldChar w:fldCharType="begin"/>
            </w:r>
            <w:r w:rsidR="005878B7">
              <w:rPr>
                <w:noProof/>
                <w:webHidden/>
              </w:rPr>
              <w:instrText xml:space="preserve"> PAGEREF _Toc74154060 \h </w:instrText>
            </w:r>
            <w:r w:rsidR="005878B7">
              <w:rPr>
                <w:noProof/>
                <w:webHidden/>
              </w:rPr>
            </w:r>
            <w:r w:rsidR="005878B7">
              <w:rPr>
                <w:noProof/>
                <w:webHidden/>
              </w:rPr>
              <w:fldChar w:fldCharType="separate"/>
            </w:r>
            <w:r w:rsidR="005878B7">
              <w:rPr>
                <w:noProof/>
                <w:webHidden/>
              </w:rPr>
              <w:t>39</w:t>
            </w:r>
            <w:r w:rsidR="005878B7">
              <w:rPr>
                <w:noProof/>
                <w:webHidden/>
              </w:rPr>
              <w:fldChar w:fldCharType="end"/>
            </w:r>
          </w:hyperlink>
        </w:p>
        <w:p w14:paraId="51360A6F" w14:textId="255D4752" w:rsidR="005878B7" w:rsidRDefault="00AC466B">
          <w:pPr>
            <w:pStyle w:val="TOC2"/>
            <w:tabs>
              <w:tab w:val="left" w:pos="880"/>
              <w:tab w:val="right" w:leader="dot" w:pos="9350"/>
            </w:tabs>
            <w:rPr>
              <w:noProof/>
              <w:lang w:val="en-NZ" w:eastAsia="en-NZ"/>
            </w:rPr>
          </w:pPr>
          <w:hyperlink w:anchor="_Toc74154061" w:history="1">
            <w:r w:rsidR="005878B7" w:rsidRPr="008D0C15">
              <w:rPr>
                <w:rStyle w:val="Hyperlink"/>
                <w:noProof/>
              </w:rPr>
              <w:t>2.4</w:t>
            </w:r>
            <w:r w:rsidR="005878B7">
              <w:rPr>
                <w:noProof/>
                <w:lang w:val="en-NZ" w:eastAsia="en-NZ"/>
              </w:rPr>
              <w:tab/>
            </w:r>
            <w:r w:rsidR="005878B7" w:rsidRPr="008D0C15">
              <w:rPr>
                <w:rStyle w:val="Hyperlink"/>
                <w:noProof/>
              </w:rPr>
              <w:t>Data Sources</w:t>
            </w:r>
            <w:r w:rsidR="005878B7">
              <w:rPr>
                <w:noProof/>
                <w:webHidden/>
              </w:rPr>
              <w:tab/>
            </w:r>
            <w:r w:rsidR="005878B7">
              <w:rPr>
                <w:noProof/>
                <w:webHidden/>
              </w:rPr>
              <w:fldChar w:fldCharType="begin"/>
            </w:r>
            <w:r w:rsidR="005878B7">
              <w:rPr>
                <w:noProof/>
                <w:webHidden/>
              </w:rPr>
              <w:instrText xml:space="preserve"> PAGEREF _Toc74154061 \h </w:instrText>
            </w:r>
            <w:r w:rsidR="005878B7">
              <w:rPr>
                <w:noProof/>
                <w:webHidden/>
              </w:rPr>
            </w:r>
            <w:r w:rsidR="005878B7">
              <w:rPr>
                <w:noProof/>
                <w:webHidden/>
              </w:rPr>
              <w:fldChar w:fldCharType="separate"/>
            </w:r>
            <w:r w:rsidR="005878B7">
              <w:rPr>
                <w:noProof/>
                <w:webHidden/>
              </w:rPr>
              <w:t>43</w:t>
            </w:r>
            <w:r w:rsidR="005878B7">
              <w:rPr>
                <w:noProof/>
                <w:webHidden/>
              </w:rPr>
              <w:fldChar w:fldCharType="end"/>
            </w:r>
          </w:hyperlink>
        </w:p>
        <w:p w14:paraId="213B2057" w14:textId="43300E4A" w:rsidR="005878B7" w:rsidRDefault="00AC466B">
          <w:pPr>
            <w:pStyle w:val="TOC2"/>
            <w:tabs>
              <w:tab w:val="left" w:pos="880"/>
              <w:tab w:val="right" w:leader="dot" w:pos="9350"/>
            </w:tabs>
            <w:rPr>
              <w:noProof/>
              <w:lang w:val="en-NZ" w:eastAsia="en-NZ"/>
            </w:rPr>
          </w:pPr>
          <w:hyperlink w:anchor="_Toc74154062" w:history="1">
            <w:r w:rsidR="005878B7" w:rsidRPr="008D0C15">
              <w:rPr>
                <w:rStyle w:val="Hyperlink"/>
                <w:noProof/>
              </w:rPr>
              <w:t>2.5</w:t>
            </w:r>
            <w:r w:rsidR="005878B7">
              <w:rPr>
                <w:noProof/>
                <w:lang w:val="en-NZ" w:eastAsia="en-NZ"/>
              </w:rPr>
              <w:tab/>
            </w:r>
            <w:r w:rsidR="005878B7" w:rsidRPr="008D0C15">
              <w:rPr>
                <w:rStyle w:val="Hyperlink"/>
                <w:noProof/>
              </w:rPr>
              <w:t>Limitations to the methodology and Model</w:t>
            </w:r>
            <w:r w:rsidR="005878B7">
              <w:rPr>
                <w:noProof/>
                <w:webHidden/>
              </w:rPr>
              <w:tab/>
            </w:r>
            <w:r w:rsidR="005878B7">
              <w:rPr>
                <w:noProof/>
                <w:webHidden/>
              </w:rPr>
              <w:fldChar w:fldCharType="begin"/>
            </w:r>
            <w:r w:rsidR="005878B7">
              <w:rPr>
                <w:noProof/>
                <w:webHidden/>
              </w:rPr>
              <w:instrText xml:space="preserve"> PAGEREF _Toc74154062 \h </w:instrText>
            </w:r>
            <w:r w:rsidR="005878B7">
              <w:rPr>
                <w:noProof/>
                <w:webHidden/>
              </w:rPr>
            </w:r>
            <w:r w:rsidR="005878B7">
              <w:rPr>
                <w:noProof/>
                <w:webHidden/>
              </w:rPr>
              <w:fldChar w:fldCharType="separate"/>
            </w:r>
            <w:r w:rsidR="005878B7">
              <w:rPr>
                <w:noProof/>
                <w:webHidden/>
              </w:rPr>
              <w:t>44</w:t>
            </w:r>
            <w:r w:rsidR="005878B7">
              <w:rPr>
                <w:noProof/>
                <w:webHidden/>
              </w:rPr>
              <w:fldChar w:fldCharType="end"/>
            </w:r>
          </w:hyperlink>
        </w:p>
        <w:p w14:paraId="74545F2D" w14:textId="5F76B91B" w:rsidR="005878B7" w:rsidRDefault="00AC466B">
          <w:pPr>
            <w:pStyle w:val="TOC3"/>
            <w:tabs>
              <w:tab w:val="left" w:pos="1320"/>
              <w:tab w:val="right" w:leader="dot" w:pos="9350"/>
            </w:tabs>
            <w:rPr>
              <w:noProof/>
              <w:lang w:val="en-NZ" w:eastAsia="en-NZ"/>
            </w:rPr>
          </w:pPr>
          <w:hyperlink w:anchor="_Toc74154063" w:history="1">
            <w:r w:rsidR="005878B7" w:rsidRPr="008D0C15">
              <w:rPr>
                <w:rStyle w:val="Hyperlink"/>
                <w:noProof/>
              </w:rPr>
              <w:t>2.5.1</w:t>
            </w:r>
            <w:r w:rsidR="005878B7">
              <w:rPr>
                <w:noProof/>
                <w:lang w:val="en-NZ" w:eastAsia="en-NZ"/>
              </w:rPr>
              <w:tab/>
            </w:r>
            <w:r w:rsidR="005878B7" w:rsidRPr="008D0C15">
              <w:rPr>
                <w:rStyle w:val="Hyperlink"/>
                <w:noProof/>
              </w:rPr>
              <w:t>UN population projections</w:t>
            </w:r>
            <w:r w:rsidR="005878B7">
              <w:rPr>
                <w:noProof/>
                <w:webHidden/>
              </w:rPr>
              <w:tab/>
            </w:r>
            <w:r w:rsidR="005878B7">
              <w:rPr>
                <w:noProof/>
                <w:webHidden/>
              </w:rPr>
              <w:fldChar w:fldCharType="begin"/>
            </w:r>
            <w:r w:rsidR="005878B7">
              <w:rPr>
                <w:noProof/>
                <w:webHidden/>
              </w:rPr>
              <w:instrText xml:space="preserve"> PAGEREF _Toc74154063 \h </w:instrText>
            </w:r>
            <w:r w:rsidR="005878B7">
              <w:rPr>
                <w:noProof/>
                <w:webHidden/>
              </w:rPr>
            </w:r>
            <w:r w:rsidR="005878B7">
              <w:rPr>
                <w:noProof/>
                <w:webHidden/>
              </w:rPr>
              <w:fldChar w:fldCharType="separate"/>
            </w:r>
            <w:r w:rsidR="005878B7">
              <w:rPr>
                <w:noProof/>
                <w:webHidden/>
              </w:rPr>
              <w:t>44</w:t>
            </w:r>
            <w:r w:rsidR="005878B7">
              <w:rPr>
                <w:noProof/>
                <w:webHidden/>
              </w:rPr>
              <w:fldChar w:fldCharType="end"/>
            </w:r>
          </w:hyperlink>
        </w:p>
        <w:p w14:paraId="63D43CAE" w14:textId="475B5DD2" w:rsidR="005878B7" w:rsidRDefault="00AC466B">
          <w:pPr>
            <w:pStyle w:val="TOC3"/>
            <w:tabs>
              <w:tab w:val="left" w:pos="1320"/>
              <w:tab w:val="right" w:leader="dot" w:pos="9350"/>
            </w:tabs>
            <w:rPr>
              <w:noProof/>
              <w:lang w:val="en-NZ" w:eastAsia="en-NZ"/>
            </w:rPr>
          </w:pPr>
          <w:hyperlink w:anchor="_Toc74154064" w:history="1">
            <w:r w:rsidR="005878B7" w:rsidRPr="008D0C15">
              <w:rPr>
                <w:rStyle w:val="Hyperlink"/>
                <w:noProof/>
              </w:rPr>
              <w:t>2.5.2</w:t>
            </w:r>
            <w:r w:rsidR="005878B7">
              <w:rPr>
                <w:noProof/>
                <w:lang w:val="en-NZ" w:eastAsia="en-NZ"/>
              </w:rPr>
              <w:tab/>
            </w:r>
            <w:r w:rsidR="005878B7" w:rsidRPr="008D0C15">
              <w:rPr>
                <w:rStyle w:val="Hyperlink"/>
                <w:noProof/>
              </w:rPr>
              <w:t>Regional grouping of countries</w:t>
            </w:r>
            <w:r w:rsidR="005878B7">
              <w:rPr>
                <w:noProof/>
                <w:webHidden/>
              </w:rPr>
              <w:tab/>
            </w:r>
            <w:r w:rsidR="005878B7">
              <w:rPr>
                <w:noProof/>
                <w:webHidden/>
              </w:rPr>
              <w:fldChar w:fldCharType="begin"/>
            </w:r>
            <w:r w:rsidR="005878B7">
              <w:rPr>
                <w:noProof/>
                <w:webHidden/>
              </w:rPr>
              <w:instrText xml:space="preserve"> PAGEREF _Toc74154064 \h </w:instrText>
            </w:r>
            <w:r w:rsidR="005878B7">
              <w:rPr>
                <w:noProof/>
                <w:webHidden/>
              </w:rPr>
            </w:r>
            <w:r w:rsidR="005878B7">
              <w:rPr>
                <w:noProof/>
                <w:webHidden/>
              </w:rPr>
              <w:fldChar w:fldCharType="separate"/>
            </w:r>
            <w:r w:rsidR="005878B7">
              <w:rPr>
                <w:noProof/>
                <w:webHidden/>
              </w:rPr>
              <w:t>44</w:t>
            </w:r>
            <w:r w:rsidR="005878B7">
              <w:rPr>
                <w:noProof/>
                <w:webHidden/>
              </w:rPr>
              <w:fldChar w:fldCharType="end"/>
            </w:r>
          </w:hyperlink>
        </w:p>
        <w:p w14:paraId="6028B873" w14:textId="371765E6" w:rsidR="005878B7" w:rsidRDefault="00AC466B">
          <w:pPr>
            <w:pStyle w:val="TOC3"/>
            <w:tabs>
              <w:tab w:val="left" w:pos="1320"/>
              <w:tab w:val="right" w:leader="dot" w:pos="9350"/>
            </w:tabs>
            <w:rPr>
              <w:noProof/>
              <w:lang w:val="en-NZ" w:eastAsia="en-NZ"/>
            </w:rPr>
          </w:pPr>
          <w:hyperlink w:anchor="_Toc74154065" w:history="1">
            <w:r w:rsidR="005878B7" w:rsidRPr="008D0C15">
              <w:rPr>
                <w:rStyle w:val="Hyperlink"/>
                <w:noProof/>
              </w:rPr>
              <w:t>2.5.3</w:t>
            </w:r>
            <w:r w:rsidR="005878B7">
              <w:rPr>
                <w:noProof/>
                <w:lang w:val="en-NZ" w:eastAsia="en-NZ"/>
              </w:rPr>
              <w:tab/>
            </w:r>
            <w:r w:rsidR="005878B7" w:rsidRPr="008D0C15">
              <w:rPr>
                <w:rStyle w:val="Hyperlink"/>
                <w:noProof/>
              </w:rPr>
              <w:t>Inconsistencies between data from different sources</w:t>
            </w:r>
            <w:r w:rsidR="005878B7">
              <w:rPr>
                <w:noProof/>
                <w:webHidden/>
              </w:rPr>
              <w:tab/>
            </w:r>
            <w:r w:rsidR="005878B7">
              <w:rPr>
                <w:noProof/>
                <w:webHidden/>
              </w:rPr>
              <w:fldChar w:fldCharType="begin"/>
            </w:r>
            <w:r w:rsidR="005878B7">
              <w:rPr>
                <w:noProof/>
                <w:webHidden/>
              </w:rPr>
              <w:instrText xml:space="preserve"> PAGEREF _Toc74154065 \h </w:instrText>
            </w:r>
            <w:r w:rsidR="005878B7">
              <w:rPr>
                <w:noProof/>
                <w:webHidden/>
              </w:rPr>
            </w:r>
            <w:r w:rsidR="005878B7">
              <w:rPr>
                <w:noProof/>
                <w:webHidden/>
              </w:rPr>
              <w:fldChar w:fldCharType="separate"/>
            </w:r>
            <w:r w:rsidR="005878B7">
              <w:rPr>
                <w:noProof/>
                <w:webHidden/>
              </w:rPr>
              <w:t>44</w:t>
            </w:r>
            <w:r w:rsidR="005878B7">
              <w:rPr>
                <w:noProof/>
                <w:webHidden/>
              </w:rPr>
              <w:fldChar w:fldCharType="end"/>
            </w:r>
          </w:hyperlink>
        </w:p>
        <w:p w14:paraId="1538FA6F" w14:textId="0F593C9E" w:rsidR="005878B7" w:rsidRDefault="00AC466B">
          <w:pPr>
            <w:pStyle w:val="TOC3"/>
            <w:tabs>
              <w:tab w:val="left" w:pos="1320"/>
              <w:tab w:val="right" w:leader="dot" w:pos="9350"/>
            </w:tabs>
            <w:rPr>
              <w:noProof/>
              <w:lang w:val="en-NZ" w:eastAsia="en-NZ"/>
            </w:rPr>
          </w:pPr>
          <w:hyperlink w:anchor="_Toc74154066" w:history="1">
            <w:r w:rsidR="005878B7" w:rsidRPr="008D0C15">
              <w:rPr>
                <w:rStyle w:val="Hyperlink"/>
                <w:noProof/>
              </w:rPr>
              <w:t>2.5.4</w:t>
            </w:r>
            <w:r w:rsidR="005878B7">
              <w:rPr>
                <w:noProof/>
                <w:lang w:val="en-NZ" w:eastAsia="en-NZ"/>
              </w:rPr>
              <w:tab/>
            </w:r>
            <w:r w:rsidR="005878B7" w:rsidRPr="008D0C15">
              <w:rPr>
                <w:rStyle w:val="Hyperlink"/>
                <w:noProof/>
              </w:rPr>
              <w:t>Incomplete data</w:t>
            </w:r>
            <w:r w:rsidR="005878B7">
              <w:rPr>
                <w:noProof/>
                <w:webHidden/>
              </w:rPr>
              <w:tab/>
            </w:r>
            <w:r w:rsidR="005878B7">
              <w:rPr>
                <w:noProof/>
                <w:webHidden/>
              </w:rPr>
              <w:fldChar w:fldCharType="begin"/>
            </w:r>
            <w:r w:rsidR="005878B7">
              <w:rPr>
                <w:noProof/>
                <w:webHidden/>
              </w:rPr>
              <w:instrText xml:space="preserve"> PAGEREF _Toc74154066 \h </w:instrText>
            </w:r>
            <w:r w:rsidR="005878B7">
              <w:rPr>
                <w:noProof/>
                <w:webHidden/>
              </w:rPr>
            </w:r>
            <w:r w:rsidR="005878B7">
              <w:rPr>
                <w:noProof/>
                <w:webHidden/>
              </w:rPr>
              <w:fldChar w:fldCharType="separate"/>
            </w:r>
            <w:r w:rsidR="005878B7">
              <w:rPr>
                <w:noProof/>
                <w:webHidden/>
              </w:rPr>
              <w:t>44</w:t>
            </w:r>
            <w:r w:rsidR="005878B7">
              <w:rPr>
                <w:noProof/>
                <w:webHidden/>
              </w:rPr>
              <w:fldChar w:fldCharType="end"/>
            </w:r>
          </w:hyperlink>
        </w:p>
        <w:p w14:paraId="45EC21F5" w14:textId="73E7B50A" w:rsidR="005878B7" w:rsidRDefault="00AC466B">
          <w:pPr>
            <w:pStyle w:val="TOC1"/>
            <w:rPr>
              <w:noProof/>
              <w:lang w:val="en-NZ" w:eastAsia="en-NZ"/>
            </w:rPr>
          </w:pPr>
          <w:hyperlink w:anchor="_Toc74154067" w:history="1">
            <w:r w:rsidR="005878B7" w:rsidRPr="008D0C15">
              <w:rPr>
                <w:rStyle w:val="Hyperlink"/>
                <w:noProof/>
              </w:rPr>
              <w:t>3</w:t>
            </w:r>
            <w:r w:rsidR="005878B7">
              <w:rPr>
                <w:noProof/>
                <w:lang w:val="en-NZ" w:eastAsia="en-NZ"/>
              </w:rPr>
              <w:tab/>
            </w:r>
            <w:r w:rsidR="005878B7" w:rsidRPr="008D0C15">
              <w:rPr>
                <w:rStyle w:val="Hyperlink"/>
                <w:noProof/>
              </w:rPr>
              <w:t>Results</w:t>
            </w:r>
            <w:r w:rsidR="005878B7">
              <w:rPr>
                <w:noProof/>
                <w:webHidden/>
              </w:rPr>
              <w:tab/>
            </w:r>
            <w:r w:rsidR="005878B7">
              <w:rPr>
                <w:noProof/>
                <w:webHidden/>
              </w:rPr>
              <w:fldChar w:fldCharType="begin"/>
            </w:r>
            <w:r w:rsidR="005878B7">
              <w:rPr>
                <w:noProof/>
                <w:webHidden/>
              </w:rPr>
              <w:instrText xml:space="preserve"> PAGEREF _Toc74154067 \h </w:instrText>
            </w:r>
            <w:r w:rsidR="005878B7">
              <w:rPr>
                <w:noProof/>
                <w:webHidden/>
              </w:rPr>
            </w:r>
            <w:r w:rsidR="005878B7">
              <w:rPr>
                <w:noProof/>
                <w:webHidden/>
              </w:rPr>
              <w:fldChar w:fldCharType="separate"/>
            </w:r>
            <w:r w:rsidR="005878B7">
              <w:rPr>
                <w:noProof/>
                <w:webHidden/>
              </w:rPr>
              <w:t>45</w:t>
            </w:r>
            <w:r w:rsidR="005878B7">
              <w:rPr>
                <w:noProof/>
                <w:webHidden/>
              </w:rPr>
              <w:fldChar w:fldCharType="end"/>
            </w:r>
          </w:hyperlink>
        </w:p>
        <w:p w14:paraId="0EDF7F3C" w14:textId="1E1348A8" w:rsidR="005878B7" w:rsidRDefault="00AC466B">
          <w:pPr>
            <w:pStyle w:val="TOC2"/>
            <w:tabs>
              <w:tab w:val="left" w:pos="880"/>
              <w:tab w:val="right" w:leader="dot" w:pos="9350"/>
            </w:tabs>
            <w:rPr>
              <w:noProof/>
              <w:lang w:val="en-NZ" w:eastAsia="en-NZ"/>
            </w:rPr>
          </w:pPr>
          <w:hyperlink w:anchor="_Toc74154068" w:history="1">
            <w:r w:rsidR="005878B7" w:rsidRPr="008D0C15">
              <w:rPr>
                <w:rStyle w:val="Hyperlink"/>
                <w:noProof/>
              </w:rPr>
              <w:t>3.1</w:t>
            </w:r>
            <w:r w:rsidR="005878B7">
              <w:rPr>
                <w:noProof/>
                <w:lang w:val="en-NZ" w:eastAsia="en-NZ"/>
              </w:rPr>
              <w:tab/>
            </w:r>
            <w:r w:rsidR="005878B7" w:rsidRPr="008D0C15">
              <w:rPr>
                <w:rStyle w:val="Hyperlink"/>
                <w:noProof/>
              </w:rPr>
              <w:t>Changes in Population Estimates over time</w:t>
            </w:r>
            <w:r w:rsidR="005878B7">
              <w:rPr>
                <w:noProof/>
                <w:webHidden/>
              </w:rPr>
              <w:tab/>
            </w:r>
            <w:r w:rsidR="005878B7">
              <w:rPr>
                <w:noProof/>
                <w:webHidden/>
              </w:rPr>
              <w:fldChar w:fldCharType="begin"/>
            </w:r>
            <w:r w:rsidR="005878B7">
              <w:rPr>
                <w:noProof/>
                <w:webHidden/>
              </w:rPr>
              <w:instrText xml:space="preserve"> PAGEREF _Toc74154068 \h </w:instrText>
            </w:r>
            <w:r w:rsidR="005878B7">
              <w:rPr>
                <w:noProof/>
                <w:webHidden/>
              </w:rPr>
            </w:r>
            <w:r w:rsidR="005878B7">
              <w:rPr>
                <w:noProof/>
                <w:webHidden/>
              </w:rPr>
              <w:fldChar w:fldCharType="separate"/>
            </w:r>
            <w:r w:rsidR="005878B7">
              <w:rPr>
                <w:noProof/>
                <w:webHidden/>
              </w:rPr>
              <w:t>45</w:t>
            </w:r>
            <w:r w:rsidR="005878B7">
              <w:rPr>
                <w:noProof/>
                <w:webHidden/>
              </w:rPr>
              <w:fldChar w:fldCharType="end"/>
            </w:r>
          </w:hyperlink>
        </w:p>
        <w:p w14:paraId="2F20E25C" w14:textId="0E05D55D" w:rsidR="005878B7" w:rsidRDefault="00AC466B">
          <w:pPr>
            <w:pStyle w:val="TOC2"/>
            <w:tabs>
              <w:tab w:val="left" w:pos="880"/>
              <w:tab w:val="right" w:leader="dot" w:pos="9350"/>
            </w:tabs>
            <w:rPr>
              <w:noProof/>
              <w:lang w:val="en-NZ" w:eastAsia="en-NZ"/>
            </w:rPr>
          </w:pPr>
          <w:hyperlink w:anchor="_Toc74154069" w:history="1">
            <w:r w:rsidR="005878B7" w:rsidRPr="008D0C15">
              <w:rPr>
                <w:rStyle w:val="Hyperlink"/>
                <w:noProof/>
              </w:rPr>
              <w:t>3.2</w:t>
            </w:r>
            <w:r w:rsidR="005878B7">
              <w:rPr>
                <w:noProof/>
                <w:lang w:val="en-NZ" w:eastAsia="en-NZ"/>
              </w:rPr>
              <w:tab/>
            </w:r>
            <w:r w:rsidR="005878B7" w:rsidRPr="008D0C15">
              <w:rPr>
                <w:rStyle w:val="Hyperlink"/>
                <w:noProof/>
              </w:rPr>
              <w:t>Emissions Reduction Impact</w:t>
            </w:r>
            <w:r w:rsidR="005878B7">
              <w:rPr>
                <w:noProof/>
                <w:webHidden/>
              </w:rPr>
              <w:tab/>
            </w:r>
            <w:r w:rsidR="005878B7">
              <w:rPr>
                <w:noProof/>
                <w:webHidden/>
              </w:rPr>
              <w:fldChar w:fldCharType="begin"/>
            </w:r>
            <w:r w:rsidR="005878B7">
              <w:rPr>
                <w:noProof/>
                <w:webHidden/>
              </w:rPr>
              <w:instrText xml:space="preserve"> PAGEREF _Toc74154069 \h </w:instrText>
            </w:r>
            <w:r w:rsidR="005878B7">
              <w:rPr>
                <w:noProof/>
                <w:webHidden/>
              </w:rPr>
            </w:r>
            <w:r w:rsidR="005878B7">
              <w:rPr>
                <w:noProof/>
                <w:webHidden/>
              </w:rPr>
              <w:fldChar w:fldCharType="separate"/>
            </w:r>
            <w:r w:rsidR="005878B7">
              <w:rPr>
                <w:noProof/>
                <w:webHidden/>
              </w:rPr>
              <w:t>46</w:t>
            </w:r>
            <w:r w:rsidR="005878B7">
              <w:rPr>
                <w:noProof/>
                <w:webHidden/>
              </w:rPr>
              <w:fldChar w:fldCharType="end"/>
            </w:r>
          </w:hyperlink>
        </w:p>
        <w:p w14:paraId="1B98BACA" w14:textId="1CEE340F" w:rsidR="005878B7" w:rsidRDefault="00AC466B">
          <w:pPr>
            <w:pStyle w:val="TOC1"/>
            <w:rPr>
              <w:noProof/>
              <w:lang w:val="en-NZ" w:eastAsia="en-NZ"/>
            </w:rPr>
          </w:pPr>
          <w:hyperlink w:anchor="_Toc74154070" w:history="1">
            <w:r w:rsidR="005878B7" w:rsidRPr="008D0C15">
              <w:rPr>
                <w:rStyle w:val="Hyperlink"/>
                <w:noProof/>
              </w:rPr>
              <w:t>4</w:t>
            </w:r>
            <w:r w:rsidR="005878B7">
              <w:rPr>
                <w:noProof/>
                <w:lang w:val="en-NZ" w:eastAsia="en-NZ"/>
              </w:rPr>
              <w:tab/>
            </w:r>
            <w:r w:rsidR="005878B7" w:rsidRPr="008D0C15">
              <w:rPr>
                <w:rStyle w:val="Hyperlink"/>
                <w:noProof/>
              </w:rPr>
              <w:t>Discussion</w:t>
            </w:r>
            <w:r w:rsidR="005878B7">
              <w:rPr>
                <w:noProof/>
                <w:webHidden/>
              </w:rPr>
              <w:tab/>
            </w:r>
            <w:r w:rsidR="005878B7">
              <w:rPr>
                <w:noProof/>
                <w:webHidden/>
              </w:rPr>
              <w:fldChar w:fldCharType="begin"/>
            </w:r>
            <w:r w:rsidR="005878B7">
              <w:rPr>
                <w:noProof/>
                <w:webHidden/>
              </w:rPr>
              <w:instrText xml:space="preserve"> PAGEREF _Toc74154070 \h </w:instrText>
            </w:r>
            <w:r w:rsidR="005878B7">
              <w:rPr>
                <w:noProof/>
                <w:webHidden/>
              </w:rPr>
            </w:r>
            <w:r w:rsidR="005878B7">
              <w:rPr>
                <w:noProof/>
                <w:webHidden/>
              </w:rPr>
              <w:fldChar w:fldCharType="separate"/>
            </w:r>
            <w:r w:rsidR="005878B7">
              <w:rPr>
                <w:noProof/>
                <w:webHidden/>
              </w:rPr>
              <w:t>47</w:t>
            </w:r>
            <w:r w:rsidR="005878B7">
              <w:rPr>
                <w:noProof/>
                <w:webHidden/>
              </w:rPr>
              <w:fldChar w:fldCharType="end"/>
            </w:r>
          </w:hyperlink>
        </w:p>
        <w:p w14:paraId="4D42A947" w14:textId="24F67AD4" w:rsidR="005878B7" w:rsidRDefault="00AC466B">
          <w:pPr>
            <w:pStyle w:val="TOC2"/>
            <w:tabs>
              <w:tab w:val="left" w:pos="880"/>
              <w:tab w:val="right" w:leader="dot" w:pos="9350"/>
            </w:tabs>
            <w:rPr>
              <w:noProof/>
              <w:lang w:val="en-NZ" w:eastAsia="en-NZ"/>
            </w:rPr>
          </w:pPr>
          <w:hyperlink w:anchor="_Toc74154071" w:history="1">
            <w:r w:rsidR="005878B7" w:rsidRPr="008D0C15">
              <w:rPr>
                <w:rStyle w:val="Hyperlink"/>
                <w:noProof/>
                <w:lang w:eastAsia="en-US"/>
              </w:rPr>
              <w:t>4.1</w:t>
            </w:r>
            <w:r w:rsidR="005878B7">
              <w:rPr>
                <w:noProof/>
                <w:lang w:val="en-NZ" w:eastAsia="en-NZ"/>
              </w:rPr>
              <w:tab/>
            </w:r>
            <w:r w:rsidR="005878B7" w:rsidRPr="008D0C15">
              <w:rPr>
                <w:rStyle w:val="Hyperlink"/>
                <w:noProof/>
                <w:lang w:eastAsia="en-US"/>
              </w:rPr>
              <w:t>Key highlights</w:t>
            </w:r>
            <w:r w:rsidR="005878B7">
              <w:rPr>
                <w:noProof/>
                <w:webHidden/>
              </w:rPr>
              <w:tab/>
            </w:r>
            <w:r w:rsidR="005878B7">
              <w:rPr>
                <w:noProof/>
                <w:webHidden/>
              </w:rPr>
              <w:fldChar w:fldCharType="begin"/>
            </w:r>
            <w:r w:rsidR="005878B7">
              <w:rPr>
                <w:noProof/>
                <w:webHidden/>
              </w:rPr>
              <w:instrText xml:space="preserve"> PAGEREF _Toc74154071 \h </w:instrText>
            </w:r>
            <w:r w:rsidR="005878B7">
              <w:rPr>
                <w:noProof/>
                <w:webHidden/>
              </w:rPr>
            </w:r>
            <w:r w:rsidR="005878B7">
              <w:rPr>
                <w:noProof/>
                <w:webHidden/>
              </w:rPr>
              <w:fldChar w:fldCharType="separate"/>
            </w:r>
            <w:r w:rsidR="005878B7">
              <w:rPr>
                <w:noProof/>
                <w:webHidden/>
              </w:rPr>
              <w:t>48</w:t>
            </w:r>
            <w:r w:rsidR="005878B7">
              <w:rPr>
                <w:noProof/>
                <w:webHidden/>
              </w:rPr>
              <w:fldChar w:fldCharType="end"/>
            </w:r>
          </w:hyperlink>
        </w:p>
        <w:p w14:paraId="1164F717" w14:textId="33416BB9" w:rsidR="005878B7" w:rsidRDefault="00AC466B">
          <w:pPr>
            <w:pStyle w:val="TOC2"/>
            <w:tabs>
              <w:tab w:val="left" w:pos="880"/>
              <w:tab w:val="right" w:leader="dot" w:pos="9350"/>
            </w:tabs>
            <w:rPr>
              <w:noProof/>
              <w:lang w:val="en-NZ" w:eastAsia="en-NZ"/>
            </w:rPr>
          </w:pPr>
          <w:hyperlink w:anchor="_Toc74154072" w:history="1">
            <w:r w:rsidR="005878B7" w:rsidRPr="008D0C15">
              <w:rPr>
                <w:rStyle w:val="Hyperlink"/>
                <w:noProof/>
                <w:lang w:eastAsia="en-US"/>
              </w:rPr>
              <w:t>4.2</w:t>
            </w:r>
            <w:r w:rsidR="005878B7">
              <w:rPr>
                <w:noProof/>
                <w:lang w:val="en-NZ" w:eastAsia="en-NZ"/>
              </w:rPr>
              <w:tab/>
            </w:r>
            <w:r w:rsidR="005878B7" w:rsidRPr="008D0C15">
              <w:rPr>
                <w:rStyle w:val="Hyperlink"/>
                <w:noProof/>
                <w:lang w:eastAsia="en-US"/>
              </w:rPr>
              <w:t>Limitations</w:t>
            </w:r>
            <w:r w:rsidR="005878B7">
              <w:rPr>
                <w:noProof/>
                <w:webHidden/>
              </w:rPr>
              <w:tab/>
            </w:r>
            <w:r w:rsidR="005878B7">
              <w:rPr>
                <w:noProof/>
                <w:webHidden/>
              </w:rPr>
              <w:fldChar w:fldCharType="begin"/>
            </w:r>
            <w:r w:rsidR="005878B7">
              <w:rPr>
                <w:noProof/>
                <w:webHidden/>
              </w:rPr>
              <w:instrText xml:space="preserve"> PAGEREF _Toc74154072 \h </w:instrText>
            </w:r>
            <w:r w:rsidR="005878B7">
              <w:rPr>
                <w:noProof/>
                <w:webHidden/>
              </w:rPr>
            </w:r>
            <w:r w:rsidR="005878B7">
              <w:rPr>
                <w:noProof/>
                <w:webHidden/>
              </w:rPr>
              <w:fldChar w:fldCharType="separate"/>
            </w:r>
            <w:r w:rsidR="005878B7">
              <w:rPr>
                <w:noProof/>
                <w:webHidden/>
              </w:rPr>
              <w:t>48</w:t>
            </w:r>
            <w:r w:rsidR="005878B7">
              <w:rPr>
                <w:noProof/>
                <w:webHidden/>
              </w:rPr>
              <w:fldChar w:fldCharType="end"/>
            </w:r>
          </w:hyperlink>
        </w:p>
        <w:p w14:paraId="6967EF37" w14:textId="53ADAB57" w:rsidR="005878B7" w:rsidRDefault="00AC466B">
          <w:pPr>
            <w:pStyle w:val="TOC1"/>
            <w:rPr>
              <w:noProof/>
              <w:lang w:val="en-NZ" w:eastAsia="en-NZ"/>
            </w:rPr>
          </w:pPr>
          <w:hyperlink w:anchor="_Toc74154073" w:history="1">
            <w:r w:rsidR="005878B7" w:rsidRPr="008D0C15">
              <w:rPr>
                <w:rStyle w:val="Hyperlink"/>
                <w:noProof/>
              </w:rPr>
              <w:t>5</w:t>
            </w:r>
            <w:r w:rsidR="005878B7">
              <w:rPr>
                <w:noProof/>
                <w:lang w:val="en-NZ" w:eastAsia="en-NZ"/>
              </w:rPr>
              <w:tab/>
            </w:r>
            <w:r w:rsidR="005878B7" w:rsidRPr="008D0C15">
              <w:rPr>
                <w:rStyle w:val="Hyperlink"/>
                <w:noProof/>
              </w:rPr>
              <w:t>References</w:t>
            </w:r>
            <w:r w:rsidR="005878B7">
              <w:rPr>
                <w:noProof/>
                <w:webHidden/>
              </w:rPr>
              <w:tab/>
            </w:r>
            <w:r w:rsidR="005878B7">
              <w:rPr>
                <w:noProof/>
                <w:webHidden/>
              </w:rPr>
              <w:fldChar w:fldCharType="begin"/>
            </w:r>
            <w:r w:rsidR="005878B7">
              <w:rPr>
                <w:noProof/>
                <w:webHidden/>
              </w:rPr>
              <w:instrText xml:space="preserve"> PAGEREF _Toc74154073 \h </w:instrText>
            </w:r>
            <w:r w:rsidR="005878B7">
              <w:rPr>
                <w:noProof/>
                <w:webHidden/>
              </w:rPr>
            </w:r>
            <w:r w:rsidR="005878B7">
              <w:rPr>
                <w:noProof/>
                <w:webHidden/>
              </w:rPr>
              <w:fldChar w:fldCharType="separate"/>
            </w:r>
            <w:r w:rsidR="005878B7">
              <w:rPr>
                <w:noProof/>
                <w:webHidden/>
              </w:rPr>
              <w:t>50</w:t>
            </w:r>
            <w:r w:rsidR="005878B7">
              <w:rPr>
                <w:noProof/>
                <w:webHidden/>
              </w:rPr>
              <w:fldChar w:fldCharType="end"/>
            </w:r>
          </w:hyperlink>
        </w:p>
        <w:p w14:paraId="53510438" w14:textId="628C9235" w:rsidR="005878B7" w:rsidRDefault="00AC466B">
          <w:pPr>
            <w:pStyle w:val="TOC1"/>
            <w:rPr>
              <w:noProof/>
              <w:lang w:val="en-NZ" w:eastAsia="en-NZ"/>
            </w:rPr>
          </w:pPr>
          <w:hyperlink w:anchor="_Toc74154074" w:history="1">
            <w:r w:rsidR="005878B7" w:rsidRPr="008D0C15">
              <w:rPr>
                <w:rStyle w:val="Hyperlink"/>
                <w:noProof/>
              </w:rPr>
              <w:t>6</w:t>
            </w:r>
            <w:r w:rsidR="005878B7">
              <w:rPr>
                <w:noProof/>
                <w:lang w:val="en-NZ" w:eastAsia="en-NZ"/>
              </w:rPr>
              <w:tab/>
            </w:r>
            <w:r w:rsidR="005878B7" w:rsidRPr="008D0C15">
              <w:rPr>
                <w:rStyle w:val="Hyperlink"/>
                <w:noProof/>
              </w:rPr>
              <w:t>Appendix</w:t>
            </w:r>
            <w:r w:rsidR="005878B7">
              <w:rPr>
                <w:noProof/>
                <w:webHidden/>
              </w:rPr>
              <w:tab/>
            </w:r>
            <w:r w:rsidR="005878B7">
              <w:rPr>
                <w:noProof/>
                <w:webHidden/>
              </w:rPr>
              <w:fldChar w:fldCharType="begin"/>
            </w:r>
            <w:r w:rsidR="005878B7">
              <w:rPr>
                <w:noProof/>
                <w:webHidden/>
              </w:rPr>
              <w:instrText xml:space="preserve"> PAGEREF _Toc74154074 \h </w:instrText>
            </w:r>
            <w:r w:rsidR="005878B7">
              <w:rPr>
                <w:noProof/>
                <w:webHidden/>
              </w:rPr>
            </w:r>
            <w:r w:rsidR="005878B7">
              <w:rPr>
                <w:noProof/>
                <w:webHidden/>
              </w:rPr>
              <w:fldChar w:fldCharType="separate"/>
            </w:r>
            <w:r w:rsidR="005878B7">
              <w:rPr>
                <w:noProof/>
                <w:webHidden/>
              </w:rPr>
              <w:t>60</w:t>
            </w:r>
            <w:r w:rsidR="005878B7">
              <w:rPr>
                <w:noProof/>
                <w:webHidden/>
              </w:rPr>
              <w:fldChar w:fldCharType="end"/>
            </w:r>
          </w:hyperlink>
        </w:p>
        <w:p w14:paraId="12C7DAF6" w14:textId="3A3ACD31" w:rsidR="00640665" w:rsidRDefault="00571731" w:rsidP="00901EE7">
          <w:pPr>
            <w:spacing w:after="0" w:line="240" w:lineRule="auto"/>
          </w:pPr>
          <w:r>
            <w:fldChar w:fldCharType="end"/>
          </w:r>
        </w:p>
      </w:sdtContent>
    </w:sdt>
    <w:p w14:paraId="78803BD1" w14:textId="77777777" w:rsidR="009B551F" w:rsidRDefault="009B551F">
      <w:pPr>
        <w:pStyle w:val="TableofFigures"/>
        <w:tabs>
          <w:tab w:val="right" w:leader="dot" w:pos="9350"/>
        </w:tabs>
      </w:pPr>
    </w:p>
    <w:p w14:paraId="414209D8" w14:textId="77777777" w:rsidR="00901EE7" w:rsidRPr="00901EE7" w:rsidRDefault="00901EE7" w:rsidP="00901EE7"/>
    <w:p w14:paraId="04173D62" w14:textId="675E480C" w:rsidR="009B551F" w:rsidRDefault="009B551F" w:rsidP="009B551F">
      <w:pPr>
        <w:pStyle w:val="TOCHeading"/>
        <w:numPr>
          <w:ilvl w:val="0"/>
          <w:numId w:val="0"/>
        </w:numPr>
        <w:spacing w:before="0" w:after="0" w:line="240" w:lineRule="auto"/>
      </w:pPr>
      <w:r>
        <w:t>List of Figures and Tables</w:t>
      </w:r>
    </w:p>
    <w:p w14:paraId="01025BDE" w14:textId="77777777" w:rsidR="009B551F" w:rsidRDefault="009B551F">
      <w:pPr>
        <w:pStyle w:val="TableofFigures"/>
        <w:tabs>
          <w:tab w:val="right" w:leader="dot" w:pos="9350"/>
        </w:tabs>
      </w:pPr>
    </w:p>
    <w:p w14:paraId="0FE51098" w14:textId="1A49218B" w:rsidR="009B551F" w:rsidRDefault="009B551F" w:rsidP="009528FD">
      <w:pPr>
        <w:pStyle w:val="TableofFigures"/>
        <w:tabs>
          <w:tab w:val="right" w:leader="dot" w:pos="9350"/>
        </w:tabs>
        <w:spacing w:line="360" w:lineRule="auto"/>
        <w:rPr>
          <w:noProof/>
          <w:lang w:val="en-NZ" w:eastAsia="en-NZ"/>
        </w:rPr>
      </w:pPr>
      <w:r>
        <w:fldChar w:fldCharType="begin"/>
      </w:r>
      <w:r>
        <w:instrText xml:space="preserve"> TOC \h \z \c "Figure" </w:instrText>
      </w:r>
      <w:r>
        <w:fldChar w:fldCharType="separate"/>
      </w:r>
      <w:hyperlink r:id="rId12" w:anchor="_Toc71706024" w:history="1">
        <w:r w:rsidRPr="000F0FED">
          <w:rPr>
            <w:rStyle w:val="Hyperlink"/>
            <w:noProof/>
          </w:rPr>
          <w:t>Figure 1: Links between education, health, population growth and climate impacts</w:t>
        </w:r>
        <w:r>
          <w:rPr>
            <w:noProof/>
            <w:webHidden/>
          </w:rPr>
          <w:tab/>
        </w:r>
        <w:r>
          <w:rPr>
            <w:noProof/>
            <w:webHidden/>
          </w:rPr>
          <w:fldChar w:fldCharType="begin"/>
        </w:r>
        <w:r>
          <w:rPr>
            <w:noProof/>
            <w:webHidden/>
          </w:rPr>
          <w:instrText xml:space="preserve"> PAGEREF _Toc71706024 \h </w:instrText>
        </w:r>
        <w:r>
          <w:rPr>
            <w:noProof/>
            <w:webHidden/>
          </w:rPr>
        </w:r>
        <w:r>
          <w:rPr>
            <w:noProof/>
            <w:webHidden/>
          </w:rPr>
          <w:fldChar w:fldCharType="separate"/>
        </w:r>
        <w:r>
          <w:rPr>
            <w:noProof/>
            <w:webHidden/>
          </w:rPr>
          <w:t>16</w:t>
        </w:r>
        <w:r>
          <w:rPr>
            <w:noProof/>
            <w:webHidden/>
          </w:rPr>
          <w:fldChar w:fldCharType="end"/>
        </w:r>
      </w:hyperlink>
    </w:p>
    <w:p w14:paraId="29D4D965" w14:textId="6DFE3A86" w:rsidR="005878B7" w:rsidRPr="005878B7" w:rsidRDefault="009B551F" w:rsidP="005878B7">
      <w:pPr>
        <w:pStyle w:val="TableofFigures"/>
        <w:tabs>
          <w:tab w:val="right" w:leader="dot" w:pos="9350"/>
        </w:tabs>
        <w:spacing w:line="360" w:lineRule="auto"/>
        <w:rPr>
          <w:noProof/>
        </w:rPr>
      </w:pPr>
      <w:r>
        <w:fldChar w:fldCharType="end"/>
      </w:r>
      <w:r>
        <w:fldChar w:fldCharType="begin"/>
      </w:r>
      <w:r>
        <w:instrText xml:space="preserve"> TOC \h \z \c "Table" </w:instrText>
      </w:r>
      <w:r>
        <w:fldChar w:fldCharType="separate"/>
      </w:r>
      <w:hyperlink w:anchor="_Toc74154075" w:history="1">
        <w:r w:rsidR="005878B7" w:rsidRPr="00E670C0">
          <w:rPr>
            <w:rStyle w:val="Hyperlink"/>
            <w:noProof/>
          </w:rPr>
          <w:t>Table 1: Current contraceptive use among women aged 15-49 years</w:t>
        </w:r>
        <w:r w:rsidR="005878B7">
          <w:rPr>
            <w:noProof/>
            <w:webHidden/>
          </w:rPr>
          <w:tab/>
        </w:r>
        <w:r w:rsidR="005878B7">
          <w:rPr>
            <w:noProof/>
            <w:webHidden/>
          </w:rPr>
          <w:fldChar w:fldCharType="begin"/>
        </w:r>
        <w:r w:rsidR="005878B7">
          <w:rPr>
            <w:noProof/>
            <w:webHidden/>
          </w:rPr>
          <w:instrText xml:space="preserve"> PAGEREF _Toc74154075 \h </w:instrText>
        </w:r>
        <w:r w:rsidR="005878B7">
          <w:rPr>
            <w:noProof/>
            <w:webHidden/>
          </w:rPr>
        </w:r>
        <w:r w:rsidR="005878B7">
          <w:rPr>
            <w:noProof/>
            <w:webHidden/>
          </w:rPr>
          <w:fldChar w:fldCharType="separate"/>
        </w:r>
        <w:r w:rsidR="005878B7">
          <w:rPr>
            <w:noProof/>
            <w:webHidden/>
          </w:rPr>
          <w:t>12</w:t>
        </w:r>
        <w:r w:rsidR="005878B7">
          <w:rPr>
            <w:noProof/>
            <w:webHidden/>
          </w:rPr>
          <w:fldChar w:fldCharType="end"/>
        </w:r>
      </w:hyperlink>
    </w:p>
    <w:p w14:paraId="65A4C025" w14:textId="7ED3F396" w:rsidR="005878B7" w:rsidRDefault="00AC466B" w:rsidP="005878B7">
      <w:pPr>
        <w:pStyle w:val="TableofFigures"/>
        <w:tabs>
          <w:tab w:val="right" w:leader="dot" w:pos="9350"/>
        </w:tabs>
        <w:spacing w:line="360" w:lineRule="auto"/>
        <w:rPr>
          <w:noProof/>
          <w:lang w:val="en-NZ" w:eastAsia="en-NZ"/>
        </w:rPr>
      </w:pPr>
      <w:hyperlink w:anchor="_Toc74154076" w:history="1">
        <w:r w:rsidR="005878B7" w:rsidRPr="00E670C0">
          <w:rPr>
            <w:rStyle w:val="Hyperlink"/>
            <w:noProof/>
          </w:rPr>
          <w:t>Table 2: Estimated annual costs of current FP uptake among women aged 15-49 years</w:t>
        </w:r>
        <w:r w:rsidR="005878B7">
          <w:rPr>
            <w:noProof/>
            <w:webHidden/>
          </w:rPr>
          <w:tab/>
        </w:r>
        <w:r w:rsidR="005878B7">
          <w:rPr>
            <w:noProof/>
            <w:webHidden/>
          </w:rPr>
          <w:fldChar w:fldCharType="begin"/>
        </w:r>
        <w:r w:rsidR="005878B7">
          <w:rPr>
            <w:noProof/>
            <w:webHidden/>
          </w:rPr>
          <w:instrText xml:space="preserve"> PAGEREF _Toc74154076 \h </w:instrText>
        </w:r>
        <w:r w:rsidR="005878B7">
          <w:rPr>
            <w:noProof/>
            <w:webHidden/>
          </w:rPr>
        </w:r>
        <w:r w:rsidR="005878B7">
          <w:rPr>
            <w:noProof/>
            <w:webHidden/>
          </w:rPr>
          <w:fldChar w:fldCharType="separate"/>
        </w:r>
        <w:r w:rsidR="005878B7">
          <w:rPr>
            <w:noProof/>
            <w:webHidden/>
          </w:rPr>
          <w:t>13</w:t>
        </w:r>
        <w:r w:rsidR="005878B7">
          <w:rPr>
            <w:noProof/>
            <w:webHidden/>
          </w:rPr>
          <w:fldChar w:fldCharType="end"/>
        </w:r>
      </w:hyperlink>
    </w:p>
    <w:p w14:paraId="7C6C3E14" w14:textId="03C9E4CE" w:rsidR="005878B7" w:rsidRDefault="00AC466B" w:rsidP="005878B7">
      <w:pPr>
        <w:pStyle w:val="TableofFigures"/>
        <w:tabs>
          <w:tab w:val="right" w:leader="dot" w:pos="9350"/>
        </w:tabs>
        <w:spacing w:line="360" w:lineRule="auto"/>
        <w:rPr>
          <w:noProof/>
          <w:lang w:val="en-NZ" w:eastAsia="en-NZ"/>
        </w:rPr>
      </w:pPr>
      <w:hyperlink w:anchor="_Toc74154077" w:history="1">
        <w:r w:rsidR="005878B7" w:rsidRPr="00E670C0">
          <w:rPr>
            <w:rStyle w:val="Hyperlink"/>
            <w:noProof/>
          </w:rPr>
          <w:t>Table 3: Estimated annual costs to meet all FP needs for all women aged 15-49 years</w:t>
        </w:r>
        <w:r w:rsidR="005878B7">
          <w:rPr>
            <w:noProof/>
            <w:webHidden/>
          </w:rPr>
          <w:tab/>
        </w:r>
        <w:r w:rsidR="005878B7">
          <w:rPr>
            <w:noProof/>
            <w:webHidden/>
          </w:rPr>
          <w:fldChar w:fldCharType="begin"/>
        </w:r>
        <w:r w:rsidR="005878B7">
          <w:rPr>
            <w:noProof/>
            <w:webHidden/>
          </w:rPr>
          <w:instrText xml:space="preserve"> PAGEREF _Toc74154077 \h </w:instrText>
        </w:r>
        <w:r w:rsidR="005878B7">
          <w:rPr>
            <w:noProof/>
            <w:webHidden/>
          </w:rPr>
        </w:r>
        <w:r w:rsidR="005878B7">
          <w:rPr>
            <w:noProof/>
            <w:webHidden/>
          </w:rPr>
          <w:fldChar w:fldCharType="separate"/>
        </w:r>
        <w:r w:rsidR="005878B7">
          <w:rPr>
            <w:noProof/>
            <w:webHidden/>
          </w:rPr>
          <w:t>13</w:t>
        </w:r>
        <w:r w:rsidR="005878B7">
          <w:rPr>
            <w:noProof/>
            <w:webHidden/>
          </w:rPr>
          <w:fldChar w:fldCharType="end"/>
        </w:r>
      </w:hyperlink>
    </w:p>
    <w:p w14:paraId="5F968205" w14:textId="7D6C2AA6" w:rsidR="005878B7" w:rsidRDefault="00AC466B" w:rsidP="005878B7">
      <w:pPr>
        <w:pStyle w:val="TableofFigures"/>
        <w:tabs>
          <w:tab w:val="right" w:leader="dot" w:pos="9350"/>
        </w:tabs>
        <w:spacing w:line="360" w:lineRule="auto"/>
        <w:rPr>
          <w:noProof/>
          <w:lang w:val="en-NZ" w:eastAsia="en-NZ"/>
        </w:rPr>
      </w:pPr>
      <w:hyperlink w:anchor="_Toc74154078" w:history="1">
        <w:r w:rsidR="005878B7" w:rsidRPr="00E670C0">
          <w:rPr>
            <w:rStyle w:val="Hyperlink"/>
            <w:noProof/>
          </w:rPr>
          <w:t>Table 4: Rates of enrolment and completion of primary, lower secondary and upper secondary schooling for both sexes in 2019</w:t>
        </w:r>
        <w:r w:rsidR="005878B7">
          <w:rPr>
            <w:noProof/>
            <w:webHidden/>
          </w:rPr>
          <w:tab/>
        </w:r>
        <w:r w:rsidR="005878B7">
          <w:rPr>
            <w:noProof/>
            <w:webHidden/>
          </w:rPr>
          <w:fldChar w:fldCharType="begin"/>
        </w:r>
        <w:r w:rsidR="005878B7">
          <w:rPr>
            <w:noProof/>
            <w:webHidden/>
          </w:rPr>
          <w:instrText xml:space="preserve"> PAGEREF _Toc74154078 \h </w:instrText>
        </w:r>
        <w:r w:rsidR="005878B7">
          <w:rPr>
            <w:noProof/>
            <w:webHidden/>
          </w:rPr>
        </w:r>
        <w:r w:rsidR="005878B7">
          <w:rPr>
            <w:noProof/>
            <w:webHidden/>
          </w:rPr>
          <w:fldChar w:fldCharType="separate"/>
        </w:r>
        <w:r w:rsidR="005878B7">
          <w:rPr>
            <w:noProof/>
            <w:webHidden/>
          </w:rPr>
          <w:t>16</w:t>
        </w:r>
        <w:r w:rsidR="005878B7">
          <w:rPr>
            <w:noProof/>
            <w:webHidden/>
          </w:rPr>
          <w:fldChar w:fldCharType="end"/>
        </w:r>
      </w:hyperlink>
    </w:p>
    <w:p w14:paraId="2C06E44B" w14:textId="3D632A4C" w:rsidR="005878B7" w:rsidRDefault="00AC466B" w:rsidP="005878B7">
      <w:pPr>
        <w:pStyle w:val="TableofFigures"/>
        <w:tabs>
          <w:tab w:val="right" w:leader="dot" w:pos="9350"/>
        </w:tabs>
        <w:spacing w:line="360" w:lineRule="auto"/>
        <w:rPr>
          <w:noProof/>
          <w:lang w:val="en-NZ" w:eastAsia="en-NZ"/>
        </w:rPr>
      </w:pPr>
      <w:hyperlink w:anchor="_Toc74154079" w:history="1">
        <w:r w:rsidR="005878B7" w:rsidRPr="00E670C0">
          <w:rPr>
            <w:rStyle w:val="Hyperlink"/>
            <w:noProof/>
          </w:rPr>
          <w:t>Table 5: REF 1 and REF 2 scenarios according to fertility classifications and NRRs of different countries</w:t>
        </w:r>
        <w:r w:rsidR="005878B7">
          <w:rPr>
            <w:noProof/>
            <w:webHidden/>
          </w:rPr>
          <w:tab/>
        </w:r>
        <w:r w:rsidR="005878B7">
          <w:rPr>
            <w:noProof/>
            <w:webHidden/>
          </w:rPr>
          <w:fldChar w:fldCharType="begin"/>
        </w:r>
        <w:r w:rsidR="005878B7">
          <w:rPr>
            <w:noProof/>
            <w:webHidden/>
          </w:rPr>
          <w:instrText xml:space="preserve"> PAGEREF _Toc74154079 \h </w:instrText>
        </w:r>
        <w:r w:rsidR="005878B7">
          <w:rPr>
            <w:noProof/>
            <w:webHidden/>
          </w:rPr>
        </w:r>
        <w:r w:rsidR="005878B7">
          <w:rPr>
            <w:noProof/>
            <w:webHidden/>
          </w:rPr>
          <w:fldChar w:fldCharType="separate"/>
        </w:r>
        <w:r w:rsidR="005878B7">
          <w:rPr>
            <w:noProof/>
            <w:webHidden/>
          </w:rPr>
          <w:t>36</w:t>
        </w:r>
        <w:r w:rsidR="005878B7">
          <w:rPr>
            <w:noProof/>
            <w:webHidden/>
          </w:rPr>
          <w:fldChar w:fldCharType="end"/>
        </w:r>
      </w:hyperlink>
    </w:p>
    <w:p w14:paraId="1F70C8FF" w14:textId="595A6305" w:rsidR="005878B7" w:rsidRDefault="00AC466B" w:rsidP="005878B7">
      <w:pPr>
        <w:pStyle w:val="TableofFigures"/>
        <w:tabs>
          <w:tab w:val="right" w:leader="dot" w:pos="9350"/>
        </w:tabs>
        <w:spacing w:line="360" w:lineRule="auto"/>
        <w:rPr>
          <w:noProof/>
          <w:lang w:val="en-NZ" w:eastAsia="en-NZ"/>
        </w:rPr>
      </w:pPr>
      <w:hyperlink w:anchor="_Toc74154080" w:history="1">
        <w:r w:rsidR="005878B7" w:rsidRPr="00E670C0">
          <w:rPr>
            <w:rStyle w:val="Hyperlink"/>
            <w:noProof/>
          </w:rPr>
          <w:t>Table 6: Definitions and terminology included in the Population Emissions model</w:t>
        </w:r>
        <w:r w:rsidR="005878B7">
          <w:rPr>
            <w:noProof/>
            <w:webHidden/>
          </w:rPr>
          <w:tab/>
        </w:r>
        <w:r w:rsidR="005878B7">
          <w:rPr>
            <w:noProof/>
            <w:webHidden/>
          </w:rPr>
          <w:fldChar w:fldCharType="begin"/>
        </w:r>
        <w:r w:rsidR="005878B7">
          <w:rPr>
            <w:noProof/>
            <w:webHidden/>
          </w:rPr>
          <w:instrText xml:space="preserve"> PAGEREF _Toc74154080 \h </w:instrText>
        </w:r>
        <w:r w:rsidR="005878B7">
          <w:rPr>
            <w:noProof/>
            <w:webHidden/>
          </w:rPr>
        </w:r>
        <w:r w:rsidR="005878B7">
          <w:rPr>
            <w:noProof/>
            <w:webHidden/>
          </w:rPr>
          <w:fldChar w:fldCharType="separate"/>
        </w:r>
        <w:r w:rsidR="005878B7">
          <w:rPr>
            <w:noProof/>
            <w:webHidden/>
          </w:rPr>
          <w:t>37</w:t>
        </w:r>
        <w:r w:rsidR="005878B7">
          <w:rPr>
            <w:noProof/>
            <w:webHidden/>
          </w:rPr>
          <w:fldChar w:fldCharType="end"/>
        </w:r>
      </w:hyperlink>
    </w:p>
    <w:p w14:paraId="44DB9782" w14:textId="7581A78D" w:rsidR="005878B7" w:rsidRDefault="00AC466B" w:rsidP="005878B7">
      <w:pPr>
        <w:pStyle w:val="TableofFigures"/>
        <w:tabs>
          <w:tab w:val="right" w:leader="dot" w:pos="9350"/>
        </w:tabs>
        <w:spacing w:line="360" w:lineRule="auto"/>
        <w:rPr>
          <w:noProof/>
          <w:lang w:val="en-NZ" w:eastAsia="en-NZ"/>
        </w:rPr>
      </w:pPr>
      <w:hyperlink w:anchor="_Toc74154081" w:history="1">
        <w:r w:rsidR="005878B7" w:rsidRPr="00E670C0">
          <w:rPr>
            <w:rStyle w:val="Hyperlink"/>
            <w:noProof/>
          </w:rPr>
          <w:t>Table 7: Data sources used for estimates and projections for the Health and Education sector</w:t>
        </w:r>
        <w:r w:rsidR="005878B7">
          <w:rPr>
            <w:noProof/>
            <w:webHidden/>
          </w:rPr>
          <w:tab/>
        </w:r>
        <w:r w:rsidR="005878B7">
          <w:rPr>
            <w:noProof/>
            <w:webHidden/>
          </w:rPr>
          <w:fldChar w:fldCharType="begin"/>
        </w:r>
        <w:r w:rsidR="005878B7">
          <w:rPr>
            <w:noProof/>
            <w:webHidden/>
          </w:rPr>
          <w:instrText xml:space="preserve"> PAGEREF _Toc74154081 \h </w:instrText>
        </w:r>
        <w:r w:rsidR="005878B7">
          <w:rPr>
            <w:noProof/>
            <w:webHidden/>
          </w:rPr>
        </w:r>
        <w:r w:rsidR="005878B7">
          <w:rPr>
            <w:noProof/>
            <w:webHidden/>
          </w:rPr>
          <w:fldChar w:fldCharType="separate"/>
        </w:r>
        <w:r w:rsidR="005878B7">
          <w:rPr>
            <w:noProof/>
            <w:webHidden/>
          </w:rPr>
          <w:t>43</w:t>
        </w:r>
        <w:r w:rsidR="005878B7">
          <w:rPr>
            <w:noProof/>
            <w:webHidden/>
          </w:rPr>
          <w:fldChar w:fldCharType="end"/>
        </w:r>
      </w:hyperlink>
    </w:p>
    <w:p w14:paraId="37502AE5" w14:textId="6FF1F026" w:rsidR="005878B7" w:rsidRDefault="00AC466B" w:rsidP="005878B7">
      <w:pPr>
        <w:pStyle w:val="TableofFigures"/>
        <w:tabs>
          <w:tab w:val="right" w:leader="dot" w:pos="9350"/>
        </w:tabs>
        <w:spacing w:line="360" w:lineRule="auto"/>
        <w:rPr>
          <w:noProof/>
          <w:lang w:val="en-NZ" w:eastAsia="en-NZ"/>
        </w:rPr>
      </w:pPr>
      <w:hyperlink w:anchor="_Toc74154082" w:history="1">
        <w:r w:rsidR="005878B7" w:rsidRPr="00E670C0">
          <w:rPr>
            <w:rStyle w:val="Hyperlink"/>
            <w:noProof/>
          </w:rPr>
          <w:t>Table 8: Changes in population estimates (in billions) across different scenarios, based on 2019 UN Population Projections</w:t>
        </w:r>
        <w:r w:rsidR="005878B7">
          <w:rPr>
            <w:noProof/>
            <w:webHidden/>
          </w:rPr>
          <w:tab/>
        </w:r>
        <w:r w:rsidR="005878B7">
          <w:rPr>
            <w:noProof/>
            <w:webHidden/>
          </w:rPr>
          <w:fldChar w:fldCharType="begin"/>
        </w:r>
        <w:r w:rsidR="005878B7">
          <w:rPr>
            <w:noProof/>
            <w:webHidden/>
          </w:rPr>
          <w:instrText xml:space="preserve"> PAGEREF _Toc74154082 \h </w:instrText>
        </w:r>
        <w:r w:rsidR="005878B7">
          <w:rPr>
            <w:noProof/>
            <w:webHidden/>
          </w:rPr>
        </w:r>
        <w:r w:rsidR="005878B7">
          <w:rPr>
            <w:noProof/>
            <w:webHidden/>
          </w:rPr>
          <w:fldChar w:fldCharType="separate"/>
        </w:r>
        <w:r w:rsidR="005878B7">
          <w:rPr>
            <w:noProof/>
            <w:webHidden/>
          </w:rPr>
          <w:t>45</w:t>
        </w:r>
        <w:r w:rsidR="005878B7">
          <w:rPr>
            <w:noProof/>
            <w:webHidden/>
          </w:rPr>
          <w:fldChar w:fldCharType="end"/>
        </w:r>
      </w:hyperlink>
    </w:p>
    <w:p w14:paraId="198A76C6" w14:textId="223AC2EE" w:rsidR="005878B7" w:rsidRDefault="00AC466B" w:rsidP="005878B7">
      <w:pPr>
        <w:pStyle w:val="TableofFigures"/>
        <w:tabs>
          <w:tab w:val="right" w:leader="dot" w:pos="9350"/>
        </w:tabs>
        <w:spacing w:line="360" w:lineRule="auto"/>
        <w:rPr>
          <w:noProof/>
          <w:lang w:val="en-NZ" w:eastAsia="en-NZ"/>
        </w:rPr>
      </w:pPr>
      <w:hyperlink w:anchor="_Toc74154083" w:history="1">
        <w:r w:rsidR="005878B7" w:rsidRPr="00E670C0">
          <w:rPr>
            <w:rStyle w:val="Hyperlink"/>
            <w:noProof/>
          </w:rPr>
          <w:t>Table 9: Changes in population estimates (in billions) across different scenarios, based on 2017 UN Population Projections</w:t>
        </w:r>
        <w:r w:rsidR="005878B7">
          <w:rPr>
            <w:noProof/>
            <w:webHidden/>
          </w:rPr>
          <w:tab/>
        </w:r>
        <w:r w:rsidR="005878B7">
          <w:rPr>
            <w:noProof/>
            <w:webHidden/>
          </w:rPr>
          <w:fldChar w:fldCharType="begin"/>
        </w:r>
        <w:r w:rsidR="005878B7">
          <w:rPr>
            <w:noProof/>
            <w:webHidden/>
          </w:rPr>
          <w:instrText xml:space="preserve"> PAGEREF _Toc74154083 \h </w:instrText>
        </w:r>
        <w:r w:rsidR="005878B7">
          <w:rPr>
            <w:noProof/>
            <w:webHidden/>
          </w:rPr>
        </w:r>
        <w:r w:rsidR="005878B7">
          <w:rPr>
            <w:noProof/>
            <w:webHidden/>
          </w:rPr>
          <w:fldChar w:fldCharType="separate"/>
        </w:r>
        <w:r w:rsidR="005878B7">
          <w:rPr>
            <w:noProof/>
            <w:webHidden/>
          </w:rPr>
          <w:t>45</w:t>
        </w:r>
        <w:r w:rsidR="005878B7">
          <w:rPr>
            <w:noProof/>
            <w:webHidden/>
          </w:rPr>
          <w:fldChar w:fldCharType="end"/>
        </w:r>
      </w:hyperlink>
    </w:p>
    <w:p w14:paraId="6FFB4CC3" w14:textId="43BD7728" w:rsidR="005878B7" w:rsidRDefault="00AC466B" w:rsidP="005878B7">
      <w:pPr>
        <w:pStyle w:val="TableofFigures"/>
        <w:tabs>
          <w:tab w:val="right" w:leader="dot" w:pos="9350"/>
        </w:tabs>
        <w:spacing w:line="360" w:lineRule="auto"/>
        <w:rPr>
          <w:noProof/>
          <w:lang w:val="en-NZ" w:eastAsia="en-NZ"/>
        </w:rPr>
      </w:pPr>
      <w:hyperlink w:anchor="_Toc74154084" w:history="1">
        <w:r w:rsidR="005878B7" w:rsidRPr="00E670C0">
          <w:rPr>
            <w:rStyle w:val="Hyperlink"/>
            <w:noProof/>
          </w:rPr>
          <w:t>Table 10: Emissions Reductions (GTs) of the Health and Education Sector Solutions</w:t>
        </w:r>
        <w:r w:rsidR="005878B7">
          <w:rPr>
            <w:noProof/>
            <w:webHidden/>
          </w:rPr>
          <w:tab/>
        </w:r>
        <w:r w:rsidR="005878B7">
          <w:rPr>
            <w:noProof/>
            <w:webHidden/>
          </w:rPr>
          <w:fldChar w:fldCharType="begin"/>
        </w:r>
        <w:r w:rsidR="005878B7">
          <w:rPr>
            <w:noProof/>
            <w:webHidden/>
          </w:rPr>
          <w:instrText xml:space="preserve"> PAGEREF _Toc74154084 \h </w:instrText>
        </w:r>
        <w:r w:rsidR="005878B7">
          <w:rPr>
            <w:noProof/>
            <w:webHidden/>
          </w:rPr>
        </w:r>
        <w:r w:rsidR="005878B7">
          <w:rPr>
            <w:noProof/>
            <w:webHidden/>
          </w:rPr>
          <w:fldChar w:fldCharType="separate"/>
        </w:r>
        <w:r w:rsidR="005878B7">
          <w:rPr>
            <w:noProof/>
            <w:webHidden/>
          </w:rPr>
          <w:t>46</w:t>
        </w:r>
        <w:r w:rsidR="005878B7">
          <w:rPr>
            <w:noProof/>
            <w:webHidden/>
          </w:rPr>
          <w:fldChar w:fldCharType="end"/>
        </w:r>
      </w:hyperlink>
    </w:p>
    <w:p w14:paraId="16BCD5F2" w14:textId="4EC22AF8" w:rsidR="005878B7" w:rsidRDefault="00AC466B" w:rsidP="005878B7">
      <w:pPr>
        <w:pStyle w:val="TableofFigures"/>
        <w:tabs>
          <w:tab w:val="right" w:leader="dot" w:pos="9350"/>
        </w:tabs>
        <w:spacing w:line="360" w:lineRule="auto"/>
        <w:rPr>
          <w:noProof/>
          <w:lang w:val="en-NZ" w:eastAsia="en-NZ"/>
        </w:rPr>
      </w:pPr>
      <w:hyperlink w:anchor="_Toc74154085" w:history="1">
        <w:r w:rsidR="005878B7" w:rsidRPr="00E670C0">
          <w:rPr>
            <w:rStyle w:val="Hyperlink"/>
            <w:noProof/>
          </w:rPr>
          <w:t>Table 11: Emissions Reductions across different sectors under the Plausible Scenario</w:t>
        </w:r>
        <w:r w:rsidR="005878B7">
          <w:rPr>
            <w:noProof/>
            <w:webHidden/>
          </w:rPr>
          <w:tab/>
        </w:r>
        <w:r w:rsidR="005878B7">
          <w:rPr>
            <w:noProof/>
            <w:webHidden/>
          </w:rPr>
          <w:fldChar w:fldCharType="begin"/>
        </w:r>
        <w:r w:rsidR="005878B7">
          <w:rPr>
            <w:noProof/>
            <w:webHidden/>
          </w:rPr>
          <w:instrText xml:space="preserve"> PAGEREF _Toc74154085 \h </w:instrText>
        </w:r>
        <w:r w:rsidR="005878B7">
          <w:rPr>
            <w:noProof/>
            <w:webHidden/>
          </w:rPr>
        </w:r>
        <w:r w:rsidR="005878B7">
          <w:rPr>
            <w:noProof/>
            <w:webHidden/>
          </w:rPr>
          <w:fldChar w:fldCharType="separate"/>
        </w:r>
        <w:r w:rsidR="005878B7">
          <w:rPr>
            <w:noProof/>
            <w:webHidden/>
          </w:rPr>
          <w:t>46</w:t>
        </w:r>
        <w:r w:rsidR="005878B7">
          <w:rPr>
            <w:noProof/>
            <w:webHidden/>
          </w:rPr>
          <w:fldChar w:fldCharType="end"/>
        </w:r>
      </w:hyperlink>
    </w:p>
    <w:p w14:paraId="2CF826AD" w14:textId="0DAC6615" w:rsidR="009528FD" w:rsidRDefault="009B551F" w:rsidP="005878B7">
      <w:pPr>
        <w:pStyle w:val="TableofFigures"/>
        <w:tabs>
          <w:tab w:val="right" w:leader="dot" w:pos="9350"/>
        </w:tabs>
        <w:spacing w:line="360" w:lineRule="auto"/>
      </w:pPr>
      <w:r>
        <w:fldChar w:fldCharType="end"/>
      </w:r>
      <w:r w:rsidR="009528FD">
        <w:br w:type="page"/>
      </w:r>
    </w:p>
    <w:bookmarkStart w:id="0" w:name="_Toc74154024"/>
    <w:p w14:paraId="68741317" w14:textId="52E97AA5" w:rsidR="008627CC" w:rsidRDefault="003260E9" w:rsidP="009528FD">
      <w:pPr>
        <w:pStyle w:val="Heading1"/>
        <w:numPr>
          <w:ilvl w:val="0"/>
          <w:numId w:val="0"/>
        </w:numPr>
        <w:spacing w:before="0" w:after="0" w:line="240" w:lineRule="auto"/>
      </w:pPr>
      <w:r w:rsidRPr="009528FD">
        <w:rPr>
          <w:noProof/>
          <w:lang w:val="en-NZ" w:eastAsia="en-NZ"/>
        </w:rPr>
        <w:lastRenderedPageBreak/>
        <mc:AlternateContent>
          <mc:Choice Requires="wps">
            <w:drawing>
              <wp:anchor distT="0" distB="0" distL="114300" distR="114300" simplePos="0" relativeHeight="251664384" behindDoc="0" locked="0" layoutInCell="1" allowOverlap="1" wp14:anchorId="0AD259FF" wp14:editId="6212E927">
                <wp:simplePos x="0" y="0"/>
                <wp:positionH relativeFrom="column">
                  <wp:posOffset>5715000</wp:posOffset>
                </wp:positionH>
                <wp:positionV relativeFrom="paragraph">
                  <wp:posOffset>7210425</wp:posOffset>
                </wp:positionV>
                <wp:extent cx="457200" cy="342900"/>
                <wp:effectExtent l="0" t="0" r="0" b="12700"/>
                <wp:wrapThrough wrapText="bothSides">
                  <wp:wrapPolygon edited="0">
                    <wp:start x="0" y="0"/>
                    <wp:lineTo x="0" y="20800"/>
                    <wp:lineTo x="20400" y="20800"/>
                    <wp:lineTo x="204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9755C" id="Rectangle 4" o:spid="_x0000_s1026" style="position:absolute;margin-left:450pt;margin-top:567.75pt;width:36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YCdgIAAGAFAAAOAAAAZHJzL2Uyb0RvYy54bWysVN9PGzEMfp+0/yHK+7i2dBtUXFEFYpqE&#10;oAImntNc0kbKxZmT9tr99XNyP8oYEtK0lzsn/mzH9mdfXO5ry3YKgwFX8vHJiDPlJFTGrUv+4+nm&#10;0xlnIQpXCQtOlfygAr+cf/xw0fiZmsAGbKWQkRMXZo0v+SZGPyuKIDeqFuEEvHKk1IC1iHTEdVGh&#10;aMh7bYvJaPSlaAArjyBVCHR73Sr5PPvXWsl4r3VQkdmS09ti/mL+rtK3mF+I2RqF3xjZPUP8wytq&#10;YRwFHVxdiyjYFs1frmojEQLoeCKhLkBrI1XOgbIZj15l87gRXuVcqDjBD2UK/8+tvNstkZmq5FPO&#10;nKipRQ9UNOHWVrFpKk/jw4xQj36J3SmQmHLda6zTn7Jg+1zSw1BStY9M0uX081dqE2eSVKfTyTnJ&#10;5KU4GnsM8ZuCmiWh5EjBcyHF7jbEFtpDUqwA1lQ3xtp8SCxRVxbZTlB/V+tx5/wPlHUJ6yBZtQ7T&#10;TZHyajPJUjxYlXDWPShNBaG3j/NDMhWPQYSUysU+UEYnM03OB8PT9w07fDJVmaaD8eR948EiRwYX&#10;B+PaOMC3HNjhybrF9xVo804lWEF1IC4gtEMSvLwx1JNbEeJSIE0FtZEmPd7TR1toSg6dxNkG8Ndb&#10;9wlPZCUtZw1NWcnDz61AxZn97ojG5+PpNI1lPmSucIYvNauXGretr4AaPaad4mUWyRij7UWNUD/T&#10;QlikqKQSTlLsksuI/eEqttNPK0WqxSLDaBS9iLfu0cu+64lzT/tngb4jZiRG30E/kWL2ip8tNvXD&#10;wWIbQZtM3mNdu3rTGGf6dysn7YmX54w6Lsb5bwAAAP//AwBQSwMEFAAGAAgAAAAhAAsZ8hjiAAAA&#10;DQEAAA8AAABkcnMvZG93bnJldi54bWxMj8FOwzAQRO9I/IO1SNyo3VYpTYhTAQL1QC8UpHJ0YxNH&#10;xGsTu03o17M9wXFnRrNvytXoOnY0fWw9SphOBDCDtdctNhLe355vlsBiUqhV59FI+DERVtXlRakK&#10;7Qd8NcdtahiVYCyUBJtSKDiPtTVOxYkPBsn79L1Tic6+4bpXA5W7js+EWHCnWqQPVgXzaE39tT04&#10;CcGuv4f1gttePJxOTy+b+UfY7aS8vhrv74AlM6a/MJzxCR0qYtr7A+rIOgm5ELQlkTGdZxkwiuS3&#10;M5L2Z2mZZ8Crkv9fUf0CAAD//wMAUEsBAi0AFAAGAAgAAAAhALaDOJL+AAAA4QEAABMAAAAAAAAA&#10;AAAAAAAAAAAAAFtDb250ZW50X1R5cGVzXS54bWxQSwECLQAUAAYACAAAACEAOP0h/9YAAACUAQAA&#10;CwAAAAAAAAAAAAAAAAAvAQAAX3JlbHMvLnJlbHNQSwECLQAUAAYACAAAACEAgGCGAnYCAABgBQAA&#10;DgAAAAAAAAAAAAAAAAAuAgAAZHJzL2Uyb0RvYy54bWxQSwECLQAUAAYACAAAACEACxnyGOIAAAAN&#10;AQAADwAAAAAAAAAAAAAAAADQBAAAZHJzL2Rvd25yZXYueG1sUEsFBgAAAAAEAAQA8wAAAN8FAAAA&#10;AA==&#10;" fillcolor="white [3212]" stroked="f" strokeweight=".5pt">
                <w10:wrap type="through"/>
              </v:rect>
            </w:pict>
          </mc:Fallback>
        </mc:AlternateContent>
      </w:r>
      <w:r>
        <w:t>Executive Summary</w:t>
      </w:r>
      <w:bookmarkEnd w:id="0"/>
    </w:p>
    <w:p w14:paraId="258D1C7E" w14:textId="77777777" w:rsidR="00E844EA" w:rsidRDefault="00E844EA" w:rsidP="008806DE">
      <w:pPr>
        <w:spacing w:after="0" w:line="240" w:lineRule="auto"/>
      </w:pPr>
    </w:p>
    <w:p w14:paraId="2EFF6A2D" w14:textId="7D746D9C" w:rsidR="00E844EA" w:rsidRDefault="006F0BD0" w:rsidP="00293BCF">
      <w:pPr>
        <w:spacing w:line="276" w:lineRule="auto"/>
        <w:jc w:val="both"/>
        <w:rPr>
          <w:sz w:val="24"/>
        </w:rPr>
      </w:pPr>
      <w:r>
        <w:rPr>
          <w:sz w:val="24"/>
        </w:rPr>
        <w:t xml:space="preserve">As of </w:t>
      </w:r>
      <w:r w:rsidR="002C7EB3" w:rsidRPr="006F0BD0">
        <w:rPr>
          <w:sz w:val="24"/>
        </w:rPr>
        <w:t xml:space="preserve">2021, the global human population stands at an estimated 7.87 billion people. </w:t>
      </w:r>
      <w:r>
        <w:rPr>
          <w:sz w:val="24"/>
        </w:rPr>
        <w:t xml:space="preserve">Based on </w:t>
      </w:r>
      <w:r w:rsidR="00FD0BBD">
        <w:rPr>
          <w:sz w:val="24"/>
        </w:rPr>
        <w:t xml:space="preserve">medium- variant population </w:t>
      </w:r>
      <w:r>
        <w:rPr>
          <w:sz w:val="24"/>
        </w:rPr>
        <w:t xml:space="preserve">projections from the UN Population Division, this number is still growing, though slower than before; and if the current trajectory continues, the world will be home to 10.9 billion people by 2100. </w:t>
      </w:r>
    </w:p>
    <w:p w14:paraId="1A0BC64B" w14:textId="2707BF29" w:rsidR="006F0BD0" w:rsidRDefault="006F0BD0" w:rsidP="00293BCF">
      <w:pPr>
        <w:spacing w:line="276" w:lineRule="auto"/>
        <w:jc w:val="both"/>
        <w:rPr>
          <w:sz w:val="24"/>
        </w:rPr>
      </w:pPr>
      <w:r>
        <w:rPr>
          <w:sz w:val="24"/>
        </w:rPr>
        <w:t>In the context of climate change and GHG emissions, more people equates</w:t>
      </w:r>
      <w:r w:rsidR="001134D2">
        <w:rPr>
          <w:sz w:val="24"/>
        </w:rPr>
        <w:t xml:space="preserve"> to more consumption, production and demand for resources, and consequently more GHG emissions. S</w:t>
      </w:r>
      <w:r w:rsidR="001134D2" w:rsidRPr="006F0BD0">
        <w:rPr>
          <w:sz w:val="24"/>
        </w:rPr>
        <w:t xml:space="preserve">lowing the momentum of rapid, unchecked population growth through a rights-based approach, </w:t>
      </w:r>
      <w:r w:rsidR="001134D2">
        <w:rPr>
          <w:sz w:val="24"/>
        </w:rPr>
        <w:t xml:space="preserve">therefore, </w:t>
      </w:r>
      <w:r w:rsidR="001134D2" w:rsidRPr="006F0BD0">
        <w:rPr>
          <w:sz w:val="24"/>
        </w:rPr>
        <w:t>is a significant factor in reducing GHG</w:t>
      </w:r>
      <w:r w:rsidR="001134D2">
        <w:rPr>
          <w:sz w:val="24"/>
        </w:rPr>
        <w:t xml:space="preserve"> emissions and</w:t>
      </w:r>
      <w:r w:rsidR="001134D2" w:rsidRPr="001134D2">
        <w:rPr>
          <w:sz w:val="24"/>
        </w:rPr>
        <w:t xml:space="preserve"> the </w:t>
      </w:r>
      <w:r w:rsidR="001134D2">
        <w:rPr>
          <w:sz w:val="24"/>
        </w:rPr>
        <w:t xml:space="preserve">negative </w:t>
      </w:r>
      <w:r w:rsidR="001134D2" w:rsidRPr="001134D2">
        <w:rPr>
          <w:sz w:val="24"/>
        </w:rPr>
        <w:t>h</w:t>
      </w:r>
      <w:r w:rsidR="001134D2">
        <w:rPr>
          <w:sz w:val="24"/>
        </w:rPr>
        <w:t xml:space="preserve">uman impact on the environment, </w:t>
      </w:r>
      <w:r>
        <w:rPr>
          <w:sz w:val="24"/>
        </w:rPr>
        <w:t xml:space="preserve">though it is important to recognize that regions of the world where population growth is high are not always the same regions where emissions are highest. </w:t>
      </w:r>
    </w:p>
    <w:p w14:paraId="50AC3CFF" w14:textId="14EF9730" w:rsidR="00293BCF" w:rsidRPr="00C24EC3" w:rsidRDefault="00293BCF" w:rsidP="00C24EC3">
      <w:pPr>
        <w:spacing w:line="276" w:lineRule="auto"/>
        <w:jc w:val="both"/>
        <w:rPr>
          <w:sz w:val="24"/>
        </w:rPr>
      </w:pPr>
      <w:r w:rsidRPr="00293BCF">
        <w:rPr>
          <w:sz w:val="24"/>
        </w:rPr>
        <w:t xml:space="preserve">Among factors influencing population growth, universal access to </w:t>
      </w:r>
      <w:r>
        <w:rPr>
          <w:sz w:val="24"/>
        </w:rPr>
        <w:t xml:space="preserve">a quality </w:t>
      </w:r>
      <w:r w:rsidRPr="00293BCF">
        <w:rPr>
          <w:sz w:val="24"/>
        </w:rPr>
        <w:t>education, as well as reproductive health-specific education are predominant</w:t>
      </w:r>
      <w:r>
        <w:rPr>
          <w:sz w:val="24"/>
        </w:rPr>
        <w:t xml:space="preserve">. </w:t>
      </w:r>
      <w:r w:rsidRPr="00293BCF">
        <w:rPr>
          <w:sz w:val="24"/>
        </w:rPr>
        <w:t>In most all contexts, education influences timing of marriage</w:t>
      </w:r>
      <w:r w:rsidR="00BD6727">
        <w:rPr>
          <w:sz w:val="24"/>
        </w:rPr>
        <w:t>, births and</w:t>
      </w:r>
      <w:r w:rsidRPr="00293BCF">
        <w:rPr>
          <w:sz w:val="24"/>
        </w:rPr>
        <w:t xml:space="preserve"> desired family size. Women </w:t>
      </w:r>
      <w:r>
        <w:rPr>
          <w:sz w:val="24"/>
        </w:rPr>
        <w:t xml:space="preserve">and men </w:t>
      </w:r>
      <w:r w:rsidRPr="00293BCF">
        <w:rPr>
          <w:sz w:val="24"/>
        </w:rPr>
        <w:t xml:space="preserve">with more schooling tend to delay </w:t>
      </w:r>
      <w:r w:rsidR="00BD6727">
        <w:rPr>
          <w:sz w:val="24"/>
        </w:rPr>
        <w:t xml:space="preserve">marriage and </w:t>
      </w:r>
      <w:r w:rsidRPr="00293BCF">
        <w:rPr>
          <w:sz w:val="24"/>
        </w:rPr>
        <w:t>childbearing longer, and</w:t>
      </w:r>
      <w:r w:rsidR="00BD6727">
        <w:rPr>
          <w:sz w:val="24"/>
        </w:rPr>
        <w:t xml:space="preserve"> have fewer children than those </w:t>
      </w:r>
      <w:r w:rsidRPr="00293BCF">
        <w:rPr>
          <w:sz w:val="24"/>
        </w:rPr>
        <w:t>with less education.</w:t>
      </w:r>
      <w:r>
        <w:rPr>
          <w:sz w:val="24"/>
        </w:rPr>
        <w:t xml:space="preserve"> When coupled with improved access to voluntary family planning and SRHR services, </w:t>
      </w:r>
      <w:r w:rsidRPr="001134D2">
        <w:rPr>
          <w:sz w:val="24"/>
        </w:rPr>
        <w:t xml:space="preserve">especially in countries where the unmet need for contraception is high or current demand is low, </w:t>
      </w:r>
      <w:r w:rsidR="001134D2" w:rsidRPr="001134D2">
        <w:rPr>
          <w:sz w:val="24"/>
        </w:rPr>
        <w:t>women and men will be equipped with the knowledge and autonomy to better plan and space their families. U</w:t>
      </w:r>
      <w:r w:rsidR="002C7EB3" w:rsidRPr="001134D2">
        <w:rPr>
          <w:sz w:val="24"/>
        </w:rPr>
        <w:t xml:space="preserve">nintended pregnancies and consequently </w:t>
      </w:r>
      <w:r w:rsidR="001134D2" w:rsidRPr="001134D2">
        <w:rPr>
          <w:sz w:val="24"/>
        </w:rPr>
        <w:t>unwanted</w:t>
      </w:r>
      <w:r w:rsidR="002C7EB3" w:rsidRPr="001134D2">
        <w:rPr>
          <w:sz w:val="24"/>
        </w:rPr>
        <w:t xml:space="preserve"> births </w:t>
      </w:r>
      <w:r w:rsidR="001134D2" w:rsidRPr="001134D2">
        <w:rPr>
          <w:sz w:val="24"/>
        </w:rPr>
        <w:t>can</w:t>
      </w:r>
      <w:r>
        <w:rPr>
          <w:sz w:val="24"/>
        </w:rPr>
        <w:t xml:space="preserve"> be averted and </w:t>
      </w:r>
      <w:r w:rsidRPr="001134D2">
        <w:rPr>
          <w:sz w:val="24"/>
        </w:rPr>
        <w:t xml:space="preserve">total fertility rates </w:t>
      </w:r>
      <w:r>
        <w:rPr>
          <w:sz w:val="24"/>
        </w:rPr>
        <w:t>would</w:t>
      </w:r>
      <w:r w:rsidRPr="001134D2">
        <w:rPr>
          <w:sz w:val="24"/>
        </w:rPr>
        <w:t xml:space="preserve"> begin to </w:t>
      </w:r>
      <w:r>
        <w:rPr>
          <w:sz w:val="24"/>
        </w:rPr>
        <w:t xml:space="preserve">decline, </w:t>
      </w:r>
      <w:r w:rsidR="002C7EB3" w:rsidRPr="001134D2">
        <w:rPr>
          <w:sz w:val="24"/>
        </w:rPr>
        <w:t>thereby reducing future</w:t>
      </w:r>
      <w:r w:rsidR="001134D2">
        <w:rPr>
          <w:sz w:val="24"/>
        </w:rPr>
        <w:t xml:space="preserve"> unchecked</w:t>
      </w:r>
      <w:r w:rsidR="002C7EB3" w:rsidRPr="001134D2">
        <w:rPr>
          <w:sz w:val="24"/>
        </w:rPr>
        <w:t xml:space="preserve"> population growth and consequently </w:t>
      </w:r>
      <w:r w:rsidR="001134D2">
        <w:rPr>
          <w:sz w:val="24"/>
        </w:rPr>
        <w:t>GHG</w:t>
      </w:r>
      <w:r w:rsidR="002C7EB3" w:rsidRPr="001134D2">
        <w:rPr>
          <w:sz w:val="24"/>
        </w:rPr>
        <w:t xml:space="preserve"> emissions </w:t>
      </w:r>
      <w:r w:rsidR="00BD6727">
        <w:rPr>
          <w:sz w:val="24"/>
        </w:rPr>
        <w:t xml:space="preserve">globally, </w:t>
      </w:r>
      <w:r w:rsidR="002C7EB3" w:rsidRPr="001134D2">
        <w:rPr>
          <w:sz w:val="24"/>
        </w:rPr>
        <w:t>through lower</w:t>
      </w:r>
      <w:r w:rsidR="00BD6727">
        <w:rPr>
          <w:sz w:val="24"/>
        </w:rPr>
        <w:t>ed</w:t>
      </w:r>
      <w:r w:rsidR="002C7EB3" w:rsidRPr="001134D2">
        <w:rPr>
          <w:sz w:val="24"/>
        </w:rPr>
        <w:t xml:space="preserve"> demand </w:t>
      </w:r>
      <w:r w:rsidR="00BD6727">
        <w:rPr>
          <w:sz w:val="24"/>
        </w:rPr>
        <w:t>for</w:t>
      </w:r>
      <w:r w:rsidR="002C7EB3" w:rsidRPr="001134D2">
        <w:rPr>
          <w:sz w:val="24"/>
        </w:rPr>
        <w:t xml:space="preserve"> goods and services. </w:t>
      </w:r>
    </w:p>
    <w:p w14:paraId="1F79B09D" w14:textId="6F3D4748" w:rsidR="00293BCF" w:rsidRPr="00C24EC3" w:rsidRDefault="00293BCF" w:rsidP="00C24EC3">
      <w:pPr>
        <w:jc w:val="both"/>
        <w:rPr>
          <w:sz w:val="24"/>
        </w:rPr>
        <w:sectPr w:rsidR="00293BCF" w:rsidRPr="00C24EC3" w:rsidSect="00F52595">
          <w:footerReference w:type="even" r:id="rId13"/>
          <w:footerReference w:type="default" r:id="rId14"/>
          <w:pgSz w:w="12240" w:h="15840"/>
          <w:pgMar w:top="1440" w:right="1440" w:bottom="1440" w:left="1440" w:header="720" w:footer="720" w:gutter="0"/>
          <w:pgNumType w:start="1"/>
          <w:cols w:space="720"/>
        </w:sectPr>
      </w:pPr>
      <w:r w:rsidRPr="00C24EC3">
        <w:rPr>
          <w:sz w:val="24"/>
        </w:rPr>
        <w:t xml:space="preserve">Based on the latest data available from the UN </w:t>
      </w:r>
      <w:r w:rsidR="00C24EC3" w:rsidRPr="00C24EC3">
        <w:rPr>
          <w:sz w:val="24"/>
        </w:rPr>
        <w:t>P</w:t>
      </w:r>
      <w:r w:rsidRPr="00C24EC3">
        <w:rPr>
          <w:sz w:val="24"/>
        </w:rPr>
        <w:t>opulations D</w:t>
      </w:r>
      <w:r w:rsidR="00C24EC3" w:rsidRPr="00C24EC3">
        <w:rPr>
          <w:sz w:val="24"/>
        </w:rPr>
        <w:t xml:space="preserve">ivision, </w:t>
      </w:r>
      <w:r w:rsidR="00C24EC3">
        <w:rPr>
          <w:sz w:val="24"/>
        </w:rPr>
        <w:t>the adoption of Project Drawdown’s</w:t>
      </w:r>
      <w:r w:rsidR="00C24EC3" w:rsidRPr="00C24EC3">
        <w:rPr>
          <w:sz w:val="24"/>
        </w:rPr>
        <w:t xml:space="preserve"> Health and Education </w:t>
      </w:r>
      <w:r w:rsidR="00C24EC3">
        <w:rPr>
          <w:sz w:val="24"/>
        </w:rPr>
        <w:t xml:space="preserve">solutions– ensuring </w:t>
      </w:r>
      <w:r w:rsidR="00AC20ED">
        <w:rPr>
          <w:sz w:val="24"/>
        </w:rPr>
        <w:t xml:space="preserve">universal </w:t>
      </w:r>
      <w:r w:rsidR="00C24EC3">
        <w:rPr>
          <w:sz w:val="24"/>
        </w:rPr>
        <w:t xml:space="preserve">access to </w:t>
      </w:r>
      <w:r w:rsidR="00AC20ED">
        <w:rPr>
          <w:sz w:val="24"/>
        </w:rPr>
        <w:t xml:space="preserve">quality </w:t>
      </w:r>
      <w:r w:rsidR="00C24EC3">
        <w:rPr>
          <w:sz w:val="24"/>
        </w:rPr>
        <w:t xml:space="preserve">education for all girls and boys, and </w:t>
      </w:r>
      <w:r w:rsidR="00FD2C5C">
        <w:rPr>
          <w:sz w:val="24"/>
        </w:rPr>
        <w:t xml:space="preserve">access to </w:t>
      </w:r>
      <w:r w:rsidR="00C24EC3">
        <w:rPr>
          <w:sz w:val="24"/>
        </w:rPr>
        <w:t>voluntary family planning services for all</w:t>
      </w:r>
      <w:r w:rsidR="00FD2C5C">
        <w:rPr>
          <w:sz w:val="24"/>
        </w:rPr>
        <w:t xml:space="preserve"> women and couples</w:t>
      </w:r>
      <w:r w:rsidR="00C24EC3">
        <w:rPr>
          <w:sz w:val="24"/>
        </w:rPr>
        <w:t xml:space="preserve">– will result in an estimated reduction of </w:t>
      </w:r>
      <w:r w:rsidR="00C24EC3" w:rsidRPr="00FD2C5C">
        <w:rPr>
          <w:sz w:val="24"/>
          <w:highlight w:val="yellow"/>
        </w:rPr>
        <w:t>69.9</w:t>
      </w:r>
      <w:r w:rsidR="00C24EC3">
        <w:rPr>
          <w:sz w:val="24"/>
        </w:rPr>
        <w:t xml:space="preserve"> GTs of GHG</w:t>
      </w:r>
      <w:r w:rsidR="00FD2C5C">
        <w:rPr>
          <w:sz w:val="24"/>
        </w:rPr>
        <w:t xml:space="preserve"> emissions</w:t>
      </w:r>
      <w:r w:rsidR="00C24EC3">
        <w:rPr>
          <w:sz w:val="24"/>
        </w:rPr>
        <w:t xml:space="preserve"> by 2050. To achieve this, however, will require</w:t>
      </w:r>
      <w:r w:rsidR="00FB0EDC">
        <w:rPr>
          <w:sz w:val="24"/>
        </w:rPr>
        <w:t xml:space="preserve"> global, ambitious and </w:t>
      </w:r>
      <w:r w:rsidR="00C24EC3">
        <w:rPr>
          <w:sz w:val="24"/>
        </w:rPr>
        <w:t xml:space="preserve">concerted efforts in addressing and overcoming the barriers to education and SRHR that still exist in many regions of the world today. </w:t>
      </w:r>
    </w:p>
    <w:p w14:paraId="6E54E548" w14:textId="147479C1" w:rsidR="008113FA" w:rsidRPr="00BA3289" w:rsidRDefault="00E844EA" w:rsidP="008806DE">
      <w:pPr>
        <w:pStyle w:val="Heading1"/>
        <w:spacing w:before="0" w:after="0" w:line="240" w:lineRule="auto"/>
        <w:ind w:left="0"/>
      </w:pPr>
      <w:bookmarkStart w:id="1" w:name="_Toc74154025"/>
      <w:r w:rsidRPr="00BA3289">
        <w:lastRenderedPageBreak/>
        <w:t>Literature Review</w:t>
      </w:r>
      <w:bookmarkEnd w:id="1"/>
    </w:p>
    <w:p w14:paraId="318AD8ED" w14:textId="77777777" w:rsidR="00E844EA" w:rsidRPr="00BA3289" w:rsidRDefault="00E844EA" w:rsidP="00B144E5">
      <w:pPr>
        <w:spacing w:after="0"/>
        <w:rPr>
          <w:rFonts w:asciiTheme="majorHAnsi" w:hAnsiTheme="majorHAnsi"/>
          <w:bCs/>
        </w:rPr>
      </w:pPr>
    </w:p>
    <w:p w14:paraId="5D6DFA59" w14:textId="3D4D0058" w:rsidR="00BD7516" w:rsidRDefault="00BD7516" w:rsidP="00724C99">
      <w:pPr>
        <w:pStyle w:val="Heading2"/>
        <w:spacing w:before="0" w:line="240" w:lineRule="auto"/>
        <w:ind w:left="0" w:firstLine="0"/>
      </w:pPr>
      <w:bookmarkStart w:id="2" w:name="_Toc74154026"/>
      <w:r>
        <w:t>Introduction</w:t>
      </w:r>
      <w:bookmarkEnd w:id="2"/>
    </w:p>
    <w:p w14:paraId="76AA4519" w14:textId="77777777" w:rsidR="004A006F" w:rsidRPr="004A006F" w:rsidRDefault="00BD7516" w:rsidP="009528FD">
      <w:pPr>
        <w:jc w:val="both"/>
        <w:rPr>
          <w:sz w:val="24"/>
        </w:rPr>
      </w:pPr>
      <w:r w:rsidRPr="004A006F">
        <w:rPr>
          <w:sz w:val="24"/>
        </w:rPr>
        <w:t>Access to 12 years of education</w:t>
      </w:r>
      <w:r w:rsidR="004A006F" w:rsidRPr="004A006F">
        <w:rPr>
          <w:sz w:val="24"/>
        </w:rPr>
        <w:t xml:space="preserve"> for all children</w:t>
      </w:r>
      <w:r w:rsidRPr="004A006F">
        <w:rPr>
          <w:sz w:val="24"/>
        </w:rPr>
        <w:t xml:space="preserve">, and voluntary family planning for all </w:t>
      </w:r>
      <w:r w:rsidR="004A006F" w:rsidRPr="004A006F">
        <w:rPr>
          <w:sz w:val="24"/>
        </w:rPr>
        <w:t xml:space="preserve">women and girls, are basic human rights and key tenets in the achievement of </w:t>
      </w:r>
      <w:r w:rsidRPr="004A006F">
        <w:rPr>
          <w:sz w:val="24"/>
        </w:rPr>
        <w:t>g</w:t>
      </w:r>
      <w:r w:rsidR="004A006F" w:rsidRPr="004A006F">
        <w:rPr>
          <w:sz w:val="24"/>
        </w:rPr>
        <w:t xml:space="preserve">ender equity. While much progress has been made in both areas over the last several decades, significant gaps still exist in ensuring access to health and education in many parts of the world today. </w:t>
      </w:r>
    </w:p>
    <w:p w14:paraId="5E01952E" w14:textId="39BD3190" w:rsidR="00BD7516" w:rsidRPr="004A006F" w:rsidRDefault="004A006F" w:rsidP="009528FD">
      <w:pPr>
        <w:jc w:val="both"/>
        <w:rPr>
          <w:sz w:val="24"/>
        </w:rPr>
      </w:pPr>
      <w:r w:rsidRPr="004A006F">
        <w:rPr>
          <w:sz w:val="24"/>
        </w:rPr>
        <w:t xml:space="preserve">Universal education and access to voluntary family planning </w:t>
      </w:r>
      <w:r w:rsidR="00BD7516" w:rsidRPr="004A006F">
        <w:rPr>
          <w:sz w:val="24"/>
        </w:rPr>
        <w:t>are included as solutions in Project Drawdown because advancing those rights has an effect on fertili</w:t>
      </w:r>
      <w:r w:rsidRPr="004A006F">
        <w:rPr>
          <w:sz w:val="24"/>
        </w:rPr>
        <w:t xml:space="preserve">ty rates and population changes over time. </w:t>
      </w:r>
      <w:r w:rsidR="00BD7516" w:rsidRPr="004A006F">
        <w:rPr>
          <w:sz w:val="24"/>
        </w:rPr>
        <w:t xml:space="preserve">Population size </w:t>
      </w:r>
      <w:r w:rsidRPr="004A006F">
        <w:rPr>
          <w:sz w:val="24"/>
        </w:rPr>
        <w:t>and growth are</w:t>
      </w:r>
      <w:r w:rsidR="00BD7516" w:rsidRPr="004A006F">
        <w:rPr>
          <w:sz w:val="24"/>
        </w:rPr>
        <w:t xml:space="preserve"> key driver</w:t>
      </w:r>
      <w:r w:rsidRPr="004A006F">
        <w:rPr>
          <w:sz w:val="24"/>
        </w:rPr>
        <w:t>s</w:t>
      </w:r>
      <w:r w:rsidR="00BD7516" w:rsidRPr="004A006F">
        <w:rPr>
          <w:sz w:val="24"/>
        </w:rPr>
        <w:t xml:space="preserve"> of demand for food, transportatio</w:t>
      </w:r>
      <w:r w:rsidRPr="004A006F">
        <w:rPr>
          <w:sz w:val="24"/>
        </w:rPr>
        <w:t xml:space="preserve">n, electricity, and other resources, all of which contribute to the overall levels of carbon and greenhouse (GHG) </w:t>
      </w:r>
      <w:r w:rsidR="00BD7516" w:rsidRPr="004A006F">
        <w:rPr>
          <w:sz w:val="24"/>
        </w:rPr>
        <w:t xml:space="preserve">emissions. </w:t>
      </w:r>
    </w:p>
    <w:p w14:paraId="094C51DC" w14:textId="003050E4" w:rsidR="00BD7516" w:rsidRPr="004A006F" w:rsidRDefault="00BD7516" w:rsidP="00BD7516">
      <w:pPr>
        <w:rPr>
          <w:sz w:val="24"/>
        </w:rPr>
      </w:pPr>
    </w:p>
    <w:p w14:paraId="62939350" w14:textId="7BB66BF8" w:rsidR="00BD7516" w:rsidRPr="004A006F" w:rsidRDefault="00BD7516" w:rsidP="00BD7516">
      <w:pPr>
        <w:rPr>
          <w:b/>
          <w:sz w:val="24"/>
        </w:rPr>
      </w:pPr>
      <w:r w:rsidRPr="004A006F">
        <w:rPr>
          <w:b/>
          <w:sz w:val="24"/>
        </w:rPr>
        <w:t>Health and Education Sector solutions:</w:t>
      </w:r>
    </w:p>
    <w:p w14:paraId="4DE20422" w14:textId="34F12969" w:rsidR="00BD7516" w:rsidRPr="004A006F" w:rsidRDefault="0062402A" w:rsidP="0062402A">
      <w:pPr>
        <w:pStyle w:val="ListParagraph"/>
        <w:numPr>
          <w:ilvl w:val="0"/>
          <w:numId w:val="9"/>
        </w:numPr>
        <w:spacing w:after="0" w:line="276" w:lineRule="auto"/>
        <w:jc w:val="both"/>
        <w:rPr>
          <w:sz w:val="24"/>
        </w:rPr>
      </w:pPr>
      <w:r>
        <w:rPr>
          <w:i/>
          <w:iCs/>
          <w:sz w:val="24"/>
        </w:rPr>
        <w:t xml:space="preserve">Universal education for </w:t>
      </w:r>
      <w:r w:rsidR="004A006F" w:rsidRPr="004A006F">
        <w:rPr>
          <w:i/>
          <w:iCs/>
          <w:sz w:val="24"/>
        </w:rPr>
        <w:t>g</w:t>
      </w:r>
      <w:r w:rsidR="00BD7516" w:rsidRPr="004A006F">
        <w:rPr>
          <w:i/>
          <w:iCs/>
          <w:sz w:val="24"/>
        </w:rPr>
        <w:t xml:space="preserve">irls and boys – </w:t>
      </w:r>
      <w:r w:rsidR="00BD7516" w:rsidRPr="004A006F">
        <w:rPr>
          <w:sz w:val="24"/>
        </w:rPr>
        <w:t xml:space="preserve">providing equal </w:t>
      </w:r>
      <w:r w:rsidR="004A006F" w:rsidRPr="004A006F">
        <w:rPr>
          <w:sz w:val="24"/>
        </w:rPr>
        <w:t xml:space="preserve">access to </w:t>
      </w:r>
      <w:r>
        <w:rPr>
          <w:sz w:val="24"/>
        </w:rPr>
        <w:t xml:space="preserve">12 years of </w:t>
      </w:r>
      <w:r w:rsidR="004A006F" w:rsidRPr="004A006F">
        <w:rPr>
          <w:sz w:val="24"/>
        </w:rPr>
        <w:t xml:space="preserve">quality education for </w:t>
      </w:r>
      <w:r>
        <w:rPr>
          <w:sz w:val="24"/>
        </w:rPr>
        <w:t xml:space="preserve">all </w:t>
      </w:r>
      <w:r w:rsidR="004A006F" w:rsidRPr="004A006F">
        <w:rPr>
          <w:sz w:val="24"/>
        </w:rPr>
        <w:t xml:space="preserve">children </w:t>
      </w:r>
      <w:r w:rsidR="00BD7516" w:rsidRPr="004A006F">
        <w:rPr>
          <w:sz w:val="24"/>
        </w:rPr>
        <w:t>currently being denied access</w:t>
      </w:r>
      <w:r w:rsidR="004A006F" w:rsidRPr="004A006F">
        <w:rPr>
          <w:sz w:val="24"/>
        </w:rPr>
        <w:t xml:space="preserve">. The opportunity to complete of schooling can lead </w:t>
      </w:r>
      <w:r w:rsidR="00BD7516" w:rsidRPr="004A006F">
        <w:rPr>
          <w:sz w:val="24"/>
        </w:rPr>
        <w:t xml:space="preserve">to improved livelihoods, delayed onset of marriage, delayed childbearing, and </w:t>
      </w:r>
      <w:r w:rsidR="004A006F" w:rsidRPr="004A006F">
        <w:rPr>
          <w:sz w:val="24"/>
        </w:rPr>
        <w:t>smaller, well-spaced families with fewer children</w:t>
      </w:r>
      <w:r w:rsidR="00AC20ED">
        <w:rPr>
          <w:sz w:val="24"/>
        </w:rPr>
        <w:t>.</w:t>
      </w:r>
    </w:p>
    <w:p w14:paraId="72C5758C" w14:textId="7D767A30" w:rsidR="00BD7516" w:rsidRPr="004A006F" w:rsidRDefault="00FD2C5C" w:rsidP="0062402A">
      <w:pPr>
        <w:pStyle w:val="ListParagraph"/>
        <w:numPr>
          <w:ilvl w:val="0"/>
          <w:numId w:val="9"/>
        </w:numPr>
        <w:spacing w:after="0" w:line="276" w:lineRule="auto"/>
        <w:jc w:val="both"/>
        <w:rPr>
          <w:i/>
          <w:iCs/>
          <w:sz w:val="24"/>
        </w:rPr>
      </w:pPr>
      <w:r>
        <w:rPr>
          <w:i/>
          <w:iCs/>
          <w:sz w:val="24"/>
        </w:rPr>
        <w:t xml:space="preserve">Voluntary </w:t>
      </w:r>
      <w:r w:rsidR="00572763">
        <w:rPr>
          <w:i/>
          <w:iCs/>
          <w:sz w:val="24"/>
        </w:rPr>
        <w:t>family p</w:t>
      </w:r>
      <w:r w:rsidR="00BD7516" w:rsidRPr="004A006F">
        <w:rPr>
          <w:i/>
          <w:iCs/>
          <w:sz w:val="24"/>
        </w:rPr>
        <w:t xml:space="preserve">lanning – </w:t>
      </w:r>
      <w:r w:rsidR="00BD7516" w:rsidRPr="004A006F">
        <w:rPr>
          <w:sz w:val="24"/>
        </w:rPr>
        <w:t xml:space="preserve">scaling-up voluntary family planning efforts, including access to </w:t>
      </w:r>
      <w:r w:rsidR="004A006F" w:rsidRPr="004A006F">
        <w:rPr>
          <w:sz w:val="24"/>
        </w:rPr>
        <w:t>affordable</w:t>
      </w:r>
      <w:r w:rsidR="00BD6727">
        <w:rPr>
          <w:sz w:val="24"/>
        </w:rPr>
        <w:t>, quality</w:t>
      </w:r>
      <w:r w:rsidR="004A006F" w:rsidRPr="004A006F">
        <w:rPr>
          <w:sz w:val="24"/>
        </w:rPr>
        <w:t xml:space="preserve"> </w:t>
      </w:r>
      <w:r w:rsidR="00BD7516" w:rsidRPr="004A006F">
        <w:rPr>
          <w:sz w:val="24"/>
        </w:rPr>
        <w:t xml:space="preserve">contraception and </w:t>
      </w:r>
      <w:r w:rsidR="00BD6727">
        <w:rPr>
          <w:sz w:val="24"/>
        </w:rPr>
        <w:t xml:space="preserve">SRHR </w:t>
      </w:r>
      <w:r w:rsidR="004A006F" w:rsidRPr="004A006F">
        <w:rPr>
          <w:sz w:val="24"/>
        </w:rPr>
        <w:t>services</w:t>
      </w:r>
      <w:r w:rsidR="00BD7516" w:rsidRPr="004A006F">
        <w:rPr>
          <w:sz w:val="24"/>
        </w:rPr>
        <w:t xml:space="preserve">, especially in countries where unmet need for contraception is high or demand is low, leading to </w:t>
      </w:r>
      <w:r w:rsidR="00BD6727">
        <w:rPr>
          <w:sz w:val="24"/>
        </w:rPr>
        <w:t>a</w:t>
      </w:r>
      <w:r w:rsidR="00BD7516" w:rsidRPr="004A006F">
        <w:rPr>
          <w:sz w:val="24"/>
        </w:rPr>
        <w:t xml:space="preserve"> decline in </w:t>
      </w:r>
      <w:r w:rsidR="004A006F" w:rsidRPr="004A006F">
        <w:rPr>
          <w:sz w:val="24"/>
        </w:rPr>
        <w:t>uni</w:t>
      </w:r>
      <w:r w:rsidR="00BD6727">
        <w:rPr>
          <w:sz w:val="24"/>
        </w:rPr>
        <w:t xml:space="preserve">ntended or unwanted pregnancies, </w:t>
      </w:r>
      <w:r w:rsidR="00BD6727" w:rsidRPr="004A006F">
        <w:rPr>
          <w:sz w:val="24"/>
        </w:rPr>
        <w:t xml:space="preserve">total fertility rates, </w:t>
      </w:r>
      <w:r w:rsidR="004A006F" w:rsidRPr="004A006F">
        <w:rPr>
          <w:sz w:val="24"/>
        </w:rPr>
        <w:t>and unchecked population growth</w:t>
      </w:r>
      <w:r w:rsidR="00AC20ED">
        <w:rPr>
          <w:sz w:val="24"/>
        </w:rPr>
        <w:t>.</w:t>
      </w:r>
    </w:p>
    <w:p w14:paraId="729350AE" w14:textId="77777777" w:rsidR="001F4349" w:rsidRDefault="001F4349" w:rsidP="009528FD">
      <w:pPr>
        <w:jc w:val="both"/>
        <w:rPr>
          <w:sz w:val="24"/>
        </w:rPr>
      </w:pPr>
    </w:p>
    <w:p w14:paraId="25A4A50A" w14:textId="01248F1F" w:rsidR="009528FD" w:rsidRPr="009528FD" w:rsidRDefault="009528FD" w:rsidP="009528FD">
      <w:pPr>
        <w:jc w:val="both"/>
        <w:rPr>
          <w:sz w:val="24"/>
        </w:rPr>
      </w:pPr>
      <w:r w:rsidRPr="009528FD">
        <w:rPr>
          <w:sz w:val="24"/>
        </w:rPr>
        <w:t xml:space="preserve">The </w:t>
      </w:r>
      <w:r>
        <w:rPr>
          <w:sz w:val="24"/>
        </w:rPr>
        <w:t xml:space="preserve">next section </w:t>
      </w:r>
      <w:r w:rsidRPr="009528FD">
        <w:rPr>
          <w:sz w:val="24"/>
        </w:rPr>
        <w:t>of this technical report describe</w:t>
      </w:r>
      <w:r>
        <w:rPr>
          <w:sz w:val="24"/>
        </w:rPr>
        <w:t>s</w:t>
      </w:r>
      <w:r w:rsidRPr="009528FD">
        <w:rPr>
          <w:sz w:val="24"/>
        </w:rPr>
        <w:t xml:space="preserve"> the current literature </w:t>
      </w:r>
      <w:r>
        <w:rPr>
          <w:sz w:val="24"/>
        </w:rPr>
        <w:t>pertaining to</w:t>
      </w:r>
      <w:r w:rsidRPr="009528FD">
        <w:rPr>
          <w:sz w:val="24"/>
        </w:rPr>
        <w:t xml:space="preserve"> the factors and barriers that </w:t>
      </w:r>
      <w:r>
        <w:rPr>
          <w:sz w:val="24"/>
        </w:rPr>
        <w:t xml:space="preserve">affect access to education and health (particularly SRHR services and family planning), as well as how these are interlinked and how they impact fertility trends, population shifts and ultimately, the climate. </w:t>
      </w:r>
    </w:p>
    <w:p w14:paraId="764CCF31" w14:textId="77777777" w:rsidR="00BD7516" w:rsidRPr="00BD7516" w:rsidRDefault="00BD7516" w:rsidP="00BD7516"/>
    <w:p w14:paraId="0BD0C876" w14:textId="0FAF9183" w:rsidR="007408AC" w:rsidRPr="00721955" w:rsidRDefault="00E50280" w:rsidP="00724C99">
      <w:pPr>
        <w:pStyle w:val="Heading2"/>
        <w:spacing w:before="0" w:line="240" w:lineRule="auto"/>
        <w:ind w:left="0" w:firstLine="0"/>
      </w:pPr>
      <w:bookmarkStart w:id="3" w:name="_Toc74154027"/>
      <w:r>
        <w:t>Determinants of Fertility</w:t>
      </w:r>
      <w:bookmarkEnd w:id="3"/>
    </w:p>
    <w:p w14:paraId="77302DB5" w14:textId="09D98797" w:rsidR="00E50280" w:rsidRPr="00BF048C" w:rsidRDefault="00976F6F" w:rsidP="00E50280">
      <w:pPr>
        <w:jc w:val="both"/>
        <w:rPr>
          <w:sz w:val="24"/>
        </w:rPr>
      </w:pPr>
      <w:r>
        <w:rPr>
          <w:sz w:val="24"/>
        </w:rPr>
        <w:t xml:space="preserve">The </w:t>
      </w:r>
      <w:r w:rsidRPr="00FD0BBD">
        <w:rPr>
          <w:sz w:val="24"/>
        </w:rPr>
        <w:t xml:space="preserve"> Monitoring and Evaluation to Assess and Use Results Demographic and Health Surveys (MEASURE DHS) project</w:t>
      </w:r>
      <w:r>
        <w:rPr>
          <w:sz w:val="24"/>
        </w:rPr>
        <w:t xml:space="preserve">, funded by USAID, collects and disseminates nationally representative data on indicators such as fertility, maternal and child health, family planning, HIV/AIDS and gender for over 250 countries via population-based surveys </w:t>
      </w:r>
      <w:r>
        <w:rPr>
          <w:sz w:val="24"/>
        </w:rPr>
        <w:fldChar w:fldCharType="begin"/>
      </w:r>
      <w:r>
        <w:rPr>
          <w:sz w:val="24"/>
        </w:rPr>
        <w:instrText xml:space="preserve"> ADDIN ZOTERO_ITEM CSL_CITATION {"citationID":"rVm6VO62","properties":{"formattedCitation":"(Demographic and Health Surveys, 2007)","plainCitation":"(Demographic and Health Surveys, 2007)","noteIndex":0},"citationItems":[{"id":18134,"uris":["http://zotero.org/users/7220606/items/9T93PLWU"],"uri":["http://zotero.org/users/7220606/items/9T93PLWU"],"itemData":{"id":18134,"type":"webpage","title":"The DHS Program: Fertility and Fertility Preferences","URL":"https://dhsprogram.com/topics/Fertility-and-Fertility-Preferences.cfm","author":[{"family":"Demographic and Health Surveys","given":""}],"accessed":{"date-parts":[["2021",5,23]]},"issued":{"date-parts":[["2007"]]}}}],"schema":"https://github.com/citation-style-language/schema/raw/master/csl-citation.json"} </w:instrText>
      </w:r>
      <w:r>
        <w:rPr>
          <w:sz w:val="24"/>
        </w:rPr>
        <w:fldChar w:fldCharType="separate"/>
      </w:r>
      <w:r w:rsidRPr="00423A94">
        <w:rPr>
          <w:rFonts w:ascii="Calibri" w:hAnsi="Calibri" w:cs="Calibri"/>
          <w:sz w:val="24"/>
        </w:rPr>
        <w:t>(Demographic and Health Surveys, 2007)</w:t>
      </w:r>
      <w:r>
        <w:rPr>
          <w:sz w:val="24"/>
        </w:rPr>
        <w:fldChar w:fldCharType="end"/>
      </w:r>
      <w:r>
        <w:rPr>
          <w:sz w:val="24"/>
        </w:rPr>
        <w:t xml:space="preserve">. </w:t>
      </w:r>
      <w:r w:rsidR="00E50280" w:rsidRPr="00BF048C">
        <w:rPr>
          <w:sz w:val="24"/>
        </w:rPr>
        <w:t>The total fertility rate (TFR) of a country or region is defined by</w:t>
      </w:r>
      <w:r>
        <w:rPr>
          <w:sz w:val="24"/>
        </w:rPr>
        <w:t xml:space="preserve"> MEASURE DHS</w:t>
      </w:r>
      <w:r w:rsidR="00E50280" w:rsidRPr="00BF048C">
        <w:rPr>
          <w:sz w:val="24"/>
        </w:rPr>
        <w:t xml:space="preserve"> to be “the number of children who would be born per woman if she were to pass through the childbearing years bearing children according to a current schedule </w:t>
      </w:r>
      <w:r w:rsidR="00E50280">
        <w:rPr>
          <w:sz w:val="24"/>
        </w:rPr>
        <w:t>of age-specific fertility rates</w:t>
      </w:r>
      <w:r w:rsidR="00BD6727">
        <w:rPr>
          <w:sz w:val="24"/>
        </w:rPr>
        <w:t>”</w:t>
      </w:r>
      <w:r w:rsidR="00E50280">
        <w:rPr>
          <w:sz w:val="24"/>
        </w:rPr>
        <w:t xml:space="preserve"> </w:t>
      </w:r>
      <w:r w:rsidR="00E50280">
        <w:rPr>
          <w:sz w:val="24"/>
        </w:rPr>
        <w:fldChar w:fldCharType="begin"/>
      </w:r>
      <w:r w:rsidR="00423A94">
        <w:rPr>
          <w:sz w:val="24"/>
        </w:rPr>
        <w:instrText xml:space="preserve"> ADDIN ZOTERO_ITEM CSL_CITATION {"citationID":"iGQ99rgv","properties":{"formattedCitation":"(MEASURE DHS, n.d.)","plainCitation":"(MEASURE DHS, n.d.)","noteIndex":0},"citationItems":[{"id":13705,"uris":["http://zotero.org/users/7220606/items/URA7369Z"],"uri":["http://zotero.org/users/7220606/items/URA7369Z"],"itemData":{"id":13705,"type":"webpage","genre":"Indicator","language":"en","title":"Total fertility rate","URL":"https://www.measureevaluation.org/prh/rh_indicators/family-planning/fertility/total-fertility-rate","author":[{"family":"MEASURE DHS","given":""}],"accessed":{"date-parts":[["2021",3,23]]}}}],"schema":"https://github.com/citation-style-language/schema/raw/master/csl-citation.json"} </w:instrText>
      </w:r>
      <w:r w:rsidR="00E50280">
        <w:rPr>
          <w:sz w:val="24"/>
        </w:rPr>
        <w:fldChar w:fldCharType="separate"/>
      </w:r>
      <w:r w:rsidR="00423A94" w:rsidRPr="00423A94">
        <w:rPr>
          <w:rFonts w:ascii="Calibri" w:hAnsi="Calibri" w:cs="Calibri"/>
          <w:sz w:val="24"/>
        </w:rPr>
        <w:t>(MEASURE DHS, n.d.)</w:t>
      </w:r>
      <w:r w:rsidR="00E50280">
        <w:rPr>
          <w:sz w:val="24"/>
        </w:rPr>
        <w:fldChar w:fldCharType="end"/>
      </w:r>
      <w:r>
        <w:rPr>
          <w:sz w:val="24"/>
        </w:rPr>
        <w:t>.</w:t>
      </w:r>
    </w:p>
    <w:p w14:paraId="0E566EFE" w14:textId="38A9E6FE" w:rsidR="00E50280" w:rsidRPr="00BF048C" w:rsidRDefault="00E50280" w:rsidP="00E50280">
      <w:pPr>
        <w:jc w:val="both"/>
        <w:rPr>
          <w:sz w:val="24"/>
        </w:rPr>
      </w:pPr>
      <w:r w:rsidRPr="00BF048C">
        <w:rPr>
          <w:sz w:val="24"/>
        </w:rPr>
        <w:lastRenderedPageBreak/>
        <w:t>Typically</w:t>
      </w:r>
      <w:r w:rsidR="00AC20ED">
        <w:rPr>
          <w:sz w:val="24"/>
        </w:rPr>
        <w:t>,</w:t>
      </w:r>
      <w:r w:rsidRPr="00BF048C">
        <w:rPr>
          <w:sz w:val="24"/>
        </w:rPr>
        <w:t xml:space="preserve"> drivers of fertility are categorized into two classifications:  proximate determinants and socioeconomic determinants of fertility behavior. In 1978 John Bongaarts </w:t>
      </w:r>
      <w:r w:rsidR="00BD6727">
        <w:rPr>
          <w:sz w:val="24"/>
        </w:rPr>
        <w:t xml:space="preserve">proposed </w:t>
      </w:r>
      <w:r w:rsidRPr="00BF048C">
        <w:rPr>
          <w:sz w:val="24"/>
        </w:rPr>
        <w:t xml:space="preserve"> a framework for </w:t>
      </w:r>
      <w:r w:rsidR="00BD6727">
        <w:rPr>
          <w:sz w:val="24"/>
        </w:rPr>
        <w:t>assessing</w:t>
      </w:r>
      <w:r w:rsidRPr="00BF048C">
        <w:rPr>
          <w:sz w:val="24"/>
        </w:rPr>
        <w:t xml:space="preserve"> the proximate determinants of fertility</w:t>
      </w:r>
      <w:r w:rsidR="00BD6727">
        <w:rPr>
          <w:sz w:val="24"/>
        </w:rPr>
        <w:t xml:space="preserve">, enumerating </w:t>
      </w:r>
      <w:r w:rsidRPr="00BF048C">
        <w:rPr>
          <w:sz w:val="24"/>
        </w:rPr>
        <w:t xml:space="preserve">8 determinants: percentage of women in sexual union; frequency of sexual intercourse; postpartum abstinence; lactational amenorrhea; contraceptive use; induced abortion;  spontaneous intrauterine mortality;  natural sterility and pathological sterility (Bongaarts, </w:t>
      </w:r>
      <w:r w:rsidRPr="00215E2F">
        <w:rPr>
          <w:sz w:val="24"/>
        </w:rPr>
        <w:t xml:space="preserve">1978). The </w:t>
      </w:r>
      <w:r w:rsidR="0080365E">
        <w:rPr>
          <w:sz w:val="24"/>
        </w:rPr>
        <w:t>Dem</w:t>
      </w:r>
      <w:r w:rsidR="004F5658">
        <w:rPr>
          <w:sz w:val="24"/>
        </w:rPr>
        <w:t>o</w:t>
      </w:r>
      <w:r w:rsidR="0080365E">
        <w:rPr>
          <w:sz w:val="24"/>
        </w:rPr>
        <w:t>gra</w:t>
      </w:r>
      <w:r w:rsidR="004F5658">
        <w:rPr>
          <w:sz w:val="24"/>
        </w:rPr>
        <w:t>p</w:t>
      </w:r>
      <w:r w:rsidR="0080365E">
        <w:rPr>
          <w:sz w:val="24"/>
        </w:rPr>
        <w:t>hic and Health Surveys (</w:t>
      </w:r>
      <w:r w:rsidRPr="00215E2F">
        <w:rPr>
          <w:sz w:val="24"/>
        </w:rPr>
        <w:t>DHS</w:t>
      </w:r>
      <w:r w:rsidR="0080365E">
        <w:rPr>
          <w:sz w:val="24"/>
        </w:rPr>
        <w:t>)</w:t>
      </w:r>
      <w:r w:rsidRPr="00215E2F">
        <w:rPr>
          <w:sz w:val="24"/>
        </w:rPr>
        <w:t xml:space="preserve"> Program, which provides the most widely used demographic and health information on developing countries, identifies the following indicators as proximate determinants of fertility: current marital status; sexual relationships of non-married women; number of co-wives (women) / number of wives (men); age at first marriage; age at first sexual intercourse; recent sexual activity; median and mean durations for postpartum amenorrhea (abstinence and insusceptibility)</w:t>
      </w:r>
      <w:r w:rsidR="00427C1D" w:rsidRPr="00215E2F">
        <w:rPr>
          <w:sz w:val="24"/>
        </w:rPr>
        <w:fldChar w:fldCharType="begin"/>
      </w:r>
      <w:r w:rsidR="00427C1D" w:rsidRPr="00215E2F">
        <w:rPr>
          <w:sz w:val="24"/>
        </w:rPr>
        <w:instrText xml:space="preserve"> ADDIN ZOTERO_ITEM CSL_CITATION {"citationID":"pceY0Wdn","properties":{"formattedCitation":"(Demographic and Health Surveys, 2007)","plainCitation":"(Demographic and Health Surveys, 2007)","noteIndex":0},"citationItems":[{"id":18134,"uris":["http://zotero.org/users/7220606/items/9T93PLWU"],"uri":["http://zotero.org/users/7220606/items/9T93PLWU"],"itemData":{"id":18134,"type":"webpage","title":"The DHS Program: Fertility and Fertility Preferences","URL":"https://dhsprogram.com/topics/Fertility-and-Fertility-Preferences.cfm","author":[{"family":"Demographic and Health Surveys","given":""}],"accessed":{"date-parts":[["2021",5,23]]},"issued":{"date-parts":[["2007"]]}}}],"schema":"https://github.com/citation-style-language/schema/raw/master/csl-citation.json"} </w:instrText>
      </w:r>
      <w:r w:rsidR="00427C1D" w:rsidRPr="00215E2F">
        <w:rPr>
          <w:sz w:val="24"/>
        </w:rPr>
        <w:fldChar w:fldCharType="separate"/>
      </w:r>
      <w:r w:rsidR="00427C1D" w:rsidRPr="00215E2F">
        <w:rPr>
          <w:rFonts w:ascii="Calibri" w:hAnsi="Calibri" w:cs="Calibri"/>
          <w:sz w:val="24"/>
        </w:rPr>
        <w:t>(Demographic and Health Surveys, 2007)</w:t>
      </w:r>
      <w:r w:rsidR="00427C1D" w:rsidRPr="00215E2F">
        <w:rPr>
          <w:sz w:val="24"/>
        </w:rPr>
        <w:fldChar w:fldCharType="end"/>
      </w:r>
      <w:r w:rsidRPr="00215E2F">
        <w:rPr>
          <w:sz w:val="24"/>
        </w:rPr>
        <w:t>.</w:t>
      </w:r>
    </w:p>
    <w:p w14:paraId="0198FC9A" w14:textId="2CEDCAD4" w:rsidR="009C6898" w:rsidRDefault="00E50280" w:rsidP="00E50280">
      <w:pPr>
        <w:jc w:val="both"/>
        <w:rPr>
          <w:sz w:val="24"/>
        </w:rPr>
      </w:pPr>
      <w:r w:rsidRPr="00BF048C">
        <w:rPr>
          <w:sz w:val="24"/>
        </w:rPr>
        <w:t>With regard to socioeconomic determinants of fertility behavior, several analyses of historical fertility declines reveal the importance of cultural factors in determining the responsiveness of fertility levels to socioeconomi</w:t>
      </w:r>
      <w:r>
        <w:rPr>
          <w:sz w:val="24"/>
        </w:rPr>
        <w:t xml:space="preserve">c change </w:t>
      </w:r>
      <w:r>
        <w:rPr>
          <w:sz w:val="24"/>
        </w:rPr>
        <w:fldChar w:fldCharType="begin"/>
      </w:r>
      <w:r w:rsidR="00400318">
        <w:rPr>
          <w:sz w:val="24"/>
        </w:rPr>
        <w:instrText xml:space="preserve"> ADDIN ZOTERO_ITEM CSL_CITATION {"citationID":"iNaoeA5i","properties":{"formattedCitation":"(T. Anderson &amp; Kohler, 2015)","plainCitation":"(T. Anderson &amp; Kohler, 2015)","noteIndex":0},"citationItems":[{"id":18006,"uris":["http://zotero.org/users/7220606/items/SPR2RWY9"],"uri":["http://zotero.org/users/7220606/items/SPR2RWY9"],"itemData":{"id":18006,"type":"article-journal","abstract":"While new empirical findings and theoretical frameworks provide insight into the interrelations between socioeconomic development, gender equity, and low fertility, puzzling exceptions and outliers in these findings call for a more all-encompassing framework to understand the interplay between these processes. We argue that the pace and onset of development are two important factors to be considered when analyzing gender equity and fertility. Within the developed world, “first-wave developers”—or countries that began socioeconomic development in the 19th/early 20th century – currently have much higher fertility levels than “late developers”. We lay out a novel theoretical approach to explain why this is the case and provide empirical evidence to support our argument. Our approach not only explains historical periods of low fertility but also sheds light on why there exists such large variance in fertility rates among today’s developed countries.","container-title":"Population and development review","DOI":"10.1111/j.1728-4457.2015.00065.x","ISSN":"0098-7921","issue":"3","journalAbbreviation":"Popul Dev Rev","note":"PMID: 26526031\nPMCID: PMC4623596","page":"381-407","source":"PubMed Central","title":"Low Fertility, Socioeconomic Development, and Gender Equity","volume":"41","author":[{"family":"Anderson","given":"Thomas"},{"family":"Kohler","given":"Hans-Peter"}],"issued":{"date-parts":[["2015",9]]}}}],"schema":"https://github.com/citation-style-language/schema/raw/master/csl-citation.json"} </w:instrText>
      </w:r>
      <w:r>
        <w:rPr>
          <w:sz w:val="24"/>
        </w:rPr>
        <w:fldChar w:fldCharType="separate"/>
      </w:r>
      <w:r w:rsidR="00400318" w:rsidRPr="00400318">
        <w:rPr>
          <w:rFonts w:ascii="Calibri" w:hAnsi="Calibri" w:cs="Calibri"/>
          <w:sz w:val="24"/>
        </w:rPr>
        <w:t>(T. Anderson &amp; Kohler, 2015)</w:t>
      </w:r>
      <w:r>
        <w:rPr>
          <w:sz w:val="24"/>
        </w:rPr>
        <w:fldChar w:fldCharType="end"/>
      </w:r>
      <w:r w:rsidRPr="00BF048C">
        <w:rPr>
          <w:sz w:val="24"/>
        </w:rPr>
        <w:t>. Attitudes, beliefs, knowledge and practices related to reproduction vary significantly by socioeconomic status, both within and across communities and countries. Religious groups vary in their emphasis on the value of children and their prescriptions regarding family size and contraception</w:t>
      </w:r>
      <w:r>
        <w:rPr>
          <w:sz w:val="24"/>
        </w:rPr>
        <w:t xml:space="preserve"> </w:t>
      </w:r>
      <w:r>
        <w:rPr>
          <w:sz w:val="24"/>
        </w:rPr>
        <w:fldChar w:fldCharType="begin"/>
      </w:r>
      <w:r w:rsidR="00B23620">
        <w:rPr>
          <w:sz w:val="24"/>
        </w:rPr>
        <w:instrText xml:space="preserve"> ADDIN ZOTERO_ITEM CSL_CITATION {"citationID":"d4QrUeQk","properties":{"formattedCitation":"(McQuillan, 2004)","plainCitation":"(McQuillan, 2004)","noteIndex":0},"citationItems":[{"id":18009,"uris":["http://zotero.org/users/7220606/items/H8LX8QGG"],"uri":["http://zotero.org/users/7220606/items/H8LX8QGG"],"itemData":{"id":18009,"type":"article-journal","abstract":"Religious affiliation as a determinant of demographic behavior is receiving renewed attention in demography. Interest in the role of cultural factors in affecting fertility and a specific concern with the role of Islam in many developing countries have helped re-invigorate research on the role of religion. This article reviews theoretical and empirical work on that relationship, with special attention to a number of cases in which religion has been identified as an important determinant of fertility patterns. The article concludes that religion plays an influential role when three conditions are satisfied: first, the religion articulates behavioral norms with a bearing on fertility behavior; second, the religion holds the means to communicate these values and promote compliance; and, third, religion forms a central component of the social identity of its followers.","container-title":"Population and Development Review","DOI":"https://doi.org/10.1111/j.1728-4457.2004.00002.x","ISSN":"1728-4457","issue":"1","language":"en","note":"_eprint: https://onlinelibrary.wiley.com/doi/pdf/10.1111/j.1728-4457.2004.00002.x","page":"25-56","source":"Wiley Online Library","title":"When Does Religion Influence Fertility?","volume":"30","author":[{"family":"McQuillan","given":"Kevin"}],"issued":{"date-parts":[["2004"]]}}}],"schema":"https://github.com/citation-style-language/schema/raw/master/csl-citation.json"} </w:instrText>
      </w:r>
      <w:r>
        <w:rPr>
          <w:sz w:val="24"/>
        </w:rPr>
        <w:fldChar w:fldCharType="separate"/>
      </w:r>
      <w:r w:rsidR="00B23620" w:rsidRPr="00B23620">
        <w:rPr>
          <w:rFonts w:ascii="Calibri" w:hAnsi="Calibri" w:cs="Calibri"/>
          <w:sz w:val="24"/>
        </w:rPr>
        <w:t>(McQuillan, 2004)</w:t>
      </w:r>
      <w:r>
        <w:rPr>
          <w:sz w:val="24"/>
        </w:rPr>
        <w:fldChar w:fldCharType="end"/>
      </w:r>
      <w:r w:rsidRPr="00BF048C">
        <w:rPr>
          <w:sz w:val="24"/>
        </w:rPr>
        <w:t>. Ethnic groups differ in their values concerning economic and social advancement, which can influence age at marriage and desired family size</w:t>
      </w:r>
      <w:r>
        <w:rPr>
          <w:sz w:val="24"/>
        </w:rPr>
        <w:t xml:space="preserve"> </w:t>
      </w:r>
      <w:r>
        <w:rPr>
          <w:sz w:val="24"/>
        </w:rPr>
        <w:fldChar w:fldCharType="begin"/>
      </w:r>
      <w:r w:rsidR="00B23620">
        <w:rPr>
          <w:sz w:val="24"/>
        </w:rPr>
        <w:instrText xml:space="preserve"> ADDIN ZOTERO_ITEM CSL_CITATION {"citationID":"ILqbGI6e","properties":{"formattedCitation":"(Sorokowski et al., 2017)","plainCitation":"(Sorokowski et al., 2017)","noteIndex":0},"citationItems":[{"id":18011,"uris":["http://zotero.org/users/7220606/items/9ZM9TP9G"],"uri":["http://zotero.org/users/7220606/items/9ZM9TP9G"],"itemData":{"id":18011,"type":"article-journal","container-title":"Frontiers in Psychology","DOI":"10.3389/fpsyg.2017.01199","ISSN":"1664-1078","journalAbbreviation":"Front Psychol","note":"PMID: 28785230\nPMCID: PMC5519603","source":"PubMed Central","title":"Marital Satisfaction, Sex, Age, Marriage Duration, Religion, Number of Children, Economic Status, Education, and Collectivistic Values: Data from 33 Countries","title-short":"Marital Satisfaction, Sex, Age, Marriage Duration, Religion, Number of Children, Economic Status, Education, and Collectivistic Values","URL":"https://www.ncbi.nlm.nih.gov/pmc/articles/PMC5519603/","volume":"8","author":[{"family":"Sorokowski","given":"Piotr"},{"family":"Randall","given":"Ashley K."},{"family":"Groyecka","given":"Agata"},{"family":"Frackowiak","given":"Tomasz"},{"family":"Cantarero","given":"Katarzyna"},{"family":"Hilpert","given":"Peter"},{"family":"Ahmadi","given":"Khodabakhsh"},{"family":"Alghraibeh","given":"Ahmad M."},{"family":"Aryeetey","given":"Richmond"},{"family":"Bertoni","given":"Anna"},{"family":"Bettache","given":"Karim"},{"family":"Błażejewska","given":"Marta"},{"family":"Bodenmann","given":"Guy"},{"family":"Bortolini","given":"Tiago S."},{"family":"Bosc","given":"Carla"},{"family":"Butovskaya","given":"Marina"},{"family":"Castro","given":"Felipe N."},{"family":"Cetinkaya","given":"Hakan"},{"family":"Cunha","given":"Diana"},{"family":"David","given":"Daniel"},{"family":"David","given":"Oana A."},{"family":"Espinosa","given":"Alejandra C. Domínguez"},{"family":"Donato","given":"Silvia"},{"family":"Dronova","given":"Daria"},{"family":"Dural","given":"Seda"},{"family":"Fisher","given":"Maryanne"},{"family":"Akkaya","given":"Aslıhan Hamamcıoğlu"},{"family":"Hamamura","given":"Takeshi"},{"family":"Hansen","given":"Karolina"},{"family":"Hattori","given":"Wallisen T."},{"family":"Hromatko","given":"Ivana"},{"family":"Gulbetekin","given":"Evrim"},{"family":"Iafrate","given":"Raffaella"},{"family":"James","given":"Bawo"},{"family":"Jiang","given":"Feng"},{"family":"Kimamo","given":"Charles O."},{"family":"Koç","given":"Fırat"},{"family":"Krasnodębska","given":"Anna"},{"family":"Laar","given":"Amos"},{"family":"Lopes","given":"Fívia A."},{"family":"Martinez","given":"Rocio"},{"family":"Mesko","given":"Norbert"},{"family":"Molodovskaya","given":"Natalya"},{"family":"Qezeli","given":"Khadijeh Moradi"},{"family":"Motahari","given":"Zahrasadat"},{"family":"Natividade","given":"Jean C."},{"family":"Ntayi","given":"Joseph"},{"family":"Ojedokun","given":"Oluyinka"},{"family":"Omar-Fauzee","given":"Mohd S. B."},{"family":"Onyishi","given":"Ike E."},{"family":"Özener","given":"Barış"},{"family":"Paluszak","given":"Anna"},{"family":"Portugal","given":"Alda"},{"family":"Realo","given":"Anu"},{"family":"Relvas","given":"Ana P."},{"family":"Rizwan","given":"Muhammad"},{"family":"Sabiniewicz","given":"Agnieszka L."},{"family":"Salkičević","given":"Svjetlana"},{"family":"Sarmány-Schuller","given":"Ivan"},{"family":"Stamkou","given":"Eftychia"},{"family":"Stoyanova","given":"Stanislava"},{"family":"Šukolová","given":"Denisa"},{"family":"Sutresna","given":"Nina"},{"family":"Tadinac","given":"Meri"},{"family":"Teras","given":"Andero"},{"family":"Ponciano","given":"Edna L. T."},{"family":"Tripathi","given":"Ritu"},{"family":"Tripathi","given":"Nachiketa"},{"family":"Tripathi","given":"Mamta"},{"family":"Yamamoto","given":"Maria E."},{"family":"Yoo","given":"Gyesook"},{"family":"Sorokowska","given":"Agnieszka"}],"accessed":{"date-parts":[["2021",5,1]]},"issued":{"date-parts":[["2017",7,21]]}}}],"schema":"https://github.com/citation-style-language/schema/raw/master/csl-citation.json"} </w:instrText>
      </w:r>
      <w:r>
        <w:rPr>
          <w:sz w:val="24"/>
        </w:rPr>
        <w:fldChar w:fldCharType="separate"/>
      </w:r>
      <w:r w:rsidR="00B23620" w:rsidRPr="00B23620">
        <w:rPr>
          <w:rFonts w:ascii="Calibri" w:hAnsi="Calibri" w:cs="Calibri"/>
          <w:sz w:val="24"/>
        </w:rPr>
        <w:t>(Sorokowski et al., 2017)</w:t>
      </w:r>
      <w:r>
        <w:rPr>
          <w:sz w:val="24"/>
        </w:rPr>
        <w:fldChar w:fldCharType="end"/>
      </w:r>
      <w:r w:rsidRPr="00BF048C">
        <w:rPr>
          <w:sz w:val="24"/>
        </w:rPr>
        <w:t>. Gender roles and expectations vary by culture and have implications for employment and educational outcomes for both men and women, also significantly impacting family planning decision making</w:t>
      </w:r>
      <w:r w:rsidR="00FB0C8F">
        <w:rPr>
          <w:sz w:val="24"/>
        </w:rPr>
        <w:t xml:space="preserve"> </w:t>
      </w:r>
      <w:r>
        <w:rPr>
          <w:sz w:val="24"/>
        </w:rPr>
        <w:fldChar w:fldCharType="begin"/>
      </w:r>
      <w:r w:rsidR="00B23620">
        <w:rPr>
          <w:sz w:val="24"/>
        </w:rPr>
        <w:instrText xml:space="preserve"> ADDIN ZOTERO_ITEM CSL_CITATION {"citationID":"4f5KWD4L","properties":{"formattedCitation":"(McDonald, 2000)","plainCitation":"(McDonald, 2000)","noteIndex":0},"citationItems":[{"id":18014,"uris":["http://zotero.org/users/7220606/items/JZIDCCBW"],"uri":["http://zotero.org/users/7220606/items/JZIDCCBW"],"itemData":{"id":18014,"type":"article-journal","abstract":"Recent theoretical discussion has postulated that low fertility in advanced countries is attributable to low levels of gender equity. Low gender equity is evidenced in the lack of support for women to combine paid employment and childrearing; tax-transfer systems that remain based on the male-breadwinner model of the family; and the retention of gender-oriented roles within the family. Hence, it is argued that an increase in gender equity is a precondition of a rise in fertility from very low levels. At the same time, theorists argue that, in less developed countries, higher levels of gender equity are a necessary condition for achieving lower fertility. The article addresses this apparent contradiction by distinguishing two types of gender equity: gender equity in individual-oriented institutions and gender equity in family-oriented institutions. The argument is made that the transition from very high fertility to replacement-level fertility has been associated with a gradual increase in gender equity primarily within the family itself. In contrast, the further movement to very low fertility is associated with a rapid shift toward high levels of gender equity in individual institutions such as education and market employment, in combination with persistent low levels of gender equity within the family and in family-oriented institutions.","container-title":"Population and Development Review","DOI":"https://doi.org/10.1111/j.1728-4457.2000.00427.x","ISSN":"1728-4457","issue":"3","language":"en","note":"_eprint: https://onlinelibrary.wiley.com/doi/pdf/10.1111/j.1728-4457.2000.00427.x","page":"427-439","source":"Wiley Online Library","title":"Gender Equity in Theories of Fertility Transition","volume":"26","author":[{"family":"McDonald","given":"Peter"}],"issued":{"date-parts":[["2000"]]}}}],"schema":"https://github.com/citation-style-language/schema/raw/master/csl-citation.json"} </w:instrText>
      </w:r>
      <w:r>
        <w:rPr>
          <w:sz w:val="24"/>
        </w:rPr>
        <w:fldChar w:fldCharType="separate"/>
      </w:r>
      <w:r w:rsidR="00B23620" w:rsidRPr="00B23620">
        <w:rPr>
          <w:rFonts w:ascii="Calibri" w:hAnsi="Calibri" w:cs="Calibri"/>
          <w:sz w:val="24"/>
        </w:rPr>
        <w:t>(McDonald, 2000)</w:t>
      </w:r>
      <w:r>
        <w:rPr>
          <w:sz w:val="24"/>
        </w:rPr>
        <w:fldChar w:fldCharType="end"/>
      </w:r>
      <w:r w:rsidRPr="00BF048C">
        <w:rPr>
          <w:sz w:val="24"/>
        </w:rPr>
        <w:t>. Thus desired family size depends primarily on female a</w:t>
      </w:r>
      <w:r w:rsidR="00BD6727">
        <w:rPr>
          <w:sz w:val="24"/>
        </w:rPr>
        <w:t>nd male education, child survival and the value given to</w:t>
      </w:r>
      <w:r w:rsidRPr="00BF048C">
        <w:rPr>
          <w:sz w:val="24"/>
        </w:rPr>
        <w:t xml:space="preserve"> children, and the demand for female labor in the labor market, which </w:t>
      </w:r>
      <w:r w:rsidR="00227CC3">
        <w:rPr>
          <w:sz w:val="24"/>
        </w:rPr>
        <w:t>can be tied to ar</w:t>
      </w:r>
      <w:r w:rsidRPr="00BF048C">
        <w:rPr>
          <w:sz w:val="24"/>
        </w:rPr>
        <w:t xml:space="preserve"> country's level of development (Subbarao and Raney, 1995). </w:t>
      </w:r>
    </w:p>
    <w:p w14:paraId="44F27D4A" w14:textId="7523945C" w:rsidR="0062402A" w:rsidRPr="00BF048C" w:rsidRDefault="00E50280" w:rsidP="00E50280">
      <w:pPr>
        <w:jc w:val="both"/>
        <w:rPr>
          <w:sz w:val="24"/>
        </w:rPr>
      </w:pPr>
      <w:r w:rsidRPr="00BF048C">
        <w:rPr>
          <w:sz w:val="24"/>
        </w:rPr>
        <w:t>It is important to acknowledge that fertility behavior is complex and influenced by a number of factors; as a result</w:t>
      </w:r>
      <w:r w:rsidR="00AC20ED">
        <w:rPr>
          <w:sz w:val="24"/>
        </w:rPr>
        <w:t>,</w:t>
      </w:r>
      <w:r w:rsidRPr="00BF048C">
        <w:rPr>
          <w:sz w:val="24"/>
        </w:rPr>
        <w:t xml:space="preserve"> the associations between development and fertility decline are not always simple, direct</w:t>
      </w:r>
      <w:r w:rsidR="00AC20ED">
        <w:rPr>
          <w:sz w:val="24"/>
        </w:rPr>
        <w:t>,</w:t>
      </w:r>
      <w:r w:rsidRPr="00BF048C">
        <w:rPr>
          <w:sz w:val="24"/>
        </w:rPr>
        <w:t xml:space="preserve"> or clear.</w:t>
      </w:r>
      <w:r w:rsidR="009C6898">
        <w:rPr>
          <w:sz w:val="24"/>
        </w:rPr>
        <w:t xml:space="preserve"> As the next sections will demonstrate, fertility can be influenced by factors at the individual, familial and societal level, as well as by cultural and contextual considerations.</w:t>
      </w:r>
    </w:p>
    <w:p w14:paraId="2C422286" w14:textId="77777777" w:rsidR="00E50280" w:rsidRDefault="00E50280" w:rsidP="00E50280"/>
    <w:p w14:paraId="00332934" w14:textId="77777777" w:rsidR="00E50280" w:rsidRPr="00E50280" w:rsidRDefault="00E50280" w:rsidP="00E50280">
      <w:pPr>
        <w:pStyle w:val="Heading3"/>
      </w:pPr>
      <w:bookmarkStart w:id="4" w:name="_Toc71702069"/>
      <w:bookmarkStart w:id="5" w:name="_Toc74154028"/>
      <w:r w:rsidRPr="00E50280">
        <w:t>Female agency and reproduction</w:t>
      </w:r>
      <w:bookmarkEnd w:id="4"/>
      <w:bookmarkEnd w:id="5"/>
    </w:p>
    <w:p w14:paraId="45C05E0C" w14:textId="2A34BB03" w:rsidR="00E50280" w:rsidRPr="006158C3" w:rsidRDefault="00E50280" w:rsidP="00E50280">
      <w:pPr>
        <w:jc w:val="both"/>
        <w:rPr>
          <w:sz w:val="24"/>
        </w:rPr>
      </w:pPr>
      <w:r w:rsidRPr="0080365E">
        <w:rPr>
          <w:sz w:val="24"/>
        </w:rPr>
        <w:t>The status of women and their level of agency in a society can either facilitate or inhibit their educational and employment opportunities, access to family planning and health services and concomitant fertility decline. High fertility is usually found in countries where poverty is widespread, where women are not paid significant wages, and where the status of a woman is conferred through her ability to bear children</w:t>
      </w:r>
      <w:r w:rsidR="0080365E" w:rsidRPr="0080365E">
        <w:rPr>
          <w:sz w:val="24"/>
        </w:rPr>
        <w:t xml:space="preserve"> </w:t>
      </w:r>
      <w:r w:rsidR="00215E2F" w:rsidRPr="0080365E">
        <w:rPr>
          <w:sz w:val="24"/>
        </w:rPr>
        <w:fldChar w:fldCharType="begin"/>
      </w:r>
      <w:r w:rsidR="00215E2F" w:rsidRPr="0080365E">
        <w:rPr>
          <w:sz w:val="24"/>
        </w:rPr>
        <w:instrText xml:space="preserve"> ADDIN ZOTERO_ITEM CSL_CITATION {"citationID":"EjWH5xV0","properties":{"formattedCitation":"(Wickrama &amp; Lorenz, 2009)","plainCitation":"(Wickrama &amp; Lorenz, 2009)","noteIndex":0},"citationItems":[{"id":18141,"uris":["http://zotero.org/users/7220606/items/BNH4C3NB"],"uri":["http://zotero.org/users/7220606/items/BNH4C3NB"],"itemData":{"id":18141,"type":"article-journal","container-title":"Rural Sociologu","title":"Women's Status, Fertility Decline, and Women's Health in Developing Countries: Direct and Indirect Influences of Social Status on Health","URL":"https://onlinelibrary.wiley.com/doi/abs/10.1111/j.1549-0831.2002.tb00103.x","author":[{"family":"Wickrama","given":"K.A.S"},{"family":"Lorenz","given":"Frederick"}],"accessed":{"date-parts":[["2021",5,23]]},"issued":{"date-parts":[["2009"]]}}}],"schema":"https://github.com/citation-style-language/schema/raw/master/csl-citation.json"} </w:instrText>
      </w:r>
      <w:r w:rsidR="00215E2F" w:rsidRPr="0080365E">
        <w:rPr>
          <w:sz w:val="24"/>
        </w:rPr>
        <w:fldChar w:fldCharType="separate"/>
      </w:r>
      <w:r w:rsidR="00215E2F" w:rsidRPr="0080365E">
        <w:rPr>
          <w:rFonts w:ascii="Calibri" w:hAnsi="Calibri" w:cs="Calibri"/>
          <w:sz w:val="24"/>
        </w:rPr>
        <w:t>(Wickrama &amp; Lorenz, 2009)</w:t>
      </w:r>
      <w:r w:rsidR="00215E2F" w:rsidRPr="0080365E">
        <w:rPr>
          <w:sz w:val="24"/>
        </w:rPr>
        <w:fldChar w:fldCharType="end"/>
      </w:r>
      <w:r w:rsidRPr="0080365E">
        <w:rPr>
          <w:sz w:val="24"/>
        </w:rPr>
        <w:t xml:space="preserve">. In these places women and girls are expected to maintain their traditional role of unpaid worker: bearing and </w:t>
      </w:r>
      <w:r w:rsidRPr="0080365E">
        <w:rPr>
          <w:sz w:val="24"/>
        </w:rPr>
        <w:lastRenderedPageBreak/>
        <w:t xml:space="preserve">raising children, managing the household, preparing food, gathering fuel and water, and </w:t>
      </w:r>
      <w:r w:rsidRPr="006158C3">
        <w:rPr>
          <w:sz w:val="24"/>
        </w:rPr>
        <w:t>maintaining the family resources</w:t>
      </w:r>
      <w:r w:rsidR="00215E2F" w:rsidRPr="006158C3">
        <w:rPr>
          <w:sz w:val="24"/>
        </w:rPr>
        <w:t xml:space="preserve"> </w:t>
      </w:r>
      <w:r w:rsidR="00215E2F" w:rsidRPr="006158C3">
        <w:rPr>
          <w:sz w:val="24"/>
        </w:rPr>
        <w:fldChar w:fldCharType="begin"/>
      </w:r>
      <w:r w:rsidR="00215E2F" w:rsidRPr="006158C3">
        <w:rPr>
          <w:sz w:val="24"/>
        </w:rPr>
        <w:instrText xml:space="preserve"> ADDIN ZOTERO_ITEM CSL_CITATION {"citationID":"aUQb8DbK","properties":{"formattedCitation":"(Gammage et al., 2020)","plainCitation":"(Gammage et al., 2020)","noteIndex":0},"citationItems":[{"id":18138,"uris":["http://zotero.org/users/7220606/items/EAXMBPML"],"uri":["http://zotero.org/users/7220606/items/EAXMBPML"],"itemData":{"id":18138,"type":"article-journal","container-title":"Feminist Economics","DOI":"10.1080/13545701.2019.1674451","ISSN":"1354-5701","issue":"1","journalAbbreviation":"null","note":"publisher: Routledge","page":"1-22","source":"tandfonline.com (Atypon)","title":"The Intersections of Women’s Economic and Reproductive Empowerment","volume":"26","author":[{"family":"Gammage","given":"Sarah"},{"family":"Joshi","given":"Shareen"},{"family":"Rodgers","given":"Yana van der Meulen"}],"issued":{"date-parts":[["2020",1,2]]}}}],"schema":"https://github.com/citation-style-language/schema/raw/master/csl-citation.json"} </w:instrText>
      </w:r>
      <w:r w:rsidR="00215E2F" w:rsidRPr="006158C3">
        <w:rPr>
          <w:sz w:val="24"/>
        </w:rPr>
        <w:fldChar w:fldCharType="separate"/>
      </w:r>
      <w:r w:rsidR="00215E2F" w:rsidRPr="006158C3">
        <w:rPr>
          <w:rFonts w:ascii="Calibri" w:hAnsi="Calibri" w:cs="Calibri"/>
          <w:sz w:val="24"/>
        </w:rPr>
        <w:t>(Gammage et al., 2020)</w:t>
      </w:r>
      <w:r w:rsidR="00215E2F" w:rsidRPr="006158C3">
        <w:rPr>
          <w:sz w:val="24"/>
        </w:rPr>
        <w:fldChar w:fldCharType="end"/>
      </w:r>
      <w:r w:rsidR="00215E2F" w:rsidRPr="006158C3">
        <w:rPr>
          <w:sz w:val="24"/>
        </w:rPr>
        <w:t>.</w:t>
      </w:r>
    </w:p>
    <w:p w14:paraId="7FE4C800" w14:textId="4E438BCA" w:rsidR="00E50280" w:rsidRDefault="00E50280" w:rsidP="00E50280">
      <w:pPr>
        <w:jc w:val="both"/>
        <w:rPr>
          <w:sz w:val="24"/>
        </w:rPr>
      </w:pPr>
      <w:r w:rsidRPr="006158C3">
        <w:rPr>
          <w:sz w:val="24"/>
        </w:rPr>
        <w:t>Development interventions that promote greater economic and social autonomy of women are critical for both population and climate consideration</w:t>
      </w:r>
      <w:r w:rsidR="0080365E" w:rsidRPr="006158C3">
        <w:rPr>
          <w:sz w:val="24"/>
        </w:rPr>
        <w:t xml:space="preserve"> </w:t>
      </w:r>
      <w:r w:rsidR="0080365E" w:rsidRPr="006158C3">
        <w:rPr>
          <w:sz w:val="24"/>
        </w:rPr>
        <w:fldChar w:fldCharType="begin"/>
      </w:r>
      <w:r w:rsidR="0080365E" w:rsidRPr="006158C3">
        <w:rPr>
          <w:sz w:val="24"/>
        </w:rPr>
        <w:instrText xml:space="preserve"> ADDIN ZOTERO_ITEM CSL_CITATION {"citationID":"tueiY9x2","properties":{"formattedCitation":"(Eastin, 2018)","plainCitation":"(Eastin, 2018)","noteIndex":0},"citationItems":[{"id":18143,"uris":["http://zotero.org/users/7220606/items/CLIRCR7K"],"uri":["http://zotero.org/users/7220606/items/CLIRCR7K"],"itemData":{"id":18143,"type":"article-journal","abstract":"It is commonly accepted that women can be more vulnerable than men to the adverse environmental effects of climate change. This paper evaluates whether the unequal distribution of costs women bear as a result of climate change are reflected across broader macro-social institutions to the detriment of gender equality and women's rights. It argues that gender disparities in climate change vulnerability not only reflect preexisting gender inequalities, they also reinforce them. Inequalities in the ownership and control of household assets and rising familial burdens due to male out-migration, declining food and water access, and increased disaster exposure can undermine women's ability to achieve economic independence, enhance human capital, and maintain health and wellbeing. Consequences for gender equality include reductions in intra-household bargaining power, as women become less capable of generating independent revenue. Outside the home, norms of gender discrimination and gender imbalances in socio-economic status should increase as women are less able to participate in formal labor markets, join civil society organizations, or collectively mobilize for political change. The outcome of these processes can reduce a society's level of gender equality by increasing constraints on the advancement of laws and norms that promote co-equal status. I empirically test this relationship across a sample of developing states between 1981 and 2010. The findings suggest that climate shocks and climatic disasters exert a broadly negative impact on gender equality, as deviations from long-term mean temperatures and increasing incidence of climatological and hydro-meteorological disasters are associated with declines in women's economic and social rights. These effects appear to be most salient in states that are relatively less-democratic, with greater dependence on agriculture, and lower levels of economic development.","container-title":"World Development","DOI":"10.1016/j.worlddev.2018.02.021","ISSN":"0305-750X","journalAbbreviation":"World Development","language":"en","page":"289-305","source":"ScienceDirect","title":"Climate change and gender equality in developing states","volume":"107","author":[{"family":"Eastin","given":"Joshua"}],"issued":{"date-parts":[["2018",7,1]]}}}],"schema":"https://github.com/citation-style-language/schema/raw/master/csl-citation.json"} </w:instrText>
      </w:r>
      <w:r w:rsidR="0080365E" w:rsidRPr="006158C3">
        <w:rPr>
          <w:sz w:val="24"/>
        </w:rPr>
        <w:fldChar w:fldCharType="separate"/>
      </w:r>
      <w:r w:rsidR="0080365E" w:rsidRPr="006158C3">
        <w:rPr>
          <w:rFonts w:ascii="Calibri" w:hAnsi="Calibri" w:cs="Calibri"/>
          <w:sz w:val="24"/>
        </w:rPr>
        <w:t>(Eastin, 2018)</w:t>
      </w:r>
      <w:r w:rsidR="0080365E" w:rsidRPr="006158C3">
        <w:rPr>
          <w:sz w:val="24"/>
        </w:rPr>
        <w:fldChar w:fldCharType="end"/>
      </w:r>
      <w:r w:rsidRPr="006158C3">
        <w:rPr>
          <w:sz w:val="24"/>
        </w:rPr>
        <w:t>. The socioeconomic argument proposes that education, especially of the mother, affects desired family size (DFS) through wage and productivity effects on the opportunity cost of the mother's time. It also improves the chances of child survival, and thus it indirectly aff</w:t>
      </w:r>
      <w:r w:rsidR="004F5658" w:rsidRPr="006158C3">
        <w:rPr>
          <w:sz w:val="24"/>
        </w:rPr>
        <w:t>ecting demand for children</w:t>
      </w:r>
      <w:r w:rsidR="00F815A4">
        <w:rPr>
          <w:sz w:val="24"/>
        </w:rPr>
        <w:t xml:space="preserve"> </w:t>
      </w:r>
      <w:r w:rsidR="004F5658" w:rsidRPr="006158C3">
        <w:rPr>
          <w:sz w:val="24"/>
        </w:rPr>
        <w:fldChar w:fldCharType="begin"/>
      </w:r>
      <w:r w:rsidR="004F5658" w:rsidRPr="006158C3">
        <w:rPr>
          <w:sz w:val="24"/>
        </w:rPr>
        <w:instrText xml:space="preserve"> ADDIN ZOTERO_ITEM CSL_CITATION {"citationID":"fQrzFZ5S","properties":{"formattedCitation":"(Subbarao &amp; Raney, 1993)","plainCitation":"(Subbarao &amp; Raney, 1993)","noteIndex":0},"citationItems":[{"id":18151,"uris":["http://zotero.org/users/7220606/items/T9REIALA"],"uri":["http://zotero.org/users/7220606/items/T9REIALA"],"itemData":{"id":18151,"type":"book","collection-title":"World Bank Discussion Papers","ISBN":"978-0-8213-2387-8","language":"en","note":"DOI: 10.1596/0-8213-2387-3","publisher":"The World Bank","source":"DOI.org (Crossref)","title":"Social gains from female education: A cross-national study","title-short":"Social gains from female education","URL":"http://elibrary.worldbank.org/doi/book/10.1596/0-8213-2387-3","author":[{"family":"Subbarao","given":"Kalanidhi"},{"family":"Raney","given":"Laura"}],"accessed":{"date-parts":[["2021",5,23]]},"issued":{"date-parts":[["1993",3,31]]}}}],"schema":"https://github.com/citation-style-language/schema/raw/master/csl-citation.json"} </w:instrText>
      </w:r>
      <w:r w:rsidR="004F5658" w:rsidRPr="006158C3">
        <w:rPr>
          <w:sz w:val="24"/>
        </w:rPr>
        <w:fldChar w:fldCharType="separate"/>
      </w:r>
      <w:r w:rsidR="004F5658" w:rsidRPr="006158C3">
        <w:rPr>
          <w:rFonts w:ascii="Calibri" w:hAnsi="Calibri" w:cs="Calibri"/>
          <w:sz w:val="24"/>
        </w:rPr>
        <w:t>(Subbarao &amp; Raney, 1993)</w:t>
      </w:r>
      <w:r w:rsidR="004F5658" w:rsidRPr="006158C3">
        <w:rPr>
          <w:sz w:val="24"/>
        </w:rPr>
        <w:fldChar w:fldCharType="end"/>
      </w:r>
      <w:r w:rsidRPr="006158C3">
        <w:rPr>
          <w:sz w:val="24"/>
        </w:rPr>
        <w:t>. Education promotes awareness of the use of modern methods of contraception effectively and thus helps people achieve their DFS</w:t>
      </w:r>
      <w:r w:rsidR="004F5658" w:rsidRPr="006158C3">
        <w:rPr>
          <w:sz w:val="24"/>
        </w:rPr>
        <w:t xml:space="preserve"> </w:t>
      </w:r>
      <w:r w:rsidR="004F5658" w:rsidRPr="006158C3">
        <w:rPr>
          <w:sz w:val="24"/>
        </w:rPr>
        <w:fldChar w:fldCharType="begin"/>
      </w:r>
      <w:r w:rsidR="004F5658" w:rsidRPr="006158C3">
        <w:rPr>
          <w:sz w:val="24"/>
        </w:rPr>
        <w:instrText xml:space="preserve"> ADDIN ZOTERO_ITEM CSL_CITATION {"citationID":"c6IvlHVQ","properties":{"formattedCitation":"(Liu &amp; Raftery, 2020)","plainCitation":"(Liu &amp; Raftery, 2020)","noteIndex":0},"citationItems":[{"id":18147,"uris":["http://zotero.org/users/7220606/items/PSLB2C98"],"uri":["http://zotero.org/users/7220606/items/PSLB2C98"],"itemData":{"id":18147,"type":"article-journal","abstract":"AbstractEducation and family planning can both be influenced by policy and are thought to accelerate fertility decline. However, questions remain about the nature of these effects. Does the effect of education operate through increasing educational attainment of women or educational enrollment of children? At which educational level is the effect strongest? Does the effect of family planning operate through increasing contraceptive prevalence or reducing unmet need? Is education or family planning more important? We assessed the quantitative impact of education and family planning in high-fertility settings using a regression framework inspired by Granger causality. We found that women's attainment of lower secondary education is key to accelerating fertility decline and found an accelerating effect of contraceptive prevalence for modern methods. We found the impact of contraceptive prevalence to be substantially larger than that of education. These accelerating effects hold in sub-Saharan Africa, but with smaller effect sizes there than elsewhere.","container-title":"Population and Development Review","DOI":"https://doi.org/10.1111/padr.12347","ISSN":"1728-4457","issue":"3","language":"en","note":"_eprint: https://onlinelibrary.wiley.com/doi/pdf/10.1111/padr.12347","page":"409-441","source":"Wiley Online Library","title":"How Do Education and Family Planning Accelerate Fertility Decline?","volume":"46","author":[{"family":"Liu","given":"Daphne H."},{"family":"Raftery","given":"Adrian E."}],"issued":{"date-parts":[["2020"]]}}}],"schema":"https://github.com/citation-style-language/schema/raw/master/csl-citation.json"} </w:instrText>
      </w:r>
      <w:r w:rsidR="004F5658" w:rsidRPr="006158C3">
        <w:rPr>
          <w:sz w:val="24"/>
        </w:rPr>
        <w:fldChar w:fldCharType="separate"/>
      </w:r>
      <w:r w:rsidR="004F5658" w:rsidRPr="006158C3">
        <w:rPr>
          <w:rFonts w:ascii="Calibri" w:hAnsi="Calibri" w:cs="Calibri"/>
          <w:sz w:val="24"/>
        </w:rPr>
        <w:t>(Liu &amp; Raftery, 2020)</w:t>
      </w:r>
      <w:r w:rsidR="004F5658" w:rsidRPr="006158C3">
        <w:rPr>
          <w:sz w:val="24"/>
        </w:rPr>
        <w:fldChar w:fldCharType="end"/>
      </w:r>
      <w:r w:rsidRPr="006158C3">
        <w:rPr>
          <w:sz w:val="24"/>
        </w:rPr>
        <w:t xml:space="preserve">. </w:t>
      </w:r>
      <w:r w:rsidR="004F5658" w:rsidRPr="006158C3">
        <w:rPr>
          <w:sz w:val="24"/>
        </w:rPr>
        <w:t>Together with</w:t>
      </w:r>
      <w:r w:rsidRPr="006158C3">
        <w:rPr>
          <w:sz w:val="24"/>
        </w:rPr>
        <w:t xml:space="preserve"> family planning interventions </w:t>
      </w:r>
      <w:r w:rsidR="004F5658" w:rsidRPr="006158C3">
        <w:rPr>
          <w:sz w:val="24"/>
        </w:rPr>
        <w:t xml:space="preserve">that </w:t>
      </w:r>
      <w:r w:rsidRPr="006158C3">
        <w:rPr>
          <w:sz w:val="24"/>
        </w:rPr>
        <w:t xml:space="preserve">focus on meeting the unmet need for contraception by reducing the financial and social barriers to access, promoting </w:t>
      </w:r>
      <w:r w:rsidR="004F5658" w:rsidRPr="006158C3">
        <w:rPr>
          <w:sz w:val="24"/>
        </w:rPr>
        <w:t>universal</w:t>
      </w:r>
      <w:r w:rsidRPr="006158C3">
        <w:rPr>
          <w:sz w:val="24"/>
        </w:rPr>
        <w:t xml:space="preserve"> education focuses on keeping</w:t>
      </w:r>
      <w:r w:rsidR="004F5658" w:rsidRPr="006158C3">
        <w:rPr>
          <w:sz w:val="24"/>
        </w:rPr>
        <w:t xml:space="preserve"> boys and girls in school, </w:t>
      </w:r>
      <w:r w:rsidRPr="006158C3">
        <w:rPr>
          <w:sz w:val="24"/>
        </w:rPr>
        <w:t xml:space="preserve">and delaying </w:t>
      </w:r>
      <w:r w:rsidR="004F5658" w:rsidRPr="006158C3">
        <w:rPr>
          <w:sz w:val="24"/>
        </w:rPr>
        <w:t xml:space="preserve">early </w:t>
      </w:r>
      <w:r w:rsidRPr="006158C3">
        <w:rPr>
          <w:sz w:val="24"/>
        </w:rPr>
        <w:t xml:space="preserve">marriage and </w:t>
      </w:r>
      <w:r w:rsidR="004F5658" w:rsidRPr="006158C3">
        <w:rPr>
          <w:sz w:val="24"/>
        </w:rPr>
        <w:t>child</w:t>
      </w:r>
      <w:r w:rsidRPr="006158C3">
        <w:rPr>
          <w:sz w:val="24"/>
        </w:rPr>
        <w:t>birth</w:t>
      </w:r>
      <w:r w:rsidR="004F5658" w:rsidRPr="006158C3">
        <w:rPr>
          <w:sz w:val="24"/>
        </w:rPr>
        <w:t xml:space="preserve">, particularly for girls </w:t>
      </w:r>
      <w:r w:rsidR="004F5658" w:rsidRPr="006158C3">
        <w:rPr>
          <w:sz w:val="24"/>
        </w:rPr>
        <w:fldChar w:fldCharType="begin"/>
      </w:r>
      <w:r w:rsidR="004F5658" w:rsidRPr="006158C3">
        <w:rPr>
          <w:sz w:val="24"/>
        </w:rPr>
        <w:instrText xml:space="preserve"> ADDIN ZOTERO_ITEM CSL_CITATION {"citationID":"Te9Est4b","properties":{"formattedCitation":"(Global Partnership for Education, 2019)","plainCitation":"(Global Partnership for Education, 2019)","noteIndex":0},"citationItems":[{"id":18057,"uris":["http://zotero.org/users/7220606/items/X3KEQCPJ"],"uri":["http://zotero.org/users/7220606/items/X3KEQCPJ"],"itemData":{"id":18057,"type":"webpage","abstract":"Explore a list of useful statistics on education by theme, both globally and for GPE partner countries","language":"en","title":"Education data highlights","URL":"https://www.globalpartnership.org/results/education-data-highlights","author":[{"family":"Global Partnership for Education","given":""}],"accessed":{"date-parts":[["2021",5,2]]},"issued":{"date-parts":[["2019"]]}}}],"schema":"https://github.com/citation-style-language/schema/raw/master/csl-citation.json"} </w:instrText>
      </w:r>
      <w:r w:rsidR="004F5658" w:rsidRPr="006158C3">
        <w:rPr>
          <w:sz w:val="24"/>
        </w:rPr>
        <w:fldChar w:fldCharType="separate"/>
      </w:r>
      <w:r w:rsidR="004F5658" w:rsidRPr="006158C3">
        <w:rPr>
          <w:rFonts w:ascii="Calibri" w:hAnsi="Calibri" w:cs="Calibri"/>
          <w:sz w:val="24"/>
        </w:rPr>
        <w:t>(Global Partnership for Education, 2019)</w:t>
      </w:r>
      <w:r w:rsidR="004F5658" w:rsidRPr="006158C3">
        <w:rPr>
          <w:sz w:val="24"/>
        </w:rPr>
        <w:fldChar w:fldCharType="end"/>
      </w:r>
      <w:r w:rsidRPr="006158C3">
        <w:rPr>
          <w:sz w:val="24"/>
        </w:rPr>
        <w:t>. Restricted access to family planning information and services and limited education</w:t>
      </w:r>
      <w:r w:rsidR="004F5658" w:rsidRPr="006158C3">
        <w:rPr>
          <w:sz w:val="24"/>
        </w:rPr>
        <w:t>al opportunities</w:t>
      </w:r>
      <w:r w:rsidRPr="006158C3">
        <w:rPr>
          <w:sz w:val="24"/>
        </w:rPr>
        <w:t xml:space="preserve"> impedes a criti</w:t>
      </w:r>
      <w:r w:rsidR="004F5658" w:rsidRPr="006158C3">
        <w:rPr>
          <w:sz w:val="24"/>
        </w:rPr>
        <w:t xml:space="preserve">cal opportunity for women’s empowerment, and continues to </w:t>
      </w:r>
      <w:r w:rsidR="006158C3" w:rsidRPr="006158C3">
        <w:rPr>
          <w:sz w:val="24"/>
        </w:rPr>
        <w:t>reinforce</w:t>
      </w:r>
      <w:r w:rsidR="004F5658" w:rsidRPr="006158C3">
        <w:rPr>
          <w:sz w:val="24"/>
        </w:rPr>
        <w:t xml:space="preserve"> the </w:t>
      </w:r>
      <w:r w:rsidR="006158C3" w:rsidRPr="006158C3">
        <w:rPr>
          <w:sz w:val="24"/>
        </w:rPr>
        <w:t xml:space="preserve">gendered expectations and </w:t>
      </w:r>
      <w:r w:rsidR="004F5658" w:rsidRPr="006158C3">
        <w:rPr>
          <w:sz w:val="24"/>
        </w:rPr>
        <w:t xml:space="preserve">status of women as a child bearer and caretaker. </w:t>
      </w:r>
    </w:p>
    <w:p w14:paraId="38425E90" w14:textId="77777777" w:rsidR="003B1F91" w:rsidRPr="00BF048C" w:rsidRDefault="003B1F91" w:rsidP="00E50280">
      <w:pPr>
        <w:jc w:val="both"/>
        <w:rPr>
          <w:sz w:val="24"/>
        </w:rPr>
      </w:pPr>
    </w:p>
    <w:p w14:paraId="11E9CD4D" w14:textId="77777777" w:rsidR="00E50280" w:rsidRDefault="00E50280" w:rsidP="00E50280">
      <w:pPr>
        <w:pStyle w:val="Heading3"/>
      </w:pPr>
      <w:bookmarkStart w:id="6" w:name="_Toc71702070"/>
      <w:bookmarkStart w:id="7" w:name="_Toc74154029"/>
      <w:r>
        <w:t>Education and fertility</w:t>
      </w:r>
      <w:bookmarkEnd w:id="6"/>
      <w:bookmarkEnd w:id="7"/>
    </w:p>
    <w:p w14:paraId="748F34AC" w14:textId="6B174EED" w:rsidR="0062402A" w:rsidRPr="0062402A" w:rsidRDefault="000E4D32" w:rsidP="00E50280">
      <w:pPr>
        <w:jc w:val="both"/>
        <w:rPr>
          <w:sz w:val="24"/>
        </w:rPr>
      </w:pPr>
      <w:r>
        <w:rPr>
          <w:sz w:val="24"/>
        </w:rPr>
        <w:t>Historically</w:t>
      </w:r>
      <w:r w:rsidR="00B85AB0" w:rsidRPr="00B85AB0">
        <w:rPr>
          <w:sz w:val="24"/>
        </w:rPr>
        <w:t xml:space="preserve">, the links between educational attainment and changes in fertility have </w:t>
      </w:r>
      <w:r w:rsidR="00B85AB0">
        <w:rPr>
          <w:sz w:val="24"/>
        </w:rPr>
        <w:t>had wo</w:t>
      </w:r>
      <w:r w:rsidR="00B85AB0" w:rsidRPr="000E4D32">
        <w:rPr>
          <w:sz w:val="24"/>
        </w:rPr>
        <w:t xml:space="preserve">men and girls as the focal population, because fertility </w:t>
      </w:r>
      <w:r w:rsidRPr="000E4D32">
        <w:rPr>
          <w:sz w:val="24"/>
        </w:rPr>
        <w:t>rates are</w:t>
      </w:r>
      <w:r w:rsidR="00B85AB0" w:rsidRPr="000E4D32">
        <w:rPr>
          <w:sz w:val="24"/>
        </w:rPr>
        <w:t xml:space="preserve"> </w:t>
      </w:r>
      <w:r w:rsidR="0062402A">
        <w:rPr>
          <w:sz w:val="24"/>
        </w:rPr>
        <w:t>inherently measured b</w:t>
      </w:r>
      <w:r w:rsidRPr="000E4D32">
        <w:rPr>
          <w:sz w:val="24"/>
        </w:rPr>
        <w:t xml:space="preserve">ased on women’s </w:t>
      </w:r>
      <w:r w:rsidRPr="0062402A">
        <w:rPr>
          <w:sz w:val="24"/>
        </w:rPr>
        <w:t>reproduct</w:t>
      </w:r>
      <w:r w:rsidR="0062402A">
        <w:rPr>
          <w:sz w:val="24"/>
        </w:rPr>
        <w:t>ive outcomes</w:t>
      </w:r>
      <w:r w:rsidRPr="0062402A">
        <w:rPr>
          <w:sz w:val="24"/>
        </w:rPr>
        <w:t xml:space="preserve">. </w:t>
      </w:r>
      <w:r w:rsidR="0062402A" w:rsidRPr="0062402A">
        <w:rPr>
          <w:sz w:val="24"/>
        </w:rPr>
        <w:t xml:space="preserve">Due to </w:t>
      </w:r>
      <w:r w:rsidR="0062402A">
        <w:rPr>
          <w:sz w:val="24"/>
        </w:rPr>
        <w:t>a</w:t>
      </w:r>
      <w:r w:rsidR="0062402A" w:rsidRPr="0062402A">
        <w:rPr>
          <w:sz w:val="24"/>
        </w:rPr>
        <w:t xml:space="preserve"> dearth of research on impact of universal education (for girls and boys) on fertility, this section will mostly focus on women’s education and the different ways this affects and influences fertility choices and decisions, while acknowledging that much work </w:t>
      </w:r>
      <w:r w:rsidR="0062402A">
        <w:rPr>
          <w:sz w:val="24"/>
        </w:rPr>
        <w:t>is</w:t>
      </w:r>
      <w:r w:rsidR="0062402A" w:rsidRPr="0062402A">
        <w:rPr>
          <w:sz w:val="24"/>
        </w:rPr>
        <w:t xml:space="preserve"> to be done in exploring the role and influence of men’s education on fertility trends over time. </w:t>
      </w:r>
    </w:p>
    <w:p w14:paraId="5175B087" w14:textId="4FCF0678" w:rsidR="00E50280" w:rsidRPr="0062402A" w:rsidRDefault="00E50280" w:rsidP="00E50280">
      <w:pPr>
        <w:jc w:val="both"/>
        <w:rPr>
          <w:sz w:val="24"/>
        </w:rPr>
      </w:pPr>
      <w:r w:rsidRPr="0062402A">
        <w:rPr>
          <w:sz w:val="24"/>
        </w:rPr>
        <w:t xml:space="preserve">Until the mid-1970s, studies </w:t>
      </w:r>
      <w:r w:rsidR="000B30F1">
        <w:rPr>
          <w:sz w:val="24"/>
        </w:rPr>
        <w:t>focused on the effects of women</w:t>
      </w:r>
      <w:r w:rsidRPr="0062402A">
        <w:rPr>
          <w:sz w:val="24"/>
        </w:rPr>
        <w:t>s’ schooli</w:t>
      </w:r>
      <w:r w:rsidR="0080365E" w:rsidRPr="0062402A">
        <w:rPr>
          <w:sz w:val="24"/>
        </w:rPr>
        <w:t>ng on their fertility outcomes</w:t>
      </w:r>
      <w:r w:rsidR="001B1401">
        <w:rPr>
          <w:sz w:val="24"/>
        </w:rPr>
        <w:t>,</w:t>
      </w:r>
      <w:r w:rsidR="0080365E" w:rsidRPr="0062402A">
        <w:rPr>
          <w:sz w:val="24"/>
        </w:rPr>
        <w:t xml:space="preserve"> </w:t>
      </w:r>
      <w:r w:rsidRPr="0062402A">
        <w:rPr>
          <w:sz w:val="24"/>
        </w:rPr>
        <w:t>individual education,</w:t>
      </w:r>
      <w:r w:rsidR="001B1401">
        <w:rPr>
          <w:sz w:val="24"/>
        </w:rPr>
        <w:t xml:space="preserve"> and</w:t>
      </w:r>
      <w:r w:rsidRPr="0062402A">
        <w:rPr>
          <w:sz w:val="24"/>
        </w:rPr>
        <w:t xml:space="preserve"> individual fertility</w:t>
      </w:r>
      <w:r w:rsidR="000B30F1">
        <w:rPr>
          <w:sz w:val="24"/>
        </w:rPr>
        <w:t xml:space="preserve"> </w:t>
      </w:r>
      <w:r w:rsidR="000B30F1">
        <w:rPr>
          <w:sz w:val="24"/>
        </w:rPr>
        <w:fldChar w:fldCharType="begin"/>
      </w:r>
      <w:r w:rsidR="000B30F1">
        <w:rPr>
          <w:sz w:val="24"/>
        </w:rPr>
        <w:instrText xml:space="preserve"> ADDIN ZOTERO_ITEM CSL_CITATION {"citationID":"zMxESEjV","properties":{"formattedCitation":"(Bongaarts et al., 2017)","plainCitation":"(Bongaarts et al., 2017)","noteIndex":0},"citationItems":[{"id":18464,"uris":["http://zotero.org/groups/2723676/items/BSK6Z86H"],"uri":["http://zotero.org/groups/2723676/items/BSK6Z86H"],"itemData":{"id":18464,"type":"article-journal","container-title":"Population Studies","DOI":"10.1080/00324728.2017.1291986","ISSN":"0032-4728, 1477-4747","issue":"2","journalAbbreviation":"Population Studies","language":"en","page":"139-154","source":"DOI.org (Crossref)","title":"Trends in the age at reproductive transitions in the developing world: The role of education","title-short":"Trends in the age at reproductive transitions in the developing world","volume":"71","author":[{"family":"Bongaarts","given":"John"},{"family":"Mensch","given":"Barbara S."},{"family":"Blanc","given":"Ann K."}],"issued":{"date-parts":[["2017"]]}}}],"schema":"https://github.com/citation-style-language/schema/raw/master/csl-citation.json"} </w:instrText>
      </w:r>
      <w:r w:rsidR="000B30F1">
        <w:rPr>
          <w:sz w:val="24"/>
        </w:rPr>
        <w:fldChar w:fldCharType="separate"/>
      </w:r>
      <w:r w:rsidR="000B30F1" w:rsidRPr="000B30F1">
        <w:rPr>
          <w:rFonts w:ascii="Calibri" w:hAnsi="Calibri" w:cs="Calibri"/>
          <w:sz w:val="24"/>
        </w:rPr>
        <w:t>(Bongaarts et al., 2017)</w:t>
      </w:r>
      <w:r w:rsidR="000B30F1">
        <w:rPr>
          <w:sz w:val="24"/>
        </w:rPr>
        <w:fldChar w:fldCharType="end"/>
      </w:r>
      <w:r w:rsidRPr="0062402A">
        <w:rPr>
          <w:sz w:val="24"/>
        </w:rPr>
        <w:t>. Simple correlations and multiple regressions revealed the relationship to be negative; the longer a woman remained in school the fewer children she was likely to have</w:t>
      </w:r>
      <w:r w:rsidR="004B5900" w:rsidRPr="0062402A">
        <w:rPr>
          <w:sz w:val="24"/>
        </w:rPr>
        <w:t xml:space="preserve"> </w:t>
      </w:r>
      <w:r w:rsidR="004B5900" w:rsidRPr="0062402A">
        <w:rPr>
          <w:sz w:val="24"/>
        </w:rPr>
        <w:fldChar w:fldCharType="begin"/>
      </w:r>
      <w:r w:rsidR="004B5900" w:rsidRPr="0062402A">
        <w:rPr>
          <w:sz w:val="24"/>
        </w:rPr>
        <w:instrText xml:space="preserve"> ADDIN ZOTERO_ITEM CSL_CITATION {"citationID":"usGdxU4J","properties":{"formattedCitation":"(Monstad et al., 2008)","plainCitation":"(Monstad et al., 2008)","noteIndex":0},"citationItems":[{"id":18154,"uris":["http://zotero.org/users/7220606/items/QCY5HEDZ"],"uri":["http://zotero.org/users/7220606/items/QCY5HEDZ"],"itemData":{"id":18154,"type":"article-journal","abstract":"Declining fertility is often attributed to the increased education of women. It is difficult to establish a causal link because both fertility and education have changed secularly. In this paper we study the connection between fertility and education using educational reform as an instrument to control for selection. Our results indicate that increasing education leads to postponement of first births away from teenage motherhood and towards women having their first birth in their 20s as well as, for a smaller group, up to the age of 35-40. We find no evidence, however, that more education results in more women remaining childless or having fewer children.","container-title":"The Scandinavian Journal of Economics","ISSN":"0347-0520","issue":"4","note":"publisher: [Wiley, The Scandinavian Journal of Economics]","page":"827-852","source":"JSTOR","title":"Education and Fertility: Evidence from a Natural Experiment","title-short":"Education and Fertility","volume":"110","author":[{"family":"Monstad","given":"Karin"},{"family":"Propper","given":"Carol"},{"family":"Salvanes","given":"Kjell G."}],"issued":{"date-parts":[["2008"]]}}}],"schema":"https://github.com/citation-style-language/schema/raw/master/csl-citation.json"} </w:instrText>
      </w:r>
      <w:r w:rsidR="004B5900" w:rsidRPr="0062402A">
        <w:rPr>
          <w:sz w:val="24"/>
        </w:rPr>
        <w:fldChar w:fldCharType="separate"/>
      </w:r>
      <w:r w:rsidR="004B5900" w:rsidRPr="0062402A">
        <w:rPr>
          <w:rFonts w:ascii="Calibri" w:hAnsi="Calibri" w:cs="Calibri"/>
          <w:sz w:val="24"/>
        </w:rPr>
        <w:t>(Monstad et al., 2008)</w:t>
      </w:r>
      <w:r w:rsidR="004B5900" w:rsidRPr="0062402A">
        <w:rPr>
          <w:sz w:val="24"/>
        </w:rPr>
        <w:fldChar w:fldCharType="end"/>
      </w:r>
      <w:r w:rsidRPr="0062402A">
        <w:rPr>
          <w:sz w:val="24"/>
        </w:rPr>
        <w:t xml:space="preserve">. Between the mid-1970s to mid-1980s research focus shifted to determining the effects of education on what was later understood as proximate determinants of fertility such as marriage rates, contraceptive prevalence </w:t>
      </w:r>
      <w:r w:rsidR="0080365E" w:rsidRPr="0062402A">
        <w:rPr>
          <w:sz w:val="24"/>
        </w:rPr>
        <w:t xml:space="preserve">rates, and </w:t>
      </w:r>
      <w:r w:rsidRPr="0062402A">
        <w:rPr>
          <w:sz w:val="24"/>
        </w:rPr>
        <w:t>DFS</w:t>
      </w:r>
      <w:r w:rsidR="004B5900" w:rsidRPr="0062402A">
        <w:rPr>
          <w:sz w:val="24"/>
        </w:rPr>
        <w:t xml:space="preserve"> </w:t>
      </w:r>
      <w:r w:rsidR="004B5900" w:rsidRPr="0062402A">
        <w:rPr>
          <w:sz w:val="24"/>
        </w:rPr>
        <w:fldChar w:fldCharType="begin"/>
      </w:r>
      <w:r w:rsidR="004B5900" w:rsidRPr="0062402A">
        <w:rPr>
          <w:sz w:val="24"/>
        </w:rPr>
        <w:instrText xml:space="preserve"> ADDIN ZOTERO_ITEM CSL_CITATION {"citationID":"9ZQhA1Rp","properties":{"formattedCitation":"(Bongaarts, 1978)","plainCitation":"(Bongaarts, 1978)","noteIndex":0},"citationItems":[{"id":2644,"uris":["http://zotero.org/groups/277937/items/4WCDJ45P"],"uri":["http://zotero.org/groups/277937/items/4WCDJ45P"],"itemData":{"id":2644,"type":"article-journal","abstract":"</w:instrText>
      </w:r>
      <w:r w:rsidR="004B5900" w:rsidRPr="0062402A">
        <w:rPr>
          <w:rFonts w:ascii="Arial" w:hAnsi="Arial" w:cs="Arial"/>
          <w:sz w:val="24"/>
        </w:rPr>
        <w:instrText>￼</w:instrText>
      </w:r>
      <w:r w:rsidR="004B5900" w:rsidRPr="0062402A">
        <w:rPr>
          <w:sz w:val="24"/>
        </w:rPr>
        <w:instrText xml:space="preserve">Studies of the causes of fertility levels and their changes often seek to measure directly the impact of socioeconomic factors on fertility. Such procedures have a broad appeal\nto policymakers, offering as they do to pinpoint mechanisms susceptible to manipulation by official policy. Despite this appeal, such approaches are considerably more problematical in their application. Not infrequently, relationships are found to differ not only in magnitude but even in direction in different settings and at different times.","container-title":"Population and Development Review","DOI":"10.2307/1972149","issue":"1","page":"105-132","title":"A Framework for Analyzing the Proximate Determinants of Fertility","volume":"4","author":[{"family":"Bongaarts","given":"John"}],"issued":{"date-parts":[["1978",3]]}}}],"schema":"https://github.com/citation-style-language/schema/raw/master/csl-citation.json"} </w:instrText>
      </w:r>
      <w:r w:rsidR="004B5900" w:rsidRPr="0062402A">
        <w:rPr>
          <w:sz w:val="24"/>
        </w:rPr>
        <w:fldChar w:fldCharType="separate"/>
      </w:r>
      <w:r w:rsidR="004B5900" w:rsidRPr="0062402A">
        <w:rPr>
          <w:rFonts w:ascii="Calibri" w:hAnsi="Calibri" w:cs="Calibri"/>
          <w:sz w:val="24"/>
        </w:rPr>
        <w:t>(Bongaarts, 1978)</w:t>
      </w:r>
      <w:r w:rsidR="004B5900" w:rsidRPr="0062402A">
        <w:rPr>
          <w:sz w:val="24"/>
        </w:rPr>
        <w:fldChar w:fldCharType="end"/>
      </w:r>
      <w:r w:rsidRPr="0062402A">
        <w:rPr>
          <w:sz w:val="24"/>
        </w:rPr>
        <w:t>. The general takeaway from this body of research is that education does not influence fertility directly but acts through a number of biolog</w:t>
      </w:r>
      <w:r w:rsidR="0080365E" w:rsidRPr="0062402A">
        <w:rPr>
          <w:sz w:val="24"/>
        </w:rPr>
        <w:t xml:space="preserve">ical and social indicators. The </w:t>
      </w:r>
      <w:r w:rsidRPr="0062402A">
        <w:rPr>
          <w:sz w:val="24"/>
        </w:rPr>
        <w:t xml:space="preserve">DHS program has been conducting household surveys in developing countries since 1984 and the wealth of data it provides led to the next shift in the research agenda, investigating intergenerational links between education and fertility and the reciprocal influences of women's educational attainment between child welfare, labor force quality, economic inequality, and social stratification </w:t>
      </w:r>
      <w:r w:rsidRPr="0062402A">
        <w:rPr>
          <w:sz w:val="24"/>
        </w:rPr>
        <w:fldChar w:fldCharType="begin"/>
      </w:r>
      <w:r w:rsidR="00B23620" w:rsidRPr="0062402A">
        <w:rPr>
          <w:sz w:val="24"/>
        </w:rPr>
        <w:instrText xml:space="preserve"> ADDIN ZOTERO_ITEM CSL_CITATION {"citationID":"y8B35jR2","properties":{"formattedCitation":"(Conger et al., 2010)","plainCitation":"(Conger et al., 2010)","noteIndex":0},"citationItems":[{"id":18017,"uris":["http://zotero.org/users/7220606/items/QG9Y3LDL"],"uri":["http://zotero.org/users/7220606/items/QG9Y3LDL"],"itemData":{"id":18017,"type":"article-journal","abstract":"Research during the past decade shows that social class or socioeconomic status (SES) is related to satisfaction and stability in romantic unions, the quality of parent-child relationships, and a range of developmental outcomes for adults and children. This review focuses on evidence regarding potential mechanisms proposed to account for these associations. Research findings reported during the past decade demonstrate support for an interactionist model of the relationship between SES and family life, which incorporates assumptions from both the social causation and social selection perspectives. The review concludes with recommendations for future research on SES, family processes and individual development in terms of important theoretical and methodological issues yet to be addressed.","container-title":"Journal of marriage and the family","DOI":"10.1111/j.1741-3737.2010.00725.x","ISSN":"0022-2445","issue":"3","journalAbbreviation":"J Marriage Fam","note":"PMID: 20676350\nPMCID: PMC2910915","page":"685-704","source":"PubMed Central","title":"Socioeconomic Status, Family Processes, and Individual Development","volume":"72","author":[{"family":"Conger","given":"Rand D."},{"family":"Conger","given":"Katherine J."},{"family":"Martin","given":"Monica J."}],"issued":{"date-parts":[["2010",6]]}}}],"schema":"https://github.com/citation-style-language/schema/raw/master/csl-citation.json"} </w:instrText>
      </w:r>
      <w:r w:rsidRPr="0062402A">
        <w:rPr>
          <w:sz w:val="24"/>
        </w:rPr>
        <w:fldChar w:fldCharType="separate"/>
      </w:r>
      <w:r w:rsidR="00B23620" w:rsidRPr="0062402A">
        <w:rPr>
          <w:rFonts w:ascii="Calibri" w:hAnsi="Calibri" w:cs="Calibri"/>
          <w:sz w:val="24"/>
        </w:rPr>
        <w:t>(Conger et al., 2010)</w:t>
      </w:r>
      <w:r w:rsidRPr="0062402A">
        <w:rPr>
          <w:sz w:val="24"/>
        </w:rPr>
        <w:fldChar w:fldCharType="end"/>
      </w:r>
      <w:r w:rsidRPr="0062402A">
        <w:rPr>
          <w:sz w:val="24"/>
        </w:rPr>
        <w:t xml:space="preserve">. The results of these studies are mixed and highlight the fact that the relationship between education and fertility is really an array of varying and complex associations </w:t>
      </w:r>
      <w:r w:rsidRPr="0062402A">
        <w:rPr>
          <w:sz w:val="24"/>
        </w:rPr>
        <w:fldChar w:fldCharType="begin"/>
      </w:r>
      <w:r w:rsidR="00B23620" w:rsidRPr="0062402A">
        <w:rPr>
          <w:sz w:val="24"/>
        </w:rPr>
        <w:instrText xml:space="preserve"> ADDIN ZOTERO_ITEM CSL_CITATION {"citationID":"0yuxnfhP","properties":{"formattedCitation":"(Arokiasamy et al., 2004; Basu, 2002; Psaki et al., 2019)","plainCitation":"(Arokiasamy et al., 2004; Basu, 2002; Psaki et al., 2019)","noteIndex":0},"citationItems":[{"id":18022,"uris":["http://zotero.org/users/7220606/items/QCKEGRZA"],"uri":["http://zotero.org/users/7220606/items/QCKEGRZA"],"itemData":{"id":18022,"type":"article-journal","abstract":"Both recent theory and evidence suggest that female education continues to play an important role in India's fertility decline. Although the bulk of fertility decline is now occurring among uneducated women and may mask the contribution of education to it, studies reveal the role of diffusion mechanisms, including the positive role of others, especially women's education, on the fertility behaviour of the uneducated.","container-title":"Economic and Political Weekly","ISSN":"0012-9976","issue":"41","note":"publisher: Economic and Political Weekly","page":"4503-4507","source":"JSTOR","title":"Female Education and Fertility Decline: Recent Developments in the Relationship","title-short":"Female Education and Fertility Decline","volume":"39","author":[{"family":"Arokiasamy","given":"P."},{"family":"McNay","given":"Kirsty"},{"family":"Cassen","given":"Robert H."}],"issued":{"date-parts":[["2004"]]}}},{"id":18020,"uris":["http://zotero.org/users/7220606/items/JAEBPGCQ"],"uri":["http://zotero.org/users/7220606/items/JAEBPGCQ"],"itemData":{"id":18020,"type":"article-journal","abstract":"In spite of close to a quarter century of research and policy interest in the quite uniquely universal negative relation between female education and fertility, the mechanisms behind this relation continue to intrigue and to fascinate. This paper tries to review critically some of the more common mechanisms suggested by the literature and offers a new look at some alternative possibilities.","container-title":"World Development","DOI":"10.1016/S0305-750X(02)00072-4","ISSN":"0305-750X","issue":"10","journalAbbreviation":"World Development","language":"en","page":"1779-1790","source":"ScienceDirect","title":"Why does Education Lead to Lower Fertility? A Critical Review of Some of the Possibilities","title-short":"Why does Education Lead to Lower Fertility?","volume":"30","author":[{"family":"Basu","given":"Alaka Malwade"}],"issued":{"date-parts":[["2002",10,1]]}}},{"id":18,"uris":["http://zotero.org/users/7220606/items/M2WZZ8PB"],"uri":["http://zotero.org/users/7220606/items/M2WZZ8PB"],"itemData":{"id":18,"type":"article-journal","abstract":"Background\nDespite strong theoretical grounding, important gaps in knowledge remain regarding the degree to which there is a causal relationship between education and sexual and reproductive health, as many claims have been made based on associations alone. Understanding the extent to which these relationships are causal is important both to inform investments in education and health, as well as to understand the mechanisms underlying these relationships.\nMethods\nWe conducted a systematic review of the evidence for a causal link between education and sexual and reproductive health (SRH) in low and middle-income countries. Education indicators included exposure to formal schooling and learning. SRH outcomes included: age at first sex, age at first marriage, age at first pregnancy/birth, contraceptive use, fertility, and HIV status and other sexually transmitted infections. When possible, we also conducted meta-analyses to estimate mean effects by outcome, and to understand sources of variation between studies.\nResults\nWe identified 35 papers that met our inclusion criteria. Although many of the studies report evidence of a causal relationship between education and one or more SRH outcomes, estimated effects are often small in magnitude. Our meta-analyses reveal mostly null mean effects, with the exception of small effects of increased grade attainment on lower fertility and HIV positive status. We also found inconsistent evidence supporting mechanisms linking education and SRH.\nConclusions\nThis review demonstrates that, although investments in schooling may have positive ripple effects for sexual and reproductive health in some circumstances, those effects may not be as large or consistent as expected. Further, our understanding of the circumstances in which schooling is most likely to improve SRH remains somewhat limited. An accurate picture of whether and when improvements in education lead to better health outcomes is essential for the achievement of global development goals.","container-title":"SSM - Population Health","DOI":"10.1016/j.ssmph.2019.100386","ISSN":"2352-8273","journalAbbreviation":"SSM - Population Health","language":"en","page":"100386","source":"ScienceDirect","title":"Causal effects of education on sexual and reproductive health in low and middle-income countries: A systematic review and meta-analysis","title-short":"Causal effects of education on sexual and reproductive health in low and middle-income countries","volume":"8","author":[{"family":"Psaki","given":"Stephanie R."},{"family":"Chuang","given":"Erica K."},{"family":"Melnikas","given":"Andrea J."},{"family":"Wilson","given":"David B."},{"family":"Mensch","given":"Barbara S."}],"issued":{"date-parts":[["2019",8,1]]}}}],"schema":"https://github.com/citation-style-language/schema/raw/master/csl-citation.json"} </w:instrText>
      </w:r>
      <w:r w:rsidRPr="0062402A">
        <w:rPr>
          <w:sz w:val="24"/>
        </w:rPr>
        <w:fldChar w:fldCharType="separate"/>
      </w:r>
      <w:r w:rsidR="00B23620" w:rsidRPr="0062402A">
        <w:rPr>
          <w:rFonts w:ascii="Calibri" w:hAnsi="Calibri" w:cs="Calibri"/>
          <w:sz w:val="24"/>
        </w:rPr>
        <w:t>(Arokiasamy et al., 2004; Basu, 2002; Psaki et al., 2019)</w:t>
      </w:r>
      <w:r w:rsidRPr="0062402A">
        <w:rPr>
          <w:sz w:val="24"/>
        </w:rPr>
        <w:fldChar w:fldCharType="end"/>
      </w:r>
      <w:r w:rsidRPr="0062402A">
        <w:rPr>
          <w:sz w:val="24"/>
        </w:rPr>
        <w:t>.</w:t>
      </w:r>
      <w:r w:rsidR="000E4D32" w:rsidRPr="0062402A">
        <w:rPr>
          <w:sz w:val="24"/>
        </w:rPr>
        <w:t xml:space="preserve"> </w:t>
      </w:r>
    </w:p>
    <w:p w14:paraId="2B0215AB" w14:textId="6C7887B3" w:rsidR="00E50280" w:rsidRPr="0062402A" w:rsidRDefault="0062402A" w:rsidP="00E50280">
      <w:pPr>
        <w:jc w:val="both"/>
        <w:rPr>
          <w:sz w:val="24"/>
        </w:rPr>
      </w:pPr>
      <w:r w:rsidRPr="0062402A">
        <w:rPr>
          <w:sz w:val="24"/>
        </w:rPr>
        <w:lastRenderedPageBreak/>
        <w:t xml:space="preserve">Recognizing </w:t>
      </w:r>
      <w:r w:rsidR="00E50280" w:rsidRPr="0062402A">
        <w:rPr>
          <w:sz w:val="24"/>
        </w:rPr>
        <w:t xml:space="preserve">methodological issues such as endogeneity, contextual variation, and heterogeneity, the precise way in which education affects fertility remains up for debate. Education at the individual level is associated with increased employment prospects, the transfer of knowledge about the costs of children, and an increase in social skills enabling better use of health services and information </w:t>
      </w:r>
      <w:r w:rsidR="00E50280" w:rsidRPr="0062402A">
        <w:rPr>
          <w:sz w:val="24"/>
        </w:rPr>
        <w:fldChar w:fldCharType="begin"/>
      </w:r>
      <w:r w:rsidR="00B23620" w:rsidRPr="0062402A">
        <w:rPr>
          <w:sz w:val="24"/>
        </w:rPr>
        <w:instrText xml:space="preserve"> ADDIN ZOTERO_ITEM CSL_CITATION {"citationID":"nkNwWXuo","properties":{"formattedCitation":"(Kim, 2016; Mensch et al., 2019)","plainCitation":"(Kim, 2016; Mensch et al., 2019)","noteIndex":0},"citationItems":[{"id":18023,"uris":["http://zotero.org/users/7220606/items/85RTC9UF"],"uri":["http://zotero.org/users/7220606/items/85RTC9UF"],"itemData":{"id":18023,"type":"article-journal","abstract":"The relationship is more complex than one may think","container-title":"IZA World of Labor","DOI":"10.15185/izawol.228","language":"en-US","source":"wol.iza.org","title":"Female education and its impact on fertility","URL":"https://wol.iza.org/articles/female-education-and-its-impact-on-fertility/long","author":[{"family":"Kim","given":"Jungho"}],"accessed":{"date-parts":[["2021",5,1]]},"issued":{"date-parts":[["2016",2,1]]}}},{"id":17,"uris":["http://zotero.org/users/7220606/items/PVUHR5P9"],"uri":["http://zotero.org/users/7220606/items/PVUHR5P9"],"itemData":{"id":17,"type":"article-journal","abstract":"Objective Numerous studies have documented an inverse association between years of schooling attained, particularly by women, and reduced maternal, infant and child mortality. However, if factors affecting educational attainment — many of which are unobservable, e.g. motivation and genetic endowment — also affect the likelihood of engaging in behaviours that enhance health, then assumed effects of schooling will be inflated in analyses that do not address this endogeneity. This systematic review assesses evidence for a causal link between education and maternal and child health in low and middle-income countries. Methods Eligible studies controlled for observable and unobservable factors affecting both education and health. Reported effects were converted into partial correlations. When possible, we also conducted meta-analyses to estimate mean effects by outcome. Results Of 4952 papers identified, 16 met the inclusion criteria. The 15 child health papers examined neonatal, infant and child mortality, stunting and wasting. Significant effects of education on infant and child health were observed for 30 of 33 models that did not account for endogeneity. In contrast, only 18 of 46 effects were significant in models that addressed endogeneity. Notably, for only one outcome —child mortality measured dichotomously —was the effect of maternal educational attainment significant in a meta-analysis. The one maternal morbidity paper found significant effects for the two preventable outcomes considered. Conclusion While we find evidence for a causal link between education and health, effects are weaker in models that address endogeneity compared to naïve models that do not account for unobservable factors affecting both education and health. Advances in women's educational outcomes have undoubtedly played a role in improving health in many settings; however, the effect is not as strong as some researchers and advocates have claimed.","container-title":"Tropical Medicine &amp; International Health","DOI":"https://doi.org/10.1111/tmi.13218","ISSN":"1365-3156","issue":"5","language":"en","page":"504-522","source":"Wiley Online Library","title":"Evidence for causal links between education and maternal and child health: systematic review","title-short":"Evidence for causal links between education and maternal and child health","volume":"24","author":[{"family":"Mensch","given":"Barbara S."},{"family":"Chuang","given":"Erica K."},{"family":"Melnikas","given":"Andrea J."},{"family":"Psaki","given":"Stephanie R."}],"issued":{"date-parts":[["2019"]]}}}],"schema":"https://github.com/citation-style-language/schema/raw/master/csl-citation.json"} </w:instrText>
      </w:r>
      <w:r w:rsidR="00E50280" w:rsidRPr="0062402A">
        <w:rPr>
          <w:sz w:val="24"/>
        </w:rPr>
        <w:fldChar w:fldCharType="separate"/>
      </w:r>
      <w:r w:rsidR="00B23620" w:rsidRPr="0062402A">
        <w:rPr>
          <w:rFonts w:ascii="Calibri" w:hAnsi="Calibri" w:cs="Calibri"/>
          <w:sz w:val="24"/>
        </w:rPr>
        <w:t>(Kim, 2016; Mensch et al., 2019)</w:t>
      </w:r>
      <w:r w:rsidR="00E50280" w:rsidRPr="0062402A">
        <w:rPr>
          <w:sz w:val="24"/>
        </w:rPr>
        <w:fldChar w:fldCharType="end"/>
      </w:r>
      <w:r w:rsidR="00E50280" w:rsidRPr="0062402A">
        <w:rPr>
          <w:sz w:val="24"/>
        </w:rPr>
        <w:t>. Education’s impact at the societal level is associated with change in norms surrounding the timing of the initiation of marriage and childbearing, contraceptive use, and desired family size</w:t>
      </w:r>
      <w:r w:rsidR="001B1401">
        <w:rPr>
          <w:sz w:val="24"/>
        </w:rPr>
        <w:t xml:space="preserve"> </w:t>
      </w:r>
      <w:r w:rsidR="00E50280" w:rsidRPr="0062402A">
        <w:rPr>
          <w:sz w:val="24"/>
        </w:rPr>
        <w:fldChar w:fldCharType="begin"/>
      </w:r>
      <w:r w:rsidR="00423A94">
        <w:rPr>
          <w:sz w:val="24"/>
        </w:rPr>
        <w:instrText xml:space="preserve"> ADDIN ZOTERO_ITEM CSL_CITATION {"citationID":"SIpkVTt2","properties":{"formattedCitation":"(G\\uc0\\u246{}tmark &amp; Andersson, 2020; Lawson &amp; Mace, 2010)","plainCitation":"(Götmark &amp; Andersson, 2020; Lawson &amp; Mace, 2010)","noteIndex":0},"citationItems":[{"id":18428,"uris":["http://zotero.org/groups/2723676/items/8IWRIPHR"],"uri":["http://zotero.org/groups/2723676/items/8IWRIPHR"],"itemData":{"id":18428,"type":"article-journal","abstract":"The world population is expected to increase greatly this century, aggravating current problems related to climate, health, food security, biodiversity, energy and other vital resources. Population growth depends strongly on total fertility rate (TFR), but the relative importance of factors that influence fertility needs more study.","container-title":"BMC Public Health","DOI":"10.1186/s12889-020-8331-7","ISSN":"1471-2458","issue":"1","journalAbbreviation":"BMC Public Health","page":"265","source":"BioMed Central","title":"Human fertility in relation to education, economy, religion, contraception, and family planning programs","volume":"20","author":[{"family":"Götmark","given":"Frank"},{"family":"Andersson","given":"Malte"}],"issued":{"date-parts":[["2020",2,22]]}}},{"id":18027,"uris":["http://zotero.org/users/7220606/items/EJAXUDHI"],"uri":["http://zotero.org/users/7220606/items/EJAXUDHI"],"itemData":{"id":18027,"type":"article-journal","abstract":"Modern industrialized populations lack the strong positive correlations between wealth and reproductive success that characterize most traditional societies. While modernization has brought about substantial increases in personal wealth, fertility in many developed countries has plummeted to the lowest levels in recorded human history. These phenomena contradict evolutionary and economic models of the family that assume increasing wealth reduces resource competition between offspring, favoring high fertility norms. Here, we review the hypothesis that cultural modernization may in fact establish unusually intense reproductive trade-offs in wealthy relative to impoverished strata, favoring low fertility. We test this premise with British longitudinal data (the Avon Longitudinal Study of Parents and Children), exploring maternal self-perceptions of economic hardship in relation to increasing family size and actual socioeconomic status. Low-income and loweducation-level mothers perceived the greatest economic costs associated with raising two versus one offspring. However, for all further increases to family size, reproduction appears most expensive for relatively wealthy and well-educated mothers. We discuss our results and review current literature on the long-term consequences of resource dilution in modern families.","container-title":"Human Nature","DOI":"10.1007/s12110-010-9080-6","ISSN":"1045-6767, 1936-4776","issue":"1","journalAbbreviation":"Hum Nat","language":"en","page":"39-61","source":"DOI.org (Crossref)","title":"Optimizing Modern Family Size: Trade-offs between Fertility and the Economic Costs of Reproduction","title-short":"Optimizing Modern Family Size","volume":"21","author":[{"family":"Lawson","given":"David W."},{"family":"Mace","given":"Ruth"}],"issued":{"date-parts":[["2010",3]]}}}],"schema":"https://github.com/citation-style-language/schema/raw/master/csl-citation.json"} </w:instrText>
      </w:r>
      <w:r w:rsidR="00E50280" w:rsidRPr="0062402A">
        <w:rPr>
          <w:sz w:val="24"/>
        </w:rPr>
        <w:fldChar w:fldCharType="separate"/>
      </w:r>
      <w:r w:rsidR="00423A94" w:rsidRPr="00423A94">
        <w:rPr>
          <w:rFonts w:ascii="Calibri" w:hAnsi="Calibri" w:cs="Calibri"/>
          <w:sz w:val="24"/>
          <w:szCs w:val="24"/>
        </w:rPr>
        <w:t>(Götmark &amp; Andersson, 2020; Lawson &amp; Mace, 2010)</w:t>
      </w:r>
      <w:r w:rsidR="00E50280" w:rsidRPr="0062402A">
        <w:rPr>
          <w:sz w:val="24"/>
        </w:rPr>
        <w:fldChar w:fldCharType="end"/>
      </w:r>
      <w:r w:rsidR="00E50280" w:rsidRPr="0062402A">
        <w:rPr>
          <w:sz w:val="24"/>
        </w:rPr>
        <w:t xml:space="preserve">. Regardless of the mechanism, the statistical relationship between fertility and education is generally understood to be negative, explained by causation, heterogeneity, reverse causation, or endogenous association </w:t>
      </w:r>
      <w:r w:rsidR="00E50280" w:rsidRPr="0062402A">
        <w:rPr>
          <w:sz w:val="24"/>
        </w:rPr>
        <w:fldChar w:fldCharType="begin"/>
      </w:r>
      <w:r w:rsidR="00423A94">
        <w:rPr>
          <w:sz w:val="24"/>
        </w:rPr>
        <w:instrText xml:space="preserve"> ADDIN ZOTERO_ITEM CSL_CITATION {"citationID":"Fg2uvwju","properties":{"formattedCitation":"(G\\uc0\\u246{}tmark &amp; Andersson, 2020; Kim, 2016)","plainCitation":"(Götmark &amp; Andersson, 2020; Kim, 2016)","noteIndex":0},"citationItems":[{"id":18428,"uris":["http://zotero.org/groups/2723676/items/8IWRIPHR"],"uri":["http://zotero.org/groups/2723676/items/8IWRIPHR"],"itemData":{"id":18428,"type":"article-journal","abstract":"The world population is expected to increase greatly this century, aggravating current problems related to climate, health, food security, biodiversity, energy and other vital resources. Population growth depends strongly on total fertility rate (TFR), but the relative importance of factors that influence fertility needs more study.","container-title":"BMC Public Health","DOI":"10.1186/s12889-020-8331-7","ISSN":"1471-2458","issue":"1","journalAbbreviation":"BMC Public Health","page":"265","source":"BioMed Central","title":"Human fertility in relation to education, economy, religion, contraception, and family planning programs","volume":"20","author":[{"family":"Götmark","given":"Frank"},{"family":"Andersson","given":"Malte"}],"issued":{"date-parts":[["2020",2,22]]}}},{"id":18023,"uris":["http://zotero.org/users/7220606/items/85RTC9UF"],"uri":["http://zotero.org/users/7220606/items/85RTC9UF"],"itemData":{"id":18023,"type":"article-journal","abstract":"The relationship is more complex than one may think","container-title":"IZA World of Labor","DOI":"10.15185/izawol.228","language":"en-US","source":"wol.iza.org","title":"Female education and its impact on fertility","URL":"https://wol.iza.org/articles/female-education-and-its-impact-on-fertility/long","author":[{"family":"Kim","given":"Jungho"}],"accessed":{"date-parts":[["2021",5,1]]},"issued":{"date-parts":[["2016",2,1]]}}}],"schema":"https://github.com/citation-style-language/schema/raw/master/csl-citation.json"} </w:instrText>
      </w:r>
      <w:r w:rsidR="00E50280" w:rsidRPr="0062402A">
        <w:rPr>
          <w:sz w:val="24"/>
        </w:rPr>
        <w:fldChar w:fldCharType="separate"/>
      </w:r>
      <w:r w:rsidR="00423A94" w:rsidRPr="00423A94">
        <w:rPr>
          <w:rFonts w:ascii="Calibri" w:hAnsi="Calibri" w:cs="Calibri"/>
          <w:sz w:val="24"/>
          <w:szCs w:val="24"/>
        </w:rPr>
        <w:t>(Götmark &amp; Andersson, 2020; Kim, 2016)</w:t>
      </w:r>
      <w:r w:rsidR="00E50280" w:rsidRPr="0062402A">
        <w:rPr>
          <w:sz w:val="24"/>
        </w:rPr>
        <w:fldChar w:fldCharType="end"/>
      </w:r>
      <w:r w:rsidR="00E50280" w:rsidRPr="0062402A">
        <w:rPr>
          <w:sz w:val="24"/>
        </w:rPr>
        <w:t xml:space="preserve">. While the exact mechanism through which education affects fertility is not clear, especially given that both an individual’s education and the education system may play a role, it is clear that the socioeconomic environment is a key factor in educational and fertility choices and outcomes. </w:t>
      </w:r>
    </w:p>
    <w:p w14:paraId="0A0606CF" w14:textId="23C12DD2" w:rsidR="00E50280" w:rsidRPr="0062402A" w:rsidRDefault="00E50280" w:rsidP="00E50280">
      <w:pPr>
        <w:jc w:val="both"/>
        <w:rPr>
          <w:sz w:val="24"/>
        </w:rPr>
      </w:pPr>
      <w:r w:rsidRPr="0062402A">
        <w:rPr>
          <w:sz w:val="24"/>
        </w:rPr>
        <w:t xml:space="preserve">Women with more schooling and better education have lower fertility than less educated women for a number of reasons. They marry later; have fewer years of childbearing; have better knowledge of family planning; they have more autonomy to control their childbearing; and recognize the costs of additional children </w:t>
      </w:r>
      <w:r w:rsidRPr="0062402A">
        <w:rPr>
          <w:sz w:val="24"/>
        </w:rPr>
        <w:fldChar w:fldCharType="begin"/>
      </w:r>
      <w:r w:rsidR="00B23620" w:rsidRPr="0062402A">
        <w:rPr>
          <w:sz w:val="24"/>
        </w:rPr>
        <w:instrText xml:space="preserve"> ADDIN ZOTERO_ITEM CSL_CITATION {"citationID":"7ZeoEF9h","properties":{"formattedCitation":"(Psaki et al., 2019)","plainCitation":"(Psaki et al., 2019)","noteIndex":0},"citationItems":[{"id":18,"uris":["http://zotero.org/users/7220606/items/M2WZZ8PB"],"uri":["http://zotero.org/users/7220606/items/M2WZZ8PB"],"itemData":{"id":18,"type":"article-journal","abstract":"Background\nDespite strong theoretical grounding, important gaps in knowledge remain regarding the degree to which there is a causal relationship between education and sexual and reproductive health, as many claims have been made based on associations alone. Understanding the extent to which these relationships are causal is important both to inform investments in education and health, as well as to understand the mechanisms underlying these relationships.\nMethods\nWe conducted a systematic review of the evidence for a causal link between education and sexual and reproductive health (SRH) in low and middle-income countries. Education indicators included exposure to formal schooling and learning. SRH outcomes included: age at first sex, age at first marriage, age at first pregnancy/birth, contraceptive use, fertility, and HIV status and other sexually transmitted infections. When possible, we also conducted meta-analyses to estimate mean effects by outcome, and to understand sources of variation between studies.\nResults\nWe identified 35 papers that met our inclusion criteria. Although many of the studies report evidence of a causal relationship between education and one or more SRH outcomes, estimated effects are often small in magnitude. Our meta-analyses reveal mostly null mean effects, with the exception of small effects of increased grade attainment on lower fertility and HIV positive status. We also found inconsistent evidence supporting mechanisms linking education and SRH.\nConclusions\nThis review demonstrates that, although investments in schooling may have positive ripple effects for sexual and reproductive health in some circumstances, those effects may not be as large or consistent as expected. Further, our understanding of the circumstances in which schooling is most likely to improve SRH remains somewhat limited. An accurate picture of whether and when improvements in education lead to better health outcomes is essential for the achievement of global development goals.","container-title":"SSM - Population Health","DOI":"10.1016/j.ssmph.2019.100386","ISSN":"2352-8273","journalAbbreviation":"SSM - Population Health","language":"en","page":"100386","source":"ScienceDirect","title":"Causal effects of education on sexual and reproductive health in low and middle-income countries: A systematic review and meta-analysis","title-short":"Causal effects of education on sexual and reproductive health in low and middle-income countries","volume":"8","author":[{"family":"Psaki","given":"Stephanie R."},{"family":"Chuang","given":"Erica K."},{"family":"Melnikas","given":"Andrea J."},{"family":"Wilson","given":"David B."},{"family":"Mensch","given":"Barbara S."}],"issued":{"date-parts":[["2019",8,1]]}}}],"schema":"https://github.com/citation-style-language/schema/raw/master/csl-citation.json"} </w:instrText>
      </w:r>
      <w:r w:rsidRPr="0062402A">
        <w:rPr>
          <w:sz w:val="24"/>
        </w:rPr>
        <w:fldChar w:fldCharType="separate"/>
      </w:r>
      <w:r w:rsidR="00B23620" w:rsidRPr="0062402A">
        <w:rPr>
          <w:rFonts w:ascii="Calibri" w:hAnsi="Calibri" w:cs="Calibri"/>
          <w:sz w:val="24"/>
        </w:rPr>
        <w:t>(Psaki et al., 2019)</w:t>
      </w:r>
      <w:r w:rsidRPr="0062402A">
        <w:rPr>
          <w:sz w:val="24"/>
        </w:rPr>
        <w:fldChar w:fldCharType="end"/>
      </w:r>
      <w:r w:rsidRPr="0062402A">
        <w:rPr>
          <w:sz w:val="24"/>
        </w:rPr>
        <w:t xml:space="preserve">. As demonstrated through DHS data, formally educated girls make healthier sexual and reproductive decisions including but not limited to contraceptive use (USAID, 2014). As Campbell et al note, educating girls and women is important for their empowerment, allowing them to better discern information and make informed choices (Campbell et al, 2013). The effects are not limited to formal education as informal education, such as literacy programs and health education efforts can also influence health-related behaviour change (Murphy and Carr, 2007). Overall, </w:t>
      </w:r>
      <w:r w:rsidR="001B1401">
        <w:rPr>
          <w:sz w:val="24"/>
        </w:rPr>
        <w:t>an</w:t>
      </w:r>
      <w:r w:rsidR="001B1401" w:rsidRPr="0062402A">
        <w:rPr>
          <w:sz w:val="24"/>
        </w:rPr>
        <w:t xml:space="preserve"> </w:t>
      </w:r>
      <w:r w:rsidRPr="0062402A">
        <w:rPr>
          <w:sz w:val="24"/>
        </w:rPr>
        <w:t>educated woman has the potential for economic independence, is more self-reliant, and less susceptible to early marriage. Her values may become more closely aligned with modern institutions such as health care systems</w:t>
      </w:r>
      <w:r w:rsidR="001B1401">
        <w:rPr>
          <w:sz w:val="24"/>
        </w:rPr>
        <w:t>,</w:t>
      </w:r>
      <w:r w:rsidRPr="0062402A">
        <w:rPr>
          <w:sz w:val="24"/>
        </w:rPr>
        <w:t xml:space="preserve"> and education may improve her confidence and skill in accessing them </w:t>
      </w:r>
      <w:r w:rsidRPr="0062402A">
        <w:rPr>
          <w:sz w:val="24"/>
        </w:rPr>
        <w:fldChar w:fldCharType="begin"/>
      </w:r>
      <w:r w:rsidR="00B23620" w:rsidRPr="0062402A">
        <w:rPr>
          <w:sz w:val="24"/>
        </w:rPr>
        <w:instrText xml:space="preserve"> ADDIN ZOTERO_ITEM CSL_CITATION {"citationID":"1TdLdDk3","properties":{"formattedCitation":"(Psaki et al., 2019)","plainCitation":"(Psaki et al., 2019)","noteIndex":0},"citationItems":[{"id":18,"uris":["http://zotero.org/users/7220606/items/M2WZZ8PB"],"uri":["http://zotero.org/users/7220606/items/M2WZZ8PB"],"itemData":{"id":18,"type":"article-journal","abstract":"Background\nDespite strong theoretical grounding, important gaps in knowledge remain regarding the degree to which there is a causal relationship between education and sexual and reproductive health, as many claims have been made based on associations alone. Understanding the extent to which these relationships are causal is important both to inform investments in education and health, as well as to understand the mechanisms underlying these relationships.\nMethods\nWe conducted a systematic review of the evidence for a causal link between education and sexual and reproductive health (SRH) in low and middle-income countries. Education indicators included exposure to formal schooling and learning. SRH outcomes included: age at first sex, age at first marriage, age at first pregnancy/birth, contraceptive use, fertility, and HIV status and other sexually transmitted infections. When possible, we also conducted meta-analyses to estimate mean effects by outcome, and to understand sources of variation between studies.\nResults\nWe identified 35 papers that met our inclusion criteria. Although many of the studies report evidence of a causal relationship between education and one or more SRH outcomes, estimated effects are often small in magnitude. Our meta-analyses reveal mostly null mean effects, with the exception of small effects of increased grade attainment on lower fertility and HIV positive status. We also found inconsistent evidence supporting mechanisms linking education and SRH.\nConclusions\nThis review demonstrates that, although investments in schooling may have positive ripple effects for sexual and reproductive health in some circumstances, those effects may not be as large or consistent as expected. Further, our understanding of the circumstances in which schooling is most likely to improve SRH remains somewhat limited. An accurate picture of whether and when improvements in education lead to better health outcomes is essential for the achievement of global development goals.","container-title":"SSM - Population Health","DOI":"10.1016/j.ssmph.2019.100386","ISSN":"2352-8273","journalAbbreviation":"SSM - Population Health","language":"en","page":"100386","source":"ScienceDirect","title":"Causal effects of education on sexual and reproductive health in low and middle-income countries: A systematic review and meta-analysis","title-short":"Causal effects of education on sexual and reproductive health in low and middle-income countries","volume":"8","author":[{"family":"Psaki","given":"Stephanie R."},{"family":"Chuang","given":"Erica K."},{"family":"Melnikas","given":"Andrea J."},{"family":"Wilson","given":"David B."},{"family":"Mensch","given":"Barbara S."}],"issued":{"date-parts":[["2019",8,1]]}}}],"schema":"https://github.com/citation-style-language/schema/raw/master/csl-citation.json"} </w:instrText>
      </w:r>
      <w:r w:rsidRPr="0062402A">
        <w:rPr>
          <w:sz w:val="24"/>
        </w:rPr>
        <w:fldChar w:fldCharType="separate"/>
      </w:r>
      <w:r w:rsidR="00B23620" w:rsidRPr="0062402A">
        <w:rPr>
          <w:rFonts w:ascii="Calibri" w:hAnsi="Calibri" w:cs="Calibri"/>
          <w:sz w:val="24"/>
        </w:rPr>
        <w:t>(Psaki et al., 2019)</w:t>
      </w:r>
      <w:r w:rsidRPr="0062402A">
        <w:rPr>
          <w:sz w:val="24"/>
        </w:rPr>
        <w:fldChar w:fldCharType="end"/>
      </w:r>
      <w:r w:rsidRPr="0062402A">
        <w:rPr>
          <w:sz w:val="24"/>
        </w:rPr>
        <w:t xml:space="preserve">. </w:t>
      </w:r>
    </w:p>
    <w:p w14:paraId="243FE3D4" w14:textId="26F660BC" w:rsidR="00E50280" w:rsidRPr="0062402A" w:rsidRDefault="00E50280" w:rsidP="00E50280">
      <w:pPr>
        <w:jc w:val="both"/>
        <w:rPr>
          <w:sz w:val="24"/>
        </w:rPr>
      </w:pPr>
      <w:r w:rsidRPr="0062402A">
        <w:rPr>
          <w:sz w:val="24"/>
        </w:rPr>
        <w:t>Generally, education tends to be associated with later age at marriage and increased contraceptive use</w:t>
      </w:r>
      <w:r w:rsidR="001B1401">
        <w:rPr>
          <w:sz w:val="24"/>
        </w:rPr>
        <w:t>,</w:t>
      </w:r>
      <w:r w:rsidRPr="0062402A">
        <w:rPr>
          <w:sz w:val="24"/>
        </w:rPr>
        <w:t xml:space="preserve"> but these individual behavioral choices are not possible unless accompanied with an enabling social, political, cultural, and economic environment </w:t>
      </w:r>
      <w:r w:rsidRPr="0062402A">
        <w:rPr>
          <w:rFonts w:ascii="Calibri" w:hAnsi="Calibri" w:cs="Calibri"/>
          <w:sz w:val="24"/>
        </w:rPr>
        <w:t>(Mutumba, Wekesa, and Stephenson 2018)</w:t>
      </w:r>
      <w:r w:rsidRPr="0062402A">
        <w:rPr>
          <w:sz w:val="24"/>
        </w:rPr>
        <w:t xml:space="preserve">. The presence or absence of mass education for girls and women (and </w:t>
      </w:r>
      <w:r w:rsidR="00603FE9">
        <w:rPr>
          <w:sz w:val="24"/>
        </w:rPr>
        <w:t>the resulting economic and social benefits</w:t>
      </w:r>
      <w:r w:rsidRPr="0062402A">
        <w:rPr>
          <w:sz w:val="24"/>
        </w:rPr>
        <w:t>); the quality and accessibility of family planning programs; and gainful employment opportunities for women, are all linked to fertility outcomes and cannot be overlooked when considering the effects of education</w:t>
      </w:r>
      <w:r w:rsidR="000B30F1">
        <w:rPr>
          <w:sz w:val="24"/>
        </w:rPr>
        <w:t xml:space="preserve"> </w:t>
      </w:r>
      <w:r w:rsidR="000B30F1">
        <w:rPr>
          <w:sz w:val="24"/>
        </w:rPr>
        <w:fldChar w:fldCharType="begin"/>
      </w:r>
      <w:r w:rsidR="000B30F1">
        <w:rPr>
          <w:sz w:val="24"/>
        </w:rPr>
        <w:instrText xml:space="preserve"> ADDIN ZOTERO_ITEM CSL_CITATION {"citationID":"36CcWenT","properties":{"formattedCitation":"(Walter et al., 2021)","plainCitation":"(Walter et al., 2021)","noteIndex":0},"citationItems":[{"id":18466,"uris":["http://zotero.org/groups/2723676/items/RW8EMA9L"],"uri":["http://zotero.org/groups/2723676/items/RW8EMA9L"],"itemData":{"id":18466,"type":"book","collection-title":"Encyclopedia of the UN Sustainable Development Goals","event-place":"Cham","ISBN":"978-3-319-95686-2","language":"en","note":"DOI: 10.1007/978-3-319-95687-9","publisher":"Springer International Publishing","publisher-place":"Cham","source":"DOI.org (Crossref)","title":"Gender Equality","URL":"http://link.springer.com/10.1007/978-3-319-95687-9","editor":[{"family":"Walter","given":"Leal Filho"},{"family":"Marisa Azul","given":"Anabela"},{"family":"Brandli","given":"Luciana"},{"family":"Lange Salvia","given":"Amanda"},{"family":"Wall","given":"Tony"}],"accessed":{"date-parts":[["2021",8,1]]},"issued":{"date-parts":[["2021"]]}}}],"schema":"https://github.com/citation-style-language/schema/raw/master/csl-citation.json"} </w:instrText>
      </w:r>
      <w:r w:rsidR="000B30F1">
        <w:rPr>
          <w:sz w:val="24"/>
        </w:rPr>
        <w:fldChar w:fldCharType="separate"/>
      </w:r>
      <w:r w:rsidR="000B30F1" w:rsidRPr="000B30F1">
        <w:rPr>
          <w:rFonts w:ascii="Calibri" w:hAnsi="Calibri" w:cs="Calibri"/>
          <w:sz w:val="24"/>
        </w:rPr>
        <w:t>(Walter et al., 2021)</w:t>
      </w:r>
      <w:r w:rsidR="000B30F1">
        <w:rPr>
          <w:sz w:val="24"/>
        </w:rPr>
        <w:fldChar w:fldCharType="end"/>
      </w:r>
      <w:r w:rsidRPr="0062402A">
        <w:rPr>
          <w:sz w:val="24"/>
        </w:rPr>
        <w:t xml:space="preserve">. </w:t>
      </w:r>
    </w:p>
    <w:p w14:paraId="4214116F" w14:textId="297F088C" w:rsidR="00E50280" w:rsidRPr="00BF048C" w:rsidRDefault="00E50280" w:rsidP="00E50280">
      <w:pPr>
        <w:jc w:val="both"/>
        <w:rPr>
          <w:sz w:val="24"/>
        </w:rPr>
      </w:pPr>
      <w:r w:rsidRPr="0062402A">
        <w:rPr>
          <w:sz w:val="24"/>
        </w:rPr>
        <w:t xml:space="preserve">Research tells us that women with just a few years of primary schooling are unlikely to experience fertility decline as a direct result of that education; however, fertility declines often occur among women with some secondary education </w:t>
      </w:r>
      <w:r w:rsidRPr="0062402A">
        <w:rPr>
          <w:sz w:val="24"/>
        </w:rPr>
        <w:fldChar w:fldCharType="begin"/>
      </w:r>
      <w:r w:rsidR="00B23620" w:rsidRPr="0062402A">
        <w:rPr>
          <w:sz w:val="24"/>
        </w:rPr>
        <w:instrText xml:space="preserve"> ADDIN ZOTERO_ITEM CSL_CITATION {"citationID":"HqD7qtZV","properties":{"formattedCitation":"(Mensch et al., 2019; Psaki et al., 2019)","plainCitation":"(Mensch et al., 2019; Psaki et al., 2019)","noteIndex":0},"citationItems":[{"id":17,"uris":["http://zotero.org/users/7220606/items/PVUHR5P9"],"uri":["http://zotero.org/users/7220606/items/PVUHR5P9"],"itemData":{"id":17,"type":"article-journal","abstract":"Objective Numerous studies have documented an inverse association between years of schooling attained, particularly by women, and reduced maternal, infant and child mortality. However, if factors affecting educational attainment — many of which are unobservable, e.g. motivation and genetic endowment — also affect the likelihood of engaging in behaviours that enhance health, then assumed effects of schooling will be inflated in analyses that do not address this endogeneity. This systematic review assesses evidence for a causal link between education and maternal and child health in low and middle-income countries. Methods Eligible studies controlled for observable and unobservable factors affecting both education and health. Reported effects were converted into partial correlations. When possible, we also conducted meta-analyses to estimate mean effects by outcome. Results Of 4952 papers identified, 16 met the inclusion criteria. The 15 child health papers examined neonatal, infant and child mortality, stunting and wasting. Significant effects of education on infant and child health were observed for 30 of 33 models that did not account for endogeneity. In contrast, only 18 of 46 effects were significant in models that addressed endogeneity. Notably, for only one outcome —child mortality measured dichotomously —was the effect of maternal educational attainment significant in a meta-analysis. The one maternal morbidity paper found significant effects for the two preventable outcomes considered. Conclusion While we find evidence for a causal link between education and health, effects are weaker in models that address endogeneity compared to naïve models that do not account for unobservable factors affecting both education and health. Advances in women's educational outcomes have undoubtedly played a role in improving health in many settings; however, the effect is not as strong as some researchers and advocates have claimed.","container-title":"Tropical Medicine &amp; International Health","DOI":"https://doi.org/10.1111/tmi.13218","ISSN":"1365-3156","issue":"5","language":"en","page":"504-522","source":"Wiley Online Library","title":"Evidence for causal links between education and maternal and child health: systematic review","title-short":"Evidence for causal links between education and maternal and child health","volume":"24","author":[{"family":"Mensch","given":"Barbara S."},{"family":"Chuang","given":"Erica K."},{"family":"Melnikas","given":"Andrea J."},{"family":"Psaki","given":"Stephanie R."}],"issued":{"date-parts":[["2019"]]}}},{"id":18,"uris":["http://zotero.org/users/7220606/items/M2WZZ8PB"],"uri":["http://zotero.org/users/7220606/items/M2WZZ8PB"],"itemData":{"id":18,"type":"article-journal","abstract":"Background\nDespite strong theoretical grounding, important gaps in knowledge remain regarding the degree to which there is a causal relationship between education and sexual and reproductive health, as many claims have been made based on associations alone. Understanding the extent to which these relationships are causal is important both to inform investments in education and health, as well as to understand the mechanisms underlying these relationships.\nMethods\nWe conducted a systematic review of the evidence for a causal link between education and sexual and reproductive health (SRH) in low and middle-income countries. Education indicators included exposure to formal schooling and learning. SRH outcomes included: age at first sex, age at first marriage, age at first pregnancy/birth, contraceptive use, fertility, and HIV status and other sexually transmitted infections. When possible, we also conducted meta-analyses to estimate mean effects by outcome, and to understand sources of variation between studies.\nResults\nWe identified 35 papers that met our inclusion criteria. Although many of the studies report evidence of a causal relationship between education and one or more SRH outcomes, estimated effects are often small in magnitude. Our meta-analyses reveal mostly null mean effects, with the exception of small effects of increased grade attainment on lower fertility and HIV positive status. We also found inconsistent evidence supporting mechanisms linking education and SRH.\nConclusions\nThis review demonstrates that, although investments in schooling may have positive ripple effects for sexual and reproductive health in some circumstances, those effects may not be as large or consistent as expected. Further, our understanding of the circumstances in which schooling is most likely to improve SRH remains somewhat limited. An accurate picture of whether and when improvements in education lead to better health outcomes is essential for the achievement of global development goals.","container-title":"SSM - Population Health","DOI":"10.1016/j.ssmph.2019.100386","ISSN":"2352-8273","journalAbbreviation":"SSM - Population Health","language":"en","page":"100386","source":"ScienceDirect","title":"Causal effects of education on sexual and reproductive health in low and middle-income countries: A systematic review and meta-analysis","title-short":"Causal effects of education on sexual and reproductive health in low and middle-income countries","volume":"8","author":[{"family":"Psaki","given":"Stephanie R."},{"family":"Chuang","given":"Erica K."},{"family":"Melnikas","given":"Andrea J."},{"family":"Wilson","given":"David B."},{"family":"Mensch","given":"Barbara S."}],"issued":{"date-parts":[["2019",8,1]]}}}],"schema":"https://github.com/citation-style-language/schema/raw/master/csl-citation.json"} </w:instrText>
      </w:r>
      <w:r w:rsidRPr="0062402A">
        <w:rPr>
          <w:sz w:val="24"/>
        </w:rPr>
        <w:fldChar w:fldCharType="separate"/>
      </w:r>
      <w:r w:rsidR="00B23620" w:rsidRPr="0062402A">
        <w:rPr>
          <w:rFonts w:ascii="Calibri" w:hAnsi="Calibri" w:cs="Calibri"/>
          <w:sz w:val="24"/>
        </w:rPr>
        <w:t>(Mensch et al., 2019; Psaki et al., 2019)</w:t>
      </w:r>
      <w:r w:rsidRPr="0062402A">
        <w:rPr>
          <w:sz w:val="24"/>
        </w:rPr>
        <w:fldChar w:fldCharType="end"/>
      </w:r>
      <w:r w:rsidRPr="0062402A">
        <w:rPr>
          <w:sz w:val="24"/>
        </w:rPr>
        <w:t xml:space="preserve">. Furthermore, the less developed the country, the more years of education are required to affect fertility and related indicators, which support the argument about the role of contextual factors in fertility change </w:t>
      </w:r>
      <w:r w:rsidRPr="0062402A">
        <w:rPr>
          <w:sz w:val="24"/>
        </w:rPr>
        <w:fldChar w:fldCharType="begin"/>
      </w:r>
      <w:r w:rsidR="00400318">
        <w:rPr>
          <w:sz w:val="24"/>
        </w:rPr>
        <w:instrText xml:space="preserve"> ADDIN ZOTERO_ITEM CSL_CITATION {"citationID":"UhmfiLGQ","properties":{"formattedCitation":"(T. Anderson &amp; Kohler, 2015; Bonneuil, 1990; Kim, 2016)","plainCitation":"(T. Anderson &amp; Kohler, 2015; Bonneuil, 1990; Kim, 2016)","noteIndex":0},"citationItems":[{"id":18006,"uris":["http://zotero.org/users/7220606/items/SPR2RWY9"],"uri":["http://zotero.org/users/7220606/items/SPR2RWY9"],"itemData":{"id":18006,"type":"article-journal","abstract":"While new empirical findings and theoretical frameworks provide insight into the interrelations between socioeconomic development, gender equity, and low fertility, puzzling exceptions and outliers in these findings call for a more all-encompassing framework to understand the interplay between these processes. We argue that the pace and onset of development are two important factors to be considered when analyzing gender equity and fertility. Within the developed world, “first-wave developers”—or countries that began socioeconomic development in the 19th/early 20th century – currently have much higher fertility levels than “late developers”. We lay out a novel theoretical approach to explain why this is the case and provide empirical evidence to support our argument. Our approach not only explains historical periods of low fertility but also sheds light on why there exists such large variance in fertility rates among today’s developed countries.","container-title":"Population and development review","DOI":"10.1111/j.1728-4457.2015.00065.x","ISSN":"0098-7921","issue":"3","journalAbbreviation":"Popul Dev Rev","note":"PMID: 26526031\nPMCID: PMC4623596","page":"381-407","source":"PubMed Central","title":"Low Fertility, Socioeconomic Development, and Gender Equity","volume":"41","author":[{"family":"Anderson","given":"Thomas"},{"family":"Kohler","given":"Hans-Peter"}],"issued":{"date-parts":[["2015",9]]}}},{"id":18039,"uris":["http://zotero.org/users/7220606/items/MLJN5PRF"],"uri":["http://zotero.org/users/7220606/items/MLJN5PRF"],"itemData":{"id":18039,"type":"article-journal","abstract":"Mathematics provides an ideal means of transposing structures from one field to another. It makes it possible to view the sometimes banal reality of population figures in a different light. It can establish new links, launch out into unexpected directions, associate phenomena which would a priori seem remote from one another. By discerning common structures, it can strengthen the conceptual foundations on which demography is built, and by opening up new paths of investigation, it can stimulate our imagination. The article by Noel Bonneuil illustrates this point. Following recent studies in the fields of vector topology and catastrophe theory, he shows how new ways of representing changes in fertility can reveal the existence of distinct fertility regimes (\"attractors\") between which the population can move rapidly.","container-title":"Population: An English Selection","ISSN":"1169-1018","note":"publisher: Institut National d'Études Démographiques","page":"69-91","source":"JSTOR","title":"Contextual and Structural Factors in Fertility Behaviour","volume":"2","author":[{"family":"Bonneuil","given":"Noel"}],"issued":{"date-parts":[["1990"]]}}},{"id":18023,"uris":["http://zotero.org/users/7220606/items/85RTC9UF"],"uri":["http://zotero.org/users/7220606/items/85RTC9UF"],"itemData":{"id":18023,"type":"article-journal","abstract":"The relationship is more complex than one may think","container-title":"IZA World of Labor","DOI":"10.15185/izawol.228","language":"en-US","source":"wol.iza.org","title":"Female education and its impact on fertility","URL":"https://wol.iza.org/articles/female-education-and-its-impact-on-fertility/long","author":[{"family":"Kim","given":"Jungho"}],"accessed":{"date-parts":[["2021",5,1]]},"issued":{"date-parts":[["2016",2,1]]}}}],"schema":"https://github.com/citation-style-language/schema/raw/master/csl-citation.json"} </w:instrText>
      </w:r>
      <w:r w:rsidRPr="0062402A">
        <w:rPr>
          <w:sz w:val="24"/>
        </w:rPr>
        <w:fldChar w:fldCharType="separate"/>
      </w:r>
      <w:r w:rsidR="00400318" w:rsidRPr="00400318">
        <w:rPr>
          <w:rFonts w:ascii="Calibri" w:hAnsi="Calibri" w:cs="Calibri"/>
          <w:sz w:val="24"/>
        </w:rPr>
        <w:t>(T. Anderson &amp; Kohler, 2015; Bonneuil, 1990; Kim, 2016)</w:t>
      </w:r>
      <w:r w:rsidRPr="0062402A">
        <w:rPr>
          <w:sz w:val="24"/>
        </w:rPr>
        <w:fldChar w:fldCharType="end"/>
      </w:r>
      <w:r w:rsidRPr="0062402A">
        <w:rPr>
          <w:sz w:val="24"/>
        </w:rPr>
        <w:t>.</w:t>
      </w:r>
      <w:r w:rsidRPr="00BF048C">
        <w:rPr>
          <w:sz w:val="24"/>
        </w:rPr>
        <w:t xml:space="preserve"> </w:t>
      </w:r>
    </w:p>
    <w:p w14:paraId="36E6FD46" w14:textId="77777777" w:rsidR="00E50280" w:rsidRDefault="00E50280" w:rsidP="00E50280">
      <w:pPr>
        <w:pStyle w:val="Heading3"/>
      </w:pPr>
      <w:bookmarkStart w:id="8" w:name="_Toc71702071"/>
      <w:bookmarkStart w:id="9" w:name="_Toc74154030"/>
      <w:r>
        <w:lastRenderedPageBreak/>
        <w:t>Access to voluntary family planning services</w:t>
      </w:r>
      <w:bookmarkEnd w:id="8"/>
      <w:bookmarkEnd w:id="9"/>
      <w:r w:rsidRPr="00D84A27">
        <w:t xml:space="preserve"> </w:t>
      </w:r>
    </w:p>
    <w:p w14:paraId="568F44EA" w14:textId="1C8CFA3B" w:rsidR="00E50280" w:rsidRPr="00BF048C" w:rsidRDefault="00E50280" w:rsidP="00E50280">
      <w:pPr>
        <w:jc w:val="both"/>
        <w:rPr>
          <w:sz w:val="24"/>
        </w:rPr>
      </w:pPr>
      <w:r w:rsidRPr="004B5900">
        <w:rPr>
          <w:sz w:val="24"/>
        </w:rPr>
        <w:t>In most regions around the world and for most of human history, large families (7 to 8 live births) have been the default. Global population remained relatively stable since mortality rates were very high and only about two children per couple survived long enough to procreate</w:t>
      </w:r>
      <w:r w:rsidR="004B5900" w:rsidRPr="004B5900">
        <w:rPr>
          <w:sz w:val="24"/>
        </w:rPr>
        <w:fldChar w:fldCharType="begin"/>
      </w:r>
      <w:r w:rsidR="00F06281">
        <w:rPr>
          <w:sz w:val="24"/>
        </w:rPr>
        <w:instrText xml:space="preserve"> ADDIN ZOTERO_ITEM CSL_CITATION {"citationID":"MAMoP0l8","properties":{"formattedCitation":"(Bongaarts, 2009)","plainCitation":"(Bongaarts, 2009)","dontUpdate":true,"noteIndex":0},"citationItems":[{"id":18155,"uris":["http://zotero.org/users/7220606/items/BVJBDCSF"],"uri":["http://zotero.org/users/7220606/items/BVJBDCSF"],"itemData":{"id":18155,"type":"article-journal","abstract":"The world and most regions and countries are experiencing unprecedentedly rapid demographic change. The most obvious example of this change is the huge expansion of human numbers: four billion have been added since 1950. Projections for the next half century expect a highly divergent world, with stagnation or potential decline in parts of the developed world and continued rapid growth in the least developed regions. Other demographic processes are also undergoing extraordinary change: women's fertility has dropped rapidly and life expectancy has risen to new highs. Past trends in fertility and mortality have led to very young populations in high fertility countries in the developing world and to increasingly older populations in the developed world. Contemporary societies are now at very different stages of their demographic transitions. This paper summarizes key trends in population size, fertility and mortality, and age structures during these transitions. The focus is on the century from 1950 to 2050, which covers the period of most rapid global demographic transformation.","container-title":"Philosophical Transactions of the Royal Society B: Biological Sciences","DOI":"10.1098/rstb.2009.0137","ISSN":"0962-8436","issue":"1532","journalAbbreviation":"Philos Trans R Soc Lond B Biol Sci","note":"PMID: 19770150\nPMCID: PMC2781829","page":"2985-2990","source":"PubMed Central","title":"Human population growth and the demographic transition","volume":"364","author":[{"family":"Bongaarts","given":"John"}],"issued":{"date-parts":[["2009",10,27]]}}}],"schema":"https://github.com/citation-style-language/schema/raw/master/csl-citation.json"} </w:instrText>
      </w:r>
      <w:r w:rsidR="004B5900" w:rsidRPr="004B5900">
        <w:rPr>
          <w:sz w:val="24"/>
        </w:rPr>
        <w:fldChar w:fldCharType="separate"/>
      </w:r>
      <w:r w:rsidR="004B5900" w:rsidRPr="004B5900">
        <w:rPr>
          <w:sz w:val="24"/>
        </w:rPr>
        <w:t xml:space="preserve"> </w:t>
      </w:r>
      <w:r w:rsidR="004B5900" w:rsidRPr="004B5900">
        <w:rPr>
          <w:rFonts w:ascii="Calibri" w:hAnsi="Calibri" w:cs="Calibri"/>
          <w:sz w:val="24"/>
        </w:rPr>
        <w:t>(Bongaarts, 2009)</w:t>
      </w:r>
      <w:r w:rsidR="004B5900" w:rsidRPr="004B5900">
        <w:rPr>
          <w:sz w:val="24"/>
        </w:rPr>
        <w:fldChar w:fldCharType="end"/>
      </w:r>
      <w:r w:rsidRPr="004B5900">
        <w:rPr>
          <w:sz w:val="24"/>
        </w:rPr>
        <w:t>. Although birth control can be traced all the way back to 1500 BC, it wasn’t until relatively recently that men and women had access to reliable contraceptive methods that could effectively prevent intercourse from resulting in pregnancy</w:t>
      </w:r>
      <w:r w:rsidR="004B5900" w:rsidRPr="004B5900">
        <w:rPr>
          <w:sz w:val="24"/>
        </w:rPr>
        <w:t xml:space="preserve"> </w:t>
      </w:r>
      <w:r w:rsidR="004B5900" w:rsidRPr="004B5900">
        <w:rPr>
          <w:sz w:val="24"/>
        </w:rPr>
        <w:fldChar w:fldCharType="begin"/>
      </w:r>
      <w:r w:rsidR="004B5900" w:rsidRPr="004B5900">
        <w:rPr>
          <w:sz w:val="24"/>
        </w:rPr>
        <w:instrText xml:space="preserve"> ADDIN ZOTERO_ITEM CSL_CITATION {"citationID":"n2lHWX7l","properties":{"formattedCitation":"(Benagiano et al., 2007)","plainCitation":"(Benagiano et al., 2007)","noteIndex":0},"citationItems":[{"id":18158,"uris":["http://zotero.org/users/7220606/items/PKANQ2F7"],"uri":["http://zotero.org/users/7220606/items/PKANQ2F7"],"itemData":{"id":18158,"type":"article-journal","abstract":"Modern contraceptive technology is more than a technical advance: it has brought about a true social revolution, the ‘first reproductive revolution’ in the history of mankind. This latter was followed in rapid succession by other major changes in human reproductive strategies. In the human species, sexual activity began to lose its exclusive reproductive meaning at an early stage of its evolution. Human beings must have practiced non-conceptive sex from the outset and therefore must have had a need to avoid, rather than to seek conception during intercourse from time immemorial. The search for methods to control fertility went on for millennia, but a valid solution was only found during the twentieth century, when the population explosion had forever changed the shape of humanity: in only one century the total population of the planet had grown from some 1.6 billion to more than 6 billion. That increase will remain unique in the history of Homo sapiens. At the global level, contraception provided a tool to deal with overpopulation and, in only 50 years, went a long way towards its resolution. However, to solve the problem, national and international family planning initiatives were required. For individuals, contraception also meant a revolution. It allowed sexual intercourse without reproduction. Only 25 years later, in vitro fertilisation permitted childbearing without sexual intercourse. Other advances followed and now cloning, that is, reproduction without the two gametes, looms on the horizon. Such a series of rapid, major changes in human reproductive strategies has confused many. For this reason, a constructive dialogue between sociology and biology is mandatory. Contraception is a powerful tool to promote equity between sexes; it improves women's status in the family and in the community. Avoiding pregnancy during the teens increases opportunities for a young woman's education, training and employment. By controlling their fertility, women get a chance to contribute economically to their household, which in turn may give them a greater share in decision-making. There are other specific areas in which contraception has produced beneficial social effects, first and foremost in reducing the need for induced abortion. It has also helped avoiding sexually-transmitted infections and is a very useful tool for educating youngsters to adopt more responsible sexual behaviors. Interventions in the field of family planning are among the most cost-effective health interventions.","container-title":"The European Journal of Contraception &amp; Reproductive Health Care","DOI":"10.1080/13625180601012311","ISSN":"1362-5187","issue":"1","note":"publisher: Taylor &amp; Francis\n_eprint: https://doi.org/10.1080/13625180601012311\nPMID: 17455038","page":"3-12","source":"Taylor and Francis+NEJM","title":"Contraception: A social revolution","title-short":"Contraception","volume":"12","author":[{"family":"Benagiano","given":"Giuseppe"},{"family":"Bastianelli","given":"Carlo"},{"family":"Farris","given":"Manuela"}],"issued":{"date-parts":[["2007",1,1]]}}}],"schema":"https://github.com/citation-style-language/schema/raw/master/csl-citation.json"} </w:instrText>
      </w:r>
      <w:r w:rsidR="004B5900" w:rsidRPr="004B5900">
        <w:rPr>
          <w:sz w:val="24"/>
        </w:rPr>
        <w:fldChar w:fldCharType="separate"/>
      </w:r>
      <w:r w:rsidR="004B5900" w:rsidRPr="004B5900">
        <w:rPr>
          <w:rFonts w:ascii="Calibri" w:hAnsi="Calibri" w:cs="Calibri"/>
          <w:sz w:val="24"/>
        </w:rPr>
        <w:t>(Benagiano et al., 2007)</w:t>
      </w:r>
      <w:r w:rsidR="004B5900" w:rsidRPr="004B5900">
        <w:rPr>
          <w:sz w:val="24"/>
        </w:rPr>
        <w:fldChar w:fldCharType="end"/>
      </w:r>
      <w:r w:rsidRPr="004B5900">
        <w:rPr>
          <w:sz w:val="24"/>
        </w:rPr>
        <w:t>. This lack of reliable contraception and modern medicine’s success in increasing life spans, led to a population explosion in the 19th century. However, in much of the high and middle income countries family planning use has increased, birth</w:t>
      </w:r>
      <w:r w:rsidRPr="00BF048C">
        <w:rPr>
          <w:sz w:val="24"/>
        </w:rPr>
        <w:t xml:space="preserve"> rates have fallen, and population growth has slowed (Bongaarts, 2009). Despite this slowed population growth in developed countries, birth rates remain high in much of the developing world, particularly in sub-Saharan Africa</w:t>
      </w:r>
      <w:r w:rsidR="00BD6727">
        <w:rPr>
          <w:sz w:val="24"/>
        </w:rPr>
        <w:t xml:space="preserve"> (SSA)</w:t>
      </w:r>
      <w:r w:rsidRPr="00BF048C">
        <w:rPr>
          <w:sz w:val="24"/>
        </w:rPr>
        <w:t xml:space="preserve">. To slow this growth, access to and </w:t>
      </w:r>
      <w:r w:rsidR="00603FE9">
        <w:rPr>
          <w:sz w:val="24"/>
        </w:rPr>
        <w:t>uptake of</w:t>
      </w:r>
      <w:r w:rsidRPr="00BF048C">
        <w:rPr>
          <w:sz w:val="24"/>
        </w:rPr>
        <w:t xml:space="preserve"> family planning</w:t>
      </w:r>
      <w:r w:rsidR="00603FE9">
        <w:rPr>
          <w:sz w:val="24"/>
        </w:rPr>
        <w:t>, reproductive health services</w:t>
      </w:r>
      <w:r w:rsidRPr="00BF048C">
        <w:rPr>
          <w:sz w:val="24"/>
        </w:rPr>
        <w:t xml:space="preserve"> and information must be improved. </w:t>
      </w:r>
    </w:p>
    <w:p w14:paraId="5153A0B8" w14:textId="3DB9936F" w:rsidR="00E50280" w:rsidRPr="001162BF" w:rsidRDefault="00E50280" w:rsidP="00E50280">
      <w:pPr>
        <w:jc w:val="both"/>
        <w:rPr>
          <w:sz w:val="24"/>
        </w:rPr>
      </w:pPr>
      <w:r w:rsidRPr="001162BF">
        <w:rPr>
          <w:sz w:val="24"/>
        </w:rPr>
        <w:t>Voluntary family planning</w:t>
      </w:r>
      <w:r w:rsidR="00163104" w:rsidRPr="001162BF">
        <w:rPr>
          <w:sz w:val="24"/>
        </w:rPr>
        <w:t>, through the use of contraceptive methods,</w:t>
      </w:r>
      <w:r w:rsidRPr="001162BF">
        <w:rPr>
          <w:sz w:val="24"/>
        </w:rPr>
        <w:t xml:space="preserve"> is the practice of controlling the timing, spacing and number of children in a family to limit the number of unintended or unwanted pregnancies</w:t>
      </w:r>
      <w:r w:rsidR="004B5900" w:rsidRPr="001162BF">
        <w:rPr>
          <w:sz w:val="24"/>
        </w:rPr>
        <w:t xml:space="preserve"> </w:t>
      </w:r>
      <w:r w:rsidR="004B5900" w:rsidRPr="001162BF">
        <w:rPr>
          <w:sz w:val="24"/>
        </w:rPr>
        <w:fldChar w:fldCharType="begin"/>
      </w:r>
      <w:r w:rsidR="004B5900" w:rsidRPr="001162BF">
        <w:rPr>
          <w:sz w:val="24"/>
        </w:rPr>
        <w:instrText xml:space="preserve"> ADDIN ZOTERO_ITEM CSL_CITATION {"citationID":"OueTOYmw","properties":{"formattedCitation":"(World Health Organization, 2020)","plainCitation":"(World Health Organization, 2020)","noteIndex":0},"citationItems":[{"id":18152,"uris":["http://zotero.org/users/7220606/items/ZJHGH583"],"uri":["http://zotero.org/users/7220606/items/ZJHGH583"],"itemData":{"id":18152,"type":"webpage","title":"Family planning/contraception methods","URL":"https://www.who.int/news-room/fact-sheets/detail/family-planning-contraception","author":[{"family":"World Health Organization","given":""}],"accessed":{"date-parts":[["2021",5,23]]},"issued":{"date-parts":[["2020"]]}}}],"schema":"https://github.com/citation-style-language/schema/raw/master/csl-citation.json"} </w:instrText>
      </w:r>
      <w:r w:rsidR="004B5900" w:rsidRPr="001162BF">
        <w:rPr>
          <w:sz w:val="24"/>
        </w:rPr>
        <w:fldChar w:fldCharType="separate"/>
      </w:r>
      <w:r w:rsidR="004B5900" w:rsidRPr="001162BF">
        <w:rPr>
          <w:rFonts w:ascii="Calibri" w:hAnsi="Calibri" w:cs="Calibri"/>
          <w:sz w:val="24"/>
        </w:rPr>
        <w:t>(World Health Organization, 2020)</w:t>
      </w:r>
      <w:r w:rsidR="004B5900" w:rsidRPr="001162BF">
        <w:rPr>
          <w:sz w:val="24"/>
        </w:rPr>
        <w:fldChar w:fldCharType="end"/>
      </w:r>
      <w:r w:rsidRPr="001162BF">
        <w:rPr>
          <w:sz w:val="24"/>
        </w:rPr>
        <w:t xml:space="preserve">. </w:t>
      </w:r>
      <w:r w:rsidR="00163104" w:rsidRPr="001162BF">
        <w:rPr>
          <w:sz w:val="24"/>
        </w:rPr>
        <w:t>Contraceptive methods are</w:t>
      </w:r>
      <w:r w:rsidRPr="001162BF">
        <w:rPr>
          <w:sz w:val="24"/>
        </w:rPr>
        <w:t xml:space="preserve"> divided into two main categories: </w:t>
      </w:r>
      <w:r w:rsidR="00163104" w:rsidRPr="001162BF">
        <w:rPr>
          <w:sz w:val="24"/>
        </w:rPr>
        <w:t xml:space="preserve">traditional and </w:t>
      </w:r>
      <w:r w:rsidRPr="001162BF">
        <w:rPr>
          <w:sz w:val="24"/>
        </w:rPr>
        <w:t>modern methods</w:t>
      </w:r>
      <w:r w:rsidR="00163104" w:rsidRPr="001162BF">
        <w:rPr>
          <w:sz w:val="24"/>
        </w:rPr>
        <w:t xml:space="preserve">, which are </w:t>
      </w:r>
      <w:r w:rsidRPr="001162BF">
        <w:rPr>
          <w:sz w:val="24"/>
        </w:rPr>
        <w:t xml:space="preserve">then further </w:t>
      </w:r>
      <w:r w:rsidR="00163104" w:rsidRPr="001162BF">
        <w:rPr>
          <w:sz w:val="24"/>
        </w:rPr>
        <w:t>categorized into short-term and long-term methods</w:t>
      </w:r>
      <w:r w:rsidRPr="001162BF">
        <w:rPr>
          <w:sz w:val="24"/>
        </w:rPr>
        <w:t>. Modern methods include barrier, hormonal, surgical and other such bio-medical approaches. Natural methods such as lactational amenorrhea method (LAM, i.e. fertility suppression due to breastfeeding), periodic abstinence, withdrawal and fertility awareness are typically thought of as traditional methods. Short-term methods include the pill, condoms and the vaginal ring; long-term reversible methods include injectables, implants, intrauterine devices (IUDs); and permanent methods include male and female sterilization</w:t>
      </w:r>
      <w:r w:rsidR="00163104" w:rsidRPr="001162BF">
        <w:rPr>
          <w:sz w:val="24"/>
        </w:rPr>
        <w:t xml:space="preserve"> </w:t>
      </w:r>
      <w:r w:rsidR="00163104" w:rsidRPr="001162BF">
        <w:rPr>
          <w:sz w:val="24"/>
        </w:rPr>
        <w:fldChar w:fldCharType="begin"/>
      </w:r>
      <w:r w:rsidR="00163104" w:rsidRPr="001162BF">
        <w:rPr>
          <w:sz w:val="24"/>
        </w:rPr>
        <w:instrText xml:space="preserve"> ADDIN ZOTERO_ITEM CSL_CITATION {"citationID":"YazHUGnQ","properties":{"formattedCitation":"(World Health Organization, 2020)","plainCitation":"(World Health Organization, 2020)","noteIndex":0},"citationItems":[{"id":18152,"uris":["http://zotero.org/users/7220606/items/ZJHGH583"],"uri":["http://zotero.org/users/7220606/items/ZJHGH583"],"itemData":{"id":18152,"type":"webpage","title":"Family planning/contraception methods","URL":"https://www.who.int/news-room/fact-sheets/detail/family-planning-contraception","author":[{"family":"World Health Organization","given":""}],"accessed":{"date-parts":[["2021",5,23]]},"issued":{"date-parts":[["2020"]]}}}],"schema":"https://github.com/citation-style-language/schema/raw/master/csl-citation.json"} </w:instrText>
      </w:r>
      <w:r w:rsidR="00163104" w:rsidRPr="001162BF">
        <w:rPr>
          <w:sz w:val="24"/>
        </w:rPr>
        <w:fldChar w:fldCharType="separate"/>
      </w:r>
      <w:r w:rsidR="00163104" w:rsidRPr="001162BF">
        <w:rPr>
          <w:rFonts w:ascii="Calibri" w:hAnsi="Calibri" w:cs="Calibri"/>
          <w:sz w:val="24"/>
        </w:rPr>
        <w:t>(World Health Organization, 2020)</w:t>
      </w:r>
      <w:r w:rsidR="00163104" w:rsidRPr="001162BF">
        <w:rPr>
          <w:sz w:val="24"/>
        </w:rPr>
        <w:fldChar w:fldCharType="end"/>
      </w:r>
      <w:r w:rsidRPr="001162BF">
        <w:rPr>
          <w:sz w:val="24"/>
        </w:rPr>
        <w:t xml:space="preserve">. </w:t>
      </w:r>
    </w:p>
    <w:p w14:paraId="2C37B2E9" w14:textId="584D56B8" w:rsidR="00E50280" w:rsidRDefault="00E50280" w:rsidP="00E50280">
      <w:pPr>
        <w:jc w:val="both"/>
        <w:rPr>
          <w:sz w:val="24"/>
        </w:rPr>
      </w:pPr>
      <w:r w:rsidRPr="001162BF">
        <w:rPr>
          <w:sz w:val="24"/>
        </w:rPr>
        <w:t>Research shows that when individuals have a choice, they more often choose to have smaller families, meaning that barriers to family planning use extend beyond individual decision making (Campbell et al, 2013). Decisions about sex and reproduction are made within an economic, social, cultural, political and religious context</w:t>
      </w:r>
      <w:r w:rsidR="003E7994" w:rsidRPr="001162BF">
        <w:rPr>
          <w:sz w:val="24"/>
        </w:rPr>
        <w:t xml:space="preserve"> </w:t>
      </w:r>
      <w:r w:rsidR="003E7994" w:rsidRPr="001162BF">
        <w:rPr>
          <w:sz w:val="24"/>
        </w:rPr>
        <w:fldChar w:fldCharType="begin"/>
      </w:r>
      <w:r w:rsidR="003E7994" w:rsidRPr="001162BF">
        <w:rPr>
          <w:sz w:val="24"/>
        </w:rPr>
        <w:instrText xml:space="preserve"> ADDIN ZOTERO_ITEM CSL_CITATION {"citationID":"993MOb1Q","properties":{"formattedCitation":"(Sohn, 2020)","plainCitation":"(Sohn, 2020)","noteIndex":0},"citationItems":[{"id":18160,"uris":["http://zotero.org/users/7220606/items/ZDEHWWXB"],"uri":["http://zotero.org/users/7220606/items/ZDEHWWXB"],"itemData":{"id":18160,"type":"article-journal","abstract":"Access to affordable birth control can improve the social and economic status of women and their communities, especially in low-income countries.","container-title":"Nature","DOI":"10.1038/d41586-020-03530-8","issue":"7838","language":"en","note":"number: 7838\npublisher: Nature Publishing Group","page":"S162-S164","source":"www.nature.com","title":"Strengthening society with contraception","volume":"588","author":[{"family":"Sohn","given":"Emily"}],"issued":{"date-parts":[["2020",12,16]]}}}],"schema":"https://github.com/citation-style-language/schema/raw/master/csl-citation.json"} </w:instrText>
      </w:r>
      <w:r w:rsidR="003E7994" w:rsidRPr="001162BF">
        <w:rPr>
          <w:sz w:val="24"/>
        </w:rPr>
        <w:fldChar w:fldCharType="separate"/>
      </w:r>
      <w:r w:rsidR="003E7994" w:rsidRPr="001162BF">
        <w:rPr>
          <w:rFonts w:ascii="Calibri" w:hAnsi="Calibri" w:cs="Calibri"/>
          <w:sz w:val="24"/>
        </w:rPr>
        <w:t>(Sohn, 2020)</w:t>
      </w:r>
      <w:r w:rsidR="003E7994" w:rsidRPr="001162BF">
        <w:rPr>
          <w:sz w:val="24"/>
        </w:rPr>
        <w:fldChar w:fldCharType="end"/>
      </w:r>
      <w:r w:rsidRPr="001162BF">
        <w:rPr>
          <w:sz w:val="24"/>
        </w:rPr>
        <w:t>. Numerous barriers stand in the way of successful use of family planning</w:t>
      </w:r>
      <w:r w:rsidR="003478D8">
        <w:rPr>
          <w:sz w:val="24"/>
        </w:rPr>
        <w:t>;</w:t>
      </w:r>
      <w:r w:rsidRPr="001162BF">
        <w:rPr>
          <w:sz w:val="24"/>
        </w:rPr>
        <w:t xml:space="preserve"> yet countries like Iran, Bangladesh, and Ethiopia demonstrate that with enough political will and central planning, it is possible to increase contraceptive prevalence rates (CPR) and reduce fertility rates over a short period of time</w:t>
      </w:r>
      <w:r w:rsidR="003E7994" w:rsidRPr="001162BF">
        <w:rPr>
          <w:sz w:val="24"/>
        </w:rPr>
        <w:t xml:space="preserve"> </w:t>
      </w:r>
      <w:r w:rsidR="003E7994" w:rsidRPr="001162BF">
        <w:rPr>
          <w:sz w:val="24"/>
        </w:rPr>
        <w:fldChar w:fldCharType="begin"/>
      </w:r>
      <w:r w:rsidR="003E7994" w:rsidRPr="001162BF">
        <w:rPr>
          <w:sz w:val="24"/>
        </w:rPr>
        <w:instrText xml:space="preserve"> ADDIN ZOTERO_ITEM CSL_CITATION {"citationID":"kSKlH37T","properties":{"formattedCitation":"(Karamouzian et al., 2014; Olson &amp; Piller, 2013; Schuler et al., 1995)","plainCitation":"(Karamouzian et al., 2014; Olson &amp; Piller, 2013; Schuler et al., 1995)","noteIndex":0},"citationItems":[{"id":18167,"uris":["http://zotero.org/users/7220606/items/KLSEIB33"],"uri":["http://zotero.org/users/7220606/items/KLSEIB33"],"itemData":{"id":18167,"type":"article-journal","abstract":"Iran’s significant success in implementing Family Planning (FP) during the past 25 years, has made it a role model in the world. The Total Fertility Rate (TFR) in Iran has dropped from 6.5 in 1960 to 1.6 in 2012, which is well below the targeted value of 2.2 for the country. Iran’s success story, however, did not merely root in the implementation of FP programs. In other words, families’ strong tendency to limit fertility and delayed marriages had an undeniable role in decreasing the TFR. On the other hand, Iranian policy-makers are very concerned about such a decrease and have recently restricted access to contraception, while outlawing any surgery that reduces fertility. This paper, tries to highlight the pros and cons of such restrictive policies, and argue that the policy-makers might be jeopardizing the success of Iran’s FP program by overestimating its role in the TFR reduction rate.","container-title":"International Journal of Health Policy and Management","DOI":"10.15171/ijhpm.2014.81","ISSN":"2322-5939","issue":"5","note":"publisher: Kerman University of Medical Sciences","page":"231-233","source":"www.ijhpm.com","title":"Iran’s Shift in Family Planning Policies: Concerns and Challenges","title-short":"Iran’s Shift in Family Planning Policies","volume":"3","author":[{"family":"Karamouzian","given":"Mohammad"},{"family":"Sharifi","given":"Hamid"},{"family":"Haghdoost","given":"Ali Akbar"}],"issued":{"date-parts":[["2014",10,1]]}}},{"id":18163,"uris":["http://zotero.org/users/7220606/items/AQB2YBKZ"],"uri":["http://zotero.org/users/7220606/items/AQB2YBKZ"],"itemData":{"id":18163,"type":"article-journal","abstract":"From 1990 to 2011, contraceptive use in Ethiopia increased ninefold and the total fertility rate fell from 7.0 to 4.8. These are two dramatic illustrations of a family planning success story that has emerged over the last two decades and is still emerging. What are the main elements of this success? We posit that the four most significant factors are: political will, generous donor support, nongovernmental and public-private partnerships, and the government's establishment of a network of health extension workers. In this study, we look at these factors and how their interaction increased the proportion of women having both the desire to use and ability to access contraceptives. Also highlighted are some of the key lessons learned in Ethiopia that are relevant to other African countries interested in emulating the country's success.","container-title":"Studies in family planning","DOI":"10.1111/j.1728-4465.2013.00369.x","journalAbbreviation":"Studies in family planning","page":"445-59","source":"ResearchGate","title":"Ethiopia: An Emerging Family Planning Success Story","title-short":"Ethiopia","volume":"44","author":[{"family":"Olson","given":"David"},{"family":"Piller","given":"Andrew"}],"issued":{"date-parts":[["2013",12,1]]}}},{"id":18166,"uris":["http://zotero.org/users/7220606/items/66JSHUZV"],"uri":["http://zotero.org/users/7220606/items/66JSHUZV"],"itemData":{"id":18166,"type":"article-journal","container-title":"International Family Planning Perspectives","DOI":"10.2307/2133319","ISSN":"01903187","issue":"4","journalAbbreviation":"International Family Planning Perspectives","language":"en","page":"132","source":"DOI.org (Crossref)","title":"Bangladesh's Family Planning Success Story: A Gender Perspective","title-short":"Bangladesh's Family Planning Success Story","volume":"21","author":[{"family":"Schuler","given":"Sidney Ruth"},{"family":"Hashemi","given":"Syed M."},{"family":"Jenkins","given":"Ann Hendrix"}],"issued":{"date-parts":[["1995",12]]}}}],"schema":"https://github.com/citation-style-language/schema/raw/master/csl-citation.json"} </w:instrText>
      </w:r>
      <w:r w:rsidR="003E7994" w:rsidRPr="001162BF">
        <w:rPr>
          <w:sz w:val="24"/>
        </w:rPr>
        <w:fldChar w:fldCharType="separate"/>
      </w:r>
      <w:r w:rsidR="003E7994" w:rsidRPr="001162BF">
        <w:rPr>
          <w:rFonts w:ascii="Calibri" w:hAnsi="Calibri" w:cs="Calibri"/>
          <w:sz w:val="24"/>
        </w:rPr>
        <w:t>(Karamouzian et al., 2014; Olson &amp; Piller, 2013; Schuler et al., 1995)</w:t>
      </w:r>
      <w:r w:rsidR="003E7994" w:rsidRPr="001162BF">
        <w:rPr>
          <w:sz w:val="24"/>
        </w:rPr>
        <w:fldChar w:fldCharType="end"/>
      </w:r>
      <w:r w:rsidRPr="001162BF">
        <w:rPr>
          <w:sz w:val="24"/>
        </w:rPr>
        <w:t xml:space="preserve">. Efforts to increase the global </w:t>
      </w:r>
      <w:r w:rsidR="003E7994" w:rsidRPr="001162BF">
        <w:rPr>
          <w:sz w:val="24"/>
        </w:rPr>
        <w:t>contraceptive prevalence rates</w:t>
      </w:r>
      <w:r w:rsidRPr="001162BF">
        <w:rPr>
          <w:sz w:val="24"/>
        </w:rPr>
        <w:t xml:space="preserve"> and decrease fertility rate</w:t>
      </w:r>
      <w:r w:rsidR="003E7994" w:rsidRPr="001162BF">
        <w:rPr>
          <w:sz w:val="24"/>
        </w:rPr>
        <w:t>s</w:t>
      </w:r>
      <w:r w:rsidRPr="001162BF">
        <w:rPr>
          <w:sz w:val="24"/>
        </w:rPr>
        <w:t xml:space="preserve"> face limitations including but not limited to: restrictive policies; poor quality of and access to FP services, particularly in rural areas; a shortag</w:t>
      </w:r>
      <w:r w:rsidR="001F4349" w:rsidRPr="001162BF">
        <w:rPr>
          <w:sz w:val="24"/>
        </w:rPr>
        <w:t xml:space="preserve">e of skilled health providers; </w:t>
      </w:r>
      <w:r w:rsidRPr="001162BF">
        <w:rPr>
          <w:sz w:val="24"/>
        </w:rPr>
        <w:t>inadequate supply of commodities; norms discouraging contraceptive use; high desired family size; and lack of knowledge and persistent misconceptions about modern FP methods</w:t>
      </w:r>
      <w:r w:rsidR="003E7994" w:rsidRPr="001162BF">
        <w:rPr>
          <w:sz w:val="24"/>
        </w:rPr>
        <w:t xml:space="preserve"> </w:t>
      </w:r>
      <w:r w:rsidR="003E7994" w:rsidRPr="001162BF">
        <w:rPr>
          <w:sz w:val="24"/>
        </w:rPr>
        <w:fldChar w:fldCharType="begin"/>
      </w:r>
      <w:r w:rsidR="003E7994" w:rsidRPr="001162BF">
        <w:rPr>
          <w:sz w:val="24"/>
        </w:rPr>
        <w:instrText xml:space="preserve"> ADDIN ZOTERO_ITEM CSL_CITATION {"citationID":"ZqYs4WTX","properties":{"formattedCitation":"(Bertrand et al., 1995; Korachais et al., 2016; Solo &amp; Festin, 2019)","plainCitation":"(Bertrand et al., 1995; Korachais et al., 2016; Solo &amp; Festin, 2019)","noteIndex":0},"citationItems":[{"id":18086,"uris":["http://zotero.org/users/7220606/items/3SD64LYK"],"uri":["http://zotero.org/users/7220606/items/3SD64LYK"],"itemData":{"id":18086,"type":"article-journal","abstract":"Access to family planning, quality of care and medical barriers to services are key factors in the adoption of contraceptive use. Access helps determine whether the individual makes contact with the family planning provider, while quality of care greatly affects the client's decision to accept a method and the motivation to continue using it. Medical barriers are scientifically unjustifiable policies or practices, based at least in part on a medical rationale, that inappropriately prevent clients from receiving the contraceptive method of their choice or impose unnecessary process barriers to access to family planning services. In the past, international family planning efforts have been criticized as placing too much emphasis on issues of access and the quantity of contraceptives distributed. The climate now exists for pursuing improvements in quality and access simultaneously and for exploring through research the linkages between access, quality and medical barriers.","container-title":"International Family Planning Perspectives","DOI":"10.2307/2133525","ISSN":"0190-3187","issue":"2","note":"publisher: Guttmacher Institute","page":"64-74","source":"JSTOR","title":"Access, Quality Of Care and Medical Barriers In Family Planning Programs","volume":"21","author":[{"family":"Bertrand","given":"Jane T."},{"family":"Hardee","given":"Karen"},{"family":"Magnani","given":"Robert J."},{"family":"Angle","given":"Marcia A."}],"issued":{"date-parts":[["1995"]]}}},{"id":18083,"uris":["http://zotero.org/users/7220606/items/7CV5P2J8"],"uri":["http://zotero.or</w:instrText>
      </w:r>
      <w:r w:rsidR="003E7994" w:rsidRPr="001162BF">
        <w:rPr>
          <w:rFonts w:hint="eastAsia"/>
          <w:sz w:val="24"/>
        </w:rPr>
        <w:instrText>g/users/7220606/items/7CV5P2J8"],"itemData":{"id":18083,"type":"article-journal","abstract":"Accessible and quality reproductive health services are critical for low</w:instrText>
      </w:r>
      <w:r w:rsidR="003E7994" w:rsidRPr="001162BF">
        <w:rPr>
          <w:rFonts w:hint="eastAsia"/>
          <w:sz w:val="24"/>
        </w:rPr>
        <w:instrText>‐</w:instrText>
      </w:r>
      <w:r w:rsidR="003E7994" w:rsidRPr="001162BF">
        <w:rPr>
          <w:rFonts w:hint="eastAsia"/>
          <w:sz w:val="24"/>
        </w:rPr>
        <w:instrText xml:space="preserve"> and middle</w:instrText>
      </w:r>
      <w:r w:rsidR="003E7994" w:rsidRPr="001162BF">
        <w:rPr>
          <w:rFonts w:hint="eastAsia"/>
          <w:sz w:val="24"/>
        </w:rPr>
        <w:instrText>‐</w:instrText>
      </w:r>
      <w:r w:rsidR="003E7994" w:rsidRPr="001162BF">
        <w:rPr>
          <w:rFonts w:hint="eastAsia"/>
          <w:sz w:val="24"/>
        </w:rPr>
        <w:instrText>income countries (LMICs). After a decade of waning investment in family plann</w:instrText>
      </w:r>
      <w:r w:rsidR="003E7994" w:rsidRPr="001162BF">
        <w:rPr>
          <w:sz w:val="24"/>
        </w:rPr>
        <w:instrText xml:space="preserve">ing, interest and funding are growing once again. This article assesses whether introducing, removing, or changing user fees for contraception has an effect on contraceptive use. We conducted a search of 14 international databases. We included randomized </w:instrText>
      </w:r>
      <w:r w:rsidR="003E7994" w:rsidRPr="001162BF">
        <w:rPr>
          <w:rFonts w:hint="eastAsia"/>
          <w:sz w:val="24"/>
        </w:rPr>
        <w:instrText>controlled trials, interrupted</w:instrText>
      </w:r>
      <w:r w:rsidR="003E7994" w:rsidRPr="001162BF">
        <w:rPr>
          <w:rFonts w:hint="eastAsia"/>
          <w:sz w:val="24"/>
        </w:rPr>
        <w:instrText>‐</w:instrText>
      </w:r>
      <w:r w:rsidR="003E7994" w:rsidRPr="001162BF">
        <w:rPr>
          <w:rFonts w:hint="eastAsia"/>
          <w:sz w:val="24"/>
        </w:rPr>
        <w:instrText>time series analyses, controlled before</w:instrText>
      </w:r>
      <w:r w:rsidR="003E7994" w:rsidRPr="001162BF">
        <w:rPr>
          <w:rFonts w:hint="eastAsia"/>
          <w:sz w:val="24"/>
        </w:rPr>
        <w:instrText>‐</w:instrText>
      </w:r>
      <w:r w:rsidR="003E7994" w:rsidRPr="001162BF">
        <w:rPr>
          <w:rFonts w:hint="eastAsia"/>
          <w:sz w:val="24"/>
        </w:rPr>
        <w:instrText>and</w:instrText>
      </w:r>
      <w:r w:rsidR="003E7994" w:rsidRPr="001162BF">
        <w:rPr>
          <w:rFonts w:hint="eastAsia"/>
          <w:sz w:val="24"/>
        </w:rPr>
        <w:instrText>‐</w:instrText>
      </w:r>
      <w:r w:rsidR="003E7994" w:rsidRPr="001162BF">
        <w:rPr>
          <w:rFonts w:hint="eastAsia"/>
          <w:sz w:val="24"/>
        </w:rPr>
        <w:instrText>after study designs, and cohort studies that reported contraception</w:instrText>
      </w:r>
      <w:r w:rsidR="003E7994" w:rsidRPr="001162BF">
        <w:rPr>
          <w:rFonts w:hint="eastAsia"/>
          <w:sz w:val="24"/>
        </w:rPr>
        <w:instrText>‐</w:instrText>
      </w:r>
      <w:r w:rsidR="003E7994" w:rsidRPr="001162BF">
        <w:rPr>
          <w:rFonts w:hint="eastAsia"/>
          <w:sz w:val="24"/>
        </w:rPr>
        <w:instrText>related variables as an outcome and a change in the price of contraceptives as an intervention. Four studies were eligible but none was at low risk of bias overall. Most of these, as well as other studies not included in the present research, found that demand for contraception was not cost</w:instrText>
      </w:r>
      <w:r w:rsidR="003E7994" w:rsidRPr="001162BF">
        <w:rPr>
          <w:rFonts w:hint="eastAsia"/>
          <w:sz w:val="24"/>
        </w:rPr>
        <w:instrText>‐</w:instrText>
      </w:r>
      <w:r w:rsidR="003E7994" w:rsidRPr="001162BF">
        <w:rPr>
          <w:rFonts w:hint="eastAsia"/>
          <w:sz w:val="24"/>
        </w:rPr>
        <w:instrText>sensitive. We could draw no robust summary of evidence, strongly suggesting</w:instrText>
      </w:r>
      <w:r w:rsidR="003E7994" w:rsidRPr="001162BF">
        <w:rPr>
          <w:sz w:val="24"/>
        </w:rPr>
        <w:instrText xml:space="preserve"> that further research in this area is needed.","container-title":"Studies in Family Planning","DOI":"10.1111/sifp.12005","ISSN":"0039-3665","issue":"4","journalAbbreviation":"Stud Fam Plann","note":"PMID: 27859370\nPMCID: PMC5434817","page":"341-356","source":"PubMed Central","title":"How User Fees Influence Contraception in Low and Middle Income Countries: A Systematic Review","title-short":"How User Fees Influence Contraception in Low and Middle Income Countries","volume":"47","author":[{"family":"Korachais","given":"Catherine"},{"family":"Macouillard","given":"Elodie"},{"family":"Meessen","given":"Bruno"}],"issued":{"date-parts":[["2016",12]]}}},{"id":18079,"uris":["http://zotero.org/users/7220606/items/MQV22FW4"],"uri":["http://zotero.org/users/7220606/items/MQV22FW4"],"itemData":{"id":18079,"type":"article-journal","abstract":"Family planning programs are guided by the principle of informed choice as well as the goal of providing a broad choice of contraceptive methods to clients. Provider bias is an important barrier to realizing this goal, but it must be clearly defined and understood to be effectively addressed. This review presents an overview of the concept of provider bias in family planning, focusing on the following issues: (1) what it is, (2) how widespread it is, (3) its underlying causes, (4) its impacts, and (5) how it can be effectively addressed. The definitions of provider bias include common themes about providers creating barriers to choice, typically based on the characteristics of either a client or a contraceptive method. However, an agreed-upon definition is lacking. Measurement of provider bias has often relied on self-reports by providers but has also included observation and use of mystery clients for supplemental data. The general trend in the data is clear: large numbers of providers impose barriers and restrictions beyond those that are in guidelines or are necessary for any medical reasons. This trend indicates the presence of bias. Providers have shown bias based on age, parity, marital status, and other criteria, with a bias against provision of various contraceptive methods to youth being the most common. Provider bias often stems from broader social norms, particularly judgments about sexual activity among youth and concerns about the impact of hormonal methods on future fertility. Little documentation of the impact of provider bias exists, although method mix skew has been identified as a possible red flag for bias. Newer approaches to address bias that have moved beyond traditional training and guidelines development to more fundamental behavior change efforts show promise, and learning from their lessons will be important. A major question is how to scale up such approaches.","container-title":"Global Health: Science and Practice","DOI":"10.9745/GHSP-D-19-00130","ISSN":"2169-575X","issue":"3","language":"en","note":"publisher: Global Health: Science and Practice\nsection: PROGRAMMATIC REVIEWS &amp;amp; ANALYSES\nPMID: 31515240","page":"371-385","source":"www.ghspjournal.org","title":"Provider Bias in Family Planning Services: A Review of Its Meaning and Manifestations","title-short":"Provider Bias in Family Planning Services","volume":"7","author":[{"family":"Solo","given":"Julie"},{"family":"Festin","given":"Mario"}],"issued":{"date-parts":[["2019",9,23]]}}}],"schema":"https://github.com/citation-style-language/schema/raw/master/csl-citation.json"} </w:instrText>
      </w:r>
      <w:r w:rsidR="003E7994" w:rsidRPr="001162BF">
        <w:rPr>
          <w:sz w:val="24"/>
        </w:rPr>
        <w:fldChar w:fldCharType="separate"/>
      </w:r>
      <w:r w:rsidR="003E7994" w:rsidRPr="001162BF">
        <w:rPr>
          <w:rFonts w:ascii="Calibri" w:hAnsi="Calibri" w:cs="Calibri"/>
          <w:sz w:val="24"/>
        </w:rPr>
        <w:t>(Bertrand et al., 1995; Korachais et al., 2016; Solo &amp; Festin, 2019)</w:t>
      </w:r>
      <w:r w:rsidR="003E7994" w:rsidRPr="001162BF">
        <w:rPr>
          <w:sz w:val="24"/>
        </w:rPr>
        <w:fldChar w:fldCharType="end"/>
      </w:r>
      <w:r w:rsidRPr="001162BF">
        <w:rPr>
          <w:sz w:val="24"/>
        </w:rPr>
        <w:t xml:space="preserve">. These highlight both the supply and demand, </w:t>
      </w:r>
      <w:r w:rsidR="005878B7">
        <w:rPr>
          <w:sz w:val="24"/>
        </w:rPr>
        <w:t xml:space="preserve">as well as </w:t>
      </w:r>
      <w:r w:rsidRPr="001162BF">
        <w:rPr>
          <w:sz w:val="24"/>
        </w:rPr>
        <w:t xml:space="preserve">behavioral, social, economic and systemic constraints that must be improved for the increased adoption of FP. </w:t>
      </w:r>
      <w:r w:rsidR="003E7994" w:rsidRPr="001162BF">
        <w:rPr>
          <w:sz w:val="24"/>
        </w:rPr>
        <w:t>C</w:t>
      </w:r>
      <w:r w:rsidRPr="001162BF">
        <w:rPr>
          <w:sz w:val="24"/>
        </w:rPr>
        <w:t xml:space="preserve">oncerted efforts and commitment on the part of national </w:t>
      </w:r>
      <w:r w:rsidRPr="001162BF">
        <w:rPr>
          <w:sz w:val="24"/>
        </w:rPr>
        <w:lastRenderedPageBreak/>
        <w:t xml:space="preserve">governments, international donors, NGOs and the private sector are </w:t>
      </w:r>
      <w:r w:rsidR="001162BF" w:rsidRPr="001162BF">
        <w:rPr>
          <w:sz w:val="24"/>
        </w:rPr>
        <w:t xml:space="preserve">also </w:t>
      </w:r>
      <w:r w:rsidRPr="001162BF">
        <w:rPr>
          <w:sz w:val="24"/>
        </w:rPr>
        <w:t xml:space="preserve">needed to ensure adequate financing of </w:t>
      </w:r>
      <w:r w:rsidR="001162BF" w:rsidRPr="001162BF">
        <w:rPr>
          <w:sz w:val="24"/>
        </w:rPr>
        <w:t>family planning</w:t>
      </w:r>
      <w:r w:rsidRPr="001162BF">
        <w:rPr>
          <w:sz w:val="24"/>
        </w:rPr>
        <w:t xml:space="preserve"> services</w:t>
      </w:r>
      <w:r w:rsidR="001162BF" w:rsidRPr="001162BF">
        <w:rPr>
          <w:sz w:val="24"/>
        </w:rPr>
        <w:fldChar w:fldCharType="begin"/>
      </w:r>
      <w:r w:rsidR="001162BF" w:rsidRPr="001162BF">
        <w:rPr>
          <w:sz w:val="24"/>
        </w:rPr>
        <w:instrText xml:space="preserve"> ADDIN ZOTERO_ITEM CSL_CITATION {"citationID":"duRpPC3l","properties":{"formattedCitation":"(Ali &amp; Bellows, 2018)","plainCitation":"(Ali &amp; Bellows, 2018)","noteIndex":0},"citationItems":[{"id":18172,"uris":["http://zotero.org/users/7220606/items/BGQV3PDF"],"uri":["http://zotero.org/users/7220606/items/BGQV3PDF"],"itemData":{"id":18172,"type":"report","language":"en","note":"DOI: 10.31899/rh4.1004","publisher":"Population Council","source":"DOI.org (Crossref)","title":"Ensuring adequate financing of family planning commodities and services","URL":"https://knowledgecommons.popcouncil.org/departments_sbsr-rh/219","author":[{"family":"Ali","given":"Moazzam"},{"family":"Bellows","given":"Benjamin"}],"accessed":{"date-parts":[["2021",5,23]]},"issued":{"date-parts":[["2018"]]}}}],"schema":"https://github.com/citation-style-language/schema/raw/master/csl-citation.json"} </w:instrText>
      </w:r>
      <w:r w:rsidR="001162BF" w:rsidRPr="001162BF">
        <w:rPr>
          <w:sz w:val="24"/>
        </w:rPr>
        <w:fldChar w:fldCharType="separate"/>
      </w:r>
      <w:r w:rsidR="001162BF" w:rsidRPr="001162BF">
        <w:rPr>
          <w:rFonts w:ascii="Calibri" w:hAnsi="Calibri" w:cs="Calibri"/>
          <w:sz w:val="24"/>
        </w:rPr>
        <w:t>(Ali &amp; Bellows, 2018)</w:t>
      </w:r>
      <w:r w:rsidR="001162BF" w:rsidRPr="001162BF">
        <w:rPr>
          <w:sz w:val="24"/>
        </w:rPr>
        <w:fldChar w:fldCharType="end"/>
      </w:r>
      <w:r w:rsidRPr="001162BF">
        <w:rPr>
          <w:sz w:val="24"/>
        </w:rPr>
        <w:t>.</w:t>
      </w:r>
      <w:r w:rsidRPr="00BF048C">
        <w:rPr>
          <w:sz w:val="24"/>
        </w:rPr>
        <w:t xml:space="preserve"> </w:t>
      </w:r>
    </w:p>
    <w:p w14:paraId="3CDFE6D9" w14:textId="77777777" w:rsidR="003B1F91" w:rsidRDefault="003B1F91" w:rsidP="00E50280">
      <w:pPr>
        <w:jc w:val="both"/>
        <w:rPr>
          <w:sz w:val="24"/>
        </w:rPr>
      </w:pPr>
    </w:p>
    <w:p w14:paraId="305C058D" w14:textId="77777777" w:rsidR="00F15AEE" w:rsidRPr="00BA3289" w:rsidRDefault="00F15AEE" w:rsidP="00B144E5">
      <w:pPr>
        <w:spacing w:after="0"/>
        <w:rPr>
          <w:rFonts w:asciiTheme="majorHAnsi" w:hAnsiTheme="majorHAnsi"/>
          <w:bCs/>
        </w:rPr>
      </w:pPr>
    </w:p>
    <w:p w14:paraId="0F86E7E6" w14:textId="3AC14BF8" w:rsidR="00967E71" w:rsidRPr="00BA3289" w:rsidRDefault="00E50280" w:rsidP="00F52595">
      <w:pPr>
        <w:pStyle w:val="Heading2"/>
        <w:spacing w:before="0" w:line="240" w:lineRule="auto"/>
        <w:ind w:left="0" w:firstLine="0"/>
      </w:pPr>
      <w:bookmarkStart w:id="10" w:name="_Toc74154031"/>
      <w:r>
        <w:t>Current State of Family Planning</w:t>
      </w:r>
      <w:bookmarkEnd w:id="10"/>
    </w:p>
    <w:p w14:paraId="75587ADB" w14:textId="164530BB" w:rsidR="00E50280" w:rsidRDefault="00E50280" w:rsidP="00E50280">
      <w:pPr>
        <w:rPr>
          <w:rFonts w:ascii="Arial" w:hAnsi="Arial" w:cs="Arial"/>
          <w:color w:val="555555"/>
          <w:sz w:val="27"/>
          <w:szCs w:val="27"/>
        </w:rPr>
      </w:pPr>
      <w:r w:rsidRPr="0030307C">
        <w:rPr>
          <w:sz w:val="24"/>
        </w:rPr>
        <w:t xml:space="preserve">As of 2019, </w:t>
      </w:r>
      <w:r>
        <w:rPr>
          <w:sz w:val="24"/>
        </w:rPr>
        <w:t>an estimated 1.1 billion women had a need for contraception</w:t>
      </w:r>
      <w:r w:rsidR="00916FDF">
        <w:rPr>
          <w:sz w:val="24"/>
        </w:rPr>
        <w:t>;</w:t>
      </w:r>
      <w:r>
        <w:rPr>
          <w:sz w:val="24"/>
        </w:rPr>
        <w:t xml:space="preserve"> 922 million of these women </w:t>
      </w:r>
      <w:r w:rsidR="00916FDF">
        <w:rPr>
          <w:sz w:val="24"/>
        </w:rPr>
        <w:t xml:space="preserve">had these needs met and </w:t>
      </w:r>
      <w:r>
        <w:rPr>
          <w:sz w:val="24"/>
        </w:rPr>
        <w:t xml:space="preserve">were using a contraceptive method </w:t>
      </w:r>
      <w:r>
        <w:rPr>
          <w:sz w:val="24"/>
        </w:rPr>
        <w:fldChar w:fldCharType="begin"/>
      </w:r>
      <w:r w:rsidR="00B23620">
        <w:rPr>
          <w:sz w:val="24"/>
        </w:rPr>
        <w:instrText xml:space="preserve"> ADDIN ZOTERO_ITEM CSL_CITATION {"citationID":"xonOY5rU","properties":{"formattedCitation":"(United Nations, 2019)","plainCitation":"(United Nations, 2019)","noteIndex":0},"citationItems":[{"id":18060,"uris":["http://zotero.org/users/7220606/items/UAI7DWBG"],"uri":["http://zotero.org/users/7220606/items/UAI7DWBG"],"itemData":{"id":18060,"type":"book","ISBN":"978-92-1-004652-7","language":"en","note":"DOI: 10.18356/1bd58a10-en","publisher":"UN","source":"DOI.org (Crossref)","title":"Contraceptive Use by Method 2019","title-short":"Contraceptive Use by Method 2019","URL":"https://www.un-ilibrary.org/content/books/9789210046527","author":[{"literal":"United Nations"}],"accessed":{"date-parts":[["2021",5,2]]},"issued":{"date-parts":[["2019"]]}}}],"schema":"https://github.com/citation-style-language/schema/raw/master/csl-citation.json"} </w:instrText>
      </w:r>
      <w:r>
        <w:rPr>
          <w:sz w:val="24"/>
        </w:rPr>
        <w:fldChar w:fldCharType="separate"/>
      </w:r>
      <w:r w:rsidR="00B23620" w:rsidRPr="00B23620">
        <w:rPr>
          <w:rFonts w:ascii="Calibri" w:hAnsi="Calibri" w:cs="Calibri"/>
          <w:sz w:val="24"/>
        </w:rPr>
        <w:t>(United Nations, 2019)</w:t>
      </w:r>
      <w:r>
        <w:rPr>
          <w:sz w:val="24"/>
        </w:rPr>
        <w:fldChar w:fldCharType="end"/>
      </w:r>
      <w:r>
        <w:rPr>
          <w:sz w:val="24"/>
        </w:rPr>
        <w:t xml:space="preserve">. According to the latest figures from the Guttmacher Institute, </w:t>
      </w:r>
      <w:r w:rsidRPr="00CD7DA7">
        <w:rPr>
          <w:sz w:val="24"/>
        </w:rPr>
        <w:t>an estimated</w:t>
      </w:r>
      <w:r>
        <w:rPr>
          <w:sz w:val="24"/>
        </w:rPr>
        <w:t xml:space="preserve"> </w:t>
      </w:r>
      <w:r w:rsidRPr="00CD7DA7">
        <w:rPr>
          <w:sz w:val="24"/>
        </w:rPr>
        <w:t xml:space="preserve">705 million women in </w:t>
      </w:r>
      <w:r w:rsidR="00423A94">
        <w:rPr>
          <w:sz w:val="24"/>
        </w:rPr>
        <w:t>low</w:t>
      </w:r>
      <w:r w:rsidR="00916FDF">
        <w:rPr>
          <w:sz w:val="24"/>
        </w:rPr>
        <w:t>-</w:t>
      </w:r>
      <w:r w:rsidR="00423A94">
        <w:rPr>
          <w:sz w:val="24"/>
        </w:rPr>
        <w:t xml:space="preserve"> and middle</w:t>
      </w:r>
      <w:r w:rsidR="00916FDF">
        <w:rPr>
          <w:sz w:val="24"/>
        </w:rPr>
        <w:t xml:space="preserve">- </w:t>
      </w:r>
      <w:r w:rsidR="00423A94">
        <w:rPr>
          <w:sz w:val="24"/>
        </w:rPr>
        <w:t>income countries (</w:t>
      </w:r>
      <w:r w:rsidRPr="00CD7DA7">
        <w:rPr>
          <w:sz w:val="24"/>
        </w:rPr>
        <w:t>LMICs</w:t>
      </w:r>
      <w:r w:rsidR="00916FDF">
        <w:rPr>
          <w:sz w:val="24"/>
        </w:rPr>
        <w:t>)</w:t>
      </w:r>
      <w:r w:rsidRPr="00CD7DA7">
        <w:rPr>
          <w:sz w:val="24"/>
        </w:rPr>
        <w:t xml:space="preserve"> used modern </w:t>
      </w:r>
      <w:r>
        <w:rPr>
          <w:sz w:val="24"/>
        </w:rPr>
        <w:t xml:space="preserve">contraceptive </w:t>
      </w:r>
      <w:r w:rsidRPr="00CD7DA7">
        <w:rPr>
          <w:sz w:val="24"/>
        </w:rPr>
        <w:t>methods</w:t>
      </w:r>
      <w:r>
        <w:rPr>
          <w:sz w:val="24"/>
        </w:rPr>
        <w:t xml:space="preserve"> in 2019</w:t>
      </w:r>
      <w:r w:rsidRPr="00CD7DA7">
        <w:rPr>
          <w:sz w:val="24"/>
        </w:rPr>
        <w:t xml:space="preserve">, </w:t>
      </w:r>
      <w:r>
        <w:rPr>
          <w:sz w:val="24"/>
        </w:rPr>
        <w:t>averting approximately</w:t>
      </w:r>
      <w:r w:rsidRPr="00CD7DA7">
        <w:rPr>
          <w:sz w:val="24"/>
        </w:rPr>
        <w:t xml:space="preserve"> 376 million unintended pregnancies</w:t>
      </w:r>
      <w:r>
        <w:rPr>
          <w:sz w:val="24"/>
        </w:rPr>
        <w:t xml:space="preserve"> </w:t>
      </w:r>
      <w:r>
        <w:rPr>
          <w:sz w:val="24"/>
        </w:rPr>
        <w:fldChar w:fldCharType="begin"/>
      </w:r>
      <w:r w:rsidR="00B23620">
        <w:rPr>
          <w:sz w:val="24"/>
        </w:rPr>
        <w:instrText xml:space="preserve"> ADDIN ZOTERO_ITEM CSL_CITATION {"citationID":"6E1bagEP","properties":{"formattedCitation":"(Guttmacher Institute, 2020)","plainCitation":"(Guttmacher Institute, 2020)","noteIndex":0},"citationItems":[{"id":11,"uris":["http://zotero.org/users/7220606/items/TCI57A77"],"uri":["http://zotero.org/users/7220606/items/TCI57A77"],"itemData":{"id":11,"type":"report","language":"en","title":"Adding it Up: Investing in Sexual and Reproductive Health in Low- and Middle-Income Countries","URL":"https://www.guttmacher.org/fact-sheet/adding-it-up-investing-in-sexual-reproductive-health","author":[{"family":"Guttmacher Institute","given":""}],"accessed":{"date-parts":[["2021",1,18]]},"issued":{"date-parts":[["2020"]]}}}],"schema":"https://github.com/citation-style-language/schema/raw/master/csl-citation.json"} </w:instrText>
      </w:r>
      <w:r>
        <w:rPr>
          <w:sz w:val="24"/>
        </w:rPr>
        <w:fldChar w:fldCharType="separate"/>
      </w:r>
      <w:r w:rsidR="00B23620" w:rsidRPr="00B23620">
        <w:rPr>
          <w:rFonts w:ascii="Calibri" w:hAnsi="Calibri" w:cs="Calibri"/>
          <w:sz w:val="24"/>
        </w:rPr>
        <w:t>(Guttmacher Institute, 2020)</w:t>
      </w:r>
      <w:r>
        <w:rPr>
          <w:sz w:val="24"/>
        </w:rPr>
        <w:fldChar w:fldCharType="end"/>
      </w:r>
      <w:r>
        <w:rPr>
          <w:sz w:val="24"/>
        </w:rPr>
        <w:t xml:space="preserve">. As a result of these efforts, the numbers of other adverse maternal outcomes that were prevented were as follows: </w:t>
      </w:r>
    </w:p>
    <w:p w14:paraId="5E6E2A34" w14:textId="77777777" w:rsidR="00E50280" w:rsidRPr="00CD7DA7" w:rsidRDefault="00E50280" w:rsidP="006248E6">
      <w:pPr>
        <w:numPr>
          <w:ilvl w:val="0"/>
          <w:numId w:val="2"/>
        </w:numPr>
        <w:shd w:val="clear" w:color="auto" w:fill="FFFFFF"/>
        <w:spacing w:before="100" w:beforeAutospacing="1" w:after="100" w:afterAutospacing="1" w:line="240" w:lineRule="auto"/>
        <w:jc w:val="both"/>
        <w:rPr>
          <w:sz w:val="24"/>
        </w:rPr>
      </w:pPr>
      <w:r w:rsidRPr="00CD7DA7">
        <w:rPr>
          <w:sz w:val="24"/>
        </w:rPr>
        <w:t>256 million abortions, of which 100 million would have been unsafe</w:t>
      </w:r>
    </w:p>
    <w:p w14:paraId="4355F677" w14:textId="77777777" w:rsidR="00E50280" w:rsidRDefault="00E50280" w:rsidP="006248E6">
      <w:pPr>
        <w:numPr>
          <w:ilvl w:val="0"/>
          <w:numId w:val="2"/>
        </w:numPr>
        <w:shd w:val="clear" w:color="auto" w:fill="FFFFFF"/>
        <w:spacing w:after="100" w:afterAutospacing="1" w:line="240" w:lineRule="auto"/>
        <w:jc w:val="both"/>
        <w:rPr>
          <w:sz w:val="24"/>
        </w:rPr>
      </w:pPr>
      <w:r w:rsidRPr="00CD7DA7">
        <w:rPr>
          <w:sz w:val="24"/>
        </w:rPr>
        <w:t>79 million unplanned births</w:t>
      </w:r>
    </w:p>
    <w:p w14:paraId="53DD0A72" w14:textId="77777777" w:rsidR="00E50280" w:rsidRPr="00CD7DA7" w:rsidRDefault="00E50280" w:rsidP="006248E6">
      <w:pPr>
        <w:numPr>
          <w:ilvl w:val="0"/>
          <w:numId w:val="2"/>
        </w:numPr>
        <w:shd w:val="clear" w:color="auto" w:fill="FFFFFF"/>
        <w:spacing w:before="100" w:beforeAutospacing="1" w:after="100" w:afterAutospacing="1" w:line="240" w:lineRule="auto"/>
        <w:jc w:val="both"/>
        <w:rPr>
          <w:sz w:val="24"/>
        </w:rPr>
      </w:pPr>
      <w:r w:rsidRPr="00CD7DA7">
        <w:rPr>
          <w:sz w:val="24"/>
        </w:rPr>
        <w:t>39 million miscarriages</w:t>
      </w:r>
    </w:p>
    <w:p w14:paraId="61E6A1BC" w14:textId="77777777" w:rsidR="00E50280" w:rsidRDefault="00E50280" w:rsidP="006248E6">
      <w:pPr>
        <w:numPr>
          <w:ilvl w:val="0"/>
          <w:numId w:val="2"/>
        </w:numPr>
        <w:shd w:val="clear" w:color="auto" w:fill="FFFFFF"/>
        <w:spacing w:before="100" w:beforeAutospacing="1" w:after="0" w:line="240" w:lineRule="auto"/>
        <w:jc w:val="both"/>
        <w:rPr>
          <w:sz w:val="24"/>
        </w:rPr>
      </w:pPr>
      <w:r w:rsidRPr="00CD7DA7">
        <w:rPr>
          <w:sz w:val="24"/>
        </w:rPr>
        <w:t>2 million stillbirths</w:t>
      </w:r>
    </w:p>
    <w:p w14:paraId="67D79FD5" w14:textId="25F30859" w:rsidR="00E50280" w:rsidRDefault="00E50280" w:rsidP="00E50280">
      <w:pPr>
        <w:shd w:val="clear" w:color="auto" w:fill="FFFFFF"/>
        <w:spacing w:before="100" w:beforeAutospacing="1" w:after="0" w:line="240" w:lineRule="auto"/>
        <w:jc w:val="both"/>
        <w:rPr>
          <w:sz w:val="24"/>
        </w:rPr>
      </w:pPr>
      <w:r w:rsidRPr="00C044C6">
        <w:rPr>
          <w:sz w:val="24"/>
        </w:rPr>
        <w:t>With reference to specific contraceptive methods, f</w:t>
      </w:r>
      <w:r>
        <w:rPr>
          <w:sz w:val="24"/>
        </w:rPr>
        <w:t xml:space="preserve">emale sterilization remains the </w:t>
      </w:r>
      <w:r w:rsidRPr="00C044C6">
        <w:rPr>
          <w:sz w:val="24"/>
        </w:rPr>
        <w:t xml:space="preserve">most commonly used </w:t>
      </w:r>
      <w:r>
        <w:rPr>
          <w:sz w:val="24"/>
        </w:rPr>
        <w:t>femal</w:t>
      </w:r>
      <w:r w:rsidR="00856317">
        <w:rPr>
          <w:sz w:val="24"/>
        </w:rPr>
        <w:t>e contraceptive method (Table 1</w:t>
      </w:r>
      <w:r>
        <w:rPr>
          <w:sz w:val="24"/>
        </w:rPr>
        <w:t xml:space="preserve">), used by 11.5% of women globally. </w:t>
      </w:r>
      <w:r w:rsidRPr="00C044C6">
        <w:rPr>
          <w:sz w:val="24"/>
        </w:rPr>
        <w:t xml:space="preserve"> </w:t>
      </w:r>
      <w:r>
        <w:rPr>
          <w:sz w:val="24"/>
        </w:rPr>
        <w:t xml:space="preserve">Male condoms (10%), implants (10%), intrauterine devices (8.4%) and the pill (8%) are the next most commonly used modern methods, though significant regional differences exist in modern contraceptive access, uptake and preference. </w:t>
      </w:r>
    </w:p>
    <w:p w14:paraId="561B95DB" w14:textId="7D197308" w:rsidR="00E50280" w:rsidRDefault="00E50280" w:rsidP="00E50280">
      <w:pPr>
        <w:shd w:val="clear" w:color="auto" w:fill="FFFFFF"/>
        <w:spacing w:before="100" w:beforeAutospacing="1" w:after="0" w:line="240" w:lineRule="auto"/>
        <w:jc w:val="both"/>
        <w:rPr>
          <w:sz w:val="24"/>
        </w:rPr>
      </w:pPr>
      <w:r>
        <w:rPr>
          <w:sz w:val="24"/>
        </w:rPr>
        <w:t>Unmet need for contraception, defined by WHO as “the percentage of women of reproductive ago</w:t>
      </w:r>
      <w:r w:rsidRPr="00C044C6">
        <w:rPr>
          <w:sz w:val="24"/>
        </w:rPr>
        <w:t xml:space="preserve"> who are fecund and sexually active but are not using any method of contraception, and report not wanting any more children or </w:t>
      </w:r>
      <w:r>
        <w:rPr>
          <w:sz w:val="24"/>
        </w:rPr>
        <w:t>wanting to delay the next child</w:t>
      </w:r>
      <w:r w:rsidRPr="00C044C6">
        <w:rPr>
          <w:sz w:val="24"/>
        </w:rPr>
        <w:t>”</w:t>
      </w:r>
      <w:r>
        <w:rPr>
          <w:sz w:val="24"/>
        </w:rPr>
        <w:t xml:space="preserve"> stood at 11.3%, </w:t>
      </w:r>
      <w:r w:rsidR="001162BF">
        <w:rPr>
          <w:sz w:val="24"/>
        </w:rPr>
        <w:t>totaling</w:t>
      </w:r>
      <w:r>
        <w:rPr>
          <w:sz w:val="24"/>
        </w:rPr>
        <w:t xml:space="preserve"> 218 million women globally </w:t>
      </w:r>
      <w:r>
        <w:rPr>
          <w:sz w:val="24"/>
        </w:rPr>
        <w:fldChar w:fldCharType="begin"/>
      </w:r>
      <w:r w:rsidR="00B23620">
        <w:rPr>
          <w:sz w:val="24"/>
        </w:rPr>
        <w:instrText xml:space="preserve"> ADDIN ZOTERO_ITEM CSL_CITATION {"citationID":"KJq7UE7X","properties":{"formattedCitation":"(Guttmacher Institute, 2020)","plainCitation":"(Guttmacher Institute, 2020)","noteIndex":0},"citationItems":[{"id":11,"uris":["http://zotero.org/users/7220606/items/TCI57A77"],"uri":["http://zotero.org/users/7220606/items/TCI57A77"],"itemData":{"id":11,"type":"report","language":"en","title":"Adding it Up: Investing in Sexual and Reproductive Health in Low- and Middle-Income Countries","URL":"https://www.guttmacher.org/fact-sheet/adding-it-up-investing-in-sexual-reproductive-health","author":[{"family":"Guttmacher Institute","given":""}],"accessed":{"date-parts":[["2021",1,18]]},"issued":{"date-parts":[["2020"]]}}}],"schema":"https://github.com/citation-style-language/schema/raw/master/csl-citation.json"} </w:instrText>
      </w:r>
      <w:r>
        <w:rPr>
          <w:sz w:val="24"/>
        </w:rPr>
        <w:fldChar w:fldCharType="separate"/>
      </w:r>
      <w:r w:rsidR="00B23620" w:rsidRPr="00B23620">
        <w:rPr>
          <w:rFonts w:ascii="Calibri" w:hAnsi="Calibri" w:cs="Calibri"/>
          <w:sz w:val="24"/>
        </w:rPr>
        <w:t>(Guttmacher Institute, 2020)</w:t>
      </w:r>
      <w:r>
        <w:rPr>
          <w:sz w:val="24"/>
        </w:rPr>
        <w:fldChar w:fldCharType="end"/>
      </w:r>
      <w:r>
        <w:rPr>
          <w:sz w:val="24"/>
        </w:rPr>
        <w:t>. While this is a decrease from 255 million women in 2014, these figures indicate a significant gap in provision, access and uptake of contraceptive services, which could have significant implications in terms of unintended or unwanted pregnancies, unsafe abortions, maternal morbidity and mortality.</w:t>
      </w:r>
    </w:p>
    <w:p w14:paraId="64DB20F1" w14:textId="77777777" w:rsidR="00E50280" w:rsidRDefault="00E50280" w:rsidP="00E50280">
      <w:pPr>
        <w:shd w:val="clear" w:color="auto" w:fill="FFFFFF"/>
        <w:spacing w:before="100" w:beforeAutospacing="1" w:after="0" w:line="240" w:lineRule="auto"/>
        <w:jc w:val="both"/>
        <w:rPr>
          <w:sz w:val="24"/>
        </w:rPr>
      </w:pPr>
    </w:p>
    <w:p w14:paraId="458BA9AC" w14:textId="77777777" w:rsidR="00E50280" w:rsidRPr="00BF048C" w:rsidRDefault="00E50280" w:rsidP="00E50280">
      <w:pPr>
        <w:shd w:val="clear" w:color="auto" w:fill="FFFFFF"/>
        <w:spacing w:before="100" w:beforeAutospacing="1" w:after="0" w:line="240" w:lineRule="auto"/>
        <w:jc w:val="both"/>
        <w:rPr>
          <w:sz w:val="24"/>
        </w:rPr>
        <w:sectPr w:rsidR="00E50280" w:rsidRPr="00BF048C">
          <w:footerReference w:type="default" r:id="rId15"/>
          <w:pgSz w:w="11906" w:h="16838"/>
          <w:pgMar w:top="1440" w:right="1440" w:bottom="1440" w:left="1440" w:header="708" w:footer="708" w:gutter="0"/>
          <w:cols w:space="708"/>
          <w:docGrid w:linePitch="360"/>
        </w:sectPr>
      </w:pPr>
    </w:p>
    <w:p w14:paraId="794D56C0" w14:textId="52025608" w:rsidR="00856317" w:rsidRPr="009C6898" w:rsidRDefault="00856317" w:rsidP="00856317">
      <w:pPr>
        <w:pStyle w:val="Caption"/>
        <w:keepNext/>
        <w:rPr>
          <w:i w:val="0"/>
          <w:color w:val="auto"/>
          <w:sz w:val="20"/>
        </w:rPr>
      </w:pPr>
      <w:bookmarkStart w:id="11" w:name="_Toc74154075"/>
      <w:r w:rsidRPr="009C6898">
        <w:rPr>
          <w:i w:val="0"/>
          <w:color w:val="auto"/>
          <w:sz w:val="20"/>
        </w:rPr>
        <w:t xml:space="preserve">Table </w:t>
      </w:r>
      <w:r w:rsidRPr="009C6898">
        <w:rPr>
          <w:i w:val="0"/>
          <w:color w:val="auto"/>
          <w:sz w:val="20"/>
        </w:rPr>
        <w:fldChar w:fldCharType="begin"/>
      </w:r>
      <w:r w:rsidRPr="009C6898">
        <w:rPr>
          <w:i w:val="0"/>
          <w:color w:val="auto"/>
          <w:sz w:val="20"/>
        </w:rPr>
        <w:instrText xml:space="preserve"> SEQ Table \* ARABIC </w:instrText>
      </w:r>
      <w:r w:rsidRPr="009C6898">
        <w:rPr>
          <w:i w:val="0"/>
          <w:color w:val="auto"/>
          <w:sz w:val="20"/>
        </w:rPr>
        <w:fldChar w:fldCharType="separate"/>
      </w:r>
      <w:r w:rsidR="007F3156">
        <w:rPr>
          <w:i w:val="0"/>
          <w:noProof/>
          <w:color w:val="auto"/>
          <w:sz w:val="20"/>
        </w:rPr>
        <w:t>1</w:t>
      </w:r>
      <w:r w:rsidRPr="009C6898">
        <w:rPr>
          <w:i w:val="0"/>
          <w:color w:val="auto"/>
          <w:sz w:val="20"/>
        </w:rPr>
        <w:fldChar w:fldCharType="end"/>
      </w:r>
      <w:r w:rsidRPr="009C6898">
        <w:rPr>
          <w:i w:val="0"/>
          <w:color w:val="auto"/>
          <w:sz w:val="20"/>
        </w:rPr>
        <w:t>: Current contraceptive use among women aged 15-49 years</w:t>
      </w:r>
      <w:bookmarkEnd w:id="11"/>
    </w:p>
    <w:tbl>
      <w:tblPr>
        <w:tblStyle w:val="ListTable1Light-Accent3"/>
        <w:tblW w:w="15583" w:type="dxa"/>
        <w:tblLayout w:type="fixed"/>
        <w:tblLook w:val="0400" w:firstRow="0" w:lastRow="0" w:firstColumn="0" w:lastColumn="0" w:noHBand="0" w:noVBand="1"/>
      </w:tblPr>
      <w:tblGrid>
        <w:gridCol w:w="3122"/>
        <w:gridCol w:w="879"/>
        <w:gridCol w:w="733"/>
        <w:gridCol w:w="586"/>
        <w:gridCol w:w="733"/>
        <w:gridCol w:w="1025"/>
        <w:gridCol w:w="1172"/>
        <w:gridCol w:w="879"/>
        <w:gridCol w:w="1172"/>
        <w:gridCol w:w="1216"/>
        <w:gridCol w:w="1423"/>
        <w:gridCol w:w="1441"/>
        <w:gridCol w:w="1184"/>
        <w:gridCol w:w="18"/>
      </w:tblGrid>
      <w:tr w:rsidR="00E50280" w:rsidRPr="00980502" w14:paraId="01EC2BB7" w14:textId="77777777" w:rsidTr="00D86F2F">
        <w:trPr>
          <w:cnfStyle w:val="000000100000" w:firstRow="0" w:lastRow="0" w:firstColumn="0" w:lastColumn="0" w:oddVBand="0" w:evenVBand="0" w:oddHBand="1" w:evenHBand="0" w:firstRowFirstColumn="0" w:firstRowLastColumn="0" w:lastRowFirstColumn="0" w:lastRowLastColumn="0"/>
          <w:trHeight w:val="145"/>
        </w:trPr>
        <w:tc>
          <w:tcPr>
            <w:tcW w:w="15583" w:type="dxa"/>
            <w:gridSpan w:val="14"/>
            <w:shd w:val="clear" w:color="auto" w:fill="FFFFFF" w:themeFill="background1"/>
          </w:tcPr>
          <w:p w14:paraId="19F90972" w14:textId="77777777" w:rsidR="00E50280" w:rsidRPr="00C404DA" w:rsidRDefault="00E50280" w:rsidP="00C404DA">
            <w:pPr>
              <w:spacing w:line="256" w:lineRule="auto"/>
              <w:jc w:val="center"/>
              <w:rPr>
                <w:rFonts w:ascii="Calibri" w:eastAsia="Calibri" w:hAnsi="Calibri" w:cs="Calibri"/>
                <w:b/>
                <w:sz w:val="20"/>
                <w:szCs w:val="14"/>
              </w:rPr>
            </w:pPr>
            <w:r w:rsidRPr="00C404DA">
              <w:rPr>
                <w:rFonts w:ascii="Calibri" w:eastAsia="Calibri" w:hAnsi="Calibri" w:cs="Calibri"/>
                <w:b/>
                <w:sz w:val="20"/>
                <w:szCs w:val="14"/>
              </w:rPr>
              <w:t>Estimated prevalence of contraceptive use among women of reproductive age (15-49 years), 2019 (%)</w:t>
            </w:r>
          </w:p>
        </w:tc>
      </w:tr>
      <w:tr w:rsidR="00E50280" w:rsidRPr="00980502" w14:paraId="26AF12AD" w14:textId="77777777" w:rsidTr="00D86F2F">
        <w:trPr>
          <w:gridAfter w:val="1"/>
          <w:wAfter w:w="18" w:type="dxa"/>
          <w:trHeight w:val="145"/>
        </w:trPr>
        <w:tc>
          <w:tcPr>
            <w:tcW w:w="3122" w:type="dxa"/>
            <w:vMerge w:val="restart"/>
            <w:hideMark/>
          </w:tcPr>
          <w:p w14:paraId="5C55C207"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b/>
                <w:sz w:val="20"/>
                <w:szCs w:val="14"/>
              </w:rPr>
              <w:t>Region</w:t>
            </w:r>
          </w:p>
        </w:tc>
        <w:tc>
          <w:tcPr>
            <w:tcW w:w="879" w:type="dxa"/>
            <w:vMerge w:val="restart"/>
            <w:hideMark/>
          </w:tcPr>
          <w:p w14:paraId="61016960"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Any Method</w:t>
            </w:r>
          </w:p>
        </w:tc>
        <w:tc>
          <w:tcPr>
            <w:tcW w:w="1319" w:type="dxa"/>
            <w:gridSpan w:val="2"/>
            <w:hideMark/>
          </w:tcPr>
          <w:p w14:paraId="0E3468C3"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Sterilization</w:t>
            </w:r>
          </w:p>
        </w:tc>
        <w:tc>
          <w:tcPr>
            <w:tcW w:w="733" w:type="dxa"/>
            <w:vMerge w:val="restart"/>
            <w:hideMark/>
          </w:tcPr>
          <w:p w14:paraId="0BA3AF00"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Pill</w:t>
            </w:r>
          </w:p>
        </w:tc>
        <w:tc>
          <w:tcPr>
            <w:tcW w:w="1025" w:type="dxa"/>
            <w:vMerge w:val="restart"/>
            <w:hideMark/>
          </w:tcPr>
          <w:p w14:paraId="217D4248"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Injectable</w:t>
            </w:r>
          </w:p>
        </w:tc>
        <w:tc>
          <w:tcPr>
            <w:tcW w:w="1172" w:type="dxa"/>
            <w:vMerge w:val="restart"/>
            <w:hideMark/>
          </w:tcPr>
          <w:p w14:paraId="5D648F3C"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Implant</w:t>
            </w:r>
          </w:p>
        </w:tc>
        <w:tc>
          <w:tcPr>
            <w:tcW w:w="879" w:type="dxa"/>
            <w:vMerge w:val="restart"/>
            <w:hideMark/>
          </w:tcPr>
          <w:p w14:paraId="75D7CAC8"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IUD</w:t>
            </w:r>
          </w:p>
        </w:tc>
        <w:tc>
          <w:tcPr>
            <w:tcW w:w="1172" w:type="dxa"/>
            <w:vMerge w:val="restart"/>
          </w:tcPr>
          <w:p w14:paraId="728B60A0" w14:textId="52A8DC3B"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Male condom</w:t>
            </w:r>
          </w:p>
        </w:tc>
        <w:tc>
          <w:tcPr>
            <w:tcW w:w="1216" w:type="dxa"/>
            <w:vMerge w:val="restart"/>
            <w:hideMark/>
          </w:tcPr>
          <w:p w14:paraId="6806D1A2"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Rhythm</w:t>
            </w:r>
          </w:p>
        </w:tc>
        <w:tc>
          <w:tcPr>
            <w:tcW w:w="1423" w:type="dxa"/>
            <w:vMerge w:val="restart"/>
            <w:hideMark/>
          </w:tcPr>
          <w:p w14:paraId="68A52943"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Withdrawal</w:t>
            </w:r>
          </w:p>
        </w:tc>
        <w:tc>
          <w:tcPr>
            <w:tcW w:w="1441" w:type="dxa"/>
            <w:vMerge w:val="restart"/>
          </w:tcPr>
          <w:p w14:paraId="232CE162"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Other methods</w:t>
            </w:r>
          </w:p>
        </w:tc>
        <w:tc>
          <w:tcPr>
            <w:tcW w:w="1184" w:type="dxa"/>
            <w:vMerge w:val="restart"/>
          </w:tcPr>
          <w:p w14:paraId="0BCF319D" w14:textId="77777777" w:rsidR="00E50280" w:rsidRPr="00C404DA" w:rsidRDefault="00E50280" w:rsidP="00B55D25">
            <w:pPr>
              <w:spacing w:line="256" w:lineRule="auto"/>
              <w:jc w:val="center"/>
              <w:rPr>
                <w:rFonts w:ascii="Calibri" w:eastAsia="Calibri" w:hAnsi="Calibri" w:cs="Calibri"/>
                <w:sz w:val="20"/>
                <w:szCs w:val="14"/>
              </w:rPr>
            </w:pPr>
            <w:r w:rsidRPr="00C404DA">
              <w:rPr>
                <w:rFonts w:ascii="Calibri" w:eastAsia="Calibri" w:hAnsi="Calibri" w:cs="Calibri"/>
                <w:sz w:val="20"/>
                <w:szCs w:val="14"/>
              </w:rPr>
              <w:t>Unmet need</w:t>
            </w:r>
          </w:p>
        </w:tc>
      </w:tr>
      <w:tr w:rsidR="00E50280" w:rsidRPr="00980502" w14:paraId="32225B52"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52"/>
        </w:trPr>
        <w:tc>
          <w:tcPr>
            <w:tcW w:w="3122" w:type="dxa"/>
            <w:vMerge/>
            <w:hideMark/>
          </w:tcPr>
          <w:p w14:paraId="256C4AFE" w14:textId="77777777" w:rsidR="00E50280" w:rsidRPr="00C404DA" w:rsidRDefault="00E50280" w:rsidP="00C404DA">
            <w:pPr>
              <w:spacing w:line="256" w:lineRule="auto"/>
              <w:rPr>
                <w:rFonts w:ascii="Calibri" w:eastAsia="Calibri" w:hAnsi="Calibri" w:cs="Calibri"/>
                <w:sz w:val="20"/>
              </w:rPr>
            </w:pPr>
          </w:p>
        </w:tc>
        <w:tc>
          <w:tcPr>
            <w:tcW w:w="879" w:type="dxa"/>
            <w:vMerge/>
            <w:hideMark/>
          </w:tcPr>
          <w:p w14:paraId="4685CB70" w14:textId="77777777" w:rsidR="00E50280" w:rsidRPr="00C404DA" w:rsidRDefault="00E50280" w:rsidP="00B55D25">
            <w:pPr>
              <w:spacing w:line="256" w:lineRule="auto"/>
              <w:jc w:val="center"/>
              <w:rPr>
                <w:rFonts w:ascii="Calibri" w:eastAsia="Calibri" w:hAnsi="Calibri" w:cs="Calibri"/>
                <w:sz w:val="20"/>
              </w:rPr>
            </w:pPr>
          </w:p>
        </w:tc>
        <w:tc>
          <w:tcPr>
            <w:tcW w:w="733" w:type="dxa"/>
            <w:shd w:val="clear" w:color="auto" w:fill="FFFFFF" w:themeFill="background1"/>
          </w:tcPr>
          <w:p w14:paraId="15DA6760" w14:textId="77777777" w:rsidR="00E50280" w:rsidRPr="00C404DA" w:rsidRDefault="00E50280" w:rsidP="00B55D25">
            <w:pPr>
              <w:jc w:val="center"/>
              <w:rPr>
                <w:rFonts w:ascii="Calibri" w:eastAsia="Calibri" w:hAnsi="Calibri" w:cs="Calibri"/>
                <w:sz w:val="20"/>
              </w:rPr>
            </w:pPr>
            <w:r w:rsidRPr="00C404DA">
              <w:rPr>
                <w:rFonts w:ascii="Calibri" w:eastAsia="Calibri" w:hAnsi="Calibri" w:cs="Calibri"/>
                <w:sz w:val="20"/>
                <w:szCs w:val="16"/>
              </w:rPr>
              <w:t>F</w:t>
            </w:r>
          </w:p>
        </w:tc>
        <w:tc>
          <w:tcPr>
            <w:tcW w:w="586" w:type="dxa"/>
            <w:shd w:val="clear" w:color="auto" w:fill="FFFFFF" w:themeFill="background1"/>
          </w:tcPr>
          <w:p w14:paraId="76BC7FA0" w14:textId="77777777" w:rsidR="00E50280" w:rsidRPr="00C404DA" w:rsidRDefault="00E50280" w:rsidP="00B55D25">
            <w:pPr>
              <w:jc w:val="center"/>
              <w:rPr>
                <w:rFonts w:ascii="Calibri" w:eastAsia="Calibri" w:hAnsi="Calibri" w:cs="Calibri"/>
                <w:sz w:val="20"/>
              </w:rPr>
            </w:pPr>
            <w:r w:rsidRPr="00C404DA">
              <w:rPr>
                <w:rFonts w:ascii="Calibri" w:eastAsia="Calibri" w:hAnsi="Calibri" w:cs="Calibri"/>
                <w:sz w:val="20"/>
                <w:szCs w:val="16"/>
              </w:rPr>
              <w:t>M</w:t>
            </w:r>
          </w:p>
        </w:tc>
        <w:tc>
          <w:tcPr>
            <w:tcW w:w="733" w:type="dxa"/>
            <w:vMerge/>
            <w:hideMark/>
          </w:tcPr>
          <w:p w14:paraId="38790E58" w14:textId="77777777" w:rsidR="00E50280" w:rsidRPr="00C404DA" w:rsidRDefault="00E50280" w:rsidP="00B55D25">
            <w:pPr>
              <w:spacing w:line="256" w:lineRule="auto"/>
              <w:jc w:val="center"/>
              <w:rPr>
                <w:rFonts w:ascii="Calibri" w:eastAsia="Calibri" w:hAnsi="Calibri" w:cs="Calibri"/>
                <w:sz w:val="20"/>
              </w:rPr>
            </w:pPr>
          </w:p>
        </w:tc>
        <w:tc>
          <w:tcPr>
            <w:tcW w:w="1025" w:type="dxa"/>
            <w:vMerge/>
            <w:hideMark/>
          </w:tcPr>
          <w:p w14:paraId="17280B21" w14:textId="77777777" w:rsidR="00E50280" w:rsidRPr="00C404DA" w:rsidRDefault="00E50280" w:rsidP="00B55D25">
            <w:pPr>
              <w:spacing w:line="256" w:lineRule="auto"/>
              <w:jc w:val="center"/>
              <w:rPr>
                <w:rFonts w:ascii="Calibri" w:eastAsia="Calibri" w:hAnsi="Calibri" w:cs="Calibri"/>
                <w:sz w:val="20"/>
              </w:rPr>
            </w:pPr>
          </w:p>
        </w:tc>
        <w:tc>
          <w:tcPr>
            <w:tcW w:w="1172" w:type="dxa"/>
            <w:vMerge/>
            <w:hideMark/>
          </w:tcPr>
          <w:p w14:paraId="763FBD90" w14:textId="77777777" w:rsidR="00E50280" w:rsidRPr="00C404DA" w:rsidRDefault="00E50280" w:rsidP="00B55D25">
            <w:pPr>
              <w:spacing w:line="256" w:lineRule="auto"/>
              <w:jc w:val="center"/>
              <w:rPr>
                <w:rFonts w:ascii="Calibri" w:eastAsia="Calibri" w:hAnsi="Calibri" w:cs="Calibri"/>
                <w:sz w:val="20"/>
              </w:rPr>
            </w:pPr>
          </w:p>
        </w:tc>
        <w:tc>
          <w:tcPr>
            <w:tcW w:w="879" w:type="dxa"/>
            <w:vMerge/>
            <w:hideMark/>
          </w:tcPr>
          <w:p w14:paraId="06582F95" w14:textId="77777777" w:rsidR="00E50280" w:rsidRPr="00C404DA" w:rsidRDefault="00E50280" w:rsidP="00B55D25">
            <w:pPr>
              <w:spacing w:line="256" w:lineRule="auto"/>
              <w:jc w:val="center"/>
              <w:rPr>
                <w:rFonts w:ascii="Calibri" w:eastAsia="Calibri" w:hAnsi="Calibri" w:cs="Calibri"/>
                <w:sz w:val="20"/>
              </w:rPr>
            </w:pPr>
          </w:p>
        </w:tc>
        <w:tc>
          <w:tcPr>
            <w:tcW w:w="1172" w:type="dxa"/>
            <w:vMerge/>
          </w:tcPr>
          <w:p w14:paraId="00261AC2" w14:textId="77777777" w:rsidR="00E50280" w:rsidRPr="00C404DA" w:rsidRDefault="00E50280" w:rsidP="00B55D25">
            <w:pPr>
              <w:spacing w:line="256" w:lineRule="auto"/>
              <w:jc w:val="center"/>
              <w:rPr>
                <w:rFonts w:ascii="Calibri" w:eastAsia="Calibri" w:hAnsi="Calibri" w:cs="Calibri"/>
                <w:sz w:val="20"/>
              </w:rPr>
            </w:pPr>
          </w:p>
        </w:tc>
        <w:tc>
          <w:tcPr>
            <w:tcW w:w="1216" w:type="dxa"/>
            <w:vMerge/>
            <w:hideMark/>
          </w:tcPr>
          <w:p w14:paraId="50DD3DB9" w14:textId="77777777" w:rsidR="00E50280" w:rsidRPr="00C404DA" w:rsidRDefault="00E50280" w:rsidP="00B55D25">
            <w:pPr>
              <w:spacing w:line="256" w:lineRule="auto"/>
              <w:jc w:val="center"/>
              <w:rPr>
                <w:rFonts w:ascii="Calibri" w:eastAsia="Calibri" w:hAnsi="Calibri" w:cs="Calibri"/>
                <w:sz w:val="20"/>
              </w:rPr>
            </w:pPr>
          </w:p>
        </w:tc>
        <w:tc>
          <w:tcPr>
            <w:tcW w:w="1423" w:type="dxa"/>
            <w:vMerge/>
            <w:hideMark/>
          </w:tcPr>
          <w:p w14:paraId="5295B35B" w14:textId="77777777" w:rsidR="00E50280" w:rsidRPr="00C404DA" w:rsidRDefault="00E50280" w:rsidP="00B55D25">
            <w:pPr>
              <w:spacing w:line="256" w:lineRule="auto"/>
              <w:jc w:val="center"/>
              <w:rPr>
                <w:rFonts w:ascii="Calibri" w:eastAsia="Calibri" w:hAnsi="Calibri" w:cs="Calibri"/>
                <w:sz w:val="20"/>
              </w:rPr>
            </w:pPr>
          </w:p>
        </w:tc>
        <w:tc>
          <w:tcPr>
            <w:tcW w:w="1441" w:type="dxa"/>
            <w:vMerge/>
          </w:tcPr>
          <w:p w14:paraId="540E876B" w14:textId="77777777" w:rsidR="00E50280" w:rsidRPr="00C404DA" w:rsidRDefault="00E50280" w:rsidP="00B55D25">
            <w:pPr>
              <w:spacing w:line="256" w:lineRule="auto"/>
              <w:jc w:val="center"/>
              <w:rPr>
                <w:rFonts w:ascii="Calibri" w:eastAsia="Calibri" w:hAnsi="Calibri" w:cs="Calibri"/>
                <w:sz w:val="20"/>
              </w:rPr>
            </w:pPr>
          </w:p>
        </w:tc>
        <w:tc>
          <w:tcPr>
            <w:tcW w:w="1184" w:type="dxa"/>
            <w:vMerge/>
          </w:tcPr>
          <w:p w14:paraId="4C6DFA26" w14:textId="77777777" w:rsidR="00E50280" w:rsidRPr="00C404DA" w:rsidRDefault="00E50280" w:rsidP="00B55D25">
            <w:pPr>
              <w:spacing w:line="256" w:lineRule="auto"/>
              <w:jc w:val="center"/>
              <w:rPr>
                <w:rFonts w:ascii="Calibri" w:eastAsia="Calibri" w:hAnsi="Calibri" w:cs="Calibri"/>
                <w:sz w:val="20"/>
              </w:rPr>
            </w:pPr>
          </w:p>
        </w:tc>
      </w:tr>
      <w:tr w:rsidR="00E50280" w:rsidRPr="00980502" w14:paraId="0FBF67BA" w14:textId="77777777" w:rsidTr="00D86F2F">
        <w:trPr>
          <w:gridAfter w:val="1"/>
          <w:wAfter w:w="18" w:type="dxa"/>
          <w:trHeight w:val="207"/>
        </w:trPr>
        <w:tc>
          <w:tcPr>
            <w:tcW w:w="3122" w:type="dxa"/>
            <w:shd w:val="clear" w:color="auto" w:fill="89C2E5" w:themeFill="accent3" w:themeFillTint="66"/>
            <w:hideMark/>
          </w:tcPr>
          <w:p w14:paraId="6B16389F"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World</w:t>
            </w:r>
          </w:p>
        </w:tc>
        <w:tc>
          <w:tcPr>
            <w:tcW w:w="879" w:type="dxa"/>
            <w:shd w:val="clear" w:color="auto" w:fill="89C2E5" w:themeFill="accent3" w:themeFillTint="66"/>
          </w:tcPr>
          <w:p w14:paraId="4E8711D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48.5</w:t>
            </w:r>
          </w:p>
        </w:tc>
        <w:tc>
          <w:tcPr>
            <w:tcW w:w="733" w:type="dxa"/>
            <w:shd w:val="clear" w:color="auto" w:fill="89C2E5" w:themeFill="accent3" w:themeFillTint="66"/>
          </w:tcPr>
          <w:p w14:paraId="2EC341B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11.5</w:t>
            </w:r>
          </w:p>
        </w:tc>
        <w:tc>
          <w:tcPr>
            <w:tcW w:w="586" w:type="dxa"/>
            <w:shd w:val="clear" w:color="auto" w:fill="89C2E5" w:themeFill="accent3" w:themeFillTint="66"/>
          </w:tcPr>
          <w:p w14:paraId="13BBD0B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0.9</w:t>
            </w:r>
          </w:p>
        </w:tc>
        <w:tc>
          <w:tcPr>
            <w:tcW w:w="733" w:type="dxa"/>
            <w:shd w:val="clear" w:color="auto" w:fill="89C2E5" w:themeFill="accent3" w:themeFillTint="66"/>
          </w:tcPr>
          <w:p w14:paraId="27428C7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8.0</w:t>
            </w:r>
          </w:p>
        </w:tc>
        <w:tc>
          <w:tcPr>
            <w:tcW w:w="1025" w:type="dxa"/>
            <w:shd w:val="clear" w:color="auto" w:fill="89C2E5" w:themeFill="accent3" w:themeFillTint="66"/>
          </w:tcPr>
          <w:p w14:paraId="3F1298F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1172" w:type="dxa"/>
            <w:shd w:val="clear" w:color="auto" w:fill="89C2E5" w:themeFill="accent3" w:themeFillTint="66"/>
          </w:tcPr>
          <w:p w14:paraId="4783851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10.0</w:t>
            </w:r>
          </w:p>
        </w:tc>
        <w:tc>
          <w:tcPr>
            <w:tcW w:w="879" w:type="dxa"/>
            <w:shd w:val="clear" w:color="auto" w:fill="89C2E5" w:themeFill="accent3" w:themeFillTint="66"/>
          </w:tcPr>
          <w:p w14:paraId="1B94934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8.4</w:t>
            </w:r>
          </w:p>
        </w:tc>
        <w:tc>
          <w:tcPr>
            <w:tcW w:w="1172" w:type="dxa"/>
            <w:shd w:val="clear" w:color="auto" w:fill="89C2E5" w:themeFill="accent3" w:themeFillTint="66"/>
          </w:tcPr>
          <w:p w14:paraId="2DE2C3D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10.0</w:t>
            </w:r>
          </w:p>
        </w:tc>
        <w:tc>
          <w:tcPr>
            <w:tcW w:w="1216" w:type="dxa"/>
            <w:shd w:val="clear" w:color="auto" w:fill="89C2E5" w:themeFill="accent3" w:themeFillTint="66"/>
          </w:tcPr>
          <w:p w14:paraId="6F7EE52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shd w:val="clear" w:color="auto" w:fill="89C2E5" w:themeFill="accent3" w:themeFillTint="66"/>
          </w:tcPr>
          <w:p w14:paraId="722A7DF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2.5</w:t>
            </w:r>
          </w:p>
        </w:tc>
        <w:tc>
          <w:tcPr>
            <w:tcW w:w="1441" w:type="dxa"/>
            <w:shd w:val="clear" w:color="auto" w:fill="89C2E5" w:themeFill="accent3" w:themeFillTint="66"/>
          </w:tcPr>
          <w:p w14:paraId="632F0A0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0.8</w:t>
            </w:r>
          </w:p>
        </w:tc>
        <w:tc>
          <w:tcPr>
            <w:tcW w:w="1184" w:type="dxa"/>
            <w:shd w:val="clear" w:color="auto" w:fill="89C2E5" w:themeFill="accent3" w:themeFillTint="66"/>
          </w:tcPr>
          <w:p w14:paraId="1EA0894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11.3</w:t>
            </w:r>
          </w:p>
        </w:tc>
      </w:tr>
      <w:tr w:rsidR="00E50280" w:rsidRPr="00980502" w14:paraId="7DB812F7"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262"/>
        </w:trPr>
        <w:tc>
          <w:tcPr>
            <w:tcW w:w="3122" w:type="dxa"/>
            <w:hideMark/>
          </w:tcPr>
          <w:p w14:paraId="3CFAF282"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Developed Regions</w:t>
            </w:r>
          </w:p>
        </w:tc>
        <w:tc>
          <w:tcPr>
            <w:tcW w:w="879" w:type="dxa"/>
          </w:tcPr>
          <w:p w14:paraId="023637F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57.0</w:t>
            </w:r>
          </w:p>
        </w:tc>
        <w:tc>
          <w:tcPr>
            <w:tcW w:w="733" w:type="dxa"/>
          </w:tcPr>
          <w:p w14:paraId="750D2D2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5.7</w:t>
            </w:r>
          </w:p>
        </w:tc>
        <w:tc>
          <w:tcPr>
            <w:tcW w:w="586" w:type="dxa"/>
          </w:tcPr>
          <w:p w14:paraId="1589529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2.4</w:t>
            </w:r>
          </w:p>
        </w:tc>
        <w:tc>
          <w:tcPr>
            <w:tcW w:w="733" w:type="dxa"/>
          </w:tcPr>
          <w:p w14:paraId="503312BF"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16.5</w:t>
            </w:r>
          </w:p>
        </w:tc>
        <w:tc>
          <w:tcPr>
            <w:tcW w:w="1025" w:type="dxa"/>
          </w:tcPr>
          <w:p w14:paraId="52630EB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1172" w:type="dxa"/>
          </w:tcPr>
          <w:p w14:paraId="3D3765F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1.1</w:t>
            </w:r>
          </w:p>
        </w:tc>
        <w:tc>
          <w:tcPr>
            <w:tcW w:w="879" w:type="dxa"/>
          </w:tcPr>
          <w:p w14:paraId="114F30B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7.2</w:t>
            </w:r>
          </w:p>
        </w:tc>
        <w:tc>
          <w:tcPr>
            <w:tcW w:w="1172" w:type="dxa"/>
          </w:tcPr>
          <w:p w14:paraId="260B8AC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16.3</w:t>
            </w:r>
          </w:p>
        </w:tc>
        <w:tc>
          <w:tcPr>
            <w:tcW w:w="1216" w:type="dxa"/>
          </w:tcPr>
          <w:p w14:paraId="23D6FE8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tcPr>
          <w:p w14:paraId="09EE866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4.1</w:t>
            </w:r>
          </w:p>
        </w:tc>
        <w:tc>
          <w:tcPr>
            <w:tcW w:w="1441" w:type="dxa"/>
          </w:tcPr>
          <w:p w14:paraId="1EA6508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w:t>
            </w:r>
          </w:p>
        </w:tc>
        <w:tc>
          <w:tcPr>
            <w:tcW w:w="1184" w:type="dxa"/>
          </w:tcPr>
          <w:p w14:paraId="6D6CB06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8.5</w:t>
            </w:r>
          </w:p>
        </w:tc>
      </w:tr>
      <w:tr w:rsidR="00E50280" w:rsidRPr="00980502" w14:paraId="0DB99539" w14:textId="77777777" w:rsidTr="00D86F2F">
        <w:trPr>
          <w:gridAfter w:val="1"/>
          <w:wAfter w:w="18" w:type="dxa"/>
          <w:trHeight w:val="267"/>
        </w:trPr>
        <w:tc>
          <w:tcPr>
            <w:tcW w:w="3122" w:type="dxa"/>
            <w:shd w:val="clear" w:color="auto" w:fill="C3E0F2" w:themeFill="accent3" w:themeFillTint="33"/>
            <w:hideMark/>
          </w:tcPr>
          <w:p w14:paraId="19BC8CBD"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Less developed regions</w:t>
            </w:r>
          </w:p>
        </w:tc>
        <w:tc>
          <w:tcPr>
            <w:tcW w:w="879" w:type="dxa"/>
            <w:shd w:val="clear" w:color="auto" w:fill="C3E0F2" w:themeFill="accent3" w:themeFillTint="33"/>
          </w:tcPr>
          <w:p w14:paraId="716FDDA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47.0</w:t>
            </w:r>
          </w:p>
        </w:tc>
        <w:tc>
          <w:tcPr>
            <w:tcW w:w="733" w:type="dxa"/>
            <w:shd w:val="clear" w:color="auto" w:fill="C3E0F2" w:themeFill="accent3" w:themeFillTint="33"/>
          </w:tcPr>
          <w:p w14:paraId="6B96B22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12.5</w:t>
            </w:r>
          </w:p>
        </w:tc>
        <w:tc>
          <w:tcPr>
            <w:tcW w:w="586" w:type="dxa"/>
            <w:shd w:val="clear" w:color="auto" w:fill="C3E0F2" w:themeFill="accent3" w:themeFillTint="33"/>
          </w:tcPr>
          <w:p w14:paraId="0F3D201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733" w:type="dxa"/>
            <w:shd w:val="clear" w:color="auto" w:fill="C3E0F2" w:themeFill="accent3" w:themeFillTint="33"/>
          </w:tcPr>
          <w:p w14:paraId="3703F1EF"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6.5</w:t>
            </w:r>
          </w:p>
        </w:tc>
        <w:tc>
          <w:tcPr>
            <w:tcW w:w="1025" w:type="dxa"/>
            <w:shd w:val="clear" w:color="auto" w:fill="C3E0F2" w:themeFill="accent3" w:themeFillTint="33"/>
          </w:tcPr>
          <w:p w14:paraId="2D653BC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4.4</w:t>
            </w:r>
          </w:p>
        </w:tc>
        <w:tc>
          <w:tcPr>
            <w:tcW w:w="1172" w:type="dxa"/>
            <w:shd w:val="clear" w:color="auto" w:fill="C3E0F2" w:themeFill="accent3" w:themeFillTint="33"/>
          </w:tcPr>
          <w:p w14:paraId="1FB35F5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879" w:type="dxa"/>
            <w:shd w:val="clear" w:color="auto" w:fill="C3E0F2" w:themeFill="accent3" w:themeFillTint="33"/>
          </w:tcPr>
          <w:p w14:paraId="3F5C835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8.6</w:t>
            </w:r>
          </w:p>
        </w:tc>
        <w:tc>
          <w:tcPr>
            <w:tcW w:w="1172" w:type="dxa"/>
            <w:shd w:val="clear" w:color="auto" w:fill="C3E0F2" w:themeFill="accent3" w:themeFillTint="33"/>
          </w:tcPr>
          <w:p w14:paraId="5B275D1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8.9</w:t>
            </w:r>
          </w:p>
        </w:tc>
        <w:tc>
          <w:tcPr>
            <w:tcW w:w="1216" w:type="dxa"/>
            <w:shd w:val="clear" w:color="auto" w:fill="C3E0F2" w:themeFill="accent3" w:themeFillTint="33"/>
          </w:tcPr>
          <w:p w14:paraId="102A6BC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shd w:val="clear" w:color="auto" w:fill="C3E0F2" w:themeFill="accent3" w:themeFillTint="33"/>
          </w:tcPr>
          <w:p w14:paraId="4675B53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2.2</w:t>
            </w:r>
          </w:p>
        </w:tc>
        <w:tc>
          <w:tcPr>
            <w:tcW w:w="1441" w:type="dxa"/>
            <w:shd w:val="clear" w:color="auto" w:fill="C3E0F2" w:themeFill="accent3" w:themeFillTint="33"/>
          </w:tcPr>
          <w:p w14:paraId="2CB6E05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0.7</w:t>
            </w:r>
          </w:p>
        </w:tc>
        <w:tc>
          <w:tcPr>
            <w:tcW w:w="1184" w:type="dxa"/>
            <w:shd w:val="clear" w:color="auto" w:fill="C3E0F2" w:themeFill="accent3" w:themeFillTint="33"/>
          </w:tcPr>
          <w:p w14:paraId="7EC95B1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11.7</w:t>
            </w:r>
          </w:p>
        </w:tc>
      </w:tr>
      <w:tr w:rsidR="00E50280" w:rsidRPr="00980502" w14:paraId="38E4792E"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267"/>
        </w:trPr>
        <w:tc>
          <w:tcPr>
            <w:tcW w:w="3122" w:type="dxa"/>
          </w:tcPr>
          <w:p w14:paraId="239E60FC"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Less developed regions, excluding least developed countries</w:t>
            </w:r>
          </w:p>
        </w:tc>
        <w:tc>
          <w:tcPr>
            <w:tcW w:w="879" w:type="dxa"/>
          </w:tcPr>
          <w:p w14:paraId="0DFB5CA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50.1</w:t>
            </w:r>
          </w:p>
        </w:tc>
        <w:tc>
          <w:tcPr>
            <w:tcW w:w="733" w:type="dxa"/>
          </w:tcPr>
          <w:p w14:paraId="7F1DE92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14.5</w:t>
            </w:r>
          </w:p>
        </w:tc>
        <w:tc>
          <w:tcPr>
            <w:tcW w:w="586" w:type="dxa"/>
          </w:tcPr>
          <w:p w14:paraId="3986546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733" w:type="dxa"/>
          </w:tcPr>
          <w:p w14:paraId="71601DE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6.2</w:t>
            </w:r>
          </w:p>
        </w:tc>
        <w:tc>
          <w:tcPr>
            <w:tcW w:w="1025" w:type="dxa"/>
          </w:tcPr>
          <w:p w14:paraId="0F68DD4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3.4</w:t>
            </w:r>
          </w:p>
        </w:tc>
        <w:tc>
          <w:tcPr>
            <w:tcW w:w="1172" w:type="dxa"/>
          </w:tcPr>
          <w:p w14:paraId="44FD87B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0.9</w:t>
            </w:r>
          </w:p>
        </w:tc>
        <w:tc>
          <w:tcPr>
            <w:tcW w:w="879" w:type="dxa"/>
          </w:tcPr>
          <w:p w14:paraId="4D4B732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10.1</w:t>
            </w:r>
          </w:p>
        </w:tc>
        <w:tc>
          <w:tcPr>
            <w:tcW w:w="1172" w:type="dxa"/>
          </w:tcPr>
          <w:p w14:paraId="628DA7E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10.0</w:t>
            </w:r>
          </w:p>
        </w:tc>
        <w:tc>
          <w:tcPr>
            <w:tcW w:w="1216" w:type="dxa"/>
          </w:tcPr>
          <w:p w14:paraId="6F6F827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w:t>
            </w:r>
          </w:p>
        </w:tc>
        <w:tc>
          <w:tcPr>
            <w:tcW w:w="1423" w:type="dxa"/>
          </w:tcPr>
          <w:p w14:paraId="23EBF90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2.4</w:t>
            </w:r>
          </w:p>
        </w:tc>
        <w:tc>
          <w:tcPr>
            <w:tcW w:w="1441" w:type="dxa"/>
          </w:tcPr>
          <w:p w14:paraId="2EBC47A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1184" w:type="dxa"/>
          </w:tcPr>
          <w:p w14:paraId="08156C32" w14:textId="77777777" w:rsidR="00E50280" w:rsidRPr="00C404DA" w:rsidRDefault="00E50280" w:rsidP="00B55D25">
            <w:pPr>
              <w:spacing w:line="256" w:lineRule="auto"/>
              <w:jc w:val="center"/>
              <w:rPr>
                <w:rFonts w:ascii="Calibri" w:eastAsia="Calibri" w:hAnsi="Calibri" w:cs="Calibri"/>
                <w:sz w:val="20"/>
                <w:szCs w:val="16"/>
              </w:rPr>
            </w:pPr>
          </w:p>
        </w:tc>
      </w:tr>
      <w:tr w:rsidR="00E50280" w:rsidRPr="00980502" w14:paraId="1B0E55BD" w14:textId="77777777" w:rsidTr="00D86F2F">
        <w:trPr>
          <w:gridAfter w:val="1"/>
          <w:wAfter w:w="18" w:type="dxa"/>
          <w:trHeight w:val="267"/>
        </w:trPr>
        <w:tc>
          <w:tcPr>
            <w:tcW w:w="3122" w:type="dxa"/>
            <w:shd w:val="clear" w:color="auto" w:fill="C3E0F2" w:themeFill="accent3" w:themeFillTint="33"/>
          </w:tcPr>
          <w:p w14:paraId="3009AA56"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Less developed regions, excluding China</w:t>
            </w:r>
          </w:p>
        </w:tc>
        <w:tc>
          <w:tcPr>
            <w:tcW w:w="879" w:type="dxa"/>
            <w:shd w:val="clear" w:color="auto" w:fill="C3E0F2" w:themeFill="accent3" w:themeFillTint="33"/>
          </w:tcPr>
          <w:p w14:paraId="7DD869C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41.0</w:t>
            </w:r>
          </w:p>
        </w:tc>
        <w:tc>
          <w:tcPr>
            <w:tcW w:w="733" w:type="dxa"/>
            <w:shd w:val="clear" w:color="auto" w:fill="C3E0F2" w:themeFill="accent3" w:themeFillTint="33"/>
          </w:tcPr>
          <w:p w14:paraId="725FBF0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12.1</w:t>
            </w:r>
          </w:p>
        </w:tc>
        <w:tc>
          <w:tcPr>
            <w:tcW w:w="586" w:type="dxa"/>
            <w:shd w:val="clear" w:color="auto" w:fill="C3E0F2" w:themeFill="accent3" w:themeFillTint="33"/>
          </w:tcPr>
          <w:p w14:paraId="5E305C9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0.5</w:t>
            </w:r>
          </w:p>
        </w:tc>
        <w:tc>
          <w:tcPr>
            <w:tcW w:w="733" w:type="dxa"/>
            <w:shd w:val="clear" w:color="auto" w:fill="C3E0F2" w:themeFill="accent3" w:themeFillTint="33"/>
          </w:tcPr>
          <w:p w14:paraId="005BE53F"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7.6</w:t>
            </w:r>
          </w:p>
        </w:tc>
        <w:tc>
          <w:tcPr>
            <w:tcW w:w="1025" w:type="dxa"/>
            <w:shd w:val="clear" w:color="auto" w:fill="C3E0F2" w:themeFill="accent3" w:themeFillTint="33"/>
          </w:tcPr>
          <w:p w14:paraId="607648B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5.6</w:t>
            </w:r>
          </w:p>
        </w:tc>
        <w:tc>
          <w:tcPr>
            <w:tcW w:w="1172" w:type="dxa"/>
            <w:shd w:val="clear" w:color="auto" w:fill="C3E0F2" w:themeFill="accent3" w:themeFillTint="33"/>
          </w:tcPr>
          <w:p w14:paraId="34CFD85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879" w:type="dxa"/>
            <w:shd w:val="clear" w:color="auto" w:fill="C3E0F2" w:themeFill="accent3" w:themeFillTint="33"/>
          </w:tcPr>
          <w:p w14:paraId="24AA62C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3.9</w:t>
            </w:r>
          </w:p>
        </w:tc>
        <w:tc>
          <w:tcPr>
            <w:tcW w:w="1172" w:type="dxa"/>
            <w:shd w:val="clear" w:color="auto" w:fill="C3E0F2" w:themeFill="accent3" w:themeFillTint="33"/>
          </w:tcPr>
          <w:p w14:paraId="379B835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5.0</w:t>
            </w:r>
          </w:p>
        </w:tc>
        <w:tc>
          <w:tcPr>
            <w:tcW w:w="1216" w:type="dxa"/>
            <w:shd w:val="clear" w:color="auto" w:fill="C3E0F2" w:themeFill="accent3" w:themeFillTint="33"/>
          </w:tcPr>
          <w:p w14:paraId="6409A84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1.7</w:t>
            </w:r>
          </w:p>
        </w:tc>
        <w:tc>
          <w:tcPr>
            <w:tcW w:w="1423" w:type="dxa"/>
            <w:shd w:val="clear" w:color="auto" w:fill="C3E0F2" w:themeFill="accent3" w:themeFillTint="33"/>
          </w:tcPr>
          <w:p w14:paraId="618943D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2.6</w:t>
            </w:r>
          </w:p>
        </w:tc>
        <w:tc>
          <w:tcPr>
            <w:tcW w:w="1441" w:type="dxa"/>
            <w:shd w:val="clear" w:color="auto" w:fill="C3E0F2" w:themeFill="accent3" w:themeFillTint="33"/>
          </w:tcPr>
          <w:p w14:paraId="69FC9B1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1184" w:type="dxa"/>
            <w:shd w:val="clear" w:color="auto" w:fill="C3E0F2" w:themeFill="accent3" w:themeFillTint="33"/>
          </w:tcPr>
          <w:p w14:paraId="1AD5E712" w14:textId="77777777" w:rsidR="00E50280" w:rsidRPr="00C404DA" w:rsidRDefault="00E50280" w:rsidP="00B55D25">
            <w:pPr>
              <w:spacing w:line="256" w:lineRule="auto"/>
              <w:jc w:val="center"/>
              <w:rPr>
                <w:rFonts w:ascii="Calibri" w:eastAsia="Calibri" w:hAnsi="Calibri" w:cs="Calibri"/>
                <w:sz w:val="20"/>
                <w:szCs w:val="16"/>
              </w:rPr>
            </w:pPr>
          </w:p>
        </w:tc>
      </w:tr>
      <w:tr w:rsidR="00E50280" w:rsidRPr="00980502" w14:paraId="7ED09D96"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360"/>
        </w:trPr>
        <w:tc>
          <w:tcPr>
            <w:tcW w:w="3122" w:type="dxa"/>
            <w:hideMark/>
          </w:tcPr>
          <w:p w14:paraId="0FFBEFFB"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Least Developed Countries</w:t>
            </w:r>
          </w:p>
        </w:tc>
        <w:tc>
          <w:tcPr>
            <w:tcW w:w="879" w:type="dxa"/>
          </w:tcPr>
          <w:p w14:paraId="4F322C2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30.9</w:t>
            </w:r>
          </w:p>
        </w:tc>
        <w:tc>
          <w:tcPr>
            <w:tcW w:w="733" w:type="dxa"/>
          </w:tcPr>
          <w:p w14:paraId="52D3AD7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2.1</w:t>
            </w:r>
          </w:p>
        </w:tc>
        <w:tc>
          <w:tcPr>
            <w:tcW w:w="586" w:type="dxa"/>
          </w:tcPr>
          <w:p w14:paraId="1DB20F3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0.4</w:t>
            </w:r>
          </w:p>
        </w:tc>
        <w:tc>
          <w:tcPr>
            <w:tcW w:w="733" w:type="dxa"/>
          </w:tcPr>
          <w:p w14:paraId="52FE5CD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7.7</w:t>
            </w:r>
          </w:p>
        </w:tc>
        <w:tc>
          <w:tcPr>
            <w:tcW w:w="1025" w:type="dxa"/>
          </w:tcPr>
          <w:p w14:paraId="033B7B5F"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9.6</w:t>
            </w:r>
          </w:p>
        </w:tc>
        <w:tc>
          <w:tcPr>
            <w:tcW w:w="1172" w:type="dxa"/>
          </w:tcPr>
          <w:p w14:paraId="1BF89CE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2.9</w:t>
            </w:r>
          </w:p>
        </w:tc>
        <w:tc>
          <w:tcPr>
            <w:tcW w:w="879" w:type="dxa"/>
          </w:tcPr>
          <w:p w14:paraId="2BA7A53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0.8</w:t>
            </w:r>
          </w:p>
        </w:tc>
        <w:tc>
          <w:tcPr>
            <w:tcW w:w="1172" w:type="dxa"/>
          </w:tcPr>
          <w:p w14:paraId="5979AC9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3.2</w:t>
            </w:r>
          </w:p>
        </w:tc>
        <w:tc>
          <w:tcPr>
            <w:tcW w:w="1216" w:type="dxa"/>
          </w:tcPr>
          <w:p w14:paraId="2BDEB12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2.0</w:t>
            </w:r>
          </w:p>
        </w:tc>
        <w:tc>
          <w:tcPr>
            <w:tcW w:w="1423" w:type="dxa"/>
          </w:tcPr>
          <w:p w14:paraId="193F545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1441" w:type="dxa"/>
          </w:tcPr>
          <w:p w14:paraId="2D93CE1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1184" w:type="dxa"/>
          </w:tcPr>
          <w:p w14:paraId="1A5660E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20.6</w:t>
            </w:r>
          </w:p>
        </w:tc>
      </w:tr>
      <w:tr w:rsidR="00E50280" w:rsidRPr="00980502" w14:paraId="024AA6CA" w14:textId="77777777" w:rsidTr="00D86F2F">
        <w:trPr>
          <w:gridAfter w:val="1"/>
          <w:wAfter w:w="18" w:type="dxa"/>
          <w:trHeight w:val="360"/>
        </w:trPr>
        <w:tc>
          <w:tcPr>
            <w:tcW w:w="3122" w:type="dxa"/>
            <w:shd w:val="clear" w:color="auto" w:fill="C3E0F2" w:themeFill="accent3" w:themeFillTint="33"/>
            <w:hideMark/>
          </w:tcPr>
          <w:p w14:paraId="243A869E"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Land-locked developing countries (LLDC)</w:t>
            </w:r>
          </w:p>
        </w:tc>
        <w:tc>
          <w:tcPr>
            <w:tcW w:w="879" w:type="dxa"/>
            <w:shd w:val="clear" w:color="auto" w:fill="C3E0F2" w:themeFill="accent3" w:themeFillTint="33"/>
          </w:tcPr>
          <w:p w14:paraId="744B307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31.6</w:t>
            </w:r>
          </w:p>
        </w:tc>
        <w:tc>
          <w:tcPr>
            <w:tcW w:w="733" w:type="dxa"/>
            <w:shd w:val="clear" w:color="auto" w:fill="C3E0F2" w:themeFill="accent3" w:themeFillTint="33"/>
          </w:tcPr>
          <w:p w14:paraId="038E3F1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2.1</w:t>
            </w:r>
          </w:p>
        </w:tc>
        <w:tc>
          <w:tcPr>
            <w:tcW w:w="586" w:type="dxa"/>
            <w:shd w:val="clear" w:color="auto" w:fill="C3E0F2" w:themeFill="accent3" w:themeFillTint="33"/>
          </w:tcPr>
          <w:p w14:paraId="0317E9E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0.3</w:t>
            </w:r>
          </w:p>
        </w:tc>
        <w:tc>
          <w:tcPr>
            <w:tcW w:w="733" w:type="dxa"/>
            <w:shd w:val="clear" w:color="auto" w:fill="C3E0F2" w:themeFill="accent3" w:themeFillTint="33"/>
          </w:tcPr>
          <w:p w14:paraId="4775A08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4.3</w:t>
            </w:r>
          </w:p>
        </w:tc>
        <w:tc>
          <w:tcPr>
            <w:tcW w:w="1025" w:type="dxa"/>
            <w:shd w:val="clear" w:color="auto" w:fill="C3E0F2" w:themeFill="accent3" w:themeFillTint="33"/>
          </w:tcPr>
          <w:p w14:paraId="069D4CA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9.4</w:t>
            </w:r>
          </w:p>
        </w:tc>
        <w:tc>
          <w:tcPr>
            <w:tcW w:w="1172" w:type="dxa"/>
            <w:shd w:val="clear" w:color="auto" w:fill="C3E0F2" w:themeFill="accent3" w:themeFillTint="33"/>
          </w:tcPr>
          <w:p w14:paraId="5B9307DF"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3.9</w:t>
            </w:r>
          </w:p>
        </w:tc>
        <w:tc>
          <w:tcPr>
            <w:tcW w:w="879" w:type="dxa"/>
            <w:shd w:val="clear" w:color="auto" w:fill="C3E0F2" w:themeFill="accent3" w:themeFillTint="33"/>
          </w:tcPr>
          <w:p w14:paraId="32A1E85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5.3</w:t>
            </w:r>
          </w:p>
        </w:tc>
        <w:tc>
          <w:tcPr>
            <w:tcW w:w="1172" w:type="dxa"/>
            <w:shd w:val="clear" w:color="auto" w:fill="C3E0F2" w:themeFill="accent3" w:themeFillTint="33"/>
          </w:tcPr>
          <w:p w14:paraId="085BA59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3.0</w:t>
            </w:r>
          </w:p>
        </w:tc>
        <w:tc>
          <w:tcPr>
            <w:tcW w:w="1216" w:type="dxa"/>
            <w:shd w:val="clear" w:color="auto" w:fill="C3E0F2" w:themeFill="accent3" w:themeFillTint="33"/>
          </w:tcPr>
          <w:p w14:paraId="3EEBF34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0.9</w:t>
            </w:r>
          </w:p>
        </w:tc>
        <w:tc>
          <w:tcPr>
            <w:tcW w:w="1423" w:type="dxa"/>
            <w:shd w:val="clear" w:color="auto" w:fill="C3E0F2" w:themeFill="accent3" w:themeFillTint="33"/>
          </w:tcPr>
          <w:p w14:paraId="7CE10D2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w:t>
            </w:r>
          </w:p>
        </w:tc>
        <w:tc>
          <w:tcPr>
            <w:tcW w:w="1441" w:type="dxa"/>
            <w:shd w:val="clear" w:color="auto" w:fill="C3E0F2" w:themeFill="accent3" w:themeFillTint="33"/>
          </w:tcPr>
          <w:p w14:paraId="60C2CF5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0.8</w:t>
            </w:r>
          </w:p>
        </w:tc>
        <w:tc>
          <w:tcPr>
            <w:tcW w:w="1184" w:type="dxa"/>
            <w:shd w:val="clear" w:color="auto" w:fill="C3E0F2" w:themeFill="accent3" w:themeFillTint="33"/>
          </w:tcPr>
          <w:p w14:paraId="2C98F062" w14:textId="77777777" w:rsidR="00E50280" w:rsidRPr="00C404DA" w:rsidRDefault="00E50280" w:rsidP="00B55D25">
            <w:pPr>
              <w:spacing w:line="256" w:lineRule="auto"/>
              <w:jc w:val="center"/>
              <w:rPr>
                <w:rFonts w:ascii="Calibri" w:eastAsia="Calibri" w:hAnsi="Calibri" w:cs="Calibri"/>
                <w:sz w:val="20"/>
                <w:szCs w:val="16"/>
              </w:rPr>
            </w:pPr>
          </w:p>
        </w:tc>
      </w:tr>
      <w:tr w:rsidR="00E50280" w:rsidRPr="00980502" w14:paraId="55BD71E8"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360"/>
        </w:trPr>
        <w:tc>
          <w:tcPr>
            <w:tcW w:w="3122" w:type="dxa"/>
          </w:tcPr>
          <w:p w14:paraId="04ED35EE"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Small island developing states (SIDS)</w:t>
            </w:r>
          </w:p>
        </w:tc>
        <w:tc>
          <w:tcPr>
            <w:tcW w:w="879" w:type="dxa"/>
          </w:tcPr>
          <w:p w14:paraId="1B3A94D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43.1</w:t>
            </w:r>
          </w:p>
        </w:tc>
        <w:tc>
          <w:tcPr>
            <w:tcW w:w="733" w:type="dxa"/>
          </w:tcPr>
          <w:p w14:paraId="316C375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11.9</w:t>
            </w:r>
          </w:p>
        </w:tc>
        <w:tc>
          <w:tcPr>
            <w:tcW w:w="586" w:type="dxa"/>
          </w:tcPr>
          <w:p w14:paraId="1F92CC6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0.3</w:t>
            </w:r>
          </w:p>
        </w:tc>
        <w:tc>
          <w:tcPr>
            <w:tcW w:w="733" w:type="dxa"/>
          </w:tcPr>
          <w:p w14:paraId="5DB8161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7.9</w:t>
            </w:r>
          </w:p>
        </w:tc>
        <w:tc>
          <w:tcPr>
            <w:tcW w:w="1025" w:type="dxa"/>
          </w:tcPr>
          <w:p w14:paraId="7A347F4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6.3</w:t>
            </w:r>
          </w:p>
        </w:tc>
        <w:tc>
          <w:tcPr>
            <w:tcW w:w="1172" w:type="dxa"/>
          </w:tcPr>
          <w:p w14:paraId="4B03C62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879" w:type="dxa"/>
          </w:tcPr>
          <w:p w14:paraId="6AD657B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5.0</w:t>
            </w:r>
          </w:p>
        </w:tc>
        <w:tc>
          <w:tcPr>
            <w:tcW w:w="1172" w:type="dxa"/>
          </w:tcPr>
          <w:p w14:paraId="3BF0814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7.2</w:t>
            </w:r>
          </w:p>
        </w:tc>
        <w:tc>
          <w:tcPr>
            <w:tcW w:w="1216" w:type="dxa"/>
          </w:tcPr>
          <w:p w14:paraId="149CE48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tcPr>
          <w:p w14:paraId="61F6DC9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1.3</w:t>
            </w:r>
          </w:p>
        </w:tc>
        <w:tc>
          <w:tcPr>
            <w:tcW w:w="1441" w:type="dxa"/>
          </w:tcPr>
          <w:p w14:paraId="567866E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0.9</w:t>
            </w:r>
          </w:p>
        </w:tc>
        <w:tc>
          <w:tcPr>
            <w:tcW w:w="1184" w:type="dxa"/>
          </w:tcPr>
          <w:p w14:paraId="641005DA" w14:textId="77777777" w:rsidR="00E50280" w:rsidRPr="00C404DA" w:rsidRDefault="00E50280" w:rsidP="00B55D25">
            <w:pPr>
              <w:spacing w:line="256" w:lineRule="auto"/>
              <w:jc w:val="center"/>
              <w:rPr>
                <w:rFonts w:ascii="Calibri" w:eastAsia="Calibri" w:hAnsi="Calibri" w:cs="Calibri"/>
                <w:sz w:val="20"/>
                <w:szCs w:val="16"/>
              </w:rPr>
            </w:pPr>
          </w:p>
        </w:tc>
      </w:tr>
      <w:tr w:rsidR="00E50280" w:rsidRPr="00980502" w14:paraId="2D0F950D" w14:textId="77777777" w:rsidTr="00D86F2F">
        <w:trPr>
          <w:gridAfter w:val="1"/>
          <w:wAfter w:w="18" w:type="dxa"/>
          <w:trHeight w:val="360"/>
        </w:trPr>
        <w:tc>
          <w:tcPr>
            <w:tcW w:w="3122" w:type="dxa"/>
            <w:shd w:val="clear" w:color="auto" w:fill="FFFFFF" w:themeFill="background1"/>
          </w:tcPr>
          <w:p w14:paraId="5FC7B8D5"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High-income countries</w:t>
            </w:r>
          </w:p>
        </w:tc>
        <w:tc>
          <w:tcPr>
            <w:tcW w:w="879" w:type="dxa"/>
            <w:shd w:val="clear" w:color="auto" w:fill="FFFFFF" w:themeFill="background1"/>
          </w:tcPr>
          <w:p w14:paraId="0C0A9E4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56.6</w:t>
            </w:r>
          </w:p>
        </w:tc>
        <w:tc>
          <w:tcPr>
            <w:tcW w:w="733" w:type="dxa"/>
            <w:shd w:val="clear" w:color="auto" w:fill="FFFFFF" w:themeFill="background1"/>
          </w:tcPr>
          <w:p w14:paraId="0E667D3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6.1</w:t>
            </w:r>
          </w:p>
        </w:tc>
        <w:tc>
          <w:tcPr>
            <w:tcW w:w="586" w:type="dxa"/>
            <w:shd w:val="clear" w:color="auto" w:fill="FFFFFF" w:themeFill="background1"/>
          </w:tcPr>
          <w:p w14:paraId="0CDE205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3.0</w:t>
            </w:r>
          </w:p>
        </w:tc>
        <w:tc>
          <w:tcPr>
            <w:tcW w:w="733" w:type="dxa"/>
            <w:shd w:val="clear" w:color="auto" w:fill="FFFFFF" w:themeFill="background1"/>
          </w:tcPr>
          <w:p w14:paraId="408A708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17.2</w:t>
            </w:r>
          </w:p>
        </w:tc>
        <w:tc>
          <w:tcPr>
            <w:tcW w:w="1025" w:type="dxa"/>
            <w:shd w:val="clear" w:color="auto" w:fill="FFFFFF" w:themeFill="background1"/>
          </w:tcPr>
          <w:p w14:paraId="1A0BF89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1.8</w:t>
            </w:r>
          </w:p>
        </w:tc>
        <w:tc>
          <w:tcPr>
            <w:tcW w:w="1172" w:type="dxa"/>
            <w:shd w:val="clear" w:color="auto" w:fill="FFFFFF" w:themeFill="background1"/>
          </w:tcPr>
          <w:p w14:paraId="584C4A8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879" w:type="dxa"/>
            <w:shd w:val="clear" w:color="auto" w:fill="FFFFFF" w:themeFill="background1"/>
          </w:tcPr>
          <w:p w14:paraId="01D464E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6.5</w:t>
            </w:r>
          </w:p>
        </w:tc>
        <w:tc>
          <w:tcPr>
            <w:tcW w:w="1172" w:type="dxa"/>
            <w:shd w:val="clear" w:color="auto" w:fill="FFFFFF" w:themeFill="background1"/>
          </w:tcPr>
          <w:p w14:paraId="4C2ECFE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14.8</w:t>
            </w:r>
          </w:p>
        </w:tc>
        <w:tc>
          <w:tcPr>
            <w:tcW w:w="1216" w:type="dxa"/>
            <w:shd w:val="clear" w:color="auto" w:fill="FFFFFF" w:themeFill="background1"/>
          </w:tcPr>
          <w:p w14:paraId="3AEB75D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shd w:val="clear" w:color="auto" w:fill="FFFFFF" w:themeFill="background1"/>
          </w:tcPr>
          <w:p w14:paraId="76139EA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3.1</w:t>
            </w:r>
          </w:p>
        </w:tc>
        <w:tc>
          <w:tcPr>
            <w:tcW w:w="1441" w:type="dxa"/>
            <w:shd w:val="clear" w:color="auto" w:fill="FFFFFF" w:themeFill="background1"/>
          </w:tcPr>
          <w:p w14:paraId="69BB453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184" w:type="dxa"/>
            <w:shd w:val="clear" w:color="auto" w:fill="FFFFFF" w:themeFill="background1"/>
          </w:tcPr>
          <w:p w14:paraId="505A237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9.1</w:t>
            </w:r>
          </w:p>
        </w:tc>
      </w:tr>
      <w:tr w:rsidR="00E50280" w:rsidRPr="00980502" w14:paraId="6B90B454"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360"/>
        </w:trPr>
        <w:tc>
          <w:tcPr>
            <w:tcW w:w="3122" w:type="dxa"/>
            <w:shd w:val="clear" w:color="auto" w:fill="FFFFFF" w:themeFill="background1"/>
          </w:tcPr>
          <w:p w14:paraId="49D5E120"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Middle-income countries</w:t>
            </w:r>
          </w:p>
        </w:tc>
        <w:tc>
          <w:tcPr>
            <w:tcW w:w="879" w:type="dxa"/>
            <w:shd w:val="clear" w:color="auto" w:fill="FFFFFF" w:themeFill="background1"/>
          </w:tcPr>
          <w:p w14:paraId="2D2A547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49.6</w:t>
            </w:r>
          </w:p>
        </w:tc>
        <w:tc>
          <w:tcPr>
            <w:tcW w:w="733" w:type="dxa"/>
            <w:shd w:val="clear" w:color="auto" w:fill="FFFFFF" w:themeFill="background1"/>
          </w:tcPr>
          <w:p w14:paraId="4BF6B91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13.8</w:t>
            </w:r>
          </w:p>
        </w:tc>
        <w:tc>
          <w:tcPr>
            <w:tcW w:w="586" w:type="dxa"/>
            <w:shd w:val="clear" w:color="auto" w:fill="FFFFFF" w:themeFill="background1"/>
          </w:tcPr>
          <w:p w14:paraId="53275DC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733" w:type="dxa"/>
            <w:shd w:val="clear" w:color="auto" w:fill="FFFFFF" w:themeFill="background1"/>
          </w:tcPr>
          <w:p w14:paraId="28448A0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6.7</w:t>
            </w:r>
          </w:p>
        </w:tc>
        <w:tc>
          <w:tcPr>
            <w:tcW w:w="1025" w:type="dxa"/>
            <w:shd w:val="clear" w:color="auto" w:fill="FFFFFF" w:themeFill="background1"/>
          </w:tcPr>
          <w:p w14:paraId="686F40D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3.7</w:t>
            </w:r>
          </w:p>
        </w:tc>
        <w:tc>
          <w:tcPr>
            <w:tcW w:w="1172" w:type="dxa"/>
            <w:shd w:val="clear" w:color="auto" w:fill="FFFFFF" w:themeFill="background1"/>
          </w:tcPr>
          <w:p w14:paraId="0F17A1A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0.9</w:t>
            </w:r>
          </w:p>
        </w:tc>
        <w:tc>
          <w:tcPr>
            <w:tcW w:w="879" w:type="dxa"/>
            <w:shd w:val="clear" w:color="auto" w:fill="FFFFFF" w:themeFill="background1"/>
          </w:tcPr>
          <w:p w14:paraId="18A1F8F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9.4</w:t>
            </w:r>
          </w:p>
        </w:tc>
        <w:tc>
          <w:tcPr>
            <w:tcW w:w="1172" w:type="dxa"/>
            <w:shd w:val="clear" w:color="auto" w:fill="FFFFFF" w:themeFill="background1"/>
          </w:tcPr>
          <w:p w14:paraId="18D9A98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9.9</w:t>
            </w:r>
          </w:p>
        </w:tc>
        <w:tc>
          <w:tcPr>
            <w:tcW w:w="1216" w:type="dxa"/>
            <w:shd w:val="clear" w:color="auto" w:fill="FFFFFF" w:themeFill="background1"/>
          </w:tcPr>
          <w:p w14:paraId="714A3D1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shd w:val="clear" w:color="auto" w:fill="FFFFFF" w:themeFill="background1"/>
          </w:tcPr>
          <w:p w14:paraId="4815B3E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2.5</w:t>
            </w:r>
          </w:p>
        </w:tc>
        <w:tc>
          <w:tcPr>
            <w:tcW w:w="1441" w:type="dxa"/>
            <w:shd w:val="clear" w:color="auto" w:fill="FFFFFF" w:themeFill="background1"/>
          </w:tcPr>
          <w:p w14:paraId="03A29E9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1184" w:type="dxa"/>
            <w:shd w:val="clear" w:color="auto" w:fill="FFFFFF" w:themeFill="background1"/>
          </w:tcPr>
          <w:p w14:paraId="10AA2D1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10.2</w:t>
            </w:r>
          </w:p>
        </w:tc>
      </w:tr>
      <w:tr w:rsidR="00E50280" w:rsidRPr="00980502" w14:paraId="40E3A8EC" w14:textId="77777777" w:rsidTr="00D86F2F">
        <w:trPr>
          <w:gridAfter w:val="1"/>
          <w:wAfter w:w="18" w:type="dxa"/>
          <w:trHeight w:val="360"/>
        </w:trPr>
        <w:tc>
          <w:tcPr>
            <w:tcW w:w="3122" w:type="dxa"/>
            <w:shd w:val="clear" w:color="auto" w:fill="FFFFFF" w:themeFill="background1"/>
          </w:tcPr>
          <w:p w14:paraId="2962E6B7"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Upper middle income countries</w:t>
            </w:r>
          </w:p>
        </w:tc>
        <w:tc>
          <w:tcPr>
            <w:tcW w:w="879" w:type="dxa"/>
            <w:shd w:val="clear" w:color="auto" w:fill="FFFFFF" w:themeFill="background1"/>
          </w:tcPr>
          <w:p w14:paraId="5239B90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61.0</w:t>
            </w:r>
          </w:p>
        </w:tc>
        <w:tc>
          <w:tcPr>
            <w:tcW w:w="733" w:type="dxa"/>
            <w:shd w:val="clear" w:color="auto" w:fill="FFFFFF" w:themeFill="background1"/>
          </w:tcPr>
          <w:p w14:paraId="0B7CCE8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12.6</w:t>
            </w:r>
          </w:p>
        </w:tc>
        <w:tc>
          <w:tcPr>
            <w:tcW w:w="586" w:type="dxa"/>
            <w:shd w:val="clear" w:color="auto" w:fill="FFFFFF" w:themeFill="background1"/>
          </w:tcPr>
          <w:p w14:paraId="4E0C3B0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733" w:type="dxa"/>
            <w:shd w:val="clear" w:color="auto" w:fill="FFFFFF" w:themeFill="background1"/>
          </w:tcPr>
          <w:p w14:paraId="4642676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7.3</w:t>
            </w:r>
          </w:p>
        </w:tc>
        <w:tc>
          <w:tcPr>
            <w:tcW w:w="1025" w:type="dxa"/>
            <w:shd w:val="clear" w:color="auto" w:fill="FFFFFF" w:themeFill="background1"/>
          </w:tcPr>
          <w:p w14:paraId="7C85695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2.4</w:t>
            </w:r>
          </w:p>
        </w:tc>
        <w:tc>
          <w:tcPr>
            <w:tcW w:w="1172" w:type="dxa"/>
            <w:shd w:val="clear" w:color="auto" w:fill="FFFFFF" w:themeFill="background1"/>
          </w:tcPr>
          <w:p w14:paraId="25269AF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879" w:type="dxa"/>
            <w:shd w:val="clear" w:color="auto" w:fill="FFFFFF" w:themeFill="background1"/>
          </w:tcPr>
          <w:p w14:paraId="55142C2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16.3</w:t>
            </w:r>
          </w:p>
        </w:tc>
        <w:tc>
          <w:tcPr>
            <w:tcW w:w="1172" w:type="dxa"/>
            <w:shd w:val="clear" w:color="auto" w:fill="FFFFFF" w:themeFill="background1"/>
          </w:tcPr>
          <w:p w14:paraId="01EFC5D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16.6</w:t>
            </w:r>
          </w:p>
        </w:tc>
        <w:tc>
          <w:tcPr>
            <w:tcW w:w="1216" w:type="dxa"/>
            <w:shd w:val="clear" w:color="auto" w:fill="FFFFFF" w:themeFill="background1"/>
          </w:tcPr>
          <w:p w14:paraId="6686915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1423" w:type="dxa"/>
            <w:shd w:val="clear" w:color="auto" w:fill="FFFFFF" w:themeFill="background1"/>
          </w:tcPr>
          <w:p w14:paraId="5383941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2.4</w:t>
            </w:r>
          </w:p>
        </w:tc>
        <w:tc>
          <w:tcPr>
            <w:tcW w:w="1441" w:type="dxa"/>
            <w:shd w:val="clear" w:color="auto" w:fill="FFFFFF" w:themeFill="background1"/>
          </w:tcPr>
          <w:p w14:paraId="79D46DF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0.8</w:t>
            </w:r>
          </w:p>
        </w:tc>
        <w:tc>
          <w:tcPr>
            <w:tcW w:w="1184" w:type="dxa"/>
            <w:shd w:val="clear" w:color="auto" w:fill="FFFFFF" w:themeFill="background1"/>
          </w:tcPr>
          <w:p w14:paraId="658BD7D3" w14:textId="77777777" w:rsidR="00E50280" w:rsidRPr="00C404DA" w:rsidRDefault="00E50280" w:rsidP="00B55D25">
            <w:pPr>
              <w:spacing w:line="256" w:lineRule="auto"/>
              <w:jc w:val="center"/>
              <w:rPr>
                <w:rFonts w:ascii="Calibri" w:eastAsia="Calibri" w:hAnsi="Calibri" w:cs="Calibri"/>
                <w:sz w:val="20"/>
                <w:szCs w:val="16"/>
              </w:rPr>
            </w:pPr>
          </w:p>
        </w:tc>
      </w:tr>
      <w:tr w:rsidR="00E50280" w:rsidRPr="00980502" w14:paraId="6A97AFF9"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360"/>
        </w:trPr>
        <w:tc>
          <w:tcPr>
            <w:tcW w:w="3122" w:type="dxa"/>
            <w:shd w:val="clear" w:color="auto" w:fill="FFFFFF" w:themeFill="background1"/>
          </w:tcPr>
          <w:p w14:paraId="78D43574"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Lower middle income countries</w:t>
            </w:r>
          </w:p>
        </w:tc>
        <w:tc>
          <w:tcPr>
            <w:tcW w:w="879" w:type="dxa"/>
            <w:shd w:val="clear" w:color="auto" w:fill="FFFFFF" w:themeFill="background1"/>
          </w:tcPr>
          <w:p w14:paraId="0013AD8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40.1</w:t>
            </w:r>
          </w:p>
        </w:tc>
        <w:tc>
          <w:tcPr>
            <w:tcW w:w="733" w:type="dxa"/>
            <w:shd w:val="clear" w:color="auto" w:fill="FFFFFF" w:themeFill="background1"/>
          </w:tcPr>
          <w:p w14:paraId="0DF5272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14.8</w:t>
            </w:r>
          </w:p>
        </w:tc>
        <w:tc>
          <w:tcPr>
            <w:tcW w:w="586" w:type="dxa"/>
            <w:shd w:val="clear" w:color="auto" w:fill="FFFFFF" w:themeFill="background1"/>
          </w:tcPr>
          <w:p w14:paraId="10EAE5F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0.2</w:t>
            </w:r>
          </w:p>
        </w:tc>
        <w:tc>
          <w:tcPr>
            <w:tcW w:w="733" w:type="dxa"/>
            <w:shd w:val="clear" w:color="auto" w:fill="FFFFFF" w:themeFill="background1"/>
          </w:tcPr>
          <w:p w14:paraId="1E853F7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6.3</w:t>
            </w:r>
          </w:p>
        </w:tc>
        <w:tc>
          <w:tcPr>
            <w:tcW w:w="1025" w:type="dxa"/>
            <w:shd w:val="clear" w:color="auto" w:fill="FFFFFF" w:themeFill="background1"/>
          </w:tcPr>
          <w:p w14:paraId="78DFAC5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4.8</w:t>
            </w:r>
          </w:p>
        </w:tc>
        <w:tc>
          <w:tcPr>
            <w:tcW w:w="1172" w:type="dxa"/>
            <w:shd w:val="clear" w:color="auto" w:fill="FFFFFF" w:themeFill="background1"/>
          </w:tcPr>
          <w:p w14:paraId="37E412A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879" w:type="dxa"/>
            <w:shd w:val="clear" w:color="auto" w:fill="FFFFFF" w:themeFill="background1"/>
          </w:tcPr>
          <w:p w14:paraId="43AD34D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3.6</w:t>
            </w:r>
          </w:p>
        </w:tc>
        <w:tc>
          <w:tcPr>
            <w:tcW w:w="1172" w:type="dxa"/>
            <w:shd w:val="clear" w:color="auto" w:fill="FFFFFF" w:themeFill="background1"/>
          </w:tcPr>
          <w:p w14:paraId="66CFF1B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4.4</w:t>
            </w:r>
          </w:p>
        </w:tc>
        <w:tc>
          <w:tcPr>
            <w:tcW w:w="1216" w:type="dxa"/>
            <w:shd w:val="clear" w:color="auto" w:fill="FFFFFF" w:themeFill="background1"/>
          </w:tcPr>
          <w:p w14:paraId="5278F7B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1.8</w:t>
            </w:r>
          </w:p>
        </w:tc>
        <w:tc>
          <w:tcPr>
            <w:tcW w:w="1423" w:type="dxa"/>
            <w:shd w:val="clear" w:color="auto" w:fill="FFFFFF" w:themeFill="background1"/>
          </w:tcPr>
          <w:p w14:paraId="05C4C39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2.7</w:t>
            </w:r>
          </w:p>
        </w:tc>
        <w:tc>
          <w:tcPr>
            <w:tcW w:w="1441" w:type="dxa"/>
            <w:shd w:val="clear" w:color="auto" w:fill="FFFFFF" w:themeFill="background1"/>
          </w:tcPr>
          <w:p w14:paraId="6891091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0.5</w:t>
            </w:r>
          </w:p>
        </w:tc>
        <w:tc>
          <w:tcPr>
            <w:tcW w:w="1184" w:type="dxa"/>
            <w:shd w:val="clear" w:color="auto" w:fill="FFFFFF" w:themeFill="background1"/>
          </w:tcPr>
          <w:p w14:paraId="1F17AEC0" w14:textId="77777777" w:rsidR="00E50280" w:rsidRPr="00C404DA" w:rsidRDefault="00E50280" w:rsidP="00B55D25">
            <w:pPr>
              <w:spacing w:line="256" w:lineRule="auto"/>
              <w:jc w:val="center"/>
              <w:rPr>
                <w:rFonts w:ascii="Calibri" w:eastAsia="Calibri" w:hAnsi="Calibri" w:cs="Calibri"/>
                <w:sz w:val="20"/>
                <w:szCs w:val="16"/>
              </w:rPr>
            </w:pPr>
          </w:p>
        </w:tc>
      </w:tr>
      <w:tr w:rsidR="00E50280" w:rsidRPr="00980502" w14:paraId="1A4FF84F" w14:textId="77777777" w:rsidTr="00D86F2F">
        <w:trPr>
          <w:gridAfter w:val="1"/>
          <w:wAfter w:w="18" w:type="dxa"/>
          <w:trHeight w:val="360"/>
        </w:trPr>
        <w:tc>
          <w:tcPr>
            <w:tcW w:w="3122" w:type="dxa"/>
            <w:shd w:val="clear" w:color="auto" w:fill="FFFFFF" w:themeFill="background1"/>
          </w:tcPr>
          <w:p w14:paraId="5846D473" w14:textId="77777777" w:rsidR="00E50280" w:rsidRPr="00C404DA" w:rsidRDefault="00E50280" w:rsidP="00C404DA">
            <w:pPr>
              <w:spacing w:line="256" w:lineRule="auto"/>
              <w:rPr>
                <w:rFonts w:ascii="Calibri" w:eastAsia="Calibri" w:hAnsi="Calibri" w:cs="Calibri"/>
                <w:sz w:val="20"/>
                <w:szCs w:val="16"/>
              </w:rPr>
            </w:pPr>
            <w:r w:rsidRPr="00C404DA">
              <w:rPr>
                <w:rFonts w:ascii="Calibri" w:eastAsia="Calibri" w:hAnsi="Calibri" w:cs="Calibri"/>
                <w:sz w:val="20"/>
                <w:szCs w:val="16"/>
              </w:rPr>
              <w:t>Low income countries</w:t>
            </w:r>
          </w:p>
        </w:tc>
        <w:tc>
          <w:tcPr>
            <w:tcW w:w="879" w:type="dxa"/>
            <w:shd w:val="clear" w:color="auto" w:fill="FFFFFF" w:themeFill="background1"/>
          </w:tcPr>
          <w:p w14:paraId="3051165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28.0</w:t>
            </w:r>
          </w:p>
        </w:tc>
        <w:tc>
          <w:tcPr>
            <w:tcW w:w="733" w:type="dxa"/>
            <w:shd w:val="clear" w:color="auto" w:fill="FFFFFF" w:themeFill="background1"/>
          </w:tcPr>
          <w:p w14:paraId="31D219C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1.7</w:t>
            </w:r>
          </w:p>
        </w:tc>
        <w:tc>
          <w:tcPr>
            <w:tcW w:w="586" w:type="dxa"/>
            <w:shd w:val="clear" w:color="auto" w:fill="FFFFFF" w:themeFill="background1"/>
          </w:tcPr>
          <w:p w14:paraId="64331CB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0.3</w:t>
            </w:r>
          </w:p>
        </w:tc>
        <w:tc>
          <w:tcPr>
            <w:tcW w:w="733" w:type="dxa"/>
            <w:shd w:val="clear" w:color="auto" w:fill="FFFFFF" w:themeFill="background1"/>
          </w:tcPr>
          <w:p w14:paraId="17E262C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3.8</w:t>
            </w:r>
          </w:p>
        </w:tc>
        <w:tc>
          <w:tcPr>
            <w:tcW w:w="1025" w:type="dxa"/>
            <w:shd w:val="clear" w:color="auto" w:fill="FFFFFF" w:themeFill="background1"/>
          </w:tcPr>
          <w:p w14:paraId="62F3C67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8.7</w:t>
            </w:r>
          </w:p>
        </w:tc>
        <w:tc>
          <w:tcPr>
            <w:tcW w:w="1172" w:type="dxa"/>
            <w:shd w:val="clear" w:color="auto" w:fill="FFFFFF" w:themeFill="background1"/>
          </w:tcPr>
          <w:p w14:paraId="3D11346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3.7</w:t>
            </w:r>
          </w:p>
        </w:tc>
        <w:tc>
          <w:tcPr>
            <w:tcW w:w="879" w:type="dxa"/>
            <w:shd w:val="clear" w:color="auto" w:fill="FFFFFF" w:themeFill="background1"/>
          </w:tcPr>
          <w:p w14:paraId="5813E1E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3.0</w:t>
            </w:r>
          </w:p>
        </w:tc>
        <w:tc>
          <w:tcPr>
            <w:tcW w:w="1172" w:type="dxa"/>
            <w:shd w:val="clear" w:color="auto" w:fill="FFFFFF" w:themeFill="background1"/>
          </w:tcPr>
          <w:p w14:paraId="0DCD50C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2.9</w:t>
            </w:r>
          </w:p>
        </w:tc>
        <w:tc>
          <w:tcPr>
            <w:tcW w:w="1216" w:type="dxa"/>
            <w:shd w:val="clear" w:color="auto" w:fill="FFFFFF" w:themeFill="background1"/>
          </w:tcPr>
          <w:p w14:paraId="189FB1B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1.7</w:t>
            </w:r>
          </w:p>
        </w:tc>
        <w:tc>
          <w:tcPr>
            <w:tcW w:w="1423" w:type="dxa"/>
            <w:shd w:val="clear" w:color="auto" w:fill="FFFFFF" w:themeFill="background1"/>
          </w:tcPr>
          <w:p w14:paraId="417081E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1441" w:type="dxa"/>
            <w:shd w:val="clear" w:color="auto" w:fill="FFFFFF" w:themeFill="background1"/>
          </w:tcPr>
          <w:p w14:paraId="14347A6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1184" w:type="dxa"/>
            <w:shd w:val="clear" w:color="auto" w:fill="FFFFFF" w:themeFill="background1"/>
          </w:tcPr>
          <w:p w14:paraId="3C47673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22.6</w:t>
            </w:r>
          </w:p>
        </w:tc>
      </w:tr>
      <w:tr w:rsidR="00E50280" w:rsidRPr="00980502" w14:paraId="638FD2C3"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203"/>
        </w:trPr>
        <w:tc>
          <w:tcPr>
            <w:tcW w:w="3122" w:type="dxa"/>
            <w:shd w:val="clear" w:color="auto" w:fill="CCECFF"/>
            <w:hideMark/>
          </w:tcPr>
          <w:p w14:paraId="08F5B92E"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Africa</w:t>
            </w:r>
          </w:p>
        </w:tc>
        <w:tc>
          <w:tcPr>
            <w:tcW w:w="879" w:type="dxa"/>
            <w:shd w:val="clear" w:color="auto" w:fill="CCECFF"/>
          </w:tcPr>
          <w:p w14:paraId="55CDE25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29.4</w:t>
            </w:r>
          </w:p>
        </w:tc>
        <w:tc>
          <w:tcPr>
            <w:tcW w:w="733" w:type="dxa"/>
            <w:shd w:val="clear" w:color="auto" w:fill="CCECFF"/>
          </w:tcPr>
          <w:p w14:paraId="567017A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586" w:type="dxa"/>
            <w:shd w:val="clear" w:color="auto" w:fill="CCECFF"/>
          </w:tcPr>
          <w:p w14:paraId="2547BCB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0.0</w:t>
            </w:r>
          </w:p>
        </w:tc>
        <w:tc>
          <w:tcPr>
            <w:tcW w:w="733" w:type="dxa"/>
            <w:shd w:val="clear" w:color="auto" w:fill="CCECFF"/>
          </w:tcPr>
          <w:p w14:paraId="4C2016B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5.8</w:t>
            </w:r>
          </w:p>
        </w:tc>
        <w:tc>
          <w:tcPr>
            <w:tcW w:w="1025" w:type="dxa"/>
            <w:shd w:val="clear" w:color="auto" w:fill="CCECFF"/>
          </w:tcPr>
          <w:p w14:paraId="061460F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8.4</w:t>
            </w:r>
          </w:p>
        </w:tc>
        <w:tc>
          <w:tcPr>
            <w:tcW w:w="1172" w:type="dxa"/>
            <w:shd w:val="clear" w:color="auto" w:fill="CCECFF"/>
          </w:tcPr>
          <w:p w14:paraId="56D7DE0F"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3.7</w:t>
            </w:r>
          </w:p>
        </w:tc>
        <w:tc>
          <w:tcPr>
            <w:tcW w:w="879" w:type="dxa"/>
            <w:shd w:val="clear" w:color="auto" w:fill="CCECFF"/>
          </w:tcPr>
          <w:p w14:paraId="326EBD7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2.6</w:t>
            </w:r>
          </w:p>
        </w:tc>
        <w:tc>
          <w:tcPr>
            <w:tcW w:w="1172" w:type="dxa"/>
            <w:shd w:val="clear" w:color="auto" w:fill="CCECFF"/>
          </w:tcPr>
          <w:p w14:paraId="5D684EA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3.8</w:t>
            </w:r>
          </w:p>
        </w:tc>
        <w:tc>
          <w:tcPr>
            <w:tcW w:w="1216" w:type="dxa"/>
            <w:shd w:val="clear" w:color="auto" w:fill="CCECFF"/>
          </w:tcPr>
          <w:p w14:paraId="059E729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1.8</w:t>
            </w:r>
          </w:p>
        </w:tc>
        <w:tc>
          <w:tcPr>
            <w:tcW w:w="1423" w:type="dxa"/>
            <w:shd w:val="clear" w:color="auto" w:fill="CCECFF"/>
          </w:tcPr>
          <w:p w14:paraId="2A9F432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1441" w:type="dxa"/>
            <w:shd w:val="clear" w:color="auto" w:fill="CCECFF"/>
          </w:tcPr>
          <w:p w14:paraId="3AE10F4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w:t>
            </w:r>
          </w:p>
        </w:tc>
        <w:tc>
          <w:tcPr>
            <w:tcW w:w="1184" w:type="dxa"/>
            <w:shd w:val="clear" w:color="auto" w:fill="CCECFF"/>
          </w:tcPr>
          <w:p w14:paraId="67131EC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20.5</w:t>
            </w:r>
          </w:p>
        </w:tc>
      </w:tr>
      <w:tr w:rsidR="00E50280" w:rsidRPr="00980502" w14:paraId="74A59454" w14:textId="77777777" w:rsidTr="00D86F2F">
        <w:trPr>
          <w:gridAfter w:val="1"/>
          <w:wAfter w:w="18" w:type="dxa"/>
          <w:trHeight w:val="207"/>
        </w:trPr>
        <w:tc>
          <w:tcPr>
            <w:tcW w:w="3122" w:type="dxa"/>
            <w:shd w:val="clear" w:color="auto" w:fill="CCECFF"/>
            <w:hideMark/>
          </w:tcPr>
          <w:p w14:paraId="1F957E53"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Asia</w:t>
            </w:r>
          </w:p>
        </w:tc>
        <w:tc>
          <w:tcPr>
            <w:tcW w:w="879" w:type="dxa"/>
            <w:shd w:val="clear" w:color="auto" w:fill="CCECFF"/>
          </w:tcPr>
          <w:p w14:paraId="451BF6D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50.3</w:t>
            </w:r>
          </w:p>
        </w:tc>
        <w:tc>
          <w:tcPr>
            <w:tcW w:w="733" w:type="dxa"/>
            <w:shd w:val="clear" w:color="auto" w:fill="CCECFF"/>
          </w:tcPr>
          <w:p w14:paraId="5CD8806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14.9</w:t>
            </w:r>
          </w:p>
        </w:tc>
        <w:tc>
          <w:tcPr>
            <w:tcW w:w="586" w:type="dxa"/>
            <w:shd w:val="clear" w:color="auto" w:fill="CCECFF"/>
          </w:tcPr>
          <w:p w14:paraId="78C2A60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0.6</w:t>
            </w:r>
          </w:p>
        </w:tc>
        <w:tc>
          <w:tcPr>
            <w:tcW w:w="733" w:type="dxa"/>
            <w:shd w:val="clear" w:color="auto" w:fill="CCECFF"/>
          </w:tcPr>
          <w:p w14:paraId="5E68B76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5.3</w:t>
            </w:r>
          </w:p>
        </w:tc>
        <w:tc>
          <w:tcPr>
            <w:tcW w:w="1025" w:type="dxa"/>
            <w:shd w:val="clear" w:color="auto" w:fill="CCECFF"/>
          </w:tcPr>
          <w:p w14:paraId="7251E31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2.8</w:t>
            </w:r>
          </w:p>
        </w:tc>
        <w:tc>
          <w:tcPr>
            <w:tcW w:w="1172" w:type="dxa"/>
            <w:shd w:val="clear" w:color="auto" w:fill="CCECFF"/>
          </w:tcPr>
          <w:p w14:paraId="4A817A9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0.5</w:t>
            </w:r>
          </w:p>
        </w:tc>
        <w:tc>
          <w:tcPr>
            <w:tcW w:w="879" w:type="dxa"/>
            <w:shd w:val="clear" w:color="auto" w:fill="CCECFF"/>
          </w:tcPr>
          <w:p w14:paraId="6448C44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10.7</w:t>
            </w:r>
          </w:p>
        </w:tc>
        <w:tc>
          <w:tcPr>
            <w:tcW w:w="1172" w:type="dxa"/>
            <w:shd w:val="clear" w:color="auto" w:fill="CCECFF"/>
          </w:tcPr>
          <w:p w14:paraId="569FA8D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10.9</w:t>
            </w:r>
          </w:p>
        </w:tc>
        <w:tc>
          <w:tcPr>
            <w:tcW w:w="1216" w:type="dxa"/>
            <w:shd w:val="clear" w:color="auto" w:fill="CCECFF"/>
          </w:tcPr>
          <w:p w14:paraId="461C5AE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shd w:val="clear" w:color="auto" w:fill="CCECFF"/>
          </w:tcPr>
          <w:p w14:paraId="48D7345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2.7</w:t>
            </w:r>
          </w:p>
        </w:tc>
        <w:tc>
          <w:tcPr>
            <w:tcW w:w="1441" w:type="dxa"/>
            <w:shd w:val="clear" w:color="auto" w:fill="CCECFF"/>
          </w:tcPr>
          <w:p w14:paraId="0300D0B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0.5</w:t>
            </w:r>
          </w:p>
        </w:tc>
        <w:tc>
          <w:tcPr>
            <w:tcW w:w="1184" w:type="dxa"/>
            <w:shd w:val="clear" w:color="auto" w:fill="CCECFF"/>
          </w:tcPr>
          <w:p w14:paraId="5152E84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9.8</w:t>
            </w:r>
          </w:p>
        </w:tc>
      </w:tr>
      <w:tr w:rsidR="00E50280" w:rsidRPr="00980502" w14:paraId="507881B7"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203"/>
        </w:trPr>
        <w:tc>
          <w:tcPr>
            <w:tcW w:w="3122" w:type="dxa"/>
            <w:shd w:val="clear" w:color="auto" w:fill="CCECFF"/>
            <w:hideMark/>
          </w:tcPr>
          <w:p w14:paraId="0F3855A0"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Europe</w:t>
            </w:r>
          </w:p>
        </w:tc>
        <w:tc>
          <w:tcPr>
            <w:tcW w:w="879" w:type="dxa"/>
            <w:shd w:val="clear" w:color="auto" w:fill="CCECFF"/>
          </w:tcPr>
          <w:p w14:paraId="7F399F6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56.1</w:t>
            </w:r>
          </w:p>
        </w:tc>
        <w:tc>
          <w:tcPr>
            <w:tcW w:w="733" w:type="dxa"/>
            <w:shd w:val="clear" w:color="auto" w:fill="CCECFF"/>
          </w:tcPr>
          <w:p w14:paraId="60A45EA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3.0</w:t>
            </w:r>
          </w:p>
        </w:tc>
        <w:tc>
          <w:tcPr>
            <w:tcW w:w="586" w:type="dxa"/>
            <w:shd w:val="clear" w:color="auto" w:fill="CCECFF"/>
          </w:tcPr>
          <w:p w14:paraId="1CCFDD7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1.7</w:t>
            </w:r>
          </w:p>
        </w:tc>
        <w:tc>
          <w:tcPr>
            <w:tcW w:w="733" w:type="dxa"/>
            <w:shd w:val="clear" w:color="auto" w:fill="CCECFF"/>
          </w:tcPr>
          <w:p w14:paraId="6D6F41C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19.1</w:t>
            </w:r>
          </w:p>
        </w:tc>
        <w:tc>
          <w:tcPr>
            <w:tcW w:w="1025" w:type="dxa"/>
            <w:shd w:val="clear" w:color="auto" w:fill="CCECFF"/>
          </w:tcPr>
          <w:p w14:paraId="603AF6D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0.5</w:t>
            </w:r>
          </w:p>
        </w:tc>
        <w:tc>
          <w:tcPr>
            <w:tcW w:w="1172" w:type="dxa"/>
            <w:shd w:val="clear" w:color="auto" w:fill="CCECFF"/>
          </w:tcPr>
          <w:p w14:paraId="511D3D1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0.4</w:t>
            </w:r>
          </w:p>
        </w:tc>
        <w:tc>
          <w:tcPr>
            <w:tcW w:w="879" w:type="dxa"/>
            <w:shd w:val="clear" w:color="auto" w:fill="CCECFF"/>
          </w:tcPr>
          <w:p w14:paraId="69BDC67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8.1</w:t>
            </w:r>
          </w:p>
        </w:tc>
        <w:tc>
          <w:tcPr>
            <w:tcW w:w="1172" w:type="dxa"/>
            <w:shd w:val="clear" w:color="auto" w:fill="CCECFF"/>
          </w:tcPr>
          <w:p w14:paraId="3074A48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16.4</w:t>
            </w:r>
          </w:p>
        </w:tc>
        <w:tc>
          <w:tcPr>
            <w:tcW w:w="1216" w:type="dxa"/>
            <w:shd w:val="clear" w:color="auto" w:fill="CCECFF"/>
          </w:tcPr>
          <w:p w14:paraId="05D8468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23" w:type="dxa"/>
            <w:shd w:val="clear" w:color="auto" w:fill="CCECFF"/>
          </w:tcPr>
          <w:p w14:paraId="5515819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4.2</w:t>
            </w:r>
          </w:p>
        </w:tc>
        <w:tc>
          <w:tcPr>
            <w:tcW w:w="1441" w:type="dxa"/>
            <w:shd w:val="clear" w:color="auto" w:fill="CCECFF"/>
          </w:tcPr>
          <w:p w14:paraId="3518E5E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w:t>
            </w:r>
          </w:p>
        </w:tc>
        <w:tc>
          <w:tcPr>
            <w:tcW w:w="1184" w:type="dxa"/>
            <w:shd w:val="clear" w:color="auto" w:fill="CCECFF"/>
          </w:tcPr>
          <w:p w14:paraId="1737BDC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8.5</w:t>
            </w:r>
          </w:p>
        </w:tc>
      </w:tr>
      <w:tr w:rsidR="00E50280" w:rsidRPr="00980502" w14:paraId="6545DB9C" w14:textId="77777777" w:rsidTr="00D86F2F">
        <w:trPr>
          <w:gridAfter w:val="1"/>
          <w:wAfter w:w="18" w:type="dxa"/>
          <w:trHeight w:val="267"/>
        </w:trPr>
        <w:tc>
          <w:tcPr>
            <w:tcW w:w="3122" w:type="dxa"/>
            <w:shd w:val="clear" w:color="auto" w:fill="CCECFF"/>
            <w:hideMark/>
          </w:tcPr>
          <w:p w14:paraId="3A151E13"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Latin America &amp; Caribbean</w:t>
            </w:r>
          </w:p>
        </w:tc>
        <w:tc>
          <w:tcPr>
            <w:tcW w:w="879" w:type="dxa"/>
            <w:shd w:val="clear" w:color="auto" w:fill="CCECFF"/>
          </w:tcPr>
          <w:p w14:paraId="572F9B8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58.0</w:t>
            </w:r>
          </w:p>
        </w:tc>
        <w:tc>
          <w:tcPr>
            <w:tcW w:w="733" w:type="dxa"/>
            <w:shd w:val="clear" w:color="auto" w:fill="CCECFF"/>
          </w:tcPr>
          <w:p w14:paraId="586DDDE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16.0</w:t>
            </w:r>
          </w:p>
        </w:tc>
        <w:tc>
          <w:tcPr>
            <w:tcW w:w="586" w:type="dxa"/>
            <w:shd w:val="clear" w:color="auto" w:fill="CCECFF"/>
          </w:tcPr>
          <w:p w14:paraId="09E70E0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1.3</w:t>
            </w:r>
          </w:p>
        </w:tc>
        <w:tc>
          <w:tcPr>
            <w:tcW w:w="733" w:type="dxa"/>
            <w:shd w:val="clear" w:color="auto" w:fill="CCECFF"/>
          </w:tcPr>
          <w:p w14:paraId="00113ED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14.9</w:t>
            </w:r>
          </w:p>
        </w:tc>
        <w:tc>
          <w:tcPr>
            <w:tcW w:w="1025" w:type="dxa"/>
            <w:shd w:val="clear" w:color="auto" w:fill="CCECFF"/>
          </w:tcPr>
          <w:p w14:paraId="30A39478"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6.8</w:t>
            </w:r>
          </w:p>
        </w:tc>
        <w:tc>
          <w:tcPr>
            <w:tcW w:w="1172" w:type="dxa"/>
            <w:shd w:val="clear" w:color="auto" w:fill="CCECFF"/>
          </w:tcPr>
          <w:p w14:paraId="0E83907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879" w:type="dxa"/>
            <w:shd w:val="clear" w:color="auto" w:fill="CCECFF"/>
          </w:tcPr>
          <w:p w14:paraId="6849262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4.6</w:t>
            </w:r>
          </w:p>
        </w:tc>
        <w:tc>
          <w:tcPr>
            <w:tcW w:w="1172" w:type="dxa"/>
            <w:shd w:val="clear" w:color="auto" w:fill="CCECFF"/>
          </w:tcPr>
          <w:p w14:paraId="59497D9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8.8</w:t>
            </w:r>
          </w:p>
        </w:tc>
        <w:tc>
          <w:tcPr>
            <w:tcW w:w="1216" w:type="dxa"/>
            <w:shd w:val="clear" w:color="auto" w:fill="CCECFF"/>
          </w:tcPr>
          <w:p w14:paraId="7364A28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w:t>
            </w:r>
          </w:p>
        </w:tc>
        <w:tc>
          <w:tcPr>
            <w:tcW w:w="1423" w:type="dxa"/>
            <w:shd w:val="clear" w:color="auto" w:fill="CCECFF"/>
          </w:tcPr>
          <w:p w14:paraId="76BC4BF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w:t>
            </w:r>
          </w:p>
        </w:tc>
        <w:tc>
          <w:tcPr>
            <w:tcW w:w="1441" w:type="dxa"/>
            <w:shd w:val="clear" w:color="auto" w:fill="CCECFF"/>
          </w:tcPr>
          <w:p w14:paraId="30BA453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0.9</w:t>
            </w:r>
          </w:p>
        </w:tc>
        <w:tc>
          <w:tcPr>
            <w:tcW w:w="1184" w:type="dxa"/>
            <w:shd w:val="clear" w:color="auto" w:fill="CCECFF"/>
          </w:tcPr>
          <w:p w14:paraId="74FE927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19.4</w:t>
            </w:r>
          </w:p>
        </w:tc>
      </w:tr>
      <w:tr w:rsidR="00E50280" w:rsidRPr="00980502" w14:paraId="67ECE1A7" w14:textId="77777777" w:rsidTr="00D86F2F">
        <w:trPr>
          <w:gridAfter w:val="1"/>
          <w:cnfStyle w:val="000000100000" w:firstRow="0" w:lastRow="0" w:firstColumn="0" w:lastColumn="0" w:oddVBand="0" w:evenVBand="0" w:oddHBand="1" w:evenHBand="0" w:firstRowFirstColumn="0" w:firstRowLastColumn="0" w:lastRowFirstColumn="0" w:lastRowLastColumn="0"/>
          <w:wAfter w:w="18" w:type="dxa"/>
          <w:trHeight w:val="262"/>
        </w:trPr>
        <w:tc>
          <w:tcPr>
            <w:tcW w:w="3122" w:type="dxa"/>
            <w:shd w:val="clear" w:color="auto" w:fill="CCECFF"/>
            <w:hideMark/>
          </w:tcPr>
          <w:p w14:paraId="4406DD97"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Northern America</w:t>
            </w:r>
          </w:p>
        </w:tc>
        <w:tc>
          <w:tcPr>
            <w:tcW w:w="879" w:type="dxa"/>
            <w:shd w:val="clear" w:color="auto" w:fill="CCECFF"/>
          </w:tcPr>
          <w:p w14:paraId="566FD59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62.4</w:t>
            </w:r>
          </w:p>
        </w:tc>
        <w:tc>
          <w:tcPr>
            <w:tcW w:w="733" w:type="dxa"/>
            <w:shd w:val="clear" w:color="auto" w:fill="CCECFF"/>
          </w:tcPr>
          <w:p w14:paraId="1B62566E"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12.7</w:t>
            </w:r>
          </w:p>
        </w:tc>
        <w:tc>
          <w:tcPr>
            <w:tcW w:w="586" w:type="dxa"/>
            <w:shd w:val="clear" w:color="auto" w:fill="CCECFF"/>
          </w:tcPr>
          <w:p w14:paraId="269A798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4.3</w:t>
            </w:r>
          </w:p>
        </w:tc>
        <w:tc>
          <w:tcPr>
            <w:tcW w:w="733" w:type="dxa"/>
            <w:shd w:val="clear" w:color="auto" w:fill="CCECFF"/>
          </w:tcPr>
          <w:p w14:paraId="0F33FE8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15.1</w:t>
            </w:r>
          </w:p>
        </w:tc>
        <w:tc>
          <w:tcPr>
            <w:tcW w:w="1025" w:type="dxa"/>
            <w:shd w:val="clear" w:color="auto" w:fill="CCECFF"/>
          </w:tcPr>
          <w:p w14:paraId="58B8C235"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2.2</w:t>
            </w:r>
          </w:p>
        </w:tc>
        <w:tc>
          <w:tcPr>
            <w:tcW w:w="1172" w:type="dxa"/>
            <w:shd w:val="clear" w:color="auto" w:fill="CCECFF"/>
          </w:tcPr>
          <w:p w14:paraId="42FF4F6F"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2.4</w:t>
            </w:r>
          </w:p>
        </w:tc>
        <w:tc>
          <w:tcPr>
            <w:tcW w:w="879" w:type="dxa"/>
            <w:shd w:val="clear" w:color="auto" w:fill="CCECFF"/>
          </w:tcPr>
          <w:p w14:paraId="5797298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7.6</w:t>
            </w:r>
          </w:p>
        </w:tc>
        <w:tc>
          <w:tcPr>
            <w:tcW w:w="1172" w:type="dxa"/>
            <w:shd w:val="clear" w:color="auto" w:fill="CCECFF"/>
          </w:tcPr>
          <w:p w14:paraId="5D2199A1"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11.0</w:t>
            </w:r>
          </w:p>
        </w:tc>
        <w:tc>
          <w:tcPr>
            <w:tcW w:w="1216" w:type="dxa"/>
            <w:shd w:val="clear" w:color="auto" w:fill="CCECFF"/>
          </w:tcPr>
          <w:p w14:paraId="6D0F910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1.3</w:t>
            </w:r>
          </w:p>
        </w:tc>
        <w:tc>
          <w:tcPr>
            <w:tcW w:w="1423" w:type="dxa"/>
            <w:shd w:val="clear" w:color="auto" w:fill="CCECFF"/>
          </w:tcPr>
          <w:p w14:paraId="093C7837"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4.0</w:t>
            </w:r>
          </w:p>
        </w:tc>
        <w:tc>
          <w:tcPr>
            <w:tcW w:w="1441" w:type="dxa"/>
            <w:shd w:val="clear" w:color="auto" w:fill="CCECFF"/>
          </w:tcPr>
          <w:p w14:paraId="6FDC9D6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1.7</w:t>
            </w:r>
          </w:p>
        </w:tc>
        <w:tc>
          <w:tcPr>
            <w:tcW w:w="1184" w:type="dxa"/>
            <w:shd w:val="clear" w:color="auto" w:fill="CCECFF"/>
          </w:tcPr>
          <w:p w14:paraId="7D8EBCC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5.9</w:t>
            </w:r>
          </w:p>
        </w:tc>
      </w:tr>
      <w:tr w:rsidR="00E50280" w:rsidRPr="00980502" w14:paraId="37A4C177" w14:textId="77777777" w:rsidTr="00D86F2F">
        <w:trPr>
          <w:gridAfter w:val="1"/>
          <w:wAfter w:w="18" w:type="dxa"/>
          <w:trHeight w:val="34"/>
        </w:trPr>
        <w:tc>
          <w:tcPr>
            <w:tcW w:w="3122" w:type="dxa"/>
            <w:shd w:val="clear" w:color="auto" w:fill="CCECFF"/>
            <w:hideMark/>
          </w:tcPr>
          <w:p w14:paraId="0599A8E6" w14:textId="77777777" w:rsidR="00E50280" w:rsidRPr="00C404DA" w:rsidRDefault="00E50280" w:rsidP="00C404DA">
            <w:pPr>
              <w:spacing w:line="256" w:lineRule="auto"/>
              <w:rPr>
                <w:rFonts w:ascii="Calibri" w:eastAsia="Calibri" w:hAnsi="Calibri" w:cs="Calibri"/>
                <w:sz w:val="20"/>
              </w:rPr>
            </w:pPr>
            <w:r w:rsidRPr="00C404DA">
              <w:rPr>
                <w:rFonts w:ascii="Calibri" w:eastAsia="Calibri" w:hAnsi="Calibri" w:cs="Calibri"/>
                <w:sz w:val="20"/>
                <w:szCs w:val="16"/>
              </w:rPr>
              <w:t>Oceania</w:t>
            </w:r>
          </w:p>
        </w:tc>
        <w:tc>
          <w:tcPr>
            <w:tcW w:w="879" w:type="dxa"/>
            <w:shd w:val="clear" w:color="auto" w:fill="CCECFF"/>
          </w:tcPr>
          <w:p w14:paraId="72F1423D"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49.2</w:t>
            </w:r>
          </w:p>
        </w:tc>
        <w:tc>
          <w:tcPr>
            <w:tcW w:w="733" w:type="dxa"/>
            <w:shd w:val="clear" w:color="auto" w:fill="CCECFF"/>
          </w:tcPr>
          <w:p w14:paraId="2C871154"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4.9</w:t>
            </w:r>
          </w:p>
        </w:tc>
        <w:tc>
          <w:tcPr>
            <w:tcW w:w="586" w:type="dxa"/>
            <w:shd w:val="clear" w:color="auto" w:fill="CCECFF"/>
          </w:tcPr>
          <w:p w14:paraId="54B07E09"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5.8</w:t>
            </w:r>
          </w:p>
        </w:tc>
        <w:tc>
          <w:tcPr>
            <w:tcW w:w="733" w:type="dxa"/>
            <w:shd w:val="clear" w:color="auto" w:fill="CCECFF"/>
          </w:tcPr>
          <w:p w14:paraId="11DFF3CB"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16.9</w:t>
            </w:r>
          </w:p>
        </w:tc>
        <w:tc>
          <w:tcPr>
            <w:tcW w:w="1025" w:type="dxa"/>
            <w:shd w:val="clear" w:color="auto" w:fill="CCECFF"/>
          </w:tcPr>
          <w:p w14:paraId="5798620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2.9</w:t>
            </w:r>
          </w:p>
        </w:tc>
        <w:tc>
          <w:tcPr>
            <w:tcW w:w="1172" w:type="dxa"/>
            <w:shd w:val="clear" w:color="auto" w:fill="CCECFF"/>
          </w:tcPr>
          <w:p w14:paraId="0BF571A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3.1</w:t>
            </w:r>
          </w:p>
        </w:tc>
        <w:tc>
          <w:tcPr>
            <w:tcW w:w="879" w:type="dxa"/>
            <w:shd w:val="clear" w:color="auto" w:fill="CCECFF"/>
          </w:tcPr>
          <w:p w14:paraId="6214BAC0"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3.4</w:t>
            </w:r>
          </w:p>
        </w:tc>
        <w:tc>
          <w:tcPr>
            <w:tcW w:w="1172" w:type="dxa"/>
            <w:shd w:val="clear" w:color="auto" w:fill="CCECFF"/>
          </w:tcPr>
          <w:p w14:paraId="504D375C"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9.3</w:t>
            </w:r>
          </w:p>
        </w:tc>
        <w:tc>
          <w:tcPr>
            <w:tcW w:w="1216" w:type="dxa"/>
            <w:shd w:val="clear" w:color="auto" w:fill="CCECFF"/>
          </w:tcPr>
          <w:p w14:paraId="3D519592"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1423" w:type="dxa"/>
            <w:shd w:val="clear" w:color="auto" w:fill="CCECFF"/>
          </w:tcPr>
          <w:p w14:paraId="7DE3D103"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1.1</w:t>
            </w:r>
          </w:p>
        </w:tc>
        <w:tc>
          <w:tcPr>
            <w:tcW w:w="1441" w:type="dxa"/>
            <w:shd w:val="clear" w:color="auto" w:fill="CCECFF"/>
          </w:tcPr>
          <w:p w14:paraId="27D64B2A"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1.0</w:t>
            </w:r>
          </w:p>
        </w:tc>
        <w:tc>
          <w:tcPr>
            <w:tcW w:w="1184" w:type="dxa"/>
            <w:shd w:val="clear" w:color="auto" w:fill="CCECFF"/>
          </w:tcPr>
          <w:p w14:paraId="630E5376" w14:textId="77777777" w:rsidR="00E50280" w:rsidRPr="00C404DA" w:rsidRDefault="00E50280" w:rsidP="00B55D25">
            <w:pPr>
              <w:spacing w:line="256" w:lineRule="auto"/>
              <w:jc w:val="center"/>
              <w:rPr>
                <w:rFonts w:ascii="Calibri" w:eastAsia="Calibri" w:hAnsi="Calibri" w:cs="Calibri"/>
                <w:sz w:val="20"/>
                <w:szCs w:val="16"/>
              </w:rPr>
            </w:pPr>
            <w:r w:rsidRPr="00C404DA">
              <w:rPr>
                <w:rFonts w:ascii="Calibri" w:eastAsia="Calibri" w:hAnsi="Calibri" w:cs="Calibri"/>
                <w:sz w:val="20"/>
                <w:szCs w:val="16"/>
              </w:rPr>
              <w:t>14.6</w:t>
            </w:r>
          </w:p>
        </w:tc>
      </w:tr>
    </w:tbl>
    <w:p w14:paraId="49BCD63F" w14:textId="77777777" w:rsidR="00856317" w:rsidRDefault="00856317" w:rsidP="00E50280">
      <w:pPr>
        <w:sectPr w:rsidR="00856317" w:rsidSect="006634B5">
          <w:pgSz w:w="16838" w:h="11906" w:orient="landscape"/>
          <w:pgMar w:top="1440" w:right="1440" w:bottom="1440" w:left="1440" w:header="708" w:footer="708" w:gutter="0"/>
          <w:cols w:space="708"/>
          <w:docGrid w:linePitch="360"/>
        </w:sectPr>
      </w:pPr>
    </w:p>
    <w:p w14:paraId="1E4149A1" w14:textId="355FC8DC" w:rsidR="00856317" w:rsidRPr="00FA674F" w:rsidRDefault="00856317" w:rsidP="009528FD">
      <w:pPr>
        <w:shd w:val="clear" w:color="auto" w:fill="FFFFFF"/>
        <w:spacing w:before="100" w:beforeAutospacing="1" w:after="0" w:line="276" w:lineRule="auto"/>
        <w:jc w:val="both"/>
        <w:rPr>
          <w:sz w:val="24"/>
          <w:lang w:val="en-NZ"/>
        </w:rPr>
      </w:pPr>
      <w:r>
        <w:rPr>
          <w:sz w:val="24"/>
        </w:rPr>
        <w:t xml:space="preserve">The Guttmacher Institute estimates that a </w:t>
      </w:r>
      <w:r w:rsidRPr="009B0677">
        <w:rPr>
          <w:sz w:val="24"/>
        </w:rPr>
        <w:t xml:space="preserve">package of care that would meet all women’s </w:t>
      </w:r>
      <w:r>
        <w:rPr>
          <w:sz w:val="24"/>
        </w:rPr>
        <w:t xml:space="preserve">sexual and reproductive health </w:t>
      </w:r>
      <w:r w:rsidRPr="009B0677">
        <w:rPr>
          <w:sz w:val="24"/>
        </w:rPr>
        <w:t xml:space="preserve">needs </w:t>
      </w:r>
      <w:r>
        <w:rPr>
          <w:sz w:val="24"/>
        </w:rPr>
        <w:t>in terms</w:t>
      </w:r>
      <w:r w:rsidRPr="009B0677">
        <w:rPr>
          <w:sz w:val="24"/>
        </w:rPr>
        <w:t xml:space="preserve"> modern contraception, pregnancy-related and newborn ca</w:t>
      </w:r>
      <w:r>
        <w:rPr>
          <w:sz w:val="24"/>
        </w:rPr>
        <w:t xml:space="preserve">re, and treatment for </w:t>
      </w:r>
      <w:r w:rsidRPr="009B0677">
        <w:rPr>
          <w:sz w:val="24"/>
        </w:rPr>
        <w:t xml:space="preserve">STIs would cost </w:t>
      </w:r>
      <w:r w:rsidR="00916FDF">
        <w:rPr>
          <w:sz w:val="24"/>
        </w:rPr>
        <w:t>US$</w:t>
      </w:r>
      <w:r w:rsidR="003478D8">
        <w:rPr>
          <w:sz w:val="24"/>
        </w:rPr>
        <w:t xml:space="preserve"> </w:t>
      </w:r>
      <w:r>
        <w:rPr>
          <w:sz w:val="24"/>
        </w:rPr>
        <w:t xml:space="preserve">68.8 billion annually in 2019, which is </w:t>
      </w:r>
      <w:r w:rsidRPr="009B0677">
        <w:rPr>
          <w:sz w:val="24"/>
        </w:rPr>
        <w:t xml:space="preserve">approximately </w:t>
      </w:r>
      <w:r w:rsidR="00DB755B">
        <w:rPr>
          <w:sz w:val="24"/>
        </w:rPr>
        <w:t>US</w:t>
      </w:r>
      <w:r w:rsidRPr="009B0677">
        <w:rPr>
          <w:sz w:val="24"/>
        </w:rPr>
        <w:t>$10.60 per ca</w:t>
      </w:r>
      <w:r>
        <w:rPr>
          <w:sz w:val="24"/>
        </w:rPr>
        <w:t>pita</w:t>
      </w:r>
      <w:r w:rsidRPr="009B0677">
        <w:rPr>
          <w:sz w:val="24"/>
        </w:rPr>
        <w:t xml:space="preserve"> per year</w:t>
      </w:r>
      <w:r w:rsidR="001162BF">
        <w:rPr>
          <w:sz w:val="24"/>
        </w:rPr>
        <w:t xml:space="preserve"> </w:t>
      </w:r>
      <w:r w:rsidR="001162BF">
        <w:rPr>
          <w:sz w:val="24"/>
        </w:rPr>
        <w:fldChar w:fldCharType="begin"/>
      </w:r>
      <w:r w:rsidR="001162BF">
        <w:rPr>
          <w:sz w:val="24"/>
        </w:rPr>
        <w:instrText xml:space="preserve"> ADDIN ZOTERO_ITEM CSL_CITATION {"citationID":"aZLXh7K0","properties":{"formattedCitation":"(Guttmacher Institute, 2020)","plainCitation":"(Guttmacher Institute, 2020)","noteIndex":0},"citationItems":[{"id":11,"uris":["http://zotero.org/users/7220606/items/TCI57A77"],"uri":["http://zotero.org/users/7220606/items/TCI57A77"],"itemData":{"id":11,"type":"report","language":"en","title":"Adding it Up: Investing in Sexual and Reproductive Health in Low- and Middle-Income Countries","URL":"https://www.guttmacher.org/fact-sheet/adding-it-up-investing-in-sexual-reproductive-health","author":[{"family":"Guttmacher Institute","given":""}],"accessed":{"date-parts":[["2021",1,18]]},"issued":{"date-parts":[["2020"]]}}}],"schema":"https://github.com/citation-style-language/schema/raw/master/csl-citation.json"} </w:instrText>
      </w:r>
      <w:r w:rsidR="001162BF">
        <w:rPr>
          <w:sz w:val="24"/>
        </w:rPr>
        <w:fldChar w:fldCharType="separate"/>
      </w:r>
      <w:r w:rsidR="001162BF" w:rsidRPr="001162BF">
        <w:rPr>
          <w:rFonts w:ascii="Calibri" w:hAnsi="Calibri" w:cs="Calibri"/>
          <w:sz w:val="24"/>
        </w:rPr>
        <w:t>(Guttmacher Institute, 2020)</w:t>
      </w:r>
      <w:r w:rsidR="001162BF">
        <w:rPr>
          <w:sz w:val="24"/>
        </w:rPr>
        <w:fldChar w:fldCharType="end"/>
      </w:r>
      <w:r w:rsidRPr="009B0677">
        <w:rPr>
          <w:sz w:val="24"/>
        </w:rPr>
        <w:t xml:space="preserve">. </w:t>
      </w:r>
      <w:r>
        <w:rPr>
          <w:sz w:val="24"/>
        </w:rPr>
        <w:t>This is an increase of</w:t>
      </w:r>
      <w:r w:rsidRPr="009B0677">
        <w:rPr>
          <w:sz w:val="24"/>
        </w:rPr>
        <w:t xml:space="preserve"> </w:t>
      </w:r>
      <w:r w:rsidR="00916FDF" w:rsidRPr="00D86F2F">
        <w:rPr>
          <w:sz w:val="24"/>
        </w:rPr>
        <w:t>US$</w:t>
      </w:r>
      <w:r w:rsidRPr="00D86F2F">
        <w:rPr>
          <w:sz w:val="24"/>
        </w:rPr>
        <w:t xml:space="preserve"> 31</w:t>
      </w:r>
      <w:r w:rsidRPr="009B0677">
        <w:rPr>
          <w:sz w:val="24"/>
        </w:rPr>
        <w:t xml:space="preserve"> billion (83%) ove</w:t>
      </w:r>
      <w:r>
        <w:rPr>
          <w:sz w:val="24"/>
        </w:rPr>
        <w:t xml:space="preserve">r current annual costs, which amounts to </w:t>
      </w:r>
      <w:r w:rsidRPr="009B0677">
        <w:rPr>
          <w:sz w:val="24"/>
        </w:rPr>
        <w:t xml:space="preserve">about </w:t>
      </w:r>
      <w:r w:rsidR="00DB755B">
        <w:rPr>
          <w:sz w:val="24"/>
        </w:rPr>
        <w:t>US</w:t>
      </w:r>
      <w:r w:rsidRPr="009B0677">
        <w:rPr>
          <w:sz w:val="24"/>
        </w:rPr>
        <w:t>$4.80 per capita per year</w:t>
      </w:r>
      <w:r w:rsidR="00572763">
        <w:rPr>
          <w:sz w:val="24"/>
        </w:rPr>
        <w:t xml:space="preserve"> (Table 2</w:t>
      </w:r>
      <w:r>
        <w:rPr>
          <w:sz w:val="24"/>
        </w:rPr>
        <w:t>)</w:t>
      </w:r>
      <w:r w:rsidRPr="009B0677">
        <w:rPr>
          <w:sz w:val="24"/>
        </w:rPr>
        <w:t xml:space="preserve">. </w:t>
      </w:r>
      <w:r w:rsidR="00FA674F">
        <w:rPr>
          <w:sz w:val="24"/>
        </w:rPr>
        <w:t xml:space="preserve">Southern Asian and </w:t>
      </w:r>
      <w:r w:rsidR="00BD6727">
        <w:rPr>
          <w:sz w:val="24"/>
        </w:rPr>
        <w:t xml:space="preserve">SSA </w:t>
      </w:r>
      <w:r w:rsidRPr="009B0677">
        <w:rPr>
          <w:sz w:val="24"/>
        </w:rPr>
        <w:t xml:space="preserve">account for more than </w:t>
      </w:r>
      <w:r w:rsidR="00FA674F">
        <w:rPr>
          <w:sz w:val="24"/>
        </w:rPr>
        <w:t xml:space="preserve">75% </w:t>
      </w:r>
      <w:r w:rsidRPr="009B0677">
        <w:rPr>
          <w:sz w:val="24"/>
        </w:rPr>
        <w:t xml:space="preserve"> (</w:t>
      </w:r>
      <w:r w:rsidR="00DB755B">
        <w:rPr>
          <w:sz w:val="24"/>
        </w:rPr>
        <w:t>US</w:t>
      </w:r>
      <w:r w:rsidRPr="009B0677">
        <w:rPr>
          <w:sz w:val="24"/>
        </w:rPr>
        <w:t>$24 billion) of the total increase</w:t>
      </w:r>
      <w:r>
        <w:rPr>
          <w:sz w:val="24"/>
        </w:rPr>
        <w:t>, and l</w:t>
      </w:r>
      <w:r w:rsidRPr="009B0677">
        <w:rPr>
          <w:sz w:val="24"/>
        </w:rPr>
        <w:t>ow-inc</w:t>
      </w:r>
      <w:r>
        <w:rPr>
          <w:sz w:val="24"/>
        </w:rPr>
        <w:t>ome countries</w:t>
      </w:r>
      <w:r w:rsidRPr="009B0677">
        <w:rPr>
          <w:sz w:val="24"/>
        </w:rPr>
        <w:t xml:space="preserve"> mostly </w:t>
      </w:r>
      <w:r>
        <w:rPr>
          <w:sz w:val="24"/>
        </w:rPr>
        <w:t xml:space="preserve">in </w:t>
      </w:r>
      <w:r w:rsidR="00FA674F">
        <w:rPr>
          <w:sz w:val="24"/>
        </w:rPr>
        <w:t xml:space="preserve">SSA </w:t>
      </w:r>
      <w:r w:rsidRPr="009B0677">
        <w:rPr>
          <w:sz w:val="24"/>
        </w:rPr>
        <w:t xml:space="preserve">require the largest </w:t>
      </w:r>
      <w:r w:rsidR="00BD6727">
        <w:rPr>
          <w:sz w:val="24"/>
        </w:rPr>
        <w:t>increase in resources—</w:t>
      </w:r>
      <w:r w:rsidRPr="009B0677">
        <w:rPr>
          <w:sz w:val="24"/>
        </w:rPr>
        <w:t xml:space="preserve">from </w:t>
      </w:r>
      <w:r w:rsidR="00916FDF">
        <w:rPr>
          <w:sz w:val="24"/>
        </w:rPr>
        <w:t>U</w:t>
      </w:r>
      <w:r w:rsidR="00DB755B">
        <w:rPr>
          <w:sz w:val="24"/>
        </w:rPr>
        <w:t>S</w:t>
      </w:r>
      <w:r w:rsidRPr="009B0677">
        <w:rPr>
          <w:sz w:val="24"/>
        </w:rPr>
        <w:t xml:space="preserve">$3.40 to </w:t>
      </w:r>
      <w:r w:rsidR="00DB755B">
        <w:rPr>
          <w:sz w:val="24"/>
        </w:rPr>
        <w:t>US</w:t>
      </w:r>
      <w:r w:rsidRPr="009B0677">
        <w:rPr>
          <w:sz w:val="24"/>
        </w:rPr>
        <w:t>$15.80 per capita annually—</w:t>
      </w:r>
      <w:r w:rsidR="00BD6727">
        <w:rPr>
          <w:sz w:val="24"/>
        </w:rPr>
        <w:t>as</w:t>
      </w:r>
      <w:r w:rsidRPr="009B0677">
        <w:rPr>
          <w:sz w:val="24"/>
        </w:rPr>
        <w:t xml:space="preserve"> </w:t>
      </w:r>
      <w:r w:rsidR="00BD6727">
        <w:rPr>
          <w:sz w:val="24"/>
        </w:rPr>
        <w:t>unmet need</w:t>
      </w:r>
      <w:r w:rsidRPr="009B0677">
        <w:rPr>
          <w:sz w:val="24"/>
        </w:rPr>
        <w:t xml:space="preserve"> </w:t>
      </w:r>
      <w:r w:rsidR="00BD6727">
        <w:rPr>
          <w:sz w:val="24"/>
        </w:rPr>
        <w:t xml:space="preserve">in these countries </w:t>
      </w:r>
      <w:r w:rsidRPr="009B0677">
        <w:rPr>
          <w:sz w:val="24"/>
        </w:rPr>
        <w:t>are the</w:t>
      </w:r>
      <w:r w:rsidR="00BD6727">
        <w:rPr>
          <w:sz w:val="24"/>
        </w:rPr>
        <w:t xml:space="preserve"> highest and the health systems, infrastructure and personnel </w:t>
      </w:r>
      <w:r w:rsidRPr="009B0677">
        <w:rPr>
          <w:sz w:val="24"/>
        </w:rPr>
        <w:t>supporting these services require the most expansion and improvement</w:t>
      </w:r>
      <w:r>
        <w:rPr>
          <w:sz w:val="24"/>
        </w:rPr>
        <w:t xml:space="preserve"> </w:t>
      </w:r>
      <w:r>
        <w:rPr>
          <w:sz w:val="24"/>
        </w:rPr>
        <w:fldChar w:fldCharType="begin"/>
      </w:r>
      <w:r w:rsidR="00B23620">
        <w:rPr>
          <w:sz w:val="24"/>
        </w:rPr>
        <w:instrText xml:space="preserve"> ADDIN ZOTERO_ITEM CSL_CITATION {"citationID":"xiPJmAAm","properties":{"formattedCitation":"(Guttmacher Institute, 2020)","plainCitation":"(Guttmacher Institute, 2020)","noteIndex":0},"citationItems":[{"id":11,"uris":["http://zotero.org/users/7220606/items/TCI57A77"],"uri":["http://zotero.org/users/7220606/items/TCI57A77"],"itemData":{"id":11,"type":"report","language":"en","title":"Adding it Up: Investing in Sexual and Reproductive Health in Low- and Middle-Income Countries","URL":"https://www.guttmacher.org/fact-sheet/adding-it-up-investing-in-sexual-reproductive-health","author":[{"family":"Guttmacher Institute","given":""}],"accessed":{"date-parts":[["2021",1,18]]},"issued":{"date-parts":[["2020"]]}}}],"schema":"https://github.com/citation-style-language/schema/raw/master/csl-citation.json"} </w:instrText>
      </w:r>
      <w:r>
        <w:rPr>
          <w:sz w:val="24"/>
        </w:rPr>
        <w:fldChar w:fldCharType="separate"/>
      </w:r>
      <w:r w:rsidR="00B23620" w:rsidRPr="00B23620">
        <w:rPr>
          <w:rFonts w:ascii="Calibri" w:hAnsi="Calibri" w:cs="Calibri"/>
          <w:sz w:val="24"/>
        </w:rPr>
        <w:t>(Guttmacher Institute, 2020)</w:t>
      </w:r>
      <w:r>
        <w:rPr>
          <w:sz w:val="24"/>
        </w:rPr>
        <w:fldChar w:fldCharType="end"/>
      </w:r>
      <w:r w:rsidRPr="009B0677">
        <w:rPr>
          <w:sz w:val="24"/>
        </w:rPr>
        <w:t>.</w:t>
      </w:r>
      <w:r>
        <w:rPr>
          <w:sz w:val="24"/>
        </w:rPr>
        <w:t xml:space="preserve"> We undertook a preliminary costing analysis based on projected changes in the numbers of women of reproductive age using any contraceptive method across the different </w:t>
      </w:r>
      <w:r w:rsidR="00916FDF">
        <w:rPr>
          <w:sz w:val="24"/>
        </w:rPr>
        <w:t>Sustainable Development Goal (</w:t>
      </w:r>
      <w:r>
        <w:rPr>
          <w:sz w:val="24"/>
        </w:rPr>
        <w:t>SDG</w:t>
      </w:r>
      <w:r w:rsidR="00916FDF">
        <w:rPr>
          <w:sz w:val="24"/>
        </w:rPr>
        <w:t>)</w:t>
      </w:r>
      <w:r>
        <w:rPr>
          <w:sz w:val="24"/>
        </w:rPr>
        <w:t xml:space="preserve"> regions</w:t>
      </w:r>
      <w:r w:rsidRPr="00415210">
        <w:rPr>
          <w:sz w:val="24"/>
        </w:rPr>
        <w:t xml:space="preserve"> </w:t>
      </w:r>
      <w:r>
        <w:rPr>
          <w:sz w:val="24"/>
        </w:rPr>
        <w:t xml:space="preserve">between 2015 and 2060, together with estimated costs of current FP service provision and costs to meet all FP needs of all women. The estimated costs for meeting the FP needs for women across time are shown below in Table </w:t>
      </w:r>
      <w:r w:rsidR="00572763">
        <w:rPr>
          <w:sz w:val="24"/>
        </w:rPr>
        <w:t>3</w:t>
      </w:r>
      <w:r>
        <w:rPr>
          <w:sz w:val="24"/>
        </w:rPr>
        <w:t xml:space="preserve"> below. </w:t>
      </w:r>
    </w:p>
    <w:p w14:paraId="0C6C0537" w14:textId="77777777" w:rsidR="00856317" w:rsidRDefault="00856317" w:rsidP="00E50280"/>
    <w:p w14:paraId="726A94ED" w14:textId="23459B9E" w:rsidR="00856317" w:rsidRPr="00856317" w:rsidRDefault="00856317" w:rsidP="00856317">
      <w:pPr>
        <w:pStyle w:val="Caption"/>
        <w:keepNext/>
        <w:rPr>
          <w:i w:val="0"/>
          <w:sz w:val="22"/>
        </w:rPr>
      </w:pPr>
      <w:bookmarkStart w:id="12" w:name="_Toc74154076"/>
      <w:r w:rsidRPr="00856317">
        <w:rPr>
          <w:i w:val="0"/>
          <w:sz w:val="22"/>
        </w:rPr>
        <w:t xml:space="preserve">Table </w:t>
      </w:r>
      <w:r w:rsidRPr="00856317">
        <w:rPr>
          <w:i w:val="0"/>
          <w:sz w:val="22"/>
        </w:rPr>
        <w:fldChar w:fldCharType="begin"/>
      </w:r>
      <w:r w:rsidRPr="00856317">
        <w:rPr>
          <w:i w:val="0"/>
          <w:sz w:val="22"/>
        </w:rPr>
        <w:instrText xml:space="preserve"> SEQ Table \* ARABIC </w:instrText>
      </w:r>
      <w:r w:rsidRPr="00856317">
        <w:rPr>
          <w:i w:val="0"/>
          <w:sz w:val="22"/>
        </w:rPr>
        <w:fldChar w:fldCharType="separate"/>
      </w:r>
      <w:r w:rsidR="007F3156">
        <w:rPr>
          <w:i w:val="0"/>
          <w:noProof/>
          <w:sz w:val="22"/>
        </w:rPr>
        <w:t>2</w:t>
      </w:r>
      <w:r w:rsidRPr="00856317">
        <w:rPr>
          <w:i w:val="0"/>
          <w:sz w:val="22"/>
        </w:rPr>
        <w:fldChar w:fldCharType="end"/>
      </w:r>
      <w:r w:rsidRPr="00856317">
        <w:rPr>
          <w:i w:val="0"/>
          <w:sz w:val="22"/>
        </w:rPr>
        <w:t xml:space="preserve">: </w:t>
      </w:r>
      <w:r>
        <w:rPr>
          <w:i w:val="0"/>
          <w:sz w:val="22"/>
        </w:rPr>
        <w:t>Estimated</w:t>
      </w:r>
      <w:r w:rsidRPr="00856317">
        <w:rPr>
          <w:i w:val="0"/>
          <w:sz w:val="22"/>
        </w:rPr>
        <w:t xml:space="preserve"> annual costs </w:t>
      </w:r>
      <w:r>
        <w:rPr>
          <w:i w:val="0"/>
          <w:sz w:val="22"/>
        </w:rPr>
        <w:t>of current FP uptake among</w:t>
      </w:r>
      <w:r w:rsidRPr="00856317">
        <w:rPr>
          <w:i w:val="0"/>
          <w:sz w:val="22"/>
        </w:rPr>
        <w:t xml:space="preserve"> women aged 15-49 years</w:t>
      </w:r>
      <w:bookmarkEnd w:id="12"/>
    </w:p>
    <w:tbl>
      <w:tblPr>
        <w:tblW w:w="10925" w:type="dxa"/>
        <w:tblLook w:val="04A0" w:firstRow="1" w:lastRow="0" w:firstColumn="1" w:lastColumn="0" w:noHBand="0" w:noVBand="1"/>
      </w:tblPr>
      <w:tblGrid>
        <w:gridCol w:w="3494"/>
        <w:gridCol w:w="1357"/>
        <w:gridCol w:w="1616"/>
        <w:gridCol w:w="1616"/>
        <w:gridCol w:w="1438"/>
        <w:gridCol w:w="1404"/>
      </w:tblGrid>
      <w:tr w:rsidR="00E50280" w:rsidRPr="002826B2" w14:paraId="3C80F6EB" w14:textId="77777777" w:rsidTr="00856317">
        <w:trPr>
          <w:trHeight w:val="318"/>
        </w:trPr>
        <w:tc>
          <w:tcPr>
            <w:tcW w:w="3494" w:type="dxa"/>
            <w:tcBorders>
              <w:top w:val="nil"/>
              <w:left w:val="nil"/>
              <w:bottom w:val="nil"/>
              <w:right w:val="nil"/>
            </w:tcBorders>
            <w:shd w:val="clear" w:color="auto" w:fill="auto"/>
            <w:noWrap/>
            <w:vAlign w:val="bottom"/>
            <w:hideMark/>
          </w:tcPr>
          <w:p w14:paraId="54162B13" w14:textId="77777777" w:rsidR="00E50280" w:rsidRPr="002826B2" w:rsidRDefault="00E50280" w:rsidP="006634B5">
            <w:pPr>
              <w:spacing w:after="0" w:line="240" w:lineRule="auto"/>
              <w:rPr>
                <w:rFonts w:ascii="Times New Roman" w:eastAsia="Times New Roman" w:hAnsi="Times New Roman" w:cs="Times New Roman"/>
                <w:sz w:val="24"/>
                <w:szCs w:val="24"/>
                <w:lang w:eastAsia="en-NZ"/>
              </w:rPr>
            </w:pPr>
          </w:p>
        </w:tc>
        <w:tc>
          <w:tcPr>
            <w:tcW w:w="7431" w:type="dxa"/>
            <w:gridSpan w:val="5"/>
            <w:tcBorders>
              <w:top w:val="nil"/>
              <w:left w:val="nil"/>
              <w:bottom w:val="nil"/>
              <w:right w:val="nil"/>
            </w:tcBorders>
          </w:tcPr>
          <w:p w14:paraId="717F5230" w14:textId="38A6814F" w:rsidR="00E50280" w:rsidRPr="002826B2" w:rsidRDefault="00E50280" w:rsidP="006634B5">
            <w:pPr>
              <w:spacing w:after="0" w:line="240" w:lineRule="auto"/>
              <w:rPr>
                <w:rFonts w:ascii="Calibri" w:eastAsia="Times New Roman" w:hAnsi="Calibri" w:cs="Calibri"/>
                <w:b/>
                <w:bCs/>
                <w:color w:val="000000"/>
                <w:lang w:eastAsia="en-NZ"/>
              </w:rPr>
            </w:pPr>
            <w:r w:rsidRPr="002826B2">
              <w:rPr>
                <w:rFonts w:ascii="Calibri" w:eastAsia="Times New Roman" w:hAnsi="Calibri" w:cs="Calibri"/>
                <w:b/>
                <w:bCs/>
                <w:color w:val="000000"/>
                <w:lang w:eastAsia="en-NZ"/>
              </w:rPr>
              <w:t>Costs per year for current FP uptake (</w:t>
            </w:r>
            <w:r>
              <w:rPr>
                <w:rFonts w:ascii="Calibri" w:eastAsia="Times New Roman" w:hAnsi="Calibri" w:cs="Calibri"/>
                <w:b/>
                <w:bCs/>
                <w:color w:val="000000"/>
                <w:lang w:eastAsia="en-NZ"/>
              </w:rPr>
              <w:t xml:space="preserve">thousand </w:t>
            </w:r>
            <w:r w:rsidR="00916FDF">
              <w:rPr>
                <w:rFonts w:ascii="Calibri" w:eastAsia="Times New Roman" w:hAnsi="Calibri" w:cs="Calibri"/>
                <w:b/>
                <w:bCs/>
                <w:color w:val="000000"/>
                <w:lang w:eastAsia="en-NZ"/>
              </w:rPr>
              <w:t>US$</w:t>
            </w:r>
            <w:r w:rsidRPr="002826B2">
              <w:rPr>
                <w:rFonts w:ascii="Calibri" w:eastAsia="Times New Roman" w:hAnsi="Calibri" w:cs="Calibri"/>
                <w:b/>
                <w:bCs/>
                <w:color w:val="000000"/>
                <w:lang w:eastAsia="en-NZ"/>
              </w:rPr>
              <w:t>)</w:t>
            </w:r>
          </w:p>
        </w:tc>
      </w:tr>
      <w:tr w:rsidR="00E50280" w:rsidRPr="002826B2" w14:paraId="02F9919C" w14:textId="77777777" w:rsidTr="002677CE">
        <w:trPr>
          <w:gridAfter w:val="1"/>
          <w:wAfter w:w="1404" w:type="dxa"/>
          <w:trHeight w:val="318"/>
        </w:trPr>
        <w:tc>
          <w:tcPr>
            <w:tcW w:w="3494" w:type="dxa"/>
            <w:tcBorders>
              <w:top w:val="nil"/>
              <w:left w:val="nil"/>
              <w:bottom w:val="nil"/>
            </w:tcBorders>
            <w:shd w:val="clear" w:color="auto" w:fill="auto"/>
            <w:noWrap/>
            <w:vAlign w:val="bottom"/>
            <w:hideMark/>
          </w:tcPr>
          <w:p w14:paraId="3A8D7C66" w14:textId="77777777" w:rsidR="00E50280" w:rsidRPr="002826B2" w:rsidRDefault="00E50280" w:rsidP="006634B5">
            <w:pPr>
              <w:spacing w:after="0" w:line="240" w:lineRule="auto"/>
              <w:rPr>
                <w:rFonts w:ascii="Calibri" w:eastAsia="Times New Roman" w:hAnsi="Calibri" w:cs="Calibri"/>
                <w:b/>
                <w:bCs/>
                <w:color w:val="000000"/>
                <w:lang w:eastAsia="en-NZ"/>
              </w:rPr>
            </w:pPr>
            <w:r w:rsidRPr="002826B2">
              <w:rPr>
                <w:rFonts w:ascii="Calibri" w:eastAsia="Times New Roman" w:hAnsi="Calibri" w:cs="Calibri"/>
                <w:b/>
                <w:bCs/>
                <w:color w:val="000000"/>
                <w:lang w:eastAsia="en-NZ"/>
              </w:rPr>
              <w:t>SDG regions</w:t>
            </w:r>
          </w:p>
        </w:tc>
        <w:tc>
          <w:tcPr>
            <w:tcW w:w="1357" w:type="dxa"/>
            <w:shd w:val="clear" w:color="000000" w:fill="99CCFF"/>
            <w:noWrap/>
            <w:vAlign w:val="center"/>
            <w:hideMark/>
          </w:tcPr>
          <w:p w14:paraId="60EA2587"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sidRPr="002826B2">
              <w:rPr>
                <w:rFonts w:ascii="Arial" w:eastAsia="Times New Roman" w:hAnsi="Arial" w:cs="Arial"/>
                <w:b/>
                <w:bCs/>
                <w:color w:val="000000"/>
                <w:sz w:val="18"/>
                <w:szCs w:val="18"/>
                <w:lang w:eastAsia="en-NZ"/>
              </w:rPr>
              <w:t>2015</w:t>
            </w:r>
          </w:p>
        </w:tc>
        <w:tc>
          <w:tcPr>
            <w:tcW w:w="1616" w:type="dxa"/>
            <w:shd w:val="clear" w:color="000000" w:fill="99CCFF"/>
            <w:vAlign w:val="center"/>
          </w:tcPr>
          <w:p w14:paraId="11AE8908"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Arial" w:hAnsi="Arial" w:cs="Arial"/>
                <w:b/>
                <w:bCs/>
                <w:color w:val="000000"/>
                <w:sz w:val="18"/>
                <w:szCs w:val="18"/>
              </w:rPr>
              <w:t>2020</w:t>
            </w:r>
          </w:p>
        </w:tc>
        <w:tc>
          <w:tcPr>
            <w:tcW w:w="1616" w:type="dxa"/>
            <w:shd w:val="clear" w:color="000000" w:fill="99CCFF"/>
            <w:vAlign w:val="center"/>
          </w:tcPr>
          <w:p w14:paraId="6FCBBB57" w14:textId="77777777" w:rsidR="00E50280" w:rsidRDefault="00E50280" w:rsidP="006634B5">
            <w:pPr>
              <w:spacing w:after="0" w:line="240" w:lineRule="auto"/>
              <w:jc w:val="center"/>
              <w:rPr>
                <w:rFonts w:ascii="Arial" w:hAnsi="Arial" w:cs="Arial"/>
                <w:b/>
                <w:bCs/>
                <w:color w:val="000000"/>
                <w:sz w:val="18"/>
                <w:szCs w:val="18"/>
              </w:rPr>
            </w:pPr>
            <w:r>
              <w:rPr>
                <w:rFonts w:ascii="Arial" w:hAnsi="Arial" w:cs="Arial"/>
                <w:b/>
                <w:bCs/>
                <w:color w:val="000000"/>
                <w:sz w:val="18"/>
                <w:szCs w:val="18"/>
              </w:rPr>
              <w:t>2050</w:t>
            </w:r>
          </w:p>
        </w:tc>
        <w:tc>
          <w:tcPr>
            <w:tcW w:w="1438" w:type="dxa"/>
            <w:shd w:val="clear" w:color="000000" w:fill="99CCFF"/>
            <w:vAlign w:val="center"/>
          </w:tcPr>
          <w:p w14:paraId="75DEE4B9" w14:textId="77777777" w:rsidR="00E50280" w:rsidRDefault="00E50280" w:rsidP="006634B5">
            <w:pPr>
              <w:spacing w:after="0" w:line="240" w:lineRule="auto"/>
              <w:jc w:val="center"/>
              <w:rPr>
                <w:rFonts w:ascii="Arial" w:hAnsi="Arial" w:cs="Arial"/>
                <w:b/>
                <w:bCs/>
                <w:color w:val="000000"/>
                <w:sz w:val="18"/>
                <w:szCs w:val="18"/>
              </w:rPr>
            </w:pPr>
            <w:r>
              <w:rPr>
                <w:rFonts w:ascii="Arial" w:hAnsi="Arial" w:cs="Arial"/>
                <w:b/>
                <w:bCs/>
                <w:color w:val="000000"/>
                <w:sz w:val="18"/>
                <w:szCs w:val="18"/>
              </w:rPr>
              <w:t>2060</w:t>
            </w:r>
          </w:p>
        </w:tc>
      </w:tr>
      <w:tr w:rsidR="00E50280" w:rsidRPr="002826B2" w14:paraId="061B812E" w14:textId="77777777" w:rsidTr="002677CE">
        <w:trPr>
          <w:gridAfter w:val="1"/>
          <w:wAfter w:w="1404" w:type="dxa"/>
          <w:trHeight w:val="318"/>
        </w:trPr>
        <w:tc>
          <w:tcPr>
            <w:tcW w:w="3494" w:type="dxa"/>
            <w:tcBorders>
              <w:top w:val="nil"/>
              <w:left w:val="nil"/>
              <w:bottom w:val="nil"/>
              <w:right w:val="nil"/>
            </w:tcBorders>
            <w:shd w:val="clear" w:color="000000" w:fill="DDEBF7"/>
            <w:noWrap/>
            <w:vAlign w:val="bottom"/>
            <w:hideMark/>
          </w:tcPr>
          <w:p w14:paraId="3B53BFA6"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Sub-Saharan Africa</w:t>
            </w:r>
          </w:p>
        </w:tc>
        <w:tc>
          <w:tcPr>
            <w:tcW w:w="1357" w:type="dxa"/>
            <w:tcBorders>
              <w:left w:val="nil"/>
              <w:bottom w:val="nil"/>
              <w:right w:val="nil"/>
            </w:tcBorders>
            <w:shd w:val="clear" w:color="000000" w:fill="DDEBF7"/>
            <w:noWrap/>
            <w:vAlign w:val="bottom"/>
            <w:hideMark/>
          </w:tcPr>
          <w:p w14:paraId="16EC2311"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604,692</w:t>
            </w:r>
          </w:p>
        </w:tc>
        <w:tc>
          <w:tcPr>
            <w:tcW w:w="1616" w:type="dxa"/>
            <w:tcBorders>
              <w:left w:val="nil"/>
              <w:bottom w:val="nil"/>
              <w:right w:val="nil"/>
            </w:tcBorders>
            <w:shd w:val="clear" w:color="000000" w:fill="DDEBF7"/>
            <w:vAlign w:val="bottom"/>
          </w:tcPr>
          <w:p w14:paraId="7C0A12E5"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771,036</w:t>
            </w:r>
          </w:p>
        </w:tc>
        <w:tc>
          <w:tcPr>
            <w:tcW w:w="1616" w:type="dxa"/>
            <w:tcBorders>
              <w:left w:val="nil"/>
              <w:bottom w:val="nil"/>
              <w:right w:val="nil"/>
            </w:tcBorders>
            <w:shd w:val="clear" w:color="000000" w:fill="DDEBF7"/>
            <w:vAlign w:val="bottom"/>
          </w:tcPr>
          <w:p w14:paraId="2983E596"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1,987,442</w:t>
            </w:r>
          </w:p>
        </w:tc>
        <w:tc>
          <w:tcPr>
            <w:tcW w:w="1438" w:type="dxa"/>
            <w:tcBorders>
              <w:left w:val="nil"/>
              <w:bottom w:val="nil"/>
              <w:right w:val="nil"/>
            </w:tcBorders>
            <w:shd w:val="clear" w:color="000000" w:fill="DDEBF7"/>
            <w:vAlign w:val="bottom"/>
          </w:tcPr>
          <w:p w14:paraId="440B71DA"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2,388,016</w:t>
            </w:r>
          </w:p>
        </w:tc>
      </w:tr>
      <w:tr w:rsidR="00E50280" w:rsidRPr="002826B2" w14:paraId="089BB873" w14:textId="77777777" w:rsidTr="00856317">
        <w:trPr>
          <w:gridAfter w:val="1"/>
          <w:wAfter w:w="1404" w:type="dxa"/>
          <w:trHeight w:val="318"/>
        </w:trPr>
        <w:tc>
          <w:tcPr>
            <w:tcW w:w="3494" w:type="dxa"/>
            <w:tcBorders>
              <w:top w:val="nil"/>
              <w:left w:val="nil"/>
              <w:bottom w:val="nil"/>
              <w:right w:val="nil"/>
            </w:tcBorders>
            <w:shd w:val="clear" w:color="000000" w:fill="BDD7EE"/>
            <w:noWrap/>
            <w:vAlign w:val="bottom"/>
            <w:hideMark/>
          </w:tcPr>
          <w:p w14:paraId="6837720A"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Western Asia and Northern Africa</w:t>
            </w:r>
          </w:p>
        </w:tc>
        <w:tc>
          <w:tcPr>
            <w:tcW w:w="1357" w:type="dxa"/>
            <w:tcBorders>
              <w:top w:val="nil"/>
              <w:left w:val="nil"/>
              <w:bottom w:val="nil"/>
              <w:right w:val="nil"/>
            </w:tcBorders>
            <w:shd w:val="clear" w:color="000000" w:fill="BDD7EE"/>
            <w:noWrap/>
            <w:vAlign w:val="bottom"/>
            <w:hideMark/>
          </w:tcPr>
          <w:p w14:paraId="321EC98B"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776,943</w:t>
            </w:r>
          </w:p>
        </w:tc>
        <w:tc>
          <w:tcPr>
            <w:tcW w:w="1616" w:type="dxa"/>
            <w:tcBorders>
              <w:top w:val="nil"/>
              <w:left w:val="nil"/>
              <w:bottom w:val="nil"/>
              <w:right w:val="nil"/>
            </w:tcBorders>
            <w:shd w:val="clear" w:color="000000" w:fill="BDD7EE"/>
            <w:vAlign w:val="bottom"/>
          </w:tcPr>
          <w:p w14:paraId="6226A027"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860,882</w:t>
            </w:r>
          </w:p>
        </w:tc>
        <w:tc>
          <w:tcPr>
            <w:tcW w:w="1616" w:type="dxa"/>
            <w:tcBorders>
              <w:top w:val="nil"/>
              <w:left w:val="nil"/>
              <w:bottom w:val="nil"/>
              <w:right w:val="nil"/>
            </w:tcBorders>
            <w:shd w:val="clear" w:color="000000" w:fill="BDD7EE"/>
            <w:vAlign w:val="bottom"/>
          </w:tcPr>
          <w:p w14:paraId="7EDADD05"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1,337,008</w:t>
            </w:r>
          </w:p>
        </w:tc>
        <w:tc>
          <w:tcPr>
            <w:tcW w:w="1438" w:type="dxa"/>
            <w:tcBorders>
              <w:top w:val="nil"/>
              <w:left w:val="nil"/>
              <w:bottom w:val="nil"/>
              <w:right w:val="nil"/>
            </w:tcBorders>
            <w:shd w:val="clear" w:color="000000" w:fill="BDD7EE"/>
            <w:vAlign w:val="bottom"/>
          </w:tcPr>
          <w:p w14:paraId="2D5DF564"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1,496,268</w:t>
            </w:r>
          </w:p>
        </w:tc>
      </w:tr>
      <w:tr w:rsidR="00E50280" w:rsidRPr="002826B2" w14:paraId="0FF93C1F" w14:textId="77777777" w:rsidTr="00856317">
        <w:trPr>
          <w:gridAfter w:val="1"/>
          <w:wAfter w:w="1404" w:type="dxa"/>
          <w:trHeight w:val="318"/>
        </w:trPr>
        <w:tc>
          <w:tcPr>
            <w:tcW w:w="3494" w:type="dxa"/>
            <w:tcBorders>
              <w:top w:val="nil"/>
              <w:left w:val="nil"/>
              <w:bottom w:val="nil"/>
              <w:right w:val="nil"/>
            </w:tcBorders>
            <w:shd w:val="clear" w:color="000000" w:fill="D9E1F2"/>
            <w:noWrap/>
            <w:vAlign w:val="bottom"/>
            <w:hideMark/>
          </w:tcPr>
          <w:p w14:paraId="58FFD351"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Central Asia and Southern Asia</w:t>
            </w:r>
          </w:p>
        </w:tc>
        <w:tc>
          <w:tcPr>
            <w:tcW w:w="1357" w:type="dxa"/>
            <w:tcBorders>
              <w:top w:val="nil"/>
              <w:left w:val="nil"/>
              <w:bottom w:val="nil"/>
              <w:right w:val="nil"/>
            </w:tcBorders>
            <w:shd w:val="clear" w:color="000000" w:fill="D9E1F2"/>
            <w:noWrap/>
            <w:vAlign w:val="bottom"/>
            <w:hideMark/>
          </w:tcPr>
          <w:p w14:paraId="695AA576"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1,179,204</w:t>
            </w:r>
          </w:p>
        </w:tc>
        <w:tc>
          <w:tcPr>
            <w:tcW w:w="1616" w:type="dxa"/>
            <w:tcBorders>
              <w:top w:val="nil"/>
              <w:left w:val="nil"/>
              <w:bottom w:val="nil"/>
              <w:right w:val="nil"/>
            </w:tcBorders>
            <w:shd w:val="clear" w:color="000000" w:fill="D9E1F2"/>
            <w:vAlign w:val="bottom"/>
          </w:tcPr>
          <w:p w14:paraId="558A944E"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1,306,479</w:t>
            </w:r>
          </w:p>
        </w:tc>
        <w:tc>
          <w:tcPr>
            <w:tcW w:w="1616" w:type="dxa"/>
            <w:tcBorders>
              <w:top w:val="nil"/>
              <w:left w:val="nil"/>
              <w:bottom w:val="nil"/>
              <w:right w:val="nil"/>
            </w:tcBorders>
            <w:shd w:val="clear" w:color="000000" w:fill="D9E1F2"/>
            <w:vAlign w:val="bottom"/>
          </w:tcPr>
          <w:p w14:paraId="40685884"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1,996,531</w:t>
            </w:r>
          </w:p>
        </w:tc>
        <w:tc>
          <w:tcPr>
            <w:tcW w:w="1438" w:type="dxa"/>
            <w:tcBorders>
              <w:top w:val="nil"/>
              <w:left w:val="nil"/>
              <w:bottom w:val="nil"/>
              <w:right w:val="nil"/>
            </w:tcBorders>
            <w:shd w:val="clear" w:color="000000" w:fill="D9E1F2"/>
            <w:vAlign w:val="bottom"/>
          </w:tcPr>
          <w:p w14:paraId="7E18942B"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2,227,987</w:t>
            </w:r>
          </w:p>
        </w:tc>
      </w:tr>
      <w:tr w:rsidR="00E50280" w:rsidRPr="002826B2" w14:paraId="7CB909BA" w14:textId="77777777" w:rsidTr="00856317">
        <w:trPr>
          <w:gridAfter w:val="1"/>
          <w:wAfter w:w="1404" w:type="dxa"/>
          <w:trHeight w:val="318"/>
        </w:trPr>
        <w:tc>
          <w:tcPr>
            <w:tcW w:w="3494" w:type="dxa"/>
            <w:tcBorders>
              <w:top w:val="nil"/>
              <w:left w:val="nil"/>
              <w:bottom w:val="nil"/>
              <w:right w:val="nil"/>
            </w:tcBorders>
            <w:shd w:val="clear" w:color="000000" w:fill="B4C6E7"/>
            <w:noWrap/>
            <w:vAlign w:val="bottom"/>
            <w:hideMark/>
          </w:tcPr>
          <w:p w14:paraId="67842689"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Eastern Asia and Southeastern Asia</w:t>
            </w:r>
          </w:p>
        </w:tc>
        <w:tc>
          <w:tcPr>
            <w:tcW w:w="1357" w:type="dxa"/>
            <w:tcBorders>
              <w:top w:val="nil"/>
              <w:left w:val="nil"/>
              <w:bottom w:val="nil"/>
              <w:right w:val="nil"/>
            </w:tcBorders>
            <w:shd w:val="clear" w:color="000000" w:fill="B4C6E7"/>
            <w:noWrap/>
            <w:vAlign w:val="bottom"/>
            <w:hideMark/>
          </w:tcPr>
          <w:p w14:paraId="53C7353A"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2,859,972</w:t>
            </w:r>
          </w:p>
        </w:tc>
        <w:tc>
          <w:tcPr>
            <w:tcW w:w="1616" w:type="dxa"/>
            <w:tcBorders>
              <w:top w:val="nil"/>
              <w:left w:val="nil"/>
              <w:bottom w:val="nil"/>
              <w:right w:val="nil"/>
            </w:tcBorders>
            <w:shd w:val="clear" w:color="000000" w:fill="B4C6E7"/>
            <w:vAlign w:val="bottom"/>
          </w:tcPr>
          <w:p w14:paraId="1C51DBA6"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2,746,976</w:t>
            </w:r>
          </w:p>
        </w:tc>
        <w:tc>
          <w:tcPr>
            <w:tcW w:w="1616" w:type="dxa"/>
            <w:tcBorders>
              <w:top w:val="nil"/>
              <w:left w:val="nil"/>
              <w:bottom w:val="nil"/>
              <w:right w:val="nil"/>
            </w:tcBorders>
            <w:shd w:val="clear" w:color="000000" w:fill="B4C6E7"/>
            <w:vAlign w:val="bottom"/>
          </w:tcPr>
          <w:p w14:paraId="0B642029"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2,159,085</w:t>
            </w:r>
          </w:p>
        </w:tc>
        <w:tc>
          <w:tcPr>
            <w:tcW w:w="1438" w:type="dxa"/>
            <w:tcBorders>
              <w:top w:val="nil"/>
              <w:left w:val="nil"/>
              <w:bottom w:val="nil"/>
              <w:right w:val="nil"/>
            </w:tcBorders>
            <w:shd w:val="clear" w:color="000000" w:fill="B4C6E7"/>
            <w:vAlign w:val="bottom"/>
          </w:tcPr>
          <w:p w14:paraId="1B3288DB"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1,961,456</w:t>
            </w:r>
          </w:p>
        </w:tc>
      </w:tr>
      <w:tr w:rsidR="00E50280" w:rsidRPr="002826B2" w14:paraId="16D5B086" w14:textId="77777777" w:rsidTr="00856317">
        <w:trPr>
          <w:gridAfter w:val="1"/>
          <w:wAfter w:w="1404" w:type="dxa"/>
          <w:trHeight w:val="318"/>
        </w:trPr>
        <w:tc>
          <w:tcPr>
            <w:tcW w:w="3494" w:type="dxa"/>
            <w:tcBorders>
              <w:top w:val="nil"/>
              <w:left w:val="nil"/>
              <w:bottom w:val="nil"/>
              <w:right w:val="nil"/>
            </w:tcBorders>
            <w:shd w:val="clear" w:color="000000" w:fill="E2EFDA"/>
            <w:noWrap/>
            <w:vAlign w:val="bottom"/>
            <w:hideMark/>
          </w:tcPr>
          <w:p w14:paraId="61B73268"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Latin America and the Caribbean</w:t>
            </w:r>
          </w:p>
        </w:tc>
        <w:tc>
          <w:tcPr>
            <w:tcW w:w="1357" w:type="dxa"/>
            <w:tcBorders>
              <w:top w:val="nil"/>
              <w:left w:val="nil"/>
              <w:bottom w:val="nil"/>
              <w:right w:val="nil"/>
            </w:tcBorders>
            <w:shd w:val="clear" w:color="000000" w:fill="E2EFDA"/>
            <w:noWrap/>
            <w:vAlign w:val="bottom"/>
            <w:hideMark/>
          </w:tcPr>
          <w:p w14:paraId="4C15BA24"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2,024,365</w:t>
            </w:r>
          </w:p>
        </w:tc>
        <w:tc>
          <w:tcPr>
            <w:tcW w:w="1616" w:type="dxa"/>
            <w:tcBorders>
              <w:top w:val="nil"/>
              <w:left w:val="nil"/>
              <w:bottom w:val="nil"/>
              <w:right w:val="nil"/>
            </w:tcBorders>
            <w:shd w:val="clear" w:color="000000" w:fill="E2EFDA"/>
            <w:vAlign w:val="bottom"/>
          </w:tcPr>
          <w:p w14:paraId="7892C24E"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2,140,206</w:t>
            </w:r>
          </w:p>
        </w:tc>
        <w:tc>
          <w:tcPr>
            <w:tcW w:w="1616" w:type="dxa"/>
            <w:tcBorders>
              <w:top w:val="nil"/>
              <w:left w:val="nil"/>
              <w:bottom w:val="nil"/>
              <w:right w:val="nil"/>
            </w:tcBorders>
            <w:shd w:val="clear" w:color="000000" w:fill="E2EFDA"/>
            <w:vAlign w:val="bottom"/>
          </w:tcPr>
          <w:p w14:paraId="31351243"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2,665,867</w:t>
            </w:r>
          </w:p>
        </w:tc>
        <w:tc>
          <w:tcPr>
            <w:tcW w:w="1438" w:type="dxa"/>
            <w:tcBorders>
              <w:top w:val="nil"/>
              <w:left w:val="nil"/>
              <w:bottom w:val="nil"/>
              <w:right w:val="nil"/>
            </w:tcBorders>
            <w:shd w:val="clear" w:color="000000" w:fill="E2EFDA"/>
            <w:vAlign w:val="bottom"/>
          </w:tcPr>
          <w:p w14:paraId="5C0A6BC8"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2,844,873</w:t>
            </w:r>
          </w:p>
        </w:tc>
      </w:tr>
      <w:tr w:rsidR="00E50280" w:rsidRPr="002826B2" w14:paraId="31D5CBA4" w14:textId="77777777" w:rsidTr="00856317">
        <w:trPr>
          <w:gridAfter w:val="1"/>
          <w:wAfter w:w="1404" w:type="dxa"/>
          <w:trHeight w:val="318"/>
        </w:trPr>
        <w:tc>
          <w:tcPr>
            <w:tcW w:w="3494" w:type="dxa"/>
            <w:tcBorders>
              <w:top w:val="nil"/>
              <w:left w:val="nil"/>
              <w:bottom w:val="nil"/>
              <w:right w:val="nil"/>
            </w:tcBorders>
            <w:shd w:val="clear" w:color="000000" w:fill="C6E0B4"/>
            <w:noWrap/>
            <w:vAlign w:val="bottom"/>
            <w:hideMark/>
          </w:tcPr>
          <w:p w14:paraId="1EE1C87E"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Northern America and Europe</w:t>
            </w:r>
          </w:p>
        </w:tc>
        <w:tc>
          <w:tcPr>
            <w:tcW w:w="1357" w:type="dxa"/>
            <w:tcBorders>
              <w:top w:val="nil"/>
              <w:left w:val="nil"/>
              <w:bottom w:val="nil"/>
              <w:right w:val="nil"/>
            </w:tcBorders>
            <w:shd w:val="clear" w:color="000000" w:fill="C6E0B4"/>
            <w:noWrap/>
            <w:vAlign w:val="bottom"/>
            <w:hideMark/>
          </w:tcPr>
          <w:p w14:paraId="56D54C02"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2,255,584</w:t>
            </w:r>
          </w:p>
        </w:tc>
        <w:tc>
          <w:tcPr>
            <w:tcW w:w="1616" w:type="dxa"/>
            <w:tcBorders>
              <w:top w:val="nil"/>
              <w:left w:val="nil"/>
              <w:bottom w:val="nil"/>
              <w:right w:val="nil"/>
            </w:tcBorders>
            <w:shd w:val="clear" w:color="000000" w:fill="C6E0B4"/>
            <w:vAlign w:val="bottom"/>
          </w:tcPr>
          <w:p w14:paraId="4FD1D872"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2,228,709</w:t>
            </w:r>
          </w:p>
        </w:tc>
        <w:tc>
          <w:tcPr>
            <w:tcW w:w="1616" w:type="dxa"/>
            <w:tcBorders>
              <w:top w:val="nil"/>
              <w:left w:val="nil"/>
              <w:bottom w:val="nil"/>
              <w:right w:val="nil"/>
            </w:tcBorders>
            <w:shd w:val="clear" w:color="000000" w:fill="C6E0B4"/>
            <w:vAlign w:val="bottom"/>
          </w:tcPr>
          <w:p w14:paraId="40696096"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2,086,181</w:t>
            </w:r>
          </w:p>
        </w:tc>
        <w:tc>
          <w:tcPr>
            <w:tcW w:w="1438" w:type="dxa"/>
            <w:tcBorders>
              <w:top w:val="nil"/>
              <w:left w:val="nil"/>
              <w:bottom w:val="nil"/>
              <w:right w:val="nil"/>
            </w:tcBorders>
            <w:shd w:val="clear" w:color="000000" w:fill="C6E0B4"/>
            <w:vAlign w:val="bottom"/>
          </w:tcPr>
          <w:p w14:paraId="25AB25CC"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2,038,086</w:t>
            </w:r>
          </w:p>
        </w:tc>
      </w:tr>
      <w:tr w:rsidR="00E50280" w:rsidRPr="002826B2" w14:paraId="209FB298" w14:textId="77777777" w:rsidTr="00856317">
        <w:trPr>
          <w:gridAfter w:val="1"/>
          <w:wAfter w:w="1404" w:type="dxa"/>
          <w:trHeight w:val="318"/>
        </w:trPr>
        <w:tc>
          <w:tcPr>
            <w:tcW w:w="3494" w:type="dxa"/>
            <w:tcBorders>
              <w:top w:val="nil"/>
              <w:left w:val="nil"/>
              <w:bottom w:val="nil"/>
              <w:right w:val="nil"/>
            </w:tcBorders>
            <w:shd w:val="clear" w:color="000000" w:fill="EDEDED"/>
            <w:noWrap/>
            <w:vAlign w:val="bottom"/>
            <w:hideMark/>
          </w:tcPr>
          <w:p w14:paraId="71F225D2"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Oceania</w:t>
            </w:r>
          </w:p>
        </w:tc>
        <w:tc>
          <w:tcPr>
            <w:tcW w:w="1357" w:type="dxa"/>
            <w:tcBorders>
              <w:top w:val="nil"/>
              <w:left w:val="nil"/>
              <w:bottom w:val="nil"/>
              <w:right w:val="nil"/>
            </w:tcBorders>
            <w:shd w:val="clear" w:color="000000" w:fill="EDEDED"/>
            <w:noWrap/>
            <w:vAlign w:val="bottom"/>
            <w:hideMark/>
          </w:tcPr>
          <w:p w14:paraId="71A1E1EC"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49,584</w:t>
            </w:r>
          </w:p>
        </w:tc>
        <w:tc>
          <w:tcPr>
            <w:tcW w:w="1616" w:type="dxa"/>
            <w:tcBorders>
              <w:top w:val="nil"/>
              <w:left w:val="nil"/>
              <w:bottom w:val="nil"/>
              <w:right w:val="nil"/>
            </w:tcBorders>
            <w:shd w:val="clear" w:color="000000" w:fill="EDEDED"/>
            <w:vAlign w:val="bottom"/>
          </w:tcPr>
          <w:p w14:paraId="6A6505A8"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52,249</w:t>
            </w:r>
          </w:p>
        </w:tc>
        <w:tc>
          <w:tcPr>
            <w:tcW w:w="1616" w:type="dxa"/>
            <w:tcBorders>
              <w:top w:val="nil"/>
              <w:left w:val="nil"/>
              <w:bottom w:val="nil"/>
              <w:right w:val="nil"/>
            </w:tcBorders>
            <w:shd w:val="clear" w:color="000000" w:fill="EDEDED"/>
            <w:vAlign w:val="bottom"/>
          </w:tcPr>
          <w:p w14:paraId="4096DFAA"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69,036</w:t>
            </w:r>
          </w:p>
        </w:tc>
        <w:tc>
          <w:tcPr>
            <w:tcW w:w="1438" w:type="dxa"/>
            <w:tcBorders>
              <w:top w:val="nil"/>
              <w:left w:val="nil"/>
              <w:bottom w:val="nil"/>
              <w:right w:val="nil"/>
            </w:tcBorders>
            <w:shd w:val="clear" w:color="000000" w:fill="EDEDED"/>
            <w:vAlign w:val="bottom"/>
          </w:tcPr>
          <w:p w14:paraId="770F4A3B"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74,629</w:t>
            </w:r>
          </w:p>
        </w:tc>
      </w:tr>
      <w:tr w:rsidR="00E50280" w:rsidRPr="002826B2" w14:paraId="0EB74D8E" w14:textId="77777777" w:rsidTr="00856317">
        <w:trPr>
          <w:gridAfter w:val="1"/>
          <w:wAfter w:w="1404" w:type="dxa"/>
          <w:trHeight w:val="318"/>
        </w:trPr>
        <w:tc>
          <w:tcPr>
            <w:tcW w:w="3494" w:type="dxa"/>
            <w:tcBorders>
              <w:top w:val="nil"/>
              <w:left w:val="nil"/>
              <w:bottom w:val="nil"/>
              <w:right w:val="nil"/>
            </w:tcBorders>
            <w:shd w:val="clear" w:color="000000" w:fill="AEAAAA"/>
            <w:noWrap/>
            <w:vAlign w:val="bottom"/>
            <w:hideMark/>
          </w:tcPr>
          <w:p w14:paraId="2993401F" w14:textId="77777777" w:rsidR="00E50280" w:rsidRPr="002826B2" w:rsidRDefault="00E50280" w:rsidP="006634B5">
            <w:pPr>
              <w:spacing w:after="0" w:line="240" w:lineRule="auto"/>
              <w:rPr>
                <w:rFonts w:ascii="Calibri" w:eastAsia="Times New Roman" w:hAnsi="Calibri" w:cs="Calibri"/>
                <w:b/>
                <w:bCs/>
                <w:color w:val="000000"/>
                <w:lang w:eastAsia="en-NZ"/>
              </w:rPr>
            </w:pPr>
            <w:r w:rsidRPr="002826B2">
              <w:rPr>
                <w:rFonts w:ascii="Calibri" w:eastAsia="Times New Roman" w:hAnsi="Calibri" w:cs="Calibri"/>
                <w:b/>
                <w:bCs/>
                <w:color w:val="000000"/>
                <w:lang w:eastAsia="en-NZ"/>
              </w:rPr>
              <w:t>World (Total cost)</w:t>
            </w:r>
          </w:p>
        </w:tc>
        <w:tc>
          <w:tcPr>
            <w:tcW w:w="1357" w:type="dxa"/>
            <w:tcBorders>
              <w:top w:val="nil"/>
              <w:left w:val="nil"/>
              <w:bottom w:val="nil"/>
              <w:right w:val="nil"/>
            </w:tcBorders>
            <w:shd w:val="clear" w:color="000000" w:fill="AEAAAA"/>
            <w:noWrap/>
            <w:vAlign w:val="bottom"/>
            <w:hideMark/>
          </w:tcPr>
          <w:p w14:paraId="110FA301" w14:textId="77777777" w:rsidR="00E50280" w:rsidRPr="002826B2" w:rsidRDefault="00E50280" w:rsidP="006634B5">
            <w:pPr>
              <w:spacing w:after="0" w:line="240" w:lineRule="auto"/>
              <w:jc w:val="right"/>
              <w:rPr>
                <w:rFonts w:ascii="Calibri" w:eastAsia="Times New Roman" w:hAnsi="Calibri" w:cs="Calibri"/>
                <w:color w:val="000000"/>
                <w:lang w:eastAsia="en-NZ"/>
              </w:rPr>
            </w:pPr>
            <w:r w:rsidRPr="002826B2">
              <w:rPr>
                <w:rFonts w:ascii="Calibri" w:eastAsia="Times New Roman" w:hAnsi="Calibri" w:cs="Calibri"/>
                <w:color w:val="000000"/>
                <w:lang w:eastAsia="en-NZ"/>
              </w:rPr>
              <w:t>9,750,345</w:t>
            </w:r>
          </w:p>
        </w:tc>
        <w:tc>
          <w:tcPr>
            <w:tcW w:w="1616" w:type="dxa"/>
            <w:tcBorders>
              <w:top w:val="nil"/>
              <w:left w:val="nil"/>
              <w:bottom w:val="nil"/>
              <w:right w:val="nil"/>
            </w:tcBorders>
            <w:shd w:val="clear" w:color="000000" w:fill="AEAAAA"/>
            <w:vAlign w:val="bottom"/>
          </w:tcPr>
          <w:p w14:paraId="1FED2A9E"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10,106,537</w:t>
            </w:r>
          </w:p>
        </w:tc>
        <w:tc>
          <w:tcPr>
            <w:tcW w:w="1616" w:type="dxa"/>
            <w:tcBorders>
              <w:top w:val="nil"/>
              <w:left w:val="nil"/>
              <w:bottom w:val="nil"/>
              <w:right w:val="nil"/>
            </w:tcBorders>
            <w:shd w:val="clear" w:color="000000" w:fill="AEAAAA"/>
            <w:vAlign w:val="bottom"/>
          </w:tcPr>
          <w:p w14:paraId="6888AD49"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12,301,149</w:t>
            </w:r>
          </w:p>
        </w:tc>
        <w:tc>
          <w:tcPr>
            <w:tcW w:w="1438" w:type="dxa"/>
            <w:tcBorders>
              <w:top w:val="nil"/>
              <w:left w:val="nil"/>
              <w:bottom w:val="nil"/>
              <w:right w:val="nil"/>
            </w:tcBorders>
            <w:shd w:val="clear" w:color="000000" w:fill="AEAAAA"/>
            <w:vAlign w:val="bottom"/>
          </w:tcPr>
          <w:p w14:paraId="5E6CCB12"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13,031,314</w:t>
            </w:r>
          </w:p>
        </w:tc>
      </w:tr>
    </w:tbl>
    <w:p w14:paraId="15BECF0F" w14:textId="77777777" w:rsidR="009B551F" w:rsidRDefault="009B551F" w:rsidP="00E50280"/>
    <w:p w14:paraId="339788DA" w14:textId="7134804B" w:rsidR="009B551F" w:rsidRPr="009B551F" w:rsidRDefault="009B551F" w:rsidP="009B551F">
      <w:pPr>
        <w:pStyle w:val="Caption"/>
        <w:keepNext/>
        <w:rPr>
          <w:i w:val="0"/>
          <w:sz w:val="22"/>
        </w:rPr>
      </w:pPr>
      <w:bookmarkStart w:id="13" w:name="_Toc74154077"/>
      <w:r w:rsidRPr="009B551F">
        <w:rPr>
          <w:i w:val="0"/>
          <w:sz w:val="22"/>
        </w:rPr>
        <w:t xml:space="preserve">Table </w:t>
      </w:r>
      <w:r w:rsidRPr="009B551F">
        <w:rPr>
          <w:i w:val="0"/>
          <w:sz w:val="22"/>
        </w:rPr>
        <w:fldChar w:fldCharType="begin"/>
      </w:r>
      <w:r w:rsidRPr="009B551F">
        <w:rPr>
          <w:i w:val="0"/>
          <w:sz w:val="22"/>
        </w:rPr>
        <w:instrText xml:space="preserve"> SEQ Table \* ARABIC </w:instrText>
      </w:r>
      <w:r w:rsidRPr="009B551F">
        <w:rPr>
          <w:i w:val="0"/>
          <w:sz w:val="22"/>
        </w:rPr>
        <w:fldChar w:fldCharType="separate"/>
      </w:r>
      <w:r w:rsidR="007F3156">
        <w:rPr>
          <w:i w:val="0"/>
          <w:noProof/>
          <w:sz w:val="22"/>
        </w:rPr>
        <w:t>3</w:t>
      </w:r>
      <w:r w:rsidRPr="009B551F">
        <w:rPr>
          <w:i w:val="0"/>
          <w:sz w:val="22"/>
        </w:rPr>
        <w:fldChar w:fldCharType="end"/>
      </w:r>
      <w:r w:rsidRPr="009B551F">
        <w:rPr>
          <w:i w:val="0"/>
          <w:sz w:val="22"/>
        </w:rPr>
        <w:t>: Estimated annual costs to meet all FP needs for all women aged 15-49 years</w:t>
      </w:r>
      <w:bookmarkEnd w:id="13"/>
    </w:p>
    <w:tbl>
      <w:tblPr>
        <w:tblW w:w="10963" w:type="dxa"/>
        <w:tblLook w:val="04A0" w:firstRow="1" w:lastRow="0" w:firstColumn="1" w:lastColumn="0" w:noHBand="0" w:noVBand="1"/>
      </w:tblPr>
      <w:tblGrid>
        <w:gridCol w:w="3474"/>
        <w:gridCol w:w="1393"/>
        <w:gridCol w:w="1622"/>
        <w:gridCol w:w="1622"/>
        <w:gridCol w:w="1443"/>
        <w:gridCol w:w="1409"/>
      </w:tblGrid>
      <w:tr w:rsidR="00E50280" w:rsidRPr="002826B2" w14:paraId="58254597" w14:textId="77777777" w:rsidTr="00856317">
        <w:trPr>
          <w:trHeight w:val="328"/>
        </w:trPr>
        <w:tc>
          <w:tcPr>
            <w:tcW w:w="3474" w:type="dxa"/>
            <w:tcBorders>
              <w:top w:val="nil"/>
              <w:left w:val="nil"/>
              <w:bottom w:val="nil"/>
              <w:right w:val="nil"/>
            </w:tcBorders>
            <w:shd w:val="clear" w:color="auto" w:fill="auto"/>
            <w:noWrap/>
            <w:vAlign w:val="bottom"/>
            <w:hideMark/>
          </w:tcPr>
          <w:p w14:paraId="56BE57DD" w14:textId="77777777" w:rsidR="00E50280" w:rsidRPr="002826B2" w:rsidRDefault="00E50280" w:rsidP="006634B5">
            <w:pPr>
              <w:spacing w:after="0" w:line="240" w:lineRule="auto"/>
              <w:rPr>
                <w:rFonts w:ascii="Times New Roman" w:eastAsia="Times New Roman" w:hAnsi="Times New Roman" w:cs="Times New Roman"/>
                <w:sz w:val="24"/>
                <w:szCs w:val="24"/>
                <w:lang w:eastAsia="en-NZ"/>
              </w:rPr>
            </w:pPr>
          </w:p>
        </w:tc>
        <w:tc>
          <w:tcPr>
            <w:tcW w:w="7489" w:type="dxa"/>
            <w:gridSpan w:val="5"/>
            <w:tcBorders>
              <w:top w:val="nil"/>
              <w:left w:val="nil"/>
              <w:bottom w:val="nil"/>
              <w:right w:val="nil"/>
            </w:tcBorders>
          </w:tcPr>
          <w:p w14:paraId="5F3D9260" w14:textId="66BB813F" w:rsidR="00E50280" w:rsidRPr="002826B2" w:rsidRDefault="00E50280" w:rsidP="006634B5">
            <w:pPr>
              <w:spacing w:after="0" w:line="240" w:lineRule="auto"/>
              <w:rPr>
                <w:rFonts w:ascii="Calibri" w:eastAsia="Times New Roman" w:hAnsi="Calibri" w:cs="Calibri"/>
                <w:b/>
                <w:bCs/>
                <w:color w:val="000000"/>
                <w:lang w:eastAsia="en-NZ"/>
              </w:rPr>
            </w:pPr>
            <w:r w:rsidRPr="002826B2">
              <w:rPr>
                <w:rFonts w:ascii="Calibri" w:eastAsia="Times New Roman" w:hAnsi="Calibri" w:cs="Calibri"/>
                <w:b/>
                <w:bCs/>
                <w:color w:val="000000"/>
                <w:lang w:eastAsia="en-NZ"/>
              </w:rPr>
              <w:t xml:space="preserve">Costs </w:t>
            </w:r>
            <w:r>
              <w:rPr>
                <w:rFonts w:ascii="Calibri" w:eastAsia="Times New Roman" w:hAnsi="Calibri" w:cs="Calibri"/>
                <w:b/>
                <w:bCs/>
                <w:color w:val="000000"/>
                <w:lang w:eastAsia="en-NZ"/>
              </w:rPr>
              <w:t xml:space="preserve">per year to meet all FP needs (thousand </w:t>
            </w:r>
            <w:r w:rsidR="00916FDF">
              <w:rPr>
                <w:rFonts w:ascii="Calibri" w:eastAsia="Times New Roman" w:hAnsi="Calibri" w:cs="Calibri"/>
                <w:b/>
                <w:bCs/>
                <w:color w:val="000000"/>
                <w:lang w:eastAsia="en-NZ"/>
              </w:rPr>
              <w:t>US$</w:t>
            </w:r>
            <w:r>
              <w:rPr>
                <w:rFonts w:ascii="Calibri" w:eastAsia="Times New Roman" w:hAnsi="Calibri" w:cs="Calibri"/>
                <w:b/>
                <w:bCs/>
                <w:color w:val="000000"/>
                <w:lang w:eastAsia="en-NZ"/>
              </w:rPr>
              <w:t>)</w:t>
            </w:r>
          </w:p>
        </w:tc>
      </w:tr>
      <w:tr w:rsidR="00E50280" w:rsidRPr="002826B2" w14:paraId="5A0DC7B0" w14:textId="77777777" w:rsidTr="002677CE">
        <w:trPr>
          <w:gridAfter w:val="1"/>
          <w:wAfter w:w="1409" w:type="dxa"/>
          <w:trHeight w:val="328"/>
        </w:trPr>
        <w:tc>
          <w:tcPr>
            <w:tcW w:w="3474" w:type="dxa"/>
            <w:tcBorders>
              <w:top w:val="nil"/>
              <w:left w:val="nil"/>
              <w:bottom w:val="nil"/>
            </w:tcBorders>
            <w:shd w:val="clear" w:color="auto" w:fill="auto"/>
            <w:noWrap/>
            <w:vAlign w:val="bottom"/>
            <w:hideMark/>
          </w:tcPr>
          <w:p w14:paraId="28EB8E18" w14:textId="77777777" w:rsidR="00E50280" w:rsidRPr="002826B2" w:rsidRDefault="00E50280" w:rsidP="006634B5">
            <w:pPr>
              <w:spacing w:after="0" w:line="240" w:lineRule="auto"/>
              <w:rPr>
                <w:rFonts w:ascii="Calibri" w:eastAsia="Times New Roman" w:hAnsi="Calibri" w:cs="Calibri"/>
                <w:b/>
                <w:bCs/>
                <w:color w:val="000000"/>
                <w:lang w:eastAsia="en-NZ"/>
              </w:rPr>
            </w:pPr>
            <w:r w:rsidRPr="002826B2">
              <w:rPr>
                <w:rFonts w:ascii="Calibri" w:eastAsia="Times New Roman" w:hAnsi="Calibri" w:cs="Calibri"/>
                <w:b/>
                <w:bCs/>
                <w:color w:val="000000"/>
                <w:lang w:eastAsia="en-NZ"/>
              </w:rPr>
              <w:t>SDG regions</w:t>
            </w:r>
          </w:p>
        </w:tc>
        <w:tc>
          <w:tcPr>
            <w:tcW w:w="1393" w:type="dxa"/>
            <w:shd w:val="clear" w:color="000000" w:fill="99CCFF"/>
            <w:noWrap/>
            <w:vAlign w:val="center"/>
            <w:hideMark/>
          </w:tcPr>
          <w:p w14:paraId="6FB6F932"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sidRPr="002826B2">
              <w:rPr>
                <w:rFonts w:ascii="Arial" w:eastAsia="Times New Roman" w:hAnsi="Arial" w:cs="Arial"/>
                <w:b/>
                <w:bCs/>
                <w:color w:val="000000"/>
                <w:sz w:val="18"/>
                <w:szCs w:val="18"/>
                <w:lang w:eastAsia="en-NZ"/>
              </w:rPr>
              <w:t>2015</w:t>
            </w:r>
          </w:p>
        </w:tc>
        <w:tc>
          <w:tcPr>
            <w:tcW w:w="1622" w:type="dxa"/>
            <w:shd w:val="clear" w:color="000000" w:fill="99CCFF"/>
            <w:vAlign w:val="center"/>
          </w:tcPr>
          <w:p w14:paraId="5982E222"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Arial" w:hAnsi="Arial" w:cs="Arial"/>
                <w:b/>
                <w:bCs/>
                <w:color w:val="000000"/>
                <w:sz w:val="18"/>
                <w:szCs w:val="18"/>
              </w:rPr>
              <w:t>2020</w:t>
            </w:r>
          </w:p>
        </w:tc>
        <w:tc>
          <w:tcPr>
            <w:tcW w:w="1622" w:type="dxa"/>
            <w:shd w:val="clear" w:color="000000" w:fill="99CCFF"/>
            <w:vAlign w:val="center"/>
          </w:tcPr>
          <w:p w14:paraId="0D2A0CA5" w14:textId="77777777" w:rsidR="00E50280" w:rsidRDefault="00E50280" w:rsidP="006634B5">
            <w:pPr>
              <w:spacing w:after="0" w:line="240" w:lineRule="auto"/>
              <w:jc w:val="center"/>
              <w:rPr>
                <w:rFonts w:ascii="Arial" w:hAnsi="Arial" w:cs="Arial"/>
                <w:b/>
                <w:bCs/>
                <w:color w:val="000000"/>
                <w:sz w:val="18"/>
                <w:szCs w:val="18"/>
              </w:rPr>
            </w:pPr>
            <w:r>
              <w:rPr>
                <w:rFonts w:ascii="Arial" w:hAnsi="Arial" w:cs="Arial"/>
                <w:b/>
                <w:bCs/>
                <w:color w:val="000000"/>
                <w:sz w:val="18"/>
                <w:szCs w:val="18"/>
              </w:rPr>
              <w:t>2050</w:t>
            </w:r>
          </w:p>
        </w:tc>
        <w:tc>
          <w:tcPr>
            <w:tcW w:w="1443" w:type="dxa"/>
            <w:shd w:val="clear" w:color="000000" w:fill="99CCFF"/>
            <w:vAlign w:val="center"/>
          </w:tcPr>
          <w:p w14:paraId="2133C4B3" w14:textId="77777777" w:rsidR="00E50280" w:rsidRDefault="00E50280" w:rsidP="006634B5">
            <w:pPr>
              <w:spacing w:after="0" w:line="240" w:lineRule="auto"/>
              <w:jc w:val="center"/>
              <w:rPr>
                <w:rFonts w:ascii="Arial" w:hAnsi="Arial" w:cs="Arial"/>
                <w:b/>
                <w:bCs/>
                <w:color w:val="000000"/>
                <w:sz w:val="18"/>
                <w:szCs w:val="18"/>
              </w:rPr>
            </w:pPr>
            <w:r>
              <w:rPr>
                <w:rFonts w:ascii="Arial" w:hAnsi="Arial" w:cs="Arial"/>
                <w:b/>
                <w:bCs/>
                <w:color w:val="000000"/>
                <w:sz w:val="18"/>
                <w:szCs w:val="18"/>
              </w:rPr>
              <w:t>2060</w:t>
            </w:r>
          </w:p>
        </w:tc>
      </w:tr>
      <w:tr w:rsidR="00E50280" w:rsidRPr="002826B2" w14:paraId="6DFC2A06" w14:textId="77777777" w:rsidTr="002677CE">
        <w:trPr>
          <w:gridAfter w:val="1"/>
          <w:wAfter w:w="1409" w:type="dxa"/>
          <w:trHeight w:val="328"/>
        </w:trPr>
        <w:tc>
          <w:tcPr>
            <w:tcW w:w="3474" w:type="dxa"/>
            <w:tcBorders>
              <w:top w:val="nil"/>
              <w:left w:val="nil"/>
              <w:bottom w:val="nil"/>
              <w:right w:val="nil"/>
            </w:tcBorders>
            <w:shd w:val="clear" w:color="000000" w:fill="DDEBF7"/>
            <w:noWrap/>
            <w:vAlign w:val="bottom"/>
            <w:hideMark/>
          </w:tcPr>
          <w:p w14:paraId="5DB2A1C6"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Sub-Saharan Africa</w:t>
            </w:r>
          </w:p>
        </w:tc>
        <w:tc>
          <w:tcPr>
            <w:tcW w:w="1393" w:type="dxa"/>
            <w:tcBorders>
              <w:left w:val="nil"/>
              <w:bottom w:val="nil"/>
              <w:right w:val="nil"/>
            </w:tcBorders>
            <w:shd w:val="clear" w:color="000000" w:fill="DDEBF7"/>
            <w:noWrap/>
            <w:vAlign w:val="bottom"/>
          </w:tcPr>
          <w:p w14:paraId="28F505EB"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1,806,619</w:t>
            </w:r>
          </w:p>
        </w:tc>
        <w:tc>
          <w:tcPr>
            <w:tcW w:w="1622" w:type="dxa"/>
            <w:tcBorders>
              <w:left w:val="nil"/>
              <w:bottom w:val="nil"/>
              <w:right w:val="nil"/>
            </w:tcBorders>
            <w:shd w:val="clear" w:color="000000" w:fill="DDEBF7"/>
            <w:vAlign w:val="bottom"/>
          </w:tcPr>
          <w:p w14:paraId="5AF0CBCE"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2,303,597</w:t>
            </w:r>
          </w:p>
        </w:tc>
        <w:tc>
          <w:tcPr>
            <w:tcW w:w="1622" w:type="dxa"/>
            <w:tcBorders>
              <w:left w:val="nil"/>
              <w:bottom w:val="nil"/>
              <w:right w:val="nil"/>
            </w:tcBorders>
            <w:shd w:val="clear" w:color="000000" w:fill="DDEBF7"/>
            <w:vAlign w:val="bottom"/>
          </w:tcPr>
          <w:p w14:paraId="62C789F5"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5,937,812</w:t>
            </w:r>
          </w:p>
        </w:tc>
        <w:tc>
          <w:tcPr>
            <w:tcW w:w="1443" w:type="dxa"/>
            <w:tcBorders>
              <w:left w:val="nil"/>
              <w:bottom w:val="nil"/>
              <w:right w:val="nil"/>
            </w:tcBorders>
            <w:shd w:val="clear" w:color="000000" w:fill="DDEBF7"/>
            <w:vAlign w:val="bottom"/>
          </w:tcPr>
          <w:p w14:paraId="1C0459F7"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7,134,594</w:t>
            </w:r>
          </w:p>
        </w:tc>
      </w:tr>
      <w:tr w:rsidR="00E50280" w:rsidRPr="002826B2" w14:paraId="2473571A" w14:textId="77777777" w:rsidTr="00856317">
        <w:trPr>
          <w:gridAfter w:val="1"/>
          <w:wAfter w:w="1409" w:type="dxa"/>
          <w:trHeight w:val="328"/>
        </w:trPr>
        <w:tc>
          <w:tcPr>
            <w:tcW w:w="3474" w:type="dxa"/>
            <w:tcBorders>
              <w:top w:val="nil"/>
              <w:left w:val="nil"/>
              <w:bottom w:val="nil"/>
              <w:right w:val="nil"/>
            </w:tcBorders>
            <w:shd w:val="clear" w:color="000000" w:fill="BDD7EE"/>
            <w:noWrap/>
            <w:vAlign w:val="bottom"/>
            <w:hideMark/>
          </w:tcPr>
          <w:p w14:paraId="7DE52B73"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Western Asia and Northern Africa</w:t>
            </w:r>
          </w:p>
        </w:tc>
        <w:tc>
          <w:tcPr>
            <w:tcW w:w="1393" w:type="dxa"/>
            <w:tcBorders>
              <w:top w:val="nil"/>
              <w:left w:val="nil"/>
              <w:bottom w:val="nil"/>
              <w:right w:val="nil"/>
            </w:tcBorders>
            <w:shd w:val="clear" w:color="000000" w:fill="BDD7EE"/>
            <w:noWrap/>
            <w:vAlign w:val="bottom"/>
          </w:tcPr>
          <w:p w14:paraId="5BC0E3F8"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823,747</w:t>
            </w:r>
          </w:p>
        </w:tc>
        <w:tc>
          <w:tcPr>
            <w:tcW w:w="1622" w:type="dxa"/>
            <w:tcBorders>
              <w:top w:val="nil"/>
              <w:left w:val="nil"/>
              <w:bottom w:val="nil"/>
              <w:right w:val="nil"/>
            </w:tcBorders>
            <w:shd w:val="clear" w:color="000000" w:fill="BDD7EE"/>
            <w:vAlign w:val="bottom"/>
          </w:tcPr>
          <w:p w14:paraId="11F6916A"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912,743</w:t>
            </w:r>
          </w:p>
        </w:tc>
        <w:tc>
          <w:tcPr>
            <w:tcW w:w="1622" w:type="dxa"/>
            <w:tcBorders>
              <w:top w:val="nil"/>
              <w:left w:val="nil"/>
              <w:bottom w:val="nil"/>
              <w:right w:val="nil"/>
            </w:tcBorders>
            <w:shd w:val="clear" w:color="000000" w:fill="BDD7EE"/>
            <w:vAlign w:val="bottom"/>
          </w:tcPr>
          <w:p w14:paraId="3B354DB3"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1,417,551</w:t>
            </w:r>
          </w:p>
        </w:tc>
        <w:tc>
          <w:tcPr>
            <w:tcW w:w="1443" w:type="dxa"/>
            <w:tcBorders>
              <w:top w:val="nil"/>
              <w:left w:val="nil"/>
              <w:bottom w:val="nil"/>
              <w:right w:val="nil"/>
            </w:tcBorders>
            <w:shd w:val="clear" w:color="000000" w:fill="BDD7EE"/>
            <w:vAlign w:val="bottom"/>
          </w:tcPr>
          <w:p w14:paraId="06F29CBB"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1,586,404</w:t>
            </w:r>
          </w:p>
        </w:tc>
      </w:tr>
      <w:tr w:rsidR="00E50280" w:rsidRPr="002826B2" w14:paraId="0B278268" w14:textId="77777777" w:rsidTr="00856317">
        <w:trPr>
          <w:gridAfter w:val="1"/>
          <w:wAfter w:w="1409" w:type="dxa"/>
          <w:trHeight w:val="328"/>
        </w:trPr>
        <w:tc>
          <w:tcPr>
            <w:tcW w:w="3474" w:type="dxa"/>
            <w:tcBorders>
              <w:top w:val="nil"/>
              <w:left w:val="nil"/>
              <w:bottom w:val="nil"/>
              <w:right w:val="nil"/>
            </w:tcBorders>
            <w:shd w:val="clear" w:color="000000" w:fill="D9E1F2"/>
            <w:noWrap/>
            <w:vAlign w:val="bottom"/>
            <w:hideMark/>
          </w:tcPr>
          <w:p w14:paraId="77E13784"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Central Asia and Southern Asia</w:t>
            </w:r>
          </w:p>
        </w:tc>
        <w:tc>
          <w:tcPr>
            <w:tcW w:w="1393" w:type="dxa"/>
            <w:tcBorders>
              <w:top w:val="nil"/>
              <w:left w:val="nil"/>
              <w:bottom w:val="nil"/>
              <w:right w:val="nil"/>
            </w:tcBorders>
            <w:shd w:val="clear" w:color="000000" w:fill="D9E1F2"/>
            <w:noWrap/>
            <w:vAlign w:val="bottom"/>
          </w:tcPr>
          <w:p w14:paraId="161BB034"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1,403,433</w:t>
            </w:r>
          </w:p>
        </w:tc>
        <w:tc>
          <w:tcPr>
            <w:tcW w:w="1622" w:type="dxa"/>
            <w:tcBorders>
              <w:top w:val="nil"/>
              <w:left w:val="nil"/>
              <w:bottom w:val="nil"/>
              <w:right w:val="nil"/>
            </w:tcBorders>
            <w:shd w:val="clear" w:color="000000" w:fill="D9E1F2"/>
            <w:vAlign w:val="bottom"/>
          </w:tcPr>
          <w:p w14:paraId="3F436813"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1,554,910</w:t>
            </w:r>
          </w:p>
        </w:tc>
        <w:tc>
          <w:tcPr>
            <w:tcW w:w="1622" w:type="dxa"/>
            <w:tcBorders>
              <w:top w:val="nil"/>
              <w:left w:val="nil"/>
              <w:bottom w:val="nil"/>
              <w:right w:val="nil"/>
            </w:tcBorders>
            <w:shd w:val="clear" w:color="000000" w:fill="D9E1F2"/>
            <w:vAlign w:val="bottom"/>
          </w:tcPr>
          <w:p w14:paraId="17FC68B0"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2,376,177</w:t>
            </w:r>
          </w:p>
        </w:tc>
        <w:tc>
          <w:tcPr>
            <w:tcW w:w="1443" w:type="dxa"/>
            <w:tcBorders>
              <w:top w:val="nil"/>
              <w:left w:val="nil"/>
              <w:bottom w:val="nil"/>
              <w:right w:val="nil"/>
            </w:tcBorders>
            <w:shd w:val="clear" w:color="000000" w:fill="D9E1F2"/>
            <w:vAlign w:val="bottom"/>
          </w:tcPr>
          <w:p w14:paraId="4948DBDD"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2,651,645</w:t>
            </w:r>
          </w:p>
        </w:tc>
      </w:tr>
      <w:tr w:rsidR="00E50280" w:rsidRPr="002826B2" w14:paraId="49FDF0B7" w14:textId="77777777" w:rsidTr="00856317">
        <w:trPr>
          <w:gridAfter w:val="1"/>
          <w:wAfter w:w="1409" w:type="dxa"/>
          <w:trHeight w:val="328"/>
        </w:trPr>
        <w:tc>
          <w:tcPr>
            <w:tcW w:w="3474" w:type="dxa"/>
            <w:tcBorders>
              <w:top w:val="nil"/>
              <w:left w:val="nil"/>
              <w:bottom w:val="nil"/>
              <w:right w:val="nil"/>
            </w:tcBorders>
            <w:shd w:val="clear" w:color="000000" w:fill="B4C6E7"/>
            <w:noWrap/>
            <w:vAlign w:val="bottom"/>
            <w:hideMark/>
          </w:tcPr>
          <w:p w14:paraId="05C29073"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Eastern Asia and Southeastern Asia</w:t>
            </w:r>
          </w:p>
        </w:tc>
        <w:tc>
          <w:tcPr>
            <w:tcW w:w="1393" w:type="dxa"/>
            <w:tcBorders>
              <w:top w:val="nil"/>
              <w:left w:val="nil"/>
              <w:bottom w:val="nil"/>
              <w:right w:val="nil"/>
            </w:tcBorders>
            <w:shd w:val="clear" w:color="000000" w:fill="B4C6E7"/>
            <w:noWrap/>
            <w:vAlign w:val="bottom"/>
          </w:tcPr>
          <w:p w14:paraId="142C35E4"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3,265,017</w:t>
            </w:r>
          </w:p>
        </w:tc>
        <w:tc>
          <w:tcPr>
            <w:tcW w:w="1622" w:type="dxa"/>
            <w:tcBorders>
              <w:top w:val="nil"/>
              <w:left w:val="nil"/>
              <w:bottom w:val="nil"/>
              <w:right w:val="nil"/>
            </w:tcBorders>
            <w:shd w:val="clear" w:color="000000" w:fill="B4C6E7"/>
            <w:vAlign w:val="bottom"/>
          </w:tcPr>
          <w:p w14:paraId="7F1C2273"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3,136,018</w:t>
            </w:r>
          </w:p>
        </w:tc>
        <w:tc>
          <w:tcPr>
            <w:tcW w:w="1622" w:type="dxa"/>
            <w:tcBorders>
              <w:top w:val="nil"/>
              <w:left w:val="nil"/>
              <w:bottom w:val="nil"/>
              <w:right w:val="nil"/>
            </w:tcBorders>
            <w:shd w:val="clear" w:color="000000" w:fill="B4C6E7"/>
            <w:vAlign w:val="bottom"/>
          </w:tcPr>
          <w:p w14:paraId="75627F93"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2,464,867</w:t>
            </w:r>
          </w:p>
        </w:tc>
        <w:tc>
          <w:tcPr>
            <w:tcW w:w="1443" w:type="dxa"/>
            <w:tcBorders>
              <w:top w:val="nil"/>
              <w:left w:val="nil"/>
              <w:bottom w:val="nil"/>
              <w:right w:val="nil"/>
            </w:tcBorders>
            <w:shd w:val="clear" w:color="000000" w:fill="B4C6E7"/>
            <w:vAlign w:val="bottom"/>
          </w:tcPr>
          <w:p w14:paraId="5EC51686"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2,239,248</w:t>
            </w:r>
          </w:p>
        </w:tc>
      </w:tr>
      <w:tr w:rsidR="00E50280" w:rsidRPr="002826B2" w14:paraId="7F6E3A08" w14:textId="77777777" w:rsidTr="00856317">
        <w:trPr>
          <w:gridAfter w:val="1"/>
          <w:wAfter w:w="1409" w:type="dxa"/>
          <w:trHeight w:val="328"/>
        </w:trPr>
        <w:tc>
          <w:tcPr>
            <w:tcW w:w="3474" w:type="dxa"/>
            <w:tcBorders>
              <w:top w:val="nil"/>
              <w:left w:val="nil"/>
              <w:bottom w:val="nil"/>
              <w:right w:val="nil"/>
            </w:tcBorders>
            <w:shd w:val="clear" w:color="000000" w:fill="E2EFDA"/>
            <w:noWrap/>
            <w:vAlign w:val="bottom"/>
            <w:hideMark/>
          </w:tcPr>
          <w:p w14:paraId="2E0874BF"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Latin America and the Caribbean</w:t>
            </w:r>
          </w:p>
        </w:tc>
        <w:tc>
          <w:tcPr>
            <w:tcW w:w="1393" w:type="dxa"/>
            <w:tcBorders>
              <w:top w:val="nil"/>
              <w:left w:val="nil"/>
              <w:bottom w:val="nil"/>
              <w:right w:val="nil"/>
            </w:tcBorders>
            <w:shd w:val="clear" w:color="000000" w:fill="E2EFDA"/>
            <w:noWrap/>
            <w:vAlign w:val="bottom"/>
          </w:tcPr>
          <w:p w14:paraId="15739C2E"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2,167,454</w:t>
            </w:r>
          </w:p>
        </w:tc>
        <w:tc>
          <w:tcPr>
            <w:tcW w:w="1622" w:type="dxa"/>
            <w:tcBorders>
              <w:top w:val="nil"/>
              <w:left w:val="nil"/>
              <w:bottom w:val="nil"/>
              <w:right w:val="nil"/>
            </w:tcBorders>
            <w:shd w:val="clear" w:color="000000" w:fill="E2EFDA"/>
            <w:vAlign w:val="bottom"/>
          </w:tcPr>
          <w:p w14:paraId="0F3B4D8E"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2,291,482</w:t>
            </w:r>
          </w:p>
        </w:tc>
        <w:tc>
          <w:tcPr>
            <w:tcW w:w="1622" w:type="dxa"/>
            <w:tcBorders>
              <w:top w:val="nil"/>
              <w:left w:val="nil"/>
              <w:bottom w:val="nil"/>
              <w:right w:val="nil"/>
            </w:tcBorders>
            <w:shd w:val="clear" w:color="000000" w:fill="E2EFDA"/>
            <w:vAlign w:val="bottom"/>
          </w:tcPr>
          <w:p w14:paraId="711B06F1"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2,854,299</w:t>
            </w:r>
          </w:p>
        </w:tc>
        <w:tc>
          <w:tcPr>
            <w:tcW w:w="1443" w:type="dxa"/>
            <w:tcBorders>
              <w:top w:val="nil"/>
              <w:left w:val="nil"/>
              <w:bottom w:val="nil"/>
              <w:right w:val="nil"/>
            </w:tcBorders>
            <w:shd w:val="clear" w:color="000000" w:fill="E2EFDA"/>
            <w:vAlign w:val="bottom"/>
          </w:tcPr>
          <w:p w14:paraId="34E63AE5"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3,045,958</w:t>
            </w:r>
          </w:p>
        </w:tc>
      </w:tr>
      <w:tr w:rsidR="00E50280" w:rsidRPr="002826B2" w14:paraId="16592697" w14:textId="77777777" w:rsidTr="00856317">
        <w:trPr>
          <w:gridAfter w:val="1"/>
          <w:wAfter w:w="1409" w:type="dxa"/>
          <w:trHeight w:val="328"/>
        </w:trPr>
        <w:tc>
          <w:tcPr>
            <w:tcW w:w="3474" w:type="dxa"/>
            <w:tcBorders>
              <w:top w:val="nil"/>
              <w:left w:val="nil"/>
              <w:bottom w:val="nil"/>
              <w:right w:val="nil"/>
            </w:tcBorders>
            <w:shd w:val="clear" w:color="000000" w:fill="C6E0B4"/>
            <w:noWrap/>
            <w:vAlign w:val="bottom"/>
            <w:hideMark/>
          </w:tcPr>
          <w:p w14:paraId="42B532C0"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Northern America and Europe</w:t>
            </w:r>
          </w:p>
        </w:tc>
        <w:tc>
          <w:tcPr>
            <w:tcW w:w="1393" w:type="dxa"/>
            <w:tcBorders>
              <w:top w:val="nil"/>
              <w:left w:val="nil"/>
              <w:bottom w:val="nil"/>
              <w:right w:val="nil"/>
            </w:tcBorders>
            <w:shd w:val="clear" w:color="000000" w:fill="C6E0B4"/>
            <w:noWrap/>
            <w:vAlign w:val="bottom"/>
          </w:tcPr>
          <w:p w14:paraId="3C68D4AE"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2,187,463</w:t>
            </w:r>
          </w:p>
        </w:tc>
        <w:tc>
          <w:tcPr>
            <w:tcW w:w="1622" w:type="dxa"/>
            <w:tcBorders>
              <w:top w:val="nil"/>
              <w:left w:val="nil"/>
              <w:bottom w:val="nil"/>
              <w:right w:val="nil"/>
            </w:tcBorders>
            <w:shd w:val="clear" w:color="000000" w:fill="C6E0B4"/>
            <w:vAlign w:val="bottom"/>
          </w:tcPr>
          <w:p w14:paraId="1CB3E464"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2,161,399</w:t>
            </w:r>
          </w:p>
        </w:tc>
        <w:tc>
          <w:tcPr>
            <w:tcW w:w="1622" w:type="dxa"/>
            <w:tcBorders>
              <w:top w:val="nil"/>
              <w:left w:val="nil"/>
              <w:bottom w:val="nil"/>
              <w:right w:val="nil"/>
            </w:tcBorders>
            <w:shd w:val="clear" w:color="000000" w:fill="C6E0B4"/>
            <w:vAlign w:val="bottom"/>
          </w:tcPr>
          <w:p w14:paraId="3C4D8740"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2,023,175</w:t>
            </w:r>
          </w:p>
        </w:tc>
        <w:tc>
          <w:tcPr>
            <w:tcW w:w="1443" w:type="dxa"/>
            <w:tcBorders>
              <w:top w:val="nil"/>
              <w:left w:val="nil"/>
              <w:bottom w:val="nil"/>
              <w:right w:val="nil"/>
            </w:tcBorders>
            <w:shd w:val="clear" w:color="000000" w:fill="C6E0B4"/>
            <w:vAlign w:val="bottom"/>
          </w:tcPr>
          <w:p w14:paraId="054A8190"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1,976,534</w:t>
            </w:r>
          </w:p>
        </w:tc>
      </w:tr>
      <w:tr w:rsidR="00E50280" w:rsidRPr="002826B2" w14:paraId="58E27DC5" w14:textId="77777777" w:rsidTr="00856317">
        <w:trPr>
          <w:gridAfter w:val="1"/>
          <w:wAfter w:w="1409" w:type="dxa"/>
          <w:trHeight w:val="328"/>
        </w:trPr>
        <w:tc>
          <w:tcPr>
            <w:tcW w:w="3474" w:type="dxa"/>
            <w:tcBorders>
              <w:top w:val="nil"/>
              <w:left w:val="nil"/>
              <w:bottom w:val="nil"/>
              <w:right w:val="nil"/>
            </w:tcBorders>
            <w:shd w:val="clear" w:color="000000" w:fill="EDEDED"/>
            <w:noWrap/>
            <w:vAlign w:val="bottom"/>
            <w:hideMark/>
          </w:tcPr>
          <w:p w14:paraId="752A27F3" w14:textId="77777777" w:rsidR="00E50280" w:rsidRPr="002826B2" w:rsidRDefault="00E50280" w:rsidP="006634B5">
            <w:pPr>
              <w:spacing w:after="0" w:line="240" w:lineRule="auto"/>
              <w:rPr>
                <w:rFonts w:ascii="Calibri" w:eastAsia="Times New Roman" w:hAnsi="Calibri" w:cs="Calibri"/>
                <w:color w:val="000000"/>
                <w:lang w:eastAsia="en-NZ"/>
              </w:rPr>
            </w:pPr>
            <w:r w:rsidRPr="002826B2">
              <w:rPr>
                <w:rFonts w:ascii="Calibri" w:eastAsia="Times New Roman" w:hAnsi="Calibri" w:cs="Calibri"/>
                <w:color w:val="000000"/>
                <w:lang w:eastAsia="en-NZ"/>
              </w:rPr>
              <w:t>Oceania</w:t>
            </w:r>
          </w:p>
        </w:tc>
        <w:tc>
          <w:tcPr>
            <w:tcW w:w="1393" w:type="dxa"/>
            <w:tcBorders>
              <w:top w:val="nil"/>
              <w:left w:val="nil"/>
              <w:bottom w:val="nil"/>
              <w:right w:val="nil"/>
            </w:tcBorders>
            <w:shd w:val="clear" w:color="000000" w:fill="EDEDED"/>
            <w:noWrap/>
            <w:vAlign w:val="bottom"/>
          </w:tcPr>
          <w:p w14:paraId="6D4B7ED9"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57,059</w:t>
            </w:r>
          </w:p>
        </w:tc>
        <w:tc>
          <w:tcPr>
            <w:tcW w:w="1622" w:type="dxa"/>
            <w:tcBorders>
              <w:top w:val="nil"/>
              <w:left w:val="nil"/>
              <w:bottom w:val="nil"/>
              <w:right w:val="nil"/>
            </w:tcBorders>
            <w:shd w:val="clear" w:color="000000" w:fill="EDEDED"/>
            <w:vAlign w:val="bottom"/>
          </w:tcPr>
          <w:p w14:paraId="044E487E"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60,126</w:t>
            </w:r>
          </w:p>
        </w:tc>
        <w:tc>
          <w:tcPr>
            <w:tcW w:w="1622" w:type="dxa"/>
            <w:tcBorders>
              <w:top w:val="nil"/>
              <w:left w:val="nil"/>
              <w:bottom w:val="nil"/>
              <w:right w:val="nil"/>
            </w:tcBorders>
            <w:shd w:val="clear" w:color="000000" w:fill="EDEDED"/>
            <w:vAlign w:val="bottom"/>
          </w:tcPr>
          <w:p w14:paraId="4A3FAE6A"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79,444</w:t>
            </w:r>
          </w:p>
        </w:tc>
        <w:tc>
          <w:tcPr>
            <w:tcW w:w="1443" w:type="dxa"/>
            <w:tcBorders>
              <w:top w:val="nil"/>
              <w:left w:val="nil"/>
              <w:bottom w:val="nil"/>
              <w:right w:val="nil"/>
            </w:tcBorders>
            <w:shd w:val="clear" w:color="000000" w:fill="EDEDED"/>
            <w:vAlign w:val="bottom"/>
          </w:tcPr>
          <w:p w14:paraId="0812EB88"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85,880</w:t>
            </w:r>
          </w:p>
        </w:tc>
      </w:tr>
      <w:tr w:rsidR="00E50280" w:rsidRPr="002826B2" w14:paraId="1B350DB5" w14:textId="77777777" w:rsidTr="00856317">
        <w:trPr>
          <w:gridAfter w:val="1"/>
          <w:wAfter w:w="1409" w:type="dxa"/>
          <w:trHeight w:val="328"/>
        </w:trPr>
        <w:tc>
          <w:tcPr>
            <w:tcW w:w="3474" w:type="dxa"/>
            <w:tcBorders>
              <w:top w:val="nil"/>
              <w:left w:val="nil"/>
              <w:bottom w:val="nil"/>
              <w:right w:val="nil"/>
            </w:tcBorders>
            <w:shd w:val="clear" w:color="000000" w:fill="AEAAAA"/>
            <w:noWrap/>
            <w:vAlign w:val="bottom"/>
            <w:hideMark/>
          </w:tcPr>
          <w:p w14:paraId="03FFE5B5" w14:textId="77777777" w:rsidR="00E50280" w:rsidRPr="002826B2" w:rsidRDefault="00E50280" w:rsidP="006634B5">
            <w:pPr>
              <w:spacing w:after="0" w:line="240" w:lineRule="auto"/>
              <w:rPr>
                <w:rFonts w:ascii="Calibri" w:eastAsia="Times New Roman" w:hAnsi="Calibri" w:cs="Calibri"/>
                <w:b/>
                <w:bCs/>
                <w:color w:val="000000"/>
                <w:lang w:eastAsia="en-NZ"/>
              </w:rPr>
            </w:pPr>
            <w:r w:rsidRPr="002826B2">
              <w:rPr>
                <w:rFonts w:ascii="Calibri" w:eastAsia="Times New Roman" w:hAnsi="Calibri" w:cs="Calibri"/>
                <w:b/>
                <w:bCs/>
                <w:color w:val="000000"/>
                <w:lang w:eastAsia="en-NZ"/>
              </w:rPr>
              <w:t>World (Total cost)</w:t>
            </w:r>
          </w:p>
        </w:tc>
        <w:tc>
          <w:tcPr>
            <w:tcW w:w="1393" w:type="dxa"/>
            <w:tcBorders>
              <w:top w:val="nil"/>
              <w:left w:val="nil"/>
              <w:bottom w:val="nil"/>
              <w:right w:val="nil"/>
            </w:tcBorders>
            <w:shd w:val="clear" w:color="000000" w:fill="AEAAAA"/>
            <w:noWrap/>
            <w:vAlign w:val="bottom"/>
          </w:tcPr>
          <w:p w14:paraId="0B1BFCE4" w14:textId="77777777" w:rsidR="00E50280" w:rsidRPr="002826B2" w:rsidRDefault="00E50280" w:rsidP="006634B5">
            <w:pPr>
              <w:spacing w:after="0" w:line="240" w:lineRule="auto"/>
              <w:jc w:val="right"/>
              <w:rPr>
                <w:rFonts w:ascii="Calibri" w:eastAsia="Times New Roman" w:hAnsi="Calibri" w:cs="Calibri"/>
                <w:color w:val="000000"/>
                <w:lang w:eastAsia="en-NZ"/>
              </w:rPr>
            </w:pPr>
            <w:r>
              <w:rPr>
                <w:rFonts w:ascii="Calibri" w:hAnsi="Calibri" w:cs="Calibri"/>
                <w:color w:val="000000"/>
              </w:rPr>
              <w:t>11,710,792</w:t>
            </w:r>
          </w:p>
        </w:tc>
        <w:tc>
          <w:tcPr>
            <w:tcW w:w="1622" w:type="dxa"/>
            <w:tcBorders>
              <w:top w:val="nil"/>
              <w:left w:val="nil"/>
              <w:bottom w:val="nil"/>
              <w:right w:val="nil"/>
            </w:tcBorders>
            <w:shd w:val="clear" w:color="000000" w:fill="AEAAAA"/>
            <w:vAlign w:val="bottom"/>
          </w:tcPr>
          <w:p w14:paraId="4BC169C7" w14:textId="77777777" w:rsidR="00E50280" w:rsidRPr="002826B2" w:rsidRDefault="00E50280" w:rsidP="006634B5">
            <w:pPr>
              <w:spacing w:after="0" w:line="240" w:lineRule="auto"/>
              <w:jc w:val="center"/>
              <w:rPr>
                <w:rFonts w:ascii="Arial" w:eastAsia="Times New Roman" w:hAnsi="Arial" w:cs="Arial"/>
                <w:b/>
                <w:bCs/>
                <w:color w:val="000000"/>
                <w:sz w:val="18"/>
                <w:szCs w:val="18"/>
                <w:lang w:eastAsia="en-NZ"/>
              </w:rPr>
            </w:pPr>
            <w:r>
              <w:rPr>
                <w:rFonts w:ascii="Calibri" w:hAnsi="Calibri" w:cs="Calibri"/>
                <w:color w:val="000000"/>
              </w:rPr>
              <w:t>12,420,276</w:t>
            </w:r>
          </w:p>
        </w:tc>
        <w:tc>
          <w:tcPr>
            <w:tcW w:w="1622" w:type="dxa"/>
            <w:tcBorders>
              <w:top w:val="nil"/>
              <w:left w:val="nil"/>
              <w:bottom w:val="nil"/>
              <w:right w:val="nil"/>
            </w:tcBorders>
            <w:shd w:val="clear" w:color="000000" w:fill="AEAAAA"/>
            <w:vAlign w:val="bottom"/>
          </w:tcPr>
          <w:p w14:paraId="5603E4E9"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17,153,324</w:t>
            </w:r>
          </w:p>
        </w:tc>
        <w:tc>
          <w:tcPr>
            <w:tcW w:w="1443" w:type="dxa"/>
            <w:tcBorders>
              <w:top w:val="nil"/>
              <w:left w:val="nil"/>
              <w:bottom w:val="nil"/>
              <w:right w:val="nil"/>
            </w:tcBorders>
            <w:shd w:val="clear" w:color="000000" w:fill="AEAAAA"/>
            <w:vAlign w:val="bottom"/>
          </w:tcPr>
          <w:p w14:paraId="6E71B4E1" w14:textId="77777777" w:rsidR="00E50280" w:rsidRDefault="00E50280" w:rsidP="006634B5">
            <w:pPr>
              <w:spacing w:after="0" w:line="240" w:lineRule="auto"/>
              <w:jc w:val="center"/>
              <w:rPr>
                <w:rFonts w:ascii="Calibri" w:hAnsi="Calibri" w:cs="Calibri"/>
                <w:color w:val="000000"/>
              </w:rPr>
            </w:pPr>
            <w:r>
              <w:rPr>
                <w:rFonts w:ascii="Calibri" w:hAnsi="Calibri" w:cs="Calibri"/>
                <w:color w:val="000000"/>
              </w:rPr>
              <w:t>18,720,262</w:t>
            </w:r>
          </w:p>
        </w:tc>
      </w:tr>
    </w:tbl>
    <w:p w14:paraId="5B7A8D8B" w14:textId="77777777" w:rsidR="00E50280" w:rsidRPr="00B919D5" w:rsidRDefault="00E50280" w:rsidP="00E50280">
      <w:pPr>
        <w:pStyle w:val="Heading3"/>
      </w:pPr>
      <w:bookmarkStart w:id="14" w:name="_Toc71702073"/>
      <w:bookmarkStart w:id="15" w:name="_Toc74154032"/>
      <w:r w:rsidRPr="00EC09BF">
        <w:t>A rights-based approach to family planning</w:t>
      </w:r>
      <w:bookmarkEnd w:id="14"/>
      <w:bookmarkEnd w:id="15"/>
    </w:p>
    <w:p w14:paraId="0794FE44" w14:textId="633AE2A5" w:rsidR="00E50280" w:rsidRDefault="00E50280" w:rsidP="00E50280">
      <w:pPr>
        <w:jc w:val="both"/>
        <w:rPr>
          <w:sz w:val="24"/>
        </w:rPr>
      </w:pPr>
      <w:r>
        <w:rPr>
          <w:sz w:val="24"/>
        </w:rPr>
        <w:t xml:space="preserve">Two landmark, integral events that built the foundation for the recognition of women’s reproductive rights were the International Conference on Population and Development in Cairo, Egypt 1994, and the Fourth World Conference on Women in Beijing, China in 1995. Both conferences brought together representatives from governments, nongovernmental organizations, international agencies, and civil society to reach international consensus on the importance of a rights-based approach to addressing sexual and reproductive health, women’s participation and empowerment and ending all forms of discrimination against women </w:t>
      </w:r>
      <w:r>
        <w:rPr>
          <w:sz w:val="24"/>
        </w:rPr>
        <w:fldChar w:fldCharType="begin"/>
      </w:r>
      <w:r w:rsidR="00B23620">
        <w:rPr>
          <w:sz w:val="24"/>
        </w:rPr>
        <w:instrText xml:space="preserve"> ADDIN ZOTERO_ITEM CSL_CITATION {"citationID":"jx8QuLy4","properties":{"formattedCitation":"(Roberts, 1996; Shaw, 2007)","plainCitation":"(Roberts, 1996; Shaw, 2007)","noteIndex":0},"citationItems":[{"id":18114,"uris":["http://zotero.org/users/7220606/items/I2UPPTTH"],"uri":["http://zotero.org/users/7220606/items/I2UPPTTH"],"itemData":{"id":18114,"type":"article-journal","container-title":"The Canadian Journal of Sociology / Cahiers canadiens de sociologie","DOI":"10.2307/3341979","ISSN":"0318-6431","issue":"2","note":"publisher: Canadian Journal of Sociology","page":"237-244","source":"JSTOR","title":"The Beijing Fourth World Conference on Women","volume":"21","author":[{"family":"Roberts","given":"Barbara"}],"issued":{"date-parts":[["1996"]]}}},{"id":18115,"uris":["http://zotero.org/users/7220606/items/EQT22KKV"],"uri":["http://zotero.org/users/7220606/items/EQT22KKV"],"itemData":{"id":18115,"type":"chapter","abstract":"Ever since Thomas Malthus made his dire prediction in 1798 that the growth of population would outrun food production, leading to mass starvation (Malthus, 1817), intensive debate has taken place on what later came to be characterized as ‘defusing the population time bomb’ (Ehrlich, 1968). Reaching agreement on population issues was to prove to be particularly difficult, and often acrimonious, in the international conferences in Rome, Italy in 1954, Belgrade, Yugoslavia in 1965, Bucharest, Romania in 1974, and Mexico City, Mexico in 1984. When the call for another international conference on population was made at the beginning of the 1990s, to avoid the difficulties of past debates, the aim was not to consider population issues in isolation but to link them in a broader framework of developmental concerns.","container-title":"World Food Security: A History since 1945","event-place":"London","ISBN":"978-0-230-58978-0","language":"en","note":"DOI: 10.1057/9780230589780_31","page":"321-327","publisher":"Palgrave Macmillan UK","publisher-place":"London","source":"Springer Link","title":"International Conference on Population and Development, 1994","URL":"https://doi.org/10.1057/9780230589780_31","author":[{"family":"Shaw","given":"D. John"}],"editor":[{"family":"Shaw","given":"D. John"}],"accessed":{"date-parts":[["2021",5,3]]},"issued":{"date-parts":[["2007"]]}}}],"schema":"https://github.com/citation-style-language/schema/raw/master/csl-citation.json"} </w:instrText>
      </w:r>
      <w:r>
        <w:rPr>
          <w:sz w:val="24"/>
        </w:rPr>
        <w:fldChar w:fldCharType="separate"/>
      </w:r>
      <w:r w:rsidR="00B23620" w:rsidRPr="00B23620">
        <w:rPr>
          <w:rFonts w:ascii="Calibri" w:hAnsi="Calibri" w:cs="Calibri"/>
          <w:sz w:val="24"/>
        </w:rPr>
        <w:t>(Roberts, 1996; Shaw, 2007)</w:t>
      </w:r>
      <w:r>
        <w:rPr>
          <w:sz w:val="24"/>
        </w:rPr>
        <w:fldChar w:fldCharType="end"/>
      </w:r>
      <w:r>
        <w:rPr>
          <w:sz w:val="24"/>
        </w:rPr>
        <w:t xml:space="preserve">. Since then, much progress has been made in advancing women’s reproductive health rights, and a rights-based approach has been adopted in family planning programs and policies across the world, in </w:t>
      </w:r>
      <w:r w:rsidR="000A2EBD">
        <w:rPr>
          <w:sz w:val="24"/>
        </w:rPr>
        <w:t>recognizing</w:t>
      </w:r>
      <w:r>
        <w:rPr>
          <w:sz w:val="24"/>
        </w:rPr>
        <w:t xml:space="preserve"> that it is the rights of individuals and couples to decide voluntarily</w:t>
      </w:r>
      <w:r w:rsidR="00227CC3">
        <w:rPr>
          <w:sz w:val="24"/>
        </w:rPr>
        <w:t>, freely</w:t>
      </w:r>
      <w:r>
        <w:rPr>
          <w:sz w:val="24"/>
        </w:rPr>
        <w:t xml:space="preserve"> and responsibly about the number </w:t>
      </w:r>
      <w:r w:rsidR="00227CC3">
        <w:rPr>
          <w:sz w:val="24"/>
        </w:rPr>
        <w:t xml:space="preserve">of children to have and when to have them, </w:t>
      </w:r>
      <w:r>
        <w:rPr>
          <w:sz w:val="24"/>
        </w:rPr>
        <w:t xml:space="preserve">and to be able to access methods and information to achieve this </w:t>
      </w:r>
      <w:r>
        <w:rPr>
          <w:sz w:val="24"/>
        </w:rPr>
        <w:fldChar w:fldCharType="begin"/>
      </w:r>
      <w:r w:rsidR="00B23620">
        <w:rPr>
          <w:sz w:val="24"/>
        </w:rPr>
        <w:instrText xml:space="preserve"> ADDIN ZOTERO_ITEM CSL_CITATION {"citationID":"4CQHAqXD","properties":{"formattedCitation":"(Hardee et al., 2014)","plainCitation":"(Hardee et al., 2014)","noteIndex":0},"citationItems":[{"id":18116,"uris":["http://zotero.org/users/7220606/items/UZ4IMRZP"],"uri":["http://zotero.org/users/7220606/items/UZ4IMRZP"],"itemData":{"id":18116,"type":"article-journal","abstract":"At the 2012 Family Planning Summit in London, world leaders committed to providing effective family planning information and services to 120 million additional women and girls by the year 2020. Amid positive response, some expressed concern that the numeric goal could signal a retreat from the human rights–centered approach that underpinned the 1994 International Conference on Population and Development. Achieving the FP2020 goal will take concerted and coordinated efforts among diverse stakeholders and a new programmatic approach supported by the public health and human rights communities. This article presents a new conceptual framework designed to serve as a path toward fulfilling the FP2020 goal. This new unifying framework, which incorporates human rights laws and principles within family-planning-program and quality-of-care frameworks, brings what have been parallel lines of thought together in one construct to make human rights issues related to family planning practical.","container-title":"Studies in Family Planning","DOI":"https://doi.org/10.1111/j.1728-4465.2014.00373.x","ISSN":"1728-4465","issue":"1","language":"en","note":"_eprint: https://onlinelibrary.wiley.com/doi/pdf/10.1111/j.1728-4465.2014.00373.x","page":"1-18","source":"Wiley Online Library","title":"Voluntary, Human Rights–Based Family Planning: A Conceptual Framework","title-short":"Voluntary, Human Rights–Based Family Planning","volume":"45","author":[{"family":"Hardee","given":"Karen"},{"family":"Kumar","given":"Jan"},{"family":"Newman","given":"Karen"},{"family":"Bakamjian","given":"Lynn"},{"family":"Harris","given":"Shannon"},{"family":"Rodríguez","given":"Mariela"},{"family":"Brown","given":"Win"}],"issued":{"date-parts":[["2014"]]}}}],"schema":"https://github.com/citation-style-language/schema/raw/master/csl-citation.json"} </w:instrText>
      </w:r>
      <w:r>
        <w:rPr>
          <w:sz w:val="24"/>
        </w:rPr>
        <w:fldChar w:fldCharType="separate"/>
      </w:r>
      <w:r w:rsidR="00B23620" w:rsidRPr="00B23620">
        <w:rPr>
          <w:rFonts w:ascii="Calibri" w:hAnsi="Calibri" w:cs="Calibri"/>
          <w:sz w:val="24"/>
        </w:rPr>
        <w:t>(Hardee et al., 2014)</w:t>
      </w:r>
      <w:r>
        <w:rPr>
          <w:sz w:val="24"/>
        </w:rPr>
        <w:fldChar w:fldCharType="end"/>
      </w:r>
      <w:r>
        <w:rPr>
          <w:sz w:val="24"/>
        </w:rPr>
        <w:t xml:space="preserve">. </w:t>
      </w:r>
    </w:p>
    <w:p w14:paraId="79EB3856" w14:textId="415703E2" w:rsidR="00E50280" w:rsidRPr="00BF048C" w:rsidRDefault="00E50280" w:rsidP="00E50280">
      <w:pPr>
        <w:jc w:val="both"/>
        <w:rPr>
          <w:sz w:val="24"/>
        </w:rPr>
      </w:pPr>
      <w:r w:rsidRPr="00BF048C">
        <w:rPr>
          <w:sz w:val="24"/>
        </w:rPr>
        <w:t xml:space="preserve">In addition to its potential impact on atmospheric GHG concentrations, the social, economic </w:t>
      </w:r>
      <w:r w:rsidRPr="007F3156">
        <w:rPr>
          <w:sz w:val="24"/>
        </w:rPr>
        <w:t xml:space="preserve">and health benefits of family planning are broad. </w:t>
      </w:r>
      <w:r w:rsidR="00572763" w:rsidRPr="007F3156">
        <w:rPr>
          <w:sz w:val="24"/>
        </w:rPr>
        <w:t xml:space="preserve">Access to </w:t>
      </w:r>
      <w:r w:rsidR="007F3156" w:rsidRPr="007F3156">
        <w:rPr>
          <w:sz w:val="24"/>
        </w:rPr>
        <w:t>reproductive health</w:t>
      </w:r>
      <w:r w:rsidR="00572763" w:rsidRPr="007F3156">
        <w:rPr>
          <w:sz w:val="24"/>
        </w:rPr>
        <w:t xml:space="preserve"> services</w:t>
      </w:r>
      <w:r w:rsidRPr="007F3156">
        <w:rPr>
          <w:sz w:val="24"/>
        </w:rPr>
        <w:t xml:space="preserve"> allows </w:t>
      </w:r>
      <w:r w:rsidR="00572763" w:rsidRPr="007F3156">
        <w:rPr>
          <w:sz w:val="24"/>
        </w:rPr>
        <w:t xml:space="preserve">for </w:t>
      </w:r>
      <w:r w:rsidRPr="007F3156">
        <w:rPr>
          <w:sz w:val="24"/>
        </w:rPr>
        <w:t>couples to control their reproductive futures thereby allowing them to participate more meaningfully in social and economic life. Family planning is recognized by the United Nations as a human right and a development priority, because</w:t>
      </w:r>
      <w:r w:rsidR="00227CC3">
        <w:rPr>
          <w:sz w:val="24"/>
        </w:rPr>
        <w:t xml:space="preserve"> contraceptive uptake</w:t>
      </w:r>
      <w:r w:rsidRPr="007F3156">
        <w:rPr>
          <w:sz w:val="24"/>
        </w:rPr>
        <w:t>, whether through modern or traditional means, is</w:t>
      </w:r>
      <w:r w:rsidR="00227CC3">
        <w:rPr>
          <w:sz w:val="24"/>
        </w:rPr>
        <w:t xml:space="preserve"> an important determinant of </w:t>
      </w:r>
      <w:r w:rsidRPr="007F3156">
        <w:rPr>
          <w:sz w:val="24"/>
        </w:rPr>
        <w:t>maternal and child welfare</w:t>
      </w:r>
      <w:r w:rsidR="00572763" w:rsidRPr="007F3156">
        <w:rPr>
          <w:sz w:val="24"/>
        </w:rPr>
        <w:t xml:space="preserve"> </w:t>
      </w:r>
      <w:r w:rsidR="00572763" w:rsidRPr="007F3156">
        <w:rPr>
          <w:sz w:val="24"/>
        </w:rPr>
        <w:fldChar w:fldCharType="begin"/>
      </w:r>
      <w:r w:rsidR="00572763" w:rsidRPr="007F3156">
        <w:rPr>
          <w:sz w:val="24"/>
        </w:rPr>
        <w:instrText xml:space="preserve"> ADDIN ZOTERO_ITEM CSL_CITATION {"citationID":"WDtLdo6o","properties":{"formattedCitation":"(United Nations Department of Economic and Social Affairs, Population Division, 2020)","plainCitation":"(United Nations Department of Economic and Social Affairs, Population Division, 2020)","noteIndex":0},"citationItems":[{"id":17974,"uris":["http://zotero.org/users/7220606/items/GMEZ5FEN"],"uri":["http://zotero.org/users/7220606/items/GMEZ5FEN"],"itemData":{"id":17974,"type":"book","ISBN":"978-92-1-148321-5","language":"en","note":"OCLC: 1232031643","source":"Open WorldCat","title":"World fertility and family planning 2020: highlights.","title-short":"World fertility and family planning 2020","author":[{"family":"United Nations Department of Economic and Social Affairs, Population Division","given":""}],"issued":{"date-parts":[["2020"]]}}}],"schema":"https://github.com/citation-style-language/schema/raw/master/csl-citation.json"} </w:instrText>
      </w:r>
      <w:r w:rsidR="00572763" w:rsidRPr="007F3156">
        <w:rPr>
          <w:sz w:val="24"/>
        </w:rPr>
        <w:fldChar w:fldCharType="separate"/>
      </w:r>
      <w:r w:rsidR="00572763" w:rsidRPr="007F3156">
        <w:rPr>
          <w:rFonts w:ascii="Calibri" w:hAnsi="Calibri" w:cs="Calibri"/>
          <w:sz w:val="24"/>
        </w:rPr>
        <w:t>(United Nations Department of Economic and Social Affairs, Population Division, 2020)</w:t>
      </w:r>
      <w:r w:rsidR="00572763" w:rsidRPr="007F3156">
        <w:rPr>
          <w:sz w:val="24"/>
        </w:rPr>
        <w:fldChar w:fldCharType="end"/>
      </w:r>
      <w:r w:rsidRPr="007F3156">
        <w:rPr>
          <w:sz w:val="24"/>
        </w:rPr>
        <w:t xml:space="preserve">. Research from the Guttmacher institute reveals that access to modern contraception and safe abortion is a major factor in women pursuing higher education, joining the workforce and delaying marriage (Singh et. al, 2014). Education allows women more freedom to make informed decisions about </w:t>
      </w:r>
      <w:r w:rsidR="00572763" w:rsidRPr="007F3156">
        <w:rPr>
          <w:sz w:val="24"/>
        </w:rPr>
        <w:t>if and when they want to have children,</w:t>
      </w:r>
      <w:r w:rsidRPr="00BF048C">
        <w:rPr>
          <w:sz w:val="24"/>
        </w:rPr>
        <w:t xml:space="preserve"> and other important life matters.</w:t>
      </w:r>
    </w:p>
    <w:p w14:paraId="4FDD3FF1" w14:textId="77777777" w:rsidR="00E50280" w:rsidRDefault="00E50280" w:rsidP="00E50280">
      <w:pPr>
        <w:jc w:val="both"/>
      </w:pPr>
    </w:p>
    <w:p w14:paraId="75EACE66" w14:textId="77777777" w:rsidR="00E50280" w:rsidRDefault="00E50280" w:rsidP="00E50280">
      <w:pPr>
        <w:pStyle w:val="Heading3"/>
      </w:pPr>
      <w:bookmarkStart w:id="16" w:name="_Toc71702074"/>
      <w:bookmarkStart w:id="17" w:name="_Toc74154033"/>
      <w:r w:rsidRPr="00A900E9">
        <w:t>Family planning and the SDGs</w:t>
      </w:r>
      <w:bookmarkEnd w:id="16"/>
      <w:bookmarkEnd w:id="17"/>
    </w:p>
    <w:p w14:paraId="2C55F33B" w14:textId="32C4034F" w:rsidR="006634B5" w:rsidRDefault="00E50280" w:rsidP="00E50280">
      <w:pPr>
        <w:jc w:val="both"/>
        <w:rPr>
          <w:sz w:val="24"/>
        </w:rPr>
      </w:pPr>
      <w:r>
        <w:rPr>
          <w:sz w:val="24"/>
        </w:rPr>
        <w:t xml:space="preserve">In addition to advancing human rights, access to voluntary family planning is key to achieving progress in health and sustainable development for women, families and society </w:t>
      </w:r>
      <w:r>
        <w:rPr>
          <w:sz w:val="24"/>
        </w:rPr>
        <w:fldChar w:fldCharType="begin"/>
      </w:r>
      <w:r w:rsidR="00B23620">
        <w:rPr>
          <w:sz w:val="24"/>
        </w:rPr>
        <w:instrText xml:space="preserve"> ADDIN ZOTERO_ITEM CSL_CITATION {"citationID":"7tN0Kwsw","properties":{"formattedCitation":"(Starbird et al., 2016)","plainCitation":"(Starbird et al., 2016)","noteIndex":0},"citationItems":[{"id":18119,"uris":["http://zotero.org/users/7220606/items/WJLCT9GM"],"uri":["http://zotero.org/users/7220606/items/WJLCT9GM"],"itemData":{"id":18119,"type":"article-journal","abstract":"&lt;p&gt;Voluntary family planning brings transformational benefits to women, families, communities, and countries. Investing in family planning is a development “best buy” that can accelerate achievement across the 5 Sustainable Development Goal themes of People, Planet, Prosperity, Peace, and Partnership.&lt;/p&gt;","container-title":"Global Health: Science and Practice","DOI":"10.9745/GHSP-D-15-00374","ISSN":"2169-575X","issue":"2","language":"en","note":"publisher: Global Health: Science and Practice\nsection: COMMENTARY\nPMID: 27353614","page":"191-210","source":"www.ghspjournal.org","title":"Investing in Family Planning: Key to Achieving the Sustainable Development Goals","title-short":"Investing in Family Planning","volume":"4","author":[{"family":"Starbird","given":"Ellen"},{"family":"Norton","given":"Maureen"},{"family":"Marcus","given":"Rachel"}],"issued":{"date-parts":[["2016",6,20]]}}}],"schema":"https://github.com/citation-style-language/schema/raw/master/csl-citation.json"} </w:instrText>
      </w:r>
      <w:r>
        <w:rPr>
          <w:sz w:val="24"/>
        </w:rPr>
        <w:fldChar w:fldCharType="separate"/>
      </w:r>
      <w:r w:rsidR="00B23620" w:rsidRPr="00B23620">
        <w:rPr>
          <w:rFonts w:ascii="Calibri" w:hAnsi="Calibri" w:cs="Calibri"/>
          <w:sz w:val="24"/>
        </w:rPr>
        <w:t>(Starbird et al., 2016)</w:t>
      </w:r>
      <w:r>
        <w:rPr>
          <w:sz w:val="24"/>
        </w:rPr>
        <w:fldChar w:fldCharType="end"/>
      </w:r>
      <w:r>
        <w:rPr>
          <w:sz w:val="24"/>
        </w:rPr>
        <w:t xml:space="preserve">, and is </w:t>
      </w:r>
      <w:r w:rsidR="00FD2C5C">
        <w:rPr>
          <w:sz w:val="24"/>
        </w:rPr>
        <w:t>recognized</w:t>
      </w:r>
      <w:r>
        <w:rPr>
          <w:sz w:val="24"/>
        </w:rPr>
        <w:t xml:space="preserve"> as an integral part of the current SDGs. </w:t>
      </w:r>
      <w:r w:rsidRPr="00BF048C">
        <w:rPr>
          <w:sz w:val="24"/>
        </w:rPr>
        <w:t xml:space="preserve">SDG #3 </w:t>
      </w:r>
      <w:r w:rsidR="00CF3DC5">
        <w:rPr>
          <w:sz w:val="24"/>
        </w:rPr>
        <w:t>addresses the</w:t>
      </w:r>
      <w:r w:rsidRPr="00BF048C">
        <w:rPr>
          <w:sz w:val="24"/>
        </w:rPr>
        <w:t xml:space="preserve"> health and wellbeing of populations, while SGD#5 </w:t>
      </w:r>
      <w:r w:rsidR="00CF3DC5">
        <w:rPr>
          <w:sz w:val="24"/>
        </w:rPr>
        <w:t>focuses on</w:t>
      </w:r>
      <w:r w:rsidRPr="00BF048C">
        <w:rPr>
          <w:sz w:val="24"/>
        </w:rPr>
        <w:t xml:space="preserve"> gender equality. </w:t>
      </w:r>
      <w:r w:rsidR="00CF3DC5">
        <w:rPr>
          <w:sz w:val="24"/>
        </w:rPr>
        <w:t xml:space="preserve">In terms of women’s health </w:t>
      </w:r>
      <w:r w:rsidRPr="00BF048C">
        <w:rPr>
          <w:sz w:val="24"/>
        </w:rPr>
        <w:t xml:space="preserve">specifically, target 3.1 is to “reduce the global maternal mortality ratio to less than 70 per 100 000 live births by 2030”, while targets 3.7 and 5.6 are to “ensure universal access to sexual and reproductive health care services, including family planning, by 2030”, and to “ensure universal access to sexual and reproductive health and reproductive rights as agreed in accordance with the Programme of Action of the International Conference on Population and Development and the Beijing Platform for Action”, respectively. </w:t>
      </w:r>
      <w:r w:rsidRPr="00EC09BF">
        <w:rPr>
          <w:sz w:val="24"/>
        </w:rPr>
        <w:t>Without universal access to family planning and reproductive health, the</w:t>
      </w:r>
      <w:r>
        <w:rPr>
          <w:sz w:val="24"/>
        </w:rPr>
        <w:t xml:space="preserve"> </w:t>
      </w:r>
      <w:r w:rsidRPr="00EC09BF">
        <w:rPr>
          <w:sz w:val="24"/>
        </w:rPr>
        <w:t xml:space="preserve">impact </w:t>
      </w:r>
      <w:r>
        <w:rPr>
          <w:sz w:val="24"/>
        </w:rPr>
        <w:t xml:space="preserve">other efforts and initiatives to address the 5 major themes of the SDGs- </w:t>
      </w:r>
      <w:r w:rsidRPr="00EC09BF">
        <w:rPr>
          <w:sz w:val="24"/>
        </w:rPr>
        <w:t>People, Planet, Prosperity, Peace,</w:t>
      </w:r>
      <w:r>
        <w:rPr>
          <w:sz w:val="24"/>
        </w:rPr>
        <w:t xml:space="preserve"> and Partnership- </w:t>
      </w:r>
      <w:r w:rsidRPr="00EC09BF">
        <w:rPr>
          <w:sz w:val="24"/>
        </w:rPr>
        <w:t xml:space="preserve">will </w:t>
      </w:r>
      <w:r>
        <w:rPr>
          <w:sz w:val="24"/>
        </w:rPr>
        <w:t xml:space="preserve">be less effective, will </w:t>
      </w:r>
      <w:r w:rsidRPr="00EC09BF">
        <w:rPr>
          <w:sz w:val="24"/>
        </w:rPr>
        <w:t xml:space="preserve">cost more, and will take </w:t>
      </w:r>
      <w:r>
        <w:rPr>
          <w:sz w:val="24"/>
        </w:rPr>
        <w:t xml:space="preserve">a </w:t>
      </w:r>
      <w:r w:rsidRPr="00EC09BF">
        <w:rPr>
          <w:sz w:val="24"/>
        </w:rPr>
        <w:t xml:space="preserve">longer </w:t>
      </w:r>
      <w:r>
        <w:rPr>
          <w:sz w:val="24"/>
        </w:rPr>
        <w:t xml:space="preserve">time </w:t>
      </w:r>
      <w:r w:rsidRPr="00EC09BF">
        <w:rPr>
          <w:sz w:val="24"/>
        </w:rPr>
        <w:t>to achieve</w:t>
      </w:r>
      <w:r w:rsidR="00D73FC4">
        <w:rPr>
          <w:sz w:val="24"/>
        </w:rPr>
        <w:t xml:space="preserve"> </w:t>
      </w:r>
      <w:r w:rsidR="00D73FC4">
        <w:rPr>
          <w:sz w:val="24"/>
        </w:rPr>
        <w:fldChar w:fldCharType="begin"/>
      </w:r>
      <w:r w:rsidR="00D73FC4">
        <w:rPr>
          <w:sz w:val="24"/>
        </w:rPr>
        <w:instrText xml:space="preserve"> ADDIN ZOTERO_ITEM CSL_CITATION {"citationID":"wivueUJI","properties":{"formattedCitation":"(Frischmann et al., 2020)","plainCitation":"(Frischmann et al., 2020)","noteIndex":0},"citationItems":[{"id":18133,"uris":["http://zotero.org/users/7220606/items/WNS2D7ML"],"uri":["http://zotero.org/users/7220606/items/WNS2D7ML"],"itemData":{"id":18133,"type":"article-journal","container-title":"Partnerships for the Goals","language":"en","note":"DOI: 10.1007/978-3-319-71067-9_100-1","page":"1-25","source":"Springer Link","title":"Drawdown’s “System of Solutions” Helps to Achieve the SDGs","author":[{"family":"Frischmann","given":"Chad Jonathan"},{"family":"Mehra","given":"Mamta"},{"family":"Allard","given":"Ryan"},{"family":"Bayuk","given":"Kevin"},{"family":"Gouveia","given":"João Pedro"},{"family":"Gorman","given":"Miranda R."}],"editor":[{"family":"Leal Filho","given":"Walter"},{"family":"Azul","given":"Anabela Marisa"},{"family":"Brandli","given":"Luciana"},{"family":"Lange Salvia","given":"Amanda"},{"family":"Wall","given":"Tony"}],"issued":{"date-parts":[["2020"]]}}}],"schema":"https://github.com/citation-style-language/schema/raw/master/csl-citation.json"} </w:instrText>
      </w:r>
      <w:r w:rsidR="00D73FC4">
        <w:rPr>
          <w:sz w:val="24"/>
        </w:rPr>
        <w:fldChar w:fldCharType="separate"/>
      </w:r>
      <w:r w:rsidR="00D73FC4" w:rsidRPr="00D73FC4">
        <w:rPr>
          <w:rFonts w:ascii="Calibri" w:hAnsi="Calibri" w:cs="Calibri"/>
          <w:sz w:val="24"/>
        </w:rPr>
        <w:t>(Frischmann et al., 2020)</w:t>
      </w:r>
      <w:r w:rsidR="00D73FC4">
        <w:rPr>
          <w:sz w:val="24"/>
        </w:rPr>
        <w:fldChar w:fldCharType="end"/>
      </w:r>
      <w:r w:rsidRPr="00EC09BF">
        <w:rPr>
          <w:sz w:val="24"/>
        </w:rPr>
        <w:t xml:space="preserve">. </w:t>
      </w:r>
    </w:p>
    <w:p w14:paraId="03D5AEC3" w14:textId="77777777" w:rsidR="002677CE" w:rsidRDefault="002677CE" w:rsidP="00E50280">
      <w:pPr>
        <w:jc w:val="both"/>
        <w:rPr>
          <w:sz w:val="24"/>
        </w:rPr>
      </w:pPr>
    </w:p>
    <w:p w14:paraId="429B6621" w14:textId="7597B220" w:rsidR="006634B5" w:rsidRDefault="006634B5" w:rsidP="006634B5">
      <w:pPr>
        <w:pStyle w:val="Heading2"/>
      </w:pPr>
      <w:bookmarkStart w:id="18" w:name="_Toc71702075"/>
      <w:bookmarkStart w:id="19" w:name="_Toc74154034"/>
      <w:r>
        <w:t>Current State of Education for girls and boys</w:t>
      </w:r>
      <w:bookmarkEnd w:id="18"/>
      <w:bookmarkEnd w:id="19"/>
    </w:p>
    <w:p w14:paraId="65CE8EDA" w14:textId="77777777" w:rsidR="00050D8A" w:rsidRDefault="00050D8A" w:rsidP="00050D8A">
      <w:pPr>
        <w:pStyle w:val="Heading3"/>
      </w:pPr>
      <w:bookmarkStart w:id="20" w:name="_Toc74154035"/>
      <w:r>
        <w:t>Global levels of primary and secondary education</w:t>
      </w:r>
      <w:bookmarkEnd w:id="20"/>
    </w:p>
    <w:p w14:paraId="3AD1548E" w14:textId="03EF5141" w:rsidR="006634B5" w:rsidRPr="00BF048C" w:rsidRDefault="006634B5" w:rsidP="006634B5">
      <w:pPr>
        <w:jc w:val="both"/>
        <w:rPr>
          <w:sz w:val="24"/>
        </w:rPr>
      </w:pPr>
      <w:r w:rsidRPr="00BF048C">
        <w:rPr>
          <w:sz w:val="24"/>
        </w:rPr>
        <w:t xml:space="preserve">Enabling and improving universal education </w:t>
      </w:r>
      <w:r>
        <w:rPr>
          <w:sz w:val="24"/>
        </w:rPr>
        <w:t>requires</w:t>
      </w:r>
      <w:r w:rsidRPr="00BF048C">
        <w:rPr>
          <w:sz w:val="24"/>
        </w:rPr>
        <w:t xml:space="preserve"> increasing the number of girls and boys </w:t>
      </w:r>
      <w:r>
        <w:rPr>
          <w:sz w:val="24"/>
        </w:rPr>
        <w:t>enrolled</w:t>
      </w:r>
      <w:r w:rsidRPr="00BF048C">
        <w:rPr>
          <w:sz w:val="24"/>
        </w:rPr>
        <w:t xml:space="preserve"> </w:t>
      </w:r>
      <w:r>
        <w:rPr>
          <w:sz w:val="24"/>
        </w:rPr>
        <w:t>in</w:t>
      </w:r>
      <w:r w:rsidR="00603FE9">
        <w:rPr>
          <w:sz w:val="24"/>
        </w:rPr>
        <w:t xml:space="preserve"> and completing both</w:t>
      </w:r>
      <w:r w:rsidRPr="00BF048C">
        <w:rPr>
          <w:sz w:val="24"/>
        </w:rPr>
        <w:t xml:space="preserve"> primary and secondary </w:t>
      </w:r>
      <w:r w:rsidR="00603FE9">
        <w:rPr>
          <w:sz w:val="24"/>
        </w:rPr>
        <w:t>school;</w:t>
      </w:r>
      <w:r w:rsidRPr="00BF048C">
        <w:rPr>
          <w:sz w:val="24"/>
        </w:rPr>
        <w:t xml:space="preserve"> improving thei</w:t>
      </w:r>
      <w:r w:rsidR="00603FE9">
        <w:rPr>
          <w:sz w:val="24"/>
        </w:rPr>
        <w:t>r participation while in school;</w:t>
      </w:r>
      <w:r w:rsidRPr="00BF048C">
        <w:rPr>
          <w:sz w:val="24"/>
        </w:rPr>
        <w:t xml:space="preserve"> improving the quality of education receive</w:t>
      </w:r>
      <w:r w:rsidR="00603FE9">
        <w:rPr>
          <w:sz w:val="24"/>
        </w:rPr>
        <w:t>d; and enhancing</w:t>
      </w:r>
      <w:r w:rsidRPr="00BF048C">
        <w:rPr>
          <w:sz w:val="24"/>
        </w:rPr>
        <w:t xml:space="preserve"> the </w:t>
      </w:r>
      <w:r w:rsidR="00603FE9">
        <w:rPr>
          <w:sz w:val="24"/>
        </w:rPr>
        <w:t xml:space="preserve">ways in </w:t>
      </w:r>
      <w:r w:rsidRPr="00BF048C">
        <w:rPr>
          <w:sz w:val="24"/>
        </w:rPr>
        <w:t>education empowers them</w:t>
      </w:r>
      <w:r w:rsidR="00603FE9">
        <w:rPr>
          <w:sz w:val="24"/>
        </w:rPr>
        <w:t xml:space="preserve"> </w:t>
      </w:r>
      <w:r w:rsidR="00603FE9">
        <w:rPr>
          <w:sz w:val="24"/>
        </w:rPr>
        <w:fldChar w:fldCharType="begin"/>
      </w:r>
      <w:r w:rsidR="00603FE9">
        <w:rPr>
          <w:sz w:val="24"/>
        </w:rPr>
        <w:instrText xml:space="preserve"> ADDIN ZOTERO_ITEM CSL_CITATION {"citationID":"lTPtesDP","properties":{"formattedCitation":"(UNESCO, 2020)","plainCitation":"(UNESCO, 2020)","noteIndex":0},"citationItems":[{"id":18051,"uris":["http://zotero.org/users/7220606/items/EP8TJDGR"],"uri":["http://zotero.org/users/7220606/items/EP8TJDGR"],"itemData":{"id":18051,"type":"report","title":"Inclusion and Education | Global Education Monitoring Report","URL":"https://en.unesco.org/gem-report/report/2020/inclusion","author":[{"family":"UNESCO","given":""}],"accessed":{"date-parts":[["2021",5,2]]},"issued":{"date-parts":[["2020"]]}}}],"schema":"https://github.com/citation-style-language/schema/raw/master/csl-citation.json"} </w:instrText>
      </w:r>
      <w:r w:rsidR="00603FE9">
        <w:rPr>
          <w:sz w:val="24"/>
        </w:rPr>
        <w:fldChar w:fldCharType="separate"/>
      </w:r>
      <w:r w:rsidR="00603FE9" w:rsidRPr="00603FE9">
        <w:rPr>
          <w:rFonts w:ascii="Calibri" w:hAnsi="Calibri" w:cs="Calibri"/>
          <w:sz w:val="24"/>
        </w:rPr>
        <w:t>(UNESCO, 2020)</w:t>
      </w:r>
      <w:r w:rsidR="00603FE9">
        <w:rPr>
          <w:sz w:val="24"/>
        </w:rPr>
        <w:fldChar w:fldCharType="end"/>
      </w:r>
      <w:r w:rsidRPr="00BF048C">
        <w:rPr>
          <w:sz w:val="24"/>
        </w:rPr>
        <w:t xml:space="preserve">. The ability to achieve </w:t>
      </w:r>
      <w:r>
        <w:rPr>
          <w:sz w:val="24"/>
        </w:rPr>
        <w:t xml:space="preserve">all </w:t>
      </w:r>
      <w:r w:rsidRPr="00BF048C">
        <w:rPr>
          <w:sz w:val="24"/>
        </w:rPr>
        <w:t xml:space="preserve">these improvements is affected by processes within and beyond schools, requiring interventions addressing policy, allocation of resources, </w:t>
      </w:r>
      <w:r>
        <w:rPr>
          <w:sz w:val="24"/>
        </w:rPr>
        <w:t xml:space="preserve">funding, </w:t>
      </w:r>
      <w:r w:rsidRPr="00BF048C">
        <w:rPr>
          <w:sz w:val="24"/>
        </w:rPr>
        <w:t>infrastructure, systems strengthening, and norms</w:t>
      </w:r>
      <w:r>
        <w:rPr>
          <w:sz w:val="24"/>
        </w:rPr>
        <w:t xml:space="preserve"> </w:t>
      </w:r>
      <w:r>
        <w:rPr>
          <w:sz w:val="24"/>
        </w:rPr>
        <w:fldChar w:fldCharType="begin"/>
      </w:r>
      <w:r w:rsidR="00B23620">
        <w:rPr>
          <w:sz w:val="24"/>
        </w:rPr>
        <w:instrText xml:space="preserve"> ADDIN ZOTERO_ITEM CSL_CITATION {"citationID":"3E41Sls3","properties":{"formattedCitation":"(UNESCO, 2016)","plainCitation":"(UNESCO, 2016)","noteIndex":0},"citationItems":[{"id":13,"uris":["http://zotero.org/users/7220606/items/8EBL5RM6"],"uri":["http://zotero.org/users/7220606/items/8EBL5RM6"],"itemData":{"id":13,"type":"report","collection-title":"Global education monitoring report","title":"Education for people and planet: Creating sustainable futures for all","URL":"https://unesdoc.unesco.org/ark:/48223/pf0000245752","author":[{"family":"UNESCO","given":""}],"issued":{"date-parts":[["2016"]]}}}],"schema":"https://github.com/citation-style-language/schema/raw/master/csl-citation.json"} </w:instrText>
      </w:r>
      <w:r>
        <w:rPr>
          <w:sz w:val="24"/>
        </w:rPr>
        <w:fldChar w:fldCharType="separate"/>
      </w:r>
      <w:r w:rsidR="00B23620" w:rsidRPr="00B23620">
        <w:rPr>
          <w:rFonts w:ascii="Calibri" w:hAnsi="Calibri" w:cs="Calibri"/>
          <w:sz w:val="24"/>
        </w:rPr>
        <w:t>(UNESCO, 2016)</w:t>
      </w:r>
      <w:r>
        <w:rPr>
          <w:sz w:val="24"/>
        </w:rPr>
        <w:fldChar w:fldCharType="end"/>
      </w:r>
      <w:r w:rsidRPr="00BF048C">
        <w:rPr>
          <w:sz w:val="24"/>
        </w:rPr>
        <w:t>.</w:t>
      </w:r>
    </w:p>
    <w:p w14:paraId="0BA5A222" w14:textId="00080609" w:rsidR="006634B5" w:rsidRPr="005348F1" w:rsidRDefault="006634B5" w:rsidP="006634B5">
      <w:pPr>
        <w:jc w:val="both"/>
        <w:rPr>
          <w:sz w:val="24"/>
        </w:rPr>
      </w:pPr>
      <w:r w:rsidRPr="009A190B">
        <w:rPr>
          <w:sz w:val="24"/>
        </w:rPr>
        <w:t>Despite substantial progress in increasing school enrolment and completion rates</w:t>
      </w:r>
      <w:r>
        <w:rPr>
          <w:sz w:val="24"/>
        </w:rPr>
        <w:t xml:space="preserve"> in the last decade, estimates for 2020 from the Global Education Monitoring Report by UNESCO indicate that an </w:t>
      </w:r>
      <w:r w:rsidRPr="005348F1">
        <w:rPr>
          <w:sz w:val="24"/>
        </w:rPr>
        <w:t xml:space="preserve">estimated 258 million children </w:t>
      </w:r>
      <w:r>
        <w:rPr>
          <w:sz w:val="24"/>
        </w:rPr>
        <w:t>and adolescents</w:t>
      </w:r>
      <w:r w:rsidRPr="005348F1">
        <w:rPr>
          <w:sz w:val="24"/>
        </w:rPr>
        <w:t xml:space="preserve"> are not in school</w:t>
      </w:r>
      <w:r>
        <w:rPr>
          <w:sz w:val="24"/>
        </w:rPr>
        <w:t xml:space="preserve">; at the different levels of education, these numbers amount to 59 million </w:t>
      </w:r>
      <w:r w:rsidRPr="005348F1">
        <w:rPr>
          <w:sz w:val="24"/>
        </w:rPr>
        <w:t>primary sc</w:t>
      </w:r>
      <w:r>
        <w:rPr>
          <w:sz w:val="24"/>
        </w:rPr>
        <w:t xml:space="preserve">hool-aged children (1 in 12), 61 million </w:t>
      </w:r>
      <w:r w:rsidRPr="005348F1">
        <w:rPr>
          <w:sz w:val="24"/>
        </w:rPr>
        <w:t>lower secondary scho</w:t>
      </w:r>
      <w:r>
        <w:rPr>
          <w:sz w:val="24"/>
        </w:rPr>
        <w:t xml:space="preserve">ol-aged adolescents (1 in 6) </w:t>
      </w:r>
      <w:r w:rsidRPr="005348F1">
        <w:rPr>
          <w:sz w:val="24"/>
        </w:rPr>
        <w:t xml:space="preserve">and </w:t>
      </w:r>
      <w:r>
        <w:rPr>
          <w:sz w:val="24"/>
        </w:rPr>
        <w:t xml:space="preserve">138 million </w:t>
      </w:r>
      <w:r w:rsidRPr="005348F1">
        <w:rPr>
          <w:sz w:val="24"/>
        </w:rPr>
        <w:t>upper secondary</w:t>
      </w:r>
      <w:r>
        <w:rPr>
          <w:sz w:val="24"/>
        </w:rPr>
        <w:t xml:space="preserve"> school-age youth (1 in 3) </w:t>
      </w:r>
      <w:r>
        <w:rPr>
          <w:sz w:val="24"/>
        </w:rPr>
        <w:fldChar w:fldCharType="begin"/>
      </w:r>
      <w:r w:rsidR="00B23620">
        <w:rPr>
          <w:sz w:val="24"/>
        </w:rPr>
        <w:instrText xml:space="preserve"> ADDIN ZOTERO_ITEM CSL_CITATION {"citationID":"96EauSKh","properties":{"formattedCitation":"(UNESCO, 2020)","plainCitation":"(UNESCO, 2020)","noteIndex":0},"citationItems":[{"id":18051,"uris":["http://zotero.org/users/7220606/items/EP8TJDGR"],"uri":["http://zotero.org/users/7220606/items/EP8TJDGR"],"itemData":{"id":18051,"type":"report","title":"Inclusion and Education | Global Education Monitoring Report","URL":"https://en.unesco.org/gem-report/report/2020/inclusion","author":[{"family":"UNESCO","given":""}],"accessed":{"date-parts":[["2021",5,2]]},"issued":{"date-parts":[["2020"]]}}}],"schema":"https://github.com/citation-style-language/schema/raw/master/csl-citation.json"} </w:instrText>
      </w:r>
      <w:r>
        <w:rPr>
          <w:sz w:val="24"/>
        </w:rPr>
        <w:fldChar w:fldCharType="separate"/>
      </w:r>
      <w:r w:rsidR="00B23620" w:rsidRPr="00B23620">
        <w:rPr>
          <w:rFonts w:ascii="Calibri" w:hAnsi="Calibri" w:cs="Calibri"/>
          <w:sz w:val="24"/>
        </w:rPr>
        <w:t>(UNESCO, 2020)</w:t>
      </w:r>
      <w:r>
        <w:rPr>
          <w:sz w:val="24"/>
        </w:rPr>
        <w:fldChar w:fldCharType="end"/>
      </w:r>
      <w:r w:rsidRPr="005348F1">
        <w:rPr>
          <w:sz w:val="24"/>
        </w:rPr>
        <w:t>.</w:t>
      </w:r>
      <w:r>
        <w:rPr>
          <w:sz w:val="24"/>
        </w:rPr>
        <w:t xml:space="preserve"> In terms of regions, slightly over 50% of </w:t>
      </w:r>
      <w:r w:rsidRPr="005348F1">
        <w:rPr>
          <w:sz w:val="24"/>
        </w:rPr>
        <w:t>out-of-school</w:t>
      </w:r>
      <w:r>
        <w:rPr>
          <w:sz w:val="24"/>
        </w:rPr>
        <w:t xml:space="preserve"> </w:t>
      </w:r>
      <w:r w:rsidRPr="005348F1">
        <w:rPr>
          <w:sz w:val="24"/>
        </w:rPr>
        <w:t xml:space="preserve">children and adolescents </w:t>
      </w:r>
      <w:r>
        <w:rPr>
          <w:sz w:val="24"/>
        </w:rPr>
        <w:t>were</w:t>
      </w:r>
      <w:r w:rsidRPr="005348F1">
        <w:rPr>
          <w:sz w:val="24"/>
        </w:rPr>
        <w:t xml:space="preserve"> in </w:t>
      </w:r>
      <w:r w:rsidR="00BD6727">
        <w:rPr>
          <w:sz w:val="24"/>
        </w:rPr>
        <w:t>SSA</w:t>
      </w:r>
      <w:r>
        <w:rPr>
          <w:sz w:val="24"/>
        </w:rPr>
        <w:t xml:space="preserve"> in 2018, overtaking numbers in</w:t>
      </w:r>
      <w:r w:rsidRPr="005348F1">
        <w:rPr>
          <w:sz w:val="24"/>
        </w:rPr>
        <w:t xml:space="preserve"> </w:t>
      </w:r>
      <w:r>
        <w:rPr>
          <w:sz w:val="24"/>
        </w:rPr>
        <w:t xml:space="preserve">Southern and Central Asia for the </w:t>
      </w:r>
      <w:r w:rsidRPr="005348F1">
        <w:rPr>
          <w:sz w:val="24"/>
        </w:rPr>
        <w:t>first time</w:t>
      </w:r>
      <w:r>
        <w:rPr>
          <w:sz w:val="24"/>
        </w:rPr>
        <w:t>. Globally, school completion rates stood at</w:t>
      </w:r>
      <w:r w:rsidRPr="00B51C6B">
        <w:rPr>
          <w:sz w:val="24"/>
        </w:rPr>
        <w:t xml:space="preserve"> 85% for primary, 73% for lower secondary</w:t>
      </w:r>
      <w:r>
        <w:rPr>
          <w:sz w:val="24"/>
        </w:rPr>
        <w:t xml:space="preserve"> </w:t>
      </w:r>
      <w:r w:rsidRPr="00B51C6B">
        <w:rPr>
          <w:sz w:val="24"/>
        </w:rPr>
        <w:t>and 49</w:t>
      </w:r>
      <w:r>
        <w:rPr>
          <w:sz w:val="24"/>
        </w:rPr>
        <w:t xml:space="preserve">% for upper secondary education, with the gap between </w:t>
      </w:r>
      <w:r w:rsidRPr="00B51C6B">
        <w:rPr>
          <w:sz w:val="24"/>
        </w:rPr>
        <w:t>enrolment and</w:t>
      </w:r>
      <w:r>
        <w:rPr>
          <w:sz w:val="24"/>
        </w:rPr>
        <w:t xml:space="preserve"> completion rates in LMICs having shrunk from 35% to 26% between 2008 and </w:t>
      </w:r>
      <w:r w:rsidRPr="00B51C6B">
        <w:rPr>
          <w:sz w:val="24"/>
        </w:rPr>
        <w:t>2018</w:t>
      </w:r>
      <w:r>
        <w:rPr>
          <w:sz w:val="24"/>
        </w:rPr>
        <w:t xml:space="preserve">. </w:t>
      </w:r>
    </w:p>
    <w:p w14:paraId="5F3DB544" w14:textId="40AA2F44" w:rsidR="006634B5" w:rsidRDefault="006634B5" w:rsidP="00050D8A">
      <w:pPr>
        <w:jc w:val="both"/>
        <w:rPr>
          <w:sz w:val="24"/>
        </w:rPr>
      </w:pPr>
      <w:r w:rsidRPr="00BF048C">
        <w:rPr>
          <w:sz w:val="24"/>
        </w:rPr>
        <w:t xml:space="preserve">Despite the </w:t>
      </w:r>
      <w:r>
        <w:rPr>
          <w:sz w:val="24"/>
        </w:rPr>
        <w:t>discernible</w:t>
      </w:r>
      <w:r w:rsidRPr="00BF048C">
        <w:rPr>
          <w:sz w:val="24"/>
        </w:rPr>
        <w:t xml:space="preserve"> benefits of investment in education, universal completion of pre-primary, primary, and secondary school is not easily achieved. The increasing size of school–age cohorts in low-income countries, and rising cost</w:t>
      </w:r>
      <w:r>
        <w:rPr>
          <w:sz w:val="24"/>
        </w:rPr>
        <w:t>s per student make public</w:t>
      </w:r>
      <w:r w:rsidRPr="00BF048C">
        <w:rPr>
          <w:sz w:val="24"/>
        </w:rPr>
        <w:t xml:space="preserve"> financing </w:t>
      </w:r>
      <w:r>
        <w:rPr>
          <w:sz w:val="24"/>
        </w:rPr>
        <w:t xml:space="preserve">of </w:t>
      </w:r>
      <w:r w:rsidRPr="00BF048C">
        <w:rPr>
          <w:sz w:val="24"/>
        </w:rPr>
        <w:t>universal e</w:t>
      </w:r>
      <w:r>
        <w:rPr>
          <w:sz w:val="24"/>
        </w:rPr>
        <w:t>ducation difficult. UNESCO (2020</w:t>
      </w:r>
      <w:r w:rsidRPr="00BF048C">
        <w:rPr>
          <w:sz w:val="24"/>
        </w:rPr>
        <w:t>) estimates that achieving universal education by 2030 will cost US$340 billion per year, revealing an annual financing gap of US$39 billion. More teachers and more facilities are needed to accommodate the projected growth in enrolment</w:t>
      </w:r>
      <w:r>
        <w:rPr>
          <w:sz w:val="24"/>
        </w:rPr>
        <w:t xml:space="preserve">; as a result, </w:t>
      </w:r>
      <w:r w:rsidR="00CA0870" w:rsidRPr="00BF048C">
        <w:rPr>
          <w:sz w:val="24"/>
        </w:rPr>
        <w:t>low-income</w:t>
      </w:r>
      <w:r w:rsidRPr="00BF048C">
        <w:rPr>
          <w:sz w:val="24"/>
        </w:rPr>
        <w:t xml:space="preserve"> countries will need to increase average expenditure per primary school student from US$70 to US$197 by 2030</w:t>
      </w:r>
      <w:r w:rsidR="00236B12">
        <w:rPr>
          <w:sz w:val="24"/>
        </w:rPr>
        <w:t xml:space="preserve"> </w:t>
      </w:r>
      <w:r w:rsidR="00236B12">
        <w:rPr>
          <w:sz w:val="24"/>
        </w:rPr>
        <w:fldChar w:fldCharType="begin"/>
      </w:r>
      <w:r w:rsidR="00236B12">
        <w:rPr>
          <w:sz w:val="24"/>
        </w:rPr>
        <w:instrText xml:space="preserve"> ADDIN ZOTERO_ITEM CSL_CITATION {"citationID":"EFQfaL6E","properties":{"formattedCitation":"(Education For All: Global Monitoring Report, 2015)","plainCitation":"(Education For All: Global Monitoring Report, 2015)","noteIndex":0},"citationItems":[{"id":18469,"uris":["http://zotero.org/groups/2723676/items/LZHSXSIJ"],"uri":["http://zotero.org/groups/2723676/items/LZHSXSIJ"],"itemData":{"id":18469,"type":"report","collection-title":"Policy Paper 18","title":"Pricing the right to education: The cost of reaching new targets by 2030","author":[{"family":"Education For All: Global Monitoring Report","given":""}],"issued":{"date-parts":[["2015"]]}}}],"schema":"https://github.com/citation-style-language/schema/raw/master/csl-citation.json"} </w:instrText>
      </w:r>
      <w:r w:rsidR="00236B12">
        <w:rPr>
          <w:sz w:val="24"/>
        </w:rPr>
        <w:fldChar w:fldCharType="separate"/>
      </w:r>
      <w:r w:rsidR="00236B12" w:rsidRPr="00236B12">
        <w:rPr>
          <w:rFonts w:ascii="Calibri" w:hAnsi="Calibri" w:cs="Calibri"/>
          <w:sz w:val="24"/>
        </w:rPr>
        <w:t>(Education For All: Global Monitoring Report, 2015)</w:t>
      </w:r>
      <w:r w:rsidR="00236B12">
        <w:rPr>
          <w:sz w:val="24"/>
        </w:rPr>
        <w:fldChar w:fldCharType="end"/>
      </w:r>
      <w:r w:rsidRPr="00BF048C">
        <w:rPr>
          <w:sz w:val="24"/>
        </w:rPr>
        <w:t>. Aid</w:t>
      </w:r>
      <w:r>
        <w:rPr>
          <w:sz w:val="24"/>
        </w:rPr>
        <w:t xml:space="preserve"> efforts for</w:t>
      </w:r>
      <w:r w:rsidRPr="00BF048C">
        <w:rPr>
          <w:sz w:val="24"/>
        </w:rPr>
        <w:t xml:space="preserve"> education, which is expected to stagnate for the next few years, has fallen short of the required 42% of total costs that still need to be covered in low-income countries. A growing number of multilateral and bilateral donors are focusing financial assistance on secondary and post-secondary education, with the exception of the United States who directs roughly 80% of its aid to primary education. Currently, the majority (70%) of funding provided to low-income countries for post-secondary education is in the form of scholarships to study in donor countries rather than being allocated to the strengthening of higher </w:t>
      </w:r>
      <w:r w:rsidR="00050D8A">
        <w:rPr>
          <w:sz w:val="24"/>
        </w:rPr>
        <w:t>education system</w:t>
      </w:r>
      <w:r w:rsidR="00AC048B">
        <w:rPr>
          <w:sz w:val="24"/>
        </w:rPr>
        <w:t>.</w:t>
      </w:r>
    </w:p>
    <w:p w14:paraId="1343DA5F" w14:textId="2D70AFED" w:rsidR="00AC048B" w:rsidRDefault="00AC048B" w:rsidP="00050D8A">
      <w:pPr>
        <w:jc w:val="both"/>
        <w:rPr>
          <w:sz w:val="24"/>
        </w:rPr>
      </w:pPr>
      <w:r>
        <w:rPr>
          <w:sz w:val="24"/>
        </w:rPr>
        <w:t xml:space="preserve">A preliminary projection for the cost of achieving universal education in LMICs was computed based on 2015 UNESCO cost estimates for different levels of schooling </w:t>
      </w:r>
      <w:r>
        <w:rPr>
          <w:sz w:val="24"/>
        </w:rPr>
        <w:fldChar w:fldCharType="begin"/>
      </w:r>
      <w:r>
        <w:rPr>
          <w:sz w:val="24"/>
        </w:rPr>
        <w:instrText xml:space="preserve"> ADDIN ZOTERO_ITEM CSL_CITATION {"citationID":"pYNxDQF1","properties":{"formattedCitation":"(UNESCO, 2015)","plainCitation":"(UNESCO, 2015)","noteIndex":0},"citationItems":[{"id":18193,"uris":["http://zotero.org/users/7220606/items/9MZ26UB4"],"uri":["http://zotero.org/users/7220606/items/9MZ26UB4"],"itemData":{"id":18193,"type":"report","collection-title":"Global education monitoring report","title":"Education for All 2000-2015: Achievements and challenges","author":[{"family":"UNESCO","given":""}],"issued":{"date-parts":[["2015"]]}}}],"schema":"https://github.com/citation-style-language/schema/raw/master/csl-citation.json"} </w:instrText>
      </w:r>
      <w:r>
        <w:rPr>
          <w:sz w:val="24"/>
        </w:rPr>
        <w:fldChar w:fldCharType="separate"/>
      </w:r>
      <w:r w:rsidRPr="00AC048B">
        <w:rPr>
          <w:rFonts w:ascii="Calibri" w:hAnsi="Calibri" w:cs="Calibri"/>
          <w:sz w:val="24"/>
        </w:rPr>
        <w:t>(UNESCO, 2015)</w:t>
      </w:r>
      <w:r>
        <w:rPr>
          <w:sz w:val="24"/>
        </w:rPr>
        <w:fldChar w:fldCharType="end"/>
      </w:r>
      <w:r>
        <w:rPr>
          <w:sz w:val="24"/>
        </w:rPr>
        <w:t xml:space="preserve">, shown in table  5 below. </w:t>
      </w:r>
    </w:p>
    <w:p w14:paraId="29BEBFAE" w14:textId="133B490B" w:rsidR="00400318" w:rsidRDefault="00400318" w:rsidP="00050D8A">
      <w:pPr>
        <w:jc w:val="both"/>
        <w:rPr>
          <w:sz w:val="24"/>
        </w:rPr>
      </w:pPr>
    </w:p>
    <w:p w14:paraId="1A597217" w14:textId="77777777" w:rsidR="00400318" w:rsidRDefault="00400318" w:rsidP="00400318">
      <w:pPr>
        <w:pStyle w:val="Heading3"/>
      </w:pPr>
      <w:bookmarkStart w:id="21" w:name="_Toc71702077"/>
      <w:bookmarkStart w:id="22" w:name="_Toc74154036"/>
      <w:r>
        <w:t>Education and the SDGs</w:t>
      </w:r>
      <w:bookmarkEnd w:id="21"/>
      <w:bookmarkEnd w:id="22"/>
    </w:p>
    <w:p w14:paraId="747AA927" w14:textId="64FAA0CC" w:rsidR="00400318" w:rsidRPr="00BF048C" w:rsidRDefault="00400318" w:rsidP="00400318">
      <w:pPr>
        <w:jc w:val="both"/>
        <w:rPr>
          <w:sz w:val="24"/>
        </w:rPr>
      </w:pPr>
      <w:r w:rsidRPr="00BF048C">
        <w:rPr>
          <w:sz w:val="24"/>
        </w:rPr>
        <w:t>Goal 4 of the SDGs emphasizes equitable and quality education as a universal human right, with targets 4.1-4.7 and 4a-c focusing on specific aims for different educational sectors and subpopulations. For instance, target 4.7 advocates that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r w:rsidR="0022781D">
        <w:rPr>
          <w:sz w:val="24"/>
        </w:rPr>
        <w:t xml:space="preserve"> </w:t>
      </w:r>
      <w:r w:rsidR="00167929">
        <w:rPr>
          <w:sz w:val="24"/>
        </w:rPr>
        <w:fldChar w:fldCharType="begin"/>
      </w:r>
      <w:r w:rsidR="00D654A1">
        <w:rPr>
          <w:sz w:val="24"/>
        </w:rPr>
        <w:instrText xml:space="preserve"> ADDIN ZOTERO_ITEM CSL_CITATION {"citationID":"ItmGgAxU","properties":{"formattedCitation":"(UN, 2015, p. 4)","plainCitation":"(UN, 2015, p. 4)","dontUpdate":true,"noteIndex":0},"citationItems":[{"id":18472,"uris":["http://zotero.org/groups/2723676/items/2TZ6QCQG"],"uri":["http://zotero.org/groups/2723676/items/2TZ6QCQG"],"itemData":{"id":18472,"type":"webpage","title":"Sustainable Development Goal 4: Ensure inclusive and equitable quality education and promote lifelong learning opportunities for all","URL":"https://sdgs.un.org/goals/goal4","author":[{"literal":"UN"}],"accessed":{"date-parts":[["2021",8,1]]},"issued":{"date-parts":[["2015"]]}},"locator":"4"}],"schema":"https://github.com/citation-style-language/schema/raw/master/csl-citation.json"} </w:instrText>
      </w:r>
      <w:r w:rsidR="00167929">
        <w:rPr>
          <w:sz w:val="24"/>
        </w:rPr>
        <w:fldChar w:fldCharType="separate"/>
      </w:r>
      <w:r w:rsidR="008E2E75">
        <w:rPr>
          <w:rFonts w:ascii="Calibri" w:hAnsi="Calibri" w:cs="Calibri"/>
          <w:sz w:val="24"/>
        </w:rPr>
        <w:t>(UN, 2015</w:t>
      </w:r>
      <w:r w:rsidR="00167929" w:rsidRPr="00167929">
        <w:rPr>
          <w:rFonts w:ascii="Calibri" w:hAnsi="Calibri" w:cs="Calibri"/>
          <w:sz w:val="24"/>
        </w:rPr>
        <w:t>)</w:t>
      </w:r>
      <w:r w:rsidR="00167929">
        <w:rPr>
          <w:sz w:val="24"/>
        </w:rPr>
        <w:fldChar w:fldCharType="end"/>
      </w:r>
      <w:r w:rsidR="00167929">
        <w:rPr>
          <w:sz w:val="24"/>
        </w:rPr>
        <w:t>.</w:t>
      </w:r>
      <w:r w:rsidRPr="00BF048C">
        <w:rPr>
          <w:sz w:val="24"/>
        </w:rPr>
        <w:t xml:space="preserve"> Goal 4 also recognizes the critical role that education plays in the achievement of all the other SDGs</w:t>
      </w:r>
      <w:r>
        <w:rPr>
          <w:sz w:val="24"/>
        </w:rPr>
        <w:fldChar w:fldCharType="begin"/>
      </w:r>
      <w:r>
        <w:rPr>
          <w:sz w:val="24"/>
        </w:rPr>
        <w:instrText xml:space="preserve"> ADDIN ZOTERO_ITEM CSL_CITATION {"citationID":"ZjN6Ug5W","properties":{"formattedCitation":"(FHI360 2016)","plainCitation":"(FHI360 2016)","dontUpdate":true,"noteIndex":0},"citationItems":[{"id":18044,"uris":["http://zotero.org/users/7220606/items/AVPVWYU2"],"uri":["http://zotero.org/users/7220606/items/AVPVWYU2"],"itemData":{"id":18044,"type":"report","collection-title":"Educate a Child","title":"Education and the SDGs","author":[{"family":"FHI360","given":""}],"issued":{"date-parts":[["2016"]]}}}],"schema":"https://github.com/citation-style-language/schema/raw/master/csl-citation.json"} </w:instrText>
      </w:r>
      <w:r>
        <w:rPr>
          <w:sz w:val="24"/>
        </w:rPr>
        <w:fldChar w:fldCharType="separate"/>
      </w:r>
      <w:r>
        <w:rPr>
          <w:sz w:val="24"/>
        </w:rPr>
        <w:t xml:space="preserve"> </w:t>
      </w:r>
      <w:r w:rsidRPr="001C5078">
        <w:rPr>
          <w:rFonts w:ascii="Calibri" w:hAnsi="Calibri" w:cs="Calibri"/>
          <w:sz w:val="24"/>
        </w:rPr>
        <w:t>(FHI360 2016)</w:t>
      </w:r>
      <w:r>
        <w:rPr>
          <w:sz w:val="24"/>
        </w:rPr>
        <w:fldChar w:fldCharType="end"/>
      </w:r>
      <w:r w:rsidRPr="00BF048C">
        <w:rPr>
          <w:sz w:val="24"/>
        </w:rPr>
        <w:t>; in enabling socioeconomic progress and helping to overcome poverty, universal education for girls and boys is an important tool to ensure improved health and nutrition, gender equality, and informed choices around economic empowerment, responsible consumption and sustainable living, all of which contribute to an improved quality of life</w:t>
      </w:r>
      <w:r>
        <w:rPr>
          <w:sz w:val="24"/>
        </w:rPr>
        <w:t xml:space="preserve"> </w:t>
      </w:r>
      <w:r>
        <w:rPr>
          <w:sz w:val="24"/>
        </w:rPr>
        <w:fldChar w:fldCharType="begin"/>
      </w:r>
      <w:r>
        <w:rPr>
          <w:sz w:val="24"/>
        </w:rPr>
        <w:instrText xml:space="preserve"> ADDIN ZOTERO_ITEM CSL_CITATION {"citationID":"jzgYMyhH","properties":{"formattedCitation":"(Frischmann et al., 2020)","plainCitation":"(Frischmann et al., 2020)","noteIndex":0},"citationItems":[{"id":18133,"uris":["http://zotero.org/users/7220606/items/WNS2D7ML"],"uri":["http://zotero.org/users/7220606/items/WNS2D7ML"],"itemData":{"id":18133,"type":"article-journal","container-title":"Partnerships for the Goals","language":"en","note":"DOI: 10.1007/978-3-319-71067-9_100-1","page":"1-25","source":"Springer Link","title":"Drawdown’s “System of Solutions” Helps to Achieve the SDGs","author":[{"family":"Frischmann","given":"Chad Jonathan"},{"family":"Mehra","given":"Mamta"},{"family":"Allard","given":"Ryan"},{"family":"Bayuk","given":"Kevin"},{"family":"Gouveia","given":"João Pedro"},{"family":"Gorman","given":"Miranda R."}],"editor":[{"family":"Leal Filho","given":"Walter"},{"family":"Azul","given":"Anabela Marisa"},{"family":"Brandli","given":"Luciana"},{"family":"Lange Salvia","given":"Amanda"},{"family":"Wall","given":"Tony"}],"issued":{"date-parts":[["2020"]]}}}],"schema":"https://github.com/citation-style-language/schema/raw/master/csl-citation.json"} </w:instrText>
      </w:r>
      <w:r>
        <w:rPr>
          <w:sz w:val="24"/>
        </w:rPr>
        <w:fldChar w:fldCharType="separate"/>
      </w:r>
      <w:r w:rsidRPr="00D73FC4">
        <w:rPr>
          <w:rFonts w:ascii="Calibri" w:hAnsi="Calibri" w:cs="Calibri"/>
          <w:sz w:val="24"/>
        </w:rPr>
        <w:t>(Frischmann et al., 2020)</w:t>
      </w:r>
      <w:r>
        <w:rPr>
          <w:sz w:val="24"/>
        </w:rPr>
        <w:fldChar w:fldCharType="end"/>
      </w:r>
      <w:r w:rsidRPr="00BF048C">
        <w:rPr>
          <w:sz w:val="24"/>
        </w:rPr>
        <w:t xml:space="preserve">. </w:t>
      </w:r>
    </w:p>
    <w:p w14:paraId="03A29FCB" w14:textId="77777777" w:rsidR="00400318" w:rsidRPr="00050D8A" w:rsidRDefault="00400318" w:rsidP="00050D8A">
      <w:pPr>
        <w:jc w:val="both"/>
        <w:rPr>
          <w:sz w:val="24"/>
        </w:rPr>
        <w:sectPr w:rsidR="00400318" w:rsidRPr="00050D8A">
          <w:pgSz w:w="11906" w:h="16838"/>
          <w:pgMar w:top="1440" w:right="1440" w:bottom="1440" w:left="1440" w:header="708" w:footer="708" w:gutter="0"/>
          <w:cols w:space="708"/>
          <w:docGrid w:linePitch="360"/>
        </w:sectPr>
      </w:pPr>
    </w:p>
    <w:p w14:paraId="5CEEB885" w14:textId="198FA4A4" w:rsidR="00050D8A" w:rsidRPr="00050D8A" w:rsidRDefault="00050D8A" w:rsidP="00050D8A">
      <w:pPr>
        <w:pStyle w:val="Caption"/>
        <w:keepNext/>
        <w:rPr>
          <w:i w:val="0"/>
          <w:sz w:val="22"/>
        </w:rPr>
      </w:pPr>
      <w:bookmarkStart w:id="23" w:name="_Toc74154078"/>
      <w:r w:rsidRPr="00050D8A">
        <w:rPr>
          <w:i w:val="0"/>
          <w:sz w:val="22"/>
        </w:rPr>
        <w:t xml:space="preserve">Table </w:t>
      </w:r>
      <w:r w:rsidRPr="00050D8A">
        <w:rPr>
          <w:i w:val="0"/>
          <w:sz w:val="22"/>
        </w:rPr>
        <w:fldChar w:fldCharType="begin"/>
      </w:r>
      <w:r w:rsidRPr="00050D8A">
        <w:rPr>
          <w:i w:val="0"/>
          <w:sz w:val="22"/>
        </w:rPr>
        <w:instrText xml:space="preserve"> SEQ Table \* ARABIC </w:instrText>
      </w:r>
      <w:r w:rsidRPr="00050D8A">
        <w:rPr>
          <w:i w:val="0"/>
          <w:sz w:val="22"/>
        </w:rPr>
        <w:fldChar w:fldCharType="separate"/>
      </w:r>
      <w:r w:rsidR="007F3156">
        <w:rPr>
          <w:i w:val="0"/>
          <w:noProof/>
          <w:sz w:val="22"/>
        </w:rPr>
        <w:t>4</w:t>
      </w:r>
      <w:r w:rsidRPr="00050D8A">
        <w:rPr>
          <w:i w:val="0"/>
          <w:sz w:val="22"/>
        </w:rPr>
        <w:fldChar w:fldCharType="end"/>
      </w:r>
      <w:r w:rsidRPr="00050D8A">
        <w:rPr>
          <w:i w:val="0"/>
          <w:sz w:val="22"/>
        </w:rPr>
        <w:t>: Rates of enrolment and completion of primary, lower secondary and upper secondary schooling</w:t>
      </w:r>
      <w:r>
        <w:rPr>
          <w:i w:val="0"/>
          <w:sz w:val="22"/>
        </w:rPr>
        <w:t xml:space="preserve"> for both sexes in 2019</w:t>
      </w:r>
      <w:bookmarkEnd w:id="23"/>
    </w:p>
    <w:tbl>
      <w:tblPr>
        <w:tblStyle w:val="ListTable1Light-Accent3"/>
        <w:tblW w:w="15441" w:type="dxa"/>
        <w:tblLayout w:type="fixed"/>
        <w:tblLook w:val="0400" w:firstRow="0" w:lastRow="0" w:firstColumn="0" w:lastColumn="0" w:noHBand="0" w:noVBand="1"/>
      </w:tblPr>
      <w:tblGrid>
        <w:gridCol w:w="3541"/>
        <w:gridCol w:w="1679"/>
        <w:gridCol w:w="1679"/>
        <w:gridCol w:w="1681"/>
        <w:gridCol w:w="2379"/>
        <w:gridCol w:w="2239"/>
        <w:gridCol w:w="2243"/>
      </w:tblGrid>
      <w:tr w:rsidR="006634B5" w:rsidRPr="00980502" w14:paraId="118EFC33" w14:textId="77777777" w:rsidTr="00D86F2F">
        <w:trPr>
          <w:cnfStyle w:val="000000100000" w:firstRow="0" w:lastRow="0" w:firstColumn="0" w:lastColumn="0" w:oddVBand="0" w:evenVBand="0" w:oddHBand="1" w:evenHBand="0" w:firstRowFirstColumn="0" w:firstRowLastColumn="0" w:lastRowFirstColumn="0" w:lastRowLastColumn="0"/>
          <w:trHeight w:val="15"/>
        </w:trPr>
        <w:tc>
          <w:tcPr>
            <w:tcW w:w="3541" w:type="dxa"/>
            <w:vMerge w:val="restart"/>
            <w:shd w:val="clear" w:color="auto" w:fill="FFFFFF" w:themeFill="background1"/>
          </w:tcPr>
          <w:p w14:paraId="3802811A" w14:textId="77777777" w:rsidR="006634B5" w:rsidRPr="00D86F2F" w:rsidRDefault="006634B5" w:rsidP="00D86F2F">
            <w:pPr>
              <w:spacing w:line="256" w:lineRule="auto"/>
              <w:jc w:val="center"/>
              <w:rPr>
                <w:rFonts w:ascii="Calibri" w:eastAsia="Calibri" w:hAnsi="Calibri" w:cs="Calibri"/>
                <w:b/>
                <w:sz w:val="20"/>
                <w:szCs w:val="14"/>
              </w:rPr>
            </w:pPr>
          </w:p>
        </w:tc>
        <w:tc>
          <w:tcPr>
            <w:tcW w:w="5039" w:type="dxa"/>
            <w:gridSpan w:val="3"/>
            <w:shd w:val="clear" w:color="auto" w:fill="FFFFFF" w:themeFill="background1"/>
          </w:tcPr>
          <w:p w14:paraId="531F89C7"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Enrolment (n)</w:t>
            </w:r>
          </w:p>
        </w:tc>
        <w:tc>
          <w:tcPr>
            <w:tcW w:w="6859" w:type="dxa"/>
            <w:gridSpan w:val="3"/>
            <w:shd w:val="clear" w:color="auto" w:fill="FFFFFF" w:themeFill="background1"/>
          </w:tcPr>
          <w:p w14:paraId="7BF56E22"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School completion (%)</w:t>
            </w:r>
          </w:p>
        </w:tc>
      </w:tr>
      <w:tr w:rsidR="006634B5" w:rsidRPr="00980502" w14:paraId="33E0291C" w14:textId="77777777" w:rsidTr="00D86F2F">
        <w:trPr>
          <w:trHeight w:val="15"/>
        </w:trPr>
        <w:tc>
          <w:tcPr>
            <w:tcW w:w="3541" w:type="dxa"/>
            <w:vMerge/>
            <w:hideMark/>
          </w:tcPr>
          <w:p w14:paraId="356DEF18" w14:textId="77777777" w:rsidR="006634B5" w:rsidRPr="00B60C99" w:rsidRDefault="006634B5" w:rsidP="00050D8A">
            <w:pPr>
              <w:spacing w:line="360" w:lineRule="auto"/>
              <w:jc w:val="center"/>
              <w:rPr>
                <w:rFonts w:eastAsia="Calibri" w:cstheme="minorHAnsi"/>
                <w:sz w:val="20"/>
                <w:szCs w:val="16"/>
              </w:rPr>
            </w:pPr>
          </w:p>
        </w:tc>
        <w:tc>
          <w:tcPr>
            <w:tcW w:w="1679" w:type="dxa"/>
            <w:hideMark/>
          </w:tcPr>
          <w:p w14:paraId="557A38E5"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Primary</w:t>
            </w:r>
          </w:p>
        </w:tc>
        <w:tc>
          <w:tcPr>
            <w:tcW w:w="1679" w:type="dxa"/>
          </w:tcPr>
          <w:p w14:paraId="4CE5867A"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Lower secondary</w:t>
            </w:r>
          </w:p>
        </w:tc>
        <w:tc>
          <w:tcPr>
            <w:tcW w:w="1681" w:type="dxa"/>
          </w:tcPr>
          <w:p w14:paraId="1C64D5A2"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Upper secondary</w:t>
            </w:r>
          </w:p>
        </w:tc>
        <w:tc>
          <w:tcPr>
            <w:tcW w:w="2379" w:type="dxa"/>
            <w:hideMark/>
          </w:tcPr>
          <w:p w14:paraId="63645D20"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Primary</w:t>
            </w:r>
          </w:p>
        </w:tc>
        <w:tc>
          <w:tcPr>
            <w:tcW w:w="2239" w:type="dxa"/>
            <w:hideMark/>
          </w:tcPr>
          <w:p w14:paraId="1C557416"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Lower secondary</w:t>
            </w:r>
          </w:p>
        </w:tc>
        <w:tc>
          <w:tcPr>
            <w:tcW w:w="2240" w:type="dxa"/>
            <w:hideMark/>
          </w:tcPr>
          <w:p w14:paraId="15533335"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Upper secondary</w:t>
            </w:r>
          </w:p>
        </w:tc>
      </w:tr>
      <w:tr w:rsidR="006634B5" w:rsidRPr="00980502" w14:paraId="373BA21B" w14:textId="77777777" w:rsidTr="00D86F2F">
        <w:trPr>
          <w:cnfStyle w:val="000000100000" w:firstRow="0" w:lastRow="0" w:firstColumn="0" w:lastColumn="0" w:oddVBand="0" w:evenVBand="0" w:oddHBand="1" w:evenHBand="0" w:firstRowFirstColumn="0" w:firstRowLastColumn="0" w:lastRowFirstColumn="0" w:lastRowLastColumn="0"/>
          <w:trHeight w:val="182"/>
        </w:trPr>
        <w:tc>
          <w:tcPr>
            <w:tcW w:w="3541" w:type="dxa"/>
            <w:shd w:val="clear" w:color="auto" w:fill="89C2E5" w:themeFill="accent3" w:themeFillTint="66"/>
            <w:hideMark/>
          </w:tcPr>
          <w:p w14:paraId="3995DB22"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World</w:t>
            </w:r>
          </w:p>
        </w:tc>
        <w:tc>
          <w:tcPr>
            <w:tcW w:w="1679" w:type="dxa"/>
            <w:shd w:val="clear" w:color="auto" w:fill="89C2E5" w:themeFill="accent3" w:themeFillTint="66"/>
          </w:tcPr>
          <w:p w14:paraId="45047786"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739,447,189</w:t>
            </w:r>
          </w:p>
        </w:tc>
        <w:tc>
          <w:tcPr>
            <w:tcW w:w="1679" w:type="dxa"/>
            <w:shd w:val="clear" w:color="auto" w:fill="89C2E5" w:themeFill="accent3" w:themeFillTint="66"/>
          </w:tcPr>
          <w:p w14:paraId="576A3728"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337,640,718</w:t>
            </w:r>
          </w:p>
        </w:tc>
        <w:tc>
          <w:tcPr>
            <w:tcW w:w="1681" w:type="dxa"/>
            <w:shd w:val="clear" w:color="auto" w:fill="89C2E5" w:themeFill="accent3" w:themeFillTint="66"/>
          </w:tcPr>
          <w:p w14:paraId="20D2CD74"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263,625,826</w:t>
            </w:r>
          </w:p>
        </w:tc>
        <w:tc>
          <w:tcPr>
            <w:tcW w:w="2379" w:type="dxa"/>
            <w:shd w:val="clear" w:color="auto" w:fill="89C2E5" w:themeFill="accent3" w:themeFillTint="66"/>
          </w:tcPr>
          <w:p w14:paraId="52209F66"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82</w:t>
            </w:r>
          </w:p>
        </w:tc>
        <w:tc>
          <w:tcPr>
            <w:tcW w:w="2239" w:type="dxa"/>
            <w:shd w:val="clear" w:color="auto" w:fill="89C2E5" w:themeFill="accent3" w:themeFillTint="66"/>
          </w:tcPr>
          <w:p w14:paraId="488FF81A"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69</w:t>
            </w:r>
          </w:p>
        </w:tc>
        <w:tc>
          <w:tcPr>
            <w:tcW w:w="2240" w:type="dxa"/>
            <w:shd w:val="clear" w:color="auto" w:fill="89C2E5" w:themeFill="accent3" w:themeFillTint="66"/>
          </w:tcPr>
          <w:p w14:paraId="562DD470"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44</w:t>
            </w:r>
          </w:p>
        </w:tc>
      </w:tr>
      <w:tr w:rsidR="006634B5" w:rsidRPr="00980502" w14:paraId="0DDCDB26" w14:textId="77777777" w:rsidTr="00D86F2F">
        <w:trPr>
          <w:trHeight w:val="317"/>
        </w:trPr>
        <w:tc>
          <w:tcPr>
            <w:tcW w:w="3541" w:type="dxa"/>
            <w:shd w:val="clear" w:color="auto" w:fill="C3E0F2" w:themeFill="accent3" w:themeFillTint="33"/>
            <w:hideMark/>
          </w:tcPr>
          <w:p w14:paraId="05C6C259"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Least Developed Countries</w:t>
            </w:r>
          </w:p>
        </w:tc>
        <w:tc>
          <w:tcPr>
            <w:tcW w:w="1679" w:type="dxa"/>
            <w:shd w:val="clear" w:color="auto" w:fill="C3E0F2" w:themeFill="accent3" w:themeFillTint="33"/>
          </w:tcPr>
          <w:p w14:paraId="351A9052"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159,644,461</w:t>
            </w:r>
          </w:p>
        </w:tc>
        <w:tc>
          <w:tcPr>
            <w:tcW w:w="1679" w:type="dxa"/>
            <w:shd w:val="clear" w:color="auto" w:fill="C3E0F2" w:themeFill="accent3" w:themeFillTint="33"/>
          </w:tcPr>
          <w:p w14:paraId="571F7846"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42,669,927</w:t>
            </w:r>
          </w:p>
        </w:tc>
        <w:tc>
          <w:tcPr>
            <w:tcW w:w="1681" w:type="dxa"/>
            <w:shd w:val="clear" w:color="auto" w:fill="C3E0F2" w:themeFill="accent3" w:themeFillTint="33"/>
          </w:tcPr>
          <w:p w14:paraId="6D55F124"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23,180,424</w:t>
            </w:r>
          </w:p>
        </w:tc>
        <w:tc>
          <w:tcPr>
            <w:tcW w:w="2379" w:type="dxa"/>
            <w:shd w:val="clear" w:color="auto" w:fill="C3E0F2" w:themeFill="accent3" w:themeFillTint="33"/>
          </w:tcPr>
          <w:p w14:paraId="1510D882"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58</w:t>
            </w:r>
          </w:p>
        </w:tc>
        <w:tc>
          <w:tcPr>
            <w:tcW w:w="2239" w:type="dxa"/>
            <w:shd w:val="clear" w:color="auto" w:fill="C3E0F2" w:themeFill="accent3" w:themeFillTint="33"/>
          </w:tcPr>
          <w:p w14:paraId="424EB264"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36</w:t>
            </w:r>
          </w:p>
        </w:tc>
        <w:tc>
          <w:tcPr>
            <w:tcW w:w="2240" w:type="dxa"/>
            <w:shd w:val="clear" w:color="auto" w:fill="C3E0F2" w:themeFill="accent3" w:themeFillTint="33"/>
          </w:tcPr>
          <w:p w14:paraId="601E84E3"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22</w:t>
            </w:r>
          </w:p>
        </w:tc>
      </w:tr>
      <w:tr w:rsidR="00050D8A" w:rsidRPr="00980502" w14:paraId="7E3734C6" w14:textId="77777777" w:rsidTr="00D86F2F">
        <w:trPr>
          <w:cnfStyle w:val="000000100000" w:firstRow="0" w:lastRow="0" w:firstColumn="0" w:lastColumn="0" w:oddVBand="0" w:evenVBand="0" w:oddHBand="1" w:evenHBand="0" w:firstRowFirstColumn="0" w:firstRowLastColumn="0" w:lastRowFirstColumn="0" w:lastRowLastColumn="0"/>
          <w:trHeight w:val="317"/>
        </w:trPr>
        <w:tc>
          <w:tcPr>
            <w:tcW w:w="3541" w:type="dxa"/>
            <w:hideMark/>
          </w:tcPr>
          <w:p w14:paraId="6CCFFCBF"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Land-locked developing countries (LLDC)</w:t>
            </w:r>
          </w:p>
        </w:tc>
        <w:tc>
          <w:tcPr>
            <w:tcW w:w="1679" w:type="dxa"/>
          </w:tcPr>
          <w:p w14:paraId="02201138"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77,332,592</w:t>
            </w:r>
          </w:p>
        </w:tc>
        <w:tc>
          <w:tcPr>
            <w:tcW w:w="1679" w:type="dxa"/>
          </w:tcPr>
          <w:p w14:paraId="23413F21"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24,093,638</w:t>
            </w:r>
          </w:p>
        </w:tc>
        <w:tc>
          <w:tcPr>
            <w:tcW w:w="1681" w:type="dxa"/>
          </w:tcPr>
          <w:p w14:paraId="191F87CB"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10,950,159</w:t>
            </w:r>
          </w:p>
        </w:tc>
        <w:tc>
          <w:tcPr>
            <w:tcW w:w="2379" w:type="dxa"/>
          </w:tcPr>
          <w:p w14:paraId="69A94711" w14:textId="65A2116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tcPr>
          <w:p w14:paraId="1E184C97" w14:textId="1582937B"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tcPr>
          <w:p w14:paraId="253F0889" w14:textId="4D60A136"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050D8A" w:rsidRPr="00980502" w14:paraId="0887D27B" w14:textId="77777777" w:rsidTr="00D86F2F">
        <w:trPr>
          <w:trHeight w:val="317"/>
        </w:trPr>
        <w:tc>
          <w:tcPr>
            <w:tcW w:w="3541" w:type="dxa"/>
            <w:shd w:val="clear" w:color="auto" w:fill="C3E0F2" w:themeFill="accent3" w:themeFillTint="33"/>
          </w:tcPr>
          <w:p w14:paraId="26F09B4C"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Small island developing states (SIDS)</w:t>
            </w:r>
          </w:p>
        </w:tc>
        <w:tc>
          <w:tcPr>
            <w:tcW w:w="1679" w:type="dxa"/>
            <w:shd w:val="clear" w:color="auto" w:fill="C3E0F2" w:themeFill="accent3" w:themeFillTint="33"/>
          </w:tcPr>
          <w:p w14:paraId="778286C0"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8,627,555</w:t>
            </w:r>
          </w:p>
        </w:tc>
        <w:tc>
          <w:tcPr>
            <w:tcW w:w="1679" w:type="dxa"/>
            <w:shd w:val="clear" w:color="auto" w:fill="C3E0F2" w:themeFill="accent3" w:themeFillTint="33"/>
          </w:tcPr>
          <w:p w14:paraId="65787347"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2,582,068</w:t>
            </w:r>
          </w:p>
        </w:tc>
        <w:tc>
          <w:tcPr>
            <w:tcW w:w="1681" w:type="dxa"/>
            <w:shd w:val="clear" w:color="auto" w:fill="C3E0F2" w:themeFill="accent3" w:themeFillTint="33"/>
          </w:tcPr>
          <w:p w14:paraId="58EB4AA0"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2,119,471</w:t>
            </w:r>
          </w:p>
        </w:tc>
        <w:tc>
          <w:tcPr>
            <w:tcW w:w="2379" w:type="dxa"/>
            <w:shd w:val="clear" w:color="auto" w:fill="C3E0F2" w:themeFill="accent3" w:themeFillTint="33"/>
          </w:tcPr>
          <w:p w14:paraId="559AC22D" w14:textId="0F15720E"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shd w:val="clear" w:color="auto" w:fill="C3E0F2" w:themeFill="accent3" w:themeFillTint="33"/>
          </w:tcPr>
          <w:p w14:paraId="2D182153" w14:textId="44C549F8"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shd w:val="clear" w:color="auto" w:fill="C3E0F2" w:themeFill="accent3" w:themeFillTint="33"/>
          </w:tcPr>
          <w:p w14:paraId="11C332FD" w14:textId="5FB3827D"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050D8A" w:rsidRPr="00980502" w14:paraId="316025CE" w14:textId="77777777" w:rsidTr="00D86F2F">
        <w:trPr>
          <w:cnfStyle w:val="000000100000" w:firstRow="0" w:lastRow="0" w:firstColumn="0" w:lastColumn="0" w:oddVBand="0" w:evenVBand="0" w:oddHBand="1" w:evenHBand="0" w:firstRowFirstColumn="0" w:firstRowLastColumn="0" w:lastRowFirstColumn="0" w:lastRowLastColumn="0"/>
          <w:trHeight w:val="317"/>
        </w:trPr>
        <w:tc>
          <w:tcPr>
            <w:tcW w:w="3541" w:type="dxa"/>
          </w:tcPr>
          <w:p w14:paraId="5DA25F7F"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High-income countries</w:t>
            </w:r>
          </w:p>
        </w:tc>
        <w:tc>
          <w:tcPr>
            <w:tcW w:w="1679" w:type="dxa"/>
          </w:tcPr>
          <w:p w14:paraId="3936686C"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79,525,031</w:t>
            </w:r>
          </w:p>
        </w:tc>
        <w:tc>
          <w:tcPr>
            <w:tcW w:w="1679" w:type="dxa"/>
          </w:tcPr>
          <w:p w14:paraId="7750D68A"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46,183,870</w:t>
            </w:r>
          </w:p>
        </w:tc>
        <w:tc>
          <w:tcPr>
            <w:tcW w:w="1681" w:type="dxa"/>
          </w:tcPr>
          <w:p w14:paraId="73436E21"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45,011,597</w:t>
            </w:r>
          </w:p>
        </w:tc>
        <w:tc>
          <w:tcPr>
            <w:tcW w:w="2379" w:type="dxa"/>
          </w:tcPr>
          <w:p w14:paraId="7CE4EDE2" w14:textId="04A1D59F"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tcPr>
          <w:p w14:paraId="7586E7B7" w14:textId="4F8CF0EE"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tcPr>
          <w:p w14:paraId="537457FB" w14:textId="6D03AED4"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050D8A" w:rsidRPr="00980502" w14:paraId="288E24D4" w14:textId="77777777" w:rsidTr="00D86F2F">
        <w:trPr>
          <w:trHeight w:val="317"/>
        </w:trPr>
        <w:tc>
          <w:tcPr>
            <w:tcW w:w="3541" w:type="dxa"/>
            <w:shd w:val="clear" w:color="auto" w:fill="C3E0F2" w:themeFill="accent3" w:themeFillTint="33"/>
          </w:tcPr>
          <w:p w14:paraId="50971FB5"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Middle-income countries</w:t>
            </w:r>
          </w:p>
        </w:tc>
        <w:tc>
          <w:tcPr>
            <w:tcW w:w="1679" w:type="dxa"/>
            <w:shd w:val="clear" w:color="auto" w:fill="C3E0F2" w:themeFill="accent3" w:themeFillTint="33"/>
          </w:tcPr>
          <w:p w14:paraId="50A854B8"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552,143,029</w:t>
            </w:r>
          </w:p>
        </w:tc>
        <w:tc>
          <w:tcPr>
            <w:tcW w:w="1679" w:type="dxa"/>
            <w:shd w:val="clear" w:color="auto" w:fill="C3E0F2" w:themeFill="accent3" w:themeFillTint="33"/>
          </w:tcPr>
          <w:p w14:paraId="64C6FB3F"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267,256,233</w:t>
            </w:r>
          </w:p>
        </w:tc>
        <w:tc>
          <w:tcPr>
            <w:tcW w:w="1681" w:type="dxa"/>
            <w:shd w:val="clear" w:color="auto" w:fill="C3E0F2" w:themeFill="accent3" w:themeFillTint="33"/>
          </w:tcPr>
          <w:p w14:paraId="40A18903"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205,781,164</w:t>
            </w:r>
          </w:p>
        </w:tc>
        <w:tc>
          <w:tcPr>
            <w:tcW w:w="2379" w:type="dxa"/>
            <w:shd w:val="clear" w:color="auto" w:fill="C3E0F2" w:themeFill="accent3" w:themeFillTint="33"/>
          </w:tcPr>
          <w:p w14:paraId="10120BDD" w14:textId="4156E916"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shd w:val="clear" w:color="auto" w:fill="C3E0F2" w:themeFill="accent3" w:themeFillTint="33"/>
          </w:tcPr>
          <w:p w14:paraId="1F5DD39C" w14:textId="3E38C463"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shd w:val="clear" w:color="auto" w:fill="C3E0F2" w:themeFill="accent3" w:themeFillTint="33"/>
          </w:tcPr>
          <w:p w14:paraId="6D8BD598" w14:textId="22D2EA2D"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050D8A" w:rsidRPr="00980502" w14:paraId="4D8A6CDC" w14:textId="77777777" w:rsidTr="00D86F2F">
        <w:trPr>
          <w:cnfStyle w:val="000000100000" w:firstRow="0" w:lastRow="0" w:firstColumn="0" w:lastColumn="0" w:oddVBand="0" w:evenVBand="0" w:oddHBand="1" w:evenHBand="0" w:firstRowFirstColumn="0" w:firstRowLastColumn="0" w:lastRowFirstColumn="0" w:lastRowLastColumn="0"/>
          <w:trHeight w:val="317"/>
        </w:trPr>
        <w:tc>
          <w:tcPr>
            <w:tcW w:w="3541" w:type="dxa"/>
          </w:tcPr>
          <w:p w14:paraId="70278F30"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Upper middle income countries</w:t>
            </w:r>
          </w:p>
        </w:tc>
        <w:tc>
          <w:tcPr>
            <w:tcW w:w="1679" w:type="dxa"/>
          </w:tcPr>
          <w:p w14:paraId="38AD0ACA"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240,286,221</w:t>
            </w:r>
          </w:p>
        </w:tc>
        <w:tc>
          <w:tcPr>
            <w:tcW w:w="1679" w:type="dxa"/>
          </w:tcPr>
          <w:p w14:paraId="6183C604"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126,039,633</w:t>
            </w:r>
          </w:p>
        </w:tc>
        <w:tc>
          <w:tcPr>
            <w:tcW w:w="1681" w:type="dxa"/>
          </w:tcPr>
          <w:p w14:paraId="1750711B"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96,141,795</w:t>
            </w:r>
          </w:p>
        </w:tc>
        <w:tc>
          <w:tcPr>
            <w:tcW w:w="2379" w:type="dxa"/>
          </w:tcPr>
          <w:p w14:paraId="040FD0A2" w14:textId="106E7C85"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tcPr>
          <w:p w14:paraId="6DC396B0" w14:textId="79ABA852"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tcPr>
          <w:p w14:paraId="0378D4DA" w14:textId="49653FDC"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050D8A" w:rsidRPr="00980502" w14:paraId="6509BAC0" w14:textId="77777777" w:rsidTr="00D86F2F">
        <w:trPr>
          <w:trHeight w:val="317"/>
        </w:trPr>
        <w:tc>
          <w:tcPr>
            <w:tcW w:w="3541" w:type="dxa"/>
            <w:shd w:val="clear" w:color="auto" w:fill="C3E0F2" w:themeFill="accent3" w:themeFillTint="33"/>
          </w:tcPr>
          <w:p w14:paraId="527F2091"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Lower middle income countries</w:t>
            </w:r>
          </w:p>
        </w:tc>
        <w:tc>
          <w:tcPr>
            <w:tcW w:w="1679" w:type="dxa"/>
            <w:shd w:val="clear" w:color="auto" w:fill="C3E0F2" w:themeFill="accent3" w:themeFillTint="33"/>
          </w:tcPr>
          <w:p w14:paraId="7211430C"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311,856,808</w:t>
            </w:r>
          </w:p>
        </w:tc>
        <w:tc>
          <w:tcPr>
            <w:tcW w:w="1679" w:type="dxa"/>
            <w:shd w:val="clear" w:color="auto" w:fill="C3E0F2" w:themeFill="accent3" w:themeFillTint="33"/>
          </w:tcPr>
          <w:p w14:paraId="1B46248A"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141,216,600</w:t>
            </w:r>
          </w:p>
        </w:tc>
        <w:tc>
          <w:tcPr>
            <w:tcW w:w="1681" w:type="dxa"/>
            <w:shd w:val="clear" w:color="auto" w:fill="C3E0F2" w:themeFill="accent3" w:themeFillTint="33"/>
          </w:tcPr>
          <w:p w14:paraId="6CF47B4D"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109,639,369</w:t>
            </w:r>
          </w:p>
        </w:tc>
        <w:tc>
          <w:tcPr>
            <w:tcW w:w="2379" w:type="dxa"/>
            <w:shd w:val="clear" w:color="auto" w:fill="C3E0F2" w:themeFill="accent3" w:themeFillTint="33"/>
          </w:tcPr>
          <w:p w14:paraId="7A2B2983" w14:textId="4C4FAE51"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shd w:val="clear" w:color="auto" w:fill="C3E0F2" w:themeFill="accent3" w:themeFillTint="33"/>
          </w:tcPr>
          <w:p w14:paraId="64E48032" w14:textId="27DF39A3"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shd w:val="clear" w:color="auto" w:fill="C3E0F2" w:themeFill="accent3" w:themeFillTint="33"/>
          </w:tcPr>
          <w:p w14:paraId="2D16F6E0" w14:textId="39B2DE62"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050D8A" w:rsidRPr="00980502" w14:paraId="5D3C2455" w14:textId="77777777" w:rsidTr="00D86F2F">
        <w:trPr>
          <w:cnfStyle w:val="000000100000" w:firstRow="0" w:lastRow="0" w:firstColumn="0" w:lastColumn="0" w:oddVBand="0" w:evenVBand="0" w:oddHBand="1" w:evenHBand="0" w:firstRowFirstColumn="0" w:firstRowLastColumn="0" w:lastRowFirstColumn="0" w:lastRowLastColumn="0"/>
          <w:trHeight w:val="267"/>
        </w:trPr>
        <w:tc>
          <w:tcPr>
            <w:tcW w:w="3541" w:type="dxa"/>
          </w:tcPr>
          <w:p w14:paraId="414E4D9D"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Low income countries</w:t>
            </w:r>
          </w:p>
        </w:tc>
        <w:tc>
          <w:tcPr>
            <w:tcW w:w="1679" w:type="dxa"/>
          </w:tcPr>
          <w:p w14:paraId="74044F28" w14:textId="77777777" w:rsidR="00050D8A" w:rsidRPr="00B60C99" w:rsidRDefault="00050D8A" w:rsidP="00050D8A">
            <w:pPr>
              <w:spacing w:line="360" w:lineRule="auto"/>
              <w:jc w:val="center"/>
              <w:rPr>
                <w:rFonts w:eastAsia="Times New Roman" w:cstheme="minorHAnsi"/>
                <w:sz w:val="20"/>
                <w:szCs w:val="16"/>
              </w:rPr>
            </w:pPr>
            <w:r w:rsidRPr="00B60C99">
              <w:rPr>
                <w:rFonts w:cstheme="minorHAnsi"/>
                <w:sz w:val="20"/>
                <w:szCs w:val="16"/>
              </w:rPr>
              <w:t>107,774,923</w:t>
            </w:r>
          </w:p>
        </w:tc>
        <w:tc>
          <w:tcPr>
            <w:tcW w:w="1679" w:type="dxa"/>
          </w:tcPr>
          <w:p w14:paraId="645DAA8A"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1681" w:type="dxa"/>
          </w:tcPr>
          <w:p w14:paraId="78645775" w14:textId="77777777"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379" w:type="dxa"/>
          </w:tcPr>
          <w:p w14:paraId="3C7C0FDA" w14:textId="1E0A29F9"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tcPr>
          <w:p w14:paraId="7E78EAD8" w14:textId="06F8FD2B"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tcPr>
          <w:p w14:paraId="7FD659B3" w14:textId="19150795" w:rsidR="00050D8A" w:rsidRPr="00B60C99" w:rsidRDefault="00050D8A"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6634B5" w:rsidRPr="00980502" w14:paraId="4C85E46E" w14:textId="77777777" w:rsidTr="00D86F2F">
        <w:trPr>
          <w:trHeight w:val="177"/>
        </w:trPr>
        <w:tc>
          <w:tcPr>
            <w:tcW w:w="3541" w:type="dxa"/>
            <w:shd w:val="clear" w:color="auto" w:fill="FFFFFF" w:themeFill="background1"/>
            <w:hideMark/>
          </w:tcPr>
          <w:p w14:paraId="674AB7E7"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Africa (Sub Saharan)</w:t>
            </w:r>
          </w:p>
        </w:tc>
        <w:tc>
          <w:tcPr>
            <w:tcW w:w="1679" w:type="dxa"/>
            <w:shd w:val="clear" w:color="auto" w:fill="FFFFFF" w:themeFill="background1"/>
          </w:tcPr>
          <w:p w14:paraId="387E0FC1"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174,282,479</w:t>
            </w:r>
          </w:p>
        </w:tc>
        <w:tc>
          <w:tcPr>
            <w:tcW w:w="1679" w:type="dxa"/>
            <w:shd w:val="clear" w:color="auto" w:fill="FFFFFF" w:themeFill="background1"/>
          </w:tcPr>
          <w:p w14:paraId="572F3C19" w14:textId="4453B74E"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39,856,135</w:t>
            </w:r>
            <w:r w:rsidR="00050D8A">
              <w:rPr>
                <w:rFonts w:eastAsia="Times New Roman" w:cstheme="minorHAnsi"/>
                <w:sz w:val="20"/>
                <w:szCs w:val="16"/>
              </w:rPr>
              <w:t>*</w:t>
            </w:r>
          </w:p>
        </w:tc>
        <w:tc>
          <w:tcPr>
            <w:tcW w:w="1681" w:type="dxa"/>
            <w:shd w:val="clear" w:color="auto" w:fill="FFFFFF" w:themeFill="background1"/>
          </w:tcPr>
          <w:p w14:paraId="4A2174E1" w14:textId="6DC6FE04"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21,162,314</w:t>
            </w:r>
            <w:r w:rsidR="00050D8A">
              <w:rPr>
                <w:rFonts w:eastAsia="Times New Roman" w:cstheme="minorHAnsi"/>
                <w:sz w:val="20"/>
                <w:szCs w:val="16"/>
              </w:rPr>
              <w:t>*</w:t>
            </w:r>
          </w:p>
        </w:tc>
        <w:tc>
          <w:tcPr>
            <w:tcW w:w="2379" w:type="dxa"/>
            <w:shd w:val="clear" w:color="auto" w:fill="FFFFFF" w:themeFill="background1"/>
          </w:tcPr>
          <w:p w14:paraId="008DC7DD"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62</w:t>
            </w:r>
          </w:p>
        </w:tc>
        <w:tc>
          <w:tcPr>
            <w:tcW w:w="2239" w:type="dxa"/>
            <w:shd w:val="clear" w:color="auto" w:fill="FFFFFF" w:themeFill="background1"/>
          </w:tcPr>
          <w:p w14:paraId="5A3920E1"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42</w:t>
            </w:r>
          </w:p>
        </w:tc>
        <w:tc>
          <w:tcPr>
            <w:tcW w:w="2240" w:type="dxa"/>
            <w:shd w:val="clear" w:color="auto" w:fill="FFFFFF" w:themeFill="background1"/>
          </w:tcPr>
          <w:p w14:paraId="5CAF4F66"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30</w:t>
            </w:r>
          </w:p>
        </w:tc>
      </w:tr>
      <w:tr w:rsidR="006634B5" w:rsidRPr="00980502" w14:paraId="0BFEF66E" w14:textId="77777777" w:rsidTr="00D86F2F">
        <w:trPr>
          <w:cnfStyle w:val="000000100000" w:firstRow="0" w:lastRow="0" w:firstColumn="0" w:lastColumn="0" w:oddVBand="0" w:evenVBand="0" w:oddHBand="1" w:evenHBand="0" w:firstRowFirstColumn="0" w:firstRowLastColumn="0" w:lastRowFirstColumn="0" w:lastRowLastColumn="0"/>
          <w:trHeight w:val="182"/>
        </w:trPr>
        <w:tc>
          <w:tcPr>
            <w:tcW w:w="3541" w:type="dxa"/>
            <w:shd w:val="clear" w:color="auto" w:fill="FFFFFF" w:themeFill="background1"/>
            <w:hideMark/>
          </w:tcPr>
          <w:p w14:paraId="47992AC6"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Asia</w:t>
            </w:r>
          </w:p>
        </w:tc>
        <w:tc>
          <w:tcPr>
            <w:tcW w:w="1679" w:type="dxa"/>
            <w:shd w:val="clear" w:color="auto" w:fill="FFFFFF" w:themeFill="background1"/>
          </w:tcPr>
          <w:p w14:paraId="5A0ACD76"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398,503,478</w:t>
            </w:r>
          </w:p>
        </w:tc>
        <w:tc>
          <w:tcPr>
            <w:tcW w:w="1679" w:type="dxa"/>
            <w:shd w:val="clear" w:color="auto" w:fill="FFFFFF" w:themeFill="background1"/>
          </w:tcPr>
          <w:p w14:paraId="6B791868"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197,738,903</w:t>
            </w:r>
          </w:p>
        </w:tc>
        <w:tc>
          <w:tcPr>
            <w:tcW w:w="1681" w:type="dxa"/>
            <w:shd w:val="clear" w:color="auto" w:fill="FFFFFF" w:themeFill="background1"/>
          </w:tcPr>
          <w:p w14:paraId="1FAA473E"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165,847,743</w:t>
            </w:r>
          </w:p>
        </w:tc>
        <w:tc>
          <w:tcPr>
            <w:tcW w:w="2379" w:type="dxa"/>
            <w:shd w:val="clear" w:color="auto" w:fill="FFFFFF" w:themeFill="background1"/>
          </w:tcPr>
          <w:p w14:paraId="627BD9EE"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South Asia: 88</w:t>
            </w:r>
          </w:p>
        </w:tc>
        <w:tc>
          <w:tcPr>
            <w:tcW w:w="2239" w:type="dxa"/>
            <w:shd w:val="clear" w:color="auto" w:fill="FFFFFF" w:themeFill="background1"/>
          </w:tcPr>
          <w:p w14:paraId="44647972"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South Asia: 73</w:t>
            </w:r>
          </w:p>
        </w:tc>
        <w:tc>
          <w:tcPr>
            <w:tcW w:w="2240" w:type="dxa"/>
            <w:shd w:val="clear" w:color="auto" w:fill="FFFFFF" w:themeFill="background1"/>
          </w:tcPr>
          <w:p w14:paraId="5D93D92A"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South Asia: 41</w:t>
            </w:r>
          </w:p>
        </w:tc>
      </w:tr>
      <w:tr w:rsidR="006634B5" w:rsidRPr="00980502" w14:paraId="7641519F" w14:textId="77777777" w:rsidTr="00D86F2F">
        <w:trPr>
          <w:trHeight w:val="177"/>
        </w:trPr>
        <w:tc>
          <w:tcPr>
            <w:tcW w:w="3541" w:type="dxa"/>
            <w:shd w:val="clear" w:color="auto" w:fill="FFFFFF" w:themeFill="background1"/>
            <w:hideMark/>
          </w:tcPr>
          <w:p w14:paraId="4F408917"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Europe</w:t>
            </w:r>
          </w:p>
        </w:tc>
        <w:tc>
          <w:tcPr>
            <w:tcW w:w="1679" w:type="dxa"/>
            <w:shd w:val="clear" w:color="auto" w:fill="FFFFFF" w:themeFill="background1"/>
          </w:tcPr>
          <w:p w14:paraId="79D81ADB"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40,600,895</w:t>
            </w:r>
          </w:p>
        </w:tc>
        <w:tc>
          <w:tcPr>
            <w:tcW w:w="1679" w:type="dxa"/>
            <w:shd w:val="clear" w:color="auto" w:fill="FFFFFF" w:themeFill="background1"/>
          </w:tcPr>
          <w:p w14:paraId="728B4C26"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32,254,327</w:t>
            </w:r>
          </w:p>
        </w:tc>
        <w:tc>
          <w:tcPr>
            <w:tcW w:w="1681" w:type="dxa"/>
            <w:shd w:val="clear" w:color="auto" w:fill="FFFFFF" w:themeFill="background1"/>
          </w:tcPr>
          <w:p w14:paraId="64F5531A"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26,158,946</w:t>
            </w:r>
          </w:p>
        </w:tc>
        <w:tc>
          <w:tcPr>
            <w:tcW w:w="2379" w:type="dxa"/>
            <w:shd w:val="clear" w:color="auto" w:fill="FFFFFF" w:themeFill="background1"/>
          </w:tcPr>
          <w:p w14:paraId="3281EBAE"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2239" w:type="dxa"/>
            <w:shd w:val="clear" w:color="auto" w:fill="FFFFFF" w:themeFill="background1"/>
          </w:tcPr>
          <w:p w14:paraId="3D3B46E1"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2240" w:type="dxa"/>
            <w:shd w:val="clear" w:color="auto" w:fill="FFFFFF" w:themeFill="background1"/>
          </w:tcPr>
          <w:p w14:paraId="261B0952"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6634B5" w:rsidRPr="00980502" w14:paraId="09EA186C" w14:textId="77777777" w:rsidTr="00D86F2F">
        <w:trPr>
          <w:cnfStyle w:val="000000100000" w:firstRow="0" w:lastRow="0" w:firstColumn="0" w:lastColumn="0" w:oddVBand="0" w:evenVBand="0" w:oddHBand="1" w:evenHBand="0" w:firstRowFirstColumn="0" w:firstRowLastColumn="0" w:lastRowFirstColumn="0" w:lastRowLastColumn="0"/>
          <w:trHeight w:val="234"/>
        </w:trPr>
        <w:tc>
          <w:tcPr>
            <w:tcW w:w="3541" w:type="dxa"/>
            <w:shd w:val="clear" w:color="auto" w:fill="FFFFFF" w:themeFill="background1"/>
            <w:hideMark/>
          </w:tcPr>
          <w:p w14:paraId="42E541DD"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Latin America &amp; Caribbean</w:t>
            </w:r>
          </w:p>
        </w:tc>
        <w:tc>
          <w:tcPr>
            <w:tcW w:w="1679" w:type="dxa"/>
            <w:shd w:val="clear" w:color="auto" w:fill="FFFFFF" w:themeFill="background1"/>
          </w:tcPr>
          <w:p w14:paraId="701C93EC"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64,344,966</w:t>
            </w:r>
          </w:p>
        </w:tc>
        <w:tc>
          <w:tcPr>
            <w:tcW w:w="1679" w:type="dxa"/>
            <w:shd w:val="clear" w:color="auto" w:fill="FFFFFF" w:themeFill="background1"/>
          </w:tcPr>
          <w:p w14:paraId="1363C05E"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37,999,425</w:t>
            </w:r>
          </w:p>
        </w:tc>
        <w:tc>
          <w:tcPr>
            <w:tcW w:w="1681" w:type="dxa"/>
            <w:shd w:val="clear" w:color="auto" w:fill="FFFFFF" w:themeFill="background1"/>
          </w:tcPr>
          <w:p w14:paraId="74D7A4E5"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26,212,296</w:t>
            </w:r>
          </w:p>
        </w:tc>
        <w:tc>
          <w:tcPr>
            <w:tcW w:w="2379" w:type="dxa"/>
            <w:shd w:val="clear" w:color="auto" w:fill="FFFFFF" w:themeFill="background1"/>
          </w:tcPr>
          <w:p w14:paraId="0FDDE1BA"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94</w:t>
            </w:r>
          </w:p>
        </w:tc>
        <w:tc>
          <w:tcPr>
            <w:tcW w:w="2239" w:type="dxa"/>
            <w:shd w:val="clear" w:color="auto" w:fill="FFFFFF" w:themeFill="background1"/>
          </w:tcPr>
          <w:p w14:paraId="4E294BD9"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77</w:t>
            </w:r>
          </w:p>
        </w:tc>
        <w:tc>
          <w:tcPr>
            <w:tcW w:w="2240" w:type="dxa"/>
            <w:shd w:val="clear" w:color="auto" w:fill="FFFFFF" w:themeFill="background1"/>
          </w:tcPr>
          <w:p w14:paraId="214FB547"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48</w:t>
            </w:r>
          </w:p>
        </w:tc>
      </w:tr>
      <w:tr w:rsidR="006634B5" w:rsidRPr="00980502" w14:paraId="72DB4E51" w14:textId="77777777" w:rsidTr="00D86F2F">
        <w:trPr>
          <w:trHeight w:val="230"/>
        </w:trPr>
        <w:tc>
          <w:tcPr>
            <w:tcW w:w="3541" w:type="dxa"/>
            <w:shd w:val="clear" w:color="auto" w:fill="FFFFFF" w:themeFill="background1"/>
            <w:hideMark/>
          </w:tcPr>
          <w:p w14:paraId="74B7A07A"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Northern America</w:t>
            </w:r>
          </w:p>
        </w:tc>
        <w:tc>
          <w:tcPr>
            <w:tcW w:w="1679" w:type="dxa"/>
            <w:shd w:val="clear" w:color="auto" w:fill="FFFFFF" w:themeFill="background1"/>
          </w:tcPr>
          <w:p w14:paraId="43945FD5"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27,783,112</w:t>
            </w:r>
          </w:p>
        </w:tc>
        <w:tc>
          <w:tcPr>
            <w:tcW w:w="1679" w:type="dxa"/>
            <w:shd w:val="clear" w:color="auto" w:fill="FFFFFF" w:themeFill="background1"/>
          </w:tcPr>
          <w:p w14:paraId="2E2D3D6E"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14,159,194</w:t>
            </w:r>
          </w:p>
        </w:tc>
        <w:tc>
          <w:tcPr>
            <w:tcW w:w="1681" w:type="dxa"/>
            <w:shd w:val="clear" w:color="auto" w:fill="FFFFFF" w:themeFill="background1"/>
          </w:tcPr>
          <w:p w14:paraId="189A70A4"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13,604,216</w:t>
            </w:r>
          </w:p>
        </w:tc>
        <w:tc>
          <w:tcPr>
            <w:tcW w:w="2379" w:type="dxa"/>
            <w:shd w:val="clear" w:color="auto" w:fill="FFFFFF" w:themeFill="background1"/>
          </w:tcPr>
          <w:p w14:paraId="77E00896"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39" w:type="dxa"/>
            <w:shd w:val="clear" w:color="auto" w:fill="FFFFFF" w:themeFill="background1"/>
          </w:tcPr>
          <w:p w14:paraId="68B6477E"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w:t>
            </w:r>
          </w:p>
        </w:tc>
        <w:tc>
          <w:tcPr>
            <w:tcW w:w="2240" w:type="dxa"/>
            <w:shd w:val="clear" w:color="auto" w:fill="FFFFFF" w:themeFill="background1"/>
          </w:tcPr>
          <w:p w14:paraId="33E1A748"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w:t>
            </w:r>
          </w:p>
        </w:tc>
      </w:tr>
      <w:tr w:rsidR="006634B5" w:rsidRPr="00980502" w14:paraId="2C1646C5" w14:textId="77777777" w:rsidTr="00D86F2F">
        <w:trPr>
          <w:cnfStyle w:val="000000100000" w:firstRow="0" w:lastRow="0" w:firstColumn="0" w:lastColumn="0" w:oddVBand="0" w:evenVBand="0" w:oddHBand="1" w:evenHBand="0" w:firstRowFirstColumn="0" w:firstRowLastColumn="0" w:lastRowFirstColumn="0" w:lastRowLastColumn="0"/>
          <w:trHeight w:val="182"/>
        </w:trPr>
        <w:tc>
          <w:tcPr>
            <w:tcW w:w="3541" w:type="dxa"/>
            <w:shd w:val="clear" w:color="auto" w:fill="FFFFFF" w:themeFill="background1"/>
            <w:hideMark/>
          </w:tcPr>
          <w:p w14:paraId="62587F79"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Oceania</w:t>
            </w:r>
          </w:p>
        </w:tc>
        <w:tc>
          <w:tcPr>
            <w:tcW w:w="1679" w:type="dxa"/>
            <w:shd w:val="clear" w:color="auto" w:fill="FFFFFF" w:themeFill="background1"/>
          </w:tcPr>
          <w:p w14:paraId="781F1D25"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4,581,464</w:t>
            </w:r>
          </w:p>
        </w:tc>
        <w:tc>
          <w:tcPr>
            <w:tcW w:w="1679" w:type="dxa"/>
            <w:shd w:val="clear" w:color="auto" w:fill="FFFFFF" w:themeFill="background1"/>
          </w:tcPr>
          <w:p w14:paraId="5CAE0CA0"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2,065,150</w:t>
            </w:r>
          </w:p>
        </w:tc>
        <w:tc>
          <w:tcPr>
            <w:tcW w:w="1681" w:type="dxa"/>
            <w:shd w:val="clear" w:color="auto" w:fill="FFFFFF" w:themeFill="background1"/>
          </w:tcPr>
          <w:p w14:paraId="1C273D74" w14:textId="77777777" w:rsidR="006634B5" w:rsidRPr="00B60C99" w:rsidRDefault="006634B5" w:rsidP="00050D8A">
            <w:pPr>
              <w:spacing w:line="360" w:lineRule="auto"/>
              <w:jc w:val="center"/>
              <w:rPr>
                <w:rFonts w:eastAsia="Times New Roman" w:cstheme="minorHAnsi"/>
                <w:sz w:val="20"/>
                <w:szCs w:val="16"/>
              </w:rPr>
            </w:pPr>
            <w:r w:rsidRPr="00B60C99">
              <w:rPr>
                <w:rFonts w:cstheme="minorHAnsi"/>
                <w:sz w:val="20"/>
                <w:szCs w:val="16"/>
              </w:rPr>
              <w:t>1,639,810</w:t>
            </w:r>
          </w:p>
        </w:tc>
        <w:tc>
          <w:tcPr>
            <w:tcW w:w="2379" w:type="dxa"/>
            <w:shd w:val="clear" w:color="auto" w:fill="FFFFFF" w:themeFill="background1"/>
          </w:tcPr>
          <w:p w14:paraId="286D5120"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East Asia and Pacific: 96</w:t>
            </w:r>
          </w:p>
        </w:tc>
        <w:tc>
          <w:tcPr>
            <w:tcW w:w="2239" w:type="dxa"/>
            <w:shd w:val="clear" w:color="auto" w:fill="FFFFFF" w:themeFill="background1"/>
          </w:tcPr>
          <w:p w14:paraId="04CE0521"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East Asia and Pacific: 83</w:t>
            </w:r>
          </w:p>
        </w:tc>
        <w:tc>
          <w:tcPr>
            <w:tcW w:w="2240" w:type="dxa"/>
            <w:shd w:val="clear" w:color="auto" w:fill="FFFFFF" w:themeFill="background1"/>
          </w:tcPr>
          <w:p w14:paraId="6EA787EB"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East Asia and Pacific: 58</w:t>
            </w:r>
          </w:p>
        </w:tc>
      </w:tr>
      <w:tr w:rsidR="006634B5" w:rsidRPr="00980502" w14:paraId="57223F57" w14:textId="77777777" w:rsidTr="00D86F2F">
        <w:trPr>
          <w:trHeight w:val="182"/>
        </w:trPr>
        <w:tc>
          <w:tcPr>
            <w:tcW w:w="3541" w:type="dxa"/>
            <w:shd w:val="clear" w:color="auto" w:fill="FFFFFF" w:themeFill="background1"/>
          </w:tcPr>
          <w:p w14:paraId="6DA5CBE8"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Eastern Europe and Central Asia</w:t>
            </w:r>
          </w:p>
        </w:tc>
        <w:tc>
          <w:tcPr>
            <w:tcW w:w="1679" w:type="dxa"/>
            <w:shd w:val="clear" w:color="auto" w:fill="FFFFFF" w:themeFill="background1"/>
          </w:tcPr>
          <w:p w14:paraId="0C8C630B"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1679" w:type="dxa"/>
            <w:shd w:val="clear" w:color="auto" w:fill="FFFFFF" w:themeFill="background1"/>
          </w:tcPr>
          <w:p w14:paraId="00C055DF"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1681" w:type="dxa"/>
            <w:shd w:val="clear" w:color="auto" w:fill="FFFFFF" w:themeFill="background1"/>
          </w:tcPr>
          <w:p w14:paraId="6DAAFA51"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2379" w:type="dxa"/>
            <w:shd w:val="clear" w:color="auto" w:fill="FFFFFF" w:themeFill="background1"/>
          </w:tcPr>
          <w:p w14:paraId="5351D901"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2239" w:type="dxa"/>
            <w:shd w:val="clear" w:color="auto" w:fill="FFFFFF" w:themeFill="background1"/>
          </w:tcPr>
          <w:p w14:paraId="05FEF02E"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95</w:t>
            </w:r>
          </w:p>
        </w:tc>
        <w:tc>
          <w:tcPr>
            <w:tcW w:w="2240" w:type="dxa"/>
            <w:shd w:val="clear" w:color="auto" w:fill="FFFFFF" w:themeFill="background1"/>
          </w:tcPr>
          <w:p w14:paraId="2050CF02"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64</w:t>
            </w:r>
          </w:p>
        </w:tc>
      </w:tr>
      <w:tr w:rsidR="006634B5" w:rsidRPr="00980502" w14:paraId="2A32020F" w14:textId="77777777" w:rsidTr="00D86F2F">
        <w:trPr>
          <w:cnfStyle w:val="000000100000" w:firstRow="0" w:lastRow="0" w:firstColumn="0" w:lastColumn="0" w:oddVBand="0" w:evenVBand="0" w:oddHBand="1" w:evenHBand="0" w:firstRowFirstColumn="0" w:firstRowLastColumn="0" w:lastRowFirstColumn="0" w:lastRowLastColumn="0"/>
          <w:trHeight w:val="182"/>
        </w:trPr>
        <w:tc>
          <w:tcPr>
            <w:tcW w:w="3541" w:type="dxa"/>
            <w:tcBorders>
              <w:bottom w:val="single" w:sz="4" w:space="0" w:color="auto"/>
            </w:tcBorders>
            <w:shd w:val="clear" w:color="auto" w:fill="FFFFFF" w:themeFill="background1"/>
          </w:tcPr>
          <w:p w14:paraId="57E4CE9C"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Middle East and North Africa</w:t>
            </w:r>
          </w:p>
        </w:tc>
        <w:tc>
          <w:tcPr>
            <w:tcW w:w="1679" w:type="dxa"/>
            <w:tcBorders>
              <w:bottom w:val="single" w:sz="4" w:space="0" w:color="auto"/>
            </w:tcBorders>
            <w:shd w:val="clear" w:color="auto" w:fill="FFFFFF" w:themeFill="background1"/>
          </w:tcPr>
          <w:p w14:paraId="7FD726FC"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1679" w:type="dxa"/>
            <w:tcBorders>
              <w:bottom w:val="single" w:sz="4" w:space="0" w:color="auto"/>
            </w:tcBorders>
            <w:shd w:val="clear" w:color="auto" w:fill="FFFFFF" w:themeFill="background1"/>
          </w:tcPr>
          <w:p w14:paraId="7BFF9C76"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1681" w:type="dxa"/>
            <w:tcBorders>
              <w:bottom w:val="single" w:sz="4" w:space="0" w:color="auto"/>
            </w:tcBorders>
            <w:shd w:val="clear" w:color="auto" w:fill="FFFFFF" w:themeFill="background1"/>
          </w:tcPr>
          <w:p w14:paraId="18225215"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2379" w:type="dxa"/>
            <w:tcBorders>
              <w:bottom w:val="single" w:sz="4" w:space="0" w:color="auto"/>
            </w:tcBorders>
            <w:shd w:val="clear" w:color="auto" w:fill="FFFFFF" w:themeFill="background1"/>
          </w:tcPr>
          <w:p w14:paraId="77B3A2CD" w14:textId="77777777" w:rsidR="006634B5" w:rsidRPr="00B60C99" w:rsidRDefault="006634B5" w:rsidP="00050D8A">
            <w:pPr>
              <w:spacing w:line="360" w:lineRule="auto"/>
              <w:jc w:val="center"/>
              <w:rPr>
                <w:rFonts w:cstheme="minorHAnsi"/>
                <w:sz w:val="20"/>
                <w:szCs w:val="16"/>
              </w:rPr>
            </w:pPr>
            <w:r w:rsidRPr="00B60C99">
              <w:rPr>
                <w:rFonts w:eastAsia="Calibri" w:cstheme="minorHAnsi"/>
                <w:sz w:val="20"/>
                <w:szCs w:val="16"/>
              </w:rPr>
              <w:t>-</w:t>
            </w:r>
          </w:p>
        </w:tc>
        <w:tc>
          <w:tcPr>
            <w:tcW w:w="2239" w:type="dxa"/>
            <w:tcBorders>
              <w:bottom w:val="single" w:sz="4" w:space="0" w:color="auto"/>
            </w:tcBorders>
            <w:shd w:val="clear" w:color="auto" w:fill="FFFFFF" w:themeFill="background1"/>
          </w:tcPr>
          <w:p w14:paraId="417994FF"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67</w:t>
            </w:r>
          </w:p>
        </w:tc>
        <w:tc>
          <w:tcPr>
            <w:tcW w:w="2240" w:type="dxa"/>
            <w:tcBorders>
              <w:bottom w:val="single" w:sz="4" w:space="0" w:color="auto"/>
            </w:tcBorders>
            <w:shd w:val="clear" w:color="auto" w:fill="FFFFFF" w:themeFill="background1"/>
          </w:tcPr>
          <w:p w14:paraId="7055E4A8" w14:textId="77777777" w:rsidR="006634B5" w:rsidRPr="00B60C99" w:rsidRDefault="006634B5" w:rsidP="00050D8A">
            <w:pPr>
              <w:spacing w:line="360" w:lineRule="auto"/>
              <w:jc w:val="center"/>
              <w:rPr>
                <w:rFonts w:eastAsia="Calibri" w:cstheme="minorHAnsi"/>
                <w:sz w:val="20"/>
                <w:szCs w:val="16"/>
              </w:rPr>
            </w:pPr>
            <w:r w:rsidRPr="00B60C99">
              <w:rPr>
                <w:rFonts w:eastAsia="Calibri" w:cstheme="minorHAnsi"/>
                <w:sz w:val="20"/>
                <w:szCs w:val="16"/>
              </w:rPr>
              <w:t>53</w:t>
            </w:r>
          </w:p>
        </w:tc>
      </w:tr>
      <w:tr w:rsidR="00050D8A" w:rsidRPr="00980502" w14:paraId="0A856AC5" w14:textId="77777777" w:rsidTr="00D86F2F">
        <w:trPr>
          <w:trHeight w:val="182"/>
        </w:trPr>
        <w:tc>
          <w:tcPr>
            <w:tcW w:w="15441" w:type="dxa"/>
            <w:gridSpan w:val="7"/>
            <w:tcBorders>
              <w:top w:val="single" w:sz="4" w:space="0" w:color="auto"/>
            </w:tcBorders>
          </w:tcPr>
          <w:p w14:paraId="1ABD1D82" w14:textId="77777777" w:rsidR="00050D8A" w:rsidRDefault="00050D8A" w:rsidP="00050D8A">
            <w:pPr>
              <w:spacing w:line="256" w:lineRule="auto"/>
              <w:rPr>
                <w:rFonts w:eastAsia="Calibri" w:cstheme="minorHAnsi"/>
                <w:sz w:val="20"/>
                <w:szCs w:val="16"/>
              </w:rPr>
            </w:pPr>
            <w:r w:rsidRPr="00050D8A">
              <w:rPr>
                <w:rFonts w:eastAsia="Calibri" w:cstheme="minorHAnsi"/>
                <w:sz w:val="20"/>
                <w:szCs w:val="16"/>
              </w:rPr>
              <w:t>*</w:t>
            </w:r>
            <w:r>
              <w:rPr>
                <w:rFonts w:eastAsia="Calibri" w:cstheme="minorHAnsi"/>
                <w:sz w:val="20"/>
                <w:szCs w:val="16"/>
              </w:rPr>
              <w:t xml:space="preserve"> </w:t>
            </w:r>
            <w:r w:rsidRPr="00050D8A">
              <w:rPr>
                <w:rFonts w:eastAsia="Calibri" w:cstheme="minorHAnsi"/>
                <w:sz w:val="20"/>
                <w:szCs w:val="16"/>
              </w:rPr>
              <w:t>Rates for 2018</w:t>
            </w:r>
            <w:r>
              <w:rPr>
                <w:rFonts w:eastAsia="Calibri" w:cstheme="minorHAnsi"/>
                <w:sz w:val="20"/>
                <w:szCs w:val="16"/>
              </w:rPr>
              <w:t>- Data not available</w:t>
            </w:r>
          </w:p>
          <w:p w14:paraId="698766F3" w14:textId="5B1DA12D" w:rsidR="00AC048B" w:rsidRPr="00050D8A" w:rsidRDefault="00AC048B" w:rsidP="00050D8A">
            <w:pPr>
              <w:spacing w:line="256" w:lineRule="auto"/>
              <w:rPr>
                <w:rFonts w:eastAsia="Calibri" w:cstheme="minorHAnsi"/>
                <w:sz w:val="20"/>
                <w:szCs w:val="16"/>
              </w:rPr>
            </w:pPr>
          </w:p>
        </w:tc>
      </w:tr>
    </w:tbl>
    <w:p w14:paraId="5B85CB32" w14:textId="77777777" w:rsidR="006634B5" w:rsidRDefault="006634B5" w:rsidP="006634B5">
      <w:pPr>
        <w:sectPr w:rsidR="006634B5" w:rsidSect="006634B5">
          <w:pgSz w:w="16838" w:h="11906" w:orient="landscape"/>
          <w:pgMar w:top="1440" w:right="1440" w:bottom="1440" w:left="1440" w:header="708" w:footer="708" w:gutter="0"/>
          <w:cols w:space="708"/>
          <w:docGrid w:linePitch="360"/>
        </w:sectPr>
      </w:pPr>
    </w:p>
    <w:p w14:paraId="62FDB842" w14:textId="77777777" w:rsidR="006634B5" w:rsidRDefault="006634B5" w:rsidP="006634B5">
      <w:pPr>
        <w:pStyle w:val="Heading3"/>
      </w:pPr>
      <w:bookmarkStart w:id="24" w:name="_Toc71702078"/>
      <w:bookmarkStart w:id="25" w:name="_Toc74154037"/>
      <w:r>
        <w:t>The social costs of not educating girls</w:t>
      </w:r>
      <w:bookmarkEnd w:id="24"/>
      <w:bookmarkEnd w:id="25"/>
    </w:p>
    <w:p w14:paraId="3A92AE9E" w14:textId="1C9B69D9" w:rsidR="006634B5" w:rsidRDefault="00FD2C5C" w:rsidP="00FD2C5C">
      <w:pPr>
        <w:jc w:val="both"/>
        <w:rPr>
          <w:sz w:val="24"/>
        </w:rPr>
      </w:pPr>
      <w:r>
        <w:rPr>
          <w:sz w:val="24"/>
        </w:rPr>
        <w:t xml:space="preserve">While Project Drawdown’s education solution focuses on access to universal education for both boys </w:t>
      </w:r>
      <w:r w:rsidRPr="00FD2C5C">
        <w:rPr>
          <w:i/>
          <w:sz w:val="24"/>
        </w:rPr>
        <w:t>and girls</w:t>
      </w:r>
      <w:r w:rsidR="00B626E8">
        <w:rPr>
          <w:sz w:val="24"/>
        </w:rPr>
        <w:t xml:space="preserve">, </w:t>
      </w:r>
      <w:r>
        <w:rPr>
          <w:sz w:val="24"/>
        </w:rPr>
        <w:t>the reality is that in many regions and contexts today, equitable access in terms of</w:t>
      </w:r>
      <w:r w:rsidR="006634B5">
        <w:rPr>
          <w:sz w:val="24"/>
        </w:rPr>
        <w:t xml:space="preserve"> enrolment and</w:t>
      </w:r>
      <w:r>
        <w:rPr>
          <w:sz w:val="24"/>
        </w:rPr>
        <w:t xml:space="preserve"> completion of schooling is </w:t>
      </w:r>
      <w:r w:rsidR="006634B5">
        <w:rPr>
          <w:sz w:val="24"/>
        </w:rPr>
        <w:t xml:space="preserve">not a level playing field between boys and girls. In 2018, approximately 129.2 million girls were out of school; </w:t>
      </w:r>
      <w:r w:rsidR="006634B5" w:rsidRPr="00E41508">
        <w:rPr>
          <w:sz w:val="24"/>
        </w:rPr>
        <w:t>32.3 million girls of primary school age, 29.9 million girls of lower secondary school age, and 67 million girls of upper secondary school age</w:t>
      </w:r>
      <w:r w:rsidR="006634B5">
        <w:rPr>
          <w:sz w:val="24"/>
        </w:rPr>
        <w:t xml:space="preserve"> </w:t>
      </w:r>
      <w:r w:rsidR="006634B5">
        <w:rPr>
          <w:sz w:val="24"/>
        </w:rPr>
        <w:fldChar w:fldCharType="begin"/>
      </w:r>
      <w:r w:rsidR="00B23620">
        <w:rPr>
          <w:sz w:val="24"/>
        </w:rPr>
        <w:instrText xml:space="preserve"> ADDIN ZOTERO_ITEM CSL_CITATION {"citationID":"dNTYLqk0","properties":{"formattedCitation":"(Global Partnership for Education, 2019)","plainCitation":"(Global Partnership for Education, 2019)","noteIndex":0},"citationItems":[{"id":18057,"uris":["http://zotero.org/users/7220606/items/X3KEQCPJ"],"uri":["http://zotero.org/users/7220606/items/X3KEQCPJ"],"itemData":{"id":18057,"type":"webpage","abstract":"Explore a list of useful statistics on education by theme, both globally and for GPE partner countries","language":"en","title":"Education data highlights","URL":"https://www.globalpartnership.org/results/education-data-highlights","author":[{"family":"Global Partnership for Education","given":""}],"accessed":{"date-parts":[["2021",5,2]]},"issued":{"date-parts":[["2019"]]}}}],"schema":"https://github.com/citation-style-language/schema/raw/master/csl-citation.json"} </w:instrText>
      </w:r>
      <w:r w:rsidR="006634B5">
        <w:rPr>
          <w:sz w:val="24"/>
        </w:rPr>
        <w:fldChar w:fldCharType="separate"/>
      </w:r>
      <w:r w:rsidR="00B23620" w:rsidRPr="00B23620">
        <w:rPr>
          <w:rFonts w:ascii="Calibri" w:hAnsi="Calibri" w:cs="Calibri"/>
          <w:sz w:val="24"/>
        </w:rPr>
        <w:t>(Global Partnership for Education, 2019)</w:t>
      </w:r>
      <w:r w:rsidR="006634B5">
        <w:rPr>
          <w:sz w:val="24"/>
        </w:rPr>
        <w:fldChar w:fldCharType="end"/>
      </w:r>
      <w:r w:rsidR="006634B5">
        <w:rPr>
          <w:sz w:val="24"/>
        </w:rPr>
        <w:t xml:space="preserve">. </w:t>
      </w:r>
    </w:p>
    <w:p w14:paraId="2841B9CB" w14:textId="01C13A41" w:rsidR="006634B5" w:rsidRPr="009C6898" w:rsidRDefault="006634B5" w:rsidP="00FD2C5C">
      <w:pPr>
        <w:jc w:val="both"/>
        <w:rPr>
          <w:sz w:val="24"/>
        </w:rPr>
      </w:pPr>
      <w:r w:rsidRPr="00BF048C">
        <w:rPr>
          <w:sz w:val="24"/>
        </w:rPr>
        <w:t>In a World Bank report titled ‘Missed Opportunities: The High cost of not educating girls’, the disparities that still exist in many countries between girls and boys receiving a quality education, particularly at the secondary and tertiary levels, is well documented</w:t>
      </w:r>
      <w:r>
        <w:rPr>
          <w:sz w:val="24"/>
        </w:rPr>
        <w:t xml:space="preserve"> </w:t>
      </w:r>
      <w:r w:rsidRPr="00D56EDF">
        <w:rPr>
          <w:rFonts w:ascii="Calibri" w:hAnsi="Calibri" w:cs="Calibri"/>
          <w:sz w:val="24"/>
        </w:rPr>
        <w:t>(Wodon et al. 2018)</w:t>
      </w:r>
      <w:r w:rsidRPr="00BF048C">
        <w:rPr>
          <w:sz w:val="24"/>
        </w:rPr>
        <w:t>.</w:t>
      </w:r>
      <w:r w:rsidR="00FD2C5C">
        <w:rPr>
          <w:sz w:val="24"/>
        </w:rPr>
        <w:t xml:space="preserve"> Low educational attainment, particularly </w:t>
      </w:r>
      <w:r w:rsidRPr="00BF048C">
        <w:rPr>
          <w:sz w:val="24"/>
        </w:rPr>
        <w:t>for girls</w:t>
      </w:r>
      <w:r w:rsidR="00FD2C5C">
        <w:rPr>
          <w:sz w:val="24"/>
        </w:rPr>
        <w:t>,</w:t>
      </w:r>
      <w:r w:rsidRPr="00BF048C">
        <w:rPr>
          <w:sz w:val="24"/>
        </w:rPr>
        <w:t xml:space="preserve"> has far reaching negative consequences for girls themselves as well as their families and children, communities and societies. Girls who drop out of school early are more likely to marry and bear children earlier (often before they are physically and emotionally ready), which in turn can affect their health as well as the health of their children</w:t>
      </w:r>
      <w:r w:rsidR="00E15E97">
        <w:rPr>
          <w:sz w:val="24"/>
        </w:rPr>
        <w:t xml:space="preserve"> </w:t>
      </w:r>
      <w:r w:rsidR="00E15E97">
        <w:rPr>
          <w:sz w:val="24"/>
        </w:rPr>
        <w:fldChar w:fldCharType="begin"/>
      </w:r>
      <w:r w:rsidR="00E15E97">
        <w:rPr>
          <w:sz w:val="24"/>
        </w:rPr>
        <w:instrText xml:space="preserve"> ADDIN ZOTERO_ITEM CSL_CITATION {"citationID":"nsuytlkw","properties":{"formattedCitation":"(McCleary-Sills et al., 2015)","plainCitation":"(McCleary-Sills et al., 2015)","noteIndex":0},"citationItems":[{"id":18444,"uris":["http://zotero.org/groups/2723676/items/APMIEIHA"],"uri":["http://zotero.org/groups/2723676/items/APMIEIHA"],"itemData":{"id":18444,"type":"article-journal","container-title":"The Review of Faith &amp; International Affairs","DOI":"10.1080/15570274.2015.1075755","ISSN":"1557-0274","issue":"3","note":"publisher: Routledge\n_eprint: https://doi.org/10.1080/15570274.2015.1075755","page":"69-80","source":"Taylor and Francis+NEJM","title":"Child Marriage: A Critical Barrier to Girls’ Schooling and Gender Equality in Education","title-short":"Child Marriage","volume":"13","author":[{"family":"McCleary-Sills","given":"Jennifer"},{"family":"Hanmer","given":"Lucia"},{"family":"Parsons","given":"Jennifer"},{"family":"Klugman","given":"Jeni"}],"issued":{"date-parts":[["2015",7,3]]}}}],"schema":"https://github.com/citation-style-language/schema/raw/master/csl-citation.json"} </w:instrText>
      </w:r>
      <w:r w:rsidR="00E15E97">
        <w:rPr>
          <w:sz w:val="24"/>
        </w:rPr>
        <w:fldChar w:fldCharType="separate"/>
      </w:r>
      <w:r w:rsidR="00E15E97" w:rsidRPr="00E15E97">
        <w:rPr>
          <w:rFonts w:ascii="Calibri" w:hAnsi="Calibri" w:cs="Calibri"/>
          <w:sz w:val="24"/>
        </w:rPr>
        <w:t>(McCleary-Sills et al., 2015)</w:t>
      </w:r>
      <w:r w:rsidR="00E15E97">
        <w:rPr>
          <w:sz w:val="24"/>
        </w:rPr>
        <w:fldChar w:fldCharType="end"/>
      </w:r>
      <w:r w:rsidRPr="00BF048C">
        <w:rPr>
          <w:sz w:val="24"/>
        </w:rPr>
        <w:t>. Girls who are unable to complete their education also often lack agency and decision-making autonomy in the household, making them more vulnerable to intimate partner violence, unplanned pregnancies and an inability to access or afford healthcare</w:t>
      </w:r>
      <w:r w:rsidR="00E15E97">
        <w:rPr>
          <w:sz w:val="24"/>
        </w:rPr>
        <w:t xml:space="preserve"> </w:t>
      </w:r>
      <w:r w:rsidR="00E15E97">
        <w:rPr>
          <w:sz w:val="24"/>
        </w:rPr>
        <w:fldChar w:fldCharType="begin"/>
      </w:r>
      <w:r w:rsidR="00E15E97">
        <w:rPr>
          <w:sz w:val="24"/>
        </w:rPr>
        <w:instrText xml:space="preserve"> ADDIN ZOTERO_ITEM CSL_CITATION {"citationID":"HgXxbbDh","properties":{"formattedCitation":"(Delprato et al., 2017)","plainCitation":"(Delprato et al., 2017)","noteIndex":0},"citationItems":[{"id":18447,"uris":["http://zotero.org/groups/2723676/items/46X2RXYZ"],"uri":["http://zotero.org/groups/2723676/items/46X2RXYZ"],"itemData":{"id":18447,"type":"article-journal","abstract":"This paper analyzes the evolution of the effects on educational inequality of early marriage by looking at the impact of whether women had married young on their children’s schooling outcomes for 25–32 countries (Demographic and Health Surveys) in 2000 and 2010 for Sub-Saharan Africa. We also explore indirect pathways—mother’s education, health, and empowerment as well as community channels—operating from early marriage to child schooling and assess the presence of negative externalities for non-early married mothers and their children on education transmission in communities with large rates of child marriage. In our econometric analysis we employ OLS, matching, instrumental variables, and pseudo-panel for a better understanding of changes over time. Our results show that early marriage is still a significant source of inequality, though its impact has decreased across time: girls born to early married mothers are between 6% and 11% more likely to never been to school and 1.6% and 1.7% to enter late, and 3.3% and 5.1% less likely to complete primary school, whereas boys are between 5.2% and 8.8% more likely to never been to school and 1% and 1.9% to enter late, and 2.3% and 5.5% less likely to complete primary school. Second, child marriage increases gender inequality within household’s with girls losing an additional 0.07years of schooling as compared to boys if born to early married mothers. Third, our estimates show that mother’s education and health mediate some of the effect of early marriage and that the large prevalence of child marriage in a community also impairs educational transmission for non-early married mothers. Fourth, empowering of young wives can weaken other channels of transmission of education inequalities. Overall, our findings highlight the need to target these children with the appropriate interventions and support to achieve the greater focus on equity in the global post-2015 education agenda.","container-title":"World Development","DOI":"10.1016/j.worlddev.2016.11.010","ISSN":"0305-750X","journalAbbreviation":"World Development","language":"en","page":"173-192","source":"ScienceDirect","title":"Intergenerational Education Effects of Early Marriage in Sub-Saharan Africa","volume":"91","author":[{"family":"Delprato","given":"Marcos"},{"family":"Akyeampong","given":"Kwame"},{"family":"Dunne","given":"Máiréad"}],"issued":{"date-parts":[["2017",3,1]]}}}],"schema":"https://github.com/citation-style-language/schema/raw/master/csl-citation.json"} </w:instrText>
      </w:r>
      <w:r w:rsidR="00E15E97">
        <w:rPr>
          <w:sz w:val="24"/>
        </w:rPr>
        <w:fldChar w:fldCharType="separate"/>
      </w:r>
      <w:r w:rsidR="00E15E97" w:rsidRPr="00E15E97">
        <w:rPr>
          <w:rFonts w:ascii="Calibri" w:hAnsi="Calibri" w:cs="Calibri"/>
          <w:sz w:val="24"/>
        </w:rPr>
        <w:t>(Delprato et al., 2017)</w:t>
      </w:r>
      <w:r w:rsidR="00E15E97">
        <w:rPr>
          <w:sz w:val="24"/>
        </w:rPr>
        <w:fldChar w:fldCharType="end"/>
      </w:r>
      <w:r w:rsidRPr="00BF048C">
        <w:rPr>
          <w:sz w:val="24"/>
        </w:rPr>
        <w:t xml:space="preserve">. With lower economic opportunities and a likelihood of higher fertility in their lifetime, these girls often find themselves in situations of poverty and malnourishment, </w:t>
      </w:r>
      <w:r w:rsidRPr="009C6898">
        <w:rPr>
          <w:sz w:val="24"/>
        </w:rPr>
        <w:t>unequipped to care and provide for more children than they desired to have</w:t>
      </w:r>
      <w:r w:rsidR="00E15E97">
        <w:rPr>
          <w:sz w:val="24"/>
        </w:rPr>
        <w:t xml:space="preserve"> </w:t>
      </w:r>
      <w:r w:rsidR="00E15E97">
        <w:rPr>
          <w:sz w:val="24"/>
        </w:rPr>
        <w:fldChar w:fldCharType="begin"/>
      </w:r>
      <w:r w:rsidR="00E15E97">
        <w:rPr>
          <w:sz w:val="24"/>
        </w:rPr>
        <w:instrText xml:space="preserve"> ADDIN ZOTERO_ITEM CSL_CITATION {"citationID":"PZGnfyrl","properties":{"formattedCitation":"(Parsons et al., 2015)","plainCitation":"(Parsons et al., 2015)","noteIndex":0},"citationItems":[{"id":18441,"uris":["http://zotero.org/groups/2723676/items/DTCUCL88"],"uri":["http://zotero.org/groups/2723676/items/DTCUCL88"],"itemData":{"id":18441,"type":"article-journal","container-title":"The Review of Faith &amp; International Affairs","DOI":"10.1080/15570274.2015.1075757","ISSN":"1557-0274","issue":"3","note":"publisher: Routledge\n_eprint: https://doi.org/10.1080/15570274.2015.1075757","page":"12-22","source":"Taylor and Francis+NEJM","title":"Economic Impacts of Child Marriage: A Review of the Literature","title-short":"Economic Impacts of Child Marriage","volume":"13","author":[{"family":"Parsons","given":"Jennifer"},{"family":"Edmeades","given":"Jeffrey"},{"family":"Kes","given":"Aslihan"},{"family":"Petroni","given":"Suzanne"},{"family":"Sexton","given":"Maggie"},{"family":"Wodon","given":"Quentin"}],"issued":{"date-parts":[["2015",7,3]]}}}],"schema":"https://github.com/citation-style-language/schema/raw/master/csl-citation.json"} </w:instrText>
      </w:r>
      <w:r w:rsidR="00E15E97">
        <w:rPr>
          <w:sz w:val="24"/>
        </w:rPr>
        <w:fldChar w:fldCharType="separate"/>
      </w:r>
      <w:r w:rsidR="00E15E97" w:rsidRPr="00E15E97">
        <w:rPr>
          <w:rFonts w:ascii="Calibri" w:hAnsi="Calibri" w:cs="Calibri"/>
          <w:sz w:val="24"/>
        </w:rPr>
        <w:t>(Parsons et al., 2015)</w:t>
      </w:r>
      <w:r w:rsidR="00E15E97">
        <w:rPr>
          <w:sz w:val="24"/>
        </w:rPr>
        <w:fldChar w:fldCharType="end"/>
      </w:r>
      <w:r w:rsidRPr="009C6898">
        <w:rPr>
          <w:sz w:val="24"/>
        </w:rPr>
        <w:t xml:space="preserve">. </w:t>
      </w:r>
    </w:p>
    <w:p w14:paraId="7C8164C7" w14:textId="012309DE" w:rsidR="006634B5" w:rsidRPr="009C6898" w:rsidRDefault="006634B5" w:rsidP="00FD2C5C">
      <w:pPr>
        <w:jc w:val="both"/>
        <w:rPr>
          <w:sz w:val="24"/>
        </w:rPr>
      </w:pPr>
      <w:r w:rsidRPr="009C6898">
        <w:rPr>
          <w:sz w:val="24"/>
        </w:rPr>
        <w:t>The</w:t>
      </w:r>
      <w:r w:rsidR="00E15E97">
        <w:rPr>
          <w:sz w:val="24"/>
        </w:rPr>
        <w:t xml:space="preserve"> World Bank</w:t>
      </w:r>
      <w:r w:rsidRPr="009C6898">
        <w:rPr>
          <w:sz w:val="24"/>
        </w:rPr>
        <w:t xml:space="preserve"> report estimates that barriers to completing 12 years of education </w:t>
      </w:r>
      <w:r w:rsidR="00227CC3">
        <w:rPr>
          <w:sz w:val="24"/>
        </w:rPr>
        <w:t xml:space="preserve">and </w:t>
      </w:r>
      <w:r w:rsidR="00227CC3" w:rsidRPr="009C6898">
        <w:rPr>
          <w:sz w:val="24"/>
        </w:rPr>
        <w:t xml:space="preserve">limited educational opportunities for girls </w:t>
      </w:r>
      <w:r w:rsidRPr="009C6898">
        <w:rPr>
          <w:sz w:val="24"/>
        </w:rPr>
        <w:t xml:space="preserve">cost countries between </w:t>
      </w:r>
      <w:r w:rsidR="00DB755B">
        <w:rPr>
          <w:sz w:val="24"/>
        </w:rPr>
        <w:t>US</w:t>
      </w:r>
      <w:r w:rsidR="00227CC3">
        <w:rPr>
          <w:sz w:val="24"/>
        </w:rPr>
        <w:t xml:space="preserve">$15-30 </w:t>
      </w:r>
      <w:r w:rsidRPr="009C6898">
        <w:rPr>
          <w:sz w:val="24"/>
        </w:rPr>
        <w:t>trillion in lost lifetime productivity</w:t>
      </w:r>
      <w:r w:rsidR="00227CC3">
        <w:rPr>
          <w:sz w:val="24"/>
        </w:rPr>
        <w:t>, human capital wealth</w:t>
      </w:r>
      <w:r w:rsidRPr="009C6898">
        <w:rPr>
          <w:sz w:val="24"/>
        </w:rPr>
        <w:t xml:space="preserve"> and earnings. The report also highlights 6 specific domains that are most impacted by the low educational attainment of girls, particular to secondary education</w:t>
      </w:r>
      <w:r w:rsidR="008B7440">
        <w:rPr>
          <w:sz w:val="24"/>
        </w:rPr>
        <w:t xml:space="preserve"> are</w:t>
      </w:r>
      <w:r w:rsidRPr="009C6898">
        <w:rPr>
          <w:sz w:val="24"/>
        </w:rPr>
        <w:t>:</w:t>
      </w:r>
    </w:p>
    <w:p w14:paraId="38DE2C8A" w14:textId="698E576D" w:rsidR="006634B5" w:rsidRPr="009C6898" w:rsidRDefault="006634B5" w:rsidP="009C6898">
      <w:pPr>
        <w:pStyle w:val="ListParagraph"/>
        <w:numPr>
          <w:ilvl w:val="0"/>
          <w:numId w:val="4"/>
        </w:numPr>
        <w:jc w:val="both"/>
        <w:rPr>
          <w:sz w:val="24"/>
        </w:rPr>
      </w:pPr>
      <w:r w:rsidRPr="00D86F2F">
        <w:rPr>
          <w:b/>
          <w:bCs/>
          <w:sz w:val="24"/>
        </w:rPr>
        <w:t>Economic opportun</w:t>
      </w:r>
      <w:r w:rsidR="00FD2C5C" w:rsidRPr="00D86F2F">
        <w:rPr>
          <w:b/>
          <w:bCs/>
          <w:sz w:val="24"/>
        </w:rPr>
        <w:t>ities and standard of living:</w:t>
      </w:r>
      <w:r w:rsidR="00FD2C5C">
        <w:rPr>
          <w:sz w:val="24"/>
        </w:rPr>
        <w:t xml:space="preserve"> It is</w:t>
      </w:r>
      <w:r w:rsidRPr="009C6898">
        <w:rPr>
          <w:sz w:val="24"/>
        </w:rPr>
        <w:t xml:space="preserve"> estimated that women with primary education earn between 14-19% more than women with no education, while women with a secondary education earn twice as much, and those with a tertiary education or higher earn three times as much as women with no education. </w:t>
      </w:r>
    </w:p>
    <w:p w14:paraId="718D56AB" w14:textId="7FC4D36D" w:rsidR="006634B5" w:rsidRPr="009C6898" w:rsidRDefault="006634B5" w:rsidP="009C6898">
      <w:pPr>
        <w:pStyle w:val="ListParagraph"/>
        <w:numPr>
          <w:ilvl w:val="0"/>
          <w:numId w:val="4"/>
        </w:numPr>
        <w:jc w:val="both"/>
        <w:rPr>
          <w:sz w:val="24"/>
        </w:rPr>
      </w:pPr>
      <w:r w:rsidRPr="00D86F2F">
        <w:rPr>
          <w:b/>
          <w:bCs/>
          <w:sz w:val="24"/>
        </w:rPr>
        <w:t>Child marriage and early childbearing:</w:t>
      </w:r>
      <w:r w:rsidRPr="009C6898">
        <w:rPr>
          <w:sz w:val="24"/>
        </w:rPr>
        <w:t xml:space="preserve"> Every additional year of secondary</w:t>
      </w:r>
      <w:r w:rsidR="001E39AE">
        <w:rPr>
          <w:sz w:val="24"/>
        </w:rPr>
        <w:t xml:space="preserve"> education is associated</w:t>
      </w:r>
      <w:r w:rsidRPr="009C6898">
        <w:rPr>
          <w:sz w:val="24"/>
        </w:rPr>
        <w:t xml:space="preserve"> approximate</w:t>
      </w:r>
      <w:r w:rsidR="001E39AE">
        <w:rPr>
          <w:sz w:val="24"/>
        </w:rPr>
        <w:t>ly</w:t>
      </w:r>
      <w:r w:rsidRPr="009C6898">
        <w:rPr>
          <w:sz w:val="24"/>
        </w:rPr>
        <w:t xml:space="preserve"> 6% lower risk of marrying early and having a child before the age of 18. Hence, if universal secondary education was achieved, child marriage could potentially be eliminated, and the prevalence of early childbearing drastically reduced. </w:t>
      </w:r>
    </w:p>
    <w:p w14:paraId="0C88F5C0" w14:textId="3BBAC488" w:rsidR="006634B5" w:rsidRPr="009C6898" w:rsidRDefault="006634B5" w:rsidP="009C6898">
      <w:pPr>
        <w:pStyle w:val="ListParagraph"/>
        <w:numPr>
          <w:ilvl w:val="0"/>
          <w:numId w:val="4"/>
        </w:numPr>
        <w:jc w:val="both"/>
        <w:rPr>
          <w:sz w:val="24"/>
        </w:rPr>
      </w:pPr>
      <w:r w:rsidRPr="00D86F2F">
        <w:rPr>
          <w:b/>
          <w:bCs/>
          <w:sz w:val="24"/>
        </w:rPr>
        <w:t>Fertility and population growth:</w:t>
      </w:r>
      <w:r w:rsidRPr="009C6898">
        <w:rPr>
          <w:sz w:val="24"/>
        </w:rPr>
        <w:t xml:space="preserve"> </w:t>
      </w:r>
      <w:r w:rsidR="00B626E8">
        <w:rPr>
          <w:sz w:val="24"/>
        </w:rPr>
        <w:t>S</w:t>
      </w:r>
      <w:r w:rsidRPr="009C6898">
        <w:rPr>
          <w:sz w:val="24"/>
        </w:rPr>
        <w:t>econdary education can lead to an increase in contraceptive use, and could reduce total fertility by up</w:t>
      </w:r>
      <w:r w:rsidR="00D2082D">
        <w:rPr>
          <w:sz w:val="24"/>
        </w:rPr>
        <w:t xml:space="preserve"> </w:t>
      </w:r>
      <w:r w:rsidRPr="009C6898">
        <w:rPr>
          <w:sz w:val="24"/>
        </w:rPr>
        <w:t xml:space="preserve">to a third in some </w:t>
      </w:r>
      <w:r w:rsidR="00B626E8">
        <w:rPr>
          <w:sz w:val="24"/>
        </w:rPr>
        <w:t>low and middle income</w:t>
      </w:r>
      <w:r w:rsidRPr="009C6898">
        <w:rPr>
          <w:sz w:val="24"/>
        </w:rPr>
        <w:t xml:space="preserve"> countries. If girls were better educated, and if child marriage were to be drastically reduced, </w:t>
      </w:r>
      <w:r w:rsidR="00B626E8">
        <w:rPr>
          <w:sz w:val="24"/>
        </w:rPr>
        <w:t>unintended</w:t>
      </w:r>
      <w:r w:rsidR="00FD2C5C">
        <w:rPr>
          <w:sz w:val="24"/>
        </w:rPr>
        <w:t xml:space="preserve"> pregnancies could be avoided and unchecked </w:t>
      </w:r>
      <w:r w:rsidR="00B626E8">
        <w:rPr>
          <w:sz w:val="24"/>
        </w:rPr>
        <w:t xml:space="preserve">population growth would </w:t>
      </w:r>
      <w:r w:rsidRPr="009C6898">
        <w:rPr>
          <w:sz w:val="24"/>
        </w:rPr>
        <w:t>decrease</w:t>
      </w:r>
      <w:r w:rsidR="00B626E8">
        <w:rPr>
          <w:sz w:val="24"/>
        </w:rPr>
        <w:t>.</w:t>
      </w:r>
    </w:p>
    <w:p w14:paraId="14CE6FAE" w14:textId="77777777" w:rsidR="003B1F91" w:rsidRDefault="003B1F91" w:rsidP="006634B5"/>
    <w:p w14:paraId="4E03CBF9" w14:textId="77777777" w:rsidR="006634B5" w:rsidRDefault="006634B5" w:rsidP="006634B5">
      <w:pPr>
        <w:pStyle w:val="Heading3"/>
      </w:pPr>
      <w:bookmarkStart w:id="26" w:name="_Toc71702079"/>
      <w:bookmarkStart w:id="27" w:name="_Toc74154038"/>
      <w:r>
        <w:t>Climate education and green skills</w:t>
      </w:r>
      <w:bookmarkEnd w:id="26"/>
      <w:bookmarkEnd w:id="27"/>
    </w:p>
    <w:p w14:paraId="52696595" w14:textId="1EC062B3" w:rsidR="00F77AB2" w:rsidRDefault="006634B5" w:rsidP="00F77AB2">
      <w:pPr>
        <w:jc w:val="both"/>
        <w:rPr>
          <w:sz w:val="24"/>
        </w:rPr>
      </w:pPr>
      <w:r w:rsidRPr="00BF048C">
        <w:rPr>
          <w:sz w:val="24"/>
        </w:rPr>
        <w:t>A r</w:t>
      </w:r>
      <w:r w:rsidR="00DA5FD8">
        <w:rPr>
          <w:sz w:val="24"/>
        </w:rPr>
        <w:t>eport by Christina Kwauk ti</w:t>
      </w:r>
      <w:r w:rsidRPr="00BF048C">
        <w:rPr>
          <w:sz w:val="24"/>
        </w:rPr>
        <w:t>tled “Roadblocks to quality education in a time of climate change” speaks of the strong role that education plays in both climate adaptation and mitigation</w:t>
      </w:r>
      <w:r w:rsidR="00B23620">
        <w:rPr>
          <w:sz w:val="24"/>
        </w:rPr>
        <w:t xml:space="preserve"> </w:t>
      </w:r>
      <w:r w:rsidR="00B23620">
        <w:rPr>
          <w:sz w:val="24"/>
        </w:rPr>
        <w:fldChar w:fldCharType="begin"/>
      </w:r>
      <w:r w:rsidR="00B23620">
        <w:rPr>
          <w:sz w:val="24"/>
        </w:rPr>
        <w:instrText xml:space="preserve"> ADDIN ZOTERO_ITEM CSL_CITATION {"citationID":"ytkReaxx","properties":{"formattedCitation":"(Kwauk, 2020)","plainCitation":"(Kwauk, 2020)","noteIndex":0},"citationItems":[{"id":18129,"uris":["http://zotero.org/users/7220606/items/5W4D6H29"],"uri":["http://zotero.org/users/7220606/items/5W4D6H29"],"itemData":{"id":18129,"type":"report","abstract":"The urgency of the climate crisis demands not only greater coherence and coordination of education efforts, but also a deep reexamination of the education sector’s role in the perpetuation of the status quo.","language":"en-US","title":"Roadblocks to quality education in a time of climate change","URL":"https://www.brookings.edu/research/roadblocks-to-quality-education-in-a-time-of-climate-change/","author":[{"family":"Kwauk","given":"Christina"}],"accessed":{"date-parts":[["2021",5,19]]},"issued":{"date-parts":[["2020"]]}}}],"schema":"https://github.com/citation-style-language/schema/raw/master/csl-citation.json"} </w:instrText>
      </w:r>
      <w:r w:rsidR="00B23620">
        <w:rPr>
          <w:sz w:val="24"/>
        </w:rPr>
        <w:fldChar w:fldCharType="separate"/>
      </w:r>
      <w:r w:rsidR="00B23620" w:rsidRPr="00B23620">
        <w:rPr>
          <w:rFonts w:ascii="Calibri" w:hAnsi="Calibri" w:cs="Calibri"/>
          <w:sz w:val="24"/>
        </w:rPr>
        <w:t>(Kwauk, 2020)</w:t>
      </w:r>
      <w:r w:rsidR="00B23620">
        <w:rPr>
          <w:sz w:val="24"/>
        </w:rPr>
        <w:fldChar w:fldCharType="end"/>
      </w:r>
      <w:r w:rsidRPr="00BF048C">
        <w:rPr>
          <w:sz w:val="24"/>
        </w:rPr>
        <w:t>. Higher education levels correlate with increased adaptive capacity in climate-related disasters</w:t>
      </w:r>
      <w:r w:rsidR="008337BB">
        <w:rPr>
          <w:sz w:val="24"/>
        </w:rPr>
        <w:t>, especially for women</w:t>
      </w:r>
      <w:r w:rsidR="008337BB" w:rsidRPr="00BF048C">
        <w:rPr>
          <w:sz w:val="24"/>
        </w:rPr>
        <w:t xml:space="preserve"> </w:t>
      </w:r>
      <w:r w:rsidR="00DA5FD8">
        <w:rPr>
          <w:sz w:val="24"/>
        </w:rPr>
        <w:fldChar w:fldCharType="begin"/>
      </w:r>
      <w:r w:rsidR="00DA5FD8">
        <w:rPr>
          <w:sz w:val="24"/>
        </w:rPr>
        <w:instrText xml:space="preserve"> ADDIN ZOTERO_ITEM CSL_CITATION {"citationID":"MouwHIDt","properties":{"formattedCitation":"(Didham &amp; Ofei-Manu, 2020)","plainCitation":"(Didham &amp; Ofei-Manu, 2020)","noteIndex":0},"citationItems":[{"id":18450,"uris":["http://zotero.org/groups/2723676/items/PN57K9HJ"],"uri":["http://zotero.org/groups/2723676/items/PN57K9HJ"],"itemData":{"id":18450,"type":"article-journal","abstract":"This paper explores how the linkages between quality education, education for sustainable development (ESD), and disaster risk reduction (DRR) education may be strengthened and functionalised through the application of “adaptive capacity” as a common learning objective. Adaptive capacity is recognised as an important element in building social resilience and thus supporting disaster risk reduction. Five pedagogical aspects of learning for adaptive capacity are introduced as a means to strengthen pedagogical design and enhance a “phronetic approach” to sustainability learning. These pedagogical aspects are then examined from a practical standpoint through the review of four secondary DRR education cases. Learning for adaptive capacity supports pedagogical design, strengthens learning processes for competency development, and may be aligned with the main goals for achieving quality education for sustainable development – applying a well-developed curriculum, improving the quality of teaching methods, establishing a safe and effective learning environment, and inspiring cooperative and transformative learning.","container-title":"International Journal of Disaster Risk Reduction","DOI":"10.1016/j.ijdrr.2020.101631","ISSN":"2212-4209","journalAbbreviation":"International Journal of Disaster Risk Reduction","language":"en","page":"101631","source":"ScienceDirect","title":"Adaptive capacity as an educational goal to advance policy for integrating DRR into quality education for sustainable development","volume":"47","author":[{"family":"Didham","given":"Robert J."},{"family":"Ofei-Manu","given":"Paul"}],"issued":{"date-parts":[["2020",8,1]]}}}],"schema":"https://github.com/citation-style-language/schema/raw/master/csl-citation.json"} </w:instrText>
      </w:r>
      <w:r w:rsidR="00DA5FD8">
        <w:rPr>
          <w:sz w:val="24"/>
        </w:rPr>
        <w:fldChar w:fldCharType="separate"/>
      </w:r>
      <w:r w:rsidR="00DA5FD8" w:rsidRPr="00DA5FD8">
        <w:rPr>
          <w:rFonts w:ascii="Calibri" w:hAnsi="Calibri" w:cs="Calibri"/>
          <w:sz w:val="24"/>
        </w:rPr>
        <w:t>(Didham &amp; Ofei-Manu, 2020)</w:t>
      </w:r>
      <w:r w:rsidR="00DA5FD8">
        <w:rPr>
          <w:sz w:val="24"/>
        </w:rPr>
        <w:fldChar w:fldCharType="end"/>
      </w:r>
      <w:r w:rsidRPr="00BF048C">
        <w:rPr>
          <w:sz w:val="24"/>
        </w:rPr>
        <w:t xml:space="preserve">, </w:t>
      </w:r>
      <w:r w:rsidR="008337BB">
        <w:rPr>
          <w:sz w:val="24"/>
        </w:rPr>
        <w:t xml:space="preserve">and increase </w:t>
      </w:r>
      <w:r w:rsidRPr="00BF048C">
        <w:rPr>
          <w:sz w:val="24"/>
        </w:rPr>
        <w:t xml:space="preserve">the </w:t>
      </w:r>
      <w:r w:rsidR="008337BB">
        <w:rPr>
          <w:sz w:val="24"/>
        </w:rPr>
        <w:t>skills and knowledge</w:t>
      </w:r>
      <w:r w:rsidRPr="00BF048C">
        <w:rPr>
          <w:sz w:val="24"/>
        </w:rPr>
        <w:t xml:space="preserve"> necessary for </w:t>
      </w:r>
      <w:r w:rsidR="008337BB">
        <w:rPr>
          <w:sz w:val="24"/>
        </w:rPr>
        <w:t>resilience and mitigation against the impacts of climate events</w:t>
      </w:r>
      <w:r w:rsidRPr="00BF048C">
        <w:rPr>
          <w:sz w:val="24"/>
        </w:rPr>
        <w:t xml:space="preserve"> </w:t>
      </w:r>
      <w:r w:rsidR="00DA5FD8">
        <w:rPr>
          <w:sz w:val="24"/>
        </w:rPr>
        <w:fldChar w:fldCharType="begin"/>
      </w:r>
      <w:r w:rsidR="00DA5FD8">
        <w:rPr>
          <w:sz w:val="24"/>
        </w:rPr>
        <w:instrText xml:space="preserve"> ADDIN ZOTERO_ITEM CSL_CITATION {"citationID":"q8fcLHdM","properties":{"formattedCitation":"(United Nations, 2015)","plainCitation":"(United Nations, 2015)","noteIndex":0},"citationItems":[{"id":18182,"uris":["http://zotero.org/users/7220606/items/97KLN68E"],"uri":["http://zotero.org/users/7220606/items/97KLN68E"],"itemData":{"id":18182,"type":"webpage","title":"Women...In The Shadow of Climate Change | United Nations","URL":"https://www.un.org/en/chronicle/article/womenin-shadow-climate-change","author":[{"family":"United Nations","given":""}],"accessed":{"date-parts":[["2021",5,23]]},"issued":{"date-parts":[["2015"]]}}}],"schema":"https://github.com/citation-style-language/schema/raw/master/csl-citation.json"} </w:instrText>
      </w:r>
      <w:r w:rsidR="00DA5FD8">
        <w:rPr>
          <w:sz w:val="24"/>
        </w:rPr>
        <w:fldChar w:fldCharType="separate"/>
      </w:r>
      <w:r w:rsidR="00DA5FD8" w:rsidRPr="00DA5FD8">
        <w:rPr>
          <w:rFonts w:ascii="Calibri" w:hAnsi="Calibri" w:cs="Calibri"/>
          <w:sz w:val="24"/>
        </w:rPr>
        <w:t>(United Nations, 2015)</w:t>
      </w:r>
      <w:r w:rsidR="00DA5FD8">
        <w:rPr>
          <w:sz w:val="24"/>
        </w:rPr>
        <w:fldChar w:fldCharType="end"/>
      </w:r>
      <w:r w:rsidRPr="00BF048C">
        <w:rPr>
          <w:sz w:val="24"/>
        </w:rPr>
        <w:t xml:space="preserve">. Research has shown a strong </w:t>
      </w:r>
      <w:r w:rsidR="0022781D">
        <w:rPr>
          <w:sz w:val="24"/>
        </w:rPr>
        <w:t xml:space="preserve">and </w:t>
      </w:r>
      <w:r w:rsidRPr="00BF048C">
        <w:rPr>
          <w:sz w:val="24"/>
        </w:rPr>
        <w:t>positive correlation between e</w:t>
      </w:r>
      <w:r w:rsidR="008337BB">
        <w:rPr>
          <w:sz w:val="24"/>
        </w:rPr>
        <w:t>ducation</w:t>
      </w:r>
      <w:r w:rsidR="0022781D">
        <w:rPr>
          <w:sz w:val="24"/>
        </w:rPr>
        <w:t>al achievement</w:t>
      </w:r>
      <w:r w:rsidR="008337BB">
        <w:rPr>
          <w:sz w:val="24"/>
        </w:rPr>
        <w:t>, skills</w:t>
      </w:r>
      <w:r w:rsidRPr="00BF048C">
        <w:rPr>
          <w:sz w:val="24"/>
        </w:rPr>
        <w:t xml:space="preserve"> and </w:t>
      </w:r>
      <w:r w:rsidR="008337BB" w:rsidRPr="00BF048C">
        <w:rPr>
          <w:sz w:val="24"/>
        </w:rPr>
        <w:t>behaviors</w:t>
      </w:r>
      <w:r w:rsidR="008337BB">
        <w:rPr>
          <w:sz w:val="24"/>
        </w:rPr>
        <w:t xml:space="preserve"> </w:t>
      </w:r>
      <w:r w:rsidRPr="00BF048C">
        <w:rPr>
          <w:sz w:val="24"/>
        </w:rPr>
        <w:t xml:space="preserve">that contribute </w:t>
      </w:r>
      <w:r w:rsidR="008337BB">
        <w:rPr>
          <w:sz w:val="24"/>
        </w:rPr>
        <w:t>positively towards the</w:t>
      </w:r>
      <w:r w:rsidRPr="00BF048C">
        <w:rPr>
          <w:sz w:val="24"/>
        </w:rPr>
        <w:t xml:space="preserve"> environment. </w:t>
      </w:r>
      <w:r w:rsidR="008337BB">
        <w:rPr>
          <w:sz w:val="24"/>
        </w:rPr>
        <w:t>The ripple effects of e</w:t>
      </w:r>
      <w:r w:rsidRPr="00BF048C">
        <w:rPr>
          <w:sz w:val="24"/>
        </w:rPr>
        <w:t xml:space="preserve">ducation </w:t>
      </w:r>
      <w:r w:rsidR="008337BB">
        <w:rPr>
          <w:sz w:val="24"/>
        </w:rPr>
        <w:t>extend</w:t>
      </w:r>
      <w:r w:rsidRPr="00BF048C">
        <w:rPr>
          <w:sz w:val="24"/>
        </w:rPr>
        <w:t xml:space="preserve"> beyond </w:t>
      </w:r>
      <w:r w:rsidR="008337BB">
        <w:rPr>
          <w:sz w:val="24"/>
        </w:rPr>
        <w:t>just individuals by fostering</w:t>
      </w:r>
      <w:r w:rsidRPr="00BF048C">
        <w:rPr>
          <w:sz w:val="24"/>
        </w:rPr>
        <w:t xml:space="preserve"> greater awareness and conscious decisions about the environment among </w:t>
      </w:r>
      <w:r w:rsidR="008337BB">
        <w:rPr>
          <w:sz w:val="24"/>
        </w:rPr>
        <w:t xml:space="preserve">families and communities, </w:t>
      </w:r>
      <w:r w:rsidRPr="00BF048C">
        <w:rPr>
          <w:sz w:val="24"/>
        </w:rPr>
        <w:t xml:space="preserve">thereby </w:t>
      </w:r>
      <w:r w:rsidR="008337BB">
        <w:rPr>
          <w:sz w:val="24"/>
        </w:rPr>
        <w:t xml:space="preserve">empowering them to </w:t>
      </w:r>
      <w:r w:rsidRPr="00BF048C">
        <w:rPr>
          <w:sz w:val="24"/>
        </w:rPr>
        <w:t>reduce their vulnerabilities to climate-related events that occur due to global warming</w:t>
      </w:r>
      <w:r w:rsidR="008337BB">
        <w:rPr>
          <w:sz w:val="24"/>
        </w:rPr>
        <w:t xml:space="preserve"> </w:t>
      </w:r>
      <w:r w:rsidR="00DA5FD8">
        <w:rPr>
          <w:sz w:val="24"/>
        </w:rPr>
        <w:fldChar w:fldCharType="begin"/>
      </w:r>
      <w:r w:rsidR="00400318">
        <w:rPr>
          <w:sz w:val="24"/>
        </w:rPr>
        <w:instrText xml:space="preserve"> ADDIN ZOTERO_ITEM CSL_CITATION {"citationID":"65hFQ0mx","properties":{"formattedCitation":"(A. Anderson, 2010)","plainCitation":"(A. Anderson, 2010)","noteIndex":0},"citationItems":[{"id":18456,"uris":["http://zotero.org/groups/2723676/items/ZL5FCW4U"],"uri":["http://zotero.org/groups/2723676/items/ZL5FCW4U"],"itemData":{"id":18456,"type":"book","collection-title":"Global views policy brief","language":"en","publisher":"The Brookings Institution","source":"Zotero","title":"Combating climate change through quality education","author":[{"family":"Anderson","given":"Allison"}],"issued":{"date-parts":[["2010"]]}}}],"schema":"https://github.com/citation-style-language/schema/raw/master/csl-citation.json"} </w:instrText>
      </w:r>
      <w:r w:rsidR="00DA5FD8">
        <w:rPr>
          <w:sz w:val="24"/>
        </w:rPr>
        <w:fldChar w:fldCharType="separate"/>
      </w:r>
      <w:r w:rsidR="00400318" w:rsidRPr="00400318">
        <w:rPr>
          <w:rFonts w:ascii="Calibri" w:hAnsi="Calibri" w:cs="Calibri"/>
          <w:sz w:val="24"/>
        </w:rPr>
        <w:t>(A. Anderson, 2010)</w:t>
      </w:r>
      <w:r w:rsidR="00DA5FD8">
        <w:rPr>
          <w:sz w:val="24"/>
        </w:rPr>
        <w:fldChar w:fldCharType="end"/>
      </w:r>
      <w:r w:rsidRPr="00BF048C">
        <w:rPr>
          <w:sz w:val="24"/>
        </w:rPr>
        <w:t xml:space="preserve">. </w:t>
      </w:r>
      <w:r w:rsidR="00F77AB2">
        <w:rPr>
          <w:sz w:val="24"/>
        </w:rPr>
        <w:t xml:space="preserve">A recent study based on </w:t>
      </w:r>
      <w:r w:rsidR="00F77AB2" w:rsidRPr="00BF048C">
        <w:rPr>
          <w:sz w:val="24"/>
        </w:rPr>
        <w:t xml:space="preserve">the “Powers of 10 framework,” provides a </w:t>
      </w:r>
      <w:r w:rsidR="00F77AB2">
        <w:rPr>
          <w:sz w:val="24"/>
        </w:rPr>
        <w:t>useful model</w:t>
      </w:r>
      <w:r w:rsidR="00F77AB2" w:rsidRPr="00BF048C">
        <w:rPr>
          <w:sz w:val="24"/>
        </w:rPr>
        <w:t xml:space="preserve"> for </w:t>
      </w:r>
      <w:r w:rsidR="00F77AB2">
        <w:rPr>
          <w:sz w:val="24"/>
        </w:rPr>
        <w:t>envisioning</w:t>
      </w:r>
      <w:r w:rsidR="00F77AB2" w:rsidRPr="00BF048C">
        <w:rPr>
          <w:sz w:val="24"/>
        </w:rPr>
        <w:t xml:space="preserve"> effective cl</w:t>
      </w:r>
      <w:r w:rsidR="00F77AB2">
        <w:rPr>
          <w:sz w:val="24"/>
        </w:rPr>
        <w:t xml:space="preserve">imate action through education. The model suggests that in order to reach the </w:t>
      </w:r>
      <w:r w:rsidR="00F77AB2" w:rsidRPr="00BF048C">
        <w:rPr>
          <w:sz w:val="24"/>
        </w:rPr>
        <w:t xml:space="preserve">highest reduction of </w:t>
      </w:r>
      <w:r w:rsidR="00F77AB2">
        <w:rPr>
          <w:sz w:val="24"/>
        </w:rPr>
        <w:t>GHG emissions, both in terms of the number of climate actions and strategies involved as well as the economic benefits of those actions,</w:t>
      </w:r>
      <w:r w:rsidR="00F77AB2" w:rsidRPr="00BF048C">
        <w:rPr>
          <w:sz w:val="24"/>
        </w:rPr>
        <w:t xml:space="preserve"> groups </w:t>
      </w:r>
      <w:r w:rsidR="00F77AB2">
        <w:rPr>
          <w:sz w:val="24"/>
        </w:rPr>
        <w:t xml:space="preserve">of </w:t>
      </w:r>
      <w:r w:rsidR="00F77AB2" w:rsidRPr="00BF048C">
        <w:rPr>
          <w:sz w:val="24"/>
        </w:rPr>
        <w:t>between 10,000 and 100,000 people—</w:t>
      </w:r>
      <w:r w:rsidR="00F77AB2">
        <w:rPr>
          <w:sz w:val="24"/>
        </w:rPr>
        <w:t xml:space="preserve"> at the scale of communities, groups of communities, and cities </w:t>
      </w:r>
      <w:r w:rsidR="00F77AB2">
        <w:rPr>
          <w:sz w:val="24"/>
        </w:rPr>
        <w:fldChar w:fldCharType="begin"/>
      </w:r>
      <w:r w:rsidR="00F77AB2">
        <w:rPr>
          <w:sz w:val="24"/>
        </w:rPr>
        <w:instrText xml:space="preserve"> ADDIN ZOTERO_ITEM CSL_CITATION {"citationID":"eUbZnnty","properties":{"formattedCitation":"(Bhowmik et al., 2020, p. 10)","plainCitation":"(Bhowmik et al., 2020, p. 10)","dontUpdate":true,"noteIndex":0},"citationItems":[{"id":18125,"uris":["http://zotero.org/users/7220606/items/F46D3PHG"],"uri":["http://zotero.org/users/7220606/items/F46D3PHG"],"itemData":{"id":18125,"type":"article-journal","abstract":"Achieving the goals of the Paris Agreement and related sustainability initiatives will require halving of global greenhouse gas emissions each decade from now on through to 2050, when net zero emissions should be achieved. To reach such significant reductions requires a rapid and strategic scaling of existing and emerging technologies and practices, coupled with economic and social transformations and novel governance solutions. Here we present a new ‘Powers of 10’ (P10) logarithmic framework and demonstrate its potential as a practical tool for decision makers and change agents at multiple scales to inform and catalyze engagement and actions, complementing and adding nuance to existing frameworks. P10 assists in identifying the suitable cohorts and cohort ranges for rapidly deploying climate and sustainability actions between a single individual and the globally projected </w:instrText>
      </w:r>
      <w:r w:rsidR="00F77AB2">
        <w:rPr>
          <w:rFonts w:ascii="Cambria Math" w:hAnsi="Cambria Math" w:cs="Cambria Math"/>
          <w:sz w:val="24"/>
        </w:rPr>
        <w:instrText>∼</w:instrText>
      </w:r>
      <w:r w:rsidR="00F77AB2">
        <w:rPr>
          <w:sz w:val="24"/>
        </w:rPr>
        <w:instrText xml:space="preserve"> 10 billion persons by 2050. Applying a robust dataset of climate solutions from Project Drawdown</w:instrText>
      </w:r>
      <w:r w:rsidR="00F77AB2">
        <w:rPr>
          <w:rFonts w:ascii="Calibri" w:hAnsi="Calibri" w:cs="Calibri"/>
          <w:sz w:val="24"/>
        </w:rPr>
        <w:instrText>’</w:instrText>
      </w:r>
      <w:r w:rsidR="00F77AB2">
        <w:rPr>
          <w:sz w:val="24"/>
        </w:rPr>
        <w:instrText xml:space="preserve">s Plausible scenario that could cumulatively reduce greenhouse gas emissions by 1051 gigatons (Gt) against a reference scenario (2190 Gt) between 2020 and 2050, we seek to identify a ‘sweet spot’ where these climate and sustainability actions are suitably scaled. We suggest that prioritizing the analyzed climate actions between community and urban scales, where global and local converge, can help catalyze and enhance individual, household and local practices, and support national and international policies and finances for rapid sustainability transformations.","container-title":"Environmental Research Letters","DOI":"10.1088/1748-9326/ab9ed0","ISSN":"1748-9326","issue":"9","journalAbbreviation":"Environ. Res. Lett.","language":"en","note":"publisher: IOP Publishing","page":"094011","source":"Institute of Physics","title":"Powers of 10: seeking `sweet spots' for rapid climate and sustainability actions between individual and global scales","title-short":"Powers of 10","volume":"15","author":[{"family":"Bhowmik","given":"Avit K."},{"family":"McCaffrey","given":"Mark S."},{"family":"Ruskey","given":"Abigail M."},{"family":"Frischmann","given":"Chad"},{"family":"Gaffney","given":"Owen"}],"issued":{"date-parts":[["2020",8]]}},"locator":"10"}],"schema":"https://github.com/citation-style-language/schema/raw/master/csl-citation.json"} </w:instrText>
      </w:r>
      <w:r w:rsidR="00F77AB2">
        <w:rPr>
          <w:sz w:val="24"/>
        </w:rPr>
        <w:fldChar w:fldCharType="separate"/>
      </w:r>
      <w:r w:rsidR="00F77AB2">
        <w:rPr>
          <w:rFonts w:ascii="Calibri" w:hAnsi="Calibri" w:cs="Calibri"/>
          <w:sz w:val="24"/>
        </w:rPr>
        <w:t>(Bhowmik et al., 2020</w:t>
      </w:r>
      <w:r w:rsidR="00F77AB2" w:rsidRPr="00B23620">
        <w:rPr>
          <w:rFonts w:ascii="Calibri" w:hAnsi="Calibri" w:cs="Calibri"/>
          <w:sz w:val="24"/>
        </w:rPr>
        <w:t>)</w:t>
      </w:r>
      <w:r w:rsidR="00F77AB2">
        <w:rPr>
          <w:sz w:val="24"/>
        </w:rPr>
        <w:fldChar w:fldCharType="end"/>
      </w:r>
      <w:r w:rsidR="00F77AB2">
        <w:rPr>
          <w:sz w:val="24"/>
        </w:rPr>
        <w:t xml:space="preserve"> need to be effectively  engaged.</w:t>
      </w:r>
      <w:r w:rsidR="00F77AB2" w:rsidRPr="00F77AB2">
        <w:rPr>
          <w:sz w:val="24"/>
        </w:rPr>
        <w:t xml:space="preserve"> </w:t>
      </w:r>
      <w:r w:rsidR="00F77AB2" w:rsidRPr="00BF048C">
        <w:rPr>
          <w:sz w:val="24"/>
        </w:rPr>
        <w:t xml:space="preserve">The formal education system </w:t>
      </w:r>
      <w:r w:rsidR="00F77AB2">
        <w:rPr>
          <w:sz w:val="24"/>
        </w:rPr>
        <w:t>is one such avenue that creates the infrastructure of</w:t>
      </w:r>
      <w:r w:rsidR="00F77AB2" w:rsidRPr="00BF048C">
        <w:rPr>
          <w:sz w:val="24"/>
        </w:rPr>
        <w:t xml:space="preserve"> a tiered system for climate action at </w:t>
      </w:r>
      <w:r w:rsidR="00F77AB2">
        <w:rPr>
          <w:sz w:val="24"/>
        </w:rPr>
        <w:t>several</w:t>
      </w:r>
      <w:r w:rsidR="00F77AB2" w:rsidRPr="00BF048C">
        <w:rPr>
          <w:sz w:val="24"/>
        </w:rPr>
        <w:t xml:space="preserve"> </w:t>
      </w:r>
      <w:r w:rsidR="00F77AB2">
        <w:rPr>
          <w:sz w:val="24"/>
        </w:rPr>
        <w:t>levels and scales</w:t>
      </w:r>
      <w:r w:rsidR="00F77AB2" w:rsidRPr="00BF048C">
        <w:rPr>
          <w:sz w:val="24"/>
        </w:rPr>
        <w:t xml:space="preserve">, beginning at the individual school level and </w:t>
      </w:r>
      <w:r w:rsidR="00F77AB2">
        <w:rPr>
          <w:sz w:val="24"/>
        </w:rPr>
        <w:t>extending</w:t>
      </w:r>
      <w:r w:rsidR="00F77AB2" w:rsidRPr="00BF048C">
        <w:rPr>
          <w:sz w:val="24"/>
        </w:rPr>
        <w:t xml:space="preserve"> to the district</w:t>
      </w:r>
      <w:r w:rsidR="00F77AB2">
        <w:rPr>
          <w:sz w:val="24"/>
        </w:rPr>
        <w:t>/state</w:t>
      </w:r>
      <w:r w:rsidR="00F77AB2" w:rsidRPr="00BF048C">
        <w:rPr>
          <w:sz w:val="24"/>
        </w:rPr>
        <w:t xml:space="preserve">, </w:t>
      </w:r>
      <w:r w:rsidR="00F77AB2">
        <w:rPr>
          <w:sz w:val="24"/>
        </w:rPr>
        <w:t>country, regional, and global levels</w:t>
      </w:r>
      <w:r w:rsidR="00F77AB2" w:rsidRPr="00BF048C">
        <w:rPr>
          <w:sz w:val="24"/>
        </w:rPr>
        <w:t xml:space="preserve">. </w:t>
      </w:r>
    </w:p>
    <w:p w14:paraId="02B4EA93" w14:textId="576DE0C6" w:rsidR="006634B5" w:rsidRPr="00BF048C" w:rsidRDefault="008337BB" w:rsidP="006634B5">
      <w:pPr>
        <w:jc w:val="both"/>
        <w:rPr>
          <w:sz w:val="24"/>
        </w:rPr>
      </w:pPr>
      <w:r>
        <w:rPr>
          <w:sz w:val="24"/>
        </w:rPr>
        <w:t>Educating girls could have an even more profound effect; e</w:t>
      </w:r>
      <w:r w:rsidR="006634B5" w:rsidRPr="00BF048C">
        <w:rPr>
          <w:sz w:val="24"/>
        </w:rPr>
        <w:t xml:space="preserve">merging research in LMICs suggest that a gender-transformative education could ensure that girls are aware of their rights and are able to </w:t>
      </w:r>
      <w:r>
        <w:rPr>
          <w:sz w:val="24"/>
        </w:rPr>
        <w:t xml:space="preserve">develop </w:t>
      </w:r>
      <w:r w:rsidR="006634B5" w:rsidRPr="00BF048C">
        <w:rPr>
          <w:sz w:val="24"/>
        </w:rPr>
        <w:t xml:space="preserve">green skills and leadership </w:t>
      </w:r>
      <w:r>
        <w:rPr>
          <w:sz w:val="24"/>
        </w:rPr>
        <w:t xml:space="preserve">attributes that are critical to </w:t>
      </w:r>
      <w:r w:rsidR="006634B5" w:rsidRPr="00BF048C">
        <w:rPr>
          <w:sz w:val="24"/>
        </w:rPr>
        <w:t xml:space="preserve">innovation in </w:t>
      </w:r>
      <w:r>
        <w:rPr>
          <w:sz w:val="24"/>
        </w:rPr>
        <w:t>industries in the green sector,</w:t>
      </w:r>
      <w:r w:rsidR="006634B5" w:rsidRPr="00BF048C">
        <w:rPr>
          <w:sz w:val="24"/>
        </w:rPr>
        <w:t xml:space="preserve"> and </w:t>
      </w:r>
      <w:r>
        <w:rPr>
          <w:sz w:val="24"/>
        </w:rPr>
        <w:t>participation</w:t>
      </w:r>
      <w:r w:rsidR="006634B5" w:rsidRPr="00BF048C">
        <w:rPr>
          <w:sz w:val="24"/>
        </w:rPr>
        <w:t xml:space="preserve"> in climate-related decision-making</w:t>
      </w:r>
      <w:r w:rsidR="00B23620">
        <w:rPr>
          <w:sz w:val="24"/>
        </w:rPr>
        <w:t xml:space="preserve"> </w:t>
      </w:r>
      <w:r w:rsidR="00B23620">
        <w:rPr>
          <w:sz w:val="24"/>
        </w:rPr>
        <w:fldChar w:fldCharType="begin"/>
      </w:r>
      <w:r w:rsidR="00B23620">
        <w:rPr>
          <w:sz w:val="24"/>
        </w:rPr>
        <w:instrText xml:space="preserve"> ADDIN ZOTERO_ITEM CSL_CITATION {"citationID":"eqRl3PQG","properties":{"formattedCitation":"(Casey, 2021)","plainCitation":"(Casey, 2021)","noteIndex":0},"citationItems":[{"id":18131,"uris":["http://zotero.org/users/7220606/items/R95G7DUE"],"uri":["http://zotero.org/users/7220606/items/R95G7DUE"],"itemData":{"id":18131,"type":"post-weblog","abstract":"This paper presents a heuristic for countries to orient their education systems toward climate action and achieving a green, feminist transformation.","container-title":"Brookings","language":"en-US","title":"A new green learning agenda: Approaches to quality education for climate action","title-short":"A new green learning agenda","URL":"https://www.brookings.edu/research/a-new-green-learning-agenda-approaches-to-quality-education-for-climate-action/","author":[{"family":"Casey","given":"Christina Kwauk and Olivia"}],"accessed":{"date-parts":[["2021",5,19]]},"issued":{"date-parts":[["2021",1,6]]}}}],"schema":"https://github.com/citation-style-language/schema/raw/master/csl-citation.json"} </w:instrText>
      </w:r>
      <w:r w:rsidR="00B23620">
        <w:rPr>
          <w:sz w:val="24"/>
        </w:rPr>
        <w:fldChar w:fldCharType="separate"/>
      </w:r>
      <w:r w:rsidR="00B23620" w:rsidRPr="00B23620">
        <w:rPr>
          <w:rFonts w:ascii="Calibri" w:hAnsi="Calibri" w:cs="Calibri"/>
          <w:sz w:val="24"/>
        </w:rPr>
        <w:t>(Casey, 2021)</w:t>
      </w:r>
      <w:r w:rsidR="00B23620">
        <w:rPr>
          <w:sz w:val="24"/>
        </w:rPr>
        <w:fldChar w:fldCharType="end"/>
      </w:r>
      <w:r w:rsidR="006634B5" w:rsidRPr="00BF048C">
        <w:rPr>
          <w:sz w:val="24"/>
        </w:rPr>
        <w:t>.</w:t>
      </w:r>
    </w:p>
    <w:p w14:paraId="2F55A897" w14:textId="77777777" w:rsidR="006634B5" w:rsidRDefault="006634B5" w:rsidP="006634B5">
      <w:pPr>
        <w:jc w:val="both"/>
        <w:rPr>
          <w:sz w:val="24"/>
        </w:rPr>
      </w:pPr>
    </w:p>
    <w:p w14:paraId="4BAE949C" w14:textId="77777777" w:rsidR="006634B5" w:rsidRPr="006634B5" w:rsidRDefault="006634B5" w:rsidP="006634B5">
      <w:pPr>
        <w:pStyle w:val="Heading2"/>
      </w:pPr>
      <w:bookmarkStart w:id="28" w:name="_Toc71702080"/>
      <w:bookmarkStart w:id="29" w:name="_Toc74154039"/>
      <w:r>
        <w:t>Population dynamics and climate change</w:t>
      </w:r>
      <w:bookmarkEnd w:id="28"/>
      <w:bookmarkEnd w:id="29"/>
    </w:p>
    <w:p w14:paraId="1355981A" w14:textId="313265A6" w:rsidR="006634B5" w:rsidRDefault="006634B5" w:rsidP="001F4349">
      <w:pPr>
        <w:spacing w:after="0" w:line="276" w:lineRule="auto"/>
        <w:jc w:val="both"/>
        <w:rPr>
          <w:sz w:val="24"/>
        </w:rPr>
      </w:pPr>
      <w:r>
        <w:rPr>
          <w:sz w:val="24"/>
        </w:rPr>
        <w:t>In the context of Project Drawdown’s focus on reducing GHG emissions, the links between universal education, improved access to health services, population changes</w:t>
      </w:r>
      <w:r w:rsidR="00020628">
        <w:rPr>
          <w:sz w:val="24"/>
        </w:rPr>
        <w:t>,</w:t>
      </w:r>
      <w:r>
        <w:rPr>
          <w:sz w:val="24"/>
        </w:rPr>
        <w:t xml:space="preserve"> and resulting climate impacts</w:t>
      </w:r>
      <w:r w:rsidRPr="00015180">
        <w:rPr>
          <w:sz w:val="24"/>
        </w:rPr>
        <w:t xml:space="preserve"> </w:t>
      </w:r>
      <w:r>
        <w:rPr>
          <w:sz w:val="24"/>
        </w:rPr>
        <w:t>over time are complex, interconnected</w:t>
      </w:r>
      <w:r w:rsidR="00020628">
        <w:rPr>
          <w:sz w:val="24"/>
        </w:rPr>
        <w:t>,</w:t>
      </w:r>
      <w:r>
        <w:rPr>
          <w:sz w:val="24"/>
        </w:rPr>
        <w:t xml:space="preserve"> and multi-level, as shown in Figure 1. As described in the preceding sections, there are a multitude of benefits that result from 12 years of education for both girls and boys. Education can influence many aspects of people’s lives, such as how many children and when to have them, where to live, how to manage their resources and care for their family. Education also offers more economic opportunities and possibilities to earn a living and support oneself and one’s family. Finally, education can impact the ways in which people think about and interact with the planet, as well the choices they make in relation to the climate, potentially leading t</w:t>
      </w:r>
      <w:r w:rsidR="00400318">
        <w:rPr>
          <w:sz w:val="24"/>
        </w:rPr>
        <w:t xml:space="preserve">o lowered emissions over time. </w:t>
      </w:r>
    </w:p>
    <w:p w14:paraId="2E535DFC" w14:textId="1BE3BE6D" w:rsidR="006634B5" w:rsidRDefault="006634B5" w:rsidP="001F4349">
      <w:pPr>
        <w:spacing w:after="0" w:line="276" w:lineRule="auto"/>
        <w:jc w:val="both"/>
        <w:rPr>
          <w:sz w:val="24"/>
        </w:rPr>
      </w:pPr>
      <w:r>
        <w:rPr>
          <w:sz w:val="24"/>
        </w:rPr>
        <w:t xml:space="preserve">The intersecting benefits of ensuring access to universal education and quality </w:t>
      </w:r>
      <w:r w:rsidR="00B626E8">
        <w:rPr>
          <w:sz w:val="24"/>
        </w:rPr>
        <w:t>SRHR services</w:t>
      </w:r>
      <w:r>
        <w:rPr>
          <w:sz w:val="24"/>
        </w:rPr>
        <w:t xml:space="preserve"> can result in a reduction in GHG emissions through a few pathways. Increased economic opportunities, often coupled with urban migration, could lead to couples choosing to have smaller families, facilitated by the use of family planning</w:t>
      </w:r>
      <w:r w:rsidR="00976F6F">
        <w:rPr>
          <w:sz w:val="24"/>
        </w:rPr>
        <w:t xml:space="preserve"> </w:t>
      </w:r>
      <w:r w:rsidR="00400318">
        <w:rPr>
          <w:sz w:val="24"/>
        </w:rPr>
        <w:fldChar w:fldCharType="begin"/>
      </w:r>
      <w:r w:rsidR="00400318">
        <w:rPr>
          <w:sz w:val="24"/>
        </w:rPr>
        <w:instrText xml:space="preserve"> ADDIN ZOTERO_ITEM CSL_CITATION {"citationID":"ajmkKaBQ","properties":{"formattedCitation":"(Starbird et al., 2016)","plainCitation":"(Starbird et al., 2016)","noteIndex":0},"citationItems":[{"id":18119,"uris":["http://zotero.org/users/7220606/items/WJLCT9GM"],"uri":["http://zotero.org/users/7220606/items/WJLCT9GM"],"itemData":{"id":18119,"type":"article-journal","abstract":"&lt;p&gt;Voluntary family planning brings transformational benefits to women, families, communities, and countries. Investing in family planning is a development “best buy” that can accelerate achievement across the 5 Sustainable Development Goal themes of People, Planet, Prosperity, Peace, and Partnership.&lt;/p&gt;","container-title":"Global Health: Science and Practice","DOI":"10.9745/GHSP-D-15-00374","ISSN":"2169-575X","issue":"2","language":"en","note":"publisher: Global Health: Science and Practice\nsection: COMMENTARY\nPMID: 27353614","page":"191-210","source":"www.ghspjournal.org","title":"Investing in Family Planning: Key to Achieving the Sustainable Development Goals","title-short":"Investing in Family Planning","volume":"4","author":[{"family":"Starbird","given":"Ellen"},{"family":"Norton","given":"Maureen"},{"family":"Marcus","given":"Rachel"}],"issued":{"date-parts":[["2016",6,20]]}}}],"schema":"https://github.com/citation-style-language/schema/raw/master/csl-citation.json"} </w:instrText>
      </w:r>
      <w:r w:rsidR="00400318">
        <w:rPr>
          <w:sz w:val="24"/>
        </w:rPr>
        <w:fldChar w:fldCharType="separate"/>
      </w:r>
      <w:r w:rsidR="00400318" w:rsidRPr="00400318">
        <w:rPr>
          <w:rFonts w:ascii="Calibri" w:hAnsi="Calibri" w:cs="Calibri"/>
          <w:sz w:val="24"/>
        </w:rPr>
        <w:t>(Starbird et al., 2016)</w:t>
      </w:r>
      <w:r w:rsidR="00400318">
        <w:rPr>
          <w:sz w:val="24"/>
        </w:rPr>
        <w:fldChar w:fldCharType="end"/>
      </w:r>
      <w:r>
        <w:rPr>
          <w:sz w:val="24"/>
        </w:rPr>
        <w:t xml:space="preserve">. </w:t>
      </w:r>
      <w:r w:rsidRPr="001C5078">
        <w:rPr>
          <w:sz w:val="24"/>
        </w:rPr>
        <w:t xml:space="preserve">The impact of family planning on </w:t>
      </w:r>
      <w:r w:rsidRPr="00BF048C">
        <w:rPr>
          <w:sz w:val="24"/>
        </w:rPr>
        <w:t xml:space="preserve">emissions reductions </w:t>
      </w:r>
      <w:r>
        <w:rPr>
          <w:sz w:val="24"/>
        </w:rPr>
        <w:t>therefore results</w:t>
      </w:r>
      <w:r w:rsidRPr="001C5078">
        <w:rPr>
          <w:sz w:val="24"/>
        </w:rPr>
        <w:t xml:space="preserve"> from the </w:t>
      </w:r>
      <w:r>
        <w:rPr>
          <w:sz w:val="24"/>
        </w:rPr>
        <w:t>effect</w:t>
      </w:r>
      <w:r w:rsidRPr="001C5078">
        <w:rPr>
          <w:sz w:val="24"/>
        </w:rPr>
        <w:t xml:space="preserve"> of modern contraception on slowing rapid, unchecked population growth</w:t>
      </w:r>
      <w:r>
        <w:rPr>
          <w:sz w:val="24"/>
        </w:rPr>
        <w:t xml:space="preserve"> from reducing the number of unwanted or unintended pregnancies</w:t>
      </w:r>
      <w:r w:rsidRPr="001C5078">
        <w:rPr>
          <w:sz w:val="24"/>
        </w:rPr>
        <w:t>.</w:t>
      </w:r>
      <w:r w:rsidRPr="00BF048C">
        <w:rPr>
          <w:sz w:val="24"/>
        </w:rPr>
        <w:t xml:space="preserve"> While recognizing differences in emissions per capita</w:t>
      </w:r>
      <w:r>
        <w:rPr>
          <w:sz w:val="24"/>
        </w:rPr>
        <w:t xml:space="preserve"> across different regions and contexts and acknowledging that regions of high population growth do not necessarily contribute the highest emissions</w:t>
      </w:r>
      <w:r w:rsidRPr="00BF048C">
        <w:rPr>
          <w:sz w:val="24"/>
        </w:rPr>
        <w:t xml:space="preserve">, it can be assumed that </w:t>
      </w:r>
      <w:r>
        <w:rPr>
          <w:sz w:val="24"/>
        </w:rPr>
        <w:t xml:space="preserve">a reduction in the total population of </w:t>
      </w:r>
      <w:r w:rsidRPr="00BF048C">
        <w:rPr>
          <w:sz w:val="24"/>
        </w:rPr>
        <w:t xml:space="preserve">emitters of </w:t>
      </w:r>
      <w:r>
        <w:rPr>
          <w:sz w:val="24"/>
        </w:rPr>
        <w:t>GHG</w:t>
      </w:r>
      <w:r w:rsidRPr="00BF048C">
        <w:rPr>
          <w:sz w:val="24"/>
          <w:vertAlign w:val="subscript"/>
        </w:rPr>
        <w:t xml:space="preserve"> </w:t>
      </w:r>
      <w:r w:rsidRPr="00BF048C">
        <w:rPr>
          <w:sz w:val="24"/>
        </w:rPr>
        <w:t>will res</w:t>
      </w:r>
      <w:r>
        <w:rPr>
          <w:sz w:val="24"/>
        </w:rPr>
        <w:t>ult in fewer carbon emissions over time</w:t>
      </w:r>
      <w:r w:rsidR="00976F6F">
        <w:rPr>
          <w:sz w:val="24"/>
        </w:rPr>
        <w:t xml:space="preserve"> </w:t>
      </w:r>
      <w:r w:rsidR="00976F6F">
        <w:rPr>
          <w:sz w:val="24"/>
        </w:rPr>
        <w:fldChar w:fldCharType="begin"/>
      </w:r>
      <w:r w:rsidR="00976F6F">
        <w:rPr>
          <w:sz w:val="24"/>
        </w:rPr>
        <w:instrText xml:space="preserve"> ADDIN ZOTERO_ITEM CSL_CITATION {"citationID":"2BOXsJJK","properties":{"formattedCitation":"(Dodson et al., 2020)","plainCitation":"(Dodson et al., 2020)","noteIndex":0},"citationItems":[{"id":18457,"uris":["http://zotero.org/groups/2723676/items/KPC2ACWG"],"uri":["http://zotero.org/groups/2723676/items/KPC2ACWG"],"itemData":{"id":18457,"type":"article-journal","abstract":"Demographic trends will play a role in determining the magnitude of climate disruption and the ability of societies to adapt to it. Yet policy makers largely ignore the potential of fertility changes and population growth when designing policies to limit climate disruption and lessen its impacts. Here we argue that rights-based policy interventions could decrease fertility rates to levels consistent with low population pathways. We review country and global level studies that explore the effects of low population pathways on climate change mitigation and adaptation. We then provide rights-based policy recommendations, such as the expansion of voluntary family planning programs that incorporate elements from successful past programs, and highlight current research gaps. In concert with policies that end fossil fuel use and incentivize sustainable consumption, humane policies that slow population growth should be part of a multifaceted climate response. These policies require attention from scientists, policy analysts and politicians.","container-title":"Science of The Total Environment","DOI":"10.1016/j.scitotenv.2020.141346","ISSN":"0048-9697","journalAbbreviation":"Science of The Total Environment","language":"en","page":"141346","source":"ScienceDirect","title":"Population growth and climate change: Addressing the overlooked threat multiplier","title-short":"Population growth and climate change","volume":"748","author":[{"family":"Dodson","given":"Jenna C."},{"family":"Dérer","given":"Patrícia"},{"family":"Cafaro","given":"Philip"},{"family":"Götmark","given":"Frank"}],"issued":{"date-parts":[["2020",12,15]]}}}],"schema":"https://github.com/citation-style-language/schema/raw/master/csl-citation.json"} </w:instrText>
      </w:r>
      <w:r w:rsidR="00976F6F">
        <w:rPr>
          <w:sz w:val="24"/>
        </w:rPr>
        <w:fldChar w:fldCharType="separate"/>
      </w:r>
      <w:r w:rsidR="00976F6F" w:rsidRPr="00976F6F">
        <w:rPr>
          <w:rFonts w:ascii="Calibri" w:hAnsi="Calibri" w:cs="Calibri"/>
          <w:sz w:val="24"/>
        </w:rPr>
        <w:t>(Dodson et al., 2020)</w:t>
      </w:r>
      <w:r w:rsidR="00976F6F">
        <w:rPr>
          <w:sz w:val="24"/>
        </w:rPr>
        <w:fldChar w:fldCharType="end"/>
      </w:r>
      <w:r w:rsidR="00400318">
        <w:rPr>
          <w:sz w:val="24"/>
        </w:rPr>
        <w:t xml:space="preserve">. </w:t>
      </w:r>
    </w:p>
    <w:p w14:paraId="4F495EF8" w14:textId="19A13702" w:rsidR="006634B5" w:rsidRDefault="006634B5" w:rsidP="001F4349">
      <w:pPr>
        <w:spacing w:after="0" w:line="276" w:lineRule="auto"/>
        <w:jc w:val="both"/>
        <w:rPr>
          <w:sz w:val="24"/>
        </w:rPr>
      </w:pPr>
      <w:r>
        <w:rPr>
          <w:sz w:val="24"/>
        </w:rPr>
        <w:t xml:space="preserve">Reduced population growth, coupled with increased economic opportunities, can also contribute towards a demographic transition from high fertility and mortality to low fertility and mortality, also known as a </w:t>
      </w:r>
      <w:r w:rsidR="00020628">
        <w:rPr>
          <w:sz w:val="24"/>
        </w:rPr>
        <w:t>‘</w:t>
      </w:r>
      <w:r>
        <w:rPr>
          <w:sz w:val="24"/>
        </w:rPr>
        <w:t>demographic dividend</w:t>
      </w:r>
      <w:r w:rsidR="00020628">
        <w:rPr>
          <w:sz w:val="24"/>
        </w:rPr>
        <w:t>’</w:t>
      </w:r>
      <w:r>
        <w:rPr>
          <w:sz w:val="24"/>
        </w:rPr>
        <w:t>. The UNFPA defines this as “</w:t>
      </w:r>
      <w:r w:rsidRPr="008B18A2">
        <w:rPr>
          <w:sz w:val="24"/>
        </w:rPr>
        <w:t>the economic growth potential that can result from shifts in a population’s age structure, mainly when the share of th</w:t>
      </w:r>
      <w:r>
        <w:rPr>
          <w:sz w:val="24"/>
        </w:rPr>
        <w:t>e working-age population (15-</w:t>
      </w:r>
      <w:r w:rsidRPr="008B18A2">
        <w:rPr>
          <w:sz w:val="24"/>
        </w:rPr>
        <w:t>64</w:t>
      </w:r>
      <w:r>
        <w:rPr>
          <w:sz w:val="24"/>
        </w:rPr>
        <w:t xml:space="preserve"> years</w:t>
      </w:r>
      <w:r w:rsidRPr="008B18A2">
        <w:rPr>
          <w:sz w:val="24"/>
        </w:rPr>
        <w:t>) is larger than the non-working-age share (14 and younger, and 65 and older)</w:t>
      </w:r>
      <w:r>
        <w:rPr>
          <w:sz w:val="24"/>
        </w:rPr>
        <w:t xml:space="preserve"> </w:t>
      </w:r>
      <w:r w:rsidRPr="008B18A2">
        <w:rPr>
          <w:sz w:val="24"/>
        </w:rPr>
        <w:t>of the population</w:t>
      </w:r>
      <w:r>
        <w:rPr>
          <w:sz w:val="24"/>
        </w:rPr>
        <w:t>”</w:t>
      </w:r>
      <w:r>
        <w:rPr>
          <w:sz w:val="24"/>
        </w:rPr>
        <w:fldChar w:fldCharType="begin"/>
      </w:r>
      <w:r w:rsidR="00B23620">
        <w:rPr>
          <w:sz w:val="24"/>
        </w:rPr>
        <w:instrText xml:space="preserve"> ADDIN ZOTERO_ITEM CSL_CITATION {"citationID":"RQI5hTDw","properties":{"formattedCitation":"(UNFPA, 2016)","plainCitation":"(UNFPA, 2016)","noteIndex":0},"citationItems":[{"id":18065,"uris":["http://zotero.org/users/7220606/items/MEYYTJJX"],"uri":["http://zotero.org/users/7220606/items/MEYYTJJX"],"itemData":{"id":18065,"type":"webpage","title":"Demographic dividend","URL":"https://www.unfpa.org/demographic-dividend","author":[{"family":"UNFPA","given":""}],"accessed":{"date-parts":[["2021",5,2]]},"issued":{"date-parts":[["2016"]]}}}],"schema":"https://github.com/citation-style-language/schema/raw/master/csl-citation.json"} </w:instrText>
      </w:r>
      <w:r>
        <w:rPr>
          <w:sz w:val="24"/>
        </w:rPr>
        <w:fldChar w:fldCharType="separate"/>
      </w:r>
      <w:r w:rsidR="00B23620" w:rsidRPr="00B23620">
        <w:rPr>
          <w:rFonts w:ascii="Calibri" w:hAnsi="Calibri" w:cs="Calibri"/>
          <w:sz w:val="24"/>
        </w:rPr>
        <w:t>(UNFPA, 2016)</w:t>
      </w:r>
      <w:r>
        <w:rPr>
          <w:sz w:val="24"/>
        </w:rPr>
        <w:fldChar w:fldCharType="end"/>
      </w:r>
      <w:r>
        <w:rPr>
          <w:sz w:val="24"/>
        </w:rPr>
        <w:t xml:space="preserve">. The impacts of the demographic dividend will be described in greater detail in a later section, but in the context of climate impacts, the transition can often lead to urbanization, coupled with better health, education, economic opportunities and smaller families. This allows for larger investments in children’s health and education, more freedom for women to seek employment, and more savings, enabling a better quality of life. Depending on the systems and societies in which this takes place, the increased consumption and production of resources and services to support this transition could lead to an increase in GHG emissions. </w:t>
      </w:r>
    </w:p>
    <w:p w14:paraId="4CCD2271" w14:textId="77777777" w:rsidR="006634B5" w:rsidRPr="00180D23" w:rsidRDefault="006634B5" w:rsidP="006634B5">
      <w:pPr>
        <w:sectPr w:rsidR="006634B5" w:rsidRPr="00180D23" w:rsidSect="006634B5">
          <w:pgSz w:w="11906" w:h="16838"/>
          <w:pgMar w:top="1440" w:right="1440" w:bottom="1440" w:left="1440" w:header="708" w:footer="708" w:gutter="0"/>
          <w:cols w:space="708"/>
          <w:docGrid w:linePitch="360"/>
        </w:sectPr>
      </w:pPr>
    </w:p>
    <w:p w14:paraId="74AF146D" w14:textId="5C7FC657" w:rsidR="006634B5" w:rsidRDefault="00E84011" w:rsidP="006634B5">
      <w:r>
        <w:rPr>
          <w:noProof/>
          <w:lang w:val="en-NZ" w:eastAsia="en-NZ"/>
        </w:rPr>
        <mc:AlternateContent>
          <mc:Choice Requires="wps">
            <w:drawing>
              <wp:anchor distT="0" distB="0" distL="114300" distR="114300" simplePos="0" relativeHeight="251704320" behindDoc="0" locked="0" layoutInCell="1" allowOverlap="1" wp14:anchorId="7F58C475" wp14:editId="0D997E43">
                <wp:simplePos x="0" y="0"/>
                <wp:positionH relativeFrom="column">
                  <wp:posOffset>0</wp:posOffset>
                </wp:positionH>
                <wp:positionV relativeFrom="paragraph">
                  <wp:posOffset>4690110</wp:posOffset>
                </wp:positionV>
                <wp:extent cx="92233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wps:spPr>
                      <wps:txbx>
                        <w:txbxContent>
                          <w:p w14:paraId="7A66FAD0" w14:textId="6E689837" w:rsidR="000B30F1" w:rsidRPr="00E84011" w:rsidRDefault="000B30F1" w:rsidP="00E84011">
                            <w:pPr>
                              <w:pStyle w:val="Caption"/>
                              <w:rPr>
                                <w:i w:val="0"/>
                                <w:noProof/>
                                <w:sz w:val="22"/>
                              </w:rPr>
                            </w:pPr>
                            <w:r w:rsidRPr="00E84011">
                              <w:rPr>
                                <w:i w:val="0"/>
                                <w:sz w:val="22"/>
                              </w:rPr>
                              <w:t xml:space="preserve">Figure </w:t>
                            </w:r>
                            <w:r>
                              <w:rPr>
                                <w:i w:val="0"/>
                                <w:sz w:val="22"/>
                              </w:rPr>
                              <w:t xml:space="preserve">1: </w:t>
                            </w:r>
                            <w:r w:rsidRPr="00E84011">
                              <w:rPr>
                                <w:i w:val="0"/>
                                <w:sz w:val="22"/>
                              </w:rPr>
                              <w:t>Links between education, health, population growth and climate impacts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58C475" id="_x0000_t202" coordsize="21600,21600" o:spt="202" path="m,l,21600r21600,l21600,xe">
                <v:stroke joinstyle="miter"/>
                <v:path gradientshapeok="t" o:connecttype="rect"/>
              </v:shapetype>
              <v:shape id="Text Box 3" o:spid="_x0000_s1026" type="#_x0000_t202" style="position:absolute;margin-left:0;margin-top:369.3pt;width:726.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5QLAIAAF0EAAAOAAAAZHJzL2Uyb0RvYy54bWysVE1vGjEQvVfqf7B8L8uHkjaIJaJEVJVQ&#10;EgmqnI3Xy1qyPe7YsEt/fcf7Qdq0p6oXM54ZP+97b8zivrGGnRUGDS7nk9GYM+UkFNodc/5tv/nw&#10;ibMQhSuEAadyflGB3y/fv1vUfq6mUIEpFDICcWFe+5xXMfp5lgVZKSvCCLxyVCwBrYi0xWNWoKgJ&#10;3ZpsOh7fZjVg4RGkCoGyD12RL1v8slQyPpVlUJGZnNO3xXbFdj2kNVsuxPyIwlda9p8h/uErrNCO&#10;Lr1CPYgo2An1H1BWS4QAZRxJsBmUpZaq5UBsJuM3bHaV8KrlQuIEf5Up/D9Y+Xh+RqaLnM84c8KS&#10;RXvVRPYZGjZL6tQ+zKlp56ktNpQml4d8oGQi3ZRo0y/RYVQnnS9XbROYpOTddDqbfbzhTFLtdnaT&#10;MLLXox5D/KLAshTkHMm4Vk9x3obYtQ4t6aYARhcbbUzapMLaIDsLMrmudFQ9+G9dxqVeB+lUB5gy&#10;WeLX8UhRbA5NT/oAxYU4I3QzE7zcaLpoK0J8FkhDQjRp8OMTLaWBOufQR5xVgD/+lk/95B1VOatp&#10;6HIevp8EKs7MV0eupgkdAhyCwxC4k10DUZzQk/KyDekARjOEJYJ9ofewSrdQSThJd+U8DuE6dqNP&#10;70mq1aptojn0Im7dzssEPQi6b14E+t6OSC4+wjCOYv7Gla639cWvTpEkbi1LgnYq9jrTDLem9+8t&#10;PZJf923X67/C8icAAAD//wMAUEsDBBQABgAIAAAAIQCKOSV94AAAAAkBAAAPAAAAZHJzL2Rvd25y&#10;ZXYueG1sTI/BTsMwEETvSPyDtUhcEHVo07QKcaqqgkO5VIReuLnxNg7E68h22vD3dbnAcXZWM2+K&#10;1Wg6dkLnW0sCniYJMKTaqpYaAfuP18clMB8kKdlZQgE/6GFV3t4UMlf2TO94qkLDYgj5XArQIfQ5&#10;577WaKSf2B4pekfrjAxRuoYrJ88x3HR8miQZN7Kl2KBljxuN9Xc1GAG79HOnH4bjy9s6nbntfthk&#10;X00lxP3duH4GFnAMf89wxY/oUEamgx1IedYJiEOCgMVsmQG72ul8Ogd2+D0tgJcF/7+gvAAAAP//&#10;AwBQSwECLQAUAAYACAAAACEAtoM4kv4AAADhAQAAEwAAAAAAAAAAAAAAAAAAAAAAW0NvbnRlbnRf&#10;VHlwZXNdLnhtbFBLAQItABQABgAIAAAAIQA4/SH/1gAAAJQBAAALAAAAAAAAAAAAAAAAAC8BAABf&#10;cmVscy8ucmVsc1BLAQItABQABgAIAAAAIQAC9z5QLAIAAF0EAAAOAAAAAAAAAAAAAAAAAC4CAABk&#10;cnMvZTJvRG9jLnhtbFBLAQItABQABgAIAAAAIQCKOSV94AAAAAkBAAAPAAAAAAAAAAAAAAAAAIYE&#10;AABkcnMvZG93bnJldi54bWxQSwUGAAAAAAQABADzAAAAkwUAAAAA&#10;" stroked="f">
                <v:textbox style="mso-fit-shape-to-text:t" inset="0,0,0,0">
                  <w:txbxContent>
                    <w:p w14:paraId="7A66FAD0" w14:textId="6E689837" w:rsidR="000B30F1" w:rsidRPr="00E84011" w:rsidRDefault="000B30F1" w:rsidP="00E84011">
                      <w:pPr>
                        <w:pStyle w:val="Caption"/>
                        <w:rPr>
                          <w:i w:val="0"/>
                          <w:noProof/>
                          <w:sz w:val="22"/>
                        </w:rPr>
                      </w:pPr>
                      <w:r w:rsidRPr="00E84011">
                        <w:rPr>
                          <w:i w:val="0"/>
                          <w:sz w:val="22"/>
                        </w:rPr>
                        <w:t xml:space="preserve">Figure </w:t>
                      </w:r>
                      <w:r>
                        <w:rPr>
                          <w:i w:val="0"/>
                          <w:sz w:val="22"/>
                        </w:rPr>
                        <w:t xml:space="preserve">1: </w:t>
                      </w:r>
                      <w:r w:rsidRPr="00E84011">
                        <w:rPr>
                          <w:i w:val="0"/>
                          <w:sz w:val="22"/>
                        </w:rPr>
                        <w:t>Links between education, health, population growth and climate impacts</w:t>
                      </w:r>
                    </w:p>
                  </w:txbxContent>
                </v:textbox>
                <w10:wrap type="square"/>
              </v:shape>
            </w:pict>
          </mc:Fallback>
        </mc:AlternateContent>
      </w:r>
      <w:r w:rsidR="009B551F">
        <w:rPr>
          <w:noProof/>
          <w:lang w:val="en-NZ" w:eastAsia="en-NZ"/>
        </w:rPr>
        <mc:AlternateContent>
          <mc:Choice Requires="wps">
            <w:drawing>
              <wp:anchor distT="0" distB="0" distL="114300" distR="114300" simplePos="0" relativeHeight="251706368" behindDoc="0" locked="0" layoutInCell="1" allowOverlap="1" wp14:anchorId="2CE8E1EE" wp14:editId="40281FD1">
                <wp:simplePos x="0" y="0"/>
                <wp:positionH relativeFrom="column">
                  <wp:posOffset>0</wp:posOffset>
                </wp:positionH>
                <wp:positionV relativeFrom="paragraph">
                  <wp:posOffset>4690110</wp:posOffset>
                </wp:positionV>
                <wp:extent cx="92233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wps:spPr>
                      <wps:txbx>
                        <w:txbxContent>
                          <w:p w14:paraId="668D799F" w14:textId="653494DD" w:rsidR="000B30F1" w:rsidRPr="00FD2C5C" w:rsidRDefault="000B30F1" w:rsidP="009B551F">
                            <w:pPr>
                              <w:pStyle w:val="Caption"/>
                              <w:rPr>
                                <w:i w:val="0"/>
                                <w:noProof/>
                                <w:color w:val="auto"/>
                                <w:sz w:val="22"/>
                              </w:rPr>
                            </w:pPr>
                            <w:bookmarkStart w:id="30" w:name="_Toc71705994"/>
                            <w:bookmarkStart w:id="31" w:name="_Toc71706024"/>
                            <w:r w:rsidRPr="00FD2C5C">
                              <w:rPr>
                                <w:i w:val="0"/>
                                <w:color w:val="auto"/>
                                <w:sz w:val="22"/>
                              </w:rPr>
                              <w:t xml:space="preserve">Figure </w:t>
                            </w:r>
                            <w:r w:rsidRPr="00FD2C5C">
                              <w:rPr>
                                <w:i w:val="0"/>
                                <w:color w:val="auto"/>
                                <w:sz w:val="22"/>
                              </w:rPr>
                              <w:fldChar w:fldCharType="begin"/>
                            </w:r>
                            <w:r w:rsidRPr="00FD2C5C">
                              <w:rPr>
                                <w:i w:val="0"/>
                                <w:color w:val="auto"/>
                                <w:sz w:val="22"/>
                              </w:rPr>
                              <w:instrText xml:space="preserve"> SEQ Figure \* ARABIC </w:instrText>
                            </w:r>
                            <w:r w:rsidRPr="00FD2C5C">
                              <w:rPr>
                                <w:i w:val="0"/>
                                <w:color w:val="auto"/>
                                <w:sz w:val="22"/>
                              </w:rPr>
                              <w:fldChar w:fldCharType="separate"/>
                            </w:r>
                            <w:r w:rsidRPr="00FD2C5C">
                              <w:rPr>
                                <w:i w:val="0"/>
                                <w:noProof/>
                                <w:color w:val="auto"/>
                                <w:sz w:val="22"/>
                              </w:rPr>
                              <w:t>1</w:t>
                            </w:r>
                            <w:r w:rsidRPr="00FD2C5C">
                              <w:rPr>
                                <w:i w:val="0"/>
                                <w:color w:val="auto"/>
                                <w:sz w:val="22"/>
                              </w:rPr>
                              <w:fldChar w:fldCharType="end"/>
                            </w:r>
                            <w:r w:rsidRPr="00FD2C5C">
                              <w:rPr>
                                <w:i w:val="0"/>
                                <w:color w:val="auto"/>
                                <w:sz w:val="22"/>
                              </w:rPr>
                              <w:t>: Links between education, health, population growth and climate impacts</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E1EE" id="Text Box 6" o:spid="_x0000_s1027" type="#_x0000_t202" style="position:absolute;margin-left:0;margin-top:369.3pt;width:726.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7ELgIAAGQEAAAOAAAAZHJzL2Uyb0RvYy54bWysVE1v2zAMvQ/YfxB0X5wPNFu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7nzIqG&#10;JNqpLrDP0LF5ZKd1PqekraO00JGbVB78npwRdFdhE78Eh1GceD5fuY3FJDlvp9PZ7OMNZ5Ji89lN&#10;rJG9HnXowxcFDYtGwZGES3yK04MPfeqQEm/yYHS50cbETQysDbKTIJHbWgd1Kf5blrEx10I81ReM&#10;nizi63FEK3T7LrFxxbiH8kzQEfrW8U5uNN33IHx4Fki9Qmip/8MTLZWBtuBwsTirAX/8zR/zSUKK&#10;ctZS7xXcfz8KVJyZr5bEjY06GDgY+8Gwx2YNhHRCk+VkMukABjOYFULzQmOxirdQSFhJdxU8DOY6&#10;9BNAYyXVapWSqB2dCA9262QsPfC6614EuosqgcR8hKErRf5GnD43yeNWx0BMJ+Uirz2LF7qplZP2&#10;l7GLs/LrPmW9/hyWPwEAAP//AwBQSwMEFAAGAAgAAAAhAIo5JX3gAAAACQEAAA8AAABkcnMvZG93&#10;bnJldi54bWxMj8FOwzAQRO9I/IO1SFwQdWjTtApxqqqCQ7lUhF64ufE2DsTryHba8Pd1ucBxdlYz&#10;b4rVaDp2QudbSwKeJgkwpNqqlhoB+4/XxyUwHyQp2VlCAT/oYVXe3hQyV/ZM73iqQsNiCPlcCtAh&#10;9DnnvtZopJ/YHil6R+uMDFG6hisnzzHcdHyaJBk3sqXYoGWPG431dzUYAbv0c6cfhuPL2zqdue1+&#10;2GRfTSXE/d24fgYWcAx/z3DFj+hQRqaDHUh51gmIQ4KAxWyZAbva6Xw6B3b4PS2AlwX/v6C8AAAA&#10;//8DAFBLAQItABQABgAIAAAAIQC2gziS/gAAAOEBAAATAAAAAAAAAAAAAAAAAAAAAABbQ29udGVu&#10;dF9UeXBlc10ueG1sUEsBAi0AFAAGAAgAAAAhADj9If/WAAAAlAEAAAsAAAAAAAAAAAAAAAAALwEA&#10;AF9yZWxzLy5yZWxzUEsBAi0AFAAGAAgAAAAhANdifsQuAgAAZAQAAA4AAAAAAAAAAAAAAAAALgIA&#10;AGRycy9lMm9Eb2MueG1sUEsBAi0AFAAGAAgAAAAhAIo5JX3gAAAACQEAAA8AAAAAAAAAAAAAAAAA&#10;iAQAAGRycy9kb3ducmV2LnhtbFBLBQYAAAAABAAEAPMAAACVBQAAAAA=&#10;" stroked="f">
                <v:textbox style="mso-fit-shape-to-text:t" inset="0,0,0,0">
                  <w:txbxContent>
                    <w:p w14:paraId="668D799F" w14:textId="653494DD" w:rsidR="000B30F1" w:rsidRPr="00FD2C5C" w:rsidRDefault="000B30F1" w:rsidP="009B551F">
                      <w:pPr>
                        <w:pStyle w:val="Caption"/>
                        <w:rPr>
                          <w:i w:val="0"/>
                          <w:noProof/>
                          <w:color w:val="auto"/>
                          <w:sz w:val="22"/>
                        </w:rPr>
                      </w:pPr>
                      <w:bookmarkStart w:id="34" w:name="_Toc71705994"/>
                      <w:bookmarkStart w:id="35" w:name="_Toc71706024"/>
                      <w:r w:rsidRPr="00FD2C5C">
                        <w:rPr>
                          <w:i w:val="0"/>
                          <w:color w:val="auto"/>
                          <w:sz w:val="22"/>
                        </w:rPr>
                        <w:t xml:space="preserve">Figure </w:t>
                      </w:r>
                      <w:r w:rsidRPr="00FD2C5C">
                        <w:rPr>
                          <w:i w:val="0"/>
                          <w:color w:val="auto"/>
                          <w:sz w:val="22"/>
                        </w:rPr>
                        <w:fldChar w:fldCharType="begin"/>
                      </w:r>
                      <w:r w:rsidRPr="00FD2C5C">
                        <w:rPr>
                          <w:i w:val="0"/>
                          <w:color w:val="auto"/>
                          <w:sz w:val="22"/>
                        </w:rPr>
                        <w:instrText xml:space="preserve"> SEQ Figure \* ARABIC </w:instrText>
                      </w:r>
                      <w:r w:rsidRPr="00FD2C5C">
                        <w:rPr>
                          <w:i w:val="0"/>
                          <w:color w:val="auto"/>
                          <w:sz w:val="22"/>
                        </w:rPr>
                        <w:fldChar w:fldCharType="separate"/>
                      </w:r>
                      <w:r w:rsidRPr="00FD2C5C">
                        <w:rPr>
                          <w:i w:val="0"/>
                          <w:noProof/>
                          <w:color w:val="auto"/>
                          <w:sz w:val="22"/>
                        </w:rPr>
                        <w:t>1</w:t>
                      </w:r>
                      <w:r w:rsidRPr="00FD2C5C">
                        <w:rPr>
                          <w:i w:val="0"/>
                          <w:color w:val="auto"/>
                          <w:sz w:val="22"/>
                        </w:rPr>
                        <w:fldChar w:fldCharType="end"/>
                      </w:r>
                      <w:r w:rsidRPr="00FD2C5C">
                        <w:rPr>
                          <w:i w:val="0"/>
                          <w:color w:val="auto"/>
                          <w:sz w:val="22"/>
                        </w:rPr>
                        <w:t>: Links between education, health, population growth and climate impacts</w:t>
                      </w:r>
                      <w:bookmarkEnd w:id="34"/>
                      <w:bookmarkEnd w:id="35"/>
                    </w:p>
                  </w:txbxContent>
                </v:textbox>
                <w10:wrap type="square"/>
              </v:shape>
            </w:pict>
          </mc:Fallback>
        </mc:AlternateContent>
      </w:r>
      <w:r w:rsidR="006634B5">
        <w:rPr>
          <w:noProof/>
          <w:lang w:val="en-NZ" w:eastAsia="en-NZ"/>
        </w:rPr>
        <w:drawing>
          <wp:anchor distT="0" distB="0" distL="114300" distR="114300" simplePos="0" relativeHeight="251701248" behindDoc="0" locked="0" layoutInCell="1" allowOverlap="1" wp14:anchorId="1C8500D1" wp14:editId="357D252C">
            <wp:simplePos x="0" y="0"/>
            <wp:positionH relativeFrom="margin">
              <wp:align>left</wp:align>
            </wp:positionH>
            <wp:positionV relativeFrom="paragraph">
              <wp:posOffset>358140</wp:posOffset>
            </wp:positionV>
            <wp:extent cx="9223375" cy="42748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23375" cy="4274820"/>
                    </a:xfrm>
                    <a:prstGeom prst="rect">
                      <a:avLst/>
                    </a:prstGeom>
                    <a:noFill/>
                  </pic:spPr>
                </pic:pic>
              </a:graphicData>
            </a:graphic>
            <wp14:sizeRelH relativeFrom="margin">
              <wp14:pctWidth>0</wp14:pctWidth>
            </wp14:sizeRelH>
            <wp14:sizeRelV relativeFrom="margin">
              <wp14:pctHeight>0</wp14:pctHeight>
            </wp14:sizeRelV>
          </wp:anchor>
        </w:drawing>
      </w:r>
    </w:p>
    <w:p w14:paraId="7BAF8F75" w14:textId="77777777" w:rsidR="006634B5" w:rsidRDefault="006634B5" w:rsidP="006248E6">
      <w:pPr>
        <w:pStyle w:val="ListParagraph"/>
        <w:numPr>
          <w:ilvl w:val="1"/>
          <w:numId w:val="3"/>
        </w:numPr>
        <w:sectPr w:rsidR="006634B5" w:rsidSect="006634B5">
          <w:pgSz w:w="16838" w:h="11906" w:orient="landscape"/>
          <w:pgMar w:top="1440" w:right="1440" w:bottom="1440" w:left="1440" w:header="708" w:footer="708" w:gutter="0"/>
          <w:cols w:space="708"/>
          <w:docGrid w:linePitch="360"/>
        </w:sectPr>
      </w:pPr>
    </w:p>
    <w:p w14:paraId="191F7112" w14:textId="77777777" w:rsidR="006634B5" w:rsidRDefault="006634B5" w:rsidP="006634B5">
      <w:pPr>
        <w:pStyle w:val="Heading2"/>
      </w:pPr>
      <w:bookmarkStart w:id="32" w:name="_Toc71702081"/>
      <w:bookmarkStart w:id="33" w:name="_Toc74154040"/>
      <w:r>
        <w:t>Pathways to Adoption</w:t>
      </w:r>
      <w:bookmarkEnd w:id="32"/>
      <w:bookmarkEnd w:id="33"/>
      <w:r>
        <w:tab/>
      </w:r>
    </w:p>
    <w:p w14:paraId="664172DD" w14:textId="77777777" w:rsidR="006634B5" w:rsidRDefault="006634B5" w:rsidP="006634B5">
      <w:pPr>
        <w:pStyle w:val="Heading3"/>
      </w:pPr>
      <w:bookmarkStart w:id="34" w:name="_Toc71702082"/>
      <w:bookmarkStart w:id="35" w:name="_Toc74154041"/>
      <w:r w:rsidRPr="00A81764">
        <w:t>Barriers to family planning uptake</w:t>
      </w:r>
      <w:bookmarkEnd w:id="34"/>
      <w:bookmarkEnd w:id="35"/>
    </w:p>
    <w:p w14:paraId="77E07261" w14:textId="18E2015F" w:rsidR="006634B5" w:rsidRDefault="006634B5" w:rsidP="006634B5">
      <w:pPr>
        <w:jc w:val="both"/>
        <w:rPr>
          <w:sz w:val="24"/>
        </w:rPr>
      </w:pPr>
      <w:r>
        <w:rPr>
          <w:sz w:val="24"/>
        </w:rPr>
        <w:t>Globally, an estimated 218</w:t>
      </w:r>
      <w:r w:rsidRPr="00BF048C">
        <w:rPr>
          <w:sz w:val="24"/>
        </w:rPr>
        <w:t xml:space="preserve"> million women have an unmet need for fa</w:t>
      </w:r>
      <w:r>
        <w:rPr>
          <w:sz w:val="24"/>
        </w:rPr>
        <w:t xml:space="preserve">mily planning </w:t>
      </w:r>
      <w:r>
        <w:rPr>
          <w:sz w:val="24"/>
        </w:rPr>
        <w:fldChar w:fldCharType="begin"/>
      </w:r>
      <w:r w:rsidR="00B23620">
        <w:rPr>
          <w:sz w:val="24"/>
        </w:rPr>
        <w:instrText xml:space="preserve"> ADDIN ZOTERO_ITEM CSL_CITATION {"citationID":"CYrMbrhe","properties":{"formattedCitation":"(Guttmacher Institute, 2020)","plainCitation":"(Guttmacher Institute, 2020)","noteIndex":0},"citationItems":[{"id":11,"uris":["http://zotero.org/users/7220606/items/TCI57A77"],"uri":["http://zotero.org/users/7220606/items/TCI57A77"],"itemData":{"id":11,"type":"report","language":"en","title":"Adding it Up: Investing in Sexual and Reproductive Health in Low- and Middle-Income Countries","URL":"https://www.guttmacher.org/fact-sheet/adding-it-up-investing-in-sexual-reproductive-health","author":[{"family":"Guttmacher Institute","given":""}],"accessed":{"date-parts":[["2021",1,18]]},"issued":{"date-parts":[["2020"]]}}}],"schema":"https://github.com/citation-style-language/schema/raw/master/csl-citation.json"} </w:instrText>
      </w:r>
      <w:r>
        <w:rPr>
          <w:sz w:val="24"/>
        </w:rPr>
        <w:fldChar w:fldCharType="separate"/>
      </w:r>
      <w:r w:rsidR="00B23620" w:rsidRPr="00B23620">
        <w:rPr>
          <w:rFonts w:ascii="Calibri" w:hAnsi="Calibri" w:cs="Calibri"/>
          <w:sz w:val="24"/>
        </w:rPr>
        <w:t>(Guttmacher Institute, 2020)</w:t>
      </w:r>
      <w:r>
        <w:rPr>
          <w:sz w:val="24"/>
        </w:rPr>
        <w:fldChar w:fldCharType="end"/>
      </w:r>
      <w:r w:rsidRPr="00BF048C">
        <w:rPr>
          <w:sz w:val="24"/>
        </w:rPr>
        <w:t>. There are a number of reason</w:t>
      </w:r>
      <w:r w:rsidR="00020628">
        <w:rPr>
          <w:sz w:val="24"/>
        </w:rPr>
        <w:t>s</w:t>
      </w:r>
      <w:r w:rsidRPr="00BF048C">
        <w:rPr>
          <w:sz w:val="24"/>
        </w:rPr>
        <w:t xml:space="preserve"> why such unmet need for safe and effective family planning methods still exist. Reasons vary by region, country and even within communities. In many areas, especially rural and remote, there remain significant supply-side barriers such as cost, product availability, distance to services, and provider bias</w:t>
      </w:r>
      <w:r>
        <w:rPr>
          <w:sz w:val="24"/>
        </w:rPr>
        <w:t xml:space="preserve"> </w:t>
      </w:r>
      <w:r>
        <w:rPr>
          <w:sz w:val="24"/>
        </w:rPr>
        <w:fldChar w:fldCharType="begin"/>
      </w:r>
      <w:r w:rsidR="001162BF">
        <w:rPr>
          <w:sz w:val="24"/>
        </w:rPr>
        <w:instrText xml:space="preserve"> ADDIN ZOTERO_ITEM CSL_CITATION {"citationID":"EeJE2Z6V","properties":{"formattedCitation":"(Ali &amp; Bellows, 2018)","plainCitation":"(Ali &amp; Bellows, 2018)","noteIndex":0},"citationItems":[{"id":18172,"uris":["http://zotero.org/users/7220606/items/BGQV3PDF"],"uri":["http://zotero.org/users/7220606/items/BGQV3PDF"],"itemData":{"id":18172,"type":"report","language":"en","note":"DOI: 10.31899/rh4.1004","publisher":"Population Council","source":"DOI.org (Crossref)","title":"Ensuring adequate financing of family planning commodities and services","URL":"https://knowledgecommons.popcouncil.org/departments_sbsr-rh/219","author":[{"family":"Ali","given":"Moazzam"},{"family":"Bellows","given":"Benjamin"}],"accessed":{"date-parts":[["2021",5,23]]},"issued":{"date-parts":[["2018"]]}}}],"schema":"https://github.com/citation-style-language/schema/raw/master/csl-citation.json"} </w:instrText>
      </w:r>
      <w:r>
        <w:rPr>
          <w:sz w:val="24"/>
        </w:rPr>
        <w:fldChar w:fldCharType="separate"/>
      </w:r>
      <w:r w:rsidR="001162BF" w:rsidRPr="001162BF">
        <w:rPr>
          <w:rFonts w:ascii="Calibri" w:hAnsi="Calibri" w:cs="Calibri"/>
          <w:sz w:val="24"/>
        </w:rPr>
        <w:t>(Ali &amp; Bellows, 2018)</w:t>
      </w:r>
      <w:r>
        <w:rPr>
          <w:sz w:val="24"/>
        </w:rPr>
        <w:fldChar w:fldCharType="end"/>
      </w:r>
      <w:r w:rsidRPr="00BF048C">
        <w:rPr>
          <w:sz w:val="24"/>
        </w:rPr>
        <w:t xml:space="preserve">. </w:t>
      </w:r>
      <w:r>
        <w:rPr>
          <w:sz w:val="24"/>
        </w:rPr>
        <w:t>W</w:t>
      </w:r>
      <w:r w:rsidRPr="00BF048C">
        <w:rPr>
          <w:sz w:val="24"/>
        </w:rPr>
        <w:t>here commodities are available, persistent demand-side barriers exist – especially psychosocial factors limiting uptake among conservative, isolated</w:t>
      </w:r>
      <w:r w:rsidR="00020628">
        <w:rPr>
          <w:sz w:val="24"/>
        </w:rPr>
        <w:t>,</w:t>
      </w:r>
      <w:r w:rsidRPr="00BF048C">
        <w:rPr>
          <w:sz w:val="24"/>
        </w:rPr>
        <w:t xml:space="preserve"> and marginalized populations such as youth, unmarried women, ethnic minorities, and some religio</w:t>
      </w:r>
      <w:r>
        <w:rPr>
          <w:sz w:val="24"/>
        </w:rPr>
        <w:t xml:space="preserve">us groups </w:t>
      </w:r>
      <w:r>
        <w:rPr>
          <w:sz w:val="24"/>
        </w:rPr>
        <w:fldChar w:fldCharType="begin"/>
      </w:r>
      <w:r w:rsidR="00B23620">
        <w:rPr>
          <w:sz w:val="24"/>
        </w:rPr>
        <w:instrText xml:space="preserve"> ADDIN ZOTERO_ITEM CSL_CITATION {"citationID":"WSpgW49i","properties":{"formattedCitation":"(Ensor &amp; Cooper, 2004; Mwaikambo et al., 2011)","plainCitation":"(Ensor &amp; Cooper, 2004; Mwaikambo et al., 2011)","noteIndex":0},"citationItems":[{"id":18091,"uris":["http://zotero.org/users/7220606/items/U42PMLER"],"uri":["http://zotero.org/users/7220606/items/U42PMLER"],"itemData":{"id":18091,"type":"article-journal","abstract":"Evidence suggests that demand-side barriers may be as important as supply factors in deterring patients from obtaining treatment. Yet relatively little attention is given, either by policy makers or researchers, to ways of minimizing their effect. These barriers are likely to be more important for the poor and other vulnerable groups, where the costs of access, lack of information and cultural barriers impede them from benefiting from public spending.Demand barriers present in low- and middle-income countries and evidence on the effectiveness of interventions to overcome these obstacles are reviewed. Demand barriers are also shown to be important in richer countries, particularly among vulnerable groups. This suggests that while barriers are plentiful, there is a dearth of evidence on ways to reduce them. Where evidence does exist, the data and methodology for evaluating effectiveness and cost-effectiveness is insufficient. An increased focus on obtaining robust evidence on effective interventions could yield high returns. The likely nature of the interventions means that pragmatic policy routes that go beyond the traditional boundaries of the public health sector are required for implementing the findings.","container-title":"Health Policy and Planning","DOI":"10.1093/heapol/czh009","ISSN":"0268-1080","issue":"2","journalAbbreviation":"Health Policy and Planning","page":"69-79","source":"Silverchair","title":"Overcoming barriers to health service access: influencing the demand side","title-short":"Overcoming barriers to health service access","volume":"19","author":[{"family":"Ensor","given":"Tim"},{"family":"Cooper","given":"Stephanie"}],"issued":{"date-parts":[["2004",3,1]]}}},{"id":18094,"uris":["http://zotero.org/users/7220606/items/M2VC67VV"],"uri":["http://zotero.org/users/7220606/items/M2VC67VV"],"itemData":{"id":18094,"type":"article-journal","abstract":"This study presents findings from a systematic review of evaluations of family planning interventions published between 1995 and 2008. Studies that used an experimental or quasi-experimental design or used another approach to attribute program exposure to observed changes in fertility or family planning outcomes at the individual or population levels were included and ranked by strength of evidence. A total of 63 studies met the inclusion criteria. The findings from this review are summarized in tabular format by the type of intervention (classified as supply-side or demand-side). About two-thirds of the studies found were evaluations of programs focusing on demand generation. Findings from all programs revealed significant improvements in knowledge, attitudes, discussion, and intentions. Program impacts on use of contraceptives and use of family planning services were less consistently found, and fewer than half of the studies that measured fertility or pregnancy-related outcomes found an impact. Based on the review findings, we identify promising programmatic approaches and propose directions for future evaluation research of family planning interventions.","container-title":"Studies in Family Planning","DOI":"https://doi.org/10.1111/j.1728-4465.2011.00267.x","ISSN":"1728-4465","issue":"2","language":"en","note":"_eprint: https://onlinelibrary.wiley.com/doi/pdf/10.1111/j.1728-4465.2011.00267.x","page":"67-82","source":"Wiley Online Library","title":"What Works in Family Planning Interventions: A Systematic Review","title-short":"What Works in Family Planning Interventions","volume":"42","author":[{"family":"Mwaikambo","given":"Lisa"},{"family":"Speizer","given":"Ilene S."},{"family":"Schurmann","given":"Anna"},{"family":"Morgan","given":"Gwen"},{"family":"Fikree","given":"Fariyal"}],"issued":{"date-parts":[["2011"]]}}}],"schema":"https://github.com/citation-style-language/schema/raw/master/csl-citation.json"} </w:instrText>
      </w:r>
      <w:r>
        <w:rPr>
          <w:sz w:val="24"/>
        </w:rPr>
        <w:fldChar w:fldCharType="separate"/>
      </w:r>
      <w:r w:rsidR="00B23620" w:rsidRPr="00B23620">
        <w:rPr>
          <w:rFonts w:ascii="Calibri" w:hAnsi="Calibri" w:cs="Calibri"/>
          <w:sz w:val="24"/>
        </w:rPr>
        <w:t>(Ensor &amp; Cooper, 2004; Mwaikambo et al., 2011)</w:t>
      </w:r>
      <w:r>
        <w:rPr>
          <w:sz w:val="24"/>
        </w:rPr>
        <w:fldChar w:fldCharType="end"/>
      </w:r>
      <w:r>
        <w:rPr>
          <w:sz w:val="24"/>
        </w:rPr>
        <w:t>.</w:t>
      </w:r>
    </w:p>
    <w:p w14:paraId="7890FB3B" w14:textId="27F0F979" w:rsidR="006634B5" w:rsidRDefault="006634B5" w:rsidP="006634B5">
      <w:pPr>
        <w:jc w:val="both"/>
        <w:rPr>
          <w:sz w:val="24"/>
        </w:rPr>
      </w:pPr>
      <w:r w:rsidRPr="00BF048C">
        <w:rPr>
          <w:sz w:val="24"/>
        </w:rPr>
        <w:t xml:space="preserve">Women’s </w:t>
      </w:r>
      <w:r>
        <w:rPr>
          <w:sz w:val="24"/>
        </w:rPr>
        <w:t xml:space="preserve">agency and </w:t>
      </w:r>
      <w:r w:rsidRPr="00BF048C">
        <w:rPr>
          <w:sz w:val="24"/>
        </w:rPr>
        <w:t xml:space="preserve">empowerment is a vital component of family planning. Women, </w:t>
      </w:r>
      <w:r>
        <w:rPr>
          <w:sz w:val="24"/>
        </w:rPr>
        <w:t>particularly</w:t>
      </w:r>
      <w:r w:rsidRPr="00BF048C">
        <w:rPr>
          <w:sz w:val="24"/>
        </w:rPr>
        <w:t xml:space="preserve"> in patriarchal societies often lack the </w:t>
      </w:r>
      <w:r>
        <w:rPr>
          <w:sz w:val="24"/>
        </w:rPr>
        <w:t>autonomy</w:t>
      </w:r>
      <w:r w:rsidRPr="00BF048C">
        <w:rPr>
          <w:sz w:val="24"/>
        </w:rPr>
        <w:t xml:space="preserve"> to make their own sexual and reproductive choices</w:t>
      </w:r>
      <w:r>
        <w:rPr>
          <w:sz w:val="24"/>
        </w:rPr>
        <w:t xml:space="preserve"> </w:t>
      </w:r>
      <w:r>
        <w:rPr>
          <w:sz w:val="24"/>
        </w:rPr>
        <w:fldChar w:fldCharType="begin"/>
      </w:r>
      <w:r w:rsidR="00B23620">
        <w:rPr>
          <w:sz w:val="24"/>
        </w:rPr>
        <w:instrText xml:space="preserve"> ADDIN ZOTERO_ITEM CSL_CITATION {"citationID":"ss8uEUIL","properties":{"formattedCitation":"(Patrikar et al., 2014)","plainCitation":"(Patrikar et al., 2014)","noteIndex":0},"citationItems":[{"id":18099,"uris":["http://zotero.org/users/7220606/items/FHXWEPFQ"],"uri":["http://zotero.org/users/7220606/items/FHXWEPFQ"],"itemData":{"id":18099,"type":"article-journal","abstract":"Background\nUse of contraception is influenced by many processes most by the women's empowerment. Women's decision making power and their autonomy within the household is the most important factor affecting contraceptive use. This paper aims to analyze the relationship between these two indicators of women's empowerment and the use of contraception.\nMethods\nThis cross sectional study was conducted by personally interviewing 385 currently married women selected by systematic sampling on a pretested and validated questionnaire. Two indices, women's decision-making power index and women's autonomy index, were constructed and association with contraception use analyzed.\nResults &amp; Conclusion\nThe study gives the evidence that decision making power is low in the respondents with 48.2% (95% CI 43.34, 53.31) of them having low level of power, while 27.6% (95% CI 23.24, 32.16) have medium level and 3.6% (95% CI 2.08, 5.88) having high level of power. 22.4% (95% CI 18.39, 26.70) of women do not have any autonomy as against 43.9% (95% CI 38.99, 48.89) with low level, 25% (95% CI 20.80, 29.44) with medium autonomy and 8.7% (95% CI 6.29, 11.98) scoring above 7 (high level of autonomy). In the study population it was found that 273 (70.7%, 95% CI 66.2, 75.28) of the respondents were using contraceptives. Women's autonomy, years of marriage and number of children were significant variables.","container-title":"Medical Journal Armed Forces India","DOI":"10.1016/j.mjafi.2013.12.014","ISSN":"0377-1237","issue":"3","journalAbbreviation":"Medical Journal Armed Forces India","language":"en","page":"253-256","source":"ScienceDirect","title":"Women empowerment and use of contraception","volume":"70","author":[{"family":"Patrikar","given":"S. R."},{"family":"Basannar","given":"D. R."},{"family":"Seema Sharma","given":"Maj"}],"issued":{"date-parts":[["2014",7,1]]}}}],"schema":"https://github.com/citation-style-language/schema/raw/master/csl-citation.json"} </w:instrText>
      </w:r>
      <w:r>
        <w:rPr>
          <w:sz w:val="24"/>
        </w:rPr>
        <w:fldChar w:fldCharType="separate"/>
      </w:r>
      <w:r w:rsidR="00B23620" w:rsidRPr="00B23620">
        <w:rPr>
          <w:rFonts w:ascii="Calibri" w:hAnsi="Calibri" w:cs="Calibri"/>
          <w:sz w:val="24"/>
        </w:rPr>
        <w:t>(Patrikar et al., 2014)</w:t>
      </w:r>
      <w:r>
        <w:rPr>
          <w:sz w:val="24"/>
        </w:rPr>
        <w:fldChar w:fldCharType="end"/>
      </w:r>
      <w:r w:rsidRPr="00BF048C">
        <w:rPr>
          <w:sz w:val="24"/>
        </w:rPr>
        <w:t xml:space="preserve">. Husbands, mothers-in-law and other community and family members </w:t>
      </w:r>
      <w:r>
        <w:rPr>
          <w:sz w:val="24"/>
        </w:rPr>
        <w:t>can</w:t>
      </w:r>
      <w:r w:rsidRPr="00BF048C">
        <w:rPr>
          <w:sz w:val="24"/>
        </w:rPr>
        <w:t xml:space="preserve"> have more authority in a woman’s life than she does. Ensuring all women have decision-making power over their fertility would overcome a major and pervas</w:t>
      </w:r>
      <w:r>
        <w:rPr>
          <w:sz w:val="24"/>
        </w:rPr>
        <w:t>ive impediment to expanding FP. Strategies to address this could include increasing/improving male engagement as part of a couple in discussions and decisions around reproductive health, particularly around family size and child spacing</w:t>
      </w:r>
      <w:r w:rsidR="00E04E29">
        <w:rPr>
          <w:sz w:val="24"/>
        </w:rPr>
        <w:t xml:space="preserve"> </w:t>
      </w:r>
      <w:r w:rsidR="00E04E29">
        <w:rPr>
          <w:sz w:val="24"/>
        </w:rPr>
        <w:fldChar w:fldCharType="begin"/>
      </w:r>
      <w:r w:rsidR="00E04E29">
        <w:rPr>
          <w:sz w:val="24"/>
        </w:rPr>
        <w:instrText xml:space="preserve"> ADDIN ZOTERO_ITEM CSL_CITATION {"citationID":"YoXq53Co","properties":{"formattedCitation":"(Hardee et al., 2017)","plainCitation":"(Hardee et al., 2017)","noteIndex":0},"citationItems":[{"id":18431,"uris":["http://zotero.org/groups/2723676/items/UXFEQAPQ"],"uri":["http://zotero.org/groups/2723676/items/UXFEQAPQ"],"itemData":{"id":18431,"type":"article-journal","abstract":"Although the range of contraceptives includes methods for men, namely condoms, vasectomy and withdrawal that men use directly, and the Standard Days Method (SDM) that requires their participation, family planning programming has primarily focused on women. What is known about reaching men as contraceptive users? This paper draws from a review of 47 interventions that reached men and proposes 10 key considerations for strengthening programming for men as contraceptive users. A review of programming shows that men and boys are not particularly well served by programs. Most programs operate from the perspective that women are contraceptive users and that men should support their partners, with insufficient attention to reaching men as contraceptive users in their own right. The notion that family planning is women’s business only is outdated. There is sufficient evidence demonstrating men’s desire for information and services, as well as men’s positive response to existing programming to warrant further programming for men as FP users. The key considerations focus on getting information and services where men and boys need it; addressing gender norms that affect men’s attitudes and use while respecting women’s autonomy; reaching adolescent boys; including men as users in policies and guidelines; scaling up successful programming; filling gaps with implementation research and monitoring &amp; evaluation; and creating more contraceptive options for men.","container-title":"Reproductive Health","DOI":"10.1186/s12978-017-0278-5","ISSN":"1742-4755","issue":"1","journalAbbreviation":"Reproductive Health","page":"14","source":"BioMed Central","title":"Are men well served by family planning programs?","volume":"14","author":[{"family":"Hardee","given":"Karen"},{"family":"Croce-Galis","given":"Melanie"},{"family":"Gay","given":"Jill"}],"issued":{"date-parts":[["2017",1,23]]}}}],"schema":"https://github.com/citation-style-language/schema/raw/master/csl-citation.json"} </w:instrText>
      </w:r>
      <w:r w:rsidR="00E04E29">
        <w:rPr>
          <w:sz w:val="24"/>
        </w:rPr>
        <w:fldChar w:fldCharType="separate"/>
      </w:r>
      <w:r w:rsidR="00E04E29" w:rsidRPr="00E04E29">
        <w:rPr>
          <w:rFonts w:ascii="Calibri" w:hAnsi="Calibri" w:cs="Calibri"/>
          <w:sz w:val="24"/>
        </w:rPr>
        <w:t>(Hardee et al., 2017)</w:t>
      </w:r>
      <w:r w:rsidR="00E04E29">
        <w:rPr>
          <w:sz w:val="24"/>
        </w:rPr>
        <w:fldChar w:fldCharType="end"/>
      </w:r>
      <w:r w:rsidR="0019695A">
        <w:rPr>
          <w:sz w:val="24"/>
        </w:rPr>
        <w:t>.</w:t>
      </w:r>
    </w:p>
    <w:p w14:paraId="6D02FA58" w14:textId="12BC67D5" w:rsidR="006634B5" w:rsidRDefault="006634B5" w:rsidP="006634B5">
      <w:pPr>
        <w:jc w:val="both"/>
        <w:rPr>
          <w:sz w:val="24"/>
        </w:rPr>
      </w:pPr>
      <w:r>
        <w:rPr>
          <w:sz w:val="24"/>
        </w:rPr>
        <w:t xml:space="preserve">Concerns and misconceptions about the possible side effects of contraceptive methods can be a barrier to FP uptake in many contexts. Fears of infertility, congenital abnormalities and excessive bleeding are often associated with contraceptive use, and efforts to dispel such beliefs and educate women about the proper management of possible side effects should be an essential component of FP counselling </w:t>
      </w:r>
      <w:r>
        <w:rPr>
          <w:sz w:val="24"/>
        </w:rPr>
        <w:fldChar w:fldCharType="begin"/>
      </w:r>
      <w:r w:rsidR="00B23620">
        <w:rPr>
          <w:sz w:val="24"/>
        </w:rPr>
        <w:instrText xml:space="preserve"> ADDIN ZOTERO_ITEM CSL_CITATION {"citationID":"qEPBHRjK","properties":{"formattedCitation":"(Population Reference Bureau, 2019)","plainCitation":"(Population Reference Bureau, 2019)","noteIndex":0},"citationItems":[{"id":18104,"uris":["http://zotero.org/users/7220606/items/KZN44BGY"],"uri":["http://zotero.org/users/7220606/items/KZN44BGY"],"itemData":{"id":18104,"type":"post-weblog","language":"en-US","title":"Myths, Misconceptions Still Discourage Use of Family Planning","URL":"https://www.prb.org/myths-misconceptions-still-discourage-use-of-family-planning/","author":[{"family":"Population Reference Bureau","given":""}],"accessed":{"date-parts":[["2021",5,3]]},"issued":{"date-parts":[["2019"]]}}}],"schema":"https://github.com/citation-style-language/schema/raw/master/csl-citation.json"} </w:instrText>
      </w:r>
      <w:r>
        <w:rPr>
          <w:sz w:val="24"/>
        </w:rPr>
        <w:fldChar w:fldCharType="separate"/>
      </w:r>
      <w:r w:rsidR="00B23620" w:rsidRPr="00B23620">
        <w:rPr>
          <w:rFonts w:ascii="Calibri" w:hAnsi="Calibri" w:cs="Calibri"/>
          <w:sz w:val="24"/>
        </w:rPr>
        <w:t>(Population Reference Bureau, 2019)</w:t>
      </w:r>
      <w:r>
        <w:rPr>
          <w:sz w:val="24"/>
        </w:rPr>
        <w:fldChar w:fldCharType="end"/>
      </w:r>
      <w:r>
        <w:rPr>
          <w:sz w:val="24"/>
        </w:rPr>
        <w:t xml:space="preserve">. </w:t>
      </w:r>
    </w:p>
    <w:p w14:paraId="264B022C" w14:textId="6C93279C" w:rsidR="006634B5" w:rsidRDefault="006634B5" w:rsidP="006634B5">
      <w:pPr>
        <w:jc w:val="both"/>
        <w:rPr>
          <w:sz w:val="24"/>
        </w:rPr>
      </w:pPr>
      <w:r>
        <w:rPr>
          <w:sz w:val="24"/>
        </w:rPr>
        <w:t>In many countries,</w:t>
      </w:r>
      <w:r w:rsidRPr="00BF048C">
        <w:rPr>
          <w:sz w:val="24"/>
        </w:rPr>
        <w:t xml:space="preserve"> the health workforce does not have the immediate capacity (whether technical, operational or personnel) to meet demand for services. One way to overcome this challenge is by task shifting, or utilizing community health workers to deliver services</w:t>
      </w:r>
      <w:r w:rsidR="00FD2C5C">
        <w:rPr>
          <w:sz w:val="24"/>
        </w:rPr>
        <w:t xml:space="preserve"> </w:t>
      </w:r>
      <w:r w:rsidR="00FD2C5C">
        <w:rPr>
          <w:sz w:val="24"/>
        </w:rPr>
        <w:fldChar w:fldCharType="begin"/>
      </w:r>
      <w:r w:rsidR="00FD2C5C">
        <w:rPr>
          <w:sz w:val="24"/>
        </w:rPr>
        <w:instrText xml:space="preserve"> ADDIN ZOTERO_ITEM CSL_CITATION {"citationID":"VaVanVBq","properties":{"formattedCitation":"(Scott et al., 2015)","plainCitation":"(Scott et al., 2015)","noteIndex":0},"citationItems":[{"id":18188,"uris":["http://zotero.org/users/7220606/items/SYRT678W"],"uri":["http://zotero.org/users/7220606/items/SYRT678W"],"itemData":{"id":18188,"type":"article-journal","abstract":"This systematic review evaluates the strength of the evidence that community health workers' (CHW) provision of family planning (FP) services in low- and middle-income countries is effective. In a search of eight databases, articles were screened by study design and outcome measure and ranked by strength of evidence. Only randomized trials, longitudinal studies with a comparison group, and pre-test/post-test studies met inclusion criteria. A total of 56 studies were included. Of those studies with relevant data, approximately 93 percent indicated that CHW FP programs effectively increased the use of modern contraception, while 83 percent reported an improvement in knowledge and attitudes concerning contraceptives. Based on these findings, strong evidence exists for promoting CHW programs to improve access to FP services. We recommend a set of best practice guidelines that researchers and program managers can use to report on CHW FP programs to facilitate the translation of research to practice across a wide range of settings.","container-title":"Studies in Family Planning","ISSN":"0039-3665","issue":"3","note":"publisher: [Population Council, Wiley]","page":"241-261","source":"JSTOR","title":"Community Health Workers' Provision of Family Planning Services in Low- and Middle-Income Countries: A Systematic Review of Effectiveness","title-short":"Community Health Workers' Provision of Family Planning Services in Low- and Middle-Income Countries","volume":"46","author":[{"family":"Scott","given":"Valerie K."},{"family":"Gottschalk","given":"Lindsey B."},{"family":"Wright","given":"Kelsey Q."},{"family":"Twose","given":"Claire"},{"family":"Bohren","given":"Meghan A."},{"family":"Schmitt","given":"Megan E."},{"family":"Ortayli","given":"Nuriye"}],"issued":{"date-parts":[["2015"]]}}}],"schema":"https://github.com/citation-style-language/schema/raw/master/csl-citation.json"} </w:instrText>
      </w:r>
      <w:r w:rsidR="00FD2C5C">
        <w:rPr>
          <w:sz w:val="24"/>
        </w:rPr>
        <w:fldChar w:fldCharType="separate"/>
      </w:r>
      <w:r w:rsidR="00FD2C5C" w:rsidRPr="00FD2C5C">
        <w:rPr>
          <w:rFonts w:ascii="Calibri" w:hAnsi="Calibri" w:cs="Calibri"/>
          <w:sz w:val="24"/>
        </w:rPr>
        <w:t>(Scott et al., 2015)</w:t>
      </w:r>
      <w:r w:rsidR="00FD2C5C">
        <w:rPr>
          <w:sz w:val="24"/>
        </w:rPr>
        <w:fldChar w:fldCharType="end"/>
      </w:r>
      <w:r w:rsidRPr="00BF048C">
        <w:rPr>
          <w:sz w:val="24"/>
        </w:rPr>
        <w:t>. Provider bias among health providers poses a major threat to ensuring methods choice for individuals. Providers may set arbitrary restrictions on who can access what services and may have negative attitudes toward certain groups, e.g. youth or unmarried women, preventing access to quality services and introducing an additional barrier</w:t>
      </w:r>
      <w:r>
        <w:rPr>
          <w:sz w:val="24"/>
        </w:rPr>
        <w:t xml:space="preserve"> </w:t>
      </w:r>
      <w:r>
        <w:rPr>
          <w:sz w:val="24"/>
        </w:rPr>
        <w:fldChar w:fldCharType="begin"/>
      </w:r>
      <w:r w:rsidR="00B23620">
        <w:rPr>
          <w:sz w:val="24"/>
        </w:rPr>
        <w:instrText xml:space="preserve"> ADDIN ZOTERO_ITEM CSL_CITATION {"citationID":"L4B7qfdE","properties":{"formattedCitation":"(Solo &amp; Festin, 2019)","plainCitation":"(Solo &amp; Festin, 2019)","noteIndex":0},"citationItems":[{"id":18079,"uris":["http://zotero.org/users/7220606/items/MQV22FW4"],"uri":["http://zotero.org/users/7220606/items/MQV22FW4"],"itemData":{"id":18079,"type":"article-journal","abstract":"Family planning programs are guided by the principle of informed choice as well as the goal of providing a broad choice of contraceptive methods to clients. Provider bias is an important barrier to realizing this goal, but it must be clearly defined and understood to be effectively addressed. This review presents an overview of the concept of provider bias in family planning, focusing on the following issues: (1) what it is, (2) how widespread it is, (3) its underlying causes, (4) its impacts, and (5) how it can be effectively addressed. The definitions of provider bias include common themes about providers creating barriers to choice, typically based on the characteristics of either a client or a contraceptive method. However, an agreed-upon definition is lacking. Measurement of provider bias has often relied on self-reports by providers but has also included observation and use of mystery clients for supplemental data. The general trend in the data is clear: large numbers of providers impose barriers and restrictions beyond those that are in guidelines or are necessary for any medical reasons. This trend indicates the presence of bias. Providers have shown bias based on age, parity, marital status, and other criteria, with a bias against provision of various contraceptive methods to youth being the most common. Provider bias often stems from broader social norms, particularly judgments about sexual activity among youth and concerns about the impact of hormonal methods on future fertility. Little documentation of the impact of provider bias exists, although method mix skew has been identified as a possible red flag for bias. Newer approaches to address bias that have moved beyond traditional training and guidelines development to more fundamental behavior change efforts show promise, and learning from their lessons will be important. A major question is how to scale up such approaches.","container-title":"Global Health: Science and Practice","DOI":"10.9745/GHSP-D-19-00130","ISSN":"2169-575X","issue":"3","language":"en","note":"publisher: Global Health: Science and Practice\nsection: PROGRAMMATIC REVIEWS &amp;amp; ANALYSES\nPMID: 31515240","page":"371-385","source":"www.ghspjournal.org","title":"Provider Bias in Family Planning Services: A Review of Its Meaning and Manifestations","title-short":"Provider Bias in Family Planning Services","volume":"7","author":[{"family":"Solo","given":"Julie"},{"family":"Festin","given":"Mario"}],"issued":{"date-parts":[["2019",9,23]]}}}],"schema":"https://github.com/citation-style-language/schema/raw/master/csl-citation.json"} </w:instrText>
      </w:r>
      <w:r>
        <w:rPr>
          <w:sz w:val="24"/>
        </w:rPr>
        <w:fldChar w:fldCharType="separate"/>
      </w:r>
      <w:r w:rsidR="00B23620" w:rsidRPr="00B23620">
        <w:rPr>
          <w:rFonts w:ascii="Calibri" w:hAnsi="Calibri" w:cs="Calibri"/>
          <w:sz w:val="24"/>
        </w:rPr>
        <w:t>(Solo &amp; Festin, 2019)</w:t>
      </w:r>
      <w:r>
        <w:rPr>
          <w:sz w:val="24"/>
        </w:rPr>
        <w:fldChar w:fldCharType="end"/>
      </w:r>
      <w:r w:rsidRPr="00BF048C">
        <w:rPr>
          <w:sz w:val="24"/>
        </w:rPr>
        <w:t xml:space="preserve">. Training providers in interpersonal communication and promoting and strengthening respectful client-centered approaches is key. </w:t>
      </w:r>
    </w:p>
    <w:p w14:paraId="269F23BC" w14:textId="7B0B7C6C" w:rsidR="006634B5" w:rsidRDefault="006634B5" w:rsidP="006634B5">
      <w:pPr>
        <w:jc w:val="both"/>
        <w:rPr>
          <w:sz w:val="24"/>
        </w:rPr>
      </w:pPr>
      <w:r w:rsidRPr="00BF048C">
        <w:rPr>
          <w:sz w:val="24"/>
        </w:rPr>
        <w:t>Weak systems for monitoring and managing contraceptive commodities can limit access, especially in rural and remote settings, therefore, developing commodities procurement, management and distribution systems is critical. A weak or restrictive policy and regulatory environment can make integration and mainstreaming of FP policy challenging</w:t>
      </w:r>
      <w:r>
        <w:rPr>
          <w:sz w:val="24"/>
        </w:rPr>
        <w:t xml:space="preserve"> </w:t>
      </w:r>
      <w:r>
        <w:rPr>
          <w:sz w:val="24"/>
        </w:rPr>
        <w:fldChar w:fldCharType="begin"/>
      </w:r>
      <w:r w:rsidR="00B23620">
        <w:rPr>
          <w:sz w:val="24"/>
        </w:rPr>
        <w:instrText xml:space="preserve"> ADDIN ZOTERO_ITEM CSL_CITATION {"citationID":"46KrQW0b","properties":{"formattedCitation":"(Prata, 2009)","plainCitation":"(Prata, 2009)","noteIndex":0},"citationItems":[{"id":18106,"uris":["http://zotero.org/users/7220606/items/HFGQWKL7"],"uri":["http://zotero.org/users/7220606/items/HFGQWKL7"],"itemData":{"id":18106,"type":"article-journal","abstract":"It is imperative to make family planning more accessible in low resource settings. The poorest couples have the highest fertility, the lowest contraceptive use and the highest unmet need for contraception. It is also in the low resource settings where maternal and child mortality is the highest. Family planning can contribute to improvements in maternal and child health, especially in low resource settings where overall access to health services is limited. Four critical steps should be taken to increase access to family planning in resource-poor settings: (i) increase knowledge about the safety of family planning methods; (ii) ensure contraception is genuinely affordable to the poorest families; (iii) ensure supply of contraceptives by making family planning a permanent line item in healthcare system's budgets and (iv) take immediate action to remove barriers hindering access to family planning methods. In Africa, there are more women with an unmet need for family planning than women currently using modern methods. Making family planning accessible in low resource settings will help decrease the existing inequities in achieving desired fertility at individual and country level. In addition, it could help slow population growth within a human rights framework. The United Nations Population Division projections for the year 2050 vary between a high of 10.6 and a low of 7.4 billion. Given that most of the growth is expected to come from today's resource-poor settings, easy access to family planning could make a difference of billions in the world in 2050.","container-title":"Philosophical Transactions of the Royal Society B: Biological Sciences","DOI":"10.1098/rstb.2009.0172","ISSN":"0962-8436","issue":"1532","journalAbbreviation":"Philos Trans R Soc Lond B Biol Sci","note":"PMID: 19770158\nPMCID: PMC2781837","page":"3093-3099","source":"PubMed Central","title":"Making family planning accessible in resource-poor settings","volume":"364","author":[{"family":"Prata","given":"Ndola"}],"issued":{"date-parts":[["2009",10,27]]}}}],"schema":"https://github.com/citation-style-language/schema/raw/master/csl-citation.json"} </w:instrText>
      </w:r>
      <w:r>
        <w:rPr>
          <w:sz w:val="24"/>
        </w:rPr>
        <w:fldChar w:fldCharType="separate"/>
      </w:r>
      <w:r w:rsidR="00B23620" w:rsidRPr="00B23620">
        <w:rPr>
          <w:rFonts w:ascii="Calibri" w:hAnsi="Calibri" w:cs="Calibri"/>
          <w:sz w:val="24"/>
        </w:rPr>
        <w:t>(Prata, 2009)</w:t>
      </w:r>
      <w:r>
        <w:rPr>
          <w:sz w:val="24"/>
        </w:rPr>
        <w:fldChar w:fldCharType="end"/>
      </w:r>
      <w:r w:rsidRPr="00BF048C">
        <w:rPr>
          <w:sz w:val="24"/>
        </w:rPr>
        <w:t xml:space="preserve">. Mobilizing civil society and communities to advocate for the underserved and demand expanded services is critical for shifting attitudes of decision makers. </w:t>
      </w:r>
    </w:p>
    <w:p w14:paraId="52954524" w14:textId="77777777" w:rsidR="006634B5" w:rsidRDefault="006634B5" w:rsidP="006634B5">
      <w:pPr>
        <w:jc w:val="both"/>
        <w:rPr>
          <w:rFonts w:asciiTheme="majorHAnsi" w:eastAsiaTheme="majorEastAsia" w:hAnsiTheme="majorHAnsi" w:cstheme="majorBidi"/>
          <w:b/>
          <w:iCs/>
          <w:sz w:val="24"/>
        </w:rPr>
      </w:pPr>
    </w:p>
    <w:p w14:paraId="422A9D4B" w14:textId="1357C8E5" w:rsidR="006634B5" w:rsidRDefault="006634B5" w:rsidP="006634B5">
      <w:pPr>
        <w:pStyle w:val="Heading3"/>
      </w:pPr>
      <w:bookmarkStart w:id="36" w:name="_Toc71702083"/>
      <w:bookmarkStart w:id="37" w:name="_Toc74154042"/>
      <w:r>
        <w:t>Barriers to education</w:t>
      </w:r>
      <w:bookmarkEnd w:id="36"/>
      <w:bookmarkEnd w:id="37"/>
    </w:p>
    <w:p w14:paraId="77E11059" w14:textId="2D815A64" w:rsidR="006634B5" w:rsidRDefault="006634B5" w:rsidP="006634B5">
      <w:pPr>
        <w:jc w:val="both"/>
        <w:rPr>
          <w:sz w:val="24"/>
        </w:rPr>
      </w:pPr>
      <w:r>
        <w:rPr>
          <w:sz w:val="24"/>
        </w:rPr>
        <w:t>Com</w:t>
      </w:r>
      <w:r w:rsidRPr="004F1052">
        <w:rPr>
          <w:sz w:val="24"/>
        </w:rPr>
        <w:t xml:space="preserve">mitting to </w:t>
      </w:r>
      <w:r>
        <w:rPr>
          <w:sz w:val="24"/>
        </w:rPr>
        <w:t xml:space="preserve">universal, inclusive education for all children everywhere in the world, in line with international declarations as part of the UN 2030 Agenda for Sustainable Development of ‘leaving no one behind’, is no easy task </w:t>
      </w:r>
      <w:r>
        <w:rPr>
          <w:sz w:val="24"/>
        </w:rPr>
        <w:fldChar w:fldCharType="begin"/>
      </w:r>
      <w:r w:rsidR="00B23620">
        <w:rPr>
          <w:sz w:val="24"/>
        </w:rPr>
        <w:instrText xml:space="preserve"> ADDIN ZOTERO_ITEM CSL_CITATION {"citationID":"YlmEEvMT","properties":{"formattedCitation":"(UNESCO, 2020)","plainCitation":"(UNESCO, 2020)","noteIndex":0},"citationItems":[{"id":18051,"uris":["http://zotero.org/users/7220606/items/EP8TJDGR"],"uri":["http://zotero.org/users/7220606/items/EP8TJDGR"],"itemData":{"id":18051,"type":"report","title":"Inclusion and Education | Global Education Monitoring Report","URL":"https://en.unesco.org/gem-report/report/2020/inclusion","author":[{"family":"UNESCO","given":""}],"accessed":{"date-parts":[["2021",5,2]]},"issued":{"date-parts":[["2020"]]}}}],"schema":"https://github.com/citation-style-language/schema/raw/master/csl-citation.json"} </w:instrText>
      </w:r>
      <w:r>
        <w:rPr>
          <w:sz w:val="24"/>
        </w:rPr>
        <w:fldChar w:fldCharType="separate"/>
      </w:r>
      <w:r w:rsidR="00B23620" w:rsidRPr="00B23620">
        <w:rPr>
          <w:rFonts w:ascii="Calibri" w:hAnsi="Calibri" w:cs="Calibri"/>
          <w:sz w:val="24"/>
        </w:rPr>
        <w:t>(UNESCO, 2020)</w:t>
      </w:r>
      <w:r>
        <w:rPr>
          <w:sz w:val="24"/>
        </w:rPr>
        <w:fldChar w:fldCharType="end"/>
      </w:r>
      <w:r>
        <w:rPr>
          <w:sz w:val="24"/>
        </w:rPr>
        <w:t xml:space="preserve">. </w:t>
      </w:r>
      <w:r w:rsidR="009528FD">
        <w:rPr>
          <w:sz w:val="24"/>
        </w:rPr>
        <w:t>Emphasized</w:t>
      </w:r>
      <w:r>
        <w:rPr>
          <w:sz w:val="24"/>
        </w:rPr>
        <w:t xml:space="preserve"> by the stark figures that </w:t>
      </w:r>
      <w:r w:rsidRPr="005348F1">
        <w:rPr>
          <w:sz w:val="24"/>
        </w:rPr>
        <w:t xml:space="preserve">258 million children </w:t>
      </w:r>
      <w:r>
        <w:rPr>
          <w:sz w:val="24"/>
        </w:rPr>
        <w:t>and adolescents</w:t>
      </w:r>
      <w:r w:rsidRPr="005348F1">
        <w:rPr>
          <w:sz w:val="24"/>
        </w:rPr>
        <w:t xml:space="preserve"> are not in school</w:t>
      </w:r>
      <w:r>
        <w:rPr>
          <w:sz w:val="24"/>
        </w:rPr>
        <w:t>, a plethora of barriers to achieving education exist globally, coupled with more nuanced barriers at the regional, national and societal levels in many country contexts</w:t>
      </w:r>
      <w:r w:rsidR="0022781D">
        <w:rPr>
          <w:sz w:val="24"/>
        </w:rPr>
        <w:t xml:space="preserve"> </w:t>
      </w:r>
      <w:r w:rsidR="0022781D">
        <w:rPr>
          <w:sz w:val="24"/>
        </w:rPr>
        <w:fldChar w:fldCharType="begin"/>
      </w:r>
      <w:r w:rsidR="0022781D">
        <w:rPr>
          <w:sz w:val="24"/>
        </w:rPr>
        <w:instrText xml:space="preserve"> ADDIN ZOTERO_ITEM CSL_CITATION {"citationID":"Q70mnDaE","properties":{"formattedCitation":"(UNESCO, 2020)","plainCitation":"(UNESCO, 2020)","noteIndex":0},"citationItems":[{"id":18051,"uris":["http://zotero.org/users/7220606/items/EP8TJDGR"],"uri":["http://zotero.org/users/7220606/items/EP8TJDGR"],"itemData":{"id":18051,"type":"report","title":"Inclusion and Education | Global Education Monitoring Report","URL":"https://en.unesco.org/gem-report/report/2020/inclusion","author":[{"family":"UNESCO","given":""}],"accessed":{"date-parts":[["2021",5,2]]},"issued":{"date-parts":[["2020"]]}}}],"schema":"https://github.com/citation-style-language/schema/raw/master/csl-citation.json"} </w:instrText>
      </w:r>
      <w:r w:rsidR="0022781D">
        <w:rPr>
          <w:sz w:val="24"/>
        </w:rPr>
        <w:fldChar w:fldCharType="separate"/>
      </w:r>
      <w:r w:rsidR="0022781D" w:rsidRPr="0022781D">
        <w:rPr>
          <w:rFonts w:ascii="Calibri" w:hAnsi="Calibri" w:cs="Calibri"/>
          <w:sz w:val="24"/>
        </w:rPr>
        <w:t>(UNESCO, 2020)</w:t>
      </w:r>
      <w:r w:rsidR="0022781D">
        <w:rPr>
          <w:sz w:val="24"/>
        </w:rPr>
        <w:fldChar w:fldCharType="end"/>
      </w:r>
      <w:r>
        <w:rPr>
          <w:sz w:val="24"/>
        </w:rPr>
        <w:t>.</w:t>
      </w:r>
    </w:p>
    <w:p w14:paraId="103D18D3" w14:textId="7549188B" w:rsidR="006634B5" w:rsidRDefault="006634B5" w:rsidP="006634B5">
      <w:pPr>
        <w:jc w:val="both"/>
        <w:rPr>
          <w:sz w:val="24"/>
        </w:rPr>
      </w:pPr>
      <w:r>
        <w:rPr>
          <w:sz w:val="24"/>
        </w:rPr>
        <w:t xml:space="preserve">Access to a quality education can often be hampered by financial or geographical constraints. Though public education in many countries is free, parents of low income households may not be able to afford books, uniforms and associated or indirect fees of sending their children to school </w:t>
      </w:r>
      <w:r>
        <w:rPr>
          <w:sz w:val="24"/>
        </w:rPr>
        <w:fldChar w:fldCharType="begin"/>
      </w:r>
      <w:r w:rsidR="00B23620">
        <w:rPr>
          <w:sz w:val="24"/>
        </w:rPr>
        <w:instrText xml:space="preserve"> ADDIN ZOTERO_ITEM CSL_CITATION {"citationID":"zunO99dr","properties":{"formattedCitation":"(Hunt et al., 2008)","plainCitation":"(Hunt et al., 2008)","noteIndex":0},"citationItems":[{"id":18068,"uris":["http://zotero.org/users/7220606/items/35MAMMVU"],"uri":["http://zotero.org/users/7220606/items/35MAMMVU"],"itemData":{"id":18068,"type":"book","event-place":"Falmer","ISBN":"978-0-901881-21-2","language":"en","note":"OCLC: 794295084","publisher":"Consortium for Research on Educational Access, Transitions and Equity","publisher-place":"Falmer","source":"Open WorldCat","title":"Dropping out from school: A cross-country review of literature","title-short":"Dropping out from school","author":[{"family":"Hunt","given":"Frances"},{"family":"Consortium for Research on Educational Access","given":"Transitions &amp; Equity"},{"literal":"University of Sussex"},{"literal":"Centre for International Education"}],"issued":{"date-parts":[["2008"]]}}}],"schema":"https://github.com/citation-style-language/schema/raw/master/csl-citation.json"} </w:instrText>
      </w:r>
      <w:r>
        <w:rPr>
          <w:sz w:val="24"/>
        </w:rPr>
        <w:fldChar w:fldCharType="separate"/>
      </w:r>
      <w:r w:rsidR="00B23620" w:rsidRPr="00B23620">
        <w:rPr>
          <w:rFonts w:ascii="Calibri" w:hAnsi="Calibri" w:cs="Calibri"/>
          <w:sz w:val="24"/>
        </w:rPr>
        <w:t>(Hunt et al., 2008)</w:t>
      </w:r>
      <w:r>
        <w:rPr>
          <w:sz w:val="24"/>
        </w:rPr>
        <w:fldChar w:fldCharType="end"/>
      </w:r>
      <w:r>
        <w:rPr>
          <w:sz w:val="24"/>
        </w:rPr>
        <w:t xml:space="preserve">. For families living in poverty, the opportunity cost of children being in school, particularly if and when they are critical to helping the family earn an income can often result in children dropping out of school early or not completing all 12 years of their education. For example, girls are commonly asked to help out with domestic chores or look after their younger siblings, while boys are often tasked with agricultural labour; most of these tasks often go unpaid and take up significant amounts of time, preventing children from attending school regularly or consistently </w:t>
      </w:r>
      <w:r>
        <w:rPr>
          <w:sz w:val="24"/>
        </w:rPr>
        <w:fldChar w:fldCharType="begin"/>
      </w:r>
      <w:r w:rsidR="000B30F1">
        <w:rPr>
          <w:sz w:val="24"/>
        </w:rPr>
        <w:instrText xml:space="preserve"> ADDIN ZOTERO_ITEM CSL_CITATION {"citationID":"yPhgYn83","properties":{"formattedCitation":"(Guarcello et al., 2005; Morrow &amp; Boyden, 2018)","plainCitation":"(Guarcello et al., 2005; Morrow &amp; Boyden, 2018)","noteIndex":0},"citationItems":[{"id":18070,"uris":["http://zotero.org/users/7220606/items/I23QT8J9"],"uri":["http://zotero.org/users/7220606/items/I23QT8J9"],"itemData":{"id":18070,"type":"article-journal","abstract":"The study helps to understand the nature of the impact of work on the school attendance and performance of children by examining the relationship between children’s involvement in work, on one hand, and levels of school attendance and performance, on the other, using data from school-based surveys conducted with ILO/IPEC support in Brazil, Kenya, Lebanon, Sri Lanka and Turkey.","language":"en","page":"99","source":"Zotero","title":"Impact of children’s work on school attendance and performance: a review of school survey evidence from five countries","author":[{"family":"Guarcello","given":"L"},{"family":"Lyon","given":"S"},{"family":"Rosati","given":"F C"}],"issued":{"date-parts":[["2005"]]}}},{"id":18436,"uris":["http://zotero.org/groups/2723676/items/44NX7C23"],"uri":["http://zotero.org/groups/2723676/items/44NX7C23"],"itemData":{"id":18436,"type":"report","abstract":"Responding to children's work: Evidence from the Young Lives study in Ethiopia, India, Peru and Vietnam is a Young Lives summative report, synthesising research from the past 15 years on children's work. Supporting materials can be found at #YLChildWork and #respondingtochildrenswork Suggested citation: Morrow, V., Boyden, J. (2018) Responding to children’s work: Evidence from the Young Lives study in Ethiopia, India, Peru and Vietnam, Summative Report. Oxford: Young Lives. The summary version of this report is available here.","collection-title":"Summative Report. Oxford: Young Lives","language":"en","title":"Responding to children's work: Evidence from the Young Lives study in Ethiopia, India, Peru and Vietnam","title-short":"Responding to children's work","URL":"https://www.younglives.org.uk/content/responding-childrens-work-evidence-young-lives-study-ethiopia-india-peru-and-vietnam","author":[{"family":"Morrow","given":"V."},{"family":"Boyden","given":"J."}],"accessed":{"date-parts":[["2021",7,5]]},"issued":{"date-parts":[["2018",2,14]]}}}],"schema":"https://github.com/citation-style-language/schema/raw/master/csl-citation.json"} </w:instrText>
      </w:r>
      <w:r>
        <w:rPr>
          <w:sz w:val="24"/>
        </w:rPr>
        <w:fldChar w:fldCharType="separate"/>
      </w:r>
      <w:r w:rsidR="00E04E29" w:rsidRPr="00E04E29">
        <w:rPr>
          <w:rFonts w:ascii="Calibri" w:hAnsi="Calibri" w:cs="Calibri"/>
          <w:sz w:val="24"/>
        </w:rPr>
        <w:t>(Guarcello et al., 2005; Morrow &amp; Boyden, 2018)</w:t>
      </w:r>
      <w:r>
        <w:rPr>
          <w:sz w:val="24"/>
        </w:rPr>
        <w:fldChar w:fldCharType="end"/>
      </w:r>
      <w:r>
        <w:rPr>
          <w:sz w:val="24"/>
        </w:rPr>
        <w:t xml:space="preserve">. For children living in more rural or remote parts of a country, access to quality schooling could involve travel over long distances </w:t>
      </w:r>
      <w:r>
        <w:rPr>
          <w:sz w:val="24"/>
        </w:rPr>
        <w:fldChar w:fldCharType="begin"/>
      </w:r>
      <w:r w:rsidR="003F52E2">
        <w:rPr>
          <w:sz w:val="24"/>
        </w:rPr>
        <w:instrText xml:space="preserve"> ADDIN ZOTERO_ITEM CSL_CITATION {"citationID":"Di4FhDlA","properties":{"formattedCitation":"(Birdsall et al., 2005; van Maarseveen, 2020)","plainCitation":"(Birdsall et al., 2005; van Maarseveen, 2020)","noteIndex":0},"citationItems":[{"id":18071,"uris":["http://zotero.org/users/7220606/items/B5LWLKER"],"uri":["http://zotero.org/users/7220606/items/B5LWLKER"],"itemData":{"id":18071,"type":"article-journal","abstract":"The UN Millennium Project Task Force on Education and Gender Equality, an expert advisory group commissioned by the UN Secretary-General, was asked to examine how dramatic improvements in education can be achieved in the developing world. The task force investigated the problems of low enrolment, early drop-out and poor learning outcomes that so profoundly affect many children in the developing world. The experiences of both countries that have achieved important successes in rapidly scaling-up access to primary education, and countries that have made only slow progress, shed light on the priorities for the leadership in both developing countries and donor agencies. The task force developed specific recommendations about overcoming demand- and supply-side constraints to greater primary school completion; and about how international donors and technical agencies can stimulate and support country-led progress, with financial resources that are linked to performance.","container-title":"European Journal of Education","DOI":"https://doi.org/10.1111/j.1465-3435.2005.00230.x","ISSN":"1465-3435","issue":"3","language":"en","note":"_eprint: https://onlinelibrary.wiley.com/doi/pdf/10.1111/j.1465-3435.2005.00230.x","page":"337-349","source":"Wiley Online Library","title":"Towards Universal Primary Education: investments, incentives, and institutions","title-short":"Towards Universal Primary Education","volume":"40","author":[{"family":"Birdsall","given":"Nancy"},{"family":"Levine","given":"Ruth"},{"family":"Ibrahim","given":"Amina"}],"issued":{"date-parts":[["2005"]]}}},{"id":18438,"uris":["http://zotero.org/groups/2723676/items/J62EA5PL"],"uri":["http://zotero.org/groups/2723676/items/J62EA5PL"],"itemData":{"id":18438,"type":"article-journal","abstract":"Despite the large urban–rural education gap observed in most countries, little attention has been paid to whether cities actually enjoy a comparative advantage in the production of human capital. Using Dutch administrative data, this paper finds that children growing in urban regions consistently attain higher levels of human capital compared with children in rural regions, conditional on observed cognitive ability and various family characteristics. The elasticity of university attendance with respect to population density is 0.07, which is robust across a variety of specifications. Hence, the paper offers a different explanation to explain the recent success of cities.","container-title":"Journal of Economic Geography","DOI":"10.1093/jeg/lbaa033","ISSN":"1468-2702","issue":"lbaa033","journalAbbreviation":"Journal of Economic Geography","source":"Silverchair","title":"The urban–rural education gap: do cities indeed make us smarter?*","title-short":"The urban–rural education gap","URL":"https://doi.org/10.1093/jeg/lbaa033","author":[{"family":"Maarseveen","given":"Raoul","non-dropping-particle":"van"}],"accessed":{"date-parts":[["2021",7,5]]},"issued":{"date-parts":[["2020",11,23]]}}}],"schema":"https://github.com/citation-style-language/schema/raw/master/csl-citation.json"} </w:instrText>
      </w:r>
      <w:r>
        <w:rPr>
          <w:sz w:val="24"/>
        </w:rPr>
        <w:fldChar w:fldCharType="separate"/>
      </w:r>
      <w:r w:rsidR="003F52E2" w:rsidRPr="003F52E2">
        <w:rPr>
          <w:rFonts w:ascii="Calibri" w:hAnsi="Calibri" w:cs="Calibri"/>
          <w:sz w:val="24"/>
        </w:rPr>
        <w:t>(Birdsall et al., 2005; van Maarseveen, 2020)</w:t>
      </w:r>
      <w:r>
        <w:rPr>
          <w:sz w:val="24"/>
        </w:rPr>
        <w:fldChar w:fldCharType="end"/>
      </w:r>
      <w:r>
        <w:rPr>
          <w:sz w:val="24"/>
        </w:rPr>
        <w:t xml:space="preserve">; for some families, the costs of boarding school may not be an affordable option. </w:t>
      </w:r>
    </w:p>
    <w:p w14:paraId="12EE1F1C" w14:textId="77777777" w:rsidR="006634B5" w:rsidRDefault="006634B5" w:rsidP="006634B5">
      <w:pPr>
        <w:jc w:val="both"/>
        <w:rPr>
          <w:sz w:val="24"/>
        </w:rPr>
      </w:pPr>
      <w:r>
        <w:rPr>
          <w:sz w:val="24"/>
        </w:rPr>
        <w:t xml:space="preserve">Students can also be at a disadvantage due to gender, language, and/or ethnicity. Inclusive, educational environments for students of different backgrounds and those with disabilities and/or special needs are imperative in achieving universal education for all, and in ending the systemic discrimination and vulnerabilities that some students face due to their family and life circumstances. </w:t>
      </w:r>
    </w:p>
    <w:p w14:paraId="542C4173" w14:textId="0D4BE41F" w:rsidR="006634B5" w:rsidRDefault="006634B5" w:rsidP="006634B5">
      <w:pPr>
        <w:jc w:val="both"/>
        <w:rPr>
          <w:sz w:val="24"/>
        </w:rPr>
      </w:pPr>
      <w:r>
        <w:rPr>
          <w:sz w:val="24"/>
        </w:rPr>
        <w:t xml:space="preserve">The availability of sufficient trained and qualified teachers and educational resources at all levels of education is another limiting factor in ensuring a quality, universal education. In many contexts, this is affected by a multitude of factors including funding, adequate training and professional development opportunities, appropriate wages, and supportive policies and educational systems that facilitate learning and teaching, to name a few </w:t>
      </w:r>
      <w:r>
        <w:rPr>
          <w:sz w:val="24"/>
        </w:rPr>
        <w:fldChar w:fldCharType="begin"/>
      </w:r>
      <w:r w:rsidR="00B23620">
        <w:rPr>
          <w:sz w:val="24"/>
        </w:rPr>
        <w:instrText xml:space="preserve"> ADDIN ZOTERO_ITEM CSL_CITATION {"citationID":"gEOArRIp","properties":{"formattedCitation":"(Birdsall et al., 2005; Brundrett, 2014)","plainCitation":"(Birdsall et al., 2005; Brundrett, 2014)","noteIndex":0},"citationItems":[{"id":18071,"uris":["http://zotero.org/users/7220606/items/B5LWLKER"],"uri":["http://zotero.org/users/7220606/items/B5LWLKER"],"itemData":{"id":18071,"type":"article-journal","abstract":"The UN Millennium Project Task Force on Education and Gender Equality, an expert advisory group commissioned by the UN Secretary-General, was asked to examine how dramatic improvements in education can be achieved in the developing world. The task force investigated the problems of low enrolment, early drop-out and poor learning outcomes that so profoundly affect many children in the developing world. The experiences of both countries that have achieved important successes in rapidly scaling-up access to primary education, and countries that have made only slow progress, shed light on the priorities for the leadership in both developing countries and donor agencies. The task force developed specific recommendations about overcoming demand- and supply-side constraints to greater primary school completion; and about how international donors and technical agencies can stimulate and support country-led progress, with financial resources that are linked to performance.","container-title":"European Journal of Education","DOI":"https://doi.org/10.1111/j.1465-3435.2005.00230.x","ISSN":"1465-3435","issue":"3","language":"en","note":"_eprint: https://onlinelibrary.wiley.com/doi/pdf/10.1111/j.1465-3435.2005.00230.x","page":"337-349","source":"Wiley Online Library","title":"Towards Universal Primary Education: investments, incentives, and institutions","title-short":"Towards Universal Primary Education","volume":"40","author":[{"family":"Birdsall","given":"Nancy"},{"family":"Levine","given":"Ruth"},{"family":"Ibrahim","given":"Amina"}],"issued":{"date-parts":[["2005"]]}}},{"id":18076,"uris":["http://zotero.org/users/7220606/items/DHJYR848"],"uri":["http://zotero.org/users/7220606/items/DHJYR848"],"itemData":{"id":18076,"type":"article-journal","container-title":"Education 3-13","DOI":"10.1080/03004279.2014.912911","ISSN":"0300-4279","issue":"3","note":"publisher: Routledge\n_eprint: https://doi.org/10.1080/03004279.2014.912911","page":"233-236","source":"Taylor and Francis+NEJM","title":"Education for all: the challenges of achieving universal early childhood care and primary education","title-short":"Education for all","volume":"42","author":[{"family":"Brundrett","given":"Mark"}],"issued":{"date-parts":[["2014",5,4]]}}}],"schema":"https://github.com/citation-style-language/schema/raw/master/csl-citation.json"} </w:instrText>
      </w:r>
      <w:r>
        <w:rPr>
          <w:sz w:val="24"/>
        </w:rPr>
        <w:fldChar w:fldCharType="separate"/>
      </w:r>
      <w:r w:rsidR="00B23620" w:rsidRPr="00B23620">
        <w:rPr>
          <w:rFonts w:ascii="Calibri" w:hAnsi="Calibri" w:cs="Calibri"/>
          <w:sz w:val="24"/>
        </w:rPr>
        <w:t>(Birdsall et al., 2005; Brundrett, 2014)</w:t>
      </w:r>
      <w:r>
        <w:rPr>
          <w:sz w:val="24"/>
        </w:rPr>
        <w:fldChar w:fldCharType="end"/>
      </w:r>
      <w:r>
        <w:rPr>
          <w:sz w:val="24"/>
        </w:rPr>
        <w:t xml:space="preserve">. </w:t>
      </w:r>
    </w:p>
    <w:p w14:paraId="40D7AF2C" w14:textId="45542B4C" w:rsidR="006634B5" w:rsidRDefault="006634B5" w:rsidP="006634B5">
      <w:pPr>
        <w:jc w:val="both"/>
        <w:rPr>
          <w:sz w:val="24"/>
        </w:rPr>
      </w:pPr>
      <w:r>
        <w:rPr>
          <w:sz w:val="24"/>
        </w:rPr>
        <w:t xml:space="preserve">The safety of children going to school can also be a significant concern in some parts of the world. Long and at times dangerous routes to school that children may need to walk due to poor public transport can be associated with an increased risk of exhaustion, traffic accidents, and violence along the way </w:t>
      </w:r>
      <w:r>
        <w:rPr>
          <w:sz w:val="24"/>
        </w:rPr>
        <w:fldChar w:fldCharType="begin"/>
      </w:r>
      <w:r w:rsidR="00B23620">
        <w:rPr>
          <w:sz w:val="24"/>
        </w:rPr>
        <w:instrText xml:space="preserve"> ADDIN ZOTERO_ITEM CSL_CITATION {"citationID":"uBmfSpfD","properties":{"formattedCitation":"(UNESCO, 2020)","plainCitation":"(UNESCO, 2020)","noteIndex":0},"citationItems":[{"id":18051,"uris":["http://zotero.org/users/7220606/items/EP8TJDGR"],"uri":["http://zotero.org/users/7220606/items/EP8TJDGR"],"itemData":{"id":18051,"type":"report","title":"Inclusion and Education | Global Education Monitoring Report","URL":"https://en.unesco.org/gem-report/report/2020/inclusion","author":[{"family":"UNESCO","given":""}],"accessed":{"date-parts":[["2021",5,2]]},"issued":{"date-parts":[["2020"]]}}}],"schema":"https://github.com/citation-style-language/schema/raw/master/csl-citation.json"} </w:instrText>
      </w:r>
      <w:r>
        <w:rPr>
          <w:sz w:val="24"/>
        </w:rPr>
        <w:fldChar w:fldCharType="separate"/>
      </w:r>
      <w:r w:rsidR="00B23620" w:rsidRPr="00B23620">
        <w:rPr>
          <w:rFonts w:ascii="Calibri" w:hAnsi="Calibri" w:cs="Calibri"/>
          <w:sz w:val="24"/>
        </w:rPr>
        <w:t>(UNESCO, 2020)</w:t>
      </w:r>
      <w:r>
        <w:rPr>
          <w:sz w:val="24"/>
        </w:rPr>
        <w:fldChar w:fldCharType="end"/>
      </w:r>
      <w:r>
        <w:rPr>
          <w:sz w:val="24"/>
        </w:rPr>
        <w:t xml:space="preserve">. Poor infrastructure of schools in terms of inadequate ventilation, sanitation facilities and access to water can further compound the problem. A lack of facilities for managing menstrual hygiene is often a reason girls do not attend school regularly </w:t>
      </w:r>
      <w:r>
        <w:rPr>
          <w:sz w:val="24"/>
        </w:rPr>
        <w:fldChar w:fldCharType="begin"/>
      </w:r>
      <w:r w:rsidR="00B23620">
        <w:rPr>
          <w:sz w:val="24"/>
        </w:rPr>
        <w:instrText xml:space="preserve"> ADDIN ZOTERO_ITEM CSL_CITATION {"citationID":"UnKPQSRg","properties":{"formattedCitation":"(Sommer et al., 2016)","plainCitation":"(Sommer et al., 2016)","noteIndex":0},"citationItems":[{"id":18073,"uris":["http://zotero.org/users/7220606/items/L6HXWTH4"],"uri":["http://zotero.org/users/7220606/items/L6HXWTH4"],"itemData":{"id":18073,"type":"article-journal","abstract":"Marni Sommer and colleagues reflect on priorities needed to guide global, national, and local action to address girls' menstrual hygiene management needs in schools.","container-title":"PLOS Medicine","DOI":"10.1371/journal.pmed.1001962","ISSN":"1549-1676","issue":"2","journalAbbreviation":"PLOS Medicine","language":"en","note":"publisher: Public Library of Science","page":"e1001962","source":"PLoS Journals","title":"A Time for Global Action: Addressing Girls’ Menstrual Hygiene Management Needs in Schools","title-short":"A Time for Global Action","volume":"13","author":[{"family":"Sommer","given":"Marni"},{"family":"Caruso","given":"Bethany A."},{"family":"Sahin","given":"Murat"},{"family":"Calderon","given":"Teresa"},{"family":"Cavill","given":"Sue"},{"family":"Mahon","given":"Therese"},{"family":"Phillips-Howard","given":"Penelope A."}],"issued":{"date-parts":[["2016",2,23]]}}}],"schema":"https://github.com/citation-style-language/schema/raw/master/csl-citation.json"} </w:instrText>
      </w:r>
      <w:r>
        <w:rPr>
          <w:sz w:val="24"/>
        </w:rPr>
        <w:fldChar w:fldCharType="separate"/>
      </w:r>
      <w:r w:rsidR="00B23620" w:rsidRPr="00B23620">
        <w:rPr>
          <w:rFonts w:ascii="Calibri" w:hAnsi="Calibri" w:cs="Calibri"/>
          <w:sz w:val="24"/>
        </w:rPr>
        <w:t>(Sommer et al., 2016)</w:t>
      </w:r>
      <w:r>
        <w:rPr>
          <w:sz w:val="24"/>
        </w:rPr>
        <w:fldChar w:fldCharType="end"/>
      </w:r>
      <w:r>
        <w:rPr>
          <w:sz w:val="24"/>
        </w:rPr>
        <w:t xml:space="preserve">. </w:t>
      </w:r>
    </w:p>
    <w:p w14:paraId="6B667918" w14:textId="77777777" w:rsidR="006634B5" w:rsidRDefault="006634B5" w:rsidP="006634B5">
      <w:pPr>
        <w:jc w:val="both"/>
        <w:rPr>
          <w:sz w:val="24"/>
        </w:rPr>
      </w:pPr>
    </w:p>
    <w:p w14:paraId="074969F6" w14:textId="77777777" w:rsidR="006634B5" w:rsidRDefault="006634B5" w:rsidP="006634B5">
      <w:pPr>
        <w:pStyle w:val="Heading3"/>
      </w:pPr>
      <w:bookmarkStart w:id="38" w:name="_Toc71702084"/>
      <w:bookmarkStart w:id="39" w:name="_Toc74154043"/>
      <w:r>
        <w:t>Other factors that affect health and education</w:t>
      </w:r>
      <w:bookmarkEnd w:id="38"/>
      <w:bookmarkEnd w:id="39"/>
    </w:p>
    <w:p w14:paraId="2672BF5C" w14:textId="77777777" w:rsidR="006634B5" w:rsidRDefault="006634B5" w:rsidP="006634B5">
      <w:pPr>
        <w:pStyle w:val="Heading4"/>
      </w:pPr>
      <w:bookmarkStart w:id="40" w:name="_Toc71702085"/>
      <w:bookmarkStart w:id="41" w:name="_Toc74154044"/>
      <w:r>
        <w:t>Poverty</w:t>
      </w:r>
      <w:bookmarkEnd w:id="40"/>
      <w:bookmarkEnd w:id="41"/>
      <w:r>
        <w:t xml:space="preserve"> </w:t>
      </w:r>
    </w:p>
    <w:p w14:paraId="1B2400B8" w14:textId="709EDD88" w:rsidR="006634B5" w:rsidRDefault="006634B5" w:rsidP="000A2EBD">
      <w:pPr>
        <w:jc w:val="both"/>
        <w:rPr>
          <w:sz w:val="24"/>
        </w:rPr>
      </w:pPr>
      <w:r>
        <w:rPr>
          <w:sz w:val="24"/>
        </w:rPr>
        <w:t xml:space="preserve">With the first </w:t>
      </w:r>
      <w:r w:rsidRPr="0024217F">
        <w:rPr>
          <w:sz w:val="24"/>
        </w:rPr>
        <w:t xml:space="preserve">SDG dedicated </w:t>
      </w:r>
      <w:r>
        <w:rPr>
          <w:sz w:val="24"/>
        </w:rPr>
        <w:t xml:space="preserve">entirely </w:t>
      </w:r>
      <w:r w:rsidRPr="0024217F">
        <w:rPr>
          <w:sz w:val="24"/>
        </w:rPr>
        <w:t>to</w:t>
      </w:r>
      <w:r>
        <w:rPr>
          <w:sz w:val="24"/>
        </w:rPr>
        <w:t xml:space="preserve"> addressing</w:t>
      </w:r>
      <w:r w:rsidRPr="0024217F">
        <w:rPr>
          <w:sz w:val="24"/>
        </w:rPr>
        <w:t xml:space="preserve"> poverty</w:t>
      </w:r>
      <w:r>
        <w:rPr>
          <w:sz w:val="24"/>
        </w:rPr>
        <w:t xml:space="preserve"> globally, it is no surprise that poverty has far-reaching implications on the health and education sector as well. According to recent estimates from the UN, 10% of the world’s population (734 million people) in 2015 lived on less than </w:t>
      </w:r>
      <w:r w:rsidR="00DB755B">
        <w:rPr>
          <w:sz w:val="24"/>
        </w:rPr>
        <w:t>US</w:t>
      </w:r>
      <w:r>
        <w:rPr>
          <w:sz w:val="24"/>
        </w:rPr>
        <w:t xml:space="preserve">$1.90/day, with the majority living in </w:t>
      </w:r>
      <w:r w:rsidR="00BD6727">
        <w:rPr>
          <w:sz w:val="24"/>
        </w:rPr>
        <w:t>SSA</w:t>
      </w:r>
      <w:r>
        <w:rPr>
          <w:sz w:val="24"/>
        </w:rPr>
        <w:t xml:space="preserve"> </w:t>
      </w:r>
      <w:r>
        <w:rPr>
          <w:sz w:val="24"/>
        </w:rPr>
        <w:fldChar w:fldCharType="begin"/>
      </w:r>
      <w:r w:rsidR="00B23620">
        <w:rPr>
          <w:sz w:val="24"/>
        </w:rPr>
        <w:instrText xml:space="preserve"> ADDIN ZOTERO_ITEM CSL_CITATION {"citationID":"GJDKFPLM","properties":{"formattedCitation":"(UN, n.d.)","plainCitation":"(UN, n.d.)","noteIndex":0},"citationItems":[{"id":17992,"uris":["http://zotero.org/users/7220606/items/AWCEVCKS"],"uri":["http://zotero.org/users/7220606/items/AWCEVCKS"],"itemData":{"id":17992,"type":"post-weblog","abstract":"Globally, the number of people living in extreme poverty declined from 36 per cent in 1990 to 10 per cent in 2015. But the pace of change is decelerating and the COVID-19 crisis risks reversing decades of progress","container-title":"United Nations Sustainable Development","language":"en-US","title":"Sustainable Development Goal 1: End poverty in all its forms everywhere","title-short":"Goal 1","URL":"https://www.un.org/sustainabledevelopment/poverty/","author":[{"literal":"UN"}],"accessed":{"date-parts":[["2021",4,30]]}}}],"schema":"https://github.com/citation-style-language/schema/raw/master/csl-citation.json"} </w:instrText>
      </w:r>
      <w:r>
        <w:rPr>
          <w:sz w:val="24"/>
        </w:rPr>
        <w:fldChar w:fldCharType="separate"/>
      </w:r>
      <w:r w:rsidR="00B23620" w:rsidRPr="00B23620">
        <w:rPr>
          <w:rFonts w:ascii="Calibri" w:hAnsi="Calibri" w:cs="Calibri"/>
          <w:sz w:val="24"/>
        </w:rPr>
        <w:t>(UN, n.d.)</w:t>
      </w:r>
      <w:r>
        <w:rPr>
          <w:sz w:val="24"/>
        </w:rPr>
        <w:fldChar w:fldCharType="end"/>
      </w:r>
      <w:r>
        <w:rPr>
          <w:sz w:val="24"/>
        </w:rPr>
        <w:t>. While this is a decrease from 36% in 1990, a large number of people worldwide continue to l</w:t>
      </w:r>
      <w:r w:rsidRPr="0024217F">
        <w:rPr>
          <w:sz w:val="24"/>
        </w:rPr>
        <w:t>ive in extreme poverty today, struggling to fulfil basic needs like</w:t>
      </w:r>
      <w:r>
        <w:rPr>
          <w:sz w:val="24"/>
        </w:rPr>
        <w:t xml:space="preserve"> access to water, sanitation health and education. The COVID-19 pandemic has further exacerbated this situation, with an additional 70 million people being pushed into extreme poverty this year</w:t>
      </w:r>
      <w:r>
        <w:rPr>
          <w:sz w:val="24"/>
        </w:rPr>
        <w:fldChar w:fldCharType="begin"/>
      </w:r>
      <w:r w:rsidR="00B23620">
        <w:rPr>
          <w:sz w:val="24"/>
        </w:rPr>
        <w:instrText xml:space="preserve"> ADDIN ZOTERO_ITEM CSL_CITATION {"citationID":"4YU6Q4JO","properties":{"formattedCitation":"(UN, n.d.)","plainCitation":"(UN, n.d.)","noteIndex":0},"citationItems":[{"id":17992,"uris":["http://zotero.org/users/7220606/items/AWCEVCKS"],"uri":["http://zotero.org/users/7220606/items/AWCEVCKS"],"itemData":{"id":17992,"type":"post-weblog","abstract":"Globally, the number of people living in extreme poverty declined from 36 per cent in 1990 to 10 per cent in 2015. But the pace of change is decelerating and the COVID-19 crisis risks reversing decades of progress","container-title":"United Nations Sustainable Development","language":"en-US","title":"Sustainable Development Goal 1: End poverty in all its forms everywhere","title-short":"Goal 1","URL":"https://www.un.org/sustainabledevelopment/poverty/","author":[{"literal":"UN"}],"accessed":{"date-parts":[["2021",4,30]]}}}],"schema":"https://github.com/citation-style-language/schema/raw/master/csl-citation.json"} </w:instrText>
      </w:r>
      <w:r>
        <w:rPr>
          <w:sz w:val="24"/>
        </w:rPr>
        <w:fldChar w:fldCharType="separate"/>
      </w:r>
      <w:r w:rsidR="00B23620" w:rsidRPr="00B23620">
        <w:rPr>
          <w:rFonts w:ascii="Calibri" w:hAnsi="Calibri" w:cs="Calibri"/>
          <w:sz w:val="24"/>
        </w:rPr>
        <w:t>(UN, n.d.)</w:t>
      </w:r>
      <w:r>
        <w:rPr>
          <w:sz w:val="24"/>
        </w:rPr>
        <w:fldChar w:fldCharType="end"/>
      </w:r>
      <w:r>
        <w:rPr>
          <w:sz w:val="24"/>
        </w:rPr>
        <w:t xml:space="preserve">. </w:t>
      </w:r>
    </w:p>
    <w:p w14:paraId="4F3C5395" w14:textId="39EAC027" w:rsidR="006634B5" w:rsidRDefault="006634B5" w:rsidP="006634B5">
      <w:pPr>
        <w:jc w:val="both"/>
        <w:rPr>
          <w:sz w:val="24"/>
        </w:rPr>
      </w:pPr>
      <w:r>
        <w:rPr>
          <w:sz w:val="24"/>
        </w:rPr>
        <w:t>Almost 60 years ago, P.T. Bauer wrote about ‘the vicious circle of poverty’</w:t>
      </w:r>
      <w:r>
        <w:rPr>
          <w:sz w:val="24"/>
        </w:rPr>
        <w:fldChar w:fldCharType="begin"/>
      </w:r>
      <w:r w:rsidR="00B23620">
        <w:rPr>
          <w:sz w:val="24"/>
        </w:rPr>
        <w:instrText xml:space="preserve"> ADDIN ZOTERO_ITEM CSL_CITATION {"citationID":"BE57MdTN","properties":{"formattedCitation":"(Bauer, 1965)","plainCitation":"(Bauer, 1965)","noteIndex":0},"citationItems":[{"id":17997,"uris":["http://zotero.org/users/7220606/items/ZZG5VJBX"],"uri":["http://zotero.org/users/7220606/items/ZZG5VJBX"],"itemData":{"id":17997,"type":"article-journal","abstract":"Die vorliegende Abhandlung enthält eine kritische Betrachtung der These vom bösen Zirkel der Armut und Stagnation, die eine übertriebene Verallgemeinerung in der Literatur über Entwicklungsländer darstellt. Diese These enthält nämlich im wesentlichen die Behauptung, daß die Armut als solche fast unüberwindbare Hindernisse für ihre Beseitigung aufrichtet. Sie wird in verschiedenen Fassungen vorgetragen, von denen die häufigste in der Feststellung gipfelt, daß das niedrige Einkommensniveau die Kapitalbildung, die für eine Einkommenssteigerung nötig wäre, unmöglich mache. Beispiele für diese Verallgemeinerung werden aus der Literatur angeführt. Diese Behauptung ist jedoch offenkundig nicht stichhaltig; sie wird schon durch den Aufstieg unzähliger Einzelner, Gruppen und Gemeinwesen aus der Armut zum Wohlstand, und zwar sowohl in reichen als auch in armen Ländern, widerlegt. Sie wird aber außerdem auch durch die bloße Existenz von entwickelten Ländern, die ja alle arm begonnen haben, sowie durch den materiellen Fortschritt vieler Entwicklungsländer in der jüngsten Vergangenheit widerlegt. Beispiele für derartige Fortschritte werden angeführt. Es wird ferner darauf hingewiesen, daß diese Widerlegung der These des bösen Zirkels der Armut nicht etwa gleichzeitig impliziert, daß ein materieller Fortschritt in der ganzen unterentwickelten Welt zu verzeichnen war. Anderseits aber vermag das Fehlen von Fortschritt in vielen Gebieten die These vom bösen Zirkel der Armut auch nicht zu retten. Es wird ferner unterstrichen, daß die Ungültigkeit dieser These keineswegs zu der Forderung nach einer Laissezfaire-Politik oder irgendeiner anderen bestimmten Politik führt. Beispiele für die Probleme, die durch den Druck eines schnellen und ungleichmäßigen Wachstums entstehen, von Problemen, die nicht auftauchen würden, wenn ein böser Zirkel von Armut und Stagnation am Werke wäre, werden gegeben. Verschiedene Probleme der Einkommensmessung und des Einkommensvergleichs werden anschließend erörtert. Zum Abschluß wird die Theorie von einem angeblich schädlichen Demonstrationseffekt der entwickelten auf die unterentwickelten Volkswirtschaften, der zu einer Verzögerung des materiellen Fortschritts der armen Länder führen soll, einer kritischen Prüfung unterzogen.","container-title":"Weltwirtschaftliches Archiv","ISSN":"0043-2636","note":"publisher: Springer","page":"4-20","source":"JSTOR","title":"The Vicious Circle of Poverty","volume":"95","author":[{"family":"Bauer","given":"P. T."}],"issued":{"date-parts":[["1965"]]}}}],"schema":"https://github.com/citation-style-language/schema/raw/master/csl-citation.json"} </w:instrText>
      </w:r>
      <w:r>
        <w:rPr>
          <w:sz w:val="24"/>
        </w:rPr>
        <w:fldChar w:fldCharType="separate"/>
      </w:r>
      <w:r w:rsidR="00B23620" w:rsidRPr="00B23620">
        <w:rPr>
          <w:rFonts w:ascii="Calibri" w:hAnsi="Calibri" w:cs="Calibri"/>
          <w:sz w:val="24"/>
        </w:rPr>
        <w:t>(Bauer, 1965)</w:t>
      </w:r>
      <w:r>
        <w:rPr>
          <w:sz w:val="24"/>
        </w:rPr>
        <w:fldChar w:fldCharType="end"/>
      </w:r>
      <w:r>
        <w:rPr>
          <w:sz w:val="24"/>
        </w:rPr>
        <w:t xml:space="preserve">, which unfortunately is still the reality in many parts of the world today. Poverty can be both a cause and consequence of poor health behaviour and outcomes, which in turn hamper educational and economic opportunities or possibilities. Children born into poverty are more likely to remain in poverty, being unable to access quality schooling or often having to drop out of school to help earn money to support their families. Poverty is also closely interlinked with hunger, and families living below the poverty line are often malnourished, unable to earn a living to afford good quality food or regular meals </w:t>
      </w:r>
      <w:r>
        <w:rPr>
          <w:sz w:val="24"/>
        </w:rPr>
        <w:fldChar w:fldCharType="begin"/>
      </w:r>
      <w:r w:rsidR="00B23620">
        <w:rPr>
          <w:sz w:val="24"/>
        </w:rPr>
        <w:instrText xml:space="preserve"> ADDIN ZOTERO_ITEM CSL_CITATION {"citationID":"17JPGvmz","properties":{"formattedCitation":"(Hickel, 2016)","plainCitation":"(Hickel, 2016)","noteIndex":0},"citationItems":[{"id":17998,"uris":["http://zotero.org/users/7220606/items/MINT6WQI"],"uri":["http://zotero.org/users/7220606/items/MINT6WQI"],"itemData":{"id":17998,"type":"article-journal","abstract":"The final report on the Millennium Development Goals (MDGs) concludes that the project has been ‘the most successful anti-poverty movement in history’. Two key claims underpin this narrative: that global poverty has been cut in half, and global hunger nearly in half, since 1990. This good-news narrative has been touted by the United Nations and has been widely repeated by the media. But closer inspection reveals that the UN’s claims about poverty and hunger are misleading, and even intentionally inaccurate. The MDGs have used targeted statistical manipulation to make it seem as though the poverty and hunger trends have been improving when in fact they have worsened. In addition, the MDGs use definitions of poverty and hunger that dramatically underestimate the scale likely of these problems. In reality, around four billion people remain in poverty today, and around two billion remain hungry – more than ever before in history, and between two and four times what the UN would have us believe. The implications of this reality are profound. Worsening poverty and hunger trends indicate that our present model of development is not working and needs to be fundamentally rethought.","container-title":"Third World Quarterly","DOI":"10.1080/01436597.2015.1109439","ISSN":"0143-6597","issue":"5","note":"publisher: Routledge\n_eprint: https://doi.org/10.1080/01436597.2015.1109439","page":"749-767","source":"Taylor and Francis+NEJM","title":"The true extent of global poverty and hunger: questioning the good news narrative of the Millennium Development Goals","title-short":"The true extent of global poverty and hunger","volume":"37","author":[{"family":"Hickel","given":"Jason"}],"issued":{"date-parts":[["2016",5,3]]}}}],"schema":"https://github.com/citation-style-language/schema/raw/master/csl-citation.json"} </w:instrText>
      </w:r>
      <w:r>
        <w:rPr>
          <w:sz w:val="24"/>
        </w:rPr>
        <w:fldChar w:fldCharType="separate"/>
      </w:r>
      <w:r w:rsidR="00B23620" w:rsidRPr="00B23620">
        <w:rPr>
          <w:rFonts w:ascii="Calibri" w:hAnsi="Calibri" w:cs="Calibri"/>
          <w:sz w:val="24"/>
        </w:rPr>
        <w:t>(Hickel, 2016)</w:t>
      </w:r>
      <w:r>
        <w:rPr>
          <w:sz w:val="24"/>
        </w:rPr>
        <w:fldChar w:fldCharType="end"/>
      </w:r>
      <w:r>
        <w:rPr>
          <w:sz w:val="24"/>
        </w:rPr>
        <w:t xml:space="preserve">. This in turn can lead to ill health, a lack of productivity and inability to generate income, further propagating the circle of poverty. </w:t>
      </w:r>
    </w:p>
    <w:p w14:paraId="585F5292" w14:textId="4390F3D4" w:rsidR="006634B5" w:rsidRDefault="006634B5" w:rsidP="006634B5">
      <w:pPr>
        <w:jc w:val="both"/>
        <w:rPr>
          <w:sz w:val="24"/>
        </w:rPr>
      </w:pPr>
      <w:r>
        <w:rPr>
          <w:sz w:val="24"/>
        </w:rPr>
        <w:t xml:space="preserve">Education is an important strategy in enabling people to earn their way out of the poverty trap </w:t>
      </w:r>
      <w:r>
        <w:rPr>
          <w:sz w:val="24"/>
        </w:rPr>
        <w:fldChar w:fldCharType="begin"/>
      </w:r>
      <w:r w:rsidR="00B23620">
        <w:rPr>
          <w:sz w:val="24"/>
        </w:rPr>
        <w:instrText xml:space="preserve"> ADDIN ZOTERO_ITEM CSL_CITATION {"citationID":"oK2iZTJx","properties":{"formattedCitation":"(Tilak, 2002)","plainCitation":"(Tilak, 2002)","noteIndex":0},"citationItems":[{"id":18003,"uris":["http://zotero.org/users/7220606/items/HWGR8YA5"],"uri":["http://zotero.org/users/7220606/items/HWGR8YA5"],"itemData":{"id":18003,"type":"article-journal","container-title":"Journal of Human Development","DOI":"10.1080/14649880220147301","ISSN":"1464-9888","issue":"2","note":"publisher: Routledge\n_eprint: https://doi.org/10.1080/14649880220147301","page":"191-207","source":"Taylor and Francis+NEJM","title":"Education and Poverty","volume":"3","author":[{"family":"Tilak","given":"Jandhyala B. G."}],"issued":{"date-parts":[["2002",7,1]]}}}],"schema":"https://github.com/citation-style-language/schema/raw/master/csl-citation.json"} </w:instrText>
      </w:r>
      <w:r>
        <w:rPr>
          <w:sz w:val="24"/>
        </w:rPr>
        <w:fldChar w:fldCharType="separate"/>
      </w:r>
      <w:r w:rsidR="00B23620" w:rsidRPr="00B23620">
        <w:rPr>
          <w:rFonts w:ascii="Calibri" w:hAnsi="Calibri" w:cs="Calibri"/>
          <w:sz w:val="24"/>
        </w:rPr>
        <w:t>(Tilak, 2002)</w:t>
      </w:r>
      <w:r>
        <w:rPr>
          <w:sz w:val="24"/>
        </w:rPr>
        <w:fldChar w:fldCharType="end"/>
      </w:r>
      <w:r>
        <w:rPr>
          <w:sz w:val="24"/>
        </w:rPr>
        <w:t xml:space="preserve">. The human capital theory posits that education results in increased human capital, which in turn leads to economic growth. In addition, education as a basic need and human right, allows people to make better and more informed choices, leading to the ability to access and fulfil other basic needs and an improved quality of life. </w:t>
      </w:r>
    </w:p>
    <w:p w14:paraId="5BEF83E7" w14:textId="6F8092F9" w:rsidR="006634B5" w:rsidRDefault="006634B5" w:rsidP="006634B5">
      <w:pPr>
        <w:jc w:val="both"/>
        <w:rPr>
          <w:sz w:val="24"/>
        </w:rPr>
      </w:pPr>
      <w:r>
        <w:rPr>
          <w:sz w:val="24"/>
        </w:rPr>
        <w:t xml:space="preserve">While populations living in more rural or remote areas of a country have a higher likelihood of belonging to the lower income strata, the absolute numbers of this group have reduced over time, while the urban poor, particularly those urban slums are also an important demographic that need to be increasingly </w:t>
      </w:r>
      <w:r w:rsidR="0022781D">
        <w:rPr>
          <w:sz w:val="24"/>
        </w:rPr>
        <w:t>recognized</w:t>
      </w:r>
      <w:r>
        <w:rPr>
          <w:sz w:val="24"/>
        </w:rPr>
        <w:t xml:space="preserve"> and targeted in efforts around poverty reduction and eradication </w:t>
      </w:r>
      <w:r>
        <w:rPr>
          <w:sz w:val="24"/>
        </w:rPr>
        <w:fldChar w:fldCharType="begin"/>
      </w:r>
      <w:r w:rsidR="00B23620">
        <w:rPr>
          <w:sz w:val="24"/>
        </w:rPr>
        <w:instrText xml:space="preserve"> ADDIN ZOTERO_ITEM CSL_CITATION {"citationID":"1RxX9mQv","properties":{"formattedCitation":"(Sridhar, 2015)","plainCitation":"(Sridhar, 2015)","noteIndex":0},"citationItems":[{"id":18005,"uris":["http://zotero.org/users/7220606/items/N6VJ8PA9"],"uri":["http://zotero.org/users/7220606/items/N6VJ8PA9"],"itemData":{"id":18005,"type":"article-journal","abstract":"In this article, we ask the question as to whether urban poverty is more challenging than rural poverty. We review the conceptual arguments and the existing literature examining the intensity of urban versus that of rural poverty, urban and rural inequality, and whether urban poverty lines should be higher than those for rural areas. The review of the existing research finds that the urban share of the poor is rising and that the ratio of urban poverty to total poverty incidence has risen with urbanization. Based on the review, we find that in many countries including India, urban inequality worsened during early 1990s to the late 2000s. We also find that there are several reasons why the defined poverty line must be higher in urban areas when compared with that in rural areas. Further, based on the survey, we find urban poverty can impose significant challenges to human capital for climate change mitigation; we summarize based on other studies why urban rather than rural poverty can be a challenge for donors and governments. Finally, we summarize the contribution made by the urban poor to the city economies, based on existing studies.","container-title":"Environment and Urbanization ASIA","DOI":"10.1177/0975425315589159","ISSN":"0975-4253","issue":"2","journalAbbreviation":"Environment and Urbanization ASIA","language":"en","note":"publisher: SAGE Publications India","page":"95-108","source":"SAGE Journals","title":"Is Urban Poverty More Challenging than Rural Poverty? A Review","title-short":"Is Urban Poverty More Challenging than Rural Poverty?","volume":"6","author":[{"family":"Sridhar","given":"Kala Seetharam"}],"issued":{"date-parts":[["2015",9,1]]}}}],"schema":"https://github.com/citation-style-language/schema/raw/master/csl-citation.json"} </w:instrText>
      </w:r>
      <w:r>
        <w:rPr>
          <w:sz w:val="24"/>
        </w:rPr>
        <w:fldChar w:fldCharType="separate"/>
      </w:r>
      <w:r w:rsidR="00B23620" w:rsidRPr="00B23620">
        <w:rPr>
          <w:rFonts w:ascii="Calibri" w:hAnsi="Calibri" w:cs="Calibri"/>
          <w:sz w:val="24"/>
        </w:rPr>
        <w:t>(Sridhar, 2015)</w:t>
      </w:r>
      <w:r>
        <w:rPr>
          <w:sz w:val="24"/>
        </w:rPr>
        <w:fldChar w:fldCharType="end"/>
      </w:r>
      <w:r>
        <w:rPr>
          <w:sz w:val="24"/>
        </w:rPr>
        <w:t>. With</w:t>
      </w:r>
      <w:r w:rsidR="0022781D">
        <w:rPr>
          <w:sz w:val="24"/>
        </w:rPr>
        <w:t xml:space="preserve"> changing m</w:t>
      </w:r>
      <w:r>
        <w:rPr>
          <w:sz w:val="24"/>
        </w:rPr>
        <w:t>igratory trends</w:t>
      </w:r>
      <w:r w:rsidR="0022781D">
        <w:rPr>
          <w:sz w:val="24"/>
        </w:rPr>
        <w:t xml:space="preserve"> and increasing urbanization</w:t>
      </w:r>
      <w:r>
        <w:rPr>
          <w:sz w:val="24"/>
        </w:rPr>
        <w:t xml:space="preserve">, larger numbers of people are moving towards </w:t>
      </w:r>
      <w:r w:rsidR="0022781D">
        <w:rPr>
          <w:sz w:val="24"/>
        </w:rPr>
        <w:t>cities and urban dwellings</w:t>
      </w:r>
      <w:r>
        <w:rPr>
          <w:sz w:val="24"/>
        </w:rPr>
        <w:t xml:space="preserve"> in an effort to access better education, econom</w:t>
      </w:r>
      <w:r w:rsidR="0022781D">
        <w:rPr>
          <w:sz w:val="24"/>
        </w:rPr>
        <w:t xml:space="preserve">ic and livelihood opportunities. This is likely to be accompanied by an increase in the proportion of urban poor </w:t>
      </w:r>
      <w:r>
        <w:rPr>
          <w:sz w:val="24"/>
        </w:rPr>
        <w:t xml:space="preserve">in many parts of the world. </w:t>
      </w:r>
    </w:p>
    <w:p w14:paraId="0EA41F18" w14:textId="6D20922F" w:rsidR="006634B5" w:rsidRDefault="006634B5" w:rsidP="006634B5">
      <w:pPr>
        <w:jc w:val="both"/>
        <w:rPr>
          <w:sz w:val="24"/>
        </w:rPr>
      </w:pPr>
      <w:r>
        <w:rPr>
          <w:sz w:val="24"/>
        </w:rPr>
        <w:t xml:space="preserve">People living in poverty are also one of the most vulnerable groups that are impacted by global warming and climate-related events </w:t>
      </w:r>
      <w:r>
        <w:rPr>
          <w:sz w:val="24"/>
        </w:rPr>
        <w:fldChar w:fldCharType="begin"/>
      </w:r>
      <w:r w:rsidR="00B23620">
        <w:rPr>
          <w:sz w:val="24"/>
        </w:rPr>
        <w:instrText xml:space="preserve"> ADDIN ZOTERO_ITEM CSL_CITATION {"citationID":"5Ws4y38E","properties":{"formattedCitation":"(Hallegatte et al., 2018)","plainCitation":"(Hallegatte et al., 2018)","noteIndex":0},"citationItems":[{"id":18000,"uris":["http://zotero.org/users/7220606/items/ZJAFYBBK"],"uri":["http://zotero.org/users/7220606/items/ZJAFYBBK"],"itemData":{"id":18000,"type":"article-journal","abstract":"Because their assets and income represent such a small share of national wealth, the impacts of climate change on poor people, even if dramatic, will be largely invisible in aggregate economic statistics such as the Gross Domestic Product (GDP). Assessing and managing future impacts of climate change on poverty requires different metrics, and specific studies focusing on the vulnerability of poor people. This special issue provides a set of such studies, looking at the exposure and vulnerability of people living in poverty to shocks and stressors that are expected to increase in frequency or intensity due to climate change, such as floods, droughts, heat waves, and impacts on agricultural production and ecosystem services. This introduction summarizes their approach and findings, which support the idea that the link between poverty and climate vulnerability goes both ways: poverty is one major driver of people's vulnerability to climate-related shocks and stressors, and this vulnerability is keeping people in poverty. The paper concludes by identifying priorities for future research.","container-title":"Environment and Development Economics","DOI":"10.1017/S1355770X18000141","ISSN":"1355-770X, 1469-4395","issue":"3","language":"en","note":"publisher: Cambridge University Press","page":"217-233","source":"Cambridge University Press","title":"Poverty and climate change: introduction","title-short":"Poverty and climate change","volume":"23","author":[{"family":"Hallegatte","given":"Stephane"},{"family":"Fay","given":"Marianne"},{"family":"Barbier","given":"Edward B."}],"issued":{"date-parts":[["2018",6]]}}}],"schema":"https://github.com/citation-style-language/schema/raw/master/csl-citation.json"} </w:instrText>
      </w:r>
      <w:r>
        <w:rPr>
          <w:sz w:val="24"/>
        </w:rPr>
        <w:fldChar w:fldCharType="separate"/>
      </w:r>
      <w:r w:rsidR="00B23620" w:rsidRPr="00B23620">
        <w:rPr>
          <w:rFonts w:ascii="Calibri" w:hAnsi="Calibri" w:cs="Calibri"/>
          <w:sz w:val="24"/>
        </w:rPr>
        <w:t>(Hallegatte et al., 2018)</w:t>
      </w:r>
      <w:r>
        <w:rPr>
          <w:sz w:val="24"/>
        </w:rPr>
        <w:fldChar w:fldCharType="end"/>
      </w:r>
      <w:r>
        <w:rPr>
          <w:sz w:val="24"/>
        </w:rPr>
        <w:t xml:space="preserve">, and climate change, similar to the COVID-19 pandemic, can also result in more people being pushed into poverty. For many low income families affected by natural disasters such as floods, drought or famine, resilience to the shocks and damage caused by such events is low, and recovery is often slow and a constant struggle. Schooling can be affected, livelihoods destroyed and health consequences further exacerbated due to breakdowns in the health system infrastructure and access to services. </w:t>
      </w:r>
    </w:p>
    <w:p w14:paraId="44CFC7BD" w14:textId="77777777" w:rsidR="006634B5" w:rsidRDefault="006634B5" w:rsidP="006634B5">
      <w:pPr>
        <w:jc w:val="both"/>
        <w:rPr>
          <w:sz w:val="24"/>
        </w:rPr>
      </w:pPr>
    </w:p>
    <w:p w14:paraId="49499DF5" w14:textId="77777777" w:rsidR="006634B5" w:rsidRDefault="006634B5" w:rsidP="006634B5">
      <w:pPr>
        <w:pStyle w:val="Heading4"/>
      </w:pPr>
      <w:bookmarkStart w:id="42" w:name="_Toc71702086"/>
      <w:bookmarkStart w:id="43" w:name="_Toc74154045"/>
      <w:r>
        <w:t>Gender equity</w:t>
      </w:r>
      <w:bookmarkEnd w:id="42"/>
      <w:bookmarkEnd w:id="43"/>
      <w:r>
        <w:t xml:space="preserve"> </w:t>
      </w:r>
    </w:p>
    <w:p w14:paraId="283D895C" w14:textId="0C5D754D" w:rsidR="006634B5" w:rsidRDefault="006634B5" w:rsidP="006634B5">
      <w:pPr>
        <w:jc w:val="both"/>
        <w:rPr>
          <w:sz w:val="24"/>
        </w:rPr>
      </w:pPr>
      <w:r w:rsidRPr="00A84B40">
        <w:rPr>
          <w:sz w:val="24"/>
        </w:rPr>
        <w:t xml:space="preserve">SDG 5 </w:t>
      </w:r>
      <w:r>
        <w:rPr>
          <w:sz w:val="24"/>
        </w:rPr>
        <w:t xml:space="preserve">focuses on the achievement of gender equality and empowerment of women and girls, with specific targets revolving around ending discrimination and violence against women and girls, eliminating harmful practices such as child marriage and female genital mutilation, and ensuring access to sexual and reproductive healthcare, economic resources and participation in leadership and decision-making across political, economic and public spheres </w:t>
      </w:r>
      <w:r>
        <w:rPr>
          <w:sz w:val="24"/>
        </w:rPr>
        <w:fldChar w:fldCharType="begin"/>
      </w:r>
      <w:r w:rsidR="008C4798">
        <w:rPr>
          <w:sz w:val="24"/>
        </w:rPr>
        <w:instrText xml:space="preserve"> ADDIN ZOTERO_ITEM CSL_CITATION {"citationID":"IsCZFyjF","properties":{"formattedCitation":"(United Nations, 2020)","plainCitation":"(United Nations, 2020)","noteIndex":0},"citationItems":[{"id":18049,"uris":["http://zotero.org/users/7220606/items/K49FR3DM"],"uri":["http://zotero.org/users/7220606/items/K49FR3DM"],"itemData":{"id":18049,"type":"post-weblog","abstract":"Gender equality is not only a fundamental human right, but a necessary foundation for a peaceful, prosperous and sustainable world. \n\nThere has been progress over the last decades: More girls are going to school, fewer girls are forced into early marriage, more women are","container-title":"United Nations Sustainable Development","language":"en-US","title":"Gender equality and women's empowerment","URL":"https://www.un.org/sustainabledevelopment/gender-equality/","author":[{"family":"United Nations","given":""}],"accessed":{"date-parts":[["2021",5,1]]},"issued":{"date-parts":[["2020"]]}}}],"schema":"https://github.com/citation-style-language/schema/raw/master/csl-citation.json"} </w:instrText>
      </w:r>
      <w:r>
        <w:rPr>
          <w:sz w:val="24"/>
        </w:rPr>
        <w:fldChar w:fldCharType="separate"/>
      </w:r>
      <w:r w:rsidR="008C4798" w:rsidRPr="008C4798">
        <w:rPr>
          <w:rFonts w:ascii="Calibri" w:hAnsi="Calibri" w:cs="Calibri"/>
          <w:sz w:val="24"/>
        </w:rPr>
        <w:t>(United Nations, 2020)</w:t>
      </w:r>
      <w:r>
        <w:rPr>
          <w:sz w:val="24"/>
        </w:rPr>
        <w:fldChar w:fldCharType="end"/>
      </w:r>
      <w:r>
        <w:rPr>
          <w:sz w:val="24"/>
        </w:rPr>
        <w:t>. While many wins and much progress has been achieved in this area in the last several decades- i</w:t>
      </w:r>
      <w:r w:rsidRPr="00936800">
        <w:rPr>
          <w:sz w:val="24"/>
        </w:rPr>
        <w:t>n 46 countries</w:t>
      </w:r>
      <w:r w:rsidR="0022781D">
        <w:rPr>
          <w:sz w:val="24"/>
        </w:rPr>
        <w:t xml:space="preserve"> today</w:t>
      </w:r>
      <w:r w:rsidRPr="00936800">
        <w:rPr>
          <w:sz w:val="24"/>
        </w:rPr>
        <w:t xml:space="preserve">, women </w:t>
      </w:r>
      <w:r w:rsidR="0022781D">
        <w:rPr>
          <w:sz w:val="24"/>
        </w:rPr>
        <w:t>occupy</w:t>
      </w:r>
      <w:r w:rsidRPr="00936800">
        <w:rPr>
          <w:sz w:val="24"/>
        </w:rPr>
        <w:t xml:space="preserve"> more than </w:t>
      </w:r>
      <w:r>
        <w:rPr>
          <w:sz w:val="24"/>
        </w:rPr>
        <w:t>30% of</w:t>
      </w:r>
      <w:r w:rsidR="0022781D">
        <w:rPr>
          <w:sz w:val="24"/>
        </w:rPr>
        <w:t xml:space="preserve"> the seats in</w:t>
      </w:r>
      <w:r w:rsidRPr="00936800">
        <w:rPr>
          <w:sz w:val="24"/>
        </w:rPr>
        <w:t xml:space="preserve"> parliament</w:t>
      </w:r>
      <w:r>
        <w:rPr>
          <w:sz w:val="24"/>
        </w:rPr>
        <w:t xml:space="preserve">, and in South Asia, </w:t>
      </w:r>
      <w:r w:rsidR="0022781D">
        <w:rPr>
          <w:sz w:val="24"/>
        </w:rPr>
        <w:t xml:space="preserve">the risk of a girl marrying </w:t>
      </w:r>
      <w:r w:rsidRPr="00936800">
        <w:rPr>
          <w:sz w:val="24"/>
        </w:rPr>
        <w:t xml:space="preserve">in childhood has </w:t>
      </w:r>
      <w:r w:rsidR="0022781D">
        <w:rPr>
          <w:sz w:val="24"/>
        </w:rPr>
        <w:t>decreased</w:t>
      </w:r>
      <w:r w:rsidRPr="00936800">
        <w:rPr>
          <w:sz w:val="24"/>
        </w:rPr>
        <w:t xml:space="preserve"> by </w:t>
      </w:r>
      <w:r w:rsidR="0022781D">
        <w:rPr>
          <w:sz w:val="24"/>
        </w:rPr>
        <w:t>more than</w:t>
      </w:r>
      <w:r w:rsidRPr="00936800">
        <w:rPr>
          <w:sz w:val="24"/>
        </w:rPr>
        <w:t xml:space="preserve"> 40</w:t>
      </w:r>
      <w:r>
        <w:rPr>
          <w:sz w:val="24"/>
        </w:rPr>
        <w:t xml:space="preserve">% </w:t>
      </w:r>
      <w:r w:rsidRPr="00936800">
        <w:rPr>
          <w:sz w:val="24"/>
        </w:rPr>
        <w:t>since 2000</w:t>
      </w:r>
      <w:r>
        <w:rPr>
          <w:sz w:val="24"/>
        </w:rPr>
        <w:t>- there remains much left to do. According to the most</w:t>
      </w:r>
      <w:r w:rsidR="00F70742">
        <w:rPr>
          <w:sz w:val="24"/>
        </w:rPr>
        <w:t xml:space="preserve"> recent UN estimates for SDG 5:</w:t>
      </w:r>
    </w:p>
    <w:p w14:paraId="5BCB6197" w14:textId="77777777" w:rsidR="006634B5" w:rsidRPr="00936800" w:rsidRDefault="006634B5" w:rsidP="006248E6">
      <w:pPr>
        <w:pStyle w:val="ListParagraph"/>
        <w:numPr>
          <w:ilvl w:val="0"/>
          <w:numId w:val="6"/>
        </w:numPr>
        <w:jc w:val="both"/>
        <w:rPr>
          <w:sz w:val="24"/>
        </w:rPr>
      </w:pPr>
      <w:r w:rsidRPr="00936800">
        <w:rPr>
          <w:sz w:val="24"/>
        </w:rPr>
        <w:t>750 million women and girls</w:t>
      </w:r>
      <w:r>
        <w:rPr>
          <w:sz w:val="24"/>
        </w:rPr>
        <w:t xml:space="preserve"> globally</w:t>
      </w:r>
      <w:r w:rsidRPr="00936800">
        <w:rPr>
          <w:sz w:val="24"/>
        </w:rPr>
        <w:t xml:space="preserve"> </w:t>
      </w:r>
      <w:r>
        <w:rPr>
          <w:sz w:val="24"/>
        </w:rPr>
        <w:t>have been</w:t>
      </w:r>
      <w:r w:rsidRPr="00936800">
        <w:rPr>
          <w:sz w:val="24"/>
        </w:rPr>
        <w:t xml:space="preserve"> married </w:t>
      </w:r>
      <w:r>
        <w:rPr>
          <w:sz w:val="24"/>
        </w:rPr>
        <w:t xml:space="preserve">off </w:t>
      </w:r>
      <w:r w:rsidRPr="00936800">
        <w:rPr>
          <w:sz w:val="24"/>
        </w:rPr>
        <w:t>before the age of 18 and at least 200 million women and girls in 30 countries have undergone FGM.</w:t>
      </w:r>
    </w:p>
    <w:p w14:paraId="246BCF86" w14:textId="7882651D" w:rsidR="006634B5" w:rsidRPr="00936800" w:rsidRDefault="005560C0" w:rsidP="006248E6">
      <w:pPr>
        <w:pStyle w:val="ListParagraph"/>
        <w:numPr>
          <w:ilvl w:val="0"/>
          <w:numId w:val="6"/>
        </w:numPr>
        <w:jc w:val="both"/>
        <w:rPr>
          <w:sz w:val="24"/>
        </w:rPr>
      </w:pPr>
      <w:r>
        <w:rPr>
          <w:sz w:val="24"/>
        </w:rPr>
        <w:t>Only 52</w:t>
      </w:r>
      <w:r w:rsidR="006634B5">
        <w:rPr>
          <w:sz w:val="24"/>
        </w:rPr>
        <w:t xml:space="preserve">% </w:t>
      </w:r>
      <w:r w:rsidR="006634B5" w:rsidRPr="00936800">
        <w:rPr>
          <w:sz w:val="24"/>
        </w:rPr>
        <w:t>of women</w:t>
      </w:r>
      <w:r w:rsidR="006634B5">
        <w:rPr>
          <w:sz w:val="24"/>
        </w:rPr>
        <w:t xml:space="preserve"> who are</w:t>
      </w:r>
      <w:r w:rsidR="006634B5" w:rsidRPr="00936800">
        <w:rPr>
          <w:sz w:val="24"/>
        </w:rPr>
        <w:t xml:space="preserve"> married or in a union </w:t>
      </w:r>
      <w:r w:rsidR="006634B5">
        <w:rPr>
          <w:sz w:val="24"/>
        </w:rPr>
        <w:t xml:space="preserve">are </w:t>
      </w:r>
      <w:r w:rsidR="006634B5" w:rsidRPr="00936800">
        <w:rPr>
          <w:sz w:val="24"/>
        </w:rPr>
        <w:t xml:space="preserve">freely </w:t>
      </w:r>
      <w:r w:rsidR="006634B5">
        <w:rPr>
          <w:sz w:val="24"/>
        </w:rPr>
        <w:t xml:space="preserve">able </w:t>
      </w:r>
      <w:r w:rsidR="006634B5" w:rsidRPr="00936800">
        <w:rPr>
          <w:sz w:val="24"/>
        </w:rPr>
        <w:t>make their own decisions about sexual relations, contraceptive use and health care.</w:t>
      </w:r>
    </w:p>
    <w:p w14:paraId="57051036" w14:textId="77777777" w:rsidR="006634B5" w:rsidRDefault="006634B5" w:rsidP="006248E6">
      <w:pPr>
        <w:pStyle w:val="ListParagraph"/>
        <w:numPr>
          <w:ilvl w:val="0"/>
          <w:numId w:val="6"/>
        </w:numPr>
        <w:jc w:val="both"/>
        <w:rPr>
          <w:sz w:val="24"/>
        </w:rPr>
      </w:pPr>
      <w:r w:rsidRPr="00936800">
        <w:rPr>
          <w:sz w:val="24"/>
        </w:rPr>
        <w:t xml:space="preserve">Globally, women </w:t>
      </w:r>
      <w:r>
        <w:rPr>
          <w:sz w:val="24"/>
        </w:rPr>
        <w:t>make up only 13%</w:t>
      </w:r>
      <w:r w:rsidRPr="00936800">
        <w:rPr>
          <w:sz w:val="24"/>
        </w:rPr>
        <w:t xml:space="preserve"> of agricultural land holders.</w:t>
      </w:r>
    </w:p>
    <w:p w14:paraId="784BBADC" w14:textId="77777777" w:rsidR="006634B5" w:rsidRDefault="006634B5" w:rsidP="006248E6">
      <w:pPr>
        <w:pStyle w:val="ListParagraph"/>
        <w:numPr>
          <w:ilvl w:val="0"/>
          <w:numId w:val="6"/>
        </w:numPr>
        <w:jc w:val="both"/>
        <w:rPr>
          <w:sz w:val="24"/>
        </w:rPr>
      </w:pPr>
      <w:r>
        <w:rPr>
          <w:sz w:val="24"/>
        </w:rPr>
        <w:t xml:space="preserve">19% </w:t>
      </w:r>
      <w:r w:rsidRPr="00936800">
        <w:rPr>
          <w:sz w:val="24"/>
        </w:rPr>
        <w:t>of women and girls aged 15 to 49, have experienced physical and/or sexual violence by an intimate partner within the last 12 months</w:t>
      </w:r>
      <w:r>
        <w:rPr>
          <w:sz w:val="24"/>
        </w:rPr>
        <w:t>; y</w:t>
      </w:r>
      <w:r w:rsidRPr="00936800">
        <w:rPr>
          <w:sz w:val="24"/>
        </w:rPr>
        <w:t>et, 49 countries lack laws protecting women from domestic violence.</w:t>
      </w:r>
    </w:p>
    <w:p w14:paraId="0C4C828F" w14:textId="77777777" w:rsidR="006634B5" w:rsidRPr="00936800" w:rsidRDefault="006634B5" w:rsidP="006248E6">
      <w:pPr>
        <w:pStyle w:val="ListParagraph"/>
        <w:numPr>
          <w:ilvl w:val="0"/>
          <w:numId w:val="6"/>
        </w:numPr>
        <w:jc w:val="both"/>
        <w:rPr>
          <w:sz w:val="24"/>
        </w:rPr>
      </w:pPr>
      <w:r w:rsidRPr="00936800">
        <w:rPr>
          <w:sz w:val="24"/>
        </w:rPr>
        <w:t>In 18 countries, husbands can legally prevent their wives from working; in 39 countries, daughters and sons do not have equal inheritance rights</w:t>
      </w:r>
    </w:p>
    <w:p w14:paraId="6E396C82" w14:textId="1D00E0B7" w:rsidR="006634B5" w:rsidRPr="00936800" w:rsidRDefault="006634B5" w:rsidP="006634B5">
      <w:pPr>
        <w:jc w:val="both"/>
        <w:rPr>
          <w:sz w:val="24"/>
        </w:rPr>
      </w:pPr>
      <w:r w:rsidRPr="00F06281">
        <w:rPr>
          <w:sz w:val="24"/>
        </w:rPr>
        <w:t>Ensuring that women and girls are able to complete 12 years of education, and can access quality healthcare cannot take place without addressin</w:t>
      </w:r>
      <w:r w:rsidR="00F815A4" w:rsidRPr="00F06281">
        <w:rPr>
          <w:sz w:val="24"/>
        </w:rPr>
        <w:t xml:space="preserve">g underlying barriers to gender equity </w:t>
      </w:r>
      <w:r w:rsidR="00F815A4" w:rsidRPr="00F06281">
        <w:rPr>
          <w:sz w:val="24"/>
        </w:rPr>
        <w:fldChar w:fldCharType="begin"/>
      </w:r>
      <w:r w:rsidR="00F815A4" w:rsidRPr="00F06281">
        <w:rPr>
          <w:sz w:val="24"/>
        </w:rPr>
        <w:instrText xml:space="preserve"> ADDIN ZOTERO_ITEM CSL_CITATION {"citationID":"v1aIIuU0","properties":{"formattedCitation":"(Kennedy et al., 2020)","plainCitation":"(Kennedy et al., 2020)","noteIndex":0},"citationItems":[{"id":18180,"uris":["http://zotero.org/users/7220606/items/HT89IIVU"],"uri":["http://zotero.org/users/7220606/items/HT89IIVU"],"itemData":{"id":18180,"type":"article-journal","abstract":"Background By adulthood, gender inequalities in health and wellbeing are apparent. Yet, the timing and nature of gender inequalities during childhood and adolescence are less clear. We describe the emergence of gender inequalities in health and wellbeing across the first two decades of life.","container-title":"The Lancet Global Health","DOI":"10.1016/S2214-109X(20)30354-5","ISSN":"2214109X","issue":"12","journalAbbreviation":"The Lancet Global Health","language":"en","page":"e1473-e1488","source":"DOI.org (Crossref)","title":"Gender inequalities in health and wellbeing across the first two decades of life: an analysis of 40 low-income and middle-income countries in the Asia-Pacific region","title-short":"Gender inequalities in health and wellbeing across the first two decades of life","volume":"8","author":[{"family":"Kennedy","given":"Elissa"},{"family":"Binder","given":"Gerda"},{"family":"Humphries-Waa","given":"Karen"},{"family":"Tidhar","given":"Tom"},{"family":"Cini","given":"Karly"},{"family":"Comrie-Thomson","given":"Liz"},{"family":"Vaughan","given":"Cathy"},{"family":"Francis","given":"Kate"},{"family":"Scott","given":"Nick"},{"family":"Wulan","given":"Nisaa"},{"family":"Patton","given":"George"},{"family":"Azzopardi","given":"Peter"}],"issued":{"date-parts":[["2020",12]]}}}],"schema":"https://github.com/citation-style-language/schema/raw/master/csl-citation.json"} </w:instrText>
      </w:r>
      <w:r w:rsidR="00F815A4" w:rsidRPr="00F06281">
        <w:rPr>
          <w:sz w:val="24"/>
        </w:rPr>
        <w:fldChar w:fldCharType="separate"/>
      </w:r>
      <w:r w:rsidR="00F815A4" w:rsidRPr="00F06281">
        <w:rPr>
          <w:rFonts w:ascii="Calibri" w:hAnsi="Calibri" w:cs="Calibri"/>
          <w:sz w:val="24"/>
        </w:rPr>
        <w:t>(Kennedy et al., 2020)</w:t>
      </w:r>
      <w:r w:rsidR="00F815A4" w:rsidRPr="00F06281">
        <w:rPr>
          <w:sz w:val="24"/>
        </w:rPr>
        <w:fldChar w:fldCharType="end"/>
      </w:r>
      <w:r w:rsidR="00F815A4" w:rsidRPr="00F06281">
        <w:rPr>
          <w:sz w:val="24"/>
        </w:rPr>
        <w:t xml:space="preserve">. </w:t>
      </w:r>
      <w:r w:rsidRPr="00F06281">
        <w:rPr>
          <w:sz w:val="24"/>
        </w:rPr>
        <w:t xml:space="preserve">The continued existence and propagation of power imbalances and unequal gender roles, norms and expectations that </w:t>
      </w:r>
      <w:r w:rsidR="005560C0" w:rsidRPr="00F06281">
        <w:rPr>
          <w:sz w:val="24"/>
        </w:rPr>
        <w:t>favor</w:t>
      </w:r>
      <w:r w:rsidRPr="00F06281">
        <w:rPr>
          <w:sz w:val="24"/>
        </w:rPr>
        <w:t xml:space="preserve"> men and discriminate against women, whether it be in the workplace, community or home, continue to impede progress in this area and affect women’s and girl’s agency, autonomy and access to equal opportunities for education, health and employment</w:t>
      </w:r>
      <w:r w:rsidR="00F815A4" w:rsidRPr="00F06281">
        <w:rPr>
          <w:sz w:val="24"/>
        </w:rPr>
        <w:t xml:space="preserve"> </w:t>
      </w:r>
      <w:r w:rsidR="00F815A4" w:rsidRPr="00F06281">
        <w:rPr>
          <w:sz w:val="24"/>
        </w:rPr>
        <w:fldChar w:fldCharType="begin"/>
      </w:r>
      <w:r w:rsidR="008C4798">
        <w:rPr>
          <w:sz w:val="24"/>
        </w:rPr>
        <w:instrText xml:space="preserve"> ADDIN ZOTERO_ITEM CSL_CITATION {"citationID":"AxxNeiYm","properties":{"formattedCitation":"(United Nations, 2020)","plainCitation":"(United Nations, 2020)","noteIndex":0},"citationItems":[{"id":18049,"uris":["http://zotero.org/users/7220606/items/K49FR3DM"],"uri":["http://zotero.org/users/7220606/items/K49FR3DM"],"itemData":{"id":18049,"type":"post-weblog","abstract":"Gender equality is not only a fundamental human right, but a necessary foundation for a peaceful, prosperous and sustainable world. \n\nThere has been progress over the last decades: More girls are going to school, fewer girls are forced into early marriage, more women are","container-title":"United Nations Sustainable Development","language":"en-US","title":"Gender equality and women's empowerment","URL":"https://www.un.org/sustainabledevelopment/gender-equality/","author":[{"family":"United Nations","given":""}],"accessed":{"date-parts":[["2021",5,1]]},"issued":{"date-parts":[["2020"]]}}}],"schema":"https://github.com/citation-style-language/schema/raw/master/csl-citation.json"} </w:instrText>
      </w:r>
      <w:r w:rsidR="00F815A4" w:rsidRPr="00F06281">
        <w:rPr>
          <w:sz w:val="24"/>
        </w:rPr>
        <w:fldChar w:fldCharType="separate"/>
      </w:r>
      <w:r w:rsidR="008C4798" w:rsidRPr="008C4798">
        <w:rPr>
          <w:rFonts w:ascii="Calibri" w:hAnsi="Calibri" w:cs="Calibri"/>
          <w:sz w:val="24"/>
        </w:rPr>
        <w:t>(United Nations, 2020)</w:t>
      </w:r>
      <w:r w:rsidR="00F815A4" w:rsidRPr="00F06281">
        <w:rPr>
          <w:sz w:val="24"/>
        </w:rPr>
        <w:fldChar w:fldCharType="end"/>
      </w:r>
      <w:r w:rsidRPr="00F06281">
        <w:rPr>
          <w:sz w:val="24"/>
        </w:rPr>
        <w:t>. Unequal power relations between men and women also make women more vulnerable to violence, disempowerment and poverty and it is often women and girls who bear the brunt of climate-related disasters, forced migration, maternal and child morbidity, and financial and economic hardship</w:t>
      </w:r>
      <w:r w:rsidR="00F815A4" w:rsidRPr="00F06281">
        <w:rPr>
          <w:sz w:val="24"/>
        </w:rPr>
        <w:fldChar w:fldCharType="begin"/>
      </w:r>
      <w:r w:rsidR="00F06281" w:rsidRPr="00F06281">
        <w:rPr>
          <w:sz w:val="24"/>
        </w:rPr>
        <w:instrText xml:space="preserve"> ADDIN ZOTERO_ITEM CSL_CITATION {"citationID":"YZEEZoNM","properties":{"formattedCitation":"(Lama et al., 2021; United Nations, 2015)","plainCitation":"(Lama et al., 2021; United Nations, 2015)","noteIndex":0},"citationItems":[{"id":18183,"uris":["http://zotero.org/users/7220606/items/DQDYBW88"],"uri":["http://zotero.org/users/7220606/items/DQDYBW88"],"itemData":{"id":18183,"type":"article-journal","abstract":"It is widely accepted that climate change may be contributing to population movement and has gendered effects. The relationship between climate change as a direct cause of migration continues to give rise to debates concerning vulnerabilities, while at the same time gendered dimensions of vulnerabilities remain limited to binary approaches. There is limited cross-fertilization between disciplines that go beyond comparison between males and females but interrogate gender in association with climate change and migration. Here, we seek to develop an analytical lens to the nexus between gender, migration and climate change in producing, reproducing and sustaining at risk conditions and vulnerabilities. When gender and mobility are conceptualized as a process, and climate change as a risk modifier, the nexus between them can be better interrogated. Starting by using gender as an organizing principle that structures and stratifies relations entails viewing gender not as a category that distinguishes males and females but as a discursive process of social construction that (re)produces subjectivities and inequalities. Gender is a dynamic process that shapes and (re)produces vulnerabilities and consequently shapes mediation of climate impacts and migration and is also shaped by symbolic processes that go beyond households and communities.","container-title":"Climate and Development","DOI":"10.1080/17565529.2020.1772708","ISSN":"1756-5529","issue":"4","note":"publisher: Taylor &amp; Francis\n_eprint: https://doi.org/10.1080/17565529.2020.1772708","page":"326-336","source":"Taylor and Francis+NEJM","title":"Gendered dimensions of migration in relation to climate change","volume":"13","author":[{"family":"Lama","given":"Phudoma"},{"family":"Hamza","given":"Mo"},{"family":"Wester","given":"Misse"}],"issued":{"date-parts":[["2021",4,21]]}}},{"id":18182,"uris":["http://zotero.org/users/7220606/items/97KLN68E"],"uri":["http://zotero.org/users/7220606/items/97KLN68E"],"itemData":{"id":18182,"type":"webpage","title":"Women...In The Shadow of Climate Change | United Nations","URL":"https://www.un.org/en/chronicle/article/womenin-shadow-climate-change","author":[{"family":"United Nations","given":""}],"accessed":{"date-parts":[["2021",5,23]]},"issued":{"date-parts":[["2015"]]}}}],"schema":"https://github.com/citation-style-language/schema/raw/master/csl-citation.json"} </w:instrText>
      </w:r>
      <w:r w:rsidR="00F815A4" w:rsidRPr="00F06281">
        <w:rPr>
          <w:sz w:val="24"/>
        </w:rPr>
        <w:fldChar w:fldCharType="separate"/>
      </w:r>
      <w:r w:rsidR="00F06281" w:rsidRPr="00F06281">
        <w:rPr>
          <w:rFonts w:ascii="Calibri" w:hAnsi="Calibri" w:cs="Calibri"/>
          <w:sz w:val="24"/>
        </w:rPr>
        <w:t>(Lama et al., 2021; United Nations, 2015)</w:t>
      </w:r>
      <w:r w:rsidR="00F815A4" w:rsidRPr="00F06281">
        <w:rPr>
          <w:sz w:val="24"/>
        </w:rPr>
        <w:fldChar w:fldCharType="end"/>
      </w:r>
      <w:r w:rsidRPr="00F06281">
        <w:rPr>
          <w:sz w:val="24"/>
        </w:rPr>
        <w:t>.</w:t>
      </w:r>
      <w:r>
        <w:rPr>
          <w:sz w:val="24"/>
        </w:rPr>
        <w:t xml:space="preserve"> </w:t>
      </w:r>
    </w:p>
    <w:p w14:paraId="47661DAD" w14:textId="77777777" w:rsidR="006634B5" w:rsidRDefault="006634B5" w:rsidP="006634B5">
      <w:pPr>
        <w:pStyle w:val="Heading4"/>
      </w:pPr>
      <w:bookmarkStart w:id="44" w:name="_Toc71702087"/>
      <w:bookmarkStart w:id="45" w:name="_Toc74154046"/>
      <w:r>
        <w:t>Urbanization</w:t>
      </w:r>
      <w:bookmarkEnd w:id="44"/>
      <w:bookmarkEnd w:id="45"/>
    </w:p>
    <w:p w14:paraId="338D5AB4" w14:textId="39997712" w:rsidR="006634B5" w:rsidRDefault="006634B5" w:rsidP="006634B5">
      <w:pPr>
        <w:jc w:val="both"/>
        <w:rPr>
          <w:sz w:val="24"/>
        </w:rPr>
      </w:pPr>
      <w:r>
        <w:rPr>
          <w:sz w:val="24"/>
        </w:rPr>
        <w:t>Globally, t</w:t>
      </w:r>
      <w:r w:rsidRPr="00E9444B">
        <w:rPr>
          <w:sz w:val="24"/>
        </w:rPr>
        <w:t>he effects of urbanization on</w:t>
      </w:r>
      <w:r>
        <w:rPr>
          <w:sz w:val="24"/>
        </w:rPr>
        <w:t xml:space="preserve"> climate, as well as</w:t>
      </w:r>
      <w:r w:rsidRPr="00E9444B">
        <w:rPr>
          <w:sz w:val="24"/>
        </w:rPr>
        <w:t xml:space="preserve"> </w:t>
      </w:r>
      <w:r>
        <w:rPr>
          <w:sz w:val="24"/>
        </w:rPr>
        <w:t xml:space="preserve">population health and education, </w:t>
      </w:r>
      <w:r w:rsidRPr="00E9444B">
        <w:rPr>
          <w:sz w:val="24"/>
        </w:rPr>
        <w:t xml:space="preserve">are </w:t>
      </w:r>
      <w:r>
        <w:rPr>
          <w:sz w:val="24"/>
        </w:rPr>
        <w:t xml:space="preserve">variable, </w:t>
      </w:r>
      <w:r w:rsidRPr="00E9444B">
        <w:rPr>
          <w:sz w:val="24"/>
        </w:rPr>
        <w:t xml:space="preserve">multi-level and complex. </w:t>
      </w:r>
      <w:r>
        <w:rPr>
          <w:sz w:val="24"/>
        </w:rPr>
        <w:t xml:space="preserve">As places of residence, cities or urban settlements </w:t>
      </w:r>
      <w:r w:rsidR="0022781D">
        <w:rPr>
          <w:sz w:val="24"/>
        </w:rPr>
        <w:t>house</w:t>
      </w:r>
      <w:r>
        <w:rPr>
          <w:sz w:val="24"/>
        </w:rPr>
        <w:t xml:space="preserve"> almost </w:t>
      </w:r>
      <w:r w:rsidR="0022781D">
        <w:rPr>
          <w:sz w:val="24"/>
        </w:rPr>
        <w:t>50% of the population globally</w:t>
      </w:r>
      <w:r>
        <w:rPr>
          <w:sz w:val="24"/>
        </w:rPr>
        <w:t xml:space="preserve">. For many, urban migration signifies better prospects in terms of employment, health, education and quality of life, and big cities are often critically contributing hubs to national economies. However, unchecked, rapid urbanization can also result in environmental degradation, poverty and strained or insufficient resources for meeting growing population demands. Common examples of urban health hazards include overcrowding, substandard housing, poor sanitation, contaminated drinking water supplies and air pollution </w:t>
      </w:r>
      <w:r>
        <w:rPr>
          <w:sz w:val="24"/>
        </w:rPr>
        <w:fldChar w:fldCharType="begin"/>
      </w:r>
      <w:r w:rsidR="00B23620">
        <w:rPr>
          <w:sz w:val="24"/>
        </w:rPr>
        <w:instrText xml:space="preserve"> ADDIN ZOTERO_ITEM CSL_CITATION {"citationID":"7u4hTN0y","properties":{"formattedCitation":"(Moore et al., 2002)","plainCitation":"(Moore et al., 2002)","noteIndex":0},"citationItems":[{"id":17986,"uris":["http://zotero.org/users/7220606/items/9TVGWCL7"],"uri":["http://zotero.org/users/7220606/items/9TVGWCL7"],"itemData":{"id":17986,"type":"article-journal","abstract":"Nearly half the world's population now lives in urban settlements. Cities offer the lure of better employment, education, health care, and culture; and they contribute disproportionately to national economies. However, rapid and often unplanned urban growth is often associated with poverty, environmental degradation and population demands that outstrip service capacity. These conditions place human health at risk. Reliable urban health statistics are largely unavailable throughout the world. Disaggregated intra-urban health data, i.e., for different areas within a city, are even more rare. Data that are available indicate a range of urban health hazards and associated health risks: substandard housing, crowding, air pollution, insufficient or contaminated drinking water, inadequate sanitation and solid waste disposal services, vector-borne diseases, industrial waste, increased motor vehicle traffic, stress associated with poverty and unemployment, among others. Local and national governments and multilateral organizations are all grappling with the challenges of urbanization. Urban health risks and concerns involve many different sectors, including health, environment, housing, energy, transportation, urban planning, and others. Two main policy implications are highlighted: the need for systematic and useful urban health statistics on a disaggregated, i.e., intra-urban, basis, and the need for more effective partnering across sectors. The humanitarian and economic imperative to create livable and sustainable cities must drive us to seek and successfully overcome challenges and capitalize on opportunities. Good urban planning and governance, exchange of best practice models and the determination and leadership of stakeholders across disciplines, sectors, communities and countries will be critical elements of success.","container-title":"International Journal of Hygiene and Environmental Health","language":"en","page":"269-278","source":"Zotero","title":"Global urbanization and the impact on health","volume":"206","author":[{"family":"Moore","given":"Melinda"},{"family":"Gould","given":"Philip"},{"family":"Keary","given":"Barbara S"}],"issued":{"date-parts":[["2002"]]}}}],"schema":"https://github.com/citation-style-language/schema/raw/master/csl-citation.json"} </w:instrText>
      </w:r>
      <w:r>
        <w:rPr>
          <w:sz w:val="24"/>
        </w:rPr>
        <w:fldChar w:fldCharType="separate"/>
      </w:r>
      <w:r w:rsidR="00B23620" w:rsidRPr="00B23620">
        <w:rPr>
          <w:rFonts w:ascii="Calibri" w:hAnsi="Calibri" w:cs="Calibri"/>
          <w:sz w:val="24"/>
        </w:rPr>
        <w:t>(Moore et al., 2002)</w:t>
      </w:r>
      <w:r>
        <w:rPr>
          <w:sz w:val="24"/>
        </w:rPr>
        <w:fldChar w:fldCharType="end"/>
      </w:r>
      <w:r>
        <w:rPr>
          <w:sz w:val="24"/>
        </w:rPr>
        <w:t xml:space="preserve">. </w:t>
      </w:r>
    </w:p>
    <w:p w14:paraId="50DD7199" w14:textId="347ECFD4" w:rsidR="006634B5" w:rsidRPr="00E9444B" w:rsidRDefault="006634B5" w:rsidP="006634B5">
      <w:pPr>
        <w:jc w:val="both"/>
        <w:rPr>
          <w:sz w:val="24"/>
        </w:rPr>
      </w:pPr>
      <w:r>
        <w:rPr>
          <w:sz w:val="24"/>
        </w:rPr>
        <w:t>In the context of climate change, urbanization, similar to population growth, is commonly highlighted as a contributing factor to increased greenhouse gas emissions. However, in a paper on the relationships between population growth, urbanization</w:t>
      </w:r>
      <w:r w:rsidR="00020628">
        <w:rPr>
          <w:sz w:val="24"/>
        </w:rPr>
        <w:t>,</w:t>
      </w:r>
      <w:r>
        <w:rPr>
          <w:sz w:val="24"/>
        </w:rPr>
        <w:t xml:space="preserve"> and climate change, David Satterthwaite posits that it is</w:t>
      </w:r>
      <w:r w:rsidRPr="007A0B56">
        <w:rPr>
          <w:sz w:val="24"/>
        </w:rPr>
        <w:t xml:space="preserve"> growth in </w:t>
      </w:r>
      <w:r>
        <w:rPr>
          <w:sz w:val="24"/>
        </w:rPr>
        <w:t xml:space="preserve">the number of </w:t>
      </w:r>
      <w:r w:rsidRPr="007A0B56">
        <w:rPr>
          <w:sz w:val="24"/>
        </w:rPr>
        <w:t>consumers and in their levels of consumption</w:t>
      </w:r>
      <w:r>
        <w:rPr>
          <w:sz w:val="24"/>
        </w:rPr>
        <w:t xml:space="preserve"> in a society that drive climate change, rather than absolute rates of urbanization or population growth </w:t>
      </w:r>
      <w:r>
        <w:rPr>
          <w:sz w:val="24"/>
        </w:rPr>
        <w:fldChar w:fldCharType="begin"/>
      </w:r>
      <w:r w:rsidR="00B23620">
        <w:rPr>
          <w:sz w:val="24"/>
        </w:rPr>
        <w:instrText xml:space="preserve"> ADDIN ZOTERO_ITEM CSL_CITATION {"citationID":"ZTrIXjZM","properties":{"formattedCitation":"(Satterthwaite, 2009)","plainCitation":"(Satterthwaite, 2009)","noteIndex":0},"citationItems":[{"id":17989,"uris":["http://zotero.org/users/7220606/items/9D7E7J87"],"uri":["http://zotero.org/users/7220606/items/9D7E7J87"],"itemData":{"id":17989,"type":"article-journal","abstract":"This paper considers the implications of population growth and urbanization for climate change. It emphasizes that it is not the growth in (urban or rural) populations that drives the growth in greenhouse gas (GHG) emissions but rather, the growth in consumers and in their levels of consumption. A significant proportion of the world?s urban (and rural) populations have consumption levels that are so low that they contribute little or nothing to such emissions. If the lifetime contribution to GHG emissions of a person added to the world?s population varies by a factor of more than 1,000 depending on the circumstances into which they are born and their life choices, it is misleading to see population growth as the driver of climate change. A review of carbon dioxide (CO2) emissions levels for nations, and how they changed between 1980 and 2005 (and also between 1950 and 1980), shows little association between nations with rapid population growth and nations with high GHG emissions and rapid GHG emissions growth; indeed, it is mostly nations with very low emissions per person (and often only slowly growing emissions) that have had the highest population growth rates. The paper also discusses how in the much-needed planning for global emissions reduction, provision must be made to allow low-income, low-consumption households with GHG emissions per person below the global ?fair share? level to increase their consumption.","container-title":"Environment and Urbanization","DOI":"10.1177/0956247809344361","ISSN":"0956-2478","issue":"2","journalAbbreviation":"Environment and Urbanization","note":"publisher: SAGE Publications Ltd","page":"545-567","source":"SAGE Journals","title":"The implications of population growth and urbanization for climate change","volume":"21","author":[{"family":"Satterthwaite","given":"David"}],"issued":{"date-parts":[["2009",10,1]]}}}],"schema":"https://github.com/citation-style-language/schema/raw/master/csl-citation.json"} </w:instrText>
      </w:r>
      <w:r>
        <w:rPr>
          <w:sz w:val="24"/>
        </w:rPr>
        <w:fldChar w:fldCharType="separate"/>
      </w:r>
      <w:r w:rsidR="00B23620" w:rsidRPr="00B23620">
        <w:rPr>
          <w:rFonts w:ascii="Calibri" w:hAnsi="Calibri" w:cs="Calibri"/>
          <w:sz w:val="24"/>
        </w:rPr>
        <w:t>(Satterthwaite, 2009)</w:t>
      </w:r>
      <w:r>
        <w:rPr>
          <w:sz w:val="24"/>
        </w:rPr>
        <w:fldChar w:fldCharType="end"/>
      </w:r>
      <w:r>
        <w:rPr>
          <w:sz w:val="24"/>
        </w:rPr>
        <w:t xml:space="preserve">. While urban migration in some regions may correlate with increased consumption of resources and energy, this is not always the case, and in some regions of the world where population is still growing rapidly, overall emissions remain quite low. The demographic transition, or demographic dividend, which is explained in more detail in the section to follow, is also closely interlinked with improvements in health and education, and can be a contributing factor towards urbanization and increased emissions in some contexts </w:t>
      </w:r>
      <w:r>
        <w:rPr>
          <w:sz w:val="24"/>
        </w:rPr>
        <w:fldChar w:fldCharType="begin"/>
      </w:r>
      <w:r w:rsidR="00B23620">
        <w:rPr>
          <w:sz w:val="24"/>
        </w:rPr>
        <w:instrText xml:space="preserve"> ADDIN ZOTERO_ITEM CSL_CITATION {"citationID":"1q7HSYXv","properties":{"formattedCitation":"(Dyson, 2011)","plainCitation":"(Dyson, 2011)","noteIndex":0},"citationItems":[{"id":17991,"uris":["http://zotero.org/users/7220606/items/PVPDC4RH"],"uri":["http://zotero.org/users/7220606/items/PVPDC4RH"],"itemData":{"id":17991,"type":"article-journal","archive":"JSTOR","container-title":"Population and Development Review","ISSN":"00987921, 17284457","note":"publisher: [Population Council, Wiley]","page":"34-54","title":"The Role of the Demographic Transition in the Process of Urbanization","volume":"37","author":[{"family":"Dyson","given":"Tim"}],"issued":{"date-parts":[["2011"]]}}}],"schema":"https://github.com/citation-style-language/schema/raw/master/csl-citation.json"} </w:instrText>
      </w:r>
      <w:r>
        <w:rPr>
          <w:sz w:val="24"/>
        </w:rPr>
        <w:fldChar w:fldCharType="separate"/>
      </w:r>
      <w:r w:rsidR="00B23620" w:rsidRPr="00B23620">
        <w:rPr>
          <w:rFonts w:ascii="Calibri" w:hAnsi="Calibri" w:cs="Calibri"/>
          <w:sz w:val="24"/>
        </w:rPr>
        <w:t>(Dyson, 2011)</w:t>
      </w:r>
      <w:r>
        <w:rPr>
          <w:sz w:val="24"/>
        </w:rPr>
        <w:fldChar w:fldCharType="end"/>
      </w:r>
      <w:r>
        <w:rPr>
          <w:sz w:val="24"/>
        </w:rPr>
        <w:t xml:space="preserve">. </w:t>
      </w:r>
    </w:p>
    <w:p w14:paraId="7670D96C" w14:textId="77777777" w:rsidR="006634B5" w:rsidRPr="00446A25" w:rsidRDefault="006634B5" w:rsidP="006634B5">
      <w:pPr>
        <w:rPr>
          <w:sz w:val="24"/>
        </w:rPr>
      </w:pPr>
    </w:p>
    <w:p w14:paraId="62520CC1" w14:textId="77777777" w:rsidR="006634B5" w:rsidRDefault="006634B5" w:rsidP="006634B5">
      <w:pPr>
        <w:pStyle w:val="Heading4"/>
      </w:pPr>
      <w:bookmarkStart w:id="46" w:name="_Toc71702089"/>
      <w:bookmarkStart w:id="47" w:name="_Toc74154048"/>
      <w:r>
        <w:t>The demographic dividend</w:t>
      </w:r>
      <w:bookmarkEnd w:id="46"/>
      <w:bookmarkEnd w:id="47"/>
    </w:p>
    <w:p w14:paraId="00C02029" w14:textId="643234D2" w:rsidR="006634B5" w:rsidRPr="00BF048C" w:rsidRDefault="006634B5" w:rsidP="006634B5">
      <w:pPr>
        <w:jc w:val="both"/>
        <w:rPr>
          <w:sz w:val="24"/>
        </w:rPr>
      </w:pPr>
      <w:r w:rsidRPr="00BF048C">
        <w:rPr>
          <w:sz w:val="24"/>
        </w:rPr>
        <w:t xml:space="preserve">The demographic transition, demonstrated through a demographic transition model, refers to the </w:t>
      </w:r>
      <w:r w:rsidR="00F77AB2">
        <w:rPr>
          <w:sz w:val="24"/>
        </w:rPr>
        <w:t>“</w:t>
      </w:r>
      <w:r w:rsidRPr="00BF048C">
        <w:rPr>
          <w:sz w:val="24"/>
        </w:rPr>
        <w:t>transition from high birth and death rates to low birth and death rates as a country develops from a pre-industrial to an industrialized economic system</w:t>
      </w:r>
      <w:r w:rsidR="00F77AB2">
        <w:rPr>
          <w:sz w:val="24"/>
        </w:rPr>
        <w:t>”</w:t>
      </w:r>
      <w:r w:rsidRPr="00BF048C">
        <w:rPr>
          <w:sz w:val="24"/>
        </w:rPr>
        <w:t xml:space="preserve"> (Bongaarts, 2009). Whether it</w:t>
      </w:r>
      <w:r>
        <w:rPr>
          <w:sz w:val="24"/>
        </w:rPr>
        <w:t xml:space="preserve"> applies to today’s developing </w:t>
      </w:r>
      <w:r w:rsidRPr="00BF048C">
        <w:rPr>
          <w:sz w:val="24"/>
        </w:rPr>
        <w:t>societies remains to be seen. However, there are country-level examples demonstrating that when political will and investment in family planning are high, countries can achieve very rapid declines in fertility. The total fertility rate (TFR) declined from 6 to 3.5 in Iran in just 6 years, an</w:t>
      </w:r>
      <w:r w:rsidR="009600F1">
        <w:rPr>
          <w:sz w:val="24"/>
        </w:rPr>
        <w:t>d in Thailand in just 8 years; t</w:t>
      </w:r>
      <w:r w:rsidRPr="00BF048C">
        <w:rPr>
          <w:sz w:val="24"/>
        </w:rPr>
        <w:t>he same decline in the US took nearly 60 years to achieve</w:t>
      </w:r>
      <w:r w:rsidR="009600F1">
        <w:rPr>
          <w:sz w:val="24"/>
        </w:rPr>
        <w:t xml:space="preserve"> </w:t>
      </w:r>
      <w:r w:rsidR="009600F1" w:rsidRPr="009600F1">
        <w:rPr>
          <w:rFonts w:ascii="Calibri" w:hAnsi="Calibri" w:cs="Calibri"/>
          <w:sz w:val="24"/>
        </w:rPr>
        <w:t>(Roser, 2014)</w:t>
      </w:r>
      <w:r w:rsidR="009600F1">
        <w:rPr>
          <w:sz w:val="24"/>
        </w:rPr>
        <w:t xml:space="preserve">. </w:t>
      </w:r>
      <w:r w:rsidRPr="00BF048C">
        <w:rPr>
          <w:sz w:val="24"/>
        </w:rPr>
        <w:t xml:space="preserve"> </w:t>
      </w:r>
    </w:p>
    <w:p w14:paraId="659E626A" w14:textId="3893BADB" w:rsidR="006634B5" w:rsidRPr="00BF048C" w:rsidRDefault="006634B5" w:rsidP="006634B5">
      <w:pPr>
        <w:jc w:val="both"/>
        <w:rPr>
          <w:sz w:val="24"/>
        </w:rPr>
      </w:pPr>
      <w:r w:rsidRPr="00BF048C">
        <w:rPr>
          <w:sz w:val="24"/>
        </w:rPr>
        <w:t>It is estimated that 99% of population growth in this ce</w:t>
      </w:r>
      <w:r w:rsidR="009600F1">
        <w:rPr>
          <w:sz w:val="24"/>
        </w:rPr>
        <w:t>ntury will be attributed to less developed countries (</w:t>
      </w:r>
      <w:r w:rsidRPr="00BF048C">
        <w:rPr>
          <w:sz w:val="24"/>
        </w:rPr>
        <w:t>LDCs</w:t>
      </w:r>
      <w:r w:rsidR="009600F1">
        <w:rPr>
          <w:sz w:val="24"/>
        </w:rPr>
        <w:t>)</w:t>
      </w:r>
      <w:r w:rsidRPr="00BF048C">
        <w:rPr>
          <w:sz w:val="24"/>
        </w:rPr>
        <w:t xml:space="preserve"> (Popul</w:t>
      </w:r>
      <w:r>
        <w:rPr>
          <w:sz w:val="24"/>
        </w:rPr>
        <w:t xml:space="preserve">ation Reference Bureau, 2014). </w:t>
      </w:r>
      <w:r w:rsidRPr="00BF048C">
        <w:rPr>
          <w:sz w:val="24"/>
        </w:rPr>
        <w:t>Replacement level fertility is roughly 2.1 children per woman for most countries, although varying modestly with mortality rates</w:t>
      </w:r>
      <w:r w:rsidR="009600F1">
        <w:rPr>
          <w:sz w:val="24"/>
        </w:rPr>
        <w:t xml:space="preserve"> </w:t>
      </w:r>
      <w:r w:rsidR="009600F1">
        <w:rPr>
          <w:sz w:val="24"/>
        </w:rPr>
        <w:fldChar w:fldCharType="begin"/>
      </w:r>
      <w:r w:rsidR="005F3A70">
        <w:rPr>
          <w:sz w:val="24"/>
        </w:rPr>
        <w:instrText xml:space="preserve"> ADDIN ZOTERO_ITEM CSL_CITATION {"citationID":"2uC4MNGy","properties":{"formattedCitation":"(United Nations Population Division, 2021)","plainCitation":"(United Nations Population Division, 2021)","noteIndex":0},"citationItems":[{"id":18123,"uris":["http://zotero.org/users/7220606/items/67UCGHAQ"],"uri":["http://zotero.org/users/7220606/items/67UCGHAQ"],"itemData":{"id":18123,"type":"report","title":"World Population Prospects","URL":"https://population.un.org/wpp/Download/Standard/Population/","author":[{"family":"United Nations Population Division","given":""}],"issued":{"date-parts":[["2021"]]}}}],"schema":"https://github.com/citation-style-language/schema/raw/master/csl-citation.json"} </w:instrText>
      </w:r>
      <w:r w:rsidR="009600F1">
        <w:rPr>
          <w:sz w:val="24"/>
        </w:rPr>
        <w:fldChar w:fldCharType="separate"/>
      </w:r>
      <w:r w:rsidR="005F3A70" w:rsidRPr="005F3A70">
        <w:rPr>
          <w:rFonts w:ascii="Calibri" w:hAnsi="Calibri" w:cs="Calibri"/>
          <w:sz w:val="24"/>
        </w:rPr>
        <w:t>(United Nations Population Division, 2021)</w:t>
      </w:r>
      <w:r w:rsidR="009600F1">
        <w:rPr>
          <w:sz w:val="24"/>
        </w:rPr>
        <w:fldChar w:fldCharType="end"/>
      </w:r>
      <w:r w:rsidRPr="00BF048C">
        <w:rPr>
          <w:sz w:val="24"/>
        </w:rPr>
        <w:t>. Fertility rates in most middle income and high-income countries are approaching or below replacement level. However, over the last three revisions of the UN population projections, many country-level projections were revised upward, due to assumptions of national level contraceptive uptake not holding true – and those countries’ subsequent experience of “stalled” fertility decline (May and Guengant, 2013).The UN has long-held the assumption that all countries of the world are assumed to converge to replacement level fertility and to the same low level of mortality; therefore, the UN Population Division 2012 revisions treat stalled fertility decline as a “temporary phenomenon” – although there is no reason to believe that fertility stalls could not persist where political w</w:t>
      </w:r>
      <w:r>
        <w:rPr>
          <w:sz w:val="24"/>
        </w:rPr>
        <w:t>ill and/ or investment is low (United Nations, 2012).</w:t>
      </w:r>
    </w:p>
    <w:p w14:paraId="08326C15" w14:textId="77777777" w:rsidR="006634B5" w:rsidRDefault="006634B5" w:rsidP="006634B5">
      <w:pPr>
        <w:pStyle w:val="ListParagraph"/>
        <w:ind w:left="1440"/>
      </w:pPr>
    </w:p>
    <w:p w14:paraId="11690BF7" w14:textId="77777777" w:rsidR="006634B5" w:rsidRDefault="006634B5" w:rsidP="006634B5">
      <w:pPr>
        <w:pStyle w:val="Heading2"/>
      </w:pPr>
      <w:bookmarkStart w:id="48" w:name="_Toc71702090"/>
      <w:bookmarkStart w:id="49" w:name="_Toc74154049"/>
      <w:r>
        <w:t>Advantages of improving health and education</w:t>
      </w:r>
      <w:bookmarkEnd w:id="48"/>
      <w:bookmarkEnd w:id="49"/>
    </w:p>
    <w:p w14:paraId="05FCCE43" w14:textId="77777777" w:rsidR="006634B5" w:rsidRDefault="006634B5" w:rsidP="006634B5">
      <w:pPr>
        <w:jc w:val="both"/>
        <w:rPr>
          <w:sz w:val="24"/>
        </w:rPr>
      </w:pPr>
      <w:r>
        <w:rPr>
          <w:sz w:val="24"/>
        </w:rPr>
        <w:t xml:space="preserve">Access to both quality education and healthcare are fundamental human rights. The societal benefits that arise from ensuring equitable access are staggering, and have far reaching implications many domains; poverty alleviation, improved wellbeing and quality of life, women’s empowerment, gender equity, and increased resilience and adaptability in the face of climate-related events, to name a few. </w:t>
      </w:r>
    </w:p>
    <w:p w14:paraId="4E819769" w14:textId="3AA81774" w:rsidR="006634B5" w:rsidRPr="00BF048C" w:rsidRDefault="006634B5" w:rsidP="006634B5">
      <w:pPr>
        <w:jc w:val="both"/>
        <w:rPr>
          <w:sz w:val="24"/>
        </w:rPr>
      </w:pPr>
      <w:r w:rsidRPr="00BF048C">
        <w:rPr>
          <w:sz w:val="24"/>
        </w:rPr>
        <w:t>Both financial and human capital investments in family planning are critical for saving lives and improving health among women and children. Global health strategies have long recognized the benefits of family planning. Notably, numerous studies have found a causal link between closely spaced pregnancies and three key birth outcomes: low birth weight, preterm birth and small size for gestational age</w:t>
      </w:r>
      <w:r>
        <w:rPr>
          <w:sz w:val="24"/>
        </w:rPr>
        <w:t xml:space="preserve"> </w:t>
      </w:r>
      <w:r>
        <w:rPr>
          <w:sz w:val="24"/>
        </w:rPr>
        <w:fldChar w:fldCharType="begin"/>
      </w:r>
      <w:r w:rsidR="00B23620">
        <w:rPr>
          <w:sz w:val="24"/>
        </w:rPr>
        <w:instrText xml:space="preserve"> ADDIN ZOTERO_ITEM CSL_CITATION {"citationID":"KDATs3nq","properties":{"formattedCitation":"(Bener et al., 2012)","plainCitation":"(Bener et al., 2012)","noteIndex":0},"citationItems":[{"id":18040,"uris":["http://zotero.org/users/7220606/items/GUS3VNXY"],"uri":["http://zotero.org/users/7220606/items/GUS3VNXY"],"itemData":{"id":18040,"type":"article-journal","container-title":"Revista Brasileira de Saúde Materno Infantil","DOI":"10.1590/S1519-38292012000300003","ISSN":"1519-3829","issue":"3","language":"en","note":"publisher: Instituto Materno Infantil de Pernambuco","page":"233-241","source":"SciELO","title":"The impact of the interpregnancy interval on birth weight and other pregnancy outcomes","volume":"12","author":[{"family":"Bener","given":"Abdulbari"},{"family":"Saleh","given":"Najah Mohammed"},{"family":"Salameh","given":"Khalil Mohd Khalil"},{"family":"Basha","given":"Basma"},{"family":"Joseph","given":"Sharen"},{"family":"Samson","given":"Nancy"},{"family":"AlBuz","given":"Rama"}],"issued":{"date-parts":[["2012",9]]}}}],"schema":"https://github.com/citation-style-language/schema/raw/master/csl-citation.json"} </w:instrText>
      </w:r>
      <w:r>
        <w:rPr>
          <w:sz w:val="24"/>
        </w:rPr>
        <w:fldChar w:fldCharType="separate"/>
      </w:r>
      <w:r w:rsidR="00B23620" w:rsidRPr="00B23620">
        <w:rPr>
          <w:rFonts w:ascii="Calibri" w:hAnsi="Calibri" w:cs="Calibri"/>
          <w:sz w:val="24"/>
        </w:rPr>
        <w:t>(Bener et al., 2012)</w:t>
      </w:r>
      <w:r>
        <w:rPr>
          <w:sz w:val="24"/>
        </w:rPr>
        <w:fldChar w:fldCharType="end"/>
      </w:r>
      <w:r w:rsidRPr="00BF048C">
        <w:rPr>
          <w:sz w:val="24"/>
        </w:rPr>
        <w:t xml:space="preserve">.  </w:t>
      </w:r>
      <w:r>
        <w:rPr>
          <w:sz w:val="24"/>
        </w:rPr>
        <w:t>Literature also</w:t>
      </w:r>
      <w:r w:rsidRPr="00BF048C">
        <w:rPr>
          <w:sz w:val="24"/>
        </w:rPr>
        <w:t xml:space="preserve"> highlights </w:t>
      </w:r>
      <w:r>
        <w:rPr>
          <w:sz w:val="24"/>
        </w:rPr>
        <w:t>the</w:t>
      </w:r>
      <w:r w:rsidRPr="00BF048C">
        <w:rPr>
          <w:sz w:val="24"/>
        </w:rPr>
        <w:t xml:space="preserve"> association between unintended pregnanc</w:t>
      </w:r>
      <w:r>
        <w:rPr>
          <w:sz w:val="24"/>
        </w:rPr>
        <w:t>ies</w:t>
      </w:r>
      <w:r w:rsidRPr="00BF048C">
        <w:rPr>
          <w:sz w:val="24"/>
        </w:rPr>
        <w:t xml:space="preserve"> and delayed prenatal care, as women are less likely to realize that they are pregnant</w:t>
      </w:r>
      <w:r w:rsidR="00F77AB2">
        <w:rPr>
          <w:sz w:val="24"/>
        </w:rPr>
        <w:t xml:space="preserve"> in their first trimester</w:t>
      </w:r>
      <w:r w:rsidRPr="00BF048C">
        <w:rPr>
          <w:sz w:val="24"/>
        </w:rPr>
        <w:t xml:space="preserve"> if they were not intending to get pregnant</w:t>
      </w:r>
      <w:r>
        <w:rPr>
          <w:sz w:val="24"/>
        </w:rPr>
        <w:t xml:space="preserve"> </w:t>
      </w:r>
      <w:r>
        <w:rPr>
          <w:sz w:val="24"/>
        </w:rPr>
        <w:fldChar w:fldCharType="begin"/>
      </w:r>
      <w:r w:rsidR="00B23620">
        <w:rPr>
          <w:sz w:val="24"/>
        </w:rPr>
        <w:instrText xml:space="preserve"> ADDIN ZOTERO_ITEM CSL_CITATION {"citationID":"qPTzm3sR","properties":{"formattedCitation":"(Cheng et al., 2009)","plainCitation":"(Cheng et al., 2009)","noteIndex":0},"citationItems":[{"id":18045,"uris":["http://zotero.org/users/7220606/items/BUD8WZA6"],"uri":["http://zotero.org/users/7220606/items/BUD8WZA6"],"itemData":{"id":18045,"type":"article-journal","abstract":"Background\nThis study was conducted to determine the relationship between unintended pregnancy and maternal behaviors before, during and after pregnancy.\nStudy Design\nData were analyzed from a stratified random sample of 9048 mothers who delivered live born infants between 2001 and 2006 and completed the Pregnancy Risk Assessment Monitoring System (PRAMS) survey 2 to 9 months after delivery. Binary and ordinal logistic regression methods with appropriate survey weights were used to control for socio-demographic factors.\nResults\nCompared to women with intended pregnancies, mothers with unwanted pregnancies were more likely to consume less than the recommended amount of preconception folic acid [adjusted odds ratio (OR) 2.39, 95% confidence interval (CI) 1.7–3.2], smoke prenatally (OR 2.03, 95% CI 1.5–2.9), smoke postpartum (OR 1.86, 95% CI 1.35–2.55) and report postpartum depression (OR 1.98, 95% CI 1.48–2.64); they were less likely to initiate prenatal care during the first trimester (OR 0.34, 95% CI 0.3–0.5) and breastfeed for 8 or more weeks (OR 0.74, 95% CI 0.57–0.97). Compared to women with intended pregnancies, women with mistimed pregnancies were also more likely to consume inadequate folic acid, delay prenatal care and report postpartum depression.\nConclusion\nEven after controlling for multiple socio-demographic factors, unwanted and mistimed pregnancies were associated with unhealthy perinatal behaviors.","container-title":"Contraception","DOI":"10.1016/j.contraception.2008.09.009","ISSN":"0010-7824","issue":"3","journalAbbreviation":"Contraception","language":"en","page":"194-198","source":"ScienceDirect","title":"Unintended pregnancy and associated maternal preconception, prenatal and postpartum behaviors","volume":"79","author":[{"family":"Cheng","given":"Diana"},{"family":"Schwarz","given":"Eleanor B."},{"family":"Douglas","given":"Erika"},{"family":"Horon","given":"Isabelle"}],"issued":{"date-parts":[["2009",3,1]]}}}],"schema":"https://github.com/citation-style-language/schema/raw/master/csl-citation.json"} </w:instrText>
      </w:r>
      <w:r>
        <w:rPr>
          <w:sz w:val="24"/>
        </w:rPr>
        <w:fldChar w:fldCharType="separate"/>
      </w:r>
      <w:r w:rsidR="00B23620" w:rsidRPr="00B23620">
        <w:rPr>
          <w:rFonts w:ascii="Calibri" w:hAnsi="Calibri" w:cs="Calibri"/>
          <w:sz w:val="24"/>
        </w:rPr>
        <w:t>(Cheng et al., 2009)</w:t>
      </w:r>
      <w:r>
        <w:rPr>
          <w:sz w:val="24"/>
        </w:rPr>
        <w:fldChar w:fldCharType="end"/>
      </w:r>
      <w:r w:rsidRPr="00BF048C">
        <w:rPr>
          <w:sz w:val="24"/>
        </w:rPr>
        <w:t xml:space="preserve">. Additionally, in countries </w:t>
      </w:r>
      <w:r>
        <w:rPr>
          <w:sz w:val="24"/>
        </w:rPr>
        <w:t>where abortion is restricted</w:t>
      </w:r>
      <w:r w:rsidRPr="00BF048C">
        <w:rPr>
          <w:sz w:val="24"/>
        </w:rPr>
        <w:t xml:space="preserve">, contraceptive use can lead to fewer unsafe </w:t>
      </w:r>
      <w:r>
        <w:rPr>
          <w:sz w:val="24"/>
        </w:rPr>
        <w:t xml:space="preserve">or illegal </w:t>
      </w:r>
      <w:r w:rsidRPr="00BF048C">
        <w:rPr>
          <w:sz w:val="24"/>
        </w:rPr>
        <w:t xml:space="preserve">abortions, and associated </w:t>
      </w:r>
      <w:r>
        <w:rPr>
          <w:sz w:val="24"/>
        </w:rPr>
        <w:t xml:space="preserve">maternal </w:t>
      </w:r>
      <w:r w:rsidRPr="00BF048C">
        <w:rPr>
          <w:sz w:val="24"/>
        </w:rPr>
        <w:t xml:space="preserve">morbidity and </w:t>
      </w:r>
      <w:r>
        <w:rPr>
          <w:sz w:val="24"/>
        </w:rPr>
        <w:t xml:space="preserve">mortality </w:t>
      </w:r>
      <w:r>
        <w:rPr>
          <w:sz w:val="24"/>
        </w:rPr>
        <w:fldChar w:fldCharType="begin"/>
      </w:r>
      <w:r w:rsidR="00B23620">
        <w:rPr>
          <w:sz w:val="24"/>
        </w:rPr>
        <w:instrText xml:space="preserve"> ADDIN ZOTERO_ITEM CSL_CITATION {"citationID":"tePlryxN","properties":{"formattedCitation":"(Chescheir, 2017)","plainCitation":"(Chescheir, 2017)","noteIndex":0},"citationItems":[{"id":18047,"uris":["http://zotero.org/users/7220606/items/YYGBK3AC"],"uri":["http://zotero.org/users/7220606/items/YYGBK3AC"],"itemData":{"id":18047,"type":"article-journal","abstract":"An abstract is unavailable.","container-title":"Obstetrics &amp; Gynecology","DOI":"10.1097/AOG.0000000000002028","ISSN":"0029-7844","issue":"5","language":"en-US","page":"783–785","source":"journals.lww.com","title":"Worldwide Abortion Rates and Access to Contraception","volume":"129","author":[{"family":"Chescheir","given":"Nancy C."}],"issued":{"date-parts":[["2017",5]]}}}],"schema":"https://github.com/citation-style-language/schema/raw/master/csl-citation.json"} </w:instrText>
      </w:r>
      <w:r>
        <w:rPr>
          <w:sz w:val="24"/>
        </w:rPr>
        <w:fldChar w:fldCharType="separate"/>
      </w:r>
      <w:r w:rsidR="00B23620" w:rsidRPr="00B23620">
        <w:rPr>
          <w:rFonts w:ascii="Calibri" w:hAnsi="Calibri" w:cs="Calibri"/>
          <w:sz w:val="24"/>
        </w:rPr>
        <w:t>(Chescheir, 2017)</w:t>
      </w:r>
      <w:r>
        <w:rPr>
          <w:sz w:val="24"/>
        </w:rPr>
        <w:fldChar w:fldCharType="end"/>
      </w:r>
      <w:r w:rsidRPr="00BF048C">
        <w:rPr>
          <w:sz w:val="24"/>
        </w:rPr>
        <w:t xml:space="preserve">. </w:t>
      </w:r>
    </w:p>
    <w:p w14:paraId="5C9A8463" w14:textId="77777777" w:rsidR="006634B5" w:rsidRPr="00160FC7" w:rsidRDefault="006634B5" w:rsidP="006634B5">
      <w:pPr>
        <w:jc w:val="both"/>
      </w:pPr>
      <w:r w:rsidRPr="00CD7DA7">
        <w:rPr>
          <w:sz w:val="24"/>
        </w:rPr>
        <w:t xml:space="preserve">Based on figures in the latest report in the ‘Adding it Up’ series from the Guttmacher Institute, </w:t>
      </w:r>
      <w:r w:rsidRPr="00A05F25">
        <w:rPr>
          <w:sz w:val="24"/>
        </w:rPr>
        <w:t>if all 218 million women in LMICs with a current unmet need for modern contraception were able to meet their contraceptive needs, unintended pregnancies would drop from 111 million to 35 million per year, resulting in:</w:t>
      </w:r>
      <w:r>
        <w:t xml:space="preserve"> </w:t>
      </w:r>
    </w:p>
    <w:p w14:paraId="2ED5C3BA" w14:textId="77777777" w:rsidR="006634B5" w:rsidRDefault="006634B5" w:rsidP="006248E6">
      <w:pPr>
        <w:numPr>
          <w:ilvl w:val="0"/>
          <w:numId w:val="2"/>
        </w:numPr>
        <w:shd w:val="clear" w:color="auto" w:fill="FFFFFF"/>
        <w:spacing w:after="100" w:afterAutospacing="1" w:line="240" w:lineRule="auto"/>
        <w:jc w:val="both"/>
        <w:rPr>
          <w:rFonts w:ascii="Arial" w:hAnsi="Arial" w:cs="Arial"/>
          <w:color w:val="555555"/>
          <w:sz w:val="27"/>
          <w:szCs w:val="27"/>
        </w:rPr>
      </w:pPr>
      <w:r w:rsidRPr="00160FC7">
        <w:rPr>
          <w:sz w:val="24"/>
        </w:rPr>
        <w:t>21 million fewer unplanned births each year</w:t>
      </w:r>
    </w:p>
    <w:p w14:paraId="59C2706A" w14:textId="77777777" w:rsidR="006634B5" w:rsidRPr="00160FC7" w:rsidRDefault="006634B5" w:rsidP="006248E6">
      <w:pPr>
        <w:numPr>
          <w:ilvl w:val="0"/>
          <w:numId w:val="2"/>
        </w:numPr>
        <w:shd w:val="clear" w:color="auto" w:fill="FFFFFF"/>
        <w:spacing w:after="100" w:afterAutospacing="1" w:line="240" w:lineRule="auto"/>
        <w:jc w:val="both"/>
        <w:rPr>
          <w:sz w:val="24"/>
        </w:rPr>
      </w:pPr>
      <w:r w:rsidRPr="00160FC7">
        <w:rPr>
          <w:sz w:val="24"/>
        </w:rPr>
        <w:t>46 million fewer abortions, of which 26 million would be unsafe</w:t>
      </w:r>
    </w:p>
    <w:p w14:paraId="135F750B" w14:textId="77777777" w:rsidR="006634B5" w:rsidRPr="00160FC7" w:rsidRDefault="006634B5" w:rsidP="006248E6">
      <w:pPr>
        <w:numPr>
          <w:ilvl w:val="0"/>
          <w:numId w:val="2"/>
        </w:numPr>
        <w:shd w:val="clear" w:color="auto" w:fill="FFFFFF"/>
        <w:spacing w:after="100" w:afterAutospacing="1" w:line="240" w:lineRule="auto"/>
        <w:jc w:val="both"/>
        <w:rPr>
          <w:sz w:val="24"/>
        </w:rPr>
      </w:pPr>
      <w:r w:rsidRPr="00160FC7">
        <w:rPr>
          <w:sz w:val="24"/>
        </w:rPr>
        <w:t>8 million fewer miscarriages</w:t>
      </w:r>
    </w:p>
    <w:p w14:paraId="5019D500" w14:textId="77777777" w:rsidR="006634B5" w:rsidRDefault="006634B5" w:rsidP="006248E6">
      <w:pPr>
        <w:numPr>
          <w:ilvl w:val="0"/>
          <w:numId w:val="2"/>
        </w:numPr>
        <w:shd w:val="clear" w:color="auto" w:fill="FFFFFF"/>
        <w:spacing w:after="100" w:afterAutospacing="1" w:line="240" w:lineRule="auto"/>
        <w:jc w:val="both"/>
        <w:rPr>
          <w:sz w:val="24"/>
        </w:rPr>
      </w:pPr>
      <w:r w:rsidRPr="00160FC7">
        <w:rPr>
          <w:sz w:val="24"/>
        </w:rPr>
        <w:t>0.7 million fewer stillbirths</w:t>
      </w:r>
    </w:p>
    <w:p w14:paraId="0A0D4F13" w14:textId="77777777" w:rsidR="006634B5" w:rsidRPr="00160FC7" w:rsidRDefault="006634B5" w:rsidP="006248E6">
      <w:pPr>
        <w:numPr>
          <w:ilvl w:val="0"/>
          <w:numId w:val="2"/>
        </w:numPr>
        <w:shd w:val="clear" w:color="auto" w:fill="FFFFFF"/>
        <w:spacing w:after="100" w:afterAutospacing="1" w:line="240" w:lineRule="auto"/>
        <w:jc w:val="both"/>
        <w:rPr>
          <w:sz w:val="24"/>
        </w:rPr>
      </w:pPr>
      <w:r>
        <w:rPr>
          <w:sz w:val="24"/>
        </w:rPr>
        <w:t>70,000 fewer maternal deaths (23% decline from current numbers)</w:t>
      </w:r>
    </w:p>
    <w:p w14:paraId="3B9F38DC" w14:textId="7DB7B22C" w:rsidR="006634B5" w:rsidRPr="00BF048C" w:rsidRDefault="006634B5" w:rsidP="006634B5">
      <w:pPr>
        <w:jc w:val="both"/>
        <w:rPr>
          <w:sz w:val="24"/>
        </w:rPr>
      </w:pPr>
      <w:r w:rsidRPr="00D42D5E">
        <w:rPr>
          <w:sz w:val="24"/>
        </w:rPr>
        <w:t>Meeting the unmet need for family planning and preventing unintended pregnancies is one of the most cost- effective ways of slowing global warming</w:t>
      </w:r>
      <w:r w:rsidR="008C4798">
        <w:rPr>
          <w:sz w:val="24"/>
        </w:rPr>
        <w:t xml:space="preserve"> </w:t>
      </w:r>
      <w:r w:rsidR="008C4798">
        <w:rPr>
          <w:sz w:val="24"/>
        </w:rPr>
        <w:fldChar w:fldCharType="begin"/>
      </w:r>
      <w:r w:rsidR="008C4798">
        <w:rPr>
          <w:sz w:val="24"/>
        </w:rPr>
        <w:instrText xml:space="preserve"> ADDIN ZOTERO_ITEM CSL_CITATION {"citationID":"URFQdgCM","properties":{"formattedCitation":"(Starbird et al., 2016)","plainCitation":"(Starbird et al., 2016)","noteIndex":0},"citationItems":[{"id":18119,"uris":["http://zotero.org/users/7220606/items/WJLCT9GM"],"uri":["http://zotero.org/users/7220606/items/WJLCT9GM"],"itemData":{"id":18119,"type":"article-journal","abstract":"&lt;p&gt;Voluntary family planning brings transformational benefits to women, families, communities, and countries. Investing in family planning is a development “best buy” that can accelerate achievement across the 5 Sustainable Development Goal themes of People, Planet, Prosperity, Peace, and Partnership.&lt;/p&gt;","container-title":"Global Health: Science and Practice","DOI":"10.9745/GHSP-D-15-00374","ISSN":"2169-575X","issue":"2","language":"en","note":"publisher: Global Health: Science and Practice\nsection: COMMENTARY\nPMID: 27353614","page":"191-210","source":"www.ghspjournal.org","title":"Investing in Family Planning: Key to Achieving the Sustainable Development Goals","title-short":"Investing in Family Planning","volume":"4","author":[{"family":"Starbird","given":"Ellen"},{"family":"Norton","given":"Maureen"},{"family":"Marcus","given":"Rachel"}],"issued":{"date-parts":[["2016",6,20]]}}}],"schema":"https://github.com/citation-style-language/schema/raw/master/csl-citation.json"} </w:instrText>
      </w:r>
      <w:r w:rsidR="008C4798">
        <w:rPr>
          <w:sz w:val="24"/>
        </w:rPr>
        <w:fldChar w:fldCharType="separate"/>
      </w:r>
      <w:r w:rsidR="008C4798" w:rsidRPr="008C4798">
        <w:rPr>
          <w:rFonts w:ascii="Calibri" w:hAnsi="Calibri" w:cs="Calibri"/>
          <w:sz w:val="24"/>
        </w:rPr>
        <w:t>(Starbird et al., 2016)</w:t>
      </w:r>
      <w:r w:rsidR="008C4798">
        <w:rPr>
          <w:sz w:val="24"/>
        </w:rPr>
        <w:fldChar w:fldCharType="end"/>
      </w:r>
      <w:r w:rsidRPr="00D42D5E">
        <w:rPr>
          <w:sz w:val="24"/>
        </w:rPr>
        <w:t xml:space="preserve">. In his cost/benefit analysis of investing in family planning as a strategy to reduce future carbon emissions, Thomas Wire found that each </w:t>
      </w:r>
      <w:r w:rsidR="00DB755B">
        <w:rPr>
          <w:sz w:val="24"/>
        </w:rPr>
        <w:t>US</w:t>
      </w:r>
      <w:r w:rsidRPr="00D42D5E">
        <w:rPr>
          <w:sz w:val="24"/>
        </w:rPr>
        <w:t>$7 spent on basic family planning would reduce CO</w:t>
      </w:r>
      <w:r w:rsidRPr="00D86F2F">
        <w:rPr>
          <w:sz w:val="24"/>
          <w:vertAlign w:val="subscript"/>
        </w:rPr>
        <w:t>2</w:t>
      </w:r>
      <w:r w:rsidRPr="00D42D5E">
        <w:rPr>
          <w:sz w:val="24"/>
        </w:rPr>
        <w:t xml:space="preserve"> emissions by more than one ton. In short, family planning provides a useful “stabilization wedge”, or complementary action to reduce GHG (Potts and Marsh, 2010).</w:t>
      </w:r>
      <w:r w:rsidRPr="00BF048C">
        <w:rPr>
          <w:sz w:val="24"/>
        </w:rPr>
        <w:t xml:space="preserve"> </w:t>
      </w:r>
    </w:p>
    <w:p w14:paraId="66552929" w14:textId="59A1CE64" w:rsidR="006634B5" w:rsidRDefault="006634B5" w:rsidP="006634B5">
      <w:pPr>
        <w:jc w:val="both"/>
        <w:rPr>
          <w:sz w:val="24"/>
        </w:rPr>
      </w:pPr>
      <w:r>
        <w:rPr>
          <w:sz w:val="24"/>
        </w:rPr>
        <w:t xml:space="preserve">The other </w:t>
      </w:r>
      <w:r w:rsidRPr="00BF048C">
        <w:rPr>
          <w:sz w:val="24"/>
        </w:rPr>
        <w:t xml:space="preserve">rights-based solution that directly and effectively </w:t>
      </w:r>
      <w:r>
        <w:rPr>
          <w:sz w:val="24"/>
        </w:rPr>
        <w:t>reduces unchecked</w:t>
      </w:r>
      <w:r w:rsidRPr="00BF048C">
        <w:rPr>
          <w:sz w:val="24"/>
        </w:rPr>
        <w:t xml:space="preserve"> population growth is educating </w:t>
      </w:r>
      <w:r>
        <w:rPr>
          <w:sz w:val="24"/>
        </w:rPr>
        <w:t>children</w:t>
      </w:r>
      <w:r w:rsidRPr="00BF048C">
        <w:rPr>
          <w:sz w:val="24"/>
        </w:rPr>
        <w:t xml:space="preserve"> and keeping them in school longer, which has a number of impacts on reproductive behavior. For example, studies show that in high fertility countries, increasing the age of </w:t>
      </w:r>
      <w:r>
        <w:rPr>
          <w:sz w:val="24"/>
        </w:rPr>
        <w:t xml:space="preserve">girls’ </w:t>
      </w:r>
      <w:r w:rsidRPr="00BF048C">
        <w:rPr>
          <w:sz w:val="24"/>
        </w:rPr>
        <w:t xml:space="preserve">childbearing by </w:t>
      </w:r>
      <w:r>
        <w:rPr>
          <w:sz w:val="24"/>
        </w:rPr>
        <w:t>5</w:t>
      </w:r>
      <w:r w:rsidRPr="00BF048C">
        <w:rPr>
          <w:sz w:val="24"/>
        </w:rPr>
        <w:t xml:space="preserve"> years would reduce future population growth by 15-20% (Bruce and Bongaarts, 2009). An indirect reduction in population growth is likely explained by education-related improvements in health seeking behavior and improved partner negotiation regarding family size and contraception. Although the immediate health benefits and climate change mitigation potential are enough to justify investment in FP, the payoffs include myriad social benefits. Increases</w:t>
      </w:r>
      <w:r w:rsidR="00A27B1A">
        <w:rPr>
          <w:sz w:val="24"/>
        </w:rPr>
        <w:t xml:space="preserve"> and improvements</w:t>
      </w:r>
      <w:r w:rsidRPr="00BF048C">
        <w:rPr>
          <w:sz w:val="24"/>
        </w:rPr>
        <w:t xml:space="preserve"> in women’s education and earnings, </w:t>
      </w:r>
      <w:r w:rsidR="00A27B1A" w:rsidRPr="00BF048C">
        <w:rPr>
          <w:sz w:val="24"/>
        </w:rPr>
        <w:t xml:space="preserve">children’s schooling, </w:t>
      </w:r>
      <w:r w:rsidRPr="00BF048C">
        <w:rPr>
          <w:sz w:val="24"/>
        </w:rPr>
        <w:t xml:space="preserve">household savings and assets, GDP growth and reductions in poverty have all been associated with </w:t>
      </w:r>
      <w:r w:rsidR="00A27B1A">
        <w:rPr>
          <w:sz w:val="24"/>
        </w:rPr>
        <w:t>family plannning</w:t>
      </w:r>
      <w:r w:rsidRPr="00BF048C">
        <w:rPr>
          <w:sz w:val="24"/>
        </w:rPr>
        <w:t xml:space="preserve"> (Singh et. al, 2014). </w:t>
      </w:r>
    </w:p>
    <w:p w14:paraId="58D827DE" w14:textId="38F67EBF" w:rsidR="00F52595" w:rsidRPr="00BA3289" w:rsidRDefault="006634B5" w:rsidP="006248E6">
      <w:pPr>
        <w:jc w:val="both"/>
        <w:sectPr w:rsidR="00F52595" w:rsidRPr="00BA3289">
          <w:pgSz w:w="12240" w:h="15840"/>
          <w:pgMar w:top="1440" w:right="1440" w:bottom="1440" w:left="1440" w:header="720" w:footer="720" w:gutter="0"/>
          <w:cols w:space="720"/>
        </w:sectPr>
      </w:pPr>
      <w:r>
        <w:rPr>
          <w:sz w:val="24"/>
        </w:rPr>
        <w:t>Increasing efforts around education could also have a cascade of benefits in terms of planetary health. It is estimated that if the</w:t>
      </w:r>
      <w:r w:rsidRPr="00B51C6B">
        <w:rPr>
          <w:sz w:val="24"/>
        </w:rPr>
        <w:t xml:space="preserve"> annual</w:t>
      </w:r>
      <w:r>
        <w:rPr>
          <w:sz w:val="24"/>
        </w:rPr>
        <w:t xml:space="preserve"> financing gap of US$39 billion </w:t>
      </w:r>
      <w:r w:rsidRPr="00B51C6B">
        <w:rPr>
          <w:sz w:val="24"/>
        </w:rPr>
        <w:t>over 2015–30 for reaching universal pre-primary, primary</w:t>
      </w:r>
      <w:r>
        <w:rPr>
          <w:sz w:val="24"/>
        </w:rPr>
        <w:t xml:space="preserve"> </w:t>
      </w:r>
      <w:r w:rsidRPr="00B51C6B">
        <w:rPr>
          <w:sz w:val="24"/>
        </w:rPr>
        <w:t xml:space="preserve">and secondary education of good quality in </w:t>
      </w:r>
      <w:r>
        <w:rPr>
          <w:sz w:val="24"/>
        </w:rPr>
        <w:t xml:space="preserve">LMICs was closed, a reduction </w:t>
      </w:r>
      <w:r w:rsidRPr="00B51C6B">
        <w:rPr>
          <w:sz w:val="24"/>
        </w:rPr>
        <w:t xml:space="preserve">of 51.48 </w:t>
      </w:r>
      <w:r>
        <w:rPr>
          <w:sz w:val="24"/>
        </w:rPr>
        <w:t>GTs</w:t>
      </w:r>
      <w:r w:rsidRPr="00B51C6B">
        <w:rPr>
          <w:sz w:val="24"/>
        </w:rPr>
        <w:t xml:space="preserve"> of emissions by 2050</w:t>
      </w:r>
      <w:r>
        <w:rPr>
          <w:sz w:val="24"/>
        </w:rPr>
        <w:t xml:space="preserve"> could be achieved, deemed</w:t>
      </w:r>
      <w:r w:rsidRPr="00B51C6B">
        <w:rPr>
          <w:sz w:val="24"/>
        </w:rPr>
        <w:t xml:space="preserve"> an ‘incalculable’</w:t>
      </w:r>
      <w:r>
        <w:rPr>
          <w:sz w:val="24"/>
        </w:rPr>
        <w:t xml:space="preserve"> </w:t>
      </w:r>
      <w:r w:rsidRPr="00B51C6B">
        <w:rPr>
          <w:sz w:val="24"/>
        </w:rPr>
        <w:t>return on investment</w:t>
      </w:r>
      <w:r>
        <w:rPr>
          <w:sz w:val="24"/>
        </w:rPr>
        <w:t xml:space="preserve"> </w:t>
      </w:r>
      <w:r>
        <w:rPr>
          <w:sz w:val="24"/>
        </w:rPr>
        <w:fldChar w:fldCharType="begin"/>
      </w:r>
      <w:r w:rsidR="00B23620">
        <w:rPr>
          <w:sz w:val="24"/>
        </w:rPr>
        <w:instrText xml:space="preserve"> ADDIN ZOTERO_ITEM CSL_CITATION {"citationID":"RY8uSn25","properties":{"formattedCitation":"(UNESCO, 2020)","plainCitation":"(UNESCO, 2020)","noteIndex":0},"citationItems":[{"id":18051,"uris":["http://zotero.org/users/7220606/items/EP8TJDGR"],"uri":["http://zotero.org/users/7220606/items/EP8TJDGR"],"itemData":{"id":18051,"type":"report","title":"Inclusion and Education | Global Education Monitoring Report","URL":"https://en.unesco.org/gem-report/report/2020/inclusion","author":[{"family":"UNESCO","given":""}],"accessed":{"date-parts":[["2021",5,2]]},"issued":{"date-parts":[["2020"]]}}}],"schema":"https://github.com/citation-style-language/schema/raw/master/csl-citation.json"} </w:instrText>
      </w:r>
      <w:r>
        <w:rPr>
          <w:sz w:val="24"/>
        </w:rPr>
        <w:fldChar w:fldCharType="separate"/>
      </w:r>
      <w:r w:rsidR="00B23620" w:rsidRPr="00B23620">
        <w:rPr>
          <w:rFonts w:ascii="Calibri" w:hAnsi="Calibri" w:cs="Calibri"/>
          <w:sz w:val="24"/>
        </w:rPr>
        <w:t>(UNESCO, 2020)</w:t>
      </w:r>
      <w:r>
        <w:rPr>
          <w:sz w:val="24"/>
        </w:rPr>
        <w:fldChar w:fldCharType="end"/>
      </w:r>
      <w:r>
        <w:rPr>
          <w:sz w:val="24"/>
        </w:rPr>
        <w:t xml:space="preserve">. As discussed in the previous section, investments in climate education, green skills and climate leadership opportunities among the current and upcoming generations could have significant impact on the ways in which people and societies think about and approach climate change, and the decisions and choices they make in their interactions with the planet. </w:t>
      </w:r>
      <w:r w:rsidRPr="009A190B">
        <w:rPr>
          <w:b/>
        </w:rPr>
        <w:br w:type="page"/>
      </w:r>
    </w:p>
    <w:p w14:paraId="756DEC01" w14:textId="37FD14AD" w:rsidR="00966563" w:rsidRPr="006248E6" w:rsidRDefault="00B144E5" w:rsidP="006248E6">
      <w:pPr>
        <w:pStyle w:val="Heading1"/>
        <w:spacing w:before="0" w:after="0" w:line="240" w:lineRule="auto"/>
        <w:ind w:left="0"/>
      </w:pPr>
      <w:bookmarkStart w:id="50" w:name="_Toc74154050"/>
      <w:r w:rsidRPr="00BA3289">
        <w:t>Methodology</w:t>
      </w:r>
      <w:bookmarkEnd w:id="50"/>
    </w:p>
    <w:p w14:paraId="12083154" w14:textId="77777777" w:rsidR="00B55D25" w:rsidRDefault="00B55D25" w:rsidP="00B55D25">
      <w:pPr>
        <w:pStyle w:val="Heading2"/>
      </w:pPr>
      <w:bookmarkStart w:id="51" w:name="_Toc74154051"/>
      <w:r>
        <w:t>Introduction</w:t>
      </w:r>
      <w:bookmarkEnd w:id="51"/>
    </w:p>
    <w:p w14:paraId="5319A2A1" w14:textId="2EB28795" w:rsidR="006248E6" w:rsidRPr="00BF048C" w:rsidRDefault="006248E6" w:rsidP="006248E6">
      <w:pPr>
        <w:spacing w:line="276" w:lineRule="auto"/>
        <w:jc w:val="both"/>
        <w:rPr>
          <w:sz w:val="24"/>
        </w:rPr>
      </w:pPr>
      <w:r w:rsidRPr="00BF048C">
        <w:rPr>
          <w:sz w:val="24"/>
        </w:rPr>
        <w:t xml:space="preserve">Population projections for the years 2015 to 2060 are an important component for determining estimates of future market sizes for both conventional technologies and Drawdown solutions. Population projections are based on the United Nations (UN) Population Prospects which are released by the Population Division of the Department of Economic and Social Affairs (DESA) every 2-3 years. The UN population projections use three key inputs to determine population growth over time- fertility, mortality and migration. Using trajectories of these parameters and assumptions about how they interact, the UN Population Prospects generates several variants of population projections, including the High, Medium, Constant and Low Variants. </w:t>
      </w:r>
    </w:p>
    <w:p w14:paraId="1980EEEE" w14:textId="3DFBBC4B" w:rsidR="006248E6" w:rsidRPr="00946D29" w:rsidRDefault="006248E6" w:rsidP="006248E6">
      <w:pPr>
        <w:spacing w:line="276" w:lineRule="auto"/>
        <w:jc w:val="both"/>
        <w:rPr>
          <w:sz w:val="24"/>
        </w:rPr>
      </w:pPr>
      <w:r w:rsidRPr="00BF048C">
        <w:rPr>
          <w:sz w:val="24"/>
        </w:rPr>
        <w:t xml:space="preserve">Each Drawdown solution estimates growth, demand and impact from external sources that </w:t>
      </w:r>
      <w:r w:rsidR="0070611F">
        <w:rPr>
          <w:sz w:val="24"/>
        </w:rPr>
        <w:t>typically</w:t>
      </w:r>
      <w:r w:rsidR="0070611F" w:rsidRPr="00BF048C">
        <w:rPr>
          <w:sz w:val="24"/>
        </w:rPr>
        <w:t xml:space="preserve"> </w:t>
      </w:r>
      <w:r w:rsidRPr="00BF048C">
        <w:rPr>
          <w:sz w:val="24"/>
        </w:rPr>
        <w:t xml:space="preserve">use the UN Medium Population Variant. The population numbers </w:t>
      </w:r>
      <w:r w:rsidR="0070611F">
        <w:rPr>
          <w:sz w:val="24"/>
        </w:rPr>
        <w:t>are a key determinant of estimating</w:t>
      </w:r>
      <w:r w:rsidRPr="00BF048C">
        <w:rPr>
          <w:sz w:val="24"/>
        </w:rPr>
        <w:t xml:space="preserve"> the</w:t>
      </w:r>
      <w:r w:rsidR="0070611F">
        <w:rPr>
          <w:sz w:val="24"/>
        </w:rPr>
        <w:t xml:space="preserve"> current and future</w:t>
      </w:r>
      <w:r w:rsidRPr="00BF048C">
        <w:rPr>
          <w:sz w:val="24"/>
        </w:rPr>
        <w:t xml:space="preserve"> Total Addressable Market (TAM) </w:t>
      </w:r>
      <w:r w:rsidR="0070611F">
        <w:rPr>
          <w:sz w:val="24"/>
        </w:rPr>
        <w:t>of global functional demand</w:t>
      </w:r>
      <w:r w:rsidRPr="00BF048C">
        <w:rPr>
          <w:sz w:val="24"/>
        </w:rPr>
        <w:t xml:space="preserve">. TAM data for most Drawdown solutions are based on sectors related to energy consumption, building space, mobility, freight, and food demand and waste estimations, which are, in part, functions of global population size and economic conditions. Sources used to determine market size and adoption cases in the Drawdown solution analyses have used the UN medium variant population projections as a baseline for estimation. By evaluating the potential difference in market size of sectors between the high and medium variant population projections, an estimate of associated emissions related </w:t>
      </w:r>
      <w:r w:rsidRPr="00946D29">
        <w:rPr>
          <w:sz w:val="24"/>
        </w:rPr>
        <w:t xml:space="preserve">to the enlarged sectors is generated. </w:t>
      </w:r>
    </w:p>
    <w:p w14:paraId="025ADE48" w14:textId="1A66CF0B" w:rsidR="006248E6" w:rsidRPr="00BF048C" w:rsidRDefault="006248E6" w:rsidP="006248E6">
      <w:pPr>
        <w:spacing w:line="276" w:lineRule="auto"/>
        <w:jc w:val="both"/>
        <w:rPr>
          <w:sz w:val="24"/>
        </w:rPr>
      </w:pPr>
      <w:r w:rsidRPr="00946D29">
        <w:rPr>
          <w:sz w:val="24"/>
        </w:rPr>
        <w:t xml:space="preserve">To model the impact of education and family planning as a solution, we calculate the per capita functional market demand according </w:t>
      </w:r>
      <w:r w:rsidR="00307FF4" w:rsidRPr="00946D29">
        <w:rPr>
          <w:sz w:val="24"/>
        </w:rPr>
        <w:t>to a blend of the</w:t>
      </w:r>
      <w:r w:rsidR="00AC6180" w:rsidRPr="00946D29">
        <w:rPr>
          <w:sz w:val="24"/>
        </w:rPr>
        <w:t xml:space="preserve"> UN m</w:t>
      </w:r>
      <w:r w:rsidRPr="00946D29">
        <w:rPr>
          <w:sz w:val="24"/>
        </w:rPr>
        <w:t xml:space="preserve">edium </w:t>
      </w:r>
      <w:r w:rsidR="00307FF4" w:rsidRPr="00946D29">
        <w:rPr>
          <w:sz w:val="24"/>
        </w:rPr>
        <w:t xml:space="preserve">and </w:t>
      </w:r>
      <w:r w:rsidR="00AC6180" w:rsidRPr="00946D29">
        <w:rPr>
          <w:sz w:val="24"/>
        </w:rPr>
        <w:t>l</w:t>
      </w:r>
      <w:r w:rsidR="00307FF4" w:rsidRPr="00946D29">
        <w:rPr>
          <w:sz w:val="24"/>
        </w:rPr>
        <w:t xml:space="preserve">ow </w:t>
      </w:r>
      <w:r w:rsidR="002C7EB3" w:rsidRPr="00946D29">
        <w:rPr>
          <w:sz w:val="24"/>
        </w:rPr>
        <w:t>v</w:t>
      </w:r>
      <w:r w:rsidRPr="00946D29">
        <w:rPr>
          <w:sz w:val="24"/>
        </w:rPr>
        <w:t>ariant</w:t>
      </w:r>
      <w:r w:rsidR="00307FF4" w:rsidRPr="00946D29">
        <w:rPr>
          <w:sz w:val="24"/>
        </w:rPr>
        <w:t>s</w:t>
      </w:r>
      <w:r w:rsidR="002C7EB3" w:rsidRPr="00946D29">
        <w:rPr>
          <w:sz w:val="24"/>
        </w:rPr>
        <w:t xml:space="preserve"> projections.</w:t>
      </w:r>
      <w:r w:rsidRPr="00946D29">
        <w:rPr>
          <w:sz w:val="24"/>
        </w:rPr>
        <w:t xml:space="preserve"> </w:t>
      </w:r>
      <w:r w:rsidR="002C7EB3" w:rsidRPr="00946D29">
        <w:rPr>
          <w:sz w:val="24"/>
        </w:rPr>
        <w:t>Taken together, we assume that these projections estimate</w:t>
      </w:r>
      <w:r w:rsidRPr="00946D29">
        <w:rPr>
          <w:sz w:val="24"/>
        </w:rPr>
        <w:t xml:space="preserve"> future decline in fertility levels due, in part, to effective uptake of family planning in high fertility countries, </w:t>
      </w:r>
      <w:r w:rsidR="002C7EB3" w:rsidRPr="00946D29">
        <w:rPr>
          <w:sz w:val="24"/>
        </w:rPr>
        <w:t xml:space="preserve">and is considered Plausible/Ambitious (REF 2) population scenario. All other things being equal, we then apply the per capita demand to </w:t>
      </w:r>
      <w:r w:rsidR="0070611F">
        <w:rPr>
          <w:sz w:val="24"/>
        </w:rPr>
        <w:t xml:space="preserve">generate </w:t>
      </w:r>
      <w:r w:rsidR="002C7EB3" w:rsidRPr="00946D29">
        <w:rPr>
          <w:sz w:val="24"/>
        </w:rPr>
        <w:t>a REF 1 population scenario</w:t>
      </w:r>
      <w:r w:rsidR="0070611F">
        <w:rPr>
          <w:sz w:val="24"/>
        </w:rPr>
        <w:t xml:space="preserve"> representing a high population projection based on little to no further investment in family planning and education. The REF 1 population </w:t>
      </w:r>
      <w:r w:rsidR="00244258">
        <w:rPr>
          <w:sz w:val="24"/>
        </w:rPr>
        <w:t>scenario</w:t>
      </w:r>
      <w:r w:rsidR="0070611F">
        <w:rPr>
          <w:sz w:val="24"/>
        </w:rPr>
        <w:t xml:space="preserve"> is</w:t>
      </w:r>
      <w:r w:rsidR="002C7EB3" w:rsidRPr="00946D29">
        <w:rPr>
          <w:sz w:val="24"/>
        </w:rPr>
        <w:t xml:space="preserve"> based</w:t>
      </w:r>
      <w:r w:rsidRPr="00946D29">
        <w:rPr>
          <w:sz w:val="24"/>
        </w:rPr>
        <w:t xml:space="preserve"> </w:t>
      </w:r>
      <w:r w:rsidR="00307FF4" w:rsidRPr="00946D29">
        <w:rPr>
          <w:sz w:val="24"/>
        </w:rPr>
        <w:t>a combination of the</w:t>
      </w:r>
      <w:r w:rsidRPr="00946D29">
        <w:rPr>
          <w:sz w:val="24"/>
        </w:rPr>
        <w:t xml:space="preserve"> UN high</w:t>
      </w:r>
      <w:r w:rsidR="00307FF4" w:rsidRPr="00946D29">
        <w:rPr>
          <w:sz w:val="24"/>
        </w:rPr>
        <w:t xml:space="preserve"> and constant</w:t>
      </w:r>
      <w:r w:rsidRPr="00946D29">
        <w:rPr>
          <w:sz w:val="24"/>
        </w:rPr>
        <w:t xml:space="preserve"> variant</w:t>
      </w:r>
      <w:r w:rsidR="00307FF4" w:rsidRPr="00946D29">
        <w:rPr>
          <w:sz w:val="24"/>
        </w:rPr>
        <w:t>s</w:t>
      </w:r>
      <w:r w:rsidR="00244258">
        <w:rPr>
          <w:sz w:val="24"/>
        </w:rPr>
        <w:t xml:space="preserve"> (see Table 6</w:t>
      </w:r>
      <w:r w:rsidR="0070611F">
        <w:rPr>
          <w:sz w:val="24"/>
        </w:rPr>
        <w:t>)</w:t>
      </w:r>
      <w:r w:rsidRPr="00946D29">
        <w:rPr>
          <w:sz w:val="24"/>
        </w:rPr>
        <w:t>. This gives us an estimation of the increased demand required to meet the expected needs of the higher population scenario across all models. Emission results associated with this increased demand are aggregated to produce cumulative emissions impacts by sector.</w:t>
      </w:r>
    </w:p>
    <w:p w14:paraId="730E1E02" w14:textId="77777777" w:rsidR="006248E6" w:rsidRPr="00BF048C" w:rsidRDefault="006248E6" w:rsidP="006248E6">
      <w:pPr>
        <w:spacing w:line="276" w:lineRule="auto"/>
        <w:jc w:val="both"/>
        <w:rPr>
          <w:sz w:val="24"/>
        </w:rPr>
      </w:pPr>
      <w:r w:rsidRPr="00BF048C">
        <w:rPr>
          <w:sz w:val="24"/>
        </w:rPr>
        <w:t xml:space="preserve">In January 2021, the Drawdown Population Model was updated with the most recent 2019 UN Population Estimates. In the 2019 revision, the figures from 1950 through the period from mid-2015 to mid-2020 are treated as estimates, and thus the projections for each country or area are made starting mid-2020 and extend until the year 2100. </w:t>
      </w:r>
    </w:p>
    <w:p w14:paraId="0D7A3247" w14:textId="6212C218" w:rsidR="006248E6" w:rsidRDefault="006248E6" w:rsidP="006248E6">
      <w:pPr>
        <w:pStyle w:val="Heading2"/>
      </w:pPr>
      <w:bookmarkStart w:id="52" w:name="_Toc71702092"/>
      <w:bookmarkStart w:id="53" w:name="_Toc74154052"/>
      <w:r w:rsidRPr="0062558A">
        <w:t>UN Methodology for Fertility Projections</w:t>
      </w:r>
      <w:bookmarkEnd w:id="52"/>
      <w:bookmarkEnd w:id="53"/>
    </w:p>
    <w:p w14:paraId="23E776EE" w14:textId="3607CC9B" w:rsidR="006248E6" w:rsidRPr="00BF048C" w:rsidRDefault="006248E6" w:rsidP="00307FF4">
      <w:pPr>
        <w:shd w:val="clear" w:color="auto" w:fill="FFFFFF"/>
        <w:spacing w:before="100" w:beforeAutospacing="1" w:after="100" w:afterAutospacing="1" w:line="276" w:lineRule="auto"/>
        <w:jc w:val="both"/>
        <w:rPr>
          <w:sz w:val="24"/>
        </w:rPr>
      </w:pPr>
      <w:r w:rsidRPr="00BF048C">
        <w:rPr>
          <w:sz w:val="24"/>
        </w:rPr>
        <w:t>In projecting future levels of fertility and mortality, probabilistic methods were used to reflect the uncertainty of the projections based on the historical variability of changes in each variable. The method takes into account the past experience of each country, while also reflecting uncertainty about future changes based on the past experience of other countries under similar conditions</w:t>
      </w:r>
      <w:r w:rsidR="009600F1">
        <w:rPr>
          <w:sz w:val="24"/>
        </w:rPr>
        <w:t xml:space="preserve"> </w:t>
      </w:r>
      <w:r w:rsidR="009600F1">
        <w:rPr>
          <w:sz w:val="24"/>
        </w:rPr>
        <w:fldChar w:fldCharType="begin"/>
      </w:r>
      <w:r w:rsidR="005F3A70">
        <w:rPr>
          <w:sz w:val="24"/>
        </w:rPr>
        <w:instrText xml:space="preserve"> ADDIN ZOTERO_ITEM CSL_CITATION {"citationID":"UxAgRYnM","properties":{"formattedCitation":"(United Nations Population Division, 2021)","plainCitation":"(United Nations Population Division, 2021)","noteIndex":0},"citationItems":[{"id":18123,"uris":["http://zotero.org/users/7220606/items/67UCGHAQ"],"uri":["http://zotero.org/users/7220606/items/67UCGHAQ"],"itemData":{"id":18123,"type":"report","title":"World Population Prospects","URL":"https://population.un.org/wpp/Download/Standard/Population/","author":[{"family":"United Nations Population Division","given":""}],"issued":{"date-parts":[["2021"]]}}}],"schema":"https://github.com/citation-style-language/schema/raw/master/csl-citation.json"} </w:instrText>
      </w:r>
      <w:r w:rsidR="009600F1">
        <w:rPr>
          <w:sz w:val="24"/>
        </w:rPr>
        <w:fldChar w:fldCharType="separate"/>
      </w:r>
      <w:r w:rsidR="005F3A70" w:rsidRPr="005F3A70">
        <w:rPr>
          <w:rFonts w:ascii="Calibri" w:hAnsi="Calibri" w:cs="Calibri"/>
          <w:sz w:val="24"/>
        </w:rPr>
        <w:t>(United Nations Population Division, 2021)</w:t>
      </w:r>
      <w:r w:rsidR="009600F1">
        <w:rPr>
          <w:sz w:val="24"/>
        </w:rPr>
        <w:fldChar w:fldCharType="end"/>
      </w:r>
      <w:r w:rsidRPr="00BF048C">
        <w:rPr>
          <w:sz w:val="24"/>
        </w:rPr>
        <w:t>.</w:t>
      </w:r>
    </w:p>
    <w:p w14:paraId="01CA5797" w14:textId="77777777" w:rsidR="006248E6" w:rsidRPr="00BF048C" w:rsidRDefault="006248E6" w:rsidP="006248E6">
      <w:pPr>
        <w:spacing w:line="276" w:lineRule="auto"/>
        <w:jc w:val="both"/>
        <w:rPr>
          <w:sz w:val="24"/>
        </w:rPr>
      </w:pPr>
      <w:r w:rsidRPr="00BF048C">
        <w:rPr>
          <w:sz w:val="24"/>
        </w:rPr>
        <w:t xml:space="preserve">In order to project the future fertility decline rate of high and medium fertility countries, the UN uses the historical trends within the country. Wherever data is not available or insufficient they use the world’s experience of countries which have undergone the fertility transition to estimate the decline rates (World Population Prospects 2019). Thus, by using a combination of country level and world experience of fertility decline rates, the UN publishes country specific projections of fertility changes over time. All country level projections are then aggregated to represent different variants of world population, based on different assumptions around fertility, mortality and migration. Thus, the world population projections are informed by country level fertility projections. </w:t>
      </w:r>
    </w:p>
    <w:p w14:paraId="4A8EE823" w14:textId="03E5D6CE" w:rsidR="006248E6" w:rsidRPr="00BF048C" w:rsidRDefault="006248E6" w:rsidP="006248E6">
      <w:pPr>
        <w:spacing w:line="276" w:lineRule="auto"/>
        <w:jc w:val="both"/>
        <w:rPr>
          <w:sz w:val="24"/>
        </w:rPr>
      </w:pPr>
      <w:r w:rsidRPr="00BF048C">
        <w:rPr>
          <w:sz w:val="24"/>
        </w:rPr>
        <w:t xml:space="preserve">The UN regularly revises its estimates on fertility based on the emerging data and trends on fertility decline coming from all countries. The 2019 revision mentions that “the world’s population continues to grow, albeit at a slower pace than at any time since 1950, owing to reduced levels of fertility. From an estimated 7.7 billion people worldwide in 2019, the medium-variant projection indicates that the global population could grow to around 8.5 billion in 2030, 9.7 billion in 2050, and 10.9 billion in 2100. With a projected addition of over one billion people, countries of </w:t>
      </w:r>
      <w:r w:rsidR="00BD6727">
        <w:rPr>
          <w:sz w:val="24"/>
        </w:rPr>
        <w:t>SSA</w:t>
      </w:r>
      <w:r w:rsidRPr="00BF048C">
        <w:rPr>
          <w:sz w:val="24"/>
        </w:rPr>
        <w:t xml:space="preserve"> could account for more than half of the growth of the world’s population between 2019 and 2050, and the region’s population is projected to continue growing through the end of the century. By contrast, populations in Eastern and South- Eastern Asia, Central and Southern Asia, Latin America and the Caribbean, and Europe and Northern America are projected to reach peak population size and to begin to decline before the end of this century” (World Population Prospects 2019).</w:t>
      </w:r>
    </w:p>
    <w:p w14:paraId="676C6DF7" w14:textId="77777777" w:rsidR="006248E6" w:rsidRPr="00B55D25" w:rsidRDefault="006248E6" w:rsidP="00B55D25">
      <w:pPr>
        <w:spacing w:after="0" w:line="276" w:lineRule="auto"/>
        <w:jc w:val="both"/>
        <w:rPr>
          <w:sz w:val="24"/>
        </w:rPr>
      </w:pPr>
    </w:p>
    <w:p w14:paraId="45C3991D" w14:textId="77777777" w:rsidR="006248E6" w:rsidRPr="00BF048C" w:rsidRDefault="006248E6" w:rsidP="00B55D25">
      <w:pPr>
        <w:spacing w:line="276" w:lineRule="auto"/>
        <w:jc w:val="both"/>
        <w:rPr>
          <w:b/>
          <w:i/>
          <w:sz w:val="24"/>
        </w:rPr>
      </w:pPr>
      <w:r w:rsidRPr="00BF048C">
        <w:rPr>
          <w:b/>
          <w:i/>
          <w:sz w:val="24"/>
        </w:rPr>
        <w:t>Medium- fertility assumption</w:t>
      </w:r>
    </w:p>
    <w:p w14:paraId="7BD5B517" w14:textId="77777777" w:rsidR="006248E6" w:rsidRPr="00933281" w:rsidRDefault="006248E6" w:rsidP="00B55D25">
      <w:pPr>
        <w:spacing w:after="0" w:line="276" w:lineRule="auto"/>
        <w:jc w:val="both"/>
        <w:rPr>
          <w:sz w:val="24"/>
        </w:rPr>
      </w:pPr>
      <w:r w:rsidRPr="00933281">
        <w:rPr>
          <w:sz w:val="24"/>
        </w:rPr>
        <w:t xml:space="preserve">The medium-variant projection corresponds to the median of several thousand distinct trajectories of each demographic component derived using the probabilistic model of the variability in changes over time. The method takes into account the past experience of each country, while also reflecting uncertainty about future changes based on the past experience of other countries under similar conditions. </w:t>
      </w:r>
    </w:p>
    <w:p w14:paraId="50911F1A" w14:textId="227B5756" w:rsidR="006248E6" w:rsidRDefault="006248E6" w:rsidP="00B55D25">
      <w:pPr>
        <w:spacing w:after="0" w:line="276" w:lineRule="auto"/>
        <w:jc w:val="both"/>
        <w:rPr>
          <w:sz w:val="24"/>
        </w:rPr>
      </w:pPr>
      <w:r w:rsidRPr="00933281">
        <w:rPr>
          <w:sz w:val="24"/>
        </w:rPr>
        <w:t>In the updated 2019 UN medium-variant projection, global fertility falls from just under 2.5 births per woman in 2019 to around 2.2 in 2050 and further to 1.9 in 2100. Underlying such projections for the world are implicit assumptions about ongoing progress in social and economic development, which will influence future fertility levels</w:t>
      </w:r>
      <w:r w:rsidR="00D654A1">
        <w:rPr>
          <w:sz w:val="24"/>
        </w:rPr>
        <w:t xml:space="preserve"> </w:t>
      </w:r>
      <w:r w:rsidR="00D654A1">
        <w:rPr>
          <w:sz w:val="24"/>
        </w:rPr>
        <w:fldChar w:fldCharType="begin"/>
      </w:r>
      <w:r w:rsidR="005F3A70">
        <w:rPr>
          <w:sz w:val="24"/>
        </w:rPr>
        <w:instrText xml:space="preserve"> ADDIN ZOTERO_ITEM CSL_CITATION {"citationID":"IgPIpv92","properties":{"formattedCitation":"(United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sz w:val="24"/>
        </w:rPr>
        <w:fldChar w:fldCharType="separate"/>
      </w:r>
      <w:r w:rsidR="005F3A70" w:rsidRPr="005F3A70">
        <w:rPr>
          <w:rFonts w:ascii="Calibri" w:hAnsi="Calibri" w:cs="Calibri"/>
          <w:sz w:val="24"/>
        </w:rPr>
        <w:t>(United Nations Population Division, 2019)</w:t>
      </w:r>
      <w:r w:rsidR="00D654A1">
        <w:rPr>
          <w:sz w:val="24"/>
        </w:rPr>
        <w:fldChar w:fldCharType="end"/>
      </w:r>
      <w:r w:rsidR="00D654A1" w:rsidRPr="00BF048C">
        <w:rPr>
          <w:sz w:val="24"/>
        </w:rPr>
        <w:t>.</w:t>
      </w:r>
      <w:r w:rsidRPr="00933281">
        <w:rPr>
          <w:sz w:val="24"/>
        </w:rPr>
        <w:t>. Specifically, the medium variant assumes that fertility rates will continue to decline in current high-fertility countries and will increase slightly in countries where women on average are now having well under two live births in a lifetime</w:t>
      </w:r>
      <w:r w:rsidR="009600F1">
        <w:rPr>
          <w:sz w:val="24"/>
        </w:rPr>
        <w:t xml:space="preserve"> </w:t>
      </w:r>
    </w:p>
    <w:p w14:paraId="2338DC13" w14:textId="77777777" w:rsidR="00B55D25" w:rsidRPr="00BF048C" w:rsidRDefault="00B55D25" w:rsidP="00B55D25">
      <w:pPr>
        <w:spacing w:after="0" w:line="276" w:lineRule="auto"/>
        <w:jc w:val="both"/>
        <w:rPr>
          <w:sz w:val="24"/>
        </w:rPr>
      </w:pPr>
    </w:p>
    <w:p w14:paraId="6A630A13" w14:textId="77777777" w:rsidR="006248E6" w:rsidRPr="00B55D25" w:rsidRDefault="006248E6" w:rsidP="00B55D25">
      <w:pPr>
        <w:spacing w:line="276" w:lineRule="auto"/>
        <w:jc w:val="both"/>
        <w:rPr>
          <w:b/>
          <w:i/>
          <w:sz w:val="24"/>
        </w:rPr>
      </w:pPr>
      <w:r w:rsidRPr="00BF048C">
        <w:rPr>
          <w:b/>
          <w:i/>
          <w:sz w:val="24"/>
        </w:rPr>
        <w:t>High-fertility assumption</w:t>
      </w:r>
      <w:r w:rsidRPr="00B55D25">
        <w:rPr>
          <w:b/>
          <w:i/>
          <w:sz w:val="24"/>
        </w:rPr>
        <w:t>:</w:t>
      </w:r>
    </w:p>
    <w:p w14:paraId="74866EBD" w14:textId="7C409EA5" w:rsidR="006248E6" w:rsidRPr="00BF048C" w:rsidRDefault="006248E6" w:rsidP="00B55D25">
      <w:pPr>
        <w:spacing w:after="0" w:line="276" w:lineRule="auto"/>
        <w:jc w:val="both"/>
        <w:rPr>
          <w:sz w:val="24"/>
        </w:rPr>
      </w:pPr>
      <w:r w:rsidRPr="00BF048C">
        <w:rPr>
          <w:sz w:val="24"/>
        </w:rPr>
        <w:t>Under the high variant, fertility is projected to remain 0.5 children above the fertility in the medium variant over most of the projection period. By 2045-2050, fertility in the high variant is therefore half a child higher than that of the medium variant</w:t>
      </w:r>
      <w:r w:rsidR="00D654A1">
        <w:rPr>
          <w:sz w:val="24"/>
        </w:rPr>
        <w:t xml:space="preserve"> </w:t>
      </w:r>
      <w:r w:rsidR="00D654A1">
        <w:rPr>
          <w:sz w:val="24"/>
        </w:rPr>
        <w:fldChar w:fldCharType="begin"/>
      </w:r>
      <w:r w:rsidR="005F3A70">
        <w:rPr>
          <w:sz w:val="24"/>
        </w:rPr>
        <w:instrText xml:space="preserve"> ADDIN ZOTERO_ITEM CSL_CITATION {"citationID":"zy0qCaCw","properties":{"formattedCitation":"(United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sz w:val="24"/>
        </w:rPr>
        <w:fldChar w:fldCharType="separate"/>
      </w:r>
      <w:r w:rsidR="005F3A70" w:rsidRPr="005F3A70">
        <w:rPr>
          <w:rFonts w:ascii="Calibri" w:hAnsi="Calibri" w:cs="Calibri"/>
          <w:sz w:val="24"/>
        </w:rPr>
        <w:t>(United Nations Population Division, 2019)</w:t>
      </w:r>
      <w:r w:rsidR="00D654A1">
        <w:rPr>
          <w:sz w:val="24"/>
        </w:rPr>
        <w:fldChar w:fldCharType="end"/>
      </w:r>
      <w:r w:rsidRPr="00BF048C">
        <w:rPr>
          <w:sz w:val="24"/>
        </w:rPr>
        <w:t>. That is, countries reaching a total fertility of 1.85 children per woman in the medium variant have a total fertility of 2.35 children per woman in the high variant at the end of the projection period</w:t>
      </w:r>
      <w:r w:rsidR="00D654A1">
        <w:rPr>
          <w:sz w:val="24"/>
        </w:rPr>
        <w:t xml:space="preserve"> </w:t>
      </w:r>
      <w:r w:rsidR="00D654A1">
        <w:rPr>
          <w:sz w:val="24"/>
        </w:rPr>
        <w:fldChar w:fldCharType="begin"/>
      </w:r>
      <w:r w:rsidR="005F3A70">
        <w:rPr>
          <w:sz w:val="24"/>
        </w:rPr>
        <w:instrText xml:space="preserve"> ADDIN ZOTERO_ITEM CSL_CITATION {"citationID":"2rdiTXtu","properties":{"formattedCitation":"(United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sz w:val="24"/>
        </w:rPr>
        <w:fldChar w:fldCharType="separate"/>
      </w:r>
      <w:r w:rsidR="005F3A70" w:rsidRPr="005F3A70">
        <w:rPr>
          <w:rFonts w:ascii="Calibri" w:hAnsi="Calibri" w:cs="Calibri"/>
          <w:sz w:val="24"/>
        </w:rPr>
        <w:t>(United Nations Population Division, 2019)</w:t>
      </w:r>
      <w:r w:rsidR="00D654A1">
        <w:rPr>
          <w:sz w:val="24"/>
        </w:rPr>
        <w:fldChar w:fldCharType="end"/>
      </w:r>
      <w:r w:rsidRPr="00BF048C">
        <w:rPr>
          <w:sz w:val="24"/>
        </w:rPr>
        <w:t>.</w:t>
      </w:r>
    </w:p>
    <w:p w14:paraId="645341D1" w14:textId="77777777" w:rsidR="006248E6" w:rsidRPr="00BF048C" w:rsidRDefault="006248E6" w:rsidP="00B55D25">
      <w:pPr>
        <w:spacing w:after="0" w:line="276" w:lineRule="auto"/>
        <w:jc w:val="both"/>
        <w:rPr>
          <w:sz w:val="24"/>
        </w:rPr>
      </w:pPr>
    </w:p>
    <w:p w14:paraId="6910E430" w14:textId="77777777" w:rsidR="006248E6" w:rsidRPr="00BF048C" w:rsidRDefault="006248E6" w:rsidP="00B55D25">
      <w:pPr>
        <w:spacing w:line="276" w:lineRule="auto"/>
        <w:jc w:val="both"/>
        <w:rPr>
          <w:b/>
          <w:i/>
          <w:sz w:val="24"/>
        </w:rPr>
      </w:pPr>
      <w:r w:rsidRPr="00BF048C">
        <w:rPr>
          <w:b/>
          <w:i/>
          <w:sz w:val="24"/>
        </w:rPr>
        <w:t xml:space="preserve"> Low-fertility assumption:</w:t>
      </w:r>
    </w:p>
    <w:p w14:paraId="480EE98B" w14:textId="3119033F" w:rsidR="006248E6" w:rsidRDefault="006248E6" w:rsidP="00B55D25">
      <w:pPr>
        <w:spacing w:after="0" w:line="276" w:lineRule="auto"/>
        <w:jc w:val="both"/>
        <w:rPr>
          <w:sz w:val="24"/>
        </w:rPr>
      </w:pPr>
      <w:r w:rsidRPr="00BF048C">
        <w:rPr>
          <w:sz w:val="24"/>
        </w:rPr>
        <w:t>Under the low variant, fertility is projected to remain 0.5 children below the fertility in the medium variant over most of the projection period. By 2045-2050, fertility in the low variant is therefore half a child lower than that of the medium variant</w:t>
      </w:r>
      <w:r w:rsidR="00D654A1">
        <w:rPr>
          <w:sz w:val="24"/>
        </w:rPr>
        <w:t xml:space="preserve"> </w:t>
      </w:r>
      <w:r w:rsidR="00D654A1">
        <w:rPr>
          <w:sz w:val="24"/>
        </w:rPr>
        <w:fldChar w:fldCharType="begin"/>
      </w:r>
      <w:r w:rsidR="005F3A70">
        <w:rPr>
          <w:sz w:val="24"/>
        </w:rPr>
        <w:instrText xml:space="preserve"> ADDIN ZOTERO_ITEM CSL_CITATION {"citationID":"gfYC4BYr","properties":{"formattedCitation":"(United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sz w:val="24"/>
        </w:rPr>
        <w:fldChar w:fldCharType="separate"/>
      </w:r>
      <w:r w:rsidR="005F3A70" w:rsidRPr="005F3A70">
        <w:rPr>
          <w:rFonts w:ascii="Calibri" w:hAnsi="Calibri" w:cs="Calibri"/>
          <w:sz w:val="24"/>
        </w:rPr>
        <w:t>(United Nations Population Division, 2019)</w:t>
      </w:r>
      <w:r w:rsidR="00D654A1">
        <w:rPr>
          <w:sz w:val="24"/>
        </w:rPr>
        <w:fldChar w:fldCharType="end"/>
      </w:r>
      <w:r w:rsidRPr="00BF048C">
        <w:rPr>
          <w:sz w:val="24"/>
        </w:rPr>
        <w:t>. That is, countries reaching a total fertility of 1.85 children per woman in the medium variant have a total fertility of 1.35 children per woman in the low variant at the end of the projection period</w:t>
      </w:r>
      <w:r w:rsidR="00D654A1">
        <w:rPr>
          <w:sz w:val="24"/>
        </w:rPr>
        <w:t xml:space="preserve"> </w:t>
      </w:r>
      <w:r w:rsidR="00D654A1">
        <w:rPr>
          <w:sz w:val="24"/>
        </w:rPr>
        <w:fldChar w:fldCharType="begin"/>
      </w:r>
      <w:r w:rsidR="005F3A70">
        <w:rPr>
          <w:sz w:val="24"/>
        </w:rPr>
        <w:instrText xml:space="preserve"> ADDIN ZOTERO_ITEM CSL_CITATION {"citationID":"VOsKxPrC","properties":{"formattedCitation":"(United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sz w:val="24"/>
        </w:rPr>
        <w:fldChar w:fldCharType="separate"/>
      </w:r>
      <w:r w:rsidR="005F3A70" w:rsidRPr="005F3A70">
        <w:rPr>
          <w:rFonts w:ascii="Calibri" w:hAnsi="Calibri" w:cs="Calibri"/>
          <w:sz w:val="24"/>
        </w:rPr>
        <w:t>(United Nations Population Division, 2019)</w:t>
      </w:r>
      <w:r w:rsidR="00D654A1">
        <w:rPr>
          <w:sz w:val="24"/>
        </w:rPr>
        <w:fldChar w:fldCharType="end"/>
      </w:r>
      <w:r w:rsidRPr="00BF048C">
        <w:rPr>
          <w:sz w:val="24"/>
        </w:rPr>
        <w:t>.</w:t>
      </w:r>
    </w:p>
    <w:p w14:paraId="79ACADE5" w14:textId="77777777" w:rsidR="00B55D25" w:rsidRPr="00BF048C" w:rsidRDefault="00B55D25" w:rsidP="00B55D25">
      <w:pPr>
        <w:spacing w:after="0" w:line="276" w:lineRule="auto"/>
        <w:jc w:val="both"/>
        <w:rPr>
          <w:sz w:val="24"/>
        </w:rPr>
      </w:pPr>
    </w:p>
    <w:p w14:paraId="6100F1A4" w14:textId="77777777" w:rsidR="006248E6" w:rsidRPr="00BF048C" w:rsidRDefault="006248E6" w:rsidP="00B55D25">
      <w:pPr>
        <w:spacing w:line="276" w:lineRule="auto"/>
        <w:jc w:val="both"/>
        <w:rPr>
          <w:b/>
          <w:i/>
          <w:sz w:val="24"/>
        </w:rPr>
      </w:pPr>
      <w:r w:rsidRPr="00BF048C">
        <w:rPr>
          <w:b/>
          <w:i/>
          <w:sz w:val="24"/>
        </w:rPr>
        <w:t xml:space="preserve">Constant-fertility assumption: </w:t>
      </w:r>
    </w:p>
    <w:p w14:paraId="7C42FBEA" w14:textId="77777777" w:rsidR="006248E6" w:rsidRPr="00BF048C" w:rsidRDefault="006248E6" w:rsidP="00B55D25">
      <w:pPr>
        <w:spacing w:after="0" w:line="276" w:lineRule="auto"/>
        <w:jc w:val="both"/>
        <w:rPr>
          <w:sz w:val="24"/>
        </w:rPr>
      </w:pPr>
      <w:r w:rsidRPr="00BF048C">
        <w:rPr>
          <w:sz w:val="24"/>
        </w:rPr>
        <w:t>For each country, fertility remains constant at the level estimated for the previous five-year period (2010-2015 for the 2015 population projections).</w:t>
      </w:r>
    </w:p>
    <w:p w14:paraId="30C729F5" w14:textId="77777777" w:rsidR="006248E6" w:rsidRPr="00BF048C" w:rsidRDefault="006248E6" w:rsidP="00B55D25">
      <w:pPr>
        <w:spacing w:after="0" w:line="276" w:lineRule="auto"/>
        <w:jc w:val="both"/>
        <w:rPr>
          <w:sz w:val="24"/>
        </w:rPr>
      </w:pPr>
    </w:p>
    <w:p w14:paraId="434CBB7D" w14:textId="16F41526" w:rsidR="006248E6" w:rsidRPr="00BF048C" w:rsidRDefault="006248E6" w:rsidP="00B55D25">
      <w:pPr>
        <w:spacing w:line="276" w:lineRule="auto"/>
        <w:jc w:val="both"/>
        <w:rPr>
          <w:b/>
          <w:i/>
          <w:sz w:val="24"/>
        </w:rPr>
      </w:pPr>
      <w:r w:rsidRPr="00B55D25">
        <w:rPr>
          <w:b/>
          <w:i/>
          <w:sz w:val="24"/>
        </w:rPr>
        <w:t xml:space="preserve"> </w:t>
      </w:r>
      <w:r w:rsidRPr="00BF048C">
        <w:rPr>
          <w:b/>
          <w:i/>
          <w:sz w:val="24"/>
        </w:rPr>
        <w:t>Instant-replacement-fertility assumption:</w:t>
      </w:r>
    </w:p>
    <w:p w14:paraId="71C17436" w14:textId="77777777" w:rsidR="006248E6" w:rsidRPr="00BF048C" w:rsidRDefault="006248E6" w:rsidP="00B55D25">
      <w:pPr>
        <w:spacing w:after="0" w:line="276" w:lineRule="auto"/>
        <w:jc w:val="both"/>
        <w:rPr>
          <w:sz w:val="24"/>
        </w:rPr>
      </w:pPr>
      <w:r w:rsidRPr="00BF048C">
        <w:rPr>
          <w:sz w:val="24"/>
        </w:rPr>
        <w:t>For each country, fertility is set to the level necessary to ensure a net reproduction rate of 1 starting in (2015-2020 for the 2015 population projections). Fertility varies over the rest of the projection period in such a way that the net reproduction rate ensures, over the long-run, the replacement of the population.</w:t>
      </w:r>
    </w:p>
    <w:p w14:paraId="0300D2AC" w14:textId="77777777" w:rsidR="00B55D25" w:rsidRPr="00BF048C" w:rsidRDefault="00B55D25" w:rsidP="00B55D25">
      <w:pPr>
        <w:spacing w:after="0" w:line="276" w:lineRule="auto"/>
        <w:jc w:val="both"/>
        <w:rPr>
          <w:sz w:val="24"/>
        </w:rPr>
      </w:pPr>
    </w:p>
    <w:p w14:paraId="424C1E86" w14:textId="77777777" w:rsidR="006248E6" w:rsidRPr="00BF048C" w:rsidRDefault="006248E6" w:rsidP="00B55D25">
      <w:pPr>
        <w:spacing w:line="276" w:lineRule="auto"/>
        <w:jc w:val="both"/>
        <w:rPr>
          <w:b/>
          <w:i/>
          <w:sz w:val="24"/>
        </w:rPr>
      </w:pPr>
      <w:r w:rsidRPr="00BF048C">
        <w:rPr>
          <w:b/>
          <w:i/>
          <w:sz w:val="24"/>
        </w:rPr>
        <w:t>Momentum fertility assumption:</w:t>
      </w:r>
    </w:p>
    <w:p w14:paraId="7D3BC574" w14:textId="70864BA1" w:rsidR="006248E6" w:rsidRPr="00BF048C" w:rsidRDefault="006248E6" w:rsidP="00B55D25">
      <w:pPr>
        <w:spacing w:after="0" w:line="276" w:lineRule="auto"/>
        <w:jc w:val="both"/>
        <w:rPr>
          <w:sz w:val="24"/>
        </w:rPr>
      </w:pPr>
      <w:r w:rsidRPr="00BF048C">
        <w:rPr>
          <w:sz w:val="24"/>
        </w:rPr>
        <w:t>This variant is new to the 2019 population dataset, and illustrates the impact of age structure on long-term population change. The variant combines elements of three existing variants: the instant-replacement-fertility variant, the constant-mortality variant, and the zero-migration variant</w:t>
      </w:r>
      <w:r w:rsidR="00D654A1">
        <w:rPr>
          <w:sz w:val="24"/>
        </w:rPr>
        <w:t xml:space="preserve"> </w:t>
      </w:r>
      <w:r w:rsidR="00D654A1">
        <w:rPr>
          <w:sz w:val="24"/>
        </w:rPr>
        <w:fldChar w:fldCharType="begin"/>
      </w:r>
      <w:r w:rsidR="005F3A70">
        <w:rPr>
          <w:sz w:val="24"/>
        </w:rPr>
        <w:instrText xml:space="preserve"> ADDIN ZOTERO_ITEM CSL_CITATION {"citationID":"7ZXuOXM9","properties":{"formattedCitation":"(United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sz w:val="24"/>
        </w:rPr>
        <w:fldChar w:fldCharType="separate"/>
      </w:r>
      <w:r w:rsidR="005F3A70" w:rsidRPr="005F3A70">
        <w:rPr>
          <w:rFonts w:ascii="Calibri" w:hAnsi="Calibri" w:cs="Calibri"/>
          <w:sz w:val="24"/>
        </w:rPr>
        <w:t>(United Nations Population Division, 2019)</w:t>
      </w:r>
      <w:r w:rsidR="00D654A1">
        <w:rPr>
          <w:sz w:val="24"/>
        </w:rPr>
        <w:fldChar w:fldCharType="end"/>
      </w:r>
      <w:r w:rsidRPr="00BF048C">
        <w:rPr>
          <w:sz w:val="24"/>
        </w:rPr>
        <w:t>. Under this variant, for each country, fertility is set to the level necessary to ensure a net reproduction rate of 1.0 starting in 2020-2025, while the mortality is kept constant as of 2015-2020 and net international migration is set to zero from 2020-2025 onwards</w:t>
      </w:r>
      <w:r w:rsidR="00D654A1">
        <w:rPr>
          <w:sz w:val="24"/>
        </w:rPr>
        <w:t xml:space="preserve"> </w:t>
      </w:r>
      <w:r w:rsidR="00D654A1">
        <w:rPr>
          <w:sz w:val="24"/>
        </w:rPr>
        <w:fldChar w:fldCharType="begin"/>
      </w:r>
      <w:r w:rsidR="005F3A70">
        <w:rPr>
          <w:sz w:val="24"/>
        </w:rPr>
        <w:instrText xml:space="preserve"> ADDIN ZOTERO_ITEM CSL_CITATION {"citationID":"uewq6bYo","properties":{"formattedCitation":"(United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sz w:val="24"/>
        </w:rPr>
        <w:fldChar w:fldCharType="separate"/>
      </w:r>
      <w:r w:rsidR="005F3A70" w:rsidRPr="005F3A70">
        <w:rPr>
          <w:rFonts w:ascii="Calibri" w:hAnsi="Calibri" w:cs="Calibri"/>
          <w:sz w:val="24"/>
        </w:rPr>
        <w:t>(United Nations Population Division, 2019)</w:t>
      </w:r>
      <w:r w:rsidR="00D654A1">
        <w:rPr>
          <w:sz w:val="24"/>
        </w:rPr>
        <w:fldChar w:fldCharType="end"/>
      </w:r>
      <w:r w:rsidRPr="00BF048C">
        <w:rPr>
          <w:sz w:val="24"/>
        </w:rPr>
        <w:t>.</w:t>
      </w:r>
    </w:p>
    <w:p w14:paraId="7912FDFB" w14:textId="77777777" w:rsidR="006248E6" w:rsidRPr="00BF048C" w:rsidRDefault="006248E6" w:rsidP="00B55D25">
      <w:pPr>
        <w:spacing w:after="0" w:line="276" w:lineRule="auto"/>
        <w:jc w:val="both"/>
        <w:rPr>
          <w:sz w:val="24"/>
        </w:rPr>
      </w:pPr>
    </w:p>
    <w:p w14:paraId="68A67659" w14:textId="77777777" w:rsidR="006248E6" w:rsidRPr="00BF048C" w:rsidRDefault="006248E6" w:rsidP="00B55D25">
      <w:pPr>
        <w:spacing w:line="276" w:lineRule="auto"/>
        <w:jc w:val="both"/>
        <w:rPr>
          <w:b/>
          <w:i/>
          <w:sz w:val="24"/>
        </w:rPr>
      </w:pPr>
      <w:r w:rsidRPr="00BF048C">
        <w:rPr>
          <w:b/>
          <w:i/>
          <w:sz w:val="24"/>
        </w:rPr>
        <w:t>Mortality and International Migration Assumptions</w:t>
      </w:r>
    </w:p>
    <w:p w14:paraId="55173163" w14:textId="5E03081A" w:rsidR="006248E6" w:rsidRDefault="006248E6" w:rsidP="00B55D25">
      <w:pPr>
        <w:spacing w:after="0" w:line="276" w:lineRule="auto"/>
        <w:jc w:val="both"/>
        <w:rPr>
          <w:rFonts w:eastAsia="Times New Roman" w:cs="Arial"/>
          <w:sz w:val="24"/>
        </w:rPr>
      </w:pPr>
      <w:r w:rsidRPr="00BF048C">
        <w:rPr>
          <w:rFonts w:eastAsia="Times New Roman" w:cs="Arial"/>
          <w:sz w:val="24"/>
        </w:rPr>
        <w:t>In contrast with the assumptions made about future fertility trends, only one variant of future mortality trends (median path) is being used for each country as a standard for all three population projections variants (e.g., high, medium and low fertility variants) (World Population Prospects 2019). Thus, the role of mortality in influencing the change in projections under different variants is very limited.</w:t>
      </w:r>
    </w:p>
    <w:p w14:paraId="355AC0D6" w14:textId="77777777" w:rsidR="0070611F" w:rsidRPr="00BF048C" w:rsidRDefault="0070611F" w:rsidP="00B55D25">
      <w:pPr>
        <w:spacing w:after="0" w:line="276" w:lineRule="auto"/>
        <w:jc w:val="both"/>
        <w:rPr>
          <w:rFonts w:eastAsia="Times New Roman" w:cs="Arial"/>
          <w:sz w:val="24"/>
        </w:rPr>
      </w:pPr>
    </w:p>
    <w:p w14:paraId="75CE82DF" w14:textId="54F4F396" w:rsidR="006248E6" w:rsidRPr="00BF048C" w:rsidRDefault="006248E6" w:rsidP="00B55D25">
      <w:pPr>
        <w:spacing w:after="0" w:line="276" w:lineRule="auto"/>
        <w:jc w:val="both"/>
        <w:rPr>
          <w:rFonts w:eastAsia="Times New Roman" w:cs="Arial"/>
          <w:sz w:val="24"/>
        </w:rPr>
      </w:pPr>
      <w:r w:rsidRPr="00BF048C">
        <w:rPr>
          <w:rFonts w:eastAsia="Times New Roman" w:cs="Arial"/>
          <w:sz w:val="24"/>
        </w:rPr>
        <w:t xml:space="preserve">International migration assumes that </w:t>
      </w:r>
      <w:r w:rsidR="005F3A70">
        <w:rPr>
          <w:rFonts w:eastAsia="Times New Roman" w:cs="Arial"/>
          <w:sz w:val="24"/>
        </w:rPr>
        <w:t xml:space="preserve">current levels remain relatively unchanged and </w:t>
      </w:r>
      <w:r w:rsidRPr="00BF048C">
        <w:rPr>
          <w:rFonts w:eastAsia="Times New Roman" w:cs="Arial"/>
          <w:sz w:val="24"/>
        </w:rPr>
        <w:t>continue until 2045-2050. Regarding the movements of refugees, it assumes in general that refugees return to their country of origin within one or two projection periods, i.e., within 5 to 10 years</w:t>
      </w:r>
      <w:r w:rsidR="00D654A1">
        <w:rPr>
          <w:rFonts w:eastAsia="Times New Roman" w:cs="Arial"/>
          <w:sz w:val="24"/>
        </w:rPr>
        <w:t xml:space="preserve"> </w:t>
      </w:r>
      <w:r w:rsidR="00D654A1">
        <w:rPr>
          <w:rFonts w:eastAsia="Times New Roman" w:cs="Arial"/>
          <w:sz w:val="24"/>
        </w:rPr>
        <w:fldChar w:fldCharType="begin"/>
      </w:r>
      <w:r w:rsidR="005F3A70">
        <w:rPr>
          <w:rFonts w:eastAsia="Times New Roman" w:cs="Arial"/>
          <w:sz w:val="24"/>
        </w:rPr>
        <w:instrText xml:space="preserve"> ADDIN ZOTERO_ITEM CSL_CITATION {"citationID":"6ghhIHGg","properties":{"formattedCitation":"(United Nations Population Division, 2019)","plainCitation":"(United Nations Population Division, 2019)","noteIndex":0},"citationItems":[{"id":18476,"uris":["http://zotero.org/groups/2723676/items/Z3HN84QH"],"uri":["http://zotero.org/groups/2723676/items/Z3HN84QH"],"itemData":{"id":18476,"type":"article-journal","language":"en","page":"61","source":"Zotero","title":"World Population Prospects 2019: Methodology of the United Nations population estimates and projections","author":[{"family":"United Nations Population Division","given":""}],"issued":{"date-parts":[["2019"]]}}}],"schema":"https://github.com/citation-style-language/schema/raw/master/csl-citation.json"} </w:instrText>
      </w:r>
      <w:r w:rsidR="00D654A1">
        <w:rPr>
          <w:rFonts w:eastAsia="Times New Roman" w:cs="Arial"/>
          <w:sz w:val="24"/>
        </w:rPr>
        <w:fldChar w:fldCharType="separate"/>
      </w:r>
      <w:r w:rsidR="005F3A70" w:rsidRPr="005F3A70">
        <w:rPr>
          <w:rFonts w:ascii="Calibri" w:hAnsi="Calibri" w:cs="Calibri"/>
          <w:sz w:val="24"/>
        </w:rPr>
        <w:t>(United Nations Population Division, 2019)</w:t>
      </w:r>
      <w:r w:rsidR="00D654A1">
        <w:rPr>
          <w:rFonts w:eastAsia="Times New Roman" w:cs="Arial"/>
          <w:sz w:val="24"/>
        </w:rPr>
        <w:fldChar w:fldCharType="end"/>
      </w:r>
      <w:r w:rsidRPr="00BF048C">
        <w:rPr>
          <w:rFonts w:eastAsia="Times New Roman" w:cs="Arial"/>
          <w:sz w:val="24"/>
        </w:rPr>
        <w:t>. The international migration numbers at individual country estimates and projections are revisited and altered so that the sum of all international migration adds up to zero at the global level (World Population Prospects 2019).</w:t>
      </w:r>
    </w:p>
    <w:p w14:paraId="0E7F9209" w14:textId="77777777" w:rsidR="006248E6" w:rsidRPr="00BF048C" w:rsidRDefault="006248E6" w:rsidP="006248E6">
      <w:pPr>
        <w:shd w:val="clear" w:color="auto" w:fill="FFFFFF"/>
        <w:spacing w:before="100" w:beforeAutospacing="1" w:after="100" w:afterAutospacing="1" w:line="240" w:lineRule="auto"/>
        <w:rPr>
          <w:rFonts w:eastAsia="Times New Roman" w:cs="Arial"/>
          <w:b/>
          <w:color w:val="222222"/>
          <w:sz w:val="24"/>
        </w:rPr>
      </w:pPr>
    </w:p>
    <w:p w14:paraId="4F1221D6" w14:textId="22146481" w:rsidR="006248E6" w:rsidRPr="00BF048C" w:rsidRDefault="006248E6" w:rsidP="006248E6">
      <w:pPr>
        <w:pStyle w:val="Heading3"/>
      </w:pPr>
      <w:bookmarkStart w:id="54" w:name="_Toc74154053"/>
      <w:r w:rsidRPr="00BF048C">
        <w:t>Assumption</w:t>
      </w:r>
      <w:r>
        <w:t>s</w:t>
      </w:r>
      <w:r w:rsidR="00B55D25">
        <w:t xml:space="preserve"> around the u</w:t>
      </w:r>
      <w:r w:rsidRPr="00BF048C">
        <w:t>ptake of Family Planning</w:t>
      </w:r>
      <w:bookmarkEnd w:id="54"/>
    </w:p>
    <w:p w14:paraId="05A8DBEC" w14:textId="0247D6F9" w:rsidR="006248E6" w:rsidRDefault="006248E6" w:rsidP="006248E6">
      <w:pPr>
        <w:shd w:val="clear" w:color="auto" w:fill="FFFFFF"/>
        <w:spacing w:before="100" w:beforeAutospacing="1" w:after="100" w:afterAutospacing="1" w:line="276" w:lineRule="auto"/>
        <w:jc w:val="both"/>
        <w:rPr>
          <w:rFonts w:eastAsia="Times New Roman" w:cs="Arial"/>
          <w:sz w:val="24"/>
        </w:rPr>
      </w:pPr>
      <w:r w:rsidRPr="00BF048C">
        <w:rPr>
          <w:rFonts w:eastAsia="Times New Roman" w:cs="Arial"/>
          <w:sz w:val="24"/>
        </w:rPr>
        <w:t>The UN Population Projections reflect an implicit assumption that the conditions facilitating fertility decline will persist in the future. The UN report on World fertility and Family Planning 2020 states that “</w:t>
      </w:r>
      <w:r w:rsidR="00976F6F">
        <w:rPr>
          <w:sz w:val="24"/>
        </w:rPr>
        <w:t>i</w:t>
      </w:r>
      <w:r w:rsidRPr="00BF048C">
        <w:rPr>
          <w:sz w:val="24"/>
        </w:rPr>
        <w:t>n countries experiencing rapid population growth, the future reductions in fertility depicted in the medium-variant projection of the United Nations seem likely to occur if there is continued progress in all facets of development, including further reductions in child mortality, increased levels of education in particular for women and girls, increased urbanization, women’s empowerment and growing labour force participation, and expanded access to reproductive health-care services including for family planning</w:t>
      </w:r>
      <w:r w:rsidRPr="00BF048C">
        <w:rPr>
          <w:rFonts w:eastAsia="Times New Roman" w:cs="Arial"/>
          <w:sz w:val="24"/>
        </w:rPr>
        <w:t xml:space="preserve">.” </w:t>
      </w:r>
      <w:r w:rsidRPr="00BF048C">
        <w:rPr>
          <w:rFonts w:eastAsia="Times New Roman" w:cs="Arial"/>
          <w:sz w:val="24"/>
        </w:rPr>
        <w:fldChar w:fldCharType="begin"/>
      </w:r>
      <w:r w:rsidR="00B23620">
        <w:rPr>
          <w:rFonts w:eastAsia="Times New Roman" w:cs="Arial"/>
          <w:sz w:val="24"/>
        </w:rPr>
        <w:instrText xml:space="preserve"> ADDIN ZOTERO_ITEM CSL_CITATION {"citationID":"dC05Mdo1","properties":{"formattedCitation":"(United Nations Department of Economic and Social Affairs, Population Division, 2020)","plainCitation":"(United Nations Department of Economic and Social Affairs, Population Division, 2020)","noteIndex":0},"citationItems":[{"id":17974,"uris":["http://zotero.org/users/7220606/items/GMEZ5FEN"],"uri":["http://zotero.org/users/7220606/items/GMEZ5FEN"],"itemData":{"id":17974,"type":"book","ISBN":"978-92-1-148321-5","language":"en","note":"OCLC: 1232031643","source":"Open WorldCat","title":"World fertility and family planning 2020: highlights.","title-short":"World fertility and family planning 2020","author":[{"family":"United Nations Department of Economic and Social Affairs, Population Division","given":""}],"issued":{"date-parts":[["2020"]]}}}],"schema":"https://github.com/citation-style-language/schema/raw/master/csl-citation.json"} </w:instrText>
      </w:r>
      <w:r w:rsidRPr="00BF048C">
        <w:rPr>
          <w:rFonts w:eastAsia="Times New Roman" w:cs="Arial"/>
          <w:sz w:val="24"/>
        </w:rPr>
        <w:fldChar w:fldCharType="separate"/>
      </w:r>
      <w:r w:rsidR="00B23620" w:rsidRPr="00B23620">
        <w:rPr>
          <w:rFonts w:ascii="Calibri" w:hAnsi="Calibri" w:cs="Calibri"/>
          <w:sz w:val="24"/>
        </w:rPr>
        <w:t>(United Nations Department of Economic and Social Affairs, Population Division, 2020)</w:t>
      </w:r>
      <w:r w:rsidRPr="00BF048C">
        <w:rPr>
          <w:rFonts w:eastAsia="Times New Roman" w:cs="Arial"/>
          <w:sz w:val="24"/>
        </w:rPr>
        <w:fldChar w:fldCharType="end"/>
      </w:r>
      <w:r w:rsidRPr="00BF048C">
        <w:rPr>
          <w:rFonts w:eastAsia="Times New Roman" w:cs="Arial"/>
          <w:sz w:val="24"/>
        </w:rPr>
        <w:t xml:space="preserve">. It should therefore be recognised that the UN Medium Variant is based on the assumption that increased uptake of family planning will result in reduced </w:t>
      </w:r>
      <w:r w:rsidR="00AC3D79">
        <w:rPr>
          <w:rFonts w:eastAsia="Times New Roman" w:cs="Arial"/>
          <w:sz w:val="24"/>
        </w:rPr>
        <w:t>net reproductive rate (NRR)</w:t>
      </w:r>
      <w:r w:rsidRPr="00BF048C">
        <w:rPr>
          <w:rFonts w:eastAsia="Times New Roman" w:cs="Arial"/>
          <w:sz w:val="24"/>
        </w:rPr>
        <w:t xml:space="preserve">, though whether this occurs for all countries in the future, and the speed and extent to which it may occur, are currently uncertain and impossible to predict. As John Wilmoth, director of the United Nations Population Division, stated: "The medium-variant projection is thus an expression of what </w:t>
      </w:r>
      <w:r w:rsidRPr="00BF048C">
        <w:rPr>
          <w:rFonts w:eastAsia="Times New Roman" w:cs="Arial"/>
          <w:i/>
          <w:iCs/>
          <w:sz w:val="24"/>
        </w:rPr>
        <w:t>should be possible</w:t>
      </w:r>
      <w:r w:rsidRPr="00BF048C">
        <w:rPr>
          <w:rFonts w:eastAsia="Times New Roman" w:cs="Arial"/>
          <w:sz w:val="24"/>
        </w:rPr>
        <w:t> if future patterns of behavioral change in childbearing resemble those of the past, for populations at similar levels of fertility. These future trends, however, are not guaranteed. In fact, in light of recent trends for some high-fertility countries, this middle scenario could require additional substantial efforts to </w:t>
      </w:r>
      <w:r w:rsidRPr="00BF048C">
        <w:rPr>
          <w:rFonts w:eastAsia="Times New Roman" w:cs="Arial"/>
          <w:i/>
          <w:iCs/>
          <w:sz w:val="24"/>
        </w:rPr>
        <w:t>make it possible</w:t>
      </w:r>
      <w:r w:rsidRPr="00BF048C">
        <w:rPr>
          <w:rFonts w:eastAsia="Times New Roman" w:cs="Arial"/>
          <w:sz w:val="24"/>
        </w:rPr>
        <w:t>”</w:t>
      </w:r>
      <w:r w:rsidRPr="00BF048C">
        <w:rPr>
          <w:rFonts w:eastAsia="Times New Roman" w:cs="Arial"/>
          <w:sz w:val="24"/>
        </w:rPr>
        <w:fldChar w:fldCharType="begin"/>
      </w:r>
      <w:r w:rsidR="00B23620">
        <w:rPr>
          <w:rFonts w:eastAsia="Times New Roman" w:cs="Arial"/>
          <w:sz w:val="24"/>
        </w:rPr>
        <w:instrText xml:space="preserve"> ADDIN ZOTERO_ITEM CSL_CITATION {"citationID":"B58kaslU","properties":{"formattedCitation":"(Population Reference Bureau, 2013)","plainCitation":"(Population Reference Bureau, 2013)","noteIndex":0},"citationItems":[{"id":17971,"uris":["http://zotero.org/users/7220606/items/ZSB7XNLZ"],"uri":["http://zotero.org/users/7220606/items/ZSB7XNLZ"],"itemData":{"id":17971,"type":"report","language":"en-US","title":"United Nations Raises Projected World Population","URL":"https://www.prb.org/un-world-projections/","author":[{"family":"Population Reference Bureau","given":""}],"accessed":{"date-parts":[["2021",4,18]]},"issued":{"date-parts":[["2013"]]}}}],"schema":"https://github.com/citation-style-language/schema/raw/master/csl-citation.json"} </w:instrText>
      </w:r>
      <w:r w:rsidRPr="00BF048C">
        <w:rPr>
          <w:rFonts w:eastAsia="Times New Roman" w:cs="Arial"/>
          <w:sz w:val="24"/>
        </w:rPr>
        <w:fldChar w:fldCharType="separate"/>
      </w:r>
      <w:r w:rsidR="00B23620" w:rsidRPr="00B23620">
        <w:rPr>
          <w:rFonts w:ascii="Calibri" w:hAnsi="Calibri" w:cs="Calibri"/>
          <w:sz w:val="24"/>
        </w:rPr>
        <w:t>(Population Reference Bureau, 2013)</w:t>
      </w:r>
      <w:r w:rsidRPr="00BF048C">
        <w:rPr>
          <w:rFonts w:eastAsia="Times New Roman" w:cs="Arial"/>
          <w:sz w:val="24"/>
        </w:rPr>
        <w:fldChar w:fldCharType="end"/>
      </w:r>
      <w:r w:rsidRPr="00BF048C">
        <w:rPr>
          <w:rFonts w:eastAsia="Times New Roman" w:cs="Arial"/>
          <w:sz w:val="24"/>
        </w:rPr>
        <w:t xml:space="preserve">. </w:t>
      </w:r>
    </w:p>
    <w:p w14:paraId="64E03FC8" w14:textId="11895D16" w:rsidR="00976F6F" w:rsidRDefault="00244258" w:rsidP="006248E6">
      <w:pPr>
        <w:shd w:val="clear" w:color="auto" w:fill="FFFFFF"/>
        <w:spacing w:before="100" w:beforeAutospacing="1" w:after="100" w:afterAutospacing="1" w:line="276" w:lineRule="auto"/>
        <w:jc w:val="both"/>
        <w:rPr>
          <w:rFonts w:eastAsia="Times New Roman" w:cs="Arial"/>
          <w:sz w:val="24"/>
        </w:rPr>
      </w:pPr>
      <w:r>
        <w:rPr>
          <w:rFonts w:eastAsia="Times New Roman" w:cs="Arial"/>
          <w:sz w:val="24"/>
        </w:rPr>
        <w:t xml:space="preserve">Project Drawdown relies on the </w:t>
      </w:r>
      <w:r w:rsidR="00976F6F">
        <w:rPr>
          <w:rFonts w:eastAsia="Times New Roman" w:cs="Arial"/>
          <w:sz w:val="24"/>
        </w:rPr>
        <w:t>UN Medium P</w:t>
      </w:r>
      <w:r>
        <w:rPr>
          <w:rFonts w:eastAsia="Times New Roman" w:cs="Arial"/>
          <w:sz w:val="24"/>
        </w:rPr>
        <w:t xml:space="preserve">opulation variant </w:t>
      </w:r>
      <w:r w:rsidR="00976F6F">
        <w:rPr>
          <w:rFonts w:eastAsia="Times New Roman" w:cs="Arial"/>
          <w:sz w:val="24"/>
        </w:rPr>
        <w:t xml:space="preserve">as the basis </w:t>
      </w:r>
      <w:r>
        <w:rPr>
          <w:rFonts w:eastAsia="Times New Roman" w:cs="Arial"/>
          <w:sz w:val="24"/>
        </w:rPr>
        <w:t>of the population emissions model and other solution modelling as it is deemed a reliable and realistic projection of population changes over time</w:t>
      </w:r>
      <w:r>
        <w:rPr>
          <w:rFonts w:eastAsia="Times New Roman" w:cs="Arial"/>
          <w:sz w:val="24"/>
        </w:rPr>
        <w:fldChar w:fldCharType="begin"/>
      </w:r>
      <w:r w:rsidR="000B30F1">
        <w:rPr>
          <w:rFonts w:eastAsia="Times New Roman" w:cs="Arial"/>
          <w:sz w:val="24"/>
        </w:rPr>
        <w:instrText xml:space="preserve"> ADDIN ZOTERO_ITEM CSL_CITATION {"citationID":"fJsOUDT4","properties":{"formattedCitation":"(Kaneda et al., 2021)","plainCitation":"(Kaneda et al., 2021)","dontUpdate":true,"noteIndex":0},"citationItems":[{"id":18459,"uris":["http://zotero.org/groups/2723676/items/EUAFE6PG"],"uri":["http://zotero.org/groups/2723676/items/EUAFE6PG"],"itemData":{"id":18459,"type":"report","abstract":"Demographers disagree on when, by exactly how much, and how fast fertility will decrease.","language":"en-US","publisher":"Population Reference Bureau","title":"Understanding and Comparing Population Projections in Sub-Saharan Africa","URL":"https://www.prb.org/resources/understanding-and-comparing-population-projections-in-sub-saharan-africa/","author":[{"family":"Kaneda","given":"Toshiko"},{"family":"Falk","given":"Marissa"},{"family":"Patierno","given":"Kaitlyn"}],"accessed":{"date-parts":[["2021",7,5]]},"issued":{"date-parts":[["2021"]]}}}],"schema":"https://github.com/citation-style-language/schema/raw/master/csl-citation.json"} </w:instrText>
      </w:r>
      <w:r>
        <w:rPr>
          <w:rFonts w:eastAsia="Times New Roman" w:cs="Arial"/>
          <w:sz w:val="24"/>
        </w:rPr>
        <w:fldChar w:fldCharType="separate"/>
      </w:r>
      <w:r>
        <w:rPr>
          <w:rFonts w:eastAsia="Times New Roman" w:cs="Arial"/>
          <w:sz w:val="24"/>
        </w:rPr>
        <w:t xml:space="preserve"> </w:t>
      </w:r>
      <w:r w:rsidRPr="00244258">
        <w:rPr>
          <w:rFonts w:ascii="Calibri" w:hAnsi="Calibri" w:cs="Calibri"/>
          <w:sz w:val="24"/>
        </w:rPr>
        <w:t>(Kaneda et al., 2021)</w:t>
      </w:r>
      <w:r>
        <w:rPr>
          <w:rFonts w:eastAsia="Times New Roman" w:cs="Arial"/>
          <w:sz w:val="24"/>
        </w:rPr>
        <w:fldChar w:fldCharType="end"/>
      </w:r>
      <w:r>
        <w:rPr>
          <w:rFonts w:eastAsia="Times New Roman" w:cs="Arial"/>
          <w:sz w:val="24"/>
        </w:rPr>
        <w:t>, and is widely used by many other organizations for estimations around population growth and fertility trends.</w:t>
      </w:r>
    </w:p>
    <w:p w14:paraId="5DEF07C0" w14:textId="75A4A117" w:rsidR="000A0032" w:rsidRDefault="0070611F" w:rsidP="00D86F2F">
      <w:pPr>
        <w:shd w:val="clear" w:color="auto" w:fill="FFFFFF"/>
        <w:tabs>
          <w:tab w:val="left" w:pos="1869"/>
        </w:tabs>
        <w:spacing w:before="100" w:beforeAutospacing="1" w:after="100" w:afterAutospacing="1" w:line="276" w:lineRule="auto"/>
        <w:jc w:val="both"/>
        <w:rPr>
          <w:rFonts w:eastAsia="Times New Roman" w:cs="Arial"/>
          <w:sz w:val="24"/>
        </w:rPr>
      </w:pPr>
      <w:r>
        <w:rPr>
          <w:rFonts w:eastAsia="Times New Roman" w:cs="Arial"/>
          <w:sz w:val="24"/>
        </w:rPr>
        <w:tab/>
      </w:r>
    </w:p>
    <w:p w14:paraId="76325EAE" w14:textId="4105B64A" w:rsidR="00B87FB1" w:rsidRPr="0071077E" w:rsidRDefault="00B87FB1" w:rsidP="00B87FB1">
      <w:pPr>
        <w:pStyle w:val="Heading2"/>
      </w:pPr>
      <w:bookmarkStart w:id="55" w:name="_Toc74154054"/>
      <w:r w:rsidRPr="0071077E">
        <w:t xml:space="preserve">The </w:t>
      </w:r>
      <w:r w:rsidR="000A0032">
        <w:t xml:space="preserve">PDS </w:t>
      </w:r>
      <w:r>
        <w:t>Population E</w:t>
      </w:r>
      <w:r w:rsidRPr="0071077E">
        <w:t>missions model</w:t>
      </w:r>
      <w:bookmarkEnd w:id="55"/>
    </w:p>
    <w:p w14:paraId="056737B2" w14:textId="0D891DD2" w:rsidR="00B87FB1" w:rsidRPr="000A0032" w:rsidRDefault="00B87FB1" w:rsidP="00B87FB1">
      <w:pPr>
        <w:spacing w:line="276" w:lineRule="auto"/>
        <w:jc w:val="both"/>
        <w:rPr>
          <w:rFonts w:eastAsia="Times New Roman" w:cs="Arial"/>
          <w:sz w:val="24"/>
        </w:rPr>
      </w:pPr>
      <w:r w:rsidRPr="000A0032">
        <w:rPr>
          <w:rFonts w:eastAsia="Times New Roman" w:cs="Arial"/>
          <w:sz w:val="24"/>
        </w:rPr>
        <w:t xml:space="preserve">Project Drawdown’s core models were developed to account for adoption pathways of different actions within constrained boundaries. The Population Emissions model evaluates the impact of education and family planning uptake on population numbers and the resulting emissions over time. By combining data from different sectors and clusters on per capita emissions (grouped by IPCC region), the model evaluates the impact of different levels of education and FP uptake on overall emissions. </w:t>
      </w:r>
    </w:p>
    <w:p w14:paraId="6049C120" w14:textId="77777777" w:rsidR="00B87FB1" w:rsidRDefault="00B87FB1" w:rsidP="00B87FB1">
      <w:pPr>
        <w:spacing w:line="276" w:lineRule="auto"/>
        <w:jc w:val="both"/>
      </w:pPr>
    </w:p>
    <w:p w14:paraId="63D04C27" w14:textId="77777777" w:rsidR="00B87FB1" w:rsidRDefault="00B87FB1" w:rsidP="00B87FB1">
      <w:pPr>
        <w:pStyle w:val="Heading3"/>
      </w:pPr>
      <w:bookmarkStart w:id="56" w:name="_Toc74154055"/>
      <w:r w:rsidRPr="005E4CD1">
        <w:t xml:space="preserve">Model </w:t>
      </w:r>
      <w:r>
        <w:t xml:space="preserve">structure and </w:t>
      </w:r>
      <w:r w:rsidRPr="005E4CD1">
        <w:t>terminology</w:t>
      </w:r>
      <w:bookmarkEnd w:id="56"/>
      <w:r w:rsidRPr="005E4CD1">
        <w:t xml:space="preserve"> </w:t>
      </w:r>
    </w:p>
    <w:p w14:paraId="49065F9D" w14:textId="77777777" w:rsidR="00B87FB1" w:rsidRPr="000A0032" w:rsidRDefault="00B87FB1" w:rsidP="00B87FB1">
      <w:pPr>
        <w:spacing w:line="276" w:lineRule="auto"/>
        <w:jc w:val="both"/>
        <w:rPr>
          <w:sz w:val="24"/>
        </w:rPr>
      </w:pPr>
      <w:r w:rsidRPr="000A0032">
        <w:rPr>
          <w:sz w:val="24"/>
        </w:rPr>
        <w:t xml:space="preserve">The Population Emissions model is an Excel workbook that contains all of the data necessary to calculate the greenhouse-gas reductions associated with the adoption of health and education, and allows users to change inputs for the different clusters that are impacted by changes in population and see how the overall emissions results are impacted. </w:t>
      </w:r>
    </w:p>
    <w:p w14:paraId="7D33962F" w14:textId="77777777" w:rsidR="00801E45" w:rsidRDefault="00801E45" w:rsidP="00801E45">
      <w:pPr>
        <w:spacing w:after="240"/>
        <w:jc w:val="both"/>
        <w:rPr>
          <w:sz w:val="24"/>
        </w:rPr>
      </w:pPr>
      <w:r w:rsidRPr="002F5551">
        <w:rPr>
          <w:sz w:val="24"/>
        </w:rPr>
        <w:t>Across eve</w:t>
      </w:r>
      <w:r>
        <w:rPr>
          <w:sz w:val="24"/>
        </w:rPr>
        <w:t xml:space="preserve">ry solution-specific model, </w:t>
      </w:r>
      <w:r w:rsidRPr="002F5551">
        <w:rPr>
          <w:sz w:val="24"/>
        </w:rPr>
        <w:t>population estimates</w:t>
      </w:r>
      <w:r>
        <w:rPr>
          <w:sz w:val="24"/>
        </w:rPr>
        <w:t xml:space="preserve"> determine</w:t>
      </w:r>
      <w:r w:rsidRPr="002F5551">
        <w:rPr>
          <w:sz w:val="24"/>
        </w:rPr>
        <w:t xml:space="preserve"> total functional demand of conventional technologies/practices for both REF 1 and REF 2 </w:t>
      </w:r>
      <w:r>
        <w:rPr>
          <w:sz w:val="24"/>
        </w:rPr>
        <w:t xml:space="preserve">(plausible/ambitious) </w:t>
      </w:r>
      <w:r w:rsidRPr="002F5551">
        <w:rPr>
          <w:sz w:val="24"/>
        </w:rPr>
        <w:t>scenarios. The difference between them represents the potential increase in market demand resulting from higher global population. It is assumed that market demand equals supply. Emissions associated with this difference in demand are determined by applying standard emissions factors for conventional technologies/practices, e.g., grid emissions factors based on the global mix of coal-, oil- and gas-fired plants, or fuel combustion factors by fuel type. The analysis also includes indirect (embodied) emissions for implementation units required to meet the increased demand. Results from each solution-specific model are then aggregated into a Population Emissions model</w:t>
      </w:r>
      <w:r>
        <w:rPr>
          <w:sz w:val="24"/>
        </w:rPr>
        <w:t>, to determine the effects of the Health and Education solutions on total emissions reduction</w:t>
      </w:r>
      <w:r w:rsidRPr="002F5551">
        <w:rPr>
          <w:sz w:val="24"/>
        </w:rPr>
        <w:t xml:space="preserve">. </w:t>
      </w:r>
    </w:p>
    <w:p w14:paraId="31F45109" w14:textId="009BA48B" w:rsidR="00801E45" w:rsidRPr="000A0032" w:rsidRDefault="00801E45" w:rsidP="00801E45">
      <w:pPr>
        <w:spacing w:line="276" w:lineRule="auto"/>
        <w:jc w:val="both"/>
        <w:rPr>
          <w:sz w:val="24"/>
        </w:rPr>
      </w:pPr>
      <w:r w:rsidRPr="000A0032">
        <w:rPr>
          <w:sz w:val="24"/>
        </w:rPr>
        <w:t>Each tab in the Population Emissions model workbook represents a specific cluster. Clusters included in the model are those for which TAM data are directly dependent on per capita consumption, and are therefore sensitive to changes in</w:t>
      </w:r>
      <w:r>
        <w:rPr>
          <w:sz w:val="24"/>
        </w:rPr>
        <w:t xml:space="preserve"> population numbers over time. E</w:t>
      </w:r>
      <w:r w:rsidRPr="000A0032">
        <w:rPr>
          <w:sz w:val="24"/>
        </w:rPr>
        <w:t>stimated changes to the TAM are a function of multiple factors, including population, economic conditions, policies and regulations, primary energy prices, infrastructural capacity, technologies costs and a host of other variables that impact individual and group preferences, such as culture, location, media, etc. Because many factors are difficult to model due to high variability across time and populations, population growth and economic conditions are the only factors considered to directly impact the size of the</w:t>
      </w:r>
      <w:r>
        <w:rPr>
          <w:sz w:val="24"/>
        </w:rPr>
        <w:t xml:space="preserve"> TAM in Project Drawdown models</w:t>
      </w:r>
      <w:r w:rsidRPr="000A0032">
        <w:rPr>
          <w:sz w:val="24"/>
        </w:rPr>
        <w:t xml:space="preserve">. </w:t>
      </w:r>
      <w:r>
        <w:rPr>
          <w:sz w:val="24"/>
        </w:rPr>
        <w:t>The</w:t>
      </w:r>
      <w:r w:rsidRPr="00BF048C">
        <w:rPr>
          <w:sz w:val="24"/>
        </w:rPr>
        <w:t xml:space="preserve"> models </w:t>
      </w:r>
      <w:r>
        <w:rPr>
          <w:sz w:val="24"/>
        </w:rPr>
        <w:t xml:space="preserve">therefore </w:t>
      </w:r>
      <w:r w:rsidRPr="00BF048C">
        <w:rPr>
          <w:sz w:val="24"/>
        </w:rPr>
        <w:t xml:space="preserve">either directly use or harmonize the </w:t>
      </w:r>
      <w:r>
        <w:rPr>
          <w:sz w:val="24"/>
        </w:rPr>
        <w:t xml:space="preserve">REF 2 </w:t>
      </w:r>
      <w:r w:rsidRPr="00BF048C">
        <w:rPr>
          <w:sz w:val="24"/>
        </w:rPr>
        <w:t xml:space="preserve"> population projections for deter</w:t>
      </w:r>
      <w:r>
        <w:rPr>
          <w:sz w:val="24"/>
        </w:rPr>
        <w:t xml:space="preserve">mining their energy forecasts. </w:t>
      </w:r>
      <w:r w:rsidRPr="00BF048C">
        <w:rPr>
          <w:sz w:val="24"/>
        </w:rPr>
        <w:t xml:space="preserve"> </w:t>
      </w:r>
    </w:p>
    <w:p w14:paraId="4B807AC0" w14:textId="49FC2FD6" w:rsidR="00B87FB1" w:rsidRPr="000A0032" w:rsidRDefault="007F3156" w:rsidP="00B87FB1">
      <w:pPr>
        <w:spacing w:after="240"/>
        <w:jc w:val="both"/>
        <w:rPr>
          <w:sz w:val="24"/>
        </w:rPr>
      </w:pPr>
      <w:r>
        <w:rPr>
          <w:sz w:val="24"/>
        </w:rPr>
        <w:t xml:space="preserve">The different clusters included in the Population Emissions model </w:t>
      </w:r>
      <w:r w:rsidR="00B87FB1" w:rsidRPr="000A0032">
        <w:rPr>
          <w:sz w:val="24"/>
        </w:rPr>
        <w:t xml:space="preserve">shown in </w:t>
      </w:r>
      <w:r>
        <w:rPr>
          <w:sz w:val="24"/>
        </w:rPr>
        <w:t>Table 5</w:t>
      </w:r>
      <w:r w:rsidR="00B87FB1" w:rsidRPr="000A0032">
        <w:rPr>
          <w:sz w:val="24"/>
        </w:rPr>
        <w:t xml:space="preserve"> below. Each cluster uses a Functional Unit of Measure, to best represent the outcome produced, or ‘function’ of the solution. This differs from the Implementation Unit of Measure, which best represents the number of acquisitions and installations, or ‘implementations’ of the solution. The two units are closely related: the implementation unit produces the function that is in demand.</w:t>
      </w:r>
    </w:p>
    <w:p w14:paraId="1AF1F14B" w14:textId="70FC7928" w:rsidR="00B87FB1" w:rsidRDefault="00362C88" w:rsidP="00B87FB1">
      <w:pPr>
        <w:spacing w:line="276" w:lineRule="auto"/>
        <w:jc w:val="both"/>
        <w:rPr>
          <w:sz w:val="24"/>
        </w:rPr>
      </w:pPr>
      <w:r>
        <w:rPr>
          <w:sz w:val="24"/>
        </w:rPr>
        <w:t>For most of</w:t>
      </w:r>
      <w:r w:rsidRPr="000A0032">
        <w:rPr>
          <w:sz w:val="24"/>
        </w:rPr>
        <w:t xml:space="preserve"> Project Drawdown’s models</w:t>
      </w:r>
      <w:r w:rsidR="006874FD">
        <w:rPr>
          <w:sz w:val="24"/>
        </w:rPr>
        <w:t xml:space="preserve">, </w:t>
      </w:r>
      <w:r w:rsidR="0019275B">
        <w:rPr>
          <w:sz w:val="24"/>
        </w:rPr>
        <w:t xml:space="preserve">data estimates used for different clusters </w:t>
      </w:r>
      <w:r>
        <w:rPr>
          <w:sz w:val="24"/>
        </w:rPr>
        <w:t>are</w:t>
      </w:r>
      <w:r w:rsidR="0019275B">
        <w:rPr>
          <w:sz w:val="24"/>
        </w:rPr>
        <w:t xml:space="preserve"> aggregated to correspond to the IPCC </w:t>
      </w:r>
      <w:r>
        <w:rPr>
          <w:sz w:val="24"/>
        </w:rPr>
        <w:t xml:space="preserve">(AR5) </w:t>
      </w:r>
      <w:r w:rsidR="00B87FB1" w:rsidRPr="000A0032">
        <w:rPr>
          <w:sz w:val="24"/>
        </w:rPr>
        <w:t xml:space="preserve">regional </w:t>
      </w:r>
      <w:r w:rsidR="0019275B">
        <w:rPr>
          <w:sz w:val="24"/>
        </w:rPr>
        <w:t>classification</w:t>
      </w:r>
      <w:r w:rsidR="00B87FB1" w:rsidRPr="000A0032">
        <w:rPr>
          <w:sz w:val="24"/>
        </w:rPr>
        <w:t>,</w:t>
      </w:r>
      <w:r w:rsidR="0019275B">
        <w:rPr>
          <w:sz w:val="24"/>
        </w:rPr>
        <w:t xml:space="preserve"> which </w:t>
      </w:r>
      <w:r w:rsidR="006874FD">
        <w:rPr>
          <w:sz w:val="24"/>
        </w:rPr>
        <w:t>are then used</w:t>
      </w:r>
      <w:r w:rsidR="0019275B">
        <w:rPr>
          <w:sz w:val="24"/>
        </w:rPr>
        <w:t xml:space="preserve"> to identify LLDC and MDC regions</w:t>
      </w:r>
      <w:r w:rsidR="00B87FB1" w:rsidRPr="000A0032">
        <w:rPr>
          <w:sz w:val="24"/>
        </w:rPr>
        <w:t xml:space="preserve">. </w:t>
      </w:r>
    </w:p>
    <w:p w14:paraId="20C0D5D7" w14:textId="5066AD6A" w:rsidR="00D654A1" w:rsidRDefault="00D654A1" w:rsidP="00B87FB1">
      <w:pPr>
        <w:spacing w:line="276" w:lineRule="auto"/>
        <w:jc w:val="both"/>
        <w:rPr>
          <w:sz w:val="24"/>
        </w:rPr>
      </w:pPr>
    </w:p>
    <w:p w14:paraId="0E1791B7" w14:textId="7B880203" w:rsidR="00D654A1" w:rsidRDefault="00D654A1" w:rsidP="00B87FB1">
      <w:pPr>
        <w:spacing w:line="276" w:lineRule="auto"/>
        <w:jc w:val="both"/>
        <w:rPr>
          <w:sz w:val="24"/>
        </w:rPr>
      </w:pPr>
    </w:p>
    <w:p w14:paraId="2BC216AA" w14:textId="6C150EFE" w:rsidR="00D654A1" w:rsidRDefault="00D654A1" w:rsidP="00B87FB1">
      <w:pPr>
        <w:spacing w:line="276" w:lineRule="auto"/>
        <w:jc w:val="both"/>
        <w:rPr>
          <w:sz w:val="24"/>
        </w:rPr>
      </w:pPr>
    </w:p>
    <w:p w14:paraId="7EED1A69" w14:textId="4EFD8EFD" w:rsidR="00D654A1" w:rsidRDefault="00D654A1" w:rsidP="00B87FB1">
      <w:pPr>
        <w:spacing w:line="276" w:lineRule="auto"/>
        <w:jc w:val="both"/>
        <w:rPr>
          <w:sz w:val="24"/>
        </w:rPr>
      </w:pPr>
    </w:p>
    <w:p w14:paraId="7063662F" w14:textId="79A92028" w:rsidR="00D654A1" w:rsidRDefault="00D654A1" w:rsidP="00B87FB1">
      <w:pPr>
        <w:spacing w:line="276" w:lineRule="auto"/>
        <w:jc w:val="both"/>
        <w:rPr>
          <w:sz w:val="24"/>
        </w:rPr>
      </w:pPr>
    </w:p>
    <w:p w14:paraId="68439BE2" w14:textId="164F2C80" w:rsidR="00D654A1" w:rsidRDefault="00D654A1" w:rsidP="00B87FB1">
      <w:pPr>
        <w:spacing w:line="276" w:lineRule="auto"/>
        <w:jc w:val="both"/>
        <w:rPr>
          <w:sz w:val="24"/>
        </w:rPr>
      </w:pPr>
    </w:p>
    <w:p w14:paraId="766AF2F4" w14:textId="61EBA9C7" w:rsidR="00D654A1" w:rsidRDefault="00D654A1" w:rsidP="00B87FB1">
      <w:pPr>
        <w:spacing w:line="276" w:lineRule="auto"/>
        <w:jc w:val="both"/>
        <w:rPr>
          <w:sz w:val="24"/>
        </w:rPr>
      </w:pPr>
    </w:p>
    <w:p w14:paraId="28DD1122" w14:textId="6E010719" w:rsidR="00D654A1" w:rsidRDefault="00D654A1" w:rsidP="00B87FB1">
      <w:pPr>
        <w:spacing w:line="276" w:lineRule="auto"/>
        <w:jc w:val="both"/>
        <w:rPr>
          <w:sz w:val="24"/>
        </w:rPr>
      </w:pPr>
    </w:p>
    <w:p w14:paraId="387A30CF" w14:textId="1768EA1C" w:rsidR="00D654A1" w:rsidRDefault="00D654A1" w:rsidP="00B87FB1">
      <w:pPr>
        <w:spacing w:line="276" w:lineRule="auto"/>
        <w:jc w:val="both"/>
        <w:rPr>
          <w:sz w:val="24"/>
        </w:rPr>
      </w:pPr>
    </w:p>
    <w:p w14:paraId="6D292E7D" w14:textId="12B186E0" w:rsidR="00D654A1" w:rsidRPr="000A0032" w:rsidRDefault="00D654A1" w:rsidP="00B87FB1">
      <w:pPr>
        <w:spacing w:line="276" w:lineRule="auto"/>
        <w:jc w:val="both"/>
        <w:rPr>
          <w:sz w:val="24"/>
        </w:rPr>
      </w:pPr>
    </w:p>
    <w:p w14:paraId="069D9FC0" w14:textId="38B6E7AB" w:rsidR="007F3156" w:rsidRPr="007F3156" w:rsidRDefault="007F3156" w:rsidP="007F3156">
      <w:pPr>
        <w:pStyle w:val="Caption"/>
        <w:keepNext/>
        <w:rPr>
          <w:i w:val="0"/>
          <w:sz w:val="22"/>
        </w:rPr>
      </w:pPr>
      <w:r w:rsidRPr="007F3156">
        <w:rPr>
          <w:i w:val="0"/>
          <w:sz w:val="22"/>
        </w:rPr>
        <w:t xml:space="preserve">Table </w:t>
      </w:r>
      <w:r w:rsidRPr="007F3156">
        <w:rPr>
          <w:i w:val="0"/>
          <w:sz w:val="22"/>
        </w:rPr>
        <w:fldChar w:fldCharType="begin"/>
      </w:r>
      <w:r w:rsidRPr="007F3156">
        <w:rPr>
          <w:i w:val="0"/>
          <w:sz w:val="22"/>
        </w:rPr>
        <w:instrText xml:space="preserve"> SEQ Table \* ARABIC </w:instrText>
      </w:r>
      <w:r w:rsidRPr="007F3156">
        <w:rPr>
          <w:i w:val="0"/>
          <w:sz w:val="22"/>
        </w:rPr>
        <w:fldChar w:fldCharType="separate"/>
      </w:r>
      <w:r w:rsidRPr="007F3156">
        <w:rPr>
          <w:i w:val="0"/>
          <w:noProof/>
          <w:sz w:val="22"/>
        </w:rPr>
        <w:t>5</w:t>
      </w:r>
      <w:r w:rsidRPr="007F3156">
        <w:rPr>
          <w:i w:val="0"/>
          <w:sz w:val="22"/>
        </w:rPr>
        <w:fldChar w:fldCharType="end"/>
      </w:r>
      <w:r w:rsidRPr="007F3156">
        <w:rPr>
          <w:i w:val="0"/>
          <w:sz w:val="22"/>
        </w:rPr>
        <w:t>: Different clusters included in the Population Emissions model</w:t>
      </w:r>
    </w:p>
    <w:tbl>
      <w:tblPr>
        <w:tblStyle w:val="GridTable1Light-Accent3"/>
        <w:tblW w:w="9350" w:type="dxa"/>
        <w:tblLook w:val="04A0" w:firstRow="1" w:lastRow="0" w:firstColumn="1" w:lastColumn="0" w:noHBand="0" w:noVBand="1"/>
      </w:tblPr>
      <w:tblGrid>
        <w:gridCol w:w="2084"/>
        <w:gridCol w:w="2480"/>
        <w:gridCol w:w="2575"/>
        <w:gridCol w:w="2211"/>
      </w:tblGrid>
      <w:tr w:rsidR="000447FD" w:rsidRPr="00236487" w14:paraId="4CDE4F60" w14:textId="525510DA" w:rsidTr="00D63022">
        <w:trPr>
          <w:cnfStyle w:val="100000000000" w:firstRow="1" w:lastRow="0" w:firstColumn="0" w:lastColumn="0" w:oddVBand="0" w:evenVBand="0" w:oddHBand="0"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084" w:type="dxa"/>
            <w:shd w:val="clear" w:color="auto" w:fill="C3E0F2" w:themeFill="accent3" w:themeFillTint="33"/>
          </w:tcPr>
          <w:p w14:paraId="16B70FDF" w14:textId="77777777" w:rsidR="000447FD" w:rsidRPr="006228AE" w:rsidRDefault="000447FD" w:rsidP="00A56720">
            <w:pPr>
              <w:jc w:val="both"/>
              <w:rPr>
                <w:sz w:val="24"/>
              </w:rPr>
            </w:pPr>
            <w:r w:rsidRPr="006228AE">
              <w:rPr>
                <w:sz w:val="24"/>
              </w:rPr>
              <w:t>Cluster</w:t>
            </w:r>
          </w:p>
        </w:tc>
        <w:tc>
          <w:tcPr>
            <w:tcW w:w="2480" w:type="dxa"/>
            <w:shd w:val="clear" w:color="auto" w:fill="C3E0F2" w:themeFill="accent3" w:themeFillTint="33"/>
          </w:tcPr>
          <w:p w14:paraId="03EAEE81" w14:textId="77777777" w:rsidR="000447FD" w:rsidRPr="006228AE" w:rsidRDefault="000447FD" w:rsidP="00A56720">
            <w:pPr>
              <w:jc w:val="both"/>
              <w:cnfStyle w:val="100000000000" w:firstRow="1" w:lastRow="0" w:firstColumn="0" w:lastColumn="0" w:oddVBand="0" w:evenVBand="0" w:oddHBand="0" w:evenHBand="0" w:firstRowFirstColumn="0" w:firstRowLastColumn="0" w:lastRowFirstColumn="0" w:lastRowLastColumn="0"/>
              <w:rPr>
                <w:sz w:val="24"/>
              </w:rPr>
            </w:pPr>
            <w:r w:rsidRPr="006228AE">
              <w:rPr>
                <w:sz w:val="24"/>
              </w:rPr>
              <w:t>Functional Unit</w:t>
            </w:r>
          </w:p>
        </w:tc>
        <w:tc>
          <w:tcPr>
            <w:tcW w:w="2575" w:type="dxa"/>
            <w:shd w:val="clear" w:color="auto" w:fill="C3E0F2" w:themeFill="accent3" w:themeFillTint="33"/>
          </w:tcPr>
          <w:p w14:paraId="66CC762B" w14:textId="77777777" w:rsidR="000447FD" w:rsidRPr="006228AE" w:rsidRDefault="000447FD" w:rsidP="00A56720">
            <w:pPr>
              <w:jc w:val="both"/>
              <w:cnfStyle w:val="100000000000" w:firstRow="1" w:lastRow="0" w:firstColumn="0" w:lastColumn="0" w:oddVBand="0" w:evenVBand="0" w:oddHBand="0" w:evenHBand="0" w:firstRowFirstColumn="0" w:firstRowLastColumn="0" w:lastRowFirstColumn="0" w:lastRowLastColumn="0"/>
              <w:rPr>
                <w:sz w:val="24"/>
              </w:rPr>
            </w:pPr>
            <w:r w:rsidRPr="006228AE">
              <w:rPr>
                <w:sz w:val="24"/>
              </w:rPr>
              <w:t>Implementation Unit</w:t>
            </w:r>
          </w:p>
        </w:tc>
        <w:tc>
          <w:tcPr>
            <w:tcW w:w="2211" w:type="dxa"/>
            <w:shd w:val="clear" w:color="auto" w:fill="C3E0F2" w:themeFill="accent3" w:themeFillTint="33"/>
          </w:tcPr>
          <w:p w14:paraId="24745EC7" w14:textId="76D3AD98" w:rsidR="000447FD" w:rsidRPr="006228AE" w:rsidRDefault="000447FD" w:rsidP="00A56720">
            <w:pPr>
              <w:jc w:val="both"/>
              <w:cnfStyle w:val="100000000000" w:firstRow="1" w:lastRow="0" w:firstColumn="0" w:lastColumn="0" w:oddVBand="0" w:evenVBand="0" w:oddHBand="0" w:evenHBand="0" w:firstRowFirstColumn="0" w:firstRowLastColumn="0" w:lastRowFirstColumn="0" w:lastRowLastColumn="0"/>
              <w:rPr>
                <w:sz w:val="24"/>
              </w:rPr>
            </w:pPr>
            <w:r>
              <w:rPr>
                <w:sz w:val="24"/>
              </w:rPr>
              <w:t>Emission factors</w:t>
            </w:r>
          </w:p>
        </w:tc>
      </w:tr>
      <w:tr w:rsidR="000447FD" w:rsidRPr="00236487" w14:paraId="6BCF3DE7" w14:textId="1F64BB22" w:rsidTr="000447FD">
        <w:trPr>
          <w:trHeight w:val="109"/>
        </w:trPr>
        <w:tc>
          <w:tcPr>
            <w:cnfStyle w:val="001000000000" w:firstRow="0" w:lastRow="0" w:firstColumn="1" w:lastColumn="0" w:oddVBand="0" w:evenVBand="0" w:oddHBand="0" w:evenHBand="0" w:firstRowFirstColumn="0" w:firstRowLastColumn="0" w:lastRowFirstColumn="0" w:lastRowLastColumn="0"/>
            <w:tcW w:w="2084" w:type="dxa"/>
          </w:tcPr>
          <w:p w14:paraId="0797E41B" w14:textId="77777777" w:rsidR="000447FD" w:rsidRPr="006228AE" w:rsidRDefault="000447FD" w:rsidP="00A56720">
            <w:pPr>
              <w:rPr>
                <w:b w:val="0"/>
              </w:rPr>
            </w:pPr>
            <w:r w:rsidRPr="006228AE">
              <w:rPr>
                <w:b w:val="0"/>
              </w:rPr>
              <w:t>Electricity generation</w:t>
            </w:r>
          </w:p>
        </w:tc>
        <w:tc>
          <w:tcPr>
            <w:tcW w:w="2480" w:type="dxa"/>
          </w:tcPr>
          <w:p w14:paraId="2000C182"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r w:rsidRPr="00A21849">
              <w:t>Terawatt Hours (TWh) of electricity generated</w:t>
            </w:r>
          </w:p>
        </w:tc>
        <w:tc>
          <w:tcPr>
            <w:tcW w:w="2575" w:type="dxa"/>
          </w:tcPr>
          <w:p w14:paraId="580C52BF"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r w:rsidRPr="00A21849">
              <w:t>Terawatts (TW) of capacity installed</w:t>
            </w:r>
          </w:p>
        </w:tc>
        <w:tc>
          <w:tcPr>
            <w:tcW w:w="2211" w:type="dxa"/>
          </w:tcPr>
          <w:p w14:paraId="766BBBB9" w14:textId="213D0729"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r>
              <w:t>Grid</w:t>
            </w:r>
          </w:p>
        </w:tc>
      </w:tr>
      <w:tr w:rsidR="000447FD" w:rsidRPr="00236487" w14:paraId="3BF78B8C" w14:textId="1E0DA723" w:rsidTr="000447FD">
        <w:trPr>
          <w:trHeight w:val="133"/>
        </w:trPr>
        <w:tc>
          <w:tcPr>
            <w:cnfStyle w:val="001000000000" w:firstRow="0" w:lastRow="0" w:firstColumn="1" w:lastColumn="0" w:oddVBand="0" w:evenVBand="0" w:oddHBand="0" w:evenHBand="0" w:firstRowFirstColumn="0" w:firstRowLastColumn="0" w:lastRowFirstColumn="0" w:lastRowLastColumn="0"/>
            <w:tcW w:w="2084" w:type="dxa"/>
          </w:tcPr>
          <w:p w14:paraId="0886C2EE" w14:textId="77777777" w:rsidR="000447FD" w:rsidRPr="006228AE" w:rsidRDefault="000447FD" w:rsidP="00A56720">
            <w:pPr>
              <w:rPr>
                <w:b w:val="0"/>
              </w:rPr>
            </w:pPr>
            <w:r w:rsidRPr="006228AE">
              <w:rPr>
                <w:b w:val="0"/>
              </w:rPr>
              <w:t>Space Heating</w:t>
            </w:r>
          </w:p>
        </w:tc>
        <w:tc>
          <w:tcPr>
            <w:tcW w:w="2480" w:type="dxa"/>
          </w:tcPr>
          <w:p w14:paraId="14657D36"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p>
        </w:tc>
        <w:tc>
          <w:tcPr>
            <w:tcW w:w="2575" w:type="dxa"/>
          </w:tcPr>
          <w:p w14:paraId="148135BF"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p>
        </w:tc>
        <w:tc>
          <w:tcPr>
            <w:tcW w:w="2211" w:type="dxa"/>
          </w:tcPr>
          <w:p w14:paraId="0CD1B82B" w14:textId="14AE3410" w:rsidR="000447FD" w:rsidRPr="00E15BDB" w:rsidRDefault="00362C88" w:rsidP="00A56720">
            <w:pPr>
              <w:cnfStyle w:val="000000000000" w:firstRow="0" w:lastRow="0" w:firstColumn="0" w:lastColumn="0" w:oddVBand="0" w:evenVBand="0" w:oddHBand="0" w:evenHBand="0" w:firstRowFirstColumn="0" w:firstRowLastColumn="0" w:lastRowFirstColumn="0" w:lastRowLastColumn="0"/>
            </w:pPr>
            <w:r>
              <w:t>Grid + Fuel</w:t>
            </w:r>
          </w:p>
        </w:tc>
      </w:tr>
      <w:tr w:rsidR="000447FD" w:rsidRPr="00236487" w14:paraId="6B0521FC" w14:textId="649303EA" w:rsidTr="000447FD">
        <w:trPr>
          <w:trHeight w:val="255"/>
        </w:trPr>
        <w:tc>
          <w:tcPr>
            <w:cnfStyle w:val="001000000000" w:firstRow="0" w:lastRow="0" w:firstColumn="1" w:lastColumn="0" w:oddVBand="0" w:evenVBand="0" w:oddHBand="0" w:evenHBand="0" w:firstRowFirstColumn="0" w:firstRowLastColumn="0" w:lastRowFirstColumn="0" w:lastRowLastColumn="0"/>
            <w:tcW w:w="2084" w:type="dxa"/>
          </w:tcPr>
          <w:p w14:paraId="22B14550" w14:textId="77777777" w:rsidR="000447FD" w:rsidRPr="006228AE" w:rsidRDefault="000447FD" w:rsidP="00A56720">
            <w:pPr>
              <w:rPr>
                <w:b w:val="0"/>
              </w:rPr>
            </w:pPr>
            <w:r w:rsidRPr="006228AE">
              <w:rPr>
                <w:b w:val="0"/>
              </w:rPr>
              <w:t>Space Cooling</w:t>
            </w:r>
          </w:p>
        </w:tc>
        <w:tc>
          <w:tcPr>
            <w:tcW w:w="2480" w:type="dxa"/>
          </w:tcPr>
          <w:p w14:paraId="3A980069"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p>
        </w:tc>
        <w:tc>
          <w:tcPr>
            <w:tcW w:w="2575" w:type="dxa"/>
          </w:tcPr>
          <w:p w14:paraId="74548F2A"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p>
        </w:tc>
        <w:tc>
          <w:tcPr>
            <w:tcW w:w="2211" w:type="dxa"/>
          </w:tcPr>
          <w:p w14:paraId="770A0DFB" w14:textId="14A4E2D5" w:rsidR="000447FD" w:rsidRPr="00E15BDB" w:rsidRDefault="00362C88" w:rsidP="00A56720">
            <w:pPr>
              <w:cnfStyle w:val="000000000000" w:firstRow="0" w:lastRow="0" w:firstColumn="0" w:lastColumn="0" w:oddVBand="0" w:evenVBand="0" w:oddHBand="0" w:evenHBand="0" w:firstRowFirstColumn="0" w:firstRowLastColumn="0" w:lastRowFirstColumn="0" w:lastRowLastColumn="0"/>
            </w:pPr>
            <w:r>
              <w:t>Grid</w:t>
            </w:r>
          </w:p>
        </w:tc>
      </w:tr>
      <w:tr w:rsidR="000447FD" w:rsidRPr="00236487" w14:paraId="4771071D" w14:textId="57C75E8D"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3EF5B7C2" w14:textId="77777777" w:rsidR="000447FD" w:rsidRPr="006228AE" w:rsidRDefault="000447FD" w:rsidP="00A56720">
            <w:pPr>
              <w:rPr>
                <w:b w:val="0"/>
              </w:rPr>
            </w:pPr>
            <w:r w:rsidRPr="006228AE">
              <w:rPr>
                <w:b w:val="0"/>
              </w:rPr>
              <w:t>Clean cookstoves</w:t>
            </w:r>
          </w:p>
        </w:tc>
        <w:tc>
          <w:tcPr>
            <w:tcW w:w="2480" w:type="dxa"/>
          </w:tcPr>
          <w:p w14:paraId="1257E09E"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p>
        </w:tc>
        <w:tc>
          <w:tcPr>
            <w:tcW w:w="2575" w:type="dxa"/>
          </w:tcPr>
          <w:p w14:paraId="5050D10F"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p>
        </w:tc>
        <w:tc>
          <w:tcPr>
            <w:tcW w:w="2211" w:type="dxa"/>
          </w:tcPr>
          <w:p w14:paraId="1683378B" w14:textId="58757A03" w:rsidR="000447FD" w:rsidRPr="00E15BDB" w:rsidRDefault="00362C88" w:rsidP="00A56720">
            <w:pPr>
              <w:cnfStyle w:val="000000000000" w:firstRow="0" w:lastRow="0" w:firstColumn="0" w:lastColumn="0" w:oddVBand="0" w:evenVBand="0" w:oddHBand="0" w:evenHBand="0" w:firstRowFirstColumn="0" w:firstRowLastColumn="0" w:lastRowFirstColumn="0" w:lastRowLastColumn="0"/>
            </w:pPr>
            <w:r>
              <w:t>Fuel</w:t>
            </w:r>
          </w:p>
        </w:tc>
      </w:tr>
      <w:tr w:rsidR="000447FD" w:rsidRPr="00236487" w14:paraId="2E4DFF7C" w14:textId="42F68DB0" w:rsidTr="000447FD">
        <w:trPr>
          <w:trHeight w:val="347"/>
        </w:trPr>
        <w:tc>
          <w:tcPr>
            <w:cnfStyle w:val="001000000000" w:firstRow="0" w:lastRow="0" w:firstColumn="1" w:lastColumn="0" w:oddVBand="0" w:evenVBand="0" w:oddHBand="0" w:evenHBand="0" w:firstRowFirstColumn="0" w:firstRowLastColumn="0" w:lastRowFirstColumn="0" w:lastRowLastColumn="0"/>
            <w:tcW w:w="2084" w:type="dxa"/>
          </w:tcPr>
          <w:p w14:paraId="562AB522" w14:textId="77777777" w:rsidR="000447FD" w:rsidRPr="006228AE" w:rsidRDefault="000447FD" w:rsidP="00A56720">
            <w:pPr>
              <w:rPr>
                <w:b w:val="0"/>
              </w:rPr>
            </w:pPr>
            <w:r w:rsidRPr="006228AE">
              <w:rPr>
                <w:b w:val="0"/>
              </w:rPr>
              <w:t>Commercial lighting</w:t>
            </w:r>
          </w:p>
        </w:tc>
        <w:tc>
          <w:tcPr>
            <w:tcW w:w="2480" w:type="dxa"/>
          </w:tcPr>
          <w:p w14:paraId="53919D46"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r w:rsidRPr="00A21849">
              <w:t xml:space="preserve">Petalumen-hours of LED Lighting </w:t>
            </w:r>
          </w:p>
        </w:tc>
        <w:tc>
          <w:tcPr>
            <w:tcW w:w="2575" w:type="dxa"/>
          </w:tcPr>
          <w:p w14:paraId="144B782C"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r w:rsidRPr="00A21849">
              <w:t xml:space="preserve">Petalumens of LED Lighting installed </w:t>
            </w:r>
          </w:p>
        </w:tc>
        <w:tc>
          <w:tcPr>
            <w:tcW w:w="2211" w:type="dxa"/>
          </w:tcPr>
          <w:p w14:paraId="07A669A4" w14:textId="4D4AD94D" w:rsidR="000447FD" w:rsidRPr="00A21849" w:rsidRDefault="00362C88" w:rsidP="00A56720">
            <w:pPr>
              <w:cnfStyle w:val="000000000000" w:firstRow="0" w:lastRow="0" w:firstColumn="0" w:lastColumn="0" w:oddVBand="0" w:evenVBand="0" w:oddHBand="0" w:evenHBand="0" w:firstRowFirstColumn="0" w:firstRowLastColumn="0" w:lastRowFirstColumn="0" w:lastRowLastColumn="0"/>
            </w:pPr>
            <w:r>
              <w:t>Grid + Fuel</w:t>
            </w:r>
          </w:p>
        </w:tc>
      </w:tr>
      <w:tr w:rsidR="000447FD" w:rsidRPr="00236487" w14:paraId="45D3BC9E" w14:textId="162F5DBF"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014F072D" w14:textId="77777777" w:rsidR="000447FD" w:rsidRPr="006228AE" w:rsidRDefault="000447FD" w:rsidP="00A56720">
            <w:pPr>
              <w:rPr>
                <w:b w:val="0"/>
              </w:rPr>
            </w:pPr>
            <w:r w:rsidRPr="006228AE">
              <w:rPr>
                <w:b w:val="0"/>
              </w:rPr>
              <w:t>Residential lighting</w:t>
            </w:r>
          </w:p>
        </w:tc>
        <w:tc>
          <w:tcPr>
            <w:tcW w:w="2480" w:type="dxa"/>
          </w:tcPr>
          <w:p w14:paraId="6B2608BD"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r w:rsidRPr="00A21849">
              <w:t xml:space="preserve">Petalumen-hours of LED Lighting </w:t>
            </w:r>
          </w:p>
        </w:tc>
        <w:tc>
          <w:tcPr>
            <w:tcW w:w="2575" w:type="dxa"/>
          </w:tcPr>
          <w:p w14:paraId="2D2A2B81"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r w:rsidRPr="00A21849">
              <w:t xml:space="preserve">Petalumens of LED Lighting installed </w:t>
            </w:r>
          </w:p>
        </w:tc>
        <w:tc>
          <w:tcPr>
            <w:tcW w:w="2211" w:type="dxa"/>
          </w:tcPr>
          <w:p w14:paraId="322C1F76" w14:textId="346CA17B" w:rsidR="000447FD" w:rsidRPr="00A21849" w:rsidRDefault="00362C88" w:rsidP="00A56720">
            <w:pPr>
              <w:cnfStyle w:val="000000000000" w:firstRow="0" w:lastRow="0" w:firstColumn="0" w:lastColumn="0" w:oddVBand="0" w:evenVBand="0" w:oddHBand="0" w:evenHBand="0" w:firstRowFirstColumn="0" w:firstRowLastColumn="0" w:lastRowFirstColumn="0" w:lastRowLastColumn="0"/>
            </w:pPr>
            <w:r>
              <w:t>Grid + Fuel</w:t>
            </w:r>
          </w:p>
        </w:tc>
      </w:tr>
      <w:tr w:rsidR="000447FD" w:rsidRPr="00236487" w14:paraId="16C5FDFB" w14:textId="61BFB8BF"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66F7E18C" w14:textId="77777777" w:rsidR="000447FD" w:rsidRPr="006228AE" w:rsidRDefault="000447FD" w:rsidP="00A56720">
            <w:pPr>
              <w:rPr>
                <w:b w:val="0"/>
              </w:rPr>
            </w:pPr>
            <w:r w:rsidRPr="006228AE">
              <w:rPr>
                <w:b w:val="0"/>
              </w:rPr>
              <w:t>Water heating</w:t>
            </w:r>
          </w:p>
        </w:tc>
        <w:tc>
          <w:tcPr>
            <w:tcW w:w="2480" w:type="dxa"/>
          </w:tcPr>
          <w:p w14:paraId="376971E3"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p>
        </w:tc>
        <w:tc>
          <w:tcPr>
            <w:tcW w:w="2575" w:type="dxa"/>
          </w:tcPr>
          <w:p w14:paraId="6342DA85"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p>
        </w:tc>
        <w:tc>
          <w:tcPr>
            <w:tcW w:w="2211" w:type="dxa"/>
          </w:tcPr>
          <w:p w14:paraId="131F7126" w14:textId="7A286A9F" w:rsidR="000447FD" w:rsidRPr="00E15BDB" w:rsidRDefault="00362C88" w:rsidP="00A56720">
            <w:pPr>
              <w:cnfStyle w:val="000000000000" w:firstRow="0" w:lastRow="0" w:firstColumn="0" w:lastColumn="0" w:oddVBand="0" w:evenVBand="0" w:oddHBand="0" w:evenHBand="0" w:firstRowFirstColumn="0" w:firstRowLastColumn="0" w:lastRowFirstColumn="0" w:lastRowLastColumn="0"/>
            </w:pPr>
            <w:r>
              <w:t>Grid + Fuel</w:t>
            </w:r>
          </w:p>
        </w:tc>
      </w:tr>
      <w:tr w:rsidR="000447FD" w:rsidRPr="00236487" w14:paraId="71E94043" w14:textId="384478A6" w:rsidTr="000447FD">
        <w:trPr>
          <w:trHeight w:val="354"/>
        </w:trPr>
        <w:tc>
          <w:tcPr>
            <w:cnfStyle w:val="001000000000" w:firstRow="0" w:lastRow="0" w:firstColumn="1" w:lastColumn="0" w:oddVBand="0" w:evenVBand="0" w:oddHBand="0" w:evenHBand="0" w:firstRowFirstColumn="0" w:firstRowLastColumn="0" w:lastRowFirstColumn="0" w:lastRowLastColumn="0"/>
            <w:tcW w:w="2084" w:type="dxa"/>
          </w:tcPr>
          <w:p w14:paraId="44AD3B9C" w14:textId="77777777" w:rsidR="000447FD" w:rsidRPr="006228AE" w:rsidRDefault="000447FD" w:rsidP="00A56720">
            <w:pPr>
              <w:rPr>
                <w:b w:val="0"/>
              </w:rPr>
            </w:pPr>
            <w:r w:rsidRPr="006228AE">
              <w:rPr>
                <w:b w:val="0"/>
              </w:rPr>
              <w:t>Paper- water heating</w:t>
            </w:r>
          </w:p>
        </w:tc>
        <w:tc>
          <w:tcPr>
            <w:tcW w:w="2480" w:type="dxa"/>
          </w:tcPr>
          <w:p w14:paraId="2AA658B9"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p>
        </w:tc>
        <w:tc>
          <w:tcPr>
            <w:tcW w:w="2575" w:type="dxa"/>
          </w:tcPr>
          <w:p w14:paraId="4AA6892C"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p>
        </w:tc>
        <w:tc>
          <w:tcPr>
            <w:tcW w:w="2211" w:type="dxa"/>
          </w:tcPr>
          <w:p w14:paraId="35D55AD6" w14:textId="3DDA53E1" w:rsidR="000447FD" w:rsidRPr="00E15BDB" w:rsidRDefault="00362C88" w:rsidP="00362C88">
            <w:pPr>
              <w:cnfStyle w:val="000000000000" w:firstRow="0" w:lastRow="0" w:firstColumn="0" w:lastColumn="0" w:oddVBand="0" w:evenVBand="0" w:oddHBand="0" w:evenHBand="0" w:firstRowFirstColumn="0" w:firstRowLastColumn="0" w:lastRowFirstColumn="0" w:lastRowLastColumn="0"/>
            </w:pPr>
            <w:r>
              <w:t>Other direct + indirect</w:t>
            </w:r>
          </w:p>
        </w:tc>
      </w:tr>
      <w:tr w:rsidR="000447FD" w:rsidRPr="00236487" w14:paraId="0F4598A2" w14:textId="550A981C"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1C533E08" w14:textId="77777777" w:rsidR="000447FD" w:rsidRPr="006228AE" w:rsidRDefault="000447FD" w:rsidP="00A56720">
            <w:pPr>
              <w:rPr>
                <w:b w:val="0"/>
              </w:rPr>
            </w:pPr>
            <w:r w:rsidRPr="006228AE">
              <w:rPr>
                <w:b w:val="0"/>
              </w:rPr>
              <w:t>Water</w:t>
            </w:r>
          </w:p>
        </w:tc>
        <w:tc>
          <w:tcPr>
            <w:tcW w:w="2480" w:type="dxa"/>
          </w:tcPr>
          <w:p w14:paraId="76089F44"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p>
        </w:tc>
        <w:tc>
          <w:tcPr>
            <w:tcW w:w="2575" w:type="dxa"/>
          </w:tcPr>
          <w:p w14:paraId="43D2F674"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p>
        </w:tc>
        <w:tc>
          <w:tcPr>
            <w:tcW w:w="2211" w:type="dxa"/>
          </w:tcPr>
          <w:p w14:paraId="127A583F" w14:textId="5DDFC691" w:rsidR="000447FD" w:rsidRPr="00E15BDB" w:rsidRDefault="00362C88" w:rsidP="00A56720">
            <w:pPr>
              <w:cnfStyle w:val="000000000000" w:firstRow="0" w:lastRow="0" w:firstColumn="0" w:lastColumn="0" w:oddVBand="0" w:evenVBand="0" w:oddHBand="0" w:evenHBand="0" w:firstRowFirstColumn="0" w:firstRowLastColumn="0" w:lastRowFirstColumn="0" w:lastRowLastColumn="0"/>
            </w:pPr>
            <w:r>
              <w:t>Grid</w:t>
            </w:r>
          </w:p>
        </w:tc>
      </w:tr>
      <w:tr w:rsidR="000447FD" w:rsidRPr="007F3156" w14:paraId="588F8C19" w14:textId="7A9815D7"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7BFD462E" w14:textId="77777777" w:rsidR="000447FD" w:rsidRPr="006228AE" w:rsidRDefault="000447FD" w:rsidP="00A56720">
            <w:pPr>
              <w:rPr>
                <w:b w:val="0"/>
              </w:rPr>
            </w:pPr>
            <w:r w:rsidRPr="006228AE">
              <w:rPr>
                <w:b w:val="0"/>
              </w:rPr>
              <w:t>Plastics</w:t>
            </w:r>
          </w:p>
        </w:tc>
        <w:tc>
          <w:tcPr>
            <w:tcW w:w="2480" w:type="dxa"/>
          </w:tcPr>
          <w:p w14:paraId="7558B1ED" w14:textId="77777777" w:rsidR="000447FD" w:rsidRPr="00A21849" w:rsidRDefault="000447FD" w:rsidP="00A56720">
            <w:pPr>
              <w:cnfStyle w:val="000000000000" w:firstRow="0" w:lastRow="0" w:firstColumn="0" w:lastColumn="0" w:oddVBand="0" w:evenVBand="0" w:oddHBand="0" w:evenHBand="0" w:firstRowFirstColumn="0" w:firstRowLastColumn="0" w:lastRowFirstColumn="0" w:lastRowLastColumn="0"/>
            </w:pPr>
          </w:p>
        </w:tc>
        <w:tc>
          <w:tcPr>
            <w:tcW w:w="2575" w:type="dxa"/>
          </w:tcPr>
          <w:p w14:paraId="66AEBCD8" w14:textId="77777777" w:rsidR="000447FD" w:rsidRPr="00E15BDB" w:rsidRDefault="000447FD" w:rsidP="00A56720">
            <w:pPr>
              <w:cnfStyle w:val="000000000000" w:firstRow="0" w:lastRow="0" w:firstColumn="0" w:lastColumn="0" w:oddVBand="0" w:evenVBand="0" w:oddHBand="0" w:evenHBand="0" w:firstRowFirstColumn="0" w:firstRowLastColumn="0" w:lastRowFirstColumn="0" w:lastRowLastColumn="0"/>
            </w:pPr>
          </w:p>
        </w:tc>
        <w:tc>
          <w:tcPr>
            <w:tcW w:w="2211" w:type="dxa"/>
          </w:tcPr>
          <w:p w14:paraId="378AD8B6" w14:textId="024D087A" w:rsidR="000447FD" w:rsidRPr="00E15BDB" w:rsidRDefault="00362C88" w:rsidP="00A56720">
            <w:pPr>
              <w:cnfStyle w:val="000000000000" w:firstRow="0" w:lastRow="0" w:firstColumn="0" w:lastColumn="0" w:oddVBand="0" w:evenVBand="0" w:oddHBand="0" w:evenHBand="0" w:firstRowFirstColumn="0" w:firstRowLastColumn="0" w:lastRowFirstColumn="0" w:lastRowLastColumn="0"/>
            </w:pPr>
            <w:r>
              <w:t>Other direct</w:t>
            </w:r>
          </w:p>
        </w:tc>
      </w:tr>
      <w:tr w:rsidR="00D63022" w:rsidRPr="00236487" w14:paraId="25A0A46A" w14:textId="64A87E7B"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15FE8EED" w14:textId="0F646BD7" w:rsidR="00D63022" w:rsidRPr="006228AE" w:rsidRDefault="00D63022" w:rsidP="00D63022">
            <w:pPr>
              <w:rPr>
                <w:b w:val="0"/>
              </w:rPr>
            </w:pPr>
            <w:r>
              <w:rPr>
                <w:b w:val="0"/>
              </w:rPr>
              <w:t>Transportation*</w:t>
            </w:r>
          </w:p>
        </w:tc>
        <w:tc>
          <w:tcPr>
            <w:tcW w:w="2480" w:type="dxa"/>
          </w:tcPr>
          <w:p w14:paraId="48761E3B" w14:textId="77777777" w:rsidR="00D63022" w:rsidRPr="00A21849" w:rsidRDefault="00D63022" w:rsidP="00D63022">
            <w:pPr>
              <w:cnfStyle w:val="000000000000" w:firstRow="0" w:lastRow="0" w:firstColumn="0" w:lastColumn="0" w:oddVBand="0" w:evenVBand="0" w:oddHBand="0" w:evenHBand="0" w:firstRowFirstColumn="0" w:firstRowLastColumn="0" w:lastRowFirstColumn="0" w:lastRowLastColumn="0"/>
            </w:pPr>
            <w:r w:rsidRPr="00A21849">
              <w:t>Passenger kilometers (pkm) traveled</w:t>
            </w:r>
          </w:p>
        </w:tc>
        <w:tc>
          <w:tcPr>
            <w:tcW w:w="2575" w:type="dxa"/>
          </w:tcPr>
          <w:p w14:paraId="76729A91"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r w:rsidRPr="00A21849">
              <w:t>Number of vehicles in use</w:t>
            </w:r>
          </w:p>
        </w:tc>
        <w:tc>
          <w:tcPr>
            <w:tcW w:w="2211" w:type="dxa"/>
          </w:tcPr>
          <w:p w14:paraId="2F090FA6" w14:textId="7B352E84" w:rsidR="00D63022" w:rsidRPr="00A21849" w:rsidRDefault="00D63022" w:rsidP="00D63022">
            <w:pPr>
              <w:cnfStyle w:val="000000000000" w:firstRow="0" w:lastRow="0" w:firstColumn="0" w:lastColumn="0" w:oddVBand="0" w:evenVBand="0" w:oddHBand="0" w:evenHBand="0" w:firstRowFirstColumn="0" w:firstRowLastColumn="0" w:lastRowFirstColumn="0" w:lastRowLastColumn="0"/>
            </w:pPr>
            <w:r>
              <w:t>Grid + Fuel</w:t>
            </w:r>
          </w:p>
        </w:tc>
      </w:tr>
      <w:tr w:rsidR="00D63022" w:rsidRPr="00236487" w14:paraId="6C1D639D" w14:textId="09AA1A6A"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1ED0342D" w14:textId="2FAFCDA5" w:rsidR="00D63022" w:rsidRPr="006228AE" w:rsidRDefault="00D63022" w:rsidP="00D63022">
            <w:pPr>
              <w:rPr>
                <w:b w:val="0"/>
              </w:rPr>
            </w:pPr>
            <w:r w:rsidRPr="006228AE">
              <w:rPr>
                <w:b w:val="0"/>
              </w:rPr>
              <w:t>Nautical freight</w:t>
            </w:r>
            <w:r>
              <w:rPr>
                <w:b w:val="0"/>
              </w:rPr>
              <w:t>*</w:t>
            </w:r>
          </w:p>
        </w:tc>
        <w:tc>
          <w:tcPr>
            <w:tcW w:w="2480" w:type="dxa"/>
          </w:tcPr>
          <w:p w14:paraId="0AB0D0DE" w14:textId="77777777" w:rsidR="00D63022" w:rsidRPr="00A21849" w:rsidRDefault="00D63022" w:rsidP="00D63022">
            <w:pPr>
              <w:cnfStyle w:val="000000000000" w:firstRow="0" w:lastRow="0" w:firstColumn="0" w:lastColumn="0" w:oddVBand="0" w:evenVBand="0" w:oddHBand="0" w:evenHBand="0" w:firstRowFirstColumn="0" w:firstRowLastColumn="0" w:lastRowFirstColumn="0" w:lastRowLastColumn="0"/>
            </w:pPr>
          </w:p>
        </w:tc>
        <w:tc>
          <w:tcPr>
            <w:tcW w:w="2575" w:type="dxa"/>
          </w:tcPr>
          <w:p w14:paraId="3C498919"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p>
        </w:tc>
        <w:tc>
          <w:tcPr>
            <w:tcW w:w="2211" w:type="dxa"/>
          </w:tcPr>
          <w:p w14:paraId="5DC41671" w14:textId="06E6484A"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r>
              <w:t>Fuel</w:t>
            </w:r>
          </w:p>
        </w:tc>
      </w:tr>
      <w:tr w:rsidR="00D63022" w:rsidRPr="00236487" w14:paraId="4CE1B5C9" w14:textId="469DE742"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3E836E94" w14:textId="0AD5FDAC" w:rsidR="00D63022" w:rsidRPr="006228AE" w:rsidRDefault="00D63022" w:rsidP="00D63022">
            <w:pPr>
              <w:rPr>
                <w:b w:val="0"/>
              </w:rPr>
            </w:pPr>
            <w:r w:rsidRPr="006228AE">
              <w:rPr>
                <w:b w:val="0"/>
              </w:rPr>
              <w:t>Ground freight</w:t>
            </w:r>
            <w:r>
              <w:rPr>
                <w:b w:val="0"/>
              </w:rPr>
              <w:t>*</w:t>
            </w:r>
          </w:p>
        </w:tc>
        <w:tc>
          <w:tcPr>
            <w:tcW w:w="2480" w:type="dxa"/>
          </w:tcPr>
          <w:p w14:paraId="5852005C"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r>
              <w:t xml:space="preserve">Ground freight transported (billion tonnes/km) </w:t>
            </w:r>
          </w:p>
        </w:tc>
        <w:tc>
          <w:tcPr>
            <w:tcW w:w="2575" w:type="dxa"/>
          </w:tcPr>
          <w:p w14:paraId="5CE4B431"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p>
        </w:tc>
        <w:tc>
          <w:tcPr>
            <w:tcW w:w="2211" w:type="dxa"/>
          </w:tcPr>
          <w:p w14:paraId="32BDB2A2" w14:textId="4298C03B"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r>
              <w:t>Fuel</w:t>
            </w:r>
          </w:p>
        </w:tc>
      </w:tr>
      <w:tr w:rsidR="00D63022" w:rsidRPr="00236487" w14:paraId="60EE0CB2" w14:textId="327ABAA8"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0A07AEC6" w14:textId="639C985B" w:rsidR="00D63022" w:rsidRPr="006228AE" w:rsidRDefault="00D63022" w:rsidP="00D63022">
            <w:pPr>
              <w:rPr>
                <w:b w:val="0"/>
              </w:rPr>
            </w:pPr>
            <w:r w:rsidRPr="006228AE">
              <w:rPr>
                <w:b w:val="0"/>
              </w:rPr>
              <w:t>Air km</w:t>
            </w:r>
            <w:r>
              <w:rPr>
                <w:b w:val="0"/>
              </w:rPr>
              <w:t>*</w:t>
            </w:r>
          </w:p>
        </w:tc>
        <w:tc>
          <w:tcPr>
            <w:tcW w:w="2480" w:type="dxa"/>
          </w:tcPr>
          <w:p w14:paraId="208BAECB"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p>
        </w:tc>
        <w:tc>
          <w:tcPr>
            <w:tcW w:w="2575" w:type="dxa"/>
          </w:tcPr>
          <w:p w14:paraId="29BD5EE4"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p>
        </w:tc>
        <w:tc>
          <w:tcPr>
            <w:tcW w:w="2211" w:type="dxa"/>
          </w:tcPr>
          <w:p w14:paraId="295795A6" w14:textId="5656A350"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r>
              <w:t>Fuel</w:t>
            </w:r>
          </w:p>
        </w:tc>
      </w:tr>
      <w:tr w:rsidR="00D63022" w:rsidRPr="00236487" w14:paraId="4CA07EBD" w14:textId="2014DA3F" w:rsidTr="000447FD">
        <w:trPr>
          <w:trHeight w:val="237"/>
        </w:trPr>
        <w:tc>
          <w:tcPr>
            <w:cnfStyle w:val="001000000000" w:firstRow="0" w:lastRow="0" w:firstColumn="1" w:lastColumn="0" w:oddVBand="0" w:evenVBand="0" w:oddHBand="0" w:evenHBand="0" w:firstRowFirstColumn="0" w:firstRowLastColumn="0" w:lastRowFirstColumn="0" w:lastRowLastColumn="0"/>
            <w:tcW w:w="2084" w:type="dxa"/>
          </w:tcPr>
          <w:p w14:paraId="2769E786" w14:textId="77777777" w:rsidR="00D63022" w:rsidRPr="006228AE" w:rsidRDefault="00D63022" w:rsidP="00D63022">
            <w:pPr>
              <w:rPr>
                <w:b w:val="0"/>
              </w:rPr>
            </w:pPr>
            <w:r w:rsidRPr="006228AE">
              <w:rPr>
                <w:b w:val="0"/>
              </w:rPr>
              <w:t>Food demand</w:t>
            </w:r>
          </w:p>
        </w:tc>
        <w:tc>
          <w:tcPr>
            <w:tcW w:w="2480" w:type="dxa"/>
          </w:tcPr>
          <w:p w14:paraId="53DD57D5"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p>
        </w:tc>
        <w:tc>
          <w:tcPr>
            <w:tcW w:w="2575" w:type="dxa"/>
          </w:tcPr>
          <w:p w14:paraId="6D7F6DB4"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p>
        </w:tc>
        <w:tc>
          <w:tcPr>
            <w:tcW w:w="2211" w:type="dxa"/>
          </w:tcPr>
          <w:p w14:paraId="5B056DAA" w14:textId="77777777" w:rsidR="00D63022" w:rsidRPr="00E15BDB" w:rsidRDefault="00D63022" w:rsidP="00D63022">
            <w:pPr>
              <w:cnfStyle w:val="000000000000" w:firstRow="0" w:lastRow="0" w:firstColumn="0" w:lastColumn="0" w:oddVBand="0" w:evenVBand="0" w:oddHBand="0" w:evenHBand="0" w:firstRowFirstColumn="0" w:firstRowLastColumn="0" w:lastRowFirstColumn="0" w:lastRowLastColumn="0"/>
            </w:pPr>
          </w:p>
        </w:tc>
      </w:tr>
    </w:tbl>
    <w:p w14:paraId="3CAC00EF" w14:textId="6434F49D" w:rsidR="00B87FB1" w:rsidRPr="00362C88" w:rsidRDefault="0019275B" w:rsidP="0019275B">
      <w:pPr>
        <w:spacing w:line="276" w:lineRule="auto"/>
        <w:rPr>
          <w:rFonts w:eastAsiaTheme="majorEastAsia" w:cstheme="majorBidi"/>
          <w:sz w:val="20"/>
        </w:rPr>
      </w:pPr>
      <w:r w:rsidRPr="00362C88">
        <w:rPr>
          <w:rFonts w:eastAsiaTheme="majorEastAsia" w:cstheme="majorBidi"/>
          <w:sz w:val="20"/>
        </w:rPr>
        <w:t>* IEA regional classifications used as a proxy for IPCC regions due to the absence of IPCC regional data for these clusters</w:t>
      </w:r>
    </w:p>
    <w:p w14:paraId="5A13D59A" w14:textId="271FA77D" w:rsidR="00B87FB1" w:rsidRPr="006248E6" w:rsidRDefault="00B87FB1" w:rsidP="00B87FB1">
      <w:pPr>
        <w:pStyle w:val="Heading3"/>
      </w:pPr>
      <w:bookmarkStart w:id="57" w:name="_Toc71702093"/>
      <w:bookmarkStart w:id="58" w:name="_Toc74154056"/>
      <w:r w:rsidRPr="006248E6">
        <w:t>Adoption Scenarios</w:t>
      </w:r>
      <w:bookmarkEnd w:id="57"/>
      <w:r w:rsidRPr="006248E6">
        <w:t xml:space="preserve"> </w:t>
      </w:r>
      <w:r w:rsidR="00AC3D79">
        <w:t>for population</w:t>
      </w:r>
      <w:bookmarkEnd w:id="58"/>
      <w:r w:rsidR="00AC3D79">
        <w:t xml:space="preserve"> </w:t>
      </w:r>
    </w:p>
    <w:p w14:paraId="45F64E8F" w14:textId="78F8FEAE" w:rsidR="00B87FB1" w:rsidRPr="00BF048C" w:rsidRDefault="00B87FB1" w:rsidP="00B87FB1">
      <w:pPr>
        <w:spacing w:line="276" w:lineRule="auto"/>
        <w:jc w:val="both"/>
        <w:rPr>
          <w:sz w:val="24"/>
        </w:rPr>
      </w:pPr>
      <w:r w:rsidRPr="002B4DF1">
        <w:rPr>
          <w:sz w:val="24"/>
        </w:rPr>
        <w:t>Individual adoption scenarios f</w:t>
      </w:r>
      <w:r>
        <w:rPr>
          <w:sz w:val="24"/>
        </w:rPr>
        <w:t xml:space="preserve">or family planning uptake or universal educational attainment </w:t>
      </w:r>
      <w:r w:rsidRPr="002B4DF1">
        <w:rPr>
          <w:sz w:val="24"/>
        </w:rPr>
        <w:t xml:space="preserve">were not developed due to a lack of existing prognostications from external sources. </w:t>
      </w:r>
      <w:r>
        <w:rPr>
          <w:sz w:val="24"/>
        </w:rPr>
        <w:t>Additionally</w:t>
      </w:r>
      <w:r w:rsidRPr="002B4DF1">
        <w:rPr>
          <w:sz w:val="24"/>
        </w:rPr>
        <w:t xml:space="preserve">, the high variability between different population change measures in terms of location, implementation, and scale prevent accurate estimations of adoption required for this analysis. Instead, </w:t>
      </w:r>
      <w:r w:rsidR="0052424B">
        <w:rPr>
          <w:sz w:val="24"/>
        </w:rPr>
        <w:t>the</w:t>
      </w:r>
      <w:r w:rsidR="0052424B" w:rsidRPr="00BF048C">
        <w:rPr>
          <w:sz w:val="24"/>
        </w:rPr>
        <w:t xml:space="preserve"> </w:t>
      </w:r>
      <w:r w:rsidRPr="00BF048C">
        <w:rPr>
          <w:sz w:val="24"/>
        </w:rPr>
        <w:t xml:space="preserve">analysis </w:t>
      </w:r>
      <w:r>
        <w:rPr>
          <w:sz w:val="24"/>
        </w:rPr>
        <w:t>in this section presents a few adoption scenarios for fertility changes and population shifts over time that occur as a result of the adoption of family planning and universal education. For this, we adopt</w:t>
      </w:r>
      <w:r w:rsidRPr="00BF048C">
        <w:rPr>
          <w:sz w:val="24"/>
        </w:rPr>
        <w:t xml:space="preserve"> a blend of the latest UN 2019 </w:t>
      </w:r>
      <w:r>
        <w:rPr>
          <w:sz w:val="24"/>
        </w:rPr>
        <w:t xml:space="preserve">estimates for </w:t>
      </w:r>
      <w:r w:rsidRPr="00BF048C">
        <w:rPr>
          <w:sz w:val="24"/>
        </w:rPr>
        <w:t xml:space="preserve">High, Medium, Constant and Low </w:t>
      </w:r>
      <w:r>
        <w:rPr>
          <w:sz w:val="24"/>
        </w:rPr>
        <w:t xml:space="preserve">Population </w:t>
      </w:r>
      <w:r w:rsidRPr="00BF048C">
        <w:rPr>
          <w:sz w:val="24"/>
        </w:rPr>
        <w:t>Variants, depending</w:t>
      </w:r>
      <w:r w:rsidR="00AC3D79">
        <w:rPr>
          <w:sz w:val="24"/>
        </w:rPr>
        <w:t xml:space="preserve"> on the NRR </w:t>
      </w:r>
      <w:r w:rsidRPr="00BF048C">
        <w:rPr>
          <w:sz w:val="24"/>
        </w:rPr>
        <w:t xml:space="preserve">and economic status of countries. </w:t>
      </w:r>
    </w:p>
    <w:p w14:paraId="1530A715" w14:textId="471D292C" w:rsidR="00B87FB1" w:rsidRPr="00BF048C" w:rsidRDefault="00B87FB1" w:rsidP="00B87FB1">
      <w:pPr>
        <w:spacing w:line="276" w:lineRule="auto"/>
        <w:jc w:val="both"/>
        <w:rPr>
          <w:sz w:val="24"/>
        </w:rPr>
      </w:pPr>
      <w:r w:rsidRPr="00BF048C">
        <w:rPr>
          <w:sz w:val="24"/>
        </w:rPr>
        <w:t>Countries are classified as high, intermediate or low-fertility based on their net reproduction rate (NRR) in 2020. NRR measures the average number of daughters that would be born to a female if she passed through her lifetime conforming to the age-specific fertility and mortality rates of a given ye</w:t>
      </w:r>
      <w:r w:rsidR="009E785E">
        <w:rPr>
          <w:sz w:val="24"/>
        </w:rPr>
        <w:t>ar in her country of residence.</w:t>
      </w:r>
      <w:r w:rsidR="00AC3D79">
        <w:rPr>
          <w:sz w:val="24"/>
        </w:rPr>
        <w:t xml:space="preserve"> </w:t>
      </w:r>
      <w:r w:rsidRPr="00BF048C">
        <w:rPr>
          <w:sz w:val="24"/>
        </w:rPr>
        <w:t xml:space="preserve">When NRR=1, fertility is at replacement level given the mortality prevalent at the moment.  Low-fertility countries therefore have an NRR &lt; 1, that is, countries that already have below-replacement fertility. High-fertility countries are defined as those with an NRR </w:t>
      </w:r>
      <w:r w:rsidRPr="00BF048C">
        <w:rPr>
          <w:rFonts w:cstheme="minorHAnsi"/>
          <w:sz w:val="24"/>
        </w:rPr>
        <w:t>≥</w:t>
      </w:r>
      <w:r w:rsidRPr="00BF048C">
        <w:rPr>
          <w:sz w:val="24"/>
        </w:rPr>
        <w:t xml:space="preserve"> 1.5 children per woman, given that rate yields an increase of 50% each generation, holding fertility and mortality constant. The rest (NRR &gt;1 and &lt;1.5) are called “intermediate-fertility countries”. Table </w:t>
      </w:r>
      <w:r>
        <w:rPr>
          <w:sz w:val="24"/>
        </w:rPr>
        <w:t>5</w:t>
      </w:r>
      <w:r w:rsidRPr="00BF048C">
        <w:rPr>
          <w:sz w:val="24"/>
        </w:rPr>
        <w:t xml:space="preserve"> shows the classification of countries according to NRR according to UN Population Division’s 2019 revision.</w:t>
      </w:r>
    </w:p>
    <w:p w14:paraId="4B28394B" w14:textId="77777777" w:rsidR="00AC3D79" w:rsidRDefault="00B87FB1" w:rsidP="00B87FB1">
      <w:pPr>
        <w:spacing w:line="276" w:lineRule="auto"/>
        <w:jc w:val="both"/>
        <w:rPr>
          <w:sz w:val="24"/>
        </w:rPr>
      </w:pPr>
      <w:r w:rsidRPr="00BF048C">
        <w:rPr>
          <w:sz w:val="24"/>
        </w:rPr>
        <w:t xml:space="preserve">Impacts of increased adoption of education and family planning from 2020-2060 </w:t>
      </w:r>
      <w:r>
        <w:rPr>
          <w:sz w:val="24"/>
        </w:rPr>
        <w:t>are</w:t>
      </w:r>
      <w:r w:rsidRPr="00BF048C">
        <w:rPr>
          <w:sz w:val="24"/>
        </w:rPr>
        <w:t xml:space="preserve"> generated based on </w:t>
      </w:r>
      <w:r w:rsidR="00307FF4">
        <w:rPr>
          <w:sz w:val="24"/>
        </w:rPr>
        <w:t>three</w:t>
      </w:r>
      <w:r w:rsidRPr="00BF048C">
        <w:rPr>
          <w:sz w:val="24"/>
        </w:rPr>
        <w:t xml:space="preserve"> growth scenarios, which is assessed in comparison to a reference scenario </w:t>
      </w:r>
      <w:r w:rsidR="00AC3D79">
        <w:rPr>
          <w:sz w:val="24"/>
        </w:rPr>
        <w:t xml:space="preserve">(REF 1) </w:t>
      </w:r>
      <w:r w:rsidRPr="00BF048C">
        <w:rPr>
          <w:sz w:val="24"/>
        </w:rPr>
        <w:t>where there is minimal increased adoption of education and family planning</w:t>
      </w:r>
      <w:r w:rsidR="00AC3D79" w:rsidRPr="00AC3D79">
        <w:rPr>
          <w:sz w:val="24"/>
        </w:rPr>
        <w:t xml:space="preserve"> </w:t>
      </w:r>
      <w:r w:rsidR="00AC3D79">
        <w:rPr>
          <w:sz w:val="24"/>
        </w:rPr>
        <w:t>. A combination of the</w:t>
      </w:r>
      <w:r w:rsidR="00AC3D79" w:rsidRPr="00BF048C">
        <w:rPr>
          <w:sz w:val="24"/>
        </w:rPr>
        <w:t xml:space="preserve"> high</w:t>
      </w:r>
      <w:r w:rsidR="00AC3D79">
        <w:rPr>
          <w:sz w:val="24"/>
        </w:rPr>
        <w:t xml:space="preserve"> and constant</w:t>
      </w:r>
      <w:r w:rsidR="00AC3D79" w:rsidRPr="00BF048C">
        <w:rPr>
          <w:sz w:val="24"/>
        </w:rPr>
        <w:t xml:space="preserve"> fertility variant</w:t>
      </w:r>
      <w:r w:rsidR="00AC3D79">
        <w:rPr>
          <w:sz w:val="24"/>
        </w:rPr>
        <w:t>s (across countries of high/intermediate and low NRR, respectively)</w:t>
      </w:r>
      <w:r w:rsidR="00AC3D79" w:rsidRPr="00BF048C">
        <w:rPr>
          <w:sz w:val="24"/>
        </w:rPr>
        <w:t xml:space="preserve"> represents the</w:t>
      </w:r>
      <w:r w:rsidR="00AC3D79">
        <w:rPr>
          <w:sz w:val="24"/>
        </w:rPr>
        <w:t xml:space="preserve"> Drawdown</w:t>
      </w:r>
      <w:r w:rsidR="00AC3D79" w:rsidRPr="00BF048C">
        <w:rPr>
          <w:sz w:val="24"/>
        </w:rPr>
        <w:t xml:space="preserve"> REF 1 scenario for health and education, </w:t>
      </w:r>
      <w:r w:rsidR="00AC3D79">
        <w:rPr>
          <w:sz w:val="24"/>
        </w:rPr>
        <w:t>where</w:t>
      </w:r>
      <w:r w:rsidR="00AC3D79" w:rsidRPr="00BF048C">
        <w:rPr>
          <w:sz w:val="24"/>
        </w:rPr>
        <w:t xml:space="preserve"> adoption barriers to universal education and family planning uptake </w:t>
      </w:r>
      <w:r w:rsidR="00AC3D79">
        <w:rPr>
          <w:sz w:val="24"/>
        </w:rPr>
        <w:t xml:space="preserve">continue to exist and </w:t>
      </w:r>
      <w:r w:rsidR="00AC3D79" w:rsidRPr="00C20215">
        <w:rPr>
          <w:sz w:val="24"/>
        </w:rPr>
        <w:t>no additional investment</w:t>
      </w:r>
      <w:r w:rsidR="00AC3D79">
        <w:rPr>
          <w:sz w:val="24"/>
        </w:rPr>
        <w:t>s</w:t>
      </w:r>
      <w:r w:rsidR="00AC3D79" w:rsidRPr="00C20215">
        <w:rPr>
          <w:sz w:val="24"/>
        </w:rPr>
        <w:t xml:space="preserve"> </w:t>
      </w:r>
      <w:r w:rsidR="00AC3D79">
        <w:rPr>
          <w:sz w:val="24"/>
        </w:rPr>
        <w:t>are made</w:t>
      </w:r>
      <w:r w:rsidR="00AC3D79" w:rsidRPr="00C20215">
        <w:rPr>
          <w:sz w:val="24"/>
        </w:rPr>
        <w:t xml:space="preserve"> in </w:t>
      </w:r>
      <w:r w:rsidR="00AC3D79">
        <w:rPr>
          <w:sz w:val="24"/>
        </w:rPr>
        <w:t>improving reproductive health</w:t>
      </w:r>
      <w:r w:rsidR="00AC3D79" w:rsidRPr="00C20215">
        <w:rPr>
          <w:sz w:val="24"/>
        </w:rPr>
        <w:t xml:space="preserve"> resources or </w:t>
      </w:r>
      <w:r w:rsidR="00AC3D79">
        <w:rPr>
          <w:sz w:val="24"/>
        </w:rPr>
        <w:t xml:space="preserve">closing </w:t>
      </w:r>
      <w:r w:rsidR="00AC3D79" w:rsidRPr="00C20215">
        <w:rPr>
          <w:sz w:val="24"/>
        </w:rPr>
        <w:t>the gender gap in primary/secondary education</w:t>
      </w:r>
      <w:r w:rsidR="00AC3D79" w:rsidRPr="00BF048C">
        <w:rPr>
          <w:sz w:val="24"/>
        </w:rPr>
        <w:t>.</w:t>
      </w:r>
      <w:r w:rsidR="00AC3D79">
        <w:rPr>
          <w:sz w:val="24"/>
        </w:rPr>
        <w:t xml:space="preserve"> </w:t>
      </w:r>
    </w:p>
    <w:p w14:paraId="4A3A5036" w14:textId="03494874" w:rsidR="00307FF4" w:rsidRDefault="00307FF4" w:rsidP="00B87FB1">
      <w:pPr>
        <w:spacing w:line="276" w:lineRule="auto"/>
        <w:jc w:val="both"/>
        <w:rPr>
          <w:sz w:val="24"/>
        </w:rPr>
      </w:pPr>
      <w:r>
        <w:rPr>
          <w:sz w:val="24"/>
        </w:rPr>
        <w:t xml:space="preserve">The Drawdown REF 2 (Plausible/Ambitious) population scenario factors in a combination of the </w:t>
      </w:r>
      <w:r w:rsidR="00B87FB1" w:rsidRPr="00BF048C">
        <w:rPr>
          <w:sz w:val="24"/>
        </w:rPr>
        <w:t>UN medium</w:t>
      </w:r>
      <w:r>
        <w:rPr>
          <w:sz w:val="24"/>
        </w:rPr>
        <w:t xml:space="preserve"> and low</w:t>
      </w:r>
      <w:r w:rsidR="00B87FB1" w:rsidRPr="00BF048C">
        <w:rPr>
          <w:sz w:val="24"/>
        </w:rPr>
        <w:t>-fertility variant</w:t>
      </w:r>
      <w:r>
        <w:rPr>
          <w:sz w:val="24"/>
        </w:rPr>
        <w:t>s (across countries of high/intermediate and low NRR, respectively), which</w:t>
      </w:r>
      <w:r w:rsidR="00B87FB1" w:rsidRPr="00BF048C">
        <w:rPr>
          <w:sz w:val="24"/>
        </w:rPr>
        <w:t xml:space="preserve"> represents declining a fertility trend attributable to the effective</w:t>
      </w:r>
      <w:r w:rsidR="00B87FB1">
        <w:rPr>
          <w:sz w:val="24"/>
        </w:rPr>
        <w:t xml:space="preserve"> global</w:t>
      </w:r>
      <w:r w:rsidR="00B87FB1" w:rsidRPr="00BF048C">
        <w:rPr>
          <w:sz w:val="24"/>
        </w:rPr>
        <w:t xml:space="preserve"> </w:t>
      </w:r>
      <w:r w:rsidR="00B87FB1">
        <w:rPr>
          <w:sz w:val="24"/>
        </w:rPr>
        <w:t>adoption</w:t>
      </w:r>
      <w:r w:rsidR="00B87FB1" w:rsidRPr="00BF048C">
        <w:rPr>
          <w:sz w:val="24"/>
        </w:rPr>
        <w:t xml:space="preserve"> o</w:t>
      </w:r>
      <w:r>
        <w:rPr>
          <w:sz w:val="24"/>
        </w:rPr>
        <w:t>f family planning and education</w:t>
      </w:r>
      <w:r w:rsidR="00B87FB1" w:rsidRPr="00BF048C">
        <w:rPr>
          <w:sz w:val="24"/>
        </w:rPr>
        <w:t xml:space="preserve">. </w:t>
      </w:r>
      <w:r w:rsidR="00AC3D79">
        <w:rPr>
          <w:sz w:val="24"/>
        </w:rPr>
        <w:t>(</w:t>
      </w:r>
      <w:r w:rsidR="00AC3D79" w:rsidRPr="00AC3D79">
        <w:rPr>
          <w:sz w:val="24"/>
        </w:rPr>
        <w:t xml:space="preserve">For the Health and Education sector, we make no distinction in outcomes between the Plausible and Ambitious scenarios and treat them as the same in terms of effort and advocacy for improved access </w:t>
      </w:r>
      <w:r w:rsidR="00AC3D79">
        <w:rPr>
          <w:sz w:val="24"/>
        </w:rPr>
        <w:t xml:space="preserve">to education and health for all). </w:t>
      </w:r>
    </w:p>
    <w:p w14:paraId="06869006" w14:textId="2E0F4AA2" w:rsidR="00B87FB1" w:rsidRDefault="00B87FB1" w:rsidP="00B87FB1">
      <w:pPr>
        <w:spacing w:line="276" w:lineRule="auto"/>
        <w:jc w:val="both"/>
        <w:rPr>
          <w:sz w:val="24"/>
        </w:rPr>
      </w:pPr>
      <w:r w:rsidRPr="00BF048C">
        <w:rPr>
          <w:sz w:val="24"/>
        </w:rPr>
        <w:t xml:space="preserve">The </w:t>
      </w:r>
      <w:r w:rsidR="00307FF4">
        <w:rPr>
          <w:sz w:val="24"/>
        </w:rPr>
        <w:t>Maximum</w:t>
      </w:r>
      <w:r w:rsidRPr="00BF048C">
        <w:rPr>
          <w:sz w:val="24"/>
        </w:rPr>
        <w:t xml:space="preserve"> scenario is calculated based on the most ambitious and optimistic outcome in terms of increased education and uptake of family planning globally, resulting in the largest reduction in population growth possible. The </w:t>
      </w:r>
      <w:r w:rsidR="00307FF4">
        <w:rPr>
          <w:sz w:val="24"/>
        </w:rPr>
        <w:t>Maximum</w:t>
      </w:r>
      <w:r w:rsidRPr="00BF048C">
        <w:rPr>
          <w:sz w:val="24"/>
        </w:rPr>
        <w:t xml:space="preserve"> scenario assumes that countries with current high NRR rates move from a high to medium population variant, while countries with both intermediate and low NNR rates move to a low population variant, as a direct result of family planning uptake. </w:t>
      </w:r>
      <w:bookmarkStart w:id="59" w:name="_2kpu9jdtgkew" w:colFirst="0" w:colLast="0"/>
      <w:bookmarkEnd w:id="59"/>
    </w:p>
    <w:p w14:paraId="1BAEFB20" w14:textId="77777777" w:rsidR="00FA0F1B" w:rsidRDefault="00FA0F1B" w:rsidP="00B87FB1">
      <w:pPr>
        <w:spacing w:line="276" w:lineRule="auto"/>
        <w:jc w:val="both"/>
        <w:rPr>
          <w:sz w:val="24"/>
        </w:rPr>
      </w:pPr>
    </w:p>
    <w:p w14:paraId="59DAF9B0" w14:textId="662EEEEE" w:rsidR="00B87FB1" w:rsidRPr="00C20215" w:rsidRDefault="00B87FB1" w:rsidP="00B87FB1">
      <w:pPr>
        <w:pStyle w:val="Caption"/>
        <w:keepNext/>
        <w:rPr>
          <w:i w:val="0"/>
          <w:color w:val="auto"/>
          <w:sz w:val="22"/>
        </w:rPr>
      </w:pPr>
      <w:bookmarkStart w:id="60" w:name="_Toc74154079"/>
      <w:r w:rsidRPr="00C20215">
        <w:rPr>
          <w:i w:val="0"/>
          <w:color w:val="auto"/>
          <w:sz w:val="22"/>
        </w:rPr>
        <w:t xml:space="preserve">Table </w:t>
      </w:r>
      <w:r w:rsidRPr="00C20215">
        <w:rPr>
          <w:i w:val="0"/>
          <w:color w:val="auto"/>
          <w:sz w:val="22"/>
        </w:rPr>
        <w:fldChar w:fldCharType="begin"/>
      </w:r>
      <w:r w:rsidRPr="00C20215">
        <w:rPr>
          <w:i w:val="0"/>
          <w:color w:val="auto"/>
          <w:sz w:val="22"/>
        </w:rPr>
        <w:instrText xml:space="preserve"> SEQ Table \* ARABIC </w:instrText>
      </w:r>
      <w:r w:rsidRPr="00C20215">
        <w:rPr>
          <w:i w:val="0"/>
          <w:color w:val="auto"/>
          <w:sz w:val="22"/>
        </w:rPr>
        <w:fldChar w:fldCharType="separate"/>
      </w:r>
      <w:r w:rsidR="007F3156">
        <w:rPr>
          <w:i w:val="0"/>
          <w:noProof/>
          <w:color w:val="auto"/>
          <w:sz w:val="22"/>
        </w:rPr>
        <w:t>6</w:t>
      </w:r>
      <w:r w:rsidRPr="00C20215">
        <w:rPr>
          <w:i w:val="0"/>
          <w:color w:val="auto"/>
          <w:sz w:val="22"/>
        </w:rPr>
        <w:fldChar w:fldCharType="end"/>
      </w:r>
      <w:r w:rsidRPr="00C20215">
        <w:rPr>
          <w:i w:val="0"/>
          <w:color w:val="auto"/>
          <w:sz w:val="22"/>
        </w:rPr>
        <w:t>: REF 1 and REF 2 scenarios according to fertility classifications and NRRs of different countries</w:t>
      </w:r>
      <w:bookmarkEnd w:id="60"/>
    </w:p>
    <w:tbl>
      <w:tblPr>
        <w:tblStyle w:val="GridTable3-Accent3"/>
        <w:tblW w:w="10027" w:type="dxa"/>
        <w:tblLayout w:type="fixed"/>
        <w:tblLook w:val="0600" w:firstRow="0" w:lastRow="0" w:firstColumn="0" w:lastColumn="0" w:noHBand="1" w:noVBand="1"/>
      </w:tblPr>
      <w:tblGrid>
        <w:gridCol w:w="2805"/>
        <w:gridCol w:w="2260"/>
        <w:gridCol w:w="2481"/>
        <w:gridCol w:w="2481"/>
      </w:tblGrid>
      <w:tr w:rsidR="00B87FB1" w14:paraId="32363771" w14:textId="77777777" w:rsidTr="00A56720">
        <w:trPr>
          <w:trHeight w:val="268"/>
        </w:trPr>
        <w:tc>
          <w:tcPr>
            <w:tcW w:w="2805" w:type="dxa"/>
            <w:vMerge w:val="restart"/>
            <w:shd w:val="clear" w:color="auto" w:fill="C3E0F2" w:themeFill="accent3" w:themeFillTint="33"/>
          </w:tcPr>
          <w:p w14:paraId="40A9B85E" w14:textId="77777777" w:rsidR="00B87FB1" w:rsidRDefault="00B87FB1" w:rsidP="00A56720">
            <w:pPr>
              <w:widowControl w:val="0"/>
              <w:jc w:val="both"/>
              <w:rPr>
                <w:b/>
              </w:rPr>
            </w:pPr>
            <w:r>
              <w:rPr>
                <w:b/>
              </w:rPr>
              <w:t>Fertility Classification</w:t>
            </w:r>
          </w:p>
          <w:p w14:paraId="4A12C969" w14:textId="77777777" w:rsidR="00B87FB1" w:rsidRDefault="00B87FB1" w:rsidP="00A56720">
            <w:pPr>
              <w:widowControl w:val="0"/>
              <w:jc w:val="both"/>
              <w:rPr>
                <w:b/>
              </w:rPr>
            </w:pPr>
            <w:r>
              <w:rPr>
                <w:b/>
              </w:rPr>
              <w:t>NRR of countries</w:t>
            </w:r>
          </w:p>
        </w:tc>
        <w:tc>
          <w:tcPr>
            <w:tcW w:w="7222" w:type="dxa"/>
            <w:gridSpan w:val="3"/>
            <w:shd w:val="clear" w:color="auto" w:fill="C3E0F2" w:themeFill="accent3" w:themeFillTint="33"/>
          </w:tcPr>
          <w:p w14:paraId="4DC5A420" w14:textId="77777777" w:rsidR="00B87FB1" w:rsidRDefault="00B87FB1" w:rsidP="00A56720">
            <w:pPr>
              <w:widowControl w:val="0"/>
              <w:jc w:val="center"/>
              <w:rPr>
                <w:b/>
              </w:rPr>
            </w:pPr>
            <w:r>
              <w:rPr>
                <w:b/>
              </w:rPr>
              <w:t>UN population variant</w:t>
            </w:r>
          </w:p>
        </w:tc>
      </w:tr>
      <w:tr w:rsidR="00B87FB1" w14:paraId="4EDB7DB3" w14:textId="77777777" w:rsidTr="00A56720">
        <w:trPr>
          <w:trHeight w:val="279"/>
        </w:trPr>
        <w:tc>
          <w:tcPr>
            <w:tcW w:w="2805" w:type="dxa"/>
            <w:vMerge/>
            <w:shd w:val="clear" w:color="auto" w:fill="C3E0F2" w:themeFill="accent3" w:themeFillTint="33"/>
          </w:tcPr>
          <w:p w14:paraId="64F9BF64" w14:textId="77777777" w:rsidR="00B87FB1" w:rsidRDefault="00B87FB1" w:rsidP="00A56720">
            <w:pPr>
              <w:widowControl w:val="0"/>
              <w:jc w:val="both"/>
              <w:rPr>
                <w:b/>
              </w:rPr>
            </w:pPr>
          </w:p>
        </w:tc>
        <w:tc>
          <w:tcPr>
            <w:tcW w:w="2260" w:type="dxa"/>
            <w:shd w:val="clear" w:color="auto" w:fill="C3E0F2" w:themeFill="accent3" w:themeFillTint="33"/>
          </w:tcPr>
          <w:p w14:paraId="5C305B42" w14:textId="77777777" w:rsidR="00B87FB1" w:rsidRDefault="00B87FB1" w:rsidP="00A56720">
            <w:pPr>
              <w:widowControl w:val="0"/>
              <w:jc w:val="both"/>
              <w:rPr>
                <w:b/>
              </w:rPr>
            </w:pPr>
            <w:r>
              <w:rPr>
                <w:b/>
              </w:rPr>
              <w:t>REF 1 scenario</w:t>
            </w:r>
          </w:p>
        </w:tc>
        <w:tc>
          <w:tcPr>
            <w:tcW w:w="2481" w:type="dxa"/>
            <w:shd w:val="clear" w:color="auto" w:fill="C3E0F2" w:themeFill="accent3" w:themeFillTint="33"/>
          </w:tcPr>
          <w:p w14:paraId="4629DD73" w14:textId="5A7EA6D2" w:rsidR="00B87FB1" w:rsidRDefault="00B87FB1" w:rsidP="00307FF4">
            <w:pPr>
              <w:widowControl w:val="0"/>
              <w:rPr>
                <w:b/>
              </w:rPr>
            </w:pPr>
            <w:r>
              <w:rPr>
                <w:b/>
              </w:rPr>
              <w:t xml:space="preserve">REF 2 </w:t>
            </w:r>
            <w:r w:rsidR="00307FF4">
              <w:rPr>
                <w:b/>
              </w:rPr>
              <w:t xml:space="preserve">(Plausible/Ambitious) </w:t>
            </w:r>
            <w:r>
              <w:rPr>
                <w:b/>
              </w:rPr>
              <w:t xml:space="preserve">scenario </w:t>
            </w:r>
          </w:p>
        </w:tc>
        <w:tc>
          <w:tcPr>
            <w:tcW w:w="2481" w:type="dxa"/>
            <w:shd w:val="clear" w:color="auto" w:fill="C3E0F2" w:themeFill="accent3" w:themeFillTint="33"/>
          </w:tcPr>
          <w:p w14:paraId="4F2162E3" w14:textId="5B0DCCCC" w:rsidR="00B87FB1" w:rsidRDefault="00307FF4" w:rsidP="00A56720">
            <w:pPr>
              <w:widowControl w:val="0"/>
              <w:jc w:val="both"/>
              <w:rPr>
                <w:b/>
              </w:rPr>
            </w:pPr>
            <w:r>
              <w:rPr>
                <w:b/>
              </w:rPr>
              <w:t>Maximum</w:t>
            </w:r>
            <w:r w:rsidR="00B87FB1">
              <w:rPr>
                <w:b/>
              </w:rPr>
              <w:t xml:space="preserve"> scenario </w:t>
            </w:r>
          </w:p>
        </w:tc>
      </w:tr>
      <w:tr w:rsidR="00B87FB1" w14:paraId="7AAA6E7A" w14:textId="77777777" w:rsidTr="00A56720">
        <w:trPr>
          <w:trHeight w:val="236"/>
        </w:trPr>
        <w:tc>
          <w:tcPr>
            <w:tcW w:w="2805" w:type="dxa"/>
          </w:tcPr>
          <w:p w14:paraId="557210B2" w14:textId="77777777" w:rsidR="00B87FB1" w:rsidRDefault="00B87FB1" w:rsidP="00A56720">
            <w:pPr>
              <w:widowControl w:val="0"/>
              <w:jc w:val="both"/>
            </w:pPr>
            <w:r>
              <w:t xml:space="preserve">High (NRR </w:t>
            </w:r>
            <w:r>
              <w:rPr>
                <w:u w:val="single"/>
              </w:rPr>
              <w:t>&gt;</w:t>
            </w:r>
            <w:r>
              <w:t xml:space="preserve"> 1.5)</w:t>
            </w:r>
          </w:p>
        </w:tc>
        <w:tc>
          <w:tcPr>
            <w:tcW w:w="2260" w:type="dxa"/>
          </w:tcPr>
          <w:p w14:paraId="13F7603F" w14:textId="77777777" w:rsidR="00B87FB1" w:rsidRDefault="00B87FB1" w:rsidP="00A56720">
            <w:pPr>
              <w:widowControl w:val="0"/>
              <w:tabs>
                <w:tab w:val="right" w:pos="2770"/>
              </w:tabs>
              <w:jc w:val="both"/>
            </w:pPr>
            <w:r>
              <w:t>High variant</w:t>
            </w:r>
          </w:p>
        </w:tc>
        <w:tc>
          <w:tcPr>
            <w:tcW w:w="2481" w:type="dxa"/>
          </w:tcPr>
          <w:p w14:paraId="143413BA" w14:textId="77777777" w:rsidR="00B87FB1" w:rsidRDefault="00B87FB1" w:rsidP="00A56720">
            <w:pPr>
              <w:widowControl w:val="0"/>
              <w:jc w:val="both"/>
            </w:pPr>
            <w:r>
              <w:t>Medium variant</w:t>
            </w:r>
          </w:p>
        </w:tc>
        <w:tc>
          <w:tcPr>
            <w:tcW w:w="2481" w:type="dxa"/>
          </w:tcPr>
          <w:p w14:paraId="2CE57AF2" w14:textId="77777777" w:rsidR="00B87FB1" w:rsidRDefault="00B87FB1" w:rsidP="00A56720">
            <w:pPr>
              <w:widowControl w:val="0"/>
            </w:pPr>
            <w:r>
              <w:t>Medium variant</w:t>
            </w:r>
          </w:p>
        </w:tc>
      </w:tr>
      <w:tr w:rsidR="00B87FB1" w14:paraId="302D6F5E" w14:textId="77777777" w:rsidTr="00A56720">
        <w:trPr>
          <w:trHeight w:val="227"/>
        </w:trPr>
        <w:tc>
          <w:tcPr>
            <w:tcW w:w="2805" w:type="dxa"/>
          </w:tcPr>
          <w:p w14:paraId="775D32FB" w14:textId="77777777" w:rsidR="00B87FB1" w:rsidRDefault="00B87FB1" w:rsidP="00A56720">
            <w:pPr>
              <w:widowControl w:val="0"/>
              <w:jc w:val="both"/>
            </w:pPr>
            <w:r>
              <w:t xml:space="preserve">Intermediate (1.5&gt;NRR </w:t>
            </w:r>
            <w:r>
              <w:rPr>
                <w:u w:val="single"/>
              </w:rPr>
              <w:t>&gt;</w:t>
            </w:r>
            <w:r>
              <w:t>1)</w:t>
            </w:r>
          </w:p>
        </w:tc>
        <w:tc>
          <w:tcPr>
            <w:tcW w:w="2260" w:type="dxa"/>
          </w:tcPr>
          <w:p w14:paraId="4D79C058" w14:textId="77777777" w:rsidR="00B87FB1" w:rsidRDefault="00B87FB1" w:rsidP="00A56720">
            <w:pPr>
              <w:widowControl w:val="0"/>
              <w:jc w:val="both"/>
            </w:pPr>
            <w:r>
              <w:t>High variant</w:t>
            </w:r>
          </w:p>
        </w:tc>
        <w:tc>
          <w:tcPr>
            <w:tcW w:w="2481" w:type="dxa"/>
          </w:tcPr>
          <w:p w14:paraId="52D4BEDE" w14:textId="77777777" w:rsidR="00B87FB1" w:rsidRDefault="00B87FB1" w:rsidP="00A56720">
            <w:pPr>
              <w:widowControl w:val="0"/>
              <w:jc w:val="both"/>
            </w:pPr>
            <w:r>
              <w:t>Medium variant</w:t>
            </w:r>
          </w:p>
        </w:tc>
        <w:tc>
          <w:tcPr>
            <w:tcW w:w="2481" w:type="dxa"/>
          </w:tcPr>
          <w:p w14:paraId="46AB2EC1" w14:textId="77777777" w:rsidR="00B87FB1" w:rsidRDefault="00B87FB1" w:rsidP="00A56720">
            <w:pPr>
              <w:widowControl w:val="0"/>
            </w:pPr>
            <w:r>
              <w:t>Low-fertility</w:t>
            </w:r>
          </w:p>
        </w:tc>
      </w:tr>
      <w:tr w:rsidR="00B87FB1" w14:paraId="0F3AFD9E" w14:textId="77777777" w:rsidTr="00A56720">
        <w:trPr>
          <w:trHeight w:val="236"/>
        </w:trPr>
        <w:tc>
          <w:tcPr>
            <w:tcW w:w="2805" w:type="dxa"/>
          </w:tcPr>
          <w:p w14:paraId="5A16270A" w14:textId="77777777" w:rsidR="00B87FB1" w:rsidRDefault="00B87FB1" w:rsidP="00A56720">
            <w:pPr>
              <w:widowControl w:val="0"/>
              <w:jc w:val="both"/>
            </w:pPr>
            <w:r>
              <w:t>Low (NRR&lt;1)</w:t>
            </w:r>
          </w:p>
        </w:tc>
        <w:tc>
          <w:tcPr>
            <w:tcW w:w="2260" w:type="dxa"/>
          </w:tcPr>
          <w:p w14:paraId="1EE485D3" w14:textId="77777777" w:rsidR="00B87FB1" w:rsidRDefault="00B87FB1" w:rsidP="00A56720">
            <w:pPr>
              <w:widowControl w:val="0"/>
              <w:jc w:val="both"/>
            </w:pPr>
            <w:r>
              <w:t>Constant-fertility</w:t>
            </w:r>
          </w:p>
        </w:tc>
        <w:tc>
          <w:tcPr>
            <w:tcW w:w="2481" w:type="dxa"/>
          </w:tcPr>
          <w:p w14:paraId="3FEEA54D" w14:textId="77777777" w:rsidR="00B87FB1" w:rsidRDefault="00B87FB1" w:rsidP="00A56720">
            <w:pPr>
              <w:widowControl w:val="0"/>
              <w:jc w:val="both"/>
            </w:pPr>
            <w:r>
              <w:t>Low-fertility</w:t>
            </w:r>
          </w:p>
        </w:tc>
        <w:tc>
          <w:tcPr>
            <w:tcW w:w="2481" w:type="dxa"/>
          </w:tcPr>
          <w:p w14:paraId="414856E9" w14:textId="77777777" w:rsidR="00B87FB1" w:rsidRDefault="00B87FB1" w:rsidP="00A56720">
            <w:pPr>
              <w:widowControl w:val="0"/>
            </w:pPr>
            <w:r>
              <w:t>Low-fertility</w:t>
            </w:r>
          </w:p>
        </w:tc>
      </w:tr>
    </w:tbl>
    <w:p w14:paraId="6520491F" w14:textId="4C8F2220" w:rsidR="00B87FB1" w:rsidRDefault="00B87FB1" w:rsidP="00B87FB1">
      <w:pPr>
        <w:spacing w:after="0" w:line="240" w:lineRule="auto"/>
        <w:jc w:val="both"/>
      </w:pPr>
    </w:p>
    <w:p w14:paraId="2A1CFCC5" w14:textId="3A243328" w:rsidR="000A0032" w:rsidRDefault="000A0032" w:rsidP="00B87FB1">
      <w:pPr>
        <w:spacing w:after="0" w:line="240" w:lineRule="auto"/>
        <w:jc w:val="both"/>
      </w:pPr>
    </w:p>
    <w:p w14:paraId="3D8894E3" w14:textId="3BB472CD" w:rsidR="00B87FB1" w:rsidRPr="006248E6" w:rsidRDefault="002F5551" w:rsidP="00B87FB1">
      <w:pPr>
        <w:pStyle w:val="Heading3"/>
      </w:pPr>
      <w:bookmarkStart w:id="61" w:name="_Toc74154057"/>
      <w:r>
        <w:t>Total addressable market and PDS scenarios</w:t>
      </w:r>
      <w:r w:rsidR="00AC3D79">
        <w:t xml:space="preserve"> for emissions reductions</w:t>
      </w:r>
      <w:bookmarkEnd w:id="61"/>
    </w:p>
    <w:p w14:paraId="4389B283" w14:textId="034F5F7D" w:rsidR="000A0032" w:rsidRDefault="000A0032" w:rsidP="000A0032">
      <w:pPr>
        <w:spacing w:line="276" w:lineRule="auto"/>
        <w:jc w:val="both"/>
        <w:rPr>
          <w:sz w:val="24"/>
        </w:rPr>
      </w:pPr>
      <w:r w:rsidRPr="000A0032">
        <w:rPr>
          <w:sz w:val="24"/>
        </w:rPr>
        <w:t>The total functional demand globally of goods and services represents the Total Addressable Market (TAM), which is composed of all technologies/practices (including the conventional mix and all possible solutions) that provide the same function within a given sector.</w:t>
      </w:r>
      <w:r>
        <w:rPr>
          <w:sz w:val="24"/>
        </w:rPr>
        <w:t xml:space="preserve"> TAM</w:t>
      </w:r>
      <w:r w:rsidR="00B87FB1" w:rsidRPr="00BF048C">
        <w:rPr>
          <w:sz w:val="24"/>
        </w:rPr>
        <w:t xml:space="preserve"> estimates for the different Drawdown </w:t>
      </w:r>
      <w:r>
        <w:rPr>
          <w:sz w:val="24"/>
        </w:rPr>
        <w:t>sectors</w:t>
      </w:r>
      <w:r w:rsidR="00B87FB1" w:rsidRPr="00BF048C">
        <w:rPr>
          <w:sz w:val="24"/>
        </w:rPr>
        <w:t xml:space="preserve"> and solutions are derived from energy models (</w:t>
      </w:r>
      <w:r w:rsidR="0052424B">
        <w:rPr>
          <w:sz w:val="24"/>
        </w:rPr>
        <w:t xml:space="preserve">e.g. </w:t>
      </w:r>
      <w:r w:rsidR="00B87FB1" w:rsidRPr="00BF048C">
        <w:rPr>
          <w:sz w:val="24"/>
        </w:rPr>
        <w:t xml:space="preserve">AMPERE3-MESSAGE, IEA, Greenpeace etc.), travel mobility or freight movement models, land area models, and food demand and waste estimations. </w:t>
      </w:r>
      <w:r w:rsidRPr="000A0032">
        <w:rPr>
          <w:sz w:val="24"/>
        </w:rPr>
        <w:t>For example, the TAM for the electricity generation market consists of coal- and gas-fired plants, plus solar, wind, geo</w:t>
      </w:r>
      <w:r>
        <w:rPr>
          <w:sz w:val="24"/>
        </w:rPr>
        <w:t>thermal, biomass, nuclear, etc. while l</w:t>
      </w:r>
      <w:r w:rsidRPr="000A0032">
        <w:rPr>
          <w:sz w:val="24"/>
        </w:rPr>
        <w:t xml:space="preserve">ighting demand is a function of the global market for petalumen-hours of lighting supplied by multiple technologies, including incandescent, halogen, HID, LFL, CFL, and LED lighting. </w:t>
      </w:r>
    </w:p>
    <w:p w14:paraId="2AEF40F2" w14:textId="7B0B88DE" w:rsidR="002F5551" w:rsidRPr="000A0032" w:rsidRDefault="002F5551" w:rsidP="002F5551">
      <w:pPr>
        <w:spacing w:line="276" w:lineRule="auto"/>
        <w:jc w:val="both"/>
        <w:rPr>
          <w:sz w:val="24"/>
        </w:rPr>
      </w:pPr>
      <w:r>
        <w:rPr>
          <w:sz w:val="24"/>
        </w:rPr>
        <w:t xml:space="preserve">Based on TAM data, </w:t>
      </w:r>
      <w:r w:rsidR="0052424B">
        <w:rPr>
          <w:sz w:val="24"/>
        </w:rPr>
        <w:t xml:space="preserve">three </w:t>
      </w:r>
      <w:r>
        <w:rPr>
          <w:sz w:val="24"/>
        </w:rPr>
        <w:t xml:space="preserve">PDS scenarios </w:t>
      </w:r>
      <w:r w:rsidRPr="000A0032">
        <w:rPr>
          <w:sz w:val="24"/>
        </w:rPr>
        <w:t>represe</w:t>
      </w:r>
      <w:r>
        <w:rPr>
          <w:sz w:val="24"/>
        </w:rPr>
        <w:t>nt</w:t>
      </w:r>
      <w:r w:rsidRPr="000A0032">
        <w:rPr>
          <w:sz w:val="24"/>
        </w:rPr>
        <w:t xml:space="preserve"> the emissions outcomes for when global adoption of a particular climate solution occurs. </w:t>
      </w:r>
      <w:r>
        <w:rPr>
          <w:sz w:val="24"/>
        </w:rPr>
        <w:t>For these, a</w:t>
      </w:r>
      <w:r w:rsidRPr="000A0032">
        <w:rPr>
          <w:sz w:val="24"/>
        </w:rPr>
        <w:t xml:space="preserve">doption is analyzed based on the functional demand for the solution at a global level and forecasted over the horizon from 2015 to 2060 using best available </w:t>
      </w:r>
      <w:r>
        <w:rPr>
          <w:sz w:val="24"/>
        </w:rPr>
        <w:t xml:space="preserve">TAM </w:t>
      </w:r>
      <w:r w:rsidRPr="000A0032">
        <w:rPr>
          <w:sz w:val="24"/>
        </w:rPr>
        <w:t>data. Inherent in this approach is the core assumption that all policy and financial levers, infrastructure development, and consumer will that is required to reach this level of adoption will be met. Under the Project Drawdown framework, different levels of adoption for each scenario are defined as:</w:t>
      </w:r>
    </w:p>
    <w:p w14:paraId="379B3D16" w14:textId="6FDD80B3" w:rsidR="002F5551" w:rsidRPr="00B87FB1" w:rsidRDefault="002F5551" w:rsidP="005560C0">
      <w:pPr>
        <w:pStyle w:val="ListParagraph"/>
        <w:numPr>
          <w:ilvl w:val="0"/>
          <w:numId w:val="11"/>
        </w:numPr>
        <w:spacing w:line="276" w:lineRule="auto"/>
        <w:jc w:val="both"/>
        <w:rPr>
          <w:sz w:val="24"/>
        </w:rPr>
      </w:pPr>
      <w:r w:rsidRPr="00B557A7">
        <w:rPr>
          <w:b/>
          <w:i/>
          <w:sz w:val="24"/>
        </w:rPr>
        <w:t>Plausible Scenario</w:t>
      </w:r>
      <w:r>
        <w:rPr>
          <w:b/>
          <w:i/>
          <w:sz w:val="24"/>
        </w:rPr>
        <w:t xml:space="preserve"> (REF 2)</w:t>
      </w:r>
      <w:r w:rsidRPr="00B87FB1">
        <w:rPr>
          <w:sz w:val="24"/>
        </w:rPr>
        <w:t xml:space="preserve">: the case in which </w:t>
      </w:r>
      <w:r w:rsidR="00D86F2F">
        <w:rPr>
          <w:sz w:val="24"/>
        </w:rPr>
        <w:t>universal education and access to voluntary family planning</w:t>
      </w:r>
      <w:r w:rsidRPr="00B87FB1">
        <w:rPr>
          <w:sz w:val="24"/>
        </w:rPr>
        <w:t xml:space="preserve"> are adopted at a realistically vigorous rate over the time period under investigation, adjusting for estimated economic and population growth.</w:t>
      </w:r>
    </w:p>
    <w:p w14:paraId="59833F2C" w14:textId="1F9F4479" w:rsidR="002F5551" w:rsidRPr="00B87FB1" w:rsidRDefault="002F5551" w:rsidP="005560C0">
      <w:pPr>
        <w:pStyle w:val="ListParagraph"/>
        <w:numPr>
          <w:ilvl w:val="0"/>
          <w:numId w:val="11"/>
        </w:numPr>
        <w:spacing w:line="276" w:lineRule="auto"/>
        <w:jc w:val="both"/>
        <w:rPr>
          <w:sz w:val="24"/>
        </w:rPr>
      </w:pPr>
      <w:r w:rsidRPr="00B557A7">
        <w:rPr>
          <w:b/>
          <w:i/>
          <w:sz w:val="24"/>
        </w:rPr>
        <w:t>Ambitious Scenario</w:t>
      </w:r>
      <w:r w:rsidRPr="00B87FB1">
        <w:rPr>
          <w:sz w:val="24"/>
        </w:rPr>
        <w:t xml:space="preserve">: the case in which </w:t>
      </w:r>
      <w:r w:rsidR="00D86F2F">
        <w:rPr>
          <w:sz w:val="24"/>
        </w:rPr>
        <w:t>universal education and access to voluntary family planning</w:t>
      </w:r>
      <w:r w:rsidR="00D86F2F" w:rsidRPr="00B87FB1">
        <w:rPr>
          <w:sz w:val="24"/>
        </w:rPr>
        <w:t xml:space="preserve"> </w:t>
      </w:r>
      <w:r w:rsidRPr="00B87FB1">
        <w:rPr>
          <w:sz w:val="24"/>
        </w:rPr>
        <w:t>is optimized to achieve drawdown by 2050.</w:t>
      </w:r>
      <w:r w:rsidR="00FA0F1B">
        <w:rPr>
          <w:sz w:val="24"/>
        </w:rPr>
        <w:t xml:space="preserve"> For the Health and Education sector, we make no distinction in outcomes between the Plausible and Ambitious scenarios and treat them as the same in terms of effort and advocacy for improved access to education and health for all.</w:t>
      </w:r>
    </w:p>
    <w:p w14:paraId="1B1B4E15" w14:textId="08A588CC" w:rsidR="002F5551" w:rsidRPr="00B87FB1" w:rsidRDefault="002F5551" w:rsidP="005560C0">
      <w:pPr>
        <w:pStyle w:val="ListParagraph"/>
        <w:numPr>
          <w:ilvl w:val="0"/>
          <w:numId w:val="11"/>
        </w:numPr>
        <w:spacing w:line="276" w:lineRule="auto"/>
        <w:jc w:val="both"/>
        <w:rPr>
          <w:sz w:val="24"/>
        </w:rPr>
      </w:pPr>
      <w:r w:rsidRPr="00B557A7">
        <w:rPr>
          <w:b/>
          <w:i/>
          <w:sz w:val="24"/>
        </w:rPr>
        <w:t>Maximum Scenario</w:t>
      </w:r>
      <w:r w:rsidRPr="00B87FB1">
        <w:rPr>
          <w:sz w:val="24"/>
        </w:rPr>
        <w:t xml:space="preserve">: the case in which </w:t>
      </w:r>
      <w:r w:rsidR="00D86F2F">
        <w:rPr>
          <w:sz w:val="24"/>
        </w:rPr>
        <w:t>the health and education solutions</w:t>
      </w:r>
      <w:r w:rsidR="00D86F2F" w:rsidRPr="00B87FB1">
        <w:rPr>
          <w:sz w:val="24"/>
        </w:rPr>
        <w:t xml:space="preserve"> </w:t>
      </w:r>
      <w:r w:rsidRPr="00B87FB1">
        <w:rPr>
          <w:sz w:val="24"/>
        </w:rPr>
        <w:t>achieve their maximum potential</w:t>
      </w:r>
      <w:r w:rsidR="00D86F2F">
        <w:rPr>
          <w:sz w:val="24"/>
        </w:rPr>
        <w:t xml:space="preserve">- meaning all children around the world are able to enroll and complete 12 years of quality education, and all women and men are able to access family planning services to enable them to choose if and when they want to have children. </w:t>
      </w:r>
    </w:p>
    <w:p w14:paraId="029BD01D" w14:textId="77777777" w:rsidR="00B87FB1" w:rsidRDefault="00B87FB1" w:rsidP="00B87FB1"/>
    <w:p w14:paraId="2E8BA00F" w14:textId="77777777" w:rsidR="00B87FB1" w:rsidRPr="006248E6" w:rsidRDefault="00B87FB1" w:rsidP="00B87FB1">
      <w:pPr>
        <w:pStyle w:val="Heading3"/>
      </w:pPr>
      <w:bookmarkStart w:id="62" w:name="_Toc74154058"/>
      <w:r>
        <w:t>Financial</w:t>
      </w:r>
      <w:r w:rsidRPr="006248E6">
        <w:t xml:space="preserve"> inputs</w:t>
      </w:r>
      <w:bookmarkEnd w:id="62"/>
    </w:p>
    <w:p w14:paraId="3D8829C8" w14:textId="0A53BBFF" w:rsidR="00B87FB1" w:rsidRDefault="00B87FB1" w:rsidP="00B87FB1">
      <w:pPr>
        <w:jc w:val="both"/>
        <w:rPr>
          <w:sz w:val="24"/>
        </w:rPr>
      </w:pPr>
      <w:r w:rsidRPr="0029773D">
        <w:rPr>
          <w:sz w:val="24"/>
        </w:rPr>
        <w:t xml:space="preserve">Financial </w:t>
      </w:r>
      <w:r>
        <w:rPr>
          <w:sz w:val="24"/>
        </w:rPr>
        <w:t>inputs</w:t>
      </w:r>
      <w:r w:rsidRPr="0029773D">
        <w:rPr>
          <w:sz w:val="24"/>
        </w:rPr>
        <w:t xml:space="preserve"> </w:t>
      </w:r>
      <w:r>
        <w:rPr>
          <w:sz w:val="24"/>
        </w:rPr>
        <w:t xml:space="preserve">were not included for the education or family planning </w:t>
      </w:r>
      <w:r w:rsidRPr="0029773D">
        <w:rPr>
          <w:sz w:val="24"/>
        </w:rPr>
        <w:t>solutions, as costs</w:t>
      </w:r>
      <w:r>
        <w:rPr>
          <w:sz w:val="24"/>
        </w:rPr>
        <w:t xml:space="preserve"> (direct and indirect)</w:t>
      </w:r>
      <w:r w:rsidRPr="0029773D">
        <w:rPr>
          <w:sz w:val="24"/>
        </w:rPr>
        <w:t xml:space="preserve"> are highly </w:t>
      </w:r>
      <w:r>
        <w:rPr>
          <w:sz w:val="24"/>
        </w:rPr>
        <w:t xml:space="preserve">complex, </w:t>
      </w:r>
      <w:r w:rsidRPr="0029773D">
        <w:rPr>
          <w:sz w:val="24"/>
        </w:rPr>
        <w:t xml:space="preserve">variable by country and type of intervention (e.g., </w:t>
      </w:r>
      <w:r>
        <w:rPr>
          <w:sz w:val="24"/>
        </w:rPr>
        <w:t xml:space="preserve">contraceptive method type, </w:t>
      </w:r>
      <w:r w:rsidRPr="0029773D">
        <w:rPr>
          <w:sz w:val="24"/>
        </w:rPr>
        <w:t xml:space="preserve">reproductive health </w:t>
      </w:r>
      <w:r>
        <w:rPr>
          <w:sz w:val="24"/>
        </w:rPr>
        <w:t>services</w:t>
      </w:r>
      <w:r w:rsidRPr="0029773D">
        <w:rPr>
          <w:sz w:val="24"/>
        </w:rPr>
        <w:t xml:space="preserve">, </w:t>
      </w:r>
      <w:r>
        <w:rPr>
          <w:sz w:val="24"/>
        </w:rPr>
        <w:t xml:space="preserve">level of </w:t>
      </w:r>
      <w:r w:rsidRPr="0029773D">
        <w:rPr>
          <w:sz w:val="24"/>
        </w:rPr>
        <w:t>education, etc.)</w:t>
      </w:r>
      <w:r>
        <w:rPr>
          <w:sz w:val="24"/>
        </w:rPr>
        <w:t xml:space="preserve">. Additionally, the links between education and family planning, the impact of each and both solutions on population changes, and the resulting changes to emissions are complex and closely intertwined, hence the direct costs associated with each solution are difficult and at times impossible to ascertain. </w:t>
      </w:r>
      <w:r w:rsidR="0052424B">
        <w:rPr>
          <w:sz w:val="24"/>
        </w:rPr>
        <w:t>E</w:t>
      </w:r>
      <w:r>
        <w:rPr>
          <w:sz w:val="24"/>
        </w:rPr>
        <w:t>stimated costs associated with progress in each of the sectors over time are described in Section 1.3 and 1.4</w:t>
      </w:r>
      <w:r w:rsidR="0052424B">
        <w:rPr>
          <w:sz w:val="24"/>
        </w:rPr>
        <w:t>; however, these estimations are exogenous to model used to determine population estmations and associated emissions reductions.</w:t>
      </w:r>
    </w:p>
    <w:p w14:paraId="5BEF1402" w14:textId="77777777" w:rsidR="00B87FB1" w:rsidRDefault="00B87FB1" w:rsidP="00B87FB1">
      <w:pPr>
        <w:jc w:val="both"/>
        <w:rPr>
          <w:sz w:val="24"/>
        </w:rPr>
      </w:pPr>
    </w:p>
    <w:p w14:paraId="3021BE0B" w14:textId="0E7D5258" w:rsidR="00292E51" w:rsidRDefault="00292E51" w:rsidP="00FD7809">
      <w:pPr>
        <w:pStyle w:val="Heading3"/>
      </w:pPr>
      <w:bookmarkStart w:id="63" w:name="_Toc74154059"/>
      <w:r>
        <w:t xml:space="preserve">Terms and </w:t>
      </w:r>
      <w:r w:rsidRPr="00847858">
        <w:t>Assumptions</w:t>
      </w:r>
      <w:r w:rsidR="00FD7809">
        <w:t xml:space="preserve"> in the model</w:t>
      </w:r>
      <w:bookmarkEnd w:id="63"/>
    </w:p>
    <w:p w14:paraId="19846D09" w14:textId="77777777" w:rsidR="00292E51" w:rsidRPr="00B87FB1" w:rsidRDefault="00292E51" w:rsidP="00292E51">
      <w:pPr>
        <w:pStyle w:val="ListParagraph"/>
        <w:numPr>
          <w:ilvl w:val="0"/>
          <w:numId w:val="11"/>
        </w:numPr>
        <w:spacing w:line="276" w:lineRule="auto"/>
        <w:jc w:val="both"/>
        <w:rPr>
          <w:sz w:val="24"/>
        </w:rPr>
      </w:pPr>
      <w:r w:rsidRPr="00B87FB1">
        <w:rPr>
          <w:sz w:val="24"/>
        </w:rPr>
        <w:t xml:space="preserve">The effect of education on GHG emissions in the emissions model is calculated through classifying regions based on lower or higher educational attainment. Low educational attainment is defined as &lt;50% of girls and boys completing upper secondary education. </w:t>
      </w:r>
    </w:p>
    <w:p w14:paraId="0857BF3A" w14:textId="520CFE13" w:rsidR="00292E51" w:rsidRPr="00B87FB1" w:rsidRDefault="00292E51" w:rsidP="00292E51">
      <w:pPr>
        <w:pStyle w:val="ListParagraph"/>
        <w:numPr>
          <w:ilvl w:val="0"/>
          <w:numId w:val="11"/>
        </w:numPr>
        <w:spacing w:line="276" w:lineRule="auto"/>
        <w:jc w:val="both"/>
        <w:rPr>
          <w:sz w:val="24"/>
        </w:rPr>
      </w:pPr>
      <w:r w:rsidRPr="00B87FB1">
        <w:rPr>
          <w:sz w:val="24"/>
        </w:rPr>
        <w:t xml:space="preserve">The effect of family planning on GHG emissions is estimated based on whether countries have a high or low net reproductive rate (NRR). More developed countries (MDCs) have low NNRs, defined as NNR&lt;1, while least and less developed countries </w:t>
      </w:r>
      <w:r w:rsidR="00C7436D">
        <w:rPr>
          <w:sz w:val="24"/>
        </w:rPr>
        <w:t xml:space="preserve">have </w:t>
      </w:r>
      <w:r w:rsidRPr="00B87FB1">
        <w:rPr>
          <w:sz w:val="24"/>
        </w:rPr>
        <w:t>high NRRs (NNR≥1).</w:t>
      </w:r>
    </w:p>
    <w:p w14:paraId="294FB617" w14:textId="77777777" w:rsidR="00292E51" w:rsidRPr="00B87FB1" w:rsidRDefault="00292E51" w:rsidP="00292E51">
      <w:pPr>
        <w:pStyle w:val="ListParagraph"/>
        <w:numPr>
          <w:ilvl w:val="0"/>
          <w:numId w:val="11"/>
        </w:numPr>
        <w:spacing w:line="276" w:lineRule="auto"/>
        <w:jc w:val="both"/>
        <w:rPr>
          <w:sz w:val="24"/>
        </w:rPr>
      </w:pPr>
      <w:r w:rsidRPr="00B87FB1">
        <w:rPr>
          <w:sz w:val="24"/>
        </w:rPr>
        <w:t xml:space="preserve">The conventional scenario represents the emissions outcome when no additional climate solutions are adopted or implemented, and the current status quo continues unchanged over time. </w:t>
      </w:r>
    </w:p>
    <w:p w14:paraId="177FC9C3" w14:textId="0950CA08" w:rsidR="00292E51" w:rsidRDefault="00292E51" w:rsidP="00292E51">
      <w:pPr>
        <w:spacing w:after="240"/>
        <w:jc w:val="both"/>
        <w:rPr>
          <w:sz w:val="24"/>
        </w:rPr>
      </w:pPr>
      <w:r w:rsidRPr="00292E51">
        <w:rPr>
          <w:sz w:val="24"/>
        </w:rPr>
        <w:t>The table below outlines the different definitions</w:t>
      </w:r>
      <w:r w:rsidR="00110F94">
        <w:rPr>
          <w:sz w:val="24"/>
        </w:rPr>
        <w:t>, terms</w:t>
      </w:r>
      <w:r w:rsidRPr="00292E51">
        <w:rPr>
          <w:sz w:val="24"/>
        </w:rPr>
        <w:t xml:space="preserve"> and assumptions that underlie the different scenarios. </w:t>
      </w:r>
    </w:p>
    <w:p w14:paraId="7B63586A" w14:textId="335857C7" w:rsidR="007F3156" w:rsidRDefault="007F3156" w:rsidP="00292E51">
      <w:pPr>
        <w:spacing w:after="240"/>
        <w:jc w:val="both"/>
        <w:rPr>
          <w:sz w:val="24"/>
        </w:rPr>
      </w:pPr>
    </w:p>
    <w:p w14:paraId="1C6BF9A3" w14:textId="370322AA" w:rsidR="00292E51" w:rsidRPr="007F3156" w:rsidRDefault="00292E51" w:rsidP="00DF05E1">
      <w:pPr>
        <w:pStyle w:val="Caption"/>
        <w:keepNext/>
        <w:rPr>
          <w:i w:val="0"/>
          <w:color w:val="auto"/>
          <w:sz w:val="24"/>
        </w:rPr>
      </w:pPr>
      <w:bookmarkStart w:id="64" w:name="_Toc74154080"/>
      <w:r w:rsidRPr="007F3156">
        <w:rPr>
          <w:i w:val="0"/>
          <w:color w:val="auto"/>
          <w:sz w:val="24"/>
        </w:rPr>
        <w:t xml:space="preserve">Table </w:t>
      </w:r>
      <w:r w:rsidRPr="007F3156">
        <w:rPr>
          <w:i w:val="0"/>
          <w:color w:val="auto"/>
          <w:sz w:val="24"/>
        </w:rPr>
        <w:fldChar w:fldCharType="begin"/>
      </w:r>
      <w:r w:rsidRPr="007F3156">
        <w:rPr>
          <w:i w:val="0"/>
          <w:color w:val="auto"/>
          <w:sz w:val="24"/>
        </w:rPr>
        <w:instrText xml:space="preserve"> SEQ Table \* ARABIC </w:instrText>
      </w:r>
      <w:r w:rsidRPr="007F3156">
        <w:rPr>
          <w:i w:val="0"/>
          <w:color w:val="auto"/>
          <w:sz w:val="24"/>
        </w:rPr>
        <w:fldChar w:fldCharType="separate"/>
      </w:r>
      <w:r w:rsidR="007F3156" w:rsidRPr="007F3156">
        <w:rPr>
          <w:i w:val="0"/>
          <w:noProof/>
          <w:color w:val="auto"/>
          <w:sz w:val="24"/>
        </w:rPr>
        <w:t>7</w:t>
      </w:r>
      <w:r w:rsidRPr="007F3156">
        <w:rPr>
          <w:i w:val="0"/>
          <w:color w:val="auto"/>
          <w:sz w:val="24"/>
        </w:rPr>
        <w:fldChar w:fldCharType="end"/>
      </w:r>
      <w:r w:rsidRPr="007F3156">
        <w:rPr>
          <w:i w:val="0"/>
          <w:color w:val="auto"/>
          <w:sz w:val="24"/>
        </w:rPr>
        <w:t>: Definitions and terminology included in the Population Emissions model</w:t>
      </w:r>
      <w:bookmarkEnd w:id="64"/>
    </w:p>
    <w:tbl>
      <w:tblPr>
        <w:tblStyle w:val="GridTable1Light-Accent3"/>
        <w:tblW w:w="9926" w:type="dxa"/>
        <w:tblLook w:val="04A0" w:firstRow="1" w:lastRow="0" w:firstColumn="1" w:lastColumn="0" w:noHBand="0" w:noVBand="1"/>
      </w:tblPr>
      <w:tblGrid>
        <w:gridCol w:w="2682"/>
        <w:gridCol w:w="4731"/>
        <w:gridCol w:w="2513"/>
      </w:tblGrid>
      <w:tr w:rsidR="00292E51" w:rsidRPr="00B87FB1" w14:paraId="58AA00B0" w14:textId="77777777" w:rsidTr="00C7436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82" w:type="dxa"/>
            <w:shd w:val="clear" w:color="auto" w:fill="C3E0F2" w:themeFill="accent3" w:themeFillTint="33"/>
            <w:noWrap/>
          </w:tcPr>
          <w:p w14:paraId="755493BD" w14:textId="77777777" w:rsidR="00292E51" w:rsidRPr="0007747E" w:rsidRDefault="00292E51" w:rsidP="00C7436D">
            <w:pPr>
              <w:rPr>
                <w:rFonts w:cstheme="minorHAnsi"/>
              </w:rPr>
            </w:pPr>
            <w:r w:rsidRPr="0007747E">
              <w:rPr>
                <w:rFonts w:cstheme="minorHAnsi"/>
              </w:rPr>
              <w:t>Term/acronym</w:t>
            </w:r>
          </w:p>
        </w:tc>
        <w:tc>
          <w:tcPr>
            <w:tcW w:w="7244" w:type="dxa"/>
            <w:gridSpan w:val="2"/>
            <w:shd w:val="clear" w:color="auto" w:fill="C3E0F2" w:themeFill="accent3" w:themeFillTint="33"/>
            <w:noWrap/>
          </w:tcPr>
          <w:p w14:paraId="48B4BC56" w14:textId="77777777" w:rsidR="00292E51" w:rsidRPr="0007747E" w:rsidRDefault="00292E51" w:rsidP="00C7436D">
            <w:pPr>
              <w:cnfStyle w:val="100000000000" w:firstRow="1" w:lastRow="0" w:firstColumn="0" w:lastColumn="0" w:oddVBand="0" w:evenVBand="0" w:oddHBand="0" w:evenHBand="0" w:firstRowFirstColumn="0" w:firstRowLastColumn="0" w:lastRowFirstColumn="0" w:lastRowLastColumn="0"/>
              <w:rPr>
                <w:rFonts w:eastAsia="Times New Roman" w:cstheme="minorHAnsi"/>
                <w:szCs w:val="20"/>
                <w:lang w:eastAsia="en-NZ"/>
              </w:rPr>
            </w:pPr>
            <w:r w:rsidRPr="0007747E">
              <w:rPr>
                <w:rFonts w:cstheme="minorHAnsi"/>
              </w:rPr>
              <w:t>Definition/meaning</w:t>
            </w:r>
          </w:p>
        </w:tc>
      </w:tr>
      <w:tr w:rsidR="00292E51" w:rsidRPr="00B87FB1" w14:paraId="6F83BA4C"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hideMark/>
          </w:tcPr>
          <w:p w14:paraId="0CE94ACA" w14:textId="77777777" w:rsidR="00292E51" w:rsidRPr="0007747E" w:rsidRDefault="00292E51" w:rsidP="00C7436D">
            <w:pPr>
              <w:rPr>
                <w:rFonts w:cstheme="minorHAnsi"/>
                <w:b w:val="0"/>
              </w:rPr>
            </w:pPr>
            <w:r w:rsidRPr="0007747E">
              <w:rPr>
                <w:rFonts w:cstheme="minorHAnsi"/>
                <w:b w:val="0"/>
              </w:rPr>
              <w:t>LLDC</w:t>
            </w:r>
          </w:p>
        </w:tc>
        <w:tc>
          <w:tcPr>
            <w:tcW w:w="7244" w:type="dxa"/>
            <w:gridSpan w:val="2"/>
            <w:noWrap/>
            <w:hideMark/>
          </w:tcPr>
          <w:p w14:paraId="6CE6DB9B"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Least and Less Developed Countries</w:t>
            </w:r>
          </w:p>
        </w:tc>
      </w:tr>
      <w:tr w:rsidR="00292E51" w:rsidRPr="00B87FB1" w14:paraId="16A6C9DF"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hideMark/>
          </w:tcPr>
          <w:p w14:paraId="2B8EF284" w14:textId="77777777" w:rsidR="00292E51" w:rsidRPr="0007747E" w:rsidRDefault="00292E51" w:rsidP="00C7436D">
            <w:pPr>
              <w:rPr>
                <w:rFonts w:cstheme="minorHAnsi"/>
                <w:b w:val="0"/>
              </w:rPr>
            </w:pPr>
            <w:r w:rsidRPr="0007747E">
              <w:rPr>
                <w:rFonts w:cstheme="minorHAnsi"/>
                <w:b w:val="0"/>
              </w:rPr>
              <w:t>MDC</w:t>
            </w:r>
          </w:p>
        </w:tc>
        <w:tc>
          <w:tcPr>
            <w:tcW w:w="7244" w:type="dxa"/>
            <w:gridSpan w:val="2"/>
            <w:noWrap/>
            <w:hideMark/>
          </w:tcPr>
          <w:p w14:paraId="25FA8400"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More Developed Countries</w:t>
            </w:r>
          </w:p>
        </w:tc>
      </w:tr>
      <w:tr w:rsidR="00292E51" w:rsidRPr="00B87FB1" w14:paraId="25A79E0E"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tcPr>
          <w:p w14:paraId="179B29A2" w14:textId="77777777" w:rsidR="00292E51" w:rsidRPr="0007747E" w:rsidRDefault="00292E51" w:rsidP="00C7436D">
            <w:pPr>
              <w:rPr>
                <w:rFonts w:cstheme="minorHAnsi"/>
                <w:b w:val="0"/>
              </w:rPr>
            </w:pPr>
            <w:r w:rsidRPr="0007747E">
              <w:rPr>
                <w:rFonts w:cstheme="minorHAnsi"/>
                <w:b w:val="0"/>
              </w:rPr>
              <w:t>NRR</w:t>
            </w:r>
          </w:p>
        </w:tc>
        <w:tc>
          <w:tcPr>
            <w:tcW w:w="7244" w:type="dxa"/>
            <w:gridSpan w:val="2"/>
            <w:noWrap/>
          </w:tcPr>
          <w:p w14:paraId="3698F97A"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Net Reproductive Rate</w:t>
            </w:r>
          </w:p>
        </w:tc>
      </w:tr>
      <w:tr w:rsidR="00292E51" w:rsidRPr="00B87FB1" w14:paraId="32C30A0E"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tcPr>
          <w:p w14:paraId="2A6745AC" w14:textId="77777777" w:rsidR="00292E51" w:rsidRPr="0007747E" w:rsidRDefault="00292E51" w:rsidP="00C7436D">
            <w:pPr>
              <w:rPr>
                <w:rFonts w:cstheme="minorHAnsi"/>
                <w:b w:val="0"/>
              </w:rPr>
            </w:pPr>
            <w:r w:rsidRPr="0007747E">
              <w:rPr>
                <w:rFonts w:cstheme="minorHAnsi"/>
                <w:b w:val="0"/>
              </w:rPr>
              <w:t>LAC</w:t>
            </w:r>
          </w:p>
        </w:tc>
        <w:tc>
          <w:tcPr>
            <w:tcW w:w="7244" w:type="dxa"/>
            <w:gridSpan w:val="2"/>
            <w:noWrap/>
          </w:tcPr>
          <w:p w14:paraId="56E88F01"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Latin American Countries</w:t>
            </w:r>
          </w:p>
        </w:tc>
      </w:tr>
      <w:tr w:rsidR="00292E51" w:rsidRPr="00B87FB1" w14:paraId="73C4299B"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tcPr>
          <w:p w14:paraId="7F659C1D" w14:textId="77777777" w:rsidR="00292E51" w:rsidRPr="0007747E" w:rsidRDefault="00292E51" w:rsidP="00C7436D">
            <w:pPr>
              <w:rPr>
                <w:rFonts w:cstheme="minorHAnsi"/>
                <w:b w:val="0"/>
              </w:rPr>
            </w:pPr>
            <w:r w:rsidRPr="0007747E">
              <w:rPr>
                <w:rFonts w:cstheme="minorHAnsi"/>
                <w:b w:val="0"/>
              </w:rPr>
              <w:t>EE</w:t>
            </w:r>
          </w:p>
        </w:tc>
        <w:tc>
          <w:tcPr>
            <w:tcW w:w="7244" w:type="dxa"/>
            <w:gridSpan w:val="2"/>
            <w:noWrap/>
          </w:tcPr>
          <w:p w14:paraId="78230D5A"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Eastern Europe</w:t>
            </w:r>
          </w:p>
        </w:tc>
      </w:tr>
      <w:tr w:rsidR="00292E51" w:rsidRPr="00B87FB1" w14:paraId="077C9B0E" w14:textId="77777777" w:rsidTr="002174F2">
        <w:trPr>
          <w:trHeight w:val="776"/>
        </w:trPr>
        <w:tc>
          <w:tcPr>
            <w:cnfStyle w:val="001000000000" w:firstRow="0" w:lastRow="0" w:firstColumn="1" w:lastColumn="0" w:oddVBand="0" w:evenVBand="0" w:oddHBand="0" w:evenHBand="0" w:firstRowFirstColumn="0" w:firstRowLastColumn="0" w:lastRowFirstColumn="0" w:lastRowLastColumn="0"/>
            <w:tcW w:w="2682" w:type="dxa"/>
            <w:noWrap/>
            <w:hideMark/>
          </w:tcPr>
          <w:p w14:paraId="477D1F83" w14:textId="77777777" w:rsidR="00292E51" w:rsidRPr="0007747E" w:rsidRDefault="00292E51" w:rsidP="00C7436D">
            <w:pPr>
              <w:rPr>
                <w:rFonts w:cstheme="minorHAnsi"/>
                <w:b w:val="0"/>
              </w:rPr>
            </w:pPr>
            <w:r w:rsidRPr="0007747E">
              <w:rPr>
                <w:rFonts w:cstheme="minorHAnsi"/>
                <w:b w:val="0"/>
              </w:rPr>
              <w:t>LLDC+HighNRR+HigherEd</w:t>
            </w:r>
          </w:p>
        </w:tc>
        <w:tc>
          <w:tcPr>
            <w:tcW w:w="4731" w:type="dxa"/>
            <w:hideMark/>
          </w:tcPr>
          <w:p w14:paraId="262EB657"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Least and Less Developed Countries with High Net Reproductive Rates &amp; Higher Educational Attainment.</w:t>
            </w:r>
          </w:p>
        </w:tc>
        <w:tc>
          <w:tcPr>
            <w:tcW w:w="2513" w:type="dxa"/>
            <w:vMerge w:val="restart"/>
            <w:vAlign w:val="center"/>
            <w:hideMark/>
          </w:tcPr>
          <w:p w14:paraId="6915E199"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NOTE: China, LAC, and EE are considered as LLDC  Regions with Low NRR and are accounted for under the _MDC sheet.</w:t>
            </w:r>
          </w:p>
        </w:tc>
      </w:tr>
      <w:tr w:rsidR="00292E51" w:rsidRPr="00B87FB1" w14:paraId="0B81F04F" w14:textId="77777777" w:rsidTr="002174F2">
        <w:trPr>
          <w:trHeight w:val="776"/>
        </w:trPr>
        <w:tc>
          <w:tcPr>
            <w:cnfStyle w:val="001000000000" w:firstRow="0" w:lastRow="0" w:firstColumn="1" w:lastColumn="0" w:oddVBand="0" w:evenVBand="0" w:oddHBand="0" w:evenHBand="0" w:firstRowFirstColumn="0" w:firstRowLastColumn="0" w:lastRowFirstColumn="0" w:lastRowLastColumn="0"/>
            <w:tcW w:w="2682" w:type="dxa"/>
            <w:noWrap/>
            <w:hideMark/>
          </w:tcPr>
          <w:p w14:paraId="52550DD9" w14:textId="77777777" w:rsidR="00292E51" w:rsidRPr="0007747E" w:rsidRDefault="00292E51" w:rsidP="00C7436D">
            <w:pPr>
              <w:rPr>
                <w:rFonts w:cstheme="minorHAnsi"/>
                <w:b w:val="0"/>
              </w:rPr>
            </w:pPr>
            <w:r w:rsidRPr="0007747E">
              <w:rPr>
                <w:rFonts w:cstheme="minorHAnsi"/>
                <w:b w:val="0"/>
              </w:rPr>
              <w:t>LLDC+HighNRR+LowEd</w:t>
            </w:r>
          </w:p>
        </w:tc>
        <w:tc>
          <w:tcPr>
            <w:tcW w:w="4731" w:type="dxa"/>
            <w:hideMark/>
          </w:tcPr>
          <w:p w14:paraId="24012CA7"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Least and Less Developed Countries with High Net Reproductive Rates &amp; Lower Educational Attainment. This excludes China, LAC, and EE.</w:t>
            </w:r>
          </w:p>
        </w:tc>
        <w:tc>
          <w:tcPr>
            <w:tcW w:w="2513" w:type="dxa"/>
            <w:vMerge/>
            <w:hideMark/>
          </w:tcPr>
          <w:p w14:paraId="5C1ACEF2"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p>
        </w:tc>
      </w:tr>
      <w:tr w:rsidR="00292E51" w:rsidRPr="00B87FB1" w14:paraId="0E38434B" w14:textId="77777777" w:rsidTr="002174F2">
        <w:trPr>
          <w:trHeight w:val="776"/>
        </w:trPr>
        <w:tc>
          <w:tcPr>
            <w:cnfStyle w:val="001000000000" w:firstRow="0" w:lastRow="0" w:firstColumn="1" w:lastColumn="0" w:oddVBand="0" w:evenVBand="0" w:oddHBand="0" w:evenHBand="0" w:firstRowFirstColumn="0" w:firstRowLastColumn="0" w:lastRowFirstColumn="0" w:lastRowLastColumn="0"/>
            <w:tcW w:w="2682" w:type="dxa"/>
            <w:noWrap/>
          </w:tcPr>
          <w:p w14:paraId="12ECCABD" w14:textId="77777777" w:rsidR="00292E51" w:rsidRPr="0007747E" w:rsidRDefault="00292E51" w:rsidP="00C7436D">
            <w:pPr>
              <w:rPr>
                <w:rFonts w:cstheme="minorHAnsi"/>
                <w:b w:val="0"/>
              </w:rPr>
            </w:pPr>
            <w:r w:rsidRPr="0007747E">
              <w:rPr>
                <w:rFonts w:cstheme="minorHAnsi"/>
                <w:b w:val="0"/>
              </w:rPr>
              <w:t>MDC+EE+LAC+ LowEd</w:t>
            </w:r>
          </w:p>
        </w:tc>
        <w:tc>
          <w:tcPr>
            <w:tcW w:w="4731" w:type="dxa"/>
          </w:tcPr>
          <w:p w14:paraId="212A6571"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More Developed Countries + EE + LAC with lower educational attainment. This excludes China</w:t>
            </w:r>
          </w:p>
        </w:tc>
        <w:tc>
          <w:tcPr>
            <w:tcW w:w="2513" w:type="dxa"/>
            <w:vMerge/>
          </w:tcPr>
          <w:p w14:paraId="72825D0A"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p>
        </w:tc>
      </w:tr>
      <w:tr w:rsidR="00292E51" w:rsidRPr="00B87FB1" w14:paraId="1023EE4F" w14:textId="77777777" w:rsidTr="002174F2">
        <w:trPr>
          <w:trHeight w:val="776"/>
        </w:trPr>
        <w:tc>
          <w:tcPr>
            <w:cnfStyle w:val="001000000000" w:firstRow="0" w:lastRow="0" w:firstColumn="1" w:lastColumn="0" w:oddVBand="0" w:evenVBand="0" w:oddHBand="0" w:evenHBand="0" w:firstRowFirstColumn="0" w:firstRowLastColumn="0" w:lastRowFirstColumn="0" w:lastRowLastColumn="0"/>
            <w:tcW w:w="2682" w:type="dxa"/>
            <w:noWrap/>
          </w:tcPr>
          <w:p w14:paraId="1F7A5510" w14:textId="77777777" w:rsidR="00292E51" w:rsidRPr="0007747E" w:rsidRDefault="00292E51" w:rsidP="00C7436D">
            <w:pPr>
              <w:rPr>
                <w:rFonts w:cstheme="minorHAnsi"/>
                <w:b w:val="0"/>
              </w:rPr>
            </w:pPr>
            <w:r w:rsidRPr="0007747E">
              <w:rPr>
                <w:rFonts w:cstheme="minorHAnsi"/>
                <w:b w:val="0"/>
              </w:rPr>
              <w:t>MDC+EE+LAC+ HigherEd</w:t>
            </w:r>
          </w:p>
        </w:tc>
        <w:tc>
          <w:tcPr>
            <w:tcW w:w="4731" w:type="dxa"/>
          </w:tcPr>
          <w:p w14:paraId="331DFEDC"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More Developed Countries + EE + LAC + China with higher educational attainment</w:t>
            </w:r>
          </w:p>
        </w:tc>
        <w:tc>
          <w:tcPr>
            <w:tcW w:w="2513" w:type="dxa"/>
            <w:vMerge/>
          </w:tcPr>
          <w:p w14:paraId="20C712AB"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p>
        </w:tc>
      </w:tr>
      <w:tr w:rsidR="00292E51" w:rsidRPr="00B87FB1" w14:paraId="5C94F4CE"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hideMark/>
          </w:tcPr>
          <w:p w14:paraId="4D7A0B6A" w14:textId="77777777" w:rsidR="00292E51" w:rsidRPr="0007747E" w:rsidRDefault="00292E51" w:rsidP="00C7436D">
            <w:pPr>
              <w:rPr>
                <w:rFonts w:cstheme="minorHAnsi"/>
                <w:b w:val="0"/>
              </w:rPr>
            </w:pPr>
            <w:r w:rsidRPr="0007747E">
              <w:rPr>
                <w:rFonts w:cstheme="minorHAnsi"/>
                <w:b w:val="0"/>
              </w:rPr>
              <w:t>REF1</w:t>
            </w:r>
          </w:p>
        </w:tc>
        <w:tc>
          <w:tcPr>
            <w:tcW w:w="7244" w:type="dxa"/>
            <w:gridSpan w:val="2"/>
            <w:noWrap/>
            <w:hideMark/>
          </w:tcPr>
          <w:p w14:paraId="5E14BC9E"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Reference Scenario 1 with Higher Population</w:t>
            </w:r>
          </w:p>
        </w:tc>
      </w:tr>
      <w:tr w:rsidR="00292E51" w:rsidRPr="00B87FB1" w14:paraId="26F05EA2"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hideMark/>
          </w:tcPr>
          <w:p w14:paraId="598062E5" w14:textId="77777777" w:rsidR="00292E51" w:rsidRPr="0007747E" w:rsidRDefault="00292E51" w:rsidP="00C7436D">
            <w:pPr>
              <w:rPr>
                <w:rFonts w:cstheme="minorHAnsi"/>
                <w:b w:val="0"/>
              </w:rPr>
            </w:pPr>
            <w:r w:rsidRPr="0007747E">
              <w:rPr>
                <w:rFonts w:cstheme="minorHAnsi"/>
                <w:b w:val="0"/>
              </w:rPr>
              <w:t>REF2</w:t>
            </w:r>
          </w:p>
        </w:tc>
        <w:tc>
          <w:tcPr>
            <w:tcW w:w="7244" w:type="dxa"/>
            <w:gridSpan w:val="2"/>
            <w:noWrap/>
            <w:hideMark/>
          </w:tcPr>
          <w:p w14:paraId="2D5EBFC9"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Reference Scenario 2 with Lower Population</w:t>
            </w:r>
          </w:p>
        </w:tc>
      </w:tr>
      <w:tr w:rsidR="00292E51" w:rsidRPr="00B87FB1" w14:paraId="60FE7E8C" w14:textId="77777777" w:rsidTr="00C7436D">
        <w:trPr>
          <w:trHeight w:val="270"/>
        </w:trPr>
        <w:tc>
          <w:tcPr>
            <w:cnfStyle w:val="001000000000" w:firstRow="0" w:lastRow="0" w:firstColumn="1" w:lastColumn="0" w:oddVBand="0" w:evenVBand="0" w:oddHBand="0" w:evenHBand="0" w:firstRowFirstColumn="0" w:firstRowLastColumn="0" w:lastRowFirstColumn="0" w:lastRowLastColumn="0"/>
            <w:tcW w:w="2682" w:type="dxa"/>
            <w:noWrap/>
            <w:hideMark/>
          </w:tcPr>
          <w:p w14:paraId="6E6B33CE" w14:textId="77777777" w:rsidR="00292E51" w:rsidRPr="0007747E" w:rsidRDefault="00292E51" w:rsidP="00C7436D">
            <w:pPr>
              <w:rPr>
                <w:rFonts w:cstheme="minorHAnsi"/>
                <w:b w:val="0"/>
              </w:rPr>
            </w:pPr>
            <w:r w:rsidRPr="0007747E">
              <w:rPr>
                <w:rFonts w:cstheme="minorHAnsi"/>
                <w:b w:val="0"/>
              </w:rPr>
              <w:t>TAM</w:t>
            </w:r>
          </w:p>
        </w:tc>
        <w:tc>
          <w:tcPr>
            <w:tcW w:w="7244" w:type="dxa"/>
            <w:gridSpan w:val="2"/>
            <w:noWrap/>
            <w:hideMark/>
          </w:tcPr>
          <w:p w14:paraId="21AF6691" w14:textId="1A9F71EC"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Total Addressable Market</w:t>
            </w:r>
            <w:r w:rsidR="00DF05E1">
              <w:rPr>
                <w:rFonts w:cstheme="minorHAnsi"/>
              </w:rPr>
              <w:t>*</w:t>
            </w:r>
          </w:p>
        </w:tc>
      </w:tr>
      <w:tr w:rsidR="00292E51" w:rsidRPr="00B87FB1" w14:paraId="1DD326DA" w14:textId="77777777" w:rsidTr="00C7436D">
        <w:trPr>
          <w:trHeight w:val="258"/>
        </w:trPr>
        <w:tc>
          <w:tcPr>
            <w:cnfStyle w:val="001000000000" w:firstRow="0" w:lastRow="0" w:firstColumn="1" w:lastColumn="0" w:oddVBand="0" w:evenVBand="0" w:oddHBand="0" w:evenHBand="0" w:firstRowFirstColumn="0" w:firstRowLastColumn="0" w:lastRowFirstColumn="0" w:lastRowLastColumn="0"/>
            <w:tcW w:w="2682" w:type="dxa"/>
            <w:noWrap/>
            <w:hideMark/>
          </w:tcPr>
          <w:p w14:paraId="1E49B1B4" w14:textId="77777777" w:rsidR="00292E51" w:rsidRPr="0007747E" w:rsidRDefault="00292E51" w:rsidP="00C7436D">
            <w:pPr>
              <w:rPr>
                <w:rFonts w:cstheme="minorHAnsi"/>
                <w:b w:val="0"/>
              </w:rPr>
            </w:pPr>
            <w:r w:rsidRPr="0007747E">
              <w:rPr>
                <w:rFonts w:cstheme="minorHAnsi"/>
                <w:b w:val="0"/>
              </w:rPr>
              <w:t>TWh</w:t>
            </w:r>
          </w:p>
        </w:tc>
        <w:tc>
          <w:tcPr>
            <w:tcW w:w="7244" w:type="dxa"/>
            <w:gridSpan w:val="2"/>
            <w:noWrap/>
            <w:hideMark/>
          </w:tcPr>
          <w:p w14:paraId="0C330F00"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Terrawatt-Hours</w:t>
            </w:r>
          </w:p>
        </w:tc>
      </w:tr>
      <w:tr w:rsidR="00292E51" w:rsidRPr="00B87FB1" w14:paraId="6067DCFF" w14:textId="77777777" w:rsidTr="00C7436D">
        <w:trPr>
          <w:trHeight w:val="258"/>
        </w:trPr>
        <w:tc>
          <w:tcPr>
            <w:cnfStyle w:val="001000000000" w:firstRow="0" w:lastRow="0" w:firstColumn="1" w:lastColumn="0" w:oddVBand="0" w:evenVBand="0" w:oddHBand="0" w:evenHBand="0" w:firstRowFirstColumn="0" w:firstRowLastColumn="0" w:lastRowFirstColumn="0" w:lastRowLastColumn="0"/>
            <w:tcW w:w="2682" w:type="dxa"/>
            <w:noWrap/>
          </w:tcPr>
          <w:p w14:paraId="48864758" w14:textId="77777777" w:rsidR="00292E51" w:rsidRPr="0007747E" w:rsidRDefault="00292E51" w:rsidP="00C7436D">
            <w:pPr>
              <w:rPr>
                <w:rFonts w:cstheme="minorHAnsi"/>
                <w:b w:val="0"/>
              </w:rPr>
            </w:pPr>
            <w:r w:rsidRPr="0007747E">
              <w:rPr>
                <w:rFonts w:cstheme="minorHAnsi"/>
                <w:b w:val="0"/>
              </w:rPr>
              <w:t>Conventional</w:t>
            </w:r>
          </w:p>
        </w:tc>
        <w:tc>
          <w:tcPr>
            <w:tcW w:w="7244" w:type="dxa"/>
            <w:gridSpan w:val="2"/>
            <w:noWrap/>
          </w:tcPr>
          <w:p w14:paraId="626BE61D"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Adoption of only conventional, existing solutions/technology, maintaining current status quo</w:t>
            </w:r>
          </w:p>
        </w:tc>
      </w:tr>
      <w:tr w:rsidR="00292E51" w:rsidRPr="00B87FB1" w14:paraId="417EAAEF" w14:textId="77777777" w:rsidTr="00C7436D">
        <w:trPr>
          <w:trHeight w:val="258"/>
        </w:trPr>
        <w:tc>
          <w:tcPr>
            <w:cnfStyle w:val="001000000000" w:firstRow="0" w:lastRow="0" w:firstColumn="1" w:lastColumn="0" w:oddVBand="0" w:evenVBand="0" w:oddHBand="0" w:evenHBand="0" w:firstRowFirstColumn="0" w:firstRowLastColumn="0" w:lastRowFirstColumn="0" w:lastRowLastColumn="0"/>
            <w:tcW w:w="2682" w:type="dxa"/>
            <w:noWrap/>
          </w:tcPr>
          <w:p w14:paraId="0B960326" w14:textId="77777777" w:rsidR="00292E51" w:rsidRPr="0007747E" w:rsidRDefault="00292E51" w:rsidP="00C7436D">
            <w:pPr>
              <w:rPr>
                <w:rFonts w:cstheme="minorHAnsi"/>
                <w:b w:val="0"/>
              </w:rPr>
            </w:pPr>
            <w:r w:rsidRPr="0007747E">
              <w:rPr>
                <w:rFonts w:cstheme="minorHAnsi"/>
                <w:b w:val="0"/>
              </w:rPr>
              <w:t>Solution</w:t>
            </w:r>
          </w:p>
        </w:tc>
        <w:tc>
          <w:tcPr>
            <w:tcW w:w="7244" w:type="dxa"/>
            <w:gridSpan w:val="2"/>
            <w:noWrap/>
          </w:tcPr>
          <w:p w14:paraId="15037A7C"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Adoption of new solutions + conventional, existing solutions/technology in the sector</w:t>
            </w:r>
          </w:p>
        </w:tc>
      </w:tr>
      <w:tr w:rsidR="00292E51" w:rsidRPr="00B87FB1" w14:paraId="7D198C9F" w14:textId="77777777" w:rsidTr="00C7436D">
        <w:trPr>
          <w:trHeight w:val="258"/>
        </w:trPr>
        <w:tc>
          <w:tcPr>
            <w:cnfStyle w:val="001000000000" w:firstRow="0" w:lastRow="0" w:firstColumn="1" w:lastColumn="0" w:oddVBand="0" w:evenVBand="0" w:oddHBand="0" w:evenHBand="0" w:firstRowFirstColumn="0" w:firstRowLastColumn="0" w:lastRowFirstColumn="0" w:lastRowLastColumn="0"/>
            <w:tcW w:w="2682" w:type="dxa"/>
            <w:noWrap/>
          </w:tcPr>
          <w:p w14:paraId="33705C08" w14:textId="77777777" w:rsidR="00292E51" w:rsidRPr="0007747E" w:rsidRDefault="00292E51" w:rsidP="00C7436D">
            <w:pPr>
              <w:rPr>
                <w:rFonts w:cstheme="minorHAnsi"/>
                <w:b w:val="0"/>
              </w:rPr>
            </w:pPr>
            <w:r w:rsidRPr="0007747E">
              <w:rPr>
                <w:rFonts w:cstheme="minorHAnsi"/>
                <w:b w:val="0"/>
              </w:rPr>
              <w:t>Functional units</w:t>
            </w:r>
          </w:p>
        </w:tc>
        <w:tc>
          <w:tcPr>
            <w:tcW w:w="7244" w:type="dxa"/>
            <w:gridSpan w:val="2"/>
            <w:noWrap/>
          </w:tcPr>
          <w:p w14:paraId="78876423"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Each cluster uses a Functional Unit of Measure, to represent the outcome produced, or ‘function’ of the solution</w:t>
            </w:r>
          </w:p>
        </w:tc>
      </w:tr>
      <w:tr w:rsidR="00292E51" w:rsidRPr="00B87FB1" w14:paraId="3764AAEB" w14:textId="77777777" w:rsidTr="00DF05E1">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tcPr>
          <w:p w14:paraId="58349DFB" w14:textId="77777777" w:rsidR="00292E51" w:rsidRPr="0007747E" w:rsidRDefault="00292E51" w:rsidP="00C7436D">
            <w:pPr>
              <w:rPr>
                <w:rFonts w:cstheme="minorHAnsi"/>
                <w:b w:val="0"/>
              </w:rPr>
            </w:pPr>
            <w:r w:rsidRPr="0007747E">
              <w:rPr>
                <w:rFonts w:cstheme="minorHAnsi"/>
                <w:b w:val="0"/>
              </w:rPr>
              <w:t>Implementation units</w:t>
            </w:r>
          </w:p>
        </w:tc>
        <w:tc>
          <w:tcPr>
            <w:tcW w:w="7244" w:type="dxa"/>
            <w:gridSpan w:val="2"/>
            <w:tcBorders>
              <w:bottom w:val="single" w:sz="4" w:space="0" w:color="89C2E5" w:themeColor="accent3" w:themeTint="66"/>
            </w:tcBorders>
            <w:noWrap/>
          </w:tcPr>
          <w:p w14:paraId="759D8783" w14:textId="77777777" w:rsidR="00292E51" w:rsidRPr="0007747E" w:rsidRDefault="00292E51" w:rsidP="00C7436D">
            <w:pPr>
              <w:cnfStyle w:val="000000000000" w:firstRow="0" w:lastRow="0" w:firstColumn="0" w:lastColumn="0" w:oddVBand="0" w:evenVBand="0" w:oddHBand="0" w:evenHBand="0" w:firstRowFirstColumn="0" w:firstRowLastColumn="0" w:lastRowFirstColumn="0" w:lastRowLastColumn="0"/>
              <w:rPr>
                <w:rFonts w:cstheme="minorHAnsi"/>
              </w:rPr>
            </w:pPr>
            <w:r w:rsidRPr="0007747E">
              <w:rPr>
                <w:rFonts w:cstheme="minorHAnsi"/>
              </w:rPr>
              <w:t>Represents the number of acquisitions and installations, or ‘implementations’ of the solution. Closely related to functional units, in that the implementation unit produces the function that is in demand</w:t>
            </w:r>
          </w:p>
        </w:tc>
      </w:tr>
      <w:tr w:rsidR="000C3F75" w:rsidRPr="00B87FB1" w14:paraId="610524FA"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7BFD6AC8" w14:textId="698E0455" w:rsidR="000C3F75" w:rsidRPr="005758CA" w:rsidRDefault="00AC466B" w:rsidP="00110F94">
            <w:pPr>
              <w:rPr>
                <w:rFonts w:cstheme="minorHAnsi"/>
                <w:b w:val="0"/>
              </w:rPr>
            </w:pPr>
            <m:oMathPara>
              <m:oMath>
                <m:d>
                  <m:dPr>
                    <m:begChr m:val="["/>
                    <m:endChr m:val="]"/>
                    <m:ctrlPr>
                      <w:rPr>
                        <w:rFonts w:ascii="Cambria Math" w:hAnsi="Cambria Math" w:cstheme="minorHAnsi"/>
                        <w:b w:val="0"/>
                        <w:bCs w:val="0"/>
                        <w:i/>
                      </w:rPr>
                    </m:ctrlPr>
                  </m:dPr>
                  <m:e>
                    <m:sSub>
                      <m:sSubPr>
                        <m:ctrlPr>
                          <w:rPr>
                            <w:rFonts w:ascii="Cambria Math" w:hAnsi="Cambria Math" w:cstheme="minorHAnsi"/>
                            <w:b w:val="0"/>
                            <w:i/>
                          </w:rPr>
                        </m:ctrlPr>
                      </m:sSubPr>
                      <m:e>
                        <m:r>
                          <m:rPr>
                            <m:sty m:val="bi"/>
                          </m:rPr>
                          <w:rPr>
                            <w:rFonts w:ascii="Cambria Math" w:hAnsi="Cambria Math" w:cstheme="minorHAnsi"/>
                          </w:rPr>
                          <m:t>y</m:t>
                        </m:r>
                      </m:e>
                      <m:sub>
                        <m:r>
                          <m:rPr>
                            <m:sty m:val="bi"/>
                          </m:rPr>
                          <w:rPr>
                            <w:rFonts w:ascii="Cambria Math" w:hAnsi="Cambria Math" w:cstheme="minorHAnsi"/>
                          </w:rPr>
                          <m:t>1</m:t>
                        </m:r>
                      </m:sub>
                    </m:sSub>
                    <m:r>
                      <m:rPr>
                        <m:sty m:val="bi"/>
                      </m:rPr>
                      <w:rPr>
                        <w:rFonts w:ascii="Cambria Math" w:hAnsi="Cambria Math" w:cstheme="minorHAnsi"/>
                      </w:rPr>
                      <m:t>,</m:t>
                    </m:r>
                    <m:sSub>
                      <m:sSubPr>
                        <m:ctrlPr>
                          <w:rPr>
                            <w:rFonts w:ascii="Cambria Math" w:hAnsi="Cambria Math" w:cstheme="minorHAnsi"/>
                            <w:b w:val="0"/>
                            <w:i/>
                          </w:rPr>
                        </m:ctrlPr>
                      </m:sSubPr>
                      <m:e>
                        <m:r>
                          <m:rPr>
                            <m:sty m:val="bi"/>
                          </m:rPr>
                          <w:rPr>
                            <w:rFonts w:ascii="Cambria Math" w:hAnsi="Cambria Math" w:cstheme="minorHAnsi"/>
                          </w:rPr>
                          <m:t>y</m:t>
                        </m:r>
                      </m:e>
                      <m:sub>
                        <m:r>
                          <m:rPr>
                            <m:sty m:val="bi"/>
                          </m:rPr>
                          <w:rPr>
                            <w:rFonts w:ascii="Cambria Math" w:hAnsi="Cambria Math" w:cstheme="minorHAnsi"/>
                          </w:rPr>
                          <m:t>max</m:t>
                        </m:r>
                      </m:sub>
                    </m:sSub>
                  </m:e>
                </m:d>
              </m:oMath>
            </m:oMathPara>
          </w:p>
        </w:tc>
        <w:tc>
          <w:tcPr>
            <w:tcW w:w="4731" w:type="dxa"/>
            <w:tcBorders>
              <w:bottom w:val="single" w:sz="4" w:space="0" w:color="89C2E5" w:themeColor="accent3" w:themeTint="66"/>
            </w:tcBorders>
            <w:noWrap/>
            <w:vAlign w:val="center"/>
          </w:tcPr>
          <w:p w14:paraId="6F9FD56A" w14:textId="77777777" w:rsidR="000C3F75" w:rsidRPr="000C3F75" w:rsidRDefault="000C3F75" w:rsidP="000C3F7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The range of years of the analysis</w:t>
            </w:r>
          </w:p>
        </w:tc>
        <w:tc>
          <w:tcPr>
            <w:tcW w:w="2513" w:type="dxa"/>
            <w:tcBorders>
              <w:bottom w:val="single" w:sz="4" w:space="0" w:color="89C2E5" w:themeColor="accent3" w:themeTint="66"/>
            </w:tcBorders>
            <w:vAlign w:val="center"/>
          </w:tcPr>
          <w:p w14:paraId="43F67577" w14:textId="1614E38F" w:rsidR="000C3F75" w:rsidRPr="000C3F75" w:rsidRDefault="000C3F75" w:rsidP="000C3F7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[2020,2050] in the model</w:t>
            </w:r>
          </w:p>
        </w:tc>
      </w:tr>
      <w:tr w:rsidR="002174F2" w:rsidRPr="00B87FB1" w14:paraId="7D92058B"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00A58F08" w14:textId="49C066D7" w:rsidR="002174F2" w:rsidRDefault="00AC466B" w:rsidP="002174F2">
            <w:pPr>
              <w:rPr>
                <w:rFonts w:ascii="Calibri" w:eastAsia="SimSun" w:hAnsi="Calibri" w:cs="Arial"/>
              </w:rPr>
            </w:pPr>
            <m:oMathPara>
              <m:oMath>
                <m:sSup>
                  <m:sSupPr>
                    <m:ctrlPr>
                      <w:rPr>
                        <w:rFonts w:ascii="Cambria Math" w:hAnsi="Cambria Math" w:cstheme="minorHAnsi"/>
                        <w:b w:val="0"/>
                        <w:i/>
                      </w:rPr>
                    </m:ctrlPr>
                  </m:sSupPr>
                  <m:e>
                    <m:r>
                      <m:rPr>
                        <m:sty m:val="bi"/>
                      </m:rPr>
                      <w:rPr>
                        <w:rFonts w:ascii="Cambria Math" w:hAnsi="Cambria Math" w:cstheme="minorHAnsi"/>
                      </w:rPr>
                      <m:t>Pop</m:t>
                    </m:r>
                  </m:e>
                  <m:sup>
                    <m:r>
                      <m:rPr>
                        <m:sty m:val="bi"/>
                      </m:rPr>
                      <w:rPr>
                        <w:rFonts w:ascii="Cambria Math" w:hAnsi="Cambria Math" w:cstheme="minorHAnsi"/>
                      </w:rPr>
                      <m:t>REF 2</m:t>
                    </m:r>
                  </m:sup>
                </m:sSup>
              </m:oMath>
            </m:oMathPara>
          </w:p>
        </w:tc>
        <w:tc>
          <w:tcPr>
            <w:tcW w:w="4731" w:type="dxa"/>
            <w:tcBorders>
              <w:bottom w:val="single" w:sz="4" w:space="0" w:color="89C2E5" w:themeColor="accent3" w:themeTint="66"/>
            </w:tcBorders>
            <w:noWrap/>
            <w:vAlign w:val="center"/>
          </w:tcPr>
          <w:p w14:paraId="6A6CD1AA" w14:textId="76CB7A59" w:rsidR="002174F2" w:rsidRPr="000C3F75" w:rsidRDefault="002174F2" w:rsidP="000C3F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Total population in the REF 2 scenario</w:t>
            </w:r>
          </w:p>
        </w:tc>
        <w:tc>
          <w:tcPr>
            <w:tcW w:w="2513" w:type="dxa"/>
            <w:tcBorders>
              <w:bottom w:val="single" w:sz="4" w:space="0" w:color="89C2E5" w:themeColor="accent3" w:themeTint="66"/>
            </w:tcBorders>
            <w:vAlign w:val="center"/>
          </w:tcPr>
          <w:p w14:paraId="6BB44398" w14:textId="64F49C68" w:rsidR="002174F2" w:rsidRPr="000C3F75" w:rsidRDefault="002174F2" w:rsidP="002174F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numbers of people (billions)</w:t>
            </w:r>
          </w:p>
        </w:tc>
      </w:tr>
      <w:tr w:rsidR="002174F2" w:rsidRPr="00B87FB1" w14:paraId="2621BF9E"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45977E5C" w14:textId="36735604" w:rsidR="002174F2" w:rsidRDefault="00AC466B" w:rsidP="002174F2">
            <w:pPr>
              <w:rPr>
                <w:rFonts w:ascii="Calibri" w:eastAsia="SimSun" w:hAnsi="Calibri" w:cs="Arial"/>
              </w:rPr>
            </w:pPr>
            <m:oMathPara>
              <m:oMath>
                <m:sSup>
                  <m:sSupPr>
                    <m:ctrlPr>
                      <w:rPr>
                        <w:rFonts w:ascii="Cambria Math" w:hAnsi="Cambria Math" w:cstheme="minorHAnsi"/>
                        <w:b w:val="0"/>
                        <w:i/>
                      </w:rPr>
                    </m:ctrlPr>
                  </m:sSupPr>
                  <m:e>
                    <m:r>
                      <m:rPr>
                        <m:sty m:val="bi"/>
                      </m:rPr>
                      <w:rPr>
                        <w:rFonts w:ascii="Cambria Math" w:hAnsi="Cambria Math" w:cstheme="minorHAnsi"/>
                      </w:rPr>
                      <m:t>Pop</m:t>
                    </m:r>
                  </m:e>
                  <m:sup>
                    <m:r>
                      <m:rPr>
                        <m:sty m:val="bi"/>
                      </m:rPr>
                      <w:rPr>
                        <w:rFonts w:ascii="Cambria Math" w:hAnsi="Cambria Math" w:cstheme="minorHAnsi"/>
                      </w:rPr>
                      <m:t>REF</m:t>
                    </m:r>
                    <m:r>
                      <m:rPr>
                        <m:sty m:val="bi"/>
                      </m:rPr>
                      <w:rPr>
                        <w:rFonts w:ascii="Cambria Math" w:hAnsi="Cambria Math" w:cstheme="minorHAnsi"/>
                      </w:rPr>
                      <m:t>1</m:t>
                    </m:r>
                  </m:sup>
                </m:sSup>
              </m:oMath>
            </m:oMathPara>
          </w:p>
        </w:tc>
        <w:tc>
          <w:tcPr>
            <w:tcW w:w="4731" w:type="dxa"/>
            <w:tcBorders>
              <w:bottom w:val="single" w:sz="4" w:space="0" w:color="89C2E5" w:themeColor="accent3" w:themeTint="66"/>
            </w:tcBorders>
            <w:noWrap/>
            <w:vAlign w:val="center"/>
          </w:tcPr>
          <w:p w14:paraId="5FD760F1" w14:textId="048F16BA" w:rsidR="002174F2" w:rsidRPr="000C3F75" w:rsidRDefault="002174F2" w:rsidP="007B556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Total population in the REF </w:t>
            </w:r>
            <w:r w:rsidR="007B5565">
              <w:rPr>
                <w:rFonts w:cstheme="minorHAnsi"/>
              </w:rPr>
              <w:t>1</w:t>
            </w:r>
            <w:r>
              <w:rPr>
                <w:rFonts w:cstheme="minorHAnsi"/>
              </w:rPr>
              <w:t xml:space="preserve"> scenario</w:t>
            </w:r>
          </w:p>
        </w:tc>
        <w:tc>
          <w:tcPr>
            <w:tcW w:w="2513" w:type="dxa"/>
            <w:tcBorders>
              <w:bottom w:val="single" w:sz="4" w:space="0" w:color="89C2E5" w:themeColor="accent3" w:themeTint="66"/>
            </w:tcBorders>
            <w:vAlign w:val="center"/>
          </w:tcPr>
          <w:p w14:paraId="64AEEF5D" w14:textId="4424D829" w:rsidR="002174F2" w:rsidRPr="000C3F75" w:rsidRDefault="002174F2" w:rsidP="002174F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numbers of people (billions)</w:t>
            </w:r>
          </w:p>
        </w:tc>
      </w:tr>
      <w:tr w:rsidR="007B5565" w:rsidRPr="00B87FB1" w14:paraId="611A80CC"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0D069B50" w14:textId="588A3E4E" w:rsidR="007B5565" w:rsidRDefault="00AC466B" w:rsidP="007B5565">
            <w:pPr>
              <w:rPr>
                <w:rFonts w:ascii="Calibri" w:eastAsia="SimSun" w:hAnsi="Calibri" w:cs="Arial"/>
                <w:b w:val="0"/>
              </w:rPr>
            </w:pPr>
            <m:oMathPara>
              <m:oMath>
                <m:sSup>
                  <m:sSupPr>
                    <m:ctrlPr>
                      <w:rPr>
                        <w:rFonts w:ascii="Cambria Math" w:hAnsi="Cambria Math" w:cstheme="minorHAnsi"/>
                        <w:b w:val="0"/>
                        <w:i/>
                      </w:rPr>
                    </m:ctrlPr>
                  </m:sSupPr>
                  <m:e>
                    <m:r>
                      <m:rPr>
                        <m:sty m:val="bi"/>
                      </m:rPr>
                      <w:rPr>
                        <w:rFonts w:ascii="Cambria Math" w:hAnsi="Cambria Math" w:cstheme="minorHAnsi"/>
                      </w:rPr>
                      <m:t>TAM</m:t>
                    </m:r>
                  </m:e>
                  <m:sup>
                    <m:r>
                      <m:rPr>
                        <m:sty m:val="bi"/>
                      </m:rPr>
                      <w:rPr>
                        <w:rFonts w:ascii="Cambria Math" w:hAnsi="Cambria Math" w:cstheme="minorHAnsi"/>
                      </w:rPr>
                      <m:t>REF 2</m:t>
                    </m:r>
                  </m:sup>
                </m:sSup>
              </m:oMath>
            </m:oMathPara>
          </w:p>
        </w:tc>
        <w:tc>
          <w:tcPr>
            <w:tcW w:w="4731" w:type="dxa"/>
            <w:tcBorders>
              <w:bottom w:val="single" w:sz="4" w:space="0" w:color="89C2E5" w:themeColor="accent3" w:themeTint="66"/>
            </w:tcBorders>
            <w:noWrap/>
            <w:vAlign w:val="center"/>
          </w:tcPr>
          <w:p w14:paraId="5180F6EC" w14:textId="53A06BDD" w:rsidR="007B556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Total addressable marker in the REF 2 scenario </w:t>
            </w:r>
          </w:p>
        </w:tc>
        <w:tc>
          <w:tcPr>
            <w:tcW w:w="2513" w:type="dxa"/>
            <w:tcBorders>
              <w:bottom w:val="single" w:sz="4" w:space="0" w:color="89C2E5" w:themeColor="accent3" w:themeTint="66"/>
            </w:tcBorders>
            <w:vAlign w:val="center"/>
          </w:tcPr>
          <w:p w14:paraId="5B8D91AD" w14:textId="77777777" w:rsidR="007B556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p>
        </w:tc>
      </w:tr>
      <w:tr w:rsidR="007B5565" w:rsidRPr="00B87FB1" w14:paraId="42F860FD"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19DA75F7" w14:textId="67A8EB29" w:rsidR="007B5565" w:rsidRDefault="00AC466B" w:rsidP="007B5565">
            <w:pPr>
              <w:rPr>
                <w:rFonts w:ascii="Calibri" w:eastAsia="SimSun" w:hAnsi="Calibri" w:cs="Arial"/>
                <w:b w:val="0"/>
              </w:rPr>
            </w:pPr>
            <m:oMathPara>
              <m:oMath>
                <m:sSup>
                  <m:sSupPr>
                    <m:ctrlPr>
                      <w:rPr>
                        <w:rFonts w:ascii="Cambria Math" w:hAnsi="Cambria Math" w:cstheme="minorHAnsi"/>
                        <w:b w:val="0"/>
                        <w:i/>
                      </w:rPr>
                    </m:ctrlPr>
                  </m:sSupPr>
                  <m:e>
                    <m:r>
                      <m:rPr>
                        <m:sty m:val="bi"/>
                      </m:rPr>
                      <w:rPr>
                        <w:rFonts w:ascii="Cambria Math" w:hAnsi="Cambria Math" w:cstheme="minorHAnsi"/>
                      </w:rPr>
                      <m:t>TAM</m:t>
                    </m:r>
                  </m:e>
                  <m:sup>
                    <m:r>
                      <m:rPr>
                        <m:sty m:val="bi"/>
                      </m:rPr>
                      <w:rPr>
                        <w:rFonts w:ascii="Cambria Math" w:hAnsi="Cambria Math" w:cstheme="minorHAnsi"/>
                      </w:rPr>
                      <m:t>REF</m:t>
                    </m:r>
                    <m:r>
                      <m:rPr>
                        <m:sty m:val="bi"/>
                      </m:rPr>
                      <w:rPr>
                        <w:rFonts w:ascii="Cambria Math" w:hAnsi="Cambria Math" w:cstheme="minorHAnsi"/>
                      </w:rPr>
                      <m:t>1</m:t>
                    </m:r>
                  </m:sup>
                </m:sSup>
              </m:oMath>
            </m:oMathPara>
          </w:p>
        </w:tc>
        <w:tc>
          <w:tcPr>
            <w:tcW w:w="4731" w:type="dxa"/>
            <w:tcBorders>
              <w:bottom w:val="single" w:sz="4" w:space="0" w:color="89C2E5" w:themeColor="accent3" w:themeTint="66"/>
            </w:tcBorders>
            <w:noWrap/>
            <w:vAlign w:val="center"/>
          </w:tcPr>
          <w:p w14:paraId="6CEC40D2" w14:textId="3A616EA6" w:rsidR="007B556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Total addressable marker in the REF 1 scenario </w:t>
            </w:r>
          </w:p>
        </w:tc>
        <w:tc>
          <w:tcPr>
            <w:tcW w:w="2513" w:type="dxa"/>
            <w:tcBorders>
              <w:bottom w:val="single" w:sz="4" w:space="0" w:color="89C2E5" w:themeColor="accent3" w:themeTint="66"/>
            </w:tcBorders>
            <w:vAlign w:val="center"/>
          </w:tcPr>
          <w:p w14:paraId="3E7FAC0E" w14:textId="77777777" w:rsidR="007B556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p>
        </w:tc>
      </w:tr>
      <w:tr w:rsidR="007B5565" w:rsidRPr="00B87FB1" w14:paraId="09A9521E"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63418E82" w14:textId="1F9225F3" w:rsidR="007B5565" w:rsidRPr="005758CA" w:rsidRDefault="00AC466B" w:rsidP="007B5565">
            <w:pPr>
              <w:rPr>
                <w:rFonts w:cstheme="minorHAnsi"/>
                <w:b w:val="0"/>
              </w:rPr>
            </w:pPr>
            <m:oMathPara>
              <m:oMath>
                <m:sSub>
                  <m:sSubPr>
                    <m:ctrlPr>
                      <w:rPr>
                        <w:rFonts w:ascii="Cambria Math" w:hAnsi="Cambria Math" w:cstheme="minorHAnsi"/>
                        <w:b w:val="0"/>
                        <w:i/>
                      </w:rPr>
                    </m:ctrlPr>
                  </m:sSubPr>
                  <m:e>
                    <m:r>
                      <m:rPr>
                        <m:sty m:val="bi"/>
                      </m:rPr>
                      <w:rPr>
                        <w:rFonts w:ascii="Cambria Math" w:hAnsi="Cambria Math" w:cstheme="minorHAnsi"/>
                      </w:rPr>
                      <m:t>Grid</m:t>
                    </m:r>
                    <m:r>
                      <m:rPr>
                        <m:sty m:val="b"/>
                      </m:rPr>
                      <w:rPr>
                        <w:rFonts w:ascii="Cambria Math" w:hAnsi="Cambria Math" w:cstheme="minorHAnsi"/>
                      </w:rPr>
                      <m:t>Δ</m:t>
                    </m:r>
                  </m:e>
                  <m:sub>
                    <m:r>
                      <m:rPr>
                        <m:sty m:val="bi"/>
                      </m:rPr>
                      <w:rPr>
                        <w:rFonts w:ascii="Cambria Math" w:hAnsi="Cambria Math" w:cstheme="minorHAnsi"/>
                      </w:rPr>
                      <m:t>y</m:t>
                    </m:r>
                  </m:sub>
                </m:sSub>
              </m:oMath>
            </m:oMathPara>
          </w:p>
        </w:tc>
        <w:tc>
          <w:tcPr>
            <w:tcW w:w="4731" w:type="dxa"/>
            <w:tcBorders>
              <w:bottom w:val="single" w:sz="4" w:space="0" w:color="89C2E5" w:themeColor="accent3" w:themeTint="66"/>
            </w:tcBorders>
            <w:noWrap/>
            <w:vAlign w:val="center"/>
          </w:tcPr>
          <w:p w14:paraId="63097A95" w14:textId="73CFF6BF"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 xml:space="preserve">Reduction in </w:t>
            </w:r>
            <m:oMath>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r>
                <w:rPr>
                  <w:rFonts w:ascii="Cambria Math" w:hAnsi="Cambria Math" w:cstheme="minorHAnsi"/>
                </w:rPr>
                <m:t>eq</m:t>
              </m:r>
            </m:oMath>
            <w:r w:rsidRPr="000C3F75">
              <w:rPr>
                <w:rFonts w:cstheme="minorHAnsi"/>
              </w:rPr>
              <w:t xml:space="preserve"> grid emissions for year </w:t>
            </w:r>
            <m:oMath>
              <m:r>
                <w:rPr>
                  <w:rFonts w:ascii="Cambria Math" w:hAnsi="Cambria Math" w:cstheme="minorHAnsi"/>
                </w:rPr>
                <m:t>y</m:t>
              </m:r>
            </m:oMath>
          </w:p>
        </w:tc>
        <w:tc>
          <w:tcPr>
            <w:tcW w:w="2513" w:type="dxa"/>
            <w:tcBorders>
              <w:bottom w:val="single" w:sz="4" w:space="0" w:color="89C2E5" w:themeColor="accent3" w:themeTint="66"/>
            </w:tcBorders>
            <w:vAlign w:val="center"/>
          </w:tcPr>
          <w:p w14:paraId="6504F148" w14:textId="3A6AB533"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Gt CO</w:t>
            </w:r>
            <w:r w:rsidRPr="000C3F75">
              <w:rPr>
                <w:rFonts w:cstheme="minorHAnsi"/>
                <w:vertAlign w:val="subscript"/>
              </w:rPr>
              <w:t>2</w:t>
            </w:r>
            <w:r w:rsidRPr="000C3F75">
              <w:rPr>
                <w:rFonts w:cstheme="minorHAnsi"/>
              </w:rPr>
              <w:t>-eq</w:t>
            </w:r>
          </w:p>
        </w:tc>
      </w:tr>
      <w:tr w:rsidR="007B5565" w:rsidRPr="00B87FB1" w14:paraId="66176BC0"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5C984E8F" w14:textId="3C5A3DC9" w:rsidR="007B5565" w:rsidRPr="005758CA" w:rsidRDefault="00AC466B" w:rsidP="007B5565">
            <w:pPr>
              <w:rPr>
                <w:rFonts w:cstheme="minorHAnsi"/>
                <w:b w:val="0"/>
              </w:rPr>
            </w:pPr>
            <m:oMathPara>
              <m:oMath>
                <m:sSub>
                  <m:sSubPr>
                    <m:ctrlPr>
                      <w:rPr>
                        <w:rFonts w:ascii="Cambria Math" w:hAnsi="Cambria Math" w:cstheme="minorHAnsi"/>
                        <w:b w:val="0"/>
                        <w:i/>
                      </w:rPr>
                    </m:ctrlPr>
                  </m:sSubPr>
                  <m:e>
                    <m:r>
                      <m:rPr>
                        <m:sty m:val="bi"/>
                      </m:rPr>
                      <w:rPr>
                        <w:rFonts w:ascii="Cambria Math" w:hAnsi="Cambria Math" w:cstheme="minorHAnsi"/>
                      </w:rPr>
                      <m:t>Fuel</m:t>
                    </m:r>
                    <m:r>
                      <m:rPr>
                        <m:sty m:val="b"/>
                      </m:rPr>
                      <w:rPr>
                        <w:rFonts w:ascii="Cambria Math" w:hAnsi="Cambria Math" w:cstheme="minorHAnsi"/>
                      </w:rPr>
                      <m:t>Δ</m:t>
                    </m:r>
                  </m:e>
                  <m:sub>
                    <m:r>
                      <m:rPr>
                        <m:sty m:val="bi"/>
                      </m:rPr>
                      <w:rPr>
                        <w:rFonts w:ascii="Cambria Math" w:hAnsi="Cambria Math" w:cstheme="minorHAnsi"/>
                      </w:rPr>
                      <m:t>y</m:t>
                    </m:r>
                  </m:sub>
                </m:sSub>
              </m:oMath>
            </m:oMathPara>
          </w:p>
        </w:tc>
        <w:tc>
          <w:tcPr>
            <w:tcW w:w="4731" w:type="dxa"/>
            <w:tcBorders>
              <w:bottom w:val="single" w:sz="4" w:space="0" w:color="89C2E5" w:themeColor="accent3" w:themeTint="66"/>
            </w:tcBorders>
            <w:noWrap/>
            <w:vAlign w:val="center"/>
          </w:tcPr>
          <w:p w14:paraId="38D00C42" w14:textId="27EEB46D"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 xml:space="preserve">Reduction in </w:t>
            </w:r>
            <m:oMath>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r>
                <w:rPr>
                  <w:rFonts w:ascii="Cambria Math" w:hAnsi="Cambria Math" w:cstheme="minorHAnsi"/>
                </w:rPr>
                <m:t>eq</m:t>
              </m:r>
            </m:oMath>
            <w:r w:rsidRPr="000C3F75">
              <w:rPr>
                <w:rFonts w:cstheme="minorHAnsi"/>
              </w:rPr>
              <w:t xml:space="preserve"> fuel emissions for year </w:t>
            </w:r>
            <m:oMath>
              <m:r>
                <w:rPr>
                  <w:rFonts w:ascii="Cambria Math" w:hAnsi="Cambria Math" w:cstheme="minorHAnsi"/>
                </w:rPr>
                <m:t>y</m:t>
              </m:r>
            </m:oMath>
          </w:p>
        </w:tc>
        <w:tc>
          <w:tcPr>
            <w:tcW w:w="2513" w:type="dxa"/>
            <w:tcBorders>
              <w:bottom w:val="single" w:sz="4" w:space="0" w:color="89C2E5" w:themeColor="accent3" w:themeTint="66"/>
            </w:tcBorders>
            <w:vAlign w:val="center"/>
          </w:tcPr>
          <w:p w14:paraId="5A0AA98D" w14:textId="2AB62D9C"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Gt CO</w:t>
            </w:r>
            <w:r w:rsidRPr="000C3F75">
              <w:rPr>
                <w:rFonts w:cstheme="minorHAnsi"/>
                <w:vertAlign w:val="subscript"/>
              </w:rPr>
              <w:t>2</w:t>
            </w:r>
            <w:r w:rsidRPr="000C3F75">
              <w:rPr>
                <w:rFonts w:cstheme="minorHAnsi"/>
              </w:rPr>
              <w:t>-eq</w:t>
            </w:r>
          </w:p>
        </w:tc>
      </w:tr>
      <w:tr w:rsidR="007B5565" w:rsidRPr="00B87FB1" w14:paraId="59DF6112"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215DBE7F" w14:textId="0253B7B6" w:rsidR="007B5565" w:rsidRPr="005758CA" w:rsidRDefault="00AC466B" w:rsidP="007B5565">
            <w:pPr>
              <w:rPr>
                <w:rFonts w:cstheme="minorHAnsi"/>
                <w:b w:val="0"/>
              </w:rPr>
            </w:pPr>
            <m:oMathPara>
              <m:oMath>
                <m:sSub>
                  <m:sSubPr>
                    <m:ctrlPr>
                      <w:rPr>
                        <w:rFonts w:ascii="Cambria Math" w:hAnsi="Cambria Math" w:cstheme="minorHAnsi"/>
                        <w:b w:val="0"/>
                        <w:i/>
                      </w:rPr>
                    </m:ctrlPr>
                  </m:sSubPr>
                  <m:e>
                    <m:r>
                      <m:rPr>
                        <m:sty m:val="bi"/>
                      </m:rPr>
                      <w:rPr>
                        <w:rFonts w:ascii="Cambria Math" w:hAnsi="Cambria Math" w:cstheme="minorHAnsi"/>
                      </w:rPr>
                      <m:t>ODirect</m:t>
                    </m:r>
                    <m:r>
                      <m:rPr>
                        <m:sty m:val="b"/>
                      </m:rPr>
                      <w:rPr>
                        <w:rFonts w:ascii="Cambria Math" w:hAnsi="Cambria Math" w:cstheme="minorHAnsi"/>
                      </w:rPr>
                      <m:t>Δ</m:t>
                    </m:r>
                  </m:e>
                  <m:sub>
                    <m:r>
                      <m:rPr>
                        <m:sty m:val="bi"/>
                      </m:rPr>
                      <w:rPr>
                        <w:rFonts w:ascii="Cambria Math" w:hAnsi="Cambria Math" w:cstheme="minorHAnsi"/>
                      </w:rPr>
                      <m:t>y</m:t>
                    </m:r>
                  </m:sub>
                </m:sSub>
              </m:oMath>
            </m:oMathPara>
          </w:p>
        </w:tc>
        <w:tc>
          <w:tcPr>
            <w:tcW w:w="4731" w:type="dxa"/>
            <w:tcBorders>
              <w:bottom w:val="single" w:sz="4" w:space="0" w:color="89C2E5" w:themeColor="accent3" w:themeTint="66"/>
            </w:tcBorders>
            <w:noWrap/>
            <w:vAlign w:val="center"/>
          </w:tcPr>
          <w:p w14:paraId="20C64359" w14:textId="356B1739"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 xml:space="preserve">Reduction in </w:t>
            </w:r>
            <m:oMath>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r>
                <w:rPr>
                  <w:rFonts w:ascii="Cambria Math" w:hAnsi="Cambria Math" w:cstheme="minorHAnsi"/>
                </w:rPr>
                <m:t>eq</m:t>
              </m:r>
            </m:oMath>
            <w:r w:rsidRPr="000C3F75">
              <w:rPr>
                <w:rFonts w:cstheme="minorHAnsi"/>
              </w:rPr>
              <w:t xml:space="preserve"> other direct emissions for year </w:t>
            </w:r>
            <m:oMath>
              <m:r>
                <w:rPr>
                  <w:rFonts w:ascii="Cambria Math" w:hAnsi="Cambria Math" w:cstheme="minorHAnsi"/>
                </w:rPr>
                <m:t>y</m:t>
              </m:r>
            </m:oMath>
            <w:r w:rsidRPr="000C3F75">
              <w:rPr>
                <w:rFonts w:cstheme="minorHAnsi"/>
              </w:rPr>
              <w:t xml:space="preserve"> (that is, not grid or fuel emissions)</w:t>
            </w:r>
          </w:p>
        </w:tc>
        <w:tc>
          <w:tcPr>
            <w:tcW w:w="2513" w:type="dxa"/>
            <w:tcBorders>
              <w:bottom w:val="single" w:sz="4" w:space="0" w:color="89C2E5" w:themeColor="accent3" w:themeTint="66"/>
            </w:tcBorders>
            <w:vAlign w:val="center"/>
          </w:tcPr>
          <w:p w14:paraId="2461E01C" w14:textId="2A008979"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Gt CO</w:t>
            </w:r>
            <w:r w:rsidRPr="000C3F75">
              <w:rPr>
                <w:rFonts w:cstheme="minorHAnsi"/>
                <w:vertAlign w:val="subscript"/>
              </w:rPr>
              <w:t>2</w:t>
            </w:r>
            <w:r w:rsidRPr="000C3F75">
              <w:rPr>
                <w:rFonts w:cstheme="minorHAnsi"/>
              </w:rPr>
              <w:t>-eq</w:t>
            </w:r>
          </w:p>
        </w:tc>
      </w:tr>
      <w:tr w:rsidR="007B5565" w:rsidRPr="00B87FB1" w14:paraId="37448E92"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6BDA387C" w14:textId="02B88555" w:rsidR="007B5565" w:rsidRPr="005758CA" w:rsidRDefault="00AC466B" w:rsidP="007B5565">
            <w:pPr>
              <w:rPr>
                <w:rFonts w:cstheme="minorHAnsi"/>
                <w:b w:val="0"/>
              </w:rPr>
            </w:pPr>
            <m:oMathPara>
              <m:oMath>
                <m:sSub>
                  <m:sSubPr>
                    <m:ctrlPr>
                      <w:rPr>
                        <w:rFonts w:ascii="Cambria Math" w:hAnsi="Cambria Math" w:cstheme="minorHAnsi"/>
                        <w:b w:val="0"/>
                        <w:i/>
                      </w:rPr>
                    </m:ctrlPr>
                  </m:sSubPr>
                  <m:e>
                    <m:r>
                      <m:rPr>
                        <m:sty m:val="bi"/>
                      </m:rPr>
                      <w:rPr>
                        <w:rFonts w:ascii="Cambria Math" w:hAnsi="Cambria Math" w:cstheme="minorHAnsi"/>
                      </w:rPr>
                      <m:t>Indirect</m:t>
                    </m:r>
                    <m:r>
                      <m:rPr>
                        <m:sty m:val="b"/>
                      </m:rPr>
                      <w:rPr>
                        <w:rFonts w:ascii="Cambria Math" w:hAnsi="Cambria Math" w:cstheme="minorHAnsi"/>
                      </w:rPr>
                      <m:t>Δ</m:t>
                    </m:r>
                  </m:e>
                  <m:sub>
                    <m:r>
                      <m:rPr>
                        <m:sty m:val="bi"/>
                      </m:rPr>
                      <w:rPr>
                        <w:rFonts w:ascii="Cambria Math" w:hAnsi="Cambria Math" w:cstheme="minorHAnsi"/>
                      </w:rPr>
                      <m:t>y</m:t>
                    </m:r>
                  </m:sub>
                </m:sSub>
              </m:oMath>
            </m:oMathPara>
          </w:p>
        </w:tc>
        <w:tc>
          <w:tcPr>
            <w:tcW w:w="4731" w:type="dxa"/>
            <w:tcBorders>
              <w:bottom w:val="single" w:sz="4" w:space="0" w:color="89C2E5" w:themeColor="accent3" w:themeTint="66"/>
            </w:tcBorders>
            <w:noWrap/>
            <w:vAlign w:val="center"/>
          </w:tcPr>
          <w:p w14:paraId="18A93CC6" w14:textId="3ECEF94D"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 xml:space="preserve">Reduction in </w:t>
            </w:r>
            <m:oMath>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r>
                <w:rPr>
                  <w:rFonts w:ascii="Cambria Math" w:hAnsi="Cambria Math" w:cstheme="minorHAnsi"/>
                </w:rPr>
                <m:t>eq</m:t>
              </m:r>
            </m:oMath>
            <w:r w:rsidRPr="000C3F75">
              <w:rPr>
                <w:rFonts w:cstheme="minorHAnsi"/>
              </w:rPr>
              <w:t xml:space="preserve"> indirect emissions for year </w:t>
            </w:r>
            <m:oMath>
              <m:r>
                <w:rPr>
                  <w:rFonts w:ascii="Cambria Math" w:hAnsi="Cambria Math" w:cstheme="minorHAnsi"/>
                </w:rPr>
                <m:t>y</m:t>
              </m:r>
            </m:oMath>
          </w:p>
        </w:tc>
        <w:tc>
          <w:tcPr>
            <w:tcW w:w="2513" w:type="dxa"/>
            <w:tcBorders>
              <w:bottom w:val="single" w:sz="4" w:space="0" w:color="89C2E5" w:themeColor="accent3" w:themeTint="66"/>
            </w:tcBorders>
            <w:vAlign w:val="center"/>
          </w:tcPr>
          <w:p w14:paraId="2DB5ECA7" w14:textId="71A6AB97"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Gt CO</w:t>
            </w:r>
            <w:r w:rsidRPr="000C3F75">
              <w:rPr>
                <w:rFonts w:cstheme="minorHAnsi"/>
                <w:vertAlign w:val="subscript"/>
              </w:rPr>
              <w:t>2</w:t>
            </w:r>
            <w:r w:rsidRPr="000C3F75">
              <w:rPr>
                <w:rFonts w:cstheme="minorHAnsi"/>
              </w:rPr>
              <w:t>-eq</w:t>
            </w:r>
          </w:p>
        </w:tc>
      </w:tr>
      <w:tr w:rsidR="007B5565" w:rsidRPr="00B87FB1" w14:paraId="50E9BDED"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0FAA96D8" w14:textId="0D29B549" w:rsidR="007B5565" w:rsidRPr="005758CA" w:rsidRDefault="00AC466B" w:rsidP="007B5565">
            <w:pPr>
              <w:rPr>
                <w:rFonts w:cstheme="minorHAnsi"/>
                <w:b w:val="0"/>
              </w:rPr>
            </w:pPr>
            <m:oMathPara>
              <m:oMath>
                <m:sSub>
                  <m:sSubPr>
                    <m:ctrlPr>
                      <w:rPr>
                        <w:rFonts w:ascii="Cambria Math" w:hAnsi="Cambria Math" w:cstheme="minorHAnsi"/>
                        <w:b w:val="0"/>
                        <w:i/>
                      </w:rPr>
                    </m:ctrlPr>
                  </m:sSubPr>
                  <m:e>
                    <m:r>
                      <m:rPr>
                        <m:sty m:val="bi"/>
                      </m:rPr>
                      <w:rPr>
                        <w:rFonts w:ascii="Cambria Math" w:hAnsi="Cambria Math" w:cstheme="minorHAnsi"/>
                      </w:rPr>
                      <m:t>E</m:t>
                    </m:r>
                    <m:r>
                      <m:rPr>
                        <m:sty m:val="b"/>
                      </m:rPr>
                      <w:rPr>
                        <w:rFonts w:ascii="Cambria Math" w:hAnsi="Cambria Math" w:cstheme="minorHAnsi"/>
                      </w:rPr>
                      <m:t>Ω</m:t>
                    </m:r>
                  </m:e>
                  <m:sub>
                    <m:r>
                      <m:rPr>
                        <m:sty m:val="bi"/>
                      </m:rPr>
                      <w:rPr>
                        <w:rFonts w:ascii="Cambria Math" w:hAnsi="Cambria Math" w:cstheme="minorHAnsi"/>
                      </w:rPr>
                      <m:t>y</m:t>
                    </m:r>
                  </m:sub>
                </m:sSub>
              </m:oMath>
            </m:oMathPara>
          </w:p>
        </w:tc>
        <w:tc>
          <w:tcPr>
            <w:tcW w:w="4731" w:type="dxa"/>
            <w:tcBorders>
              <w:bottom w:val="single" w:sz="4" w:space="0" w:color="89C2E5" w:themeColor="accent3" w:themeTint="66"/>
            </w:tcBorders>
            <w:noWrap/>
            <w:vAlign w:val="center"/>
          </w:tcPr>
          <w:p w14:paraId="6C23D932" w14:textId="1EBA8F10"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 xml:space="preserve">Reduction in energy usage for year </w:t>
            </w:r>
            <m:oMath>
              <m:r>
                <w:rPr>
                  <w:rFonts w:ascii="Cambria Math" w:hAnsi="Cambria Math" w:cstheme="minorHAnsi"/>
                </w:rPr>
                <m:t>y</m:t>
              </m:r>
            </m:oMath>
          </w:p>
        </w:tc>
        <w:tc>
          <w:tcPr>
            <w:tcW w:w="2513" w:type="dxa"/>
            <w:tcBorders>
              <w:bottom w:val="single" w:sz="4" w:space="0" w:color="89C2E5" w:themeColor="accent3" w:themeTint="66"/>
            </w:tcBorders>
            <w:vAlign w:val="center"/>
          </w:tcPr>
          <w:p w14:paraId="1E698395" w14:textId="2211A862"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Exajoules/ EJ</w:t>
            </w:r>
          </w:p>
        </w:tc>
      </w:tr>
      <w:tr w:rsidR="007B5565" w:rsidRPr="00B87FB1" w14:paraId="330CE546"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70E0598E" w14:textId="195A85AE" w:rsidR="007B5565" w:rsidRPr="005758CA" w:rsidRDefault="00AC466B" w:rsidP="007B5565">
            <w:pPr>
              <w:rPr>
                <w:rFonts w:cstheme="minorHAnsi"/>
                <w:b w:val="0"/>
              </w:rPr>
            </w:pPr>
            <m:oMathPara>
              <m:oMath>
                <m:sSub>
                  <m:sSubPr>
                    <m:ctrlPr>
                      <w:rPr>
                        <w:rFonts w:ascii="Cambria Math" w:hAnsi="Cambria Math" w:cstheme="minorHAnsi"/>
                        <w:b w:val="0"/>
                        <w:i/>
                      </w:rPr>
                    </m:ctrlPr>
                  </m:sSubPr>
                  <m:e>
                    <m:r>
                      <m:rPr>
                        <m:sty m:val="bi"/>
                      </m:rPr>
                      <w:rPr>
                        <w:rFonts w:ascii="Cambria Math" w:hAnsi="Cambria Math" w:cstheme="minorHAnsi"/>
                      </w:rPr>
                      <m:t>FU</m:t>
                    </m:r>
                    <m:r>
                      <m:rPr>
                        <m:sty m:val="b"/>
                      </m:rPr>
                      <w:rPr>
                        <w:rFonts w:ascii="Cambria Math" w:hAnsi="Cambria Math" w:cstheme="minorHAnsi"/>
                      </w:rPr>
                      <m:t>Δ</m:t>
                    </m:r>
                  </m:e>
                  <m:sub>
                    <m:r>
                      <m:rPr>
                        <m:sty m:val="bi"/>
                      </m:rPr>
                      <w:rPr>
                        <w:rFonts w:ascii="Cambria Math" w:hAnsi="Cambria Math" w:cstheme="minorHAnsi"/>
                      </w:rPr>
                      <m:t>y</m:t>
                    </m:r>
                  </m:sub>
                </m:sSub>
              </m:oMath>
            </m:oMathPara>
          </w:p>
        </w:tc>
        <w:tc>
          <w:tcPr>
            <w:tcW w:w="4731" w:type="dxa"/>
            <w:tcBorders>
              <w:bottom w:val="single" w:sz="4" w:space="0" w:color="89C2E5" w:themeColor="accent3" w:themeTint="66"/>
            </w:tcBorders>
            <w:noWrap/>
            <w:vAlign w:val="center"/>
          </w:tcPr>
          <w:p w14:paraId="158D591E" w14:textId="77777777"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Reduction in annual functional units</w:t>
            </w:r>
          </w:p>
        </w:tc>
        <w:tc>
          <w:tcPr>
            <w:tcW w:w="2513" w:type="dxa"/>
            <w:tcBorders>
              <w:bottom w:val="single" w:sz="4" w:space="0" w:color="89C2E5" w:themeColor="accent3" w:themeTint="66"/>
            </w:tcBorders>
            <w:vAlign w:val="center"/>
          </w:tcPr>
          <w:p w14:paraId="69D88901" w14:textId="1A757A11"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Functional Units</w:t>
            </w:r>
          </w:p>
        </w:tc>
      </w:tr>
      <w:tr w:rsidR="007B5565" w:rsidRPr="00B87FB1" w14:paraId="4F2B024E"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66916685" w14:textId="3E3D5136" w:rsidR="007B5565" w:rsidRPr="005758CA" w:rsidRDefault="00AC466B" w:rsidP="007B5565">
            <w:pPr>
              <w:rPr>
                <w:rFonts w:cstheme="minorHAnsi"/>
                <w:b w:val="0"/>
              </w:rPr>
            </w:pPr>
            <m:oMathPara>
              <m:oMath>
                <m:sSubSup>
                  <m:sSubSupPr>
                    <m:ctrlPr>
                      <w:rPr>
                        <w:rFonts w:ascii="Cambria Math" w:hAnsi="Cambria Math" w:cstheme="minorHAnsi"/>
                        <w:b w:val="0"/>
                        <w:i/>
                      </w:rPr>
                    </m:ctrlPr>
                  </m:sSubSupPr>
                  <m:e>
                    <m:r>
                      <m:rPr>
                        <m:sty m:val="bi"/>
                      </m:rPr>
                      <w:rPr>
                        <w:rFonts w:ascii="Cambria Math" w:hAnsi="Cambria Math" w:cstheme="minorHAnsi"/>
                      </w:rPr>
                      <m:t>EF</m:t>
                    </m:r>
                  </m:e>
                  <m:sub>
                    <m:r>
                      <m:rPr>
                        <m:sty m:val="bi"/>
                      </m:rPr>
                      <w:rPr>
                        <w:rFonts w:ascii="Cambria Math" w:hAnsi="Cambria Math" w:cstheme="minorHAnsi"/>
                      </w:rPr>
                      <m:t>y</m:t>
                    </m:r>
                  </m:sub>
                  <m:sup>
                    <m:r>
                      <m:rPr>
                        <m:sty m:val="bi"/>
                      </m:rPr>
                      <w:rPr>
                        <w:rFonts w:ascii="Cambria Math" w:hAnsi="Cambria Math" w:cstheme="minorHAnsi"/>
                      </w:rPr>
                      <m:t>g</m:t>
                    </m:r>
                  </m:sup>
                </m:sSubSup>
              </m:oMath>
            </m:oMathPara>
          </w:p>
        </w:tc>
        <w:tc>
          <w:tcPr>
            <w:tcW w:w="4731" w:type="dxa"/>
            <w:tcBorders>
              <w:bottom w:val="single" w:sz="4" w:space="0" w:color="89C2E5" w:themeColor="accent3" w:themeTint="66"/>
            </w:tcBorders>
            <w:noWrap/>
            <w:vAlign w:val="center"/>
          </w:tcPr>
          <w:p w14:paraId="390B1DC2" w14:textId="20F2AED9"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 xml:space="preserve">Emissions factor of the grid in year </w:t>
            </w:r>
            <m:oMath>
              <m:r>
                <w:rPr>
                  <w:rFonts w:ascii="Cambria Math" w:hAnsi="Cambria Math" w:cstheme="minorHAnsi"/>
                </w:rPr>
                <m:t>y</m:t>
              </m:r>
            </m:oMath>
          </w:p>
        </w:tc>
        <w:tc>
          <w:tcPr>
            <w:tcW w:w="2513" w:type="dxa"/>
            <w:tcBorders>
              <w:bottom w:val="single" w:sz="4" w:space="0" w:color="89C2E5" w:themeColor="accent3" w:themeTint="66"/>
            </w:tcBorders>
            <w:vAlign w:val="center"/>
          </w:tcPr>
          <w:p w14:paraId="7316DD0C" w14:textId="27D89613"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MMT CO</w:t>
            </w:r>
            <w:r w:rsidRPr="000C3F75">
              <w:rPr>
                <w:rFonts w:cstheme="minorHAnsi"/>
                <w:vertAlign w:val="subscript"/>
              </w:rPr>
              <w:t>2</w:t>
            </w:r>
            <w:r w:rsidRPr="000C3F75">
              <w:rPr>
                <w:rFonts w:cstheme="minorHAnsi"/>
              </w:rPr>
              <w:t>-eq per TWh of electricity supplied</w:t>
            </w:r>
          </w:p>
        </w:tc>
      </w:tr>
      <w:tr w:rsidR="007B5565" w:rsidRPr="00B87FB1" w14:paraId="292D1194"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76F634AB" w14:textId="03EB58CA" w:rsidR="007B5565" w:rsidRPr="005758CA" w:rsidRDefault="00AC466B" w:rsidP="007B5565">
            <w:pPr>
              <w:rPr>
                <w:rFonts w:cstheme="minorHAnsi"/>
                <w:b w:val="0"/>
              </w:rPr>
            </w:pPr>
            <m:oMathPara>
              <m:oMath>
                <m:sSup>
                  <m:sSupPr>
                    <m:ctrlPr>
                      <w:rPr>
                        <w:rFonts w:ascii="Cambria Math" w:hAnsi="Cambria Math" w:cstheme="minorHAnsi"/>
                        <w:b w:val="0"/>
                        <w:i/>
                      </w:rPr>
                    </m:ctrlPr>
                  </m:sSupPr>
                  <m:e>
                    <m:r>
                      <m:rPr>
                        <m:sty m:val="bi"/>
                      </m:rPr>
                      <w:rPr>
                        <w:rFonts w:ascii="Cambria Math" w:hAnsi="Cambria Math" w:cstheme="minorHAnsi"/>
                      </w:rPr>
                      <m:t>EF</m:t>
                    </m:r>
                  </m:e>
                  <m:sup>
                    <m:r>
                      <m:rPr>
                        <m:sty m:val="bi"/>
                      </m:rPr>
                      <w:rPr>
                        <w:rFonts w:ascii="Cambria Math" w:hAnsi="Cambria Math" w:cstheme="minorHAnsi"/>
                      </w:rPr>
                      <m:t>fc</m:t>
                    </m:r>
                  </m:sup>
                </m:sSup>
              </m:oMath>
            </m:oMathPara>
          </w:p>
        </w:tc>
        <w:tc>
          <w:tcPr>
            <w:tcW w:w="4731" w:type="dxa"/>
            <w:tcBorders>
              <w:bottom w:val="single" w:sz="4" w:space="0" w:color="89C2E5" w:themeColor="accent3" w:themeTint="66"/>
            </w:tcBorders>
            <w:noWrap/>
            <w:vAlign w:val="center"/>
          </w:tcPr>
          <w:p w14:paraId="6BAD5876" w14:textId="77777777"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Emissions factor of the fuel used by the conventional technology, assumed constant</w:t>
            </w:r>
          </w:p>
        </w:tc>
        <w:tc>
          <w:tcPr>
            <w:tcW w:w="2513" w:type="dxa"/>
            <w:tcBorders>
              <w:bottom w:val="single" w:sz="4" w:space="0" w:color="89C2E5" w:themeColor="accent3" w:themeTint="66"/>
            </w:tcBorders>
            <w:vAlign w:val="center"/>
          </w:tcPr>
          <w:p w14:paraId="5E4F744A" w14:textId="3B021DB6"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t CO</w:t>
            </w:r>
            <w:r w:rsidRPr="000C3F75">
              <w:rPr>
                <w:rFonts w:cstheme="minorHAnsi"/>
                <w:vertAlign w:val="subscript"/>
              </w:rPr>
              <w:t>2</w:t>
            </w:r>
            <w:r w:rsidRPr="000C3F75">
              <w:rPr>
                <w:rFonts w:cstheme="minorHAnsi"/>
              </w:rPr>
              <w:t>-eq / TJ or t CO</w:t>
            </w:r>
            <w:r w:rsidRPr="000C3F75">
              <w:rPr>
                <w:rFonts w:cstheme="minorHAnsi"/>
                <w:vertAlign w:val="subscript"/>
              </w:rPr>
              <w:t>2</w:t>
            </w:r>
            <w:r w:rsidRPr="000C3F75">
              <w:rPr>
                <w:rFonts w:cstheme="minorHAnsi"/>
              </w:rPr>
              <w:t>-eq / liter</w:t>
            </w:r>
          </w:p>
        </w:tc>
      </w:tr>
      <w:tr w:rsidR="007B5565" w:rsidRPr="00B87FB1" w14:paraId="36F3584A"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tcPr>
          <w:p w14:paraId="7F821ED5" w14:textId="54958A41" w:rsidR="007B5565" w:rsidRPr="005758CA" w:rsidRDefault="00AC466B" w:rsidP="007B5565">
            <w:pPr>
              <w:rPr>
                <w:rFonts w:cstheme="minorHAnsi"/>
                <w:b w:val="0"/>
              </w:rPr>
            </w:pPr>
            <m:oMathPara>
              <m:oMath>
                <m:sSubSup>
                  <m:sSubSupPr>
                    <m:ctrlPr>
                      <w:rPr>
                        <w:rFonts w:ascii="Cambria Math" w:hAnsi="Cambria Math" w:cstheme="minorHAnsi"/>
                        <w:b w:val="0"/>
                        <w:i/>
                      </w:rPr>
                    </m:ctrlPr>
                  </m:sSubSupPr>
                  <m:e>
                    <m:r>
                      <m:rPr>
                        <m:sty m:val="bi"/>
                      </m:rPr>
                      <w:rPr>
                        <w:rFonts w:ascii="Cambria Math" w:hAnsi="Cambria Math" w:cstheme="minorHAnsi"/>
                      </w:rPr>
                      <m:t>EF</m:t>
                    </m:r>
                  </m:e>
                  <m:sub>
                    <m:r>
                      <m:rPr>
                        <m:sty m:val="bi"/>
                      </m:rPr>
                      <w:rPr>
                        <w:rFonts w:ascii="Cambria Math" w:hAnsi="Cambria Math" w:cstheme="minorHAnsi"/>
                      </w:rPr>
                      <m:t>con</m:t>
                    </m:r>
                  </m:sub>
                  <m:sup>
                    <m:r>
                      <m:rPr>
                        <m:sty m:val="bi"/>
                      </m:rPr>
                      <w:rPr>
                        <w:rFonts w:ascii="Cambria Math" w:hAnsi="Cambria Math" w:cstheme="minorHAnsi"/>
                      </w:rPr>
                      <m:t>OD</m:t>
                    </m:r>
                  </m:sup>
                </m:sSubSup>
              </m:oMath>
            </m:oMathPara>
          </w:p>
        </w:tc>
        <w:tc>
          <w:tcPr>
            <w:tcW w:w="4731" w:type="dxa"/>
            <w:tcBorders>
              <w:bottom w:val="single" w:sz="4" w:space="0" w:color="89C2E5" w:themeColor="accent3" w:themeTint="66"/>
            </w:tcBorders>
            <w:noWrap/>
            <w:vAlign w:val="center"/>
          </w:tcPr>
          <w:p w14:paraId="5BE0917E" w14:textId="77777777"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Other direct emissions factor of the conventional technology besides grid and fuel emissions</w:t>
            </w:r>
          </w:p>
        </w:tc>
        <w:tc>
          <w:tcPr>
            <w:tcW w:w="2513" w:type="dxa"/>
            <w:tcBorders>
              <w:bottom w:val="single" w:sz="4" w:space="0" w:color="89C2E5" w:themeColor="accent3" w:themeTint="66"/>
            </w:tcBorders>
            <w:vAlign w:val="center"/>
          </w:tcPr>
          <w:p w14:paraId="3DE5E0F1" w14:textId="5B3A9B8B"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t CO</w:t>
            </w:r>
            <w:r w:rsidRPr="000C3F75">
              <w:rPr>
                <w:rFonts w:cstheme="minorHAnsi"/>
                <w:vertAlign w:val="subscript"/>
              </w:rPr>
              <w:t>2</w:t>
            </w:r>
            <w:r w:rsidRPr="000C3F75">
              <w:rPr>
                <w:rFonts w:cstheme="minorHAnsi"/>
              </w:rPr>
              <w:t>-eq / functional unit</w:t>
            </w:r>
          </w:p>
        </w:tc>
      </w:tr>
      <w:tr w:rsidR="007B5565" w:rsidRPr="00B87FB1" w14:paraId="45607BCF" w14:textId="77777777" w:rsidTr="002174F2">
        <w:trPr>
          <w:trHeight w:val="258"/>
        </w:trPr>
        <w:tc>
          <w:tcPr>
            <w:cnfStyle w:val="001000000000" w:firstRow="0" w:lastRow="0" w:firstColumn="1" w:lastColumn="0" w:oddVBand="0" w:evenVBand="0" w:oddHBand="0" w:evenHBand="0" w:firstRowFirstColumn="0" w:firstRowLastColumn="0" w:lastRowFirstColumn="0" w:lastRowLastColumn="0"/>
            <w:tcW w:w="2682" w:type="dxa"/>
            <w:tcBorders>
              <w:bottom w:val="single" w:sz="4" w:space="0" w:color="89C2E5" w:themeColor="accent3" w:themeTint="66"/>
            </w:tcBorders>
            <w:noWrap/>
            <w:vAlign w:val="center"/>
          </w:tcPr>
          <w:p w14:paraId="0C7459D9" w14:textId="70C617D5" w:rsidR="007B5565" w:rsidRPr="005758CA" w:rsidRDefault="00AC466B" w:rsidP="007B5565">
            <w:pPr>
              <w:rPr>
                <w:rFonts w:cstheme="minorHAnsi"/>
                <w:b w:val="0"/>
              </w:rPr>
            </w:pPr>
            <m:oMathPara>
              <m:oMath>
                <m:sSubSup>
                  <m:sSubSupPr>
                    <m:ctrlPr>
                      <w:rPr>
                        <w:rFonts w:ascii="Cambria Math" w:hAnsi="Cambria Math" w:cstheme="minorHAnsi"/>
                        <w:b w:val="0"/>
                        <w:i/>
                      </w:rPr>
                    </m:ctrlPr>
                  </m:sSubSupPr>
                  <m:e>
                    <m:r>
                      <m:rPr>
                        <m:sty m:val="bi"/>
                      </m:rPr>
                      <w:rPr>
                        <w:rFonts w:ascii="Cambria Math" w:hAnsi="Cambria Math" w:cstheme="minorHAnsi"/>
                      </w:rPr>
                      <m:t>EF</m:t>
                    </m:r>
                  </m:e>
                  <m:sub>
                    <m:r>
                      <m:rPr>
                        <m:sty m:val="bi"/>
                      </m:rPr>
                      <w:rPr>
                        <w:rFonts w:ascii="Cambria Math" w:hAnsi="Cambria Math" w:cstheme="minorHAnsi"/>
                      </w:rPr>
                      <m:t>con</m:t>
                    </m:r>
                  </m:sub>
                  <m:sup>
                    <m:r>
                      <m:rPr>
                        <m:sty m:val="bi"/>
                      </m:rPr>
                      <w:rPr>
                        <w:rFonts w:ascii="Cambria Math" w:hAnsi="Cambria Math" w:cstheme="minorHAnsi"/>
                      </w:rPr>
                      <m:t>Ind</m:t>
                    </m:r>
                  </m:sup>
                </m:sSubSup>
              </m:oMath>
            </m:oMathPara>
          </w:p>
        </w:tc>
        <w:tc>
          <w:tcPr>
            <w:tcW w:w="4731" w:type="dxa"/>
            <w:tcBorders>
              <w:bottom w:val="single" w:sz="4" w:space="0" w:color="89C2E5" w:themeColor="accent3" w:themeTint="66"/>
            </w:tcBorders>
            <w:noWrap/>
            <w:vAlign w:val="center"/>
          </w:tcPr>
          <w:p w14:paraId="6CD4198F" w14:textId="77777777"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 xml:space="preserve">Indirect emissions factor of the conventional technology </w:t>
            </w:r>
          </w:p>
        </w:tc>
        <w:tc>
          <w:tcPr>
            <w:tcW w:w="2513" w:type="dxa"/>
            <w:tcBorders>
              <w:bottom w:val="single" w:sz="4" w:space="0" w:color="89C2E5" w:themeColor="accent3" w:themeTint="66"/>
            </w:tcBorders>
            <w:vAlign w:val="center"/>
          </w:tcPr>
          <w:p w14:paraId="66A79087" w14:textId="726E07D3" w:rsidR="007B5565" w:rsidRPr="000C3F75" w:rsidRDefault="007B5565" w:rsidP="007B5565">
            <w:pPr>
              <w:cnfStyle w:val="000000000000" w:firstRow="0" w:lastRow="0" w:firstColumn="0" w:lastColumn="0" w:oddVBand="0" w:evenVBand="0" w:oddHBand="0" w:evenHBand="0" w:firstRowFirstColumn="0" w:firstRowLastColumn="0" w:lastRowFirstColumn="0" w:lastRowLastColumn="0"/>
              <w:rPr>
                <w:rFonts w:cstheme="minorHAnsi"/>
              </w:rPr>
            </w:pPr>
            <w:r w:rsidRPr="000C3F75">
              <w:rPr>
                <w:rFonts w:cstheme="minorHAnsi"/>
              </w:rPr>
              <w:t>In t CO</w:t>
            </w:r>
            <w:r w:rsidRPr="000C3F75">
              <w:rPr>
                <w:rFonts w:cstheme="minorHAnsi"/>
                <w:vertAlign w:val="subscript"/>
              </w:rPr>
              <w:t>2</w:t>
            </w:r>
            <w:r w:rsidRPr="000C3F75">
              <w:rPr>
                <w:rFonts w:cstheme="minorHAnsi"/>
              </w:rPr>
              <w:t>-eq / functional unit or t CO</w:t>
            </w:r>
            <w:r w:rsidRPr="000C3F75">
              <w:rPr>
                <w:rFonts w:cstheme="minorHAnsi"/>
                <w:vertAlign w:val="subscript"/>
              </w:rPr>
              <w:t>2</w:t>
            </w:r>
            <w:r w:rsidRPr="000C3F75">
              <w:rPr>
                <w:rFonts w:cstheme="minorHAnsi"/>
              </w:rPr>
              <w:t>-eq / Implementation Unit</w:t>
            </w:r>
          </w:p>
        </w:tc>
      </w:tr>
      <w:tr w:rsidR="007B5565" w:rsidRPr="00B87FB1" w14:paraId="269AC0A2" w14:textId="77777777" w:rsidTr="00C7436D">
        <w:trPr>
          <w:trHeight w:val="258"/>
        </w:trPr>
        <w:tc>
          <w:tcPr>
            <w:cnfStyle w:val="001000000000" w:firstRow="0" w:lastRow="0" w:firstColumn="1" w:lastColumn="0" w:oddVBand="0" w:evenVBand="0" w:oddHBand="0" w:evenHBand="0" w:firstRowFirstColumn="0" w:firstRowLastColumn="0" w:lastRowFirstColumn="0" w:lastRowLastColumn="0"/>
            <w:tcW w:w="9926" w:type="dxa"/>
            <w:gridSpan w:val="3"/>
            <w:tcBorders>
              <w:top w:val="single" w:sz="4" w:space="0" w:color="89C2E5" w:themeColor="accent3" w:themeTint="66"/>
              <w:left w:val="nil"/>
              <w:bottom w:val="nil"/>
              <w:right w:val="nil"/>
            </w:tcBorders>
            <w:noWrap/>
          </w:tcPr>
          <w:p w14:paraId="012C10F8" w14:textId="77777777" w:rsidR="007B5565" w:rsidRDefault="007B5565" w:rsidP="007B5565">
            <w:pPr>
              <w:rPr>
                <w:b w:val="0"/>
              </w:rPr>
            </w:pPr>
            <w:r w:rsidRPr="00DF05E1">
              <w:rPr>
                <w:rFonts w:cstheme="minorHAnsi"/>
                <w:b w:val="0"/>
                <w:sz w:val="20"/>
              </w:rPr>
              <w:t>*</w:t>
            </w:r>
            <w:r w:rsidRPr="00DF05E1">
              <w:rPr>
                <w:b w:val="0"/>
              </w:rPr>
              <w:t xml:space="preserve">It should be noted that regional and </w:t>
            </w:r>
            <w:r>
              <w:rPr>
                <w:b w:val="0"/>
              </w:rPr>
              <w:t>g</w:t>
            </w:r>
            <w:r w:rsidRPr="00DF05E1">
              <w:rPr>
                <w:b w:val="0"/>
              </w:rPr>
              <w:t xml:space="preserve">lobal TAM estimates in each cluster may come from different sources and therefore </w:t>
            </w:r>
            <w:r>
              <w:rPr>
                <w:b w:val="0"/>
              </w:rPr>
              <w:t>the sum of all regional estimates may not always be equal to the global TAM estimate</w:t>
            </w:r>
            <w:r w:rsidRPr="00DF05E1">
              <w:rPr>
                <w:b w:val="0"/>
              </w:rPr>
              <w:t xml:space="preserve"> </w:t>
            </w:r>
          </w:p>
          <w:p w14:paraId="1DFA4E4E" w14:textId="6ACE2345" w:rsidR="007F3156" w:rsidRPr="00DF05E1" w:rsidRDefault="007F3156" w:rsidP="007B5565">
            <w:pPr>
              <w:rPr>
                <w:rFonts w:cstheme="minorHAnsi"/>
                <w:b w:val="0"/>
              </w:rPr>
            </w:pPr>
          </w:p>
        </w:tc>
      </w:tr>
    </w:tbl>
    <w:p w14:paraId="35D985F8" w14:textId="77777777" w:rsidR="00FD7809" w:rsidRDefault="00FD7809" w:rsidP="00FD7809">
      <w:pPr>
        <w:pStyle w:val="Heading3"/>
      </w:pPr>
      <w:bookmarkStart w:id="65" w:name="_Toc74154060"/>
      <w:r>
        <w:t>Emissions calculations</w:t>
      </w:r>
      <w:bookmarkEnd w:id="65"/>
    </w:p>
    <w:p w14:paraId="53AE984F" w14:textId="77777777" w:rsidR="002174F2" w:rsidRDefault="00B87FB1" w:rsidP="002174F2">
      <w:pPr>
        <w:spacing w:after="240"/>
        <w:jc w:val="both"/>
        <w:rPr>
          <w:sz w:val="24"/>
        </w:rPr>
      </w:pPr>
      <w:r w:rsidRPr="00B87FB1">
        <w:rPr>
          <w:sz w:val="24"/>
        </w:rPr>
        <w:t xml:space="preserve">To assess the impact of health and education on the overall emissions for each </w:t>
      </w:r>
      <w:r w:rsidR="002F5551">
        <w:rPr>
          <w:sz w:val="24"/>
        </w:rPr>
        <w:t xml:space="preserve">cluster and </w:t>
      </w:r>
      <w:r w:rsidR="00F776DD">
        <w:rPr>
          <w:sz w:val="24"/>
        </w:rPr>
        <w:t>sector</w:t>
      </w:r>
      <w:r w:rsidRPr="00B87FB1">
        <w:rPr>
          <w:sz w:val="24"/>
        </w:rPr>
        <w:t xml:space="preserve">, </w:t>
      </w:r>
      <w:r w:rsidR="002F5551">
        <w:rPr>
          <w:sz w:val="24"/>
        </w:rPr>
        <w:t xml:space="preserve">the </w:t>
      </w:r>
      <w:r w:rsidR="00C766DE">
        <w:rPr>
          <w:sz w:val="24"/>
        </w:rPr>
        <w:t xml:space="preserve">TAM data </w:t>
      </w:r>
      <w:r w:rsidR="002F5551" w:rsidRPr="00F776DD">
        <w:rPr>
          <w:sz w:val="24"/>
        </w:rPr>
        <w:t>from each</w:t>
      </w:r>
      <w:r w:rsidRPr="00F776DD">
        <w:rPr>
          <w:sz w:val="24"/>
        </w:rPr>
        <w:t xml:space="preserve"> </w:t>
      </w:r>
      <w:r w:rsidR="002F5551" w:rsidRPr="00F776DD">
        <w:rPr>
          <w:sz w:val="24"/>
        </w:rPr>
        <w:t xml:space="preserve">solution-specific model </w:t>
      </w:r>
      <w:r w:rsidR="00C766DE">
        <w:rPr>
          <w:sz w:val="24"/>
        </w:rPr>
        <w:t>(</w:t>
      </w:r>
      <w:r w:rsidRPr="00F776DD">
        <w:rPr>
          <w:sz w:val="24"/>
        </w:rPr>
        <w:t>grouped by IPCC</w:t>
      </w:r>
      <w:r w:rsidRPr="00B87FB1">
        <w:rPr>
          <w:sz w:val="24"/>
        </w:rPr>
        <w:t xml:space="preserve"> regions</w:t>
      </w:r>
      <w:r w:rsidR="00C766DE">
        <w:rPr>
          <w:sz w:val="24"/>
        </w:rPr>
        <w:t>)</w:t>
      </w:r>
      <w:r w:rsidRPr="00B87FB1">
        <w:rPr>
          <w:sz w:val="24"/>
        </w:rPr>
        <w:t xml:space="preserve"> </w:t>
      </w:r>
      <w:r w:rsidR="002F5551">
        <w:rPr>
          <w:sz w:val="24"/>
        </w:rPr>
        <w:t>are</w:t>
      </w:r>
      <w:r w:rsidRPr="00B87FB1">
        <w:rPr>
          <w:sz w:val="24"/>
        </w:rPr>
        <w:t xml:space="preserve"> </w:t>
      </w:r>
      <w:r w:rsidR="00C766DE">
        <w:rPr>
          <w:sz w:val="24"/>
        </w:rPr>
        <w:t>regrouped</w:t>
      </w:r>
      <w:r w:rsidRPr="00B87FB1">
        <w:rPr>
          <w:sz w:val="24"/>
        </w:rPr>
        <w:t xml:space="preserve"> according to </w:t>
      </w:r>
      <w:r w:rsidR="005F0C3F">
        <w:rPr>
          <w:sz w:val="24"/>
        </w:rPr>
        <w:t>economic development status, which is a combination of developmen</w:t>
      </w:r>
      <w:r w:rsidR="00DF05E1">
        <w:rPr>
          <w:sz w:val="24"/>
        </w:rPr>
        <w:t xml:space="preserve">t status (LLDC or MDC) and NRR. </w:t>
      </w:r>
      <w:r w:rsidR="00DF05E1" w:rsidRPr="00DF05E1">
        <w:rPr>
          <w:sz w:val="24"/>
        </w:rPr>
        <w:t xml:space="preserve">To give an example, </w:t>
      </w:r>
      <w:r w:rsidR="00DF05E1">
        <w:rPr>
          <w:sz w:val="24"/>
        </w:rPr>
        <w:t xml:space="preserve">the IPCC regions </w:t>
      </w:r>
      <w:r w:rsidR="00DF05E1" w:rsidRPr="00DF05E1">
        <w:rPr>
          <w:sz w:val="24"/>
        </w:rPr>
        <w:t>Asia (sans Japan, sans China) and th</w:t>
      </w:r>
      <w:r w:rsidR="00DF05E1">
        <w:rPr>
          <w:sz w:val="24"/>
        </w:rPr>
        <w:t xml:space="preserve">e Middle East and Africa </w:t>
      </w:r>
      <w:r w:rsidR="005F0C3F" w:rsidRPr="00B87FB1">
        <w:rPr>
          <w:sz w:val="24"/>
        </w:rPr>
        <w:t>are grouped under the LLDC + high NRR</w:t>
      </w:r>
      <w:r w:rsidR="005F0C3F">
        <w:rPr>
          <w:sz w:val="24"/>
        </w:rPr>
        <w:t xml:space="preserve"> group</w:t>
      </w:r>
      <w:r w:rsidR="005F0C3F" w:rsidRPr="00B87FB1">
        <w:rPr>
          <w:sz w:val="24"/>
        </w:rPr>
        <w:t>, while OECD90 and Latin America are classified under the MDC + LAC + EE group.</w:t>
      </w:r>
      <w:r w:rsidR="005F0C3F">
        <w:rPr>
          <w:sz w:val="24"/>
        </w:rPr>
        <w:t xml:space="preserve"> For the REF 1 scenario, a further regrouping is then done by education attainment, which</w:t>
      </w:r>
      <w:r w:rsidR="001B15BA">
        <w:rPr>
          <w:sz w:val="24"/>
        </w:rPr>
        <w:t xml:space="preserve"> is calculated based on data from UNICEF </w:t>
      </w:r>
      <w:r w:rsidR="001B15BA" w:rsidRPr="00D86F2F">
        <w:rPr>
          <w:sz w:val="24"/>
        </w:rPr>
        <w:t xml:space="preserve">on </w:t>
      </w:r>
      <w:r w:rsidR="00FD6DED" w:rsidRPr="00D86F2F">
        <w:rPr>
          <w:sz w:val="24"/>
        </w:rPr>
        <w:t xml:space="preserve">&lt;50% </w:t>
      </w:r>
      <w:r w:rsidR="001B15BA" w:rsidRPr="00D86F2F">
        <w:rPr>
          <w:sz w:val="24"/>
        </w:rPr>
        <w:t xml:space="preserve">educational </w:t>
      </w:r>
      <w:r w:rsidR="000E6058" w:rsidRPr="00D86F2F">
        <w:rPr>
          <w:sz w:val="24"/>
        </w:rPr>
        <w:t>completion</w:t>
      </w:r>
      <w:r w:rsidR="001B15BA" w:rsidRPr="00D86F2F">
        <w:rPr>
          <w:sz w:val="24"/>
        </w:rPr>
        <w:t xml:space="preserve"> </w:t>
      </w:r>
      <w:r w:rsidR="000E6058" w:rsidRPr="00D86F2F">
        <w:rPr>
          <w:sz w:val="24"/>
        </w:rPr>
        <w:t>for upper secondary schooling</w:t>
      </w:r>
      <w:r w:rsidR="005F0C3F" w:rsidRPr="00D86F2F">
        <w:rPr>
          <w:sz w:val="24"/>
        </w:rPr>
        <w:t xml:space="preserve"> across</w:t>
      </w:r>
      <w:r w:rsidR="005F0C3F">
        <w:rPr>
          <w:sz w:val="24"/>
        </w:rPr>
        <w:t xml:space="preserve"> </w:t>
      </w:r>
      <w:r w:rsidR="001B15BA">
        <w:rPr>
          <w:sz w:val="24"/>
        </w:rPr>
        <w:t xml:space="preserve">different </w:t>
      </w:r>
      <w:r w:rsidR="000E6058">
        <w:rPr>
          <w:sz w:val="24"/>
        </w:rPr>
        <w:t xml:space="preserve">regions. </w:t>
      </w:r>
      <w:r w:rsidR="005F0C3F">
        <w:rPr>
          <w:sz w:val="24"/>
        </w:rPr>
        <w:t>In the REF 1 scenario, regions in both the LLDC + high NRR and MDC + EE + LAC can be of either low or high educational status (denoted by Low Ed or High Ed). In the REF 2 (plausible/ambitious) scenario, it is assumed that all regions belong to the High Ed category, implying educational attainment in</w:t>
      </w:r>
      <w:r w:rsidR="00150546">
        <w:rPr>
          <w:sz w:val="24"/>
        </w:rPr>
        <w:t xml:space="preserve"> all regions has reached a </w:t>
      </w:r>
      <w:r w:rsidR="005F0C3F">
        <w:rPr>
          <w:sz w:val="24"/>
        </w:rPr>
        <w:t xml:space="preserve">level </w:t>
      </w:r>
      <w:r w:rsidR="00150546">
        <w:rPr>
          <w:sz w:val="24"/>
        </w:rPr>
        <w:t xml:space="preserve">high enough </w:t>
      </w:r>
      <w:r w:rsidR="005F0C3F">
        <w:rPr>
          <w:sz w:val="24"/>
        </w:rPr>
        <w:t xml:space="preserve">to contribute to the reduced population estimates of the REF 2 </w:t>
      </w:r>
      <w:r w:rsidR="00FA03ED">
        <w:rPr>
          <w:sz w:val="24"/>
        </w:rPr>
        <w:t xml:space="preserve">(plausible/ambitious) scenario </w:t>
      </w:r>
      <w:r w:rsidR="002174F2">
        <w:rPr>
          <w:sz w:val="24"/>
        </w:rPr>
        <w:t>(Tables 1-3 in the emissions model worksheet)</w:t>
      </w:r>
    </w:p>
    <w:p w14:paraId="36550204" w14:textId="3DF3A6B6" w:rsidR="002174F2" w:rsidRDefault="002174F2" w:rsidP="002174F2">
      <w:pPr>
        <w:spacing w:after="240"/>
        <w:jc w:val="both"/>
        <w:rPr>
          <w:sz w:val="24"/>
        </w:rPr>
      </w:pPr>
      <w:r>
        <w:rPr>
          <w:sz w:val="24"/>
        </w:rPr>
        <w:t xml:space="preserve">TAM estimates for the REF 2 scenario are imported into the Population Emissions model from the different respective solution models and clusters, shown in Table 5. TAM estimates for the </w:t>
      </w:r>
      <w:r w:rsidR="007B5565">
        <w:rPr>
          <w:sz w:val="24"/>
        </w:rPr>
        <w:t xml:space="preserve">Low Ed </w:t>
      </w:r>
      <w:r>
        <w:rPr>
          <w:sz w:val="24"/>
        </w:rPr>
        <w:t>REF 1 scenario are calculated based on the UN REF 2 population estimates and the educational attainment groupings. For each IPCC region, this is denoted by:</w:t>
      </w:r>
    </w:p>
    <w:p w14:paraId="763B1983" w14:textId="0D11E84F" w:rsidR="002174F2" w:rsidRPr="008342C7" w:rsidRDefault="00AC466B" w:rsidP="002174F2">
      <w:pPr>
        <w:spacing w:after="240"/>
        <w:jc w:val="both"/>
      </w:pPr>
      <m:oMathPara>
        <m:oMathParaPr>
          <m:jc m:val="center"/>
        </m:oMathParaPr>
        <m:oMath>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TAM</m:t>
              </m:r>
            </m:e>
            <m:sup>
              <m:r>
                <w:rPr>
                  <w:rFonts w:ascii="Cambria Math" w:hAnsi="Cambria Math" w:cs="Times New Roman"/>
                </w:rPr>
                <m:t>REF1</m:t>
              </m:r>
            </m:sup>
          </m:sSup>
          <m:r>
            <w:rPr>
              <w:rFonts w:ascii="Cambria Math" w:hAnsi="Cambria Math" w:cs="Times New Roman"/>
            </w:rPr>
            <m:t>=</m:t>
          </m:r>
          <m:d>
            <m:dPr>
              <m:ctrlPr>
                <w:rPr>
                  <w:rFonts w:ascii="Cambria Math" w:hAnsi="Cambria Math" w:cs="Times New Roman"/>
                  <w:i/>
                  <w:sz w:val="24"/>
                </w:rPr>
              </m:ctrlPr>
            </m:dPr>
            <m:e>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TAM</m:t>
                      </m:r>
                    </m:e>
                    <m:sup>
                      <m:r>
                        <w:rPr>
                          <w:rFonts w:ascii="Cambria Math" w:hAnsi="Cambria Math" w:cs="Times New Roman"/>
                          <w:sz w:val="24"/>
                        </w:rPr>
                        <m:t>REF 2</m:t>
                      </m:r>
                    </m:sup>
                  </m:sSup>
                </m:num>
                <m:den>
                  <m:sSup>
                    <m:sSupPr>
                      <m:ctrlPr>
                        <w:rPr>
                          <w:rFonts w:ascii="Cambria Math" w:hAnsi="Cambria Math" w:cs="Times New Roman"/>
                          <w:i/>
                          <w:sz w:val="24"/>
                        </w:rPr>
                      </m:ctrlPr>
                    </m:sSupPr>
                    <m:e>
                      <m:r>
                        <w:rPr>
                          <w:rFonts w:ascii="Cambria Math" w:hAnsi="Cambria Math" w:cs="Times New Roman"/>
                          <w:sz w:val="24"/>
                        </w:rPr>
                        <m:t>Pop</m:t>
                      </m:r>
                    </m:e>
                    <m:sup>
                      <m:r>
                        <w:rPr>
                          <w:rFonts w:ascii="Cambria Math" w:hAnsi="Cambria Math" w:cs="Times New Roman"/>
                          <w:sz w:val="24"/>
                        </w:rPr>
                        <m:t>REF2</m:t>
                      </m:r>
                    </m:sup>
                  </m:sSup>
                </m:den>
              </m:f>
            </m:e>
          </m:d>
          <m:r>
            <w:rPr>
              <w:rFonts w:ascii="Cambria Math" w:hAnsi="Cambria Math" w:cs="Times New Roman"/>
            </w:rPr>
            <m:t xml:space="preserve">× </m:t>
          </m:r>
          <m:sSubSup>
            <m:sSubSupPr>
              <m:ctrlPr>
                <w:rPr>
                  <w:rFonts w:ascii="Cambria Math" w:hAnsi="Cambria Math" w:cs="Times New Roman"/>
                  <w:i/>
                  <w:sz w:val="24"/>
                </w:rPr>
              </m:ctrlPr>
            </m:sSubSupPr>
            <m:e>
              <m:r>
                <w:rPr>
                  <w:rFonts w:ascii="Cambria Math" w:hAnsi="Cambria Math" w:cs="Times New Roman"/>
                  <w:sz w:val="24"/>
                </w:rPr>
                <m:t>Pop</m:t>
              </m:r>
            </m:e>
            <m:sub>
              <m:r>
                <w:rPr>
                  <w:rFonts w:ascii="Cambria Math" w:hAnsi="Cambria Math" w:cs="Times New Roman"/>
                  <w:sz w:val="24"/>
                </w:rPr>
                <m:t>Low Ed</m:t>
              </m:r>
            </m:sub>
            <m:sup>
              <m:r>
                <w:rPr>
                  <w:rFonts w:ascii="Cambria Math" w:hAnsi="Cambria Math" w:cs="Times New Roman"/>
                  <w:sz w:val="24"/>
                </w:rPr>
                <m:t>REF1</m:t>
              </m:r>
            </m:sup>
          </m:sSubSup>
        </m:oMath>
      </m:oMathPara>
    </w:p>
    <w:p w14:paraId="3CFED013" w14:textId="4B360A4F" w:rsidR="002174F2" w:rsidRDefault="007B5565" w:rsidP="002F5551">
      <w:pPr>
        <w:spacing w:after="240"/>
        <w:jc w:val="both"/>
        <w:rPr>
          <w:sz w:val="24"/>
        </w:rPr>
      </w:pPr>
      <w:r>
        <w:rPr>
          <w:sz w:val="24"/>
        </w:rPr>
        <w:t>Similarly, for the High Ed Ref 1 scenario, TAM estimates are derived by:</w:t>
      </w:r>
    </w:p>
    <w:p w14:paraId="0A6FADDB" w14:textId="2394838D" w:rsidR="007B5565" w:rsidRPr="008342C7" w:rsidRDefault="00AC466B" w:rsidP="007B5565">
      <w:pPr>
        <w:spacing w:after="240"/>
        <w:jc w:val="both"/>
      </w:pPr>
      <m:oMathPara>
        <m:oMathParaPr>
          <m:jc m:val="center"/>
        </m:oMathParaPr>
        <m:oMath>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TAM</m:t>
              </m:r>
            </m:e>
            <m:sup>
              <m:r>
                <w:rPr>
                  <w:rFonts w:ascii="Cambria Math" w:hAnsi="Cambria Math" w:cs="Times New Roman"/>
                </w:rPr>
                <m:t>REF1</m:t>
              </m:r>
            </m:sup>
          </m:sSup>
          <m:r>
            <w:rPr>
              <w:rFonts w:ascii="Cambria Math" w:hAnsi="Cambria Math" w:cs="Times New Roman"/>
            </w:rPr>
            <m:t>=</m:t>
          </m:r>
          <m:d>
            <m:dPr>
              <m:ctrlPr>
                <w:rPr>
                  <w:rFonts w:ascii="Cambria Math" w:hAnsi="Cambria Math" w:cs="Times New Roman"/>
                  <w:i/>
                  <w:sz w:val="24"/>
                </w:rPr>
              </m:ctrlPr>
            </m:dPr>
            <m:e>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TAM</m:t>
                      </m:r>
                    </m:e>
                    <m:sup>
                      <m:r>
                        <w:rPr>
                          <w:rFonts w:ascii="Cambria Math" w:hAnsi="Cambria Math" w:cs="Times New Roman"/>
                          <w:sz w:val="24"/>
                        </w:rPr>
                        <m:t>REF 2</m:t>
                      </m:r>
                    </m:sup>
                  </m:sSup>
                </m:num>
                <m:den>
                  <m:sSup>
                    <m:sSupPr>
                      <m:ctrlPr>
                        <w:rPr>
                          <w:rFonts w:ascii="Cambria Math" w:hAnsi="Cambria Math" w:cs="Times New Roman"/>
                          <w:i/>
                          <w:sz w:val="24"/>
                        </w:rPr>
                      </m:ctrlPr>
                    </m:sSupPr>
                    <m:e>
                      <m:r>
                        <w:rPr>
                          <w:rFonts w:ascii="Cambria Math" w:hAnsi="Cambria Math" w:cs="Times New Roman"/>
                          <w:sz w:val="24"/>
                        </w:rPr>
                        <m:t>Pop</m:t>
                      </m:r>
                    </m:e>
                    <m:sup>
                      <m:r>
                        <w:rPr>
                          <w:rFonts w:ascii="Cambria Math" w:hAnsi="Cambria Math" w:cs="Times New Roman"/>
                          <w:sz w:val="24"/>
                        </w:rPr>
                        <m:t>REF2</m:t>
                      </m:r>
                    </m:sup>
                  </m:sSup>
                </m:den>
              </m:f>
            </m:e>
          </m:d>
          <m:r>
            <w:rPr>
              <w:rFonts w:ascii="Cambria Math" w:hAnsi="Cambria Math" w:cs="Times New Roman"/>
            </w:rPr>
            <m:t xml:space="preserve">× </m:t>
          </m:r>
          <m:sSubSup>
            <m:sSubSupPr>
              <m:ctrlPr>
                <w:rPr>
                  <w:rFonts w:ascii="Cambria Math" w:hAnsi="Cambria Math" w:cs="Times New Roman"/>
                  <w:i/>
                  <w:sz w:val="24"/>
                </w:rPr>
              </m:ctrlPr>
            </m:sSubSupPr>
            <m:e>
              <m:r>
                <w:rPr>
                  <w:rFonts w:ascii="Cambria Math" w:hAnsi="Cambria Math" w:cs="Times New Roman"/>
                  <w:sz w:val="24"/>
                </w:rPr>
                <m:t>Pop</m:t>
              </m:r>
            </m:e>
            <m:sub>
              <m:r>
                <w:rPr>
                  <w:rFonts w:ascii="Cambria Math" w:hAnsi="Cambria Math" w:cs="Times New Roman"/>
                  <w:sz w:val="24"/>
                </w:rPr>
                <m:t>High Ed</m:t>
              </m:r>
            </m:sub>
            <m:sup>
              <m:r>
                <w:rPr>
                  <w:rFonts w:ascii="Cambria Math" w:hAnsi="Cambria Math" w:cs="Times New Roman"/>
                  <w:sz w:val="24"/>
                </w:rPr>
                <m:t>REF1</m:t>
              </m:r>
            </m:sup>
          </m:sSubSup>
        </m:oMath>
      </m:oMathPara>
    </w:p>
    <w:p w14:paraId="324AE0E4" w14:textId="77777777" w:rsidR="007B5565" w:rsidRDefault="007B5565" w:rsidP="002F5551">
      <w:pPr>
        <w:spacing w:after="240"/>
        <w:jc w:val="both"/>
        <w:rPr>
          <w:sz w:val="24"/>
        </w:rPr>
      </w:pPr>
    </w:p>
    <w:p w14:paraId="4D467E4B" w14:textId="03B7901E" w:rsidR="00CC4EAD" w:rsidRDefault="00C766DE" w:rsidP="002F5551">
      <w:pPr>
        <w:spacing w:after="240"/>
        <w:jc w:val="both"/>
        <w:rPr>
          <w:sz w:val="24"/>
        </w:rPr>
      </w:pPr>
      <w:r>
        <w:rPr>
          <w:sz w:val="24"/>
        </w:rPr>
        <w:t xml:space="preserve">Once TAM data have been </w:t>
      </w:r>
      <w:r w:rsidR="005F0C3F">
        <w:rPr>
          <w:sz w:val="24"/>
        </w:rPr>
        <w:t>regrouped</w:t>
      </w:r>
      <w:r>
        <w:rPr>
          <w:sz w:val="24"/>
        </w:rPr>
        <w:t xml:space="preserve"> according to </w:t>
      </w:r>
      <w:r w:rsidR="005F0C3F">
        <w:rPr>
          <w:sz w:val="24"/>
        </w:rPr>
        <w:t xml:space="preserve">economic </w:t>
      </w:r>
      <w:r w:rsidR="00B96CB1">
        <w:rPr>
          <w:sz w:val="24"/>
        </w:rPr>
        <w:t>development status</w:t>
      </w:r>
      <w:r>
        <w:rPr>
          <w:sz w:val="24"/>
        </w:rPr>
        <w:t xml:space="preserve">, total energy demand </w:t>
      </w:r>
      <w:r w:rsidR="00B96CB1">
        <w:rPr>
          <w:sz w:val="24"/>
        </w:rPr>
        <w:t xml:space="preserve">for each cluster in the REF 1 and 2 scenarios </w:t>
      </w:r>
      <w:r>
        <w:rPr>
          <w:sz w:val="24"/>
        </w:rPr>
        <w:t xml:space="preserve">is </w:t>
      </w:r>
      <w:r w:rsidR="00FA03ED">
        <w:rPr>
          <w:sz w:val="24"/>
        </w:rPr>
        <w:t>grouped by economic development status and educational attainment (Tables 4-5</w:t>
      </w:r>
      <w:r w:rsidR="007B5565">
        <w:rPr>
          <w:sz w:val="24"/>
        </w:rPr>
        <w:t xml:space="preserve"> in the Population Emissions worksheet</w:t>
      </w:r>
      <w:r w:rsidR="00FA03ED">
        <w:rPr>
          <w:sz w:val="24"/>
        </w:rPr>
        <w:t>)</w:t>
      </w:r>
      <w:r w:rsidR="005C52F6">
        <w:rPr>
          <w:sz w:val="24"/>
        </w:rPr>
        <w:t xml:space="preserve">. </w:t>
      </w:r>
    </w:p>
    <w:p w14:paraId="2878E385" w14:textId="2E74D909" w:rsidR="007B5565" w:rsidRPr="008342C7" w:rsidRDefault="00AC466B" w:rsidP="008342C7">
      <w:pPr>
        <w:spacing w:after="240"/>
        <w:jc w:val="center"/>
      </w:pPr>
      <m:oMathPara>
        <m:oMathParaPr>
          <m:jc m:val="center"/>
        </m:oMathParaPr>
        <m:oMath>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E</m:t>
                  </m:r>
                  <m:r>
                    <m:rPr>
                      <m:sty m:val="p"/>
                    </m:rPr>
                    <w:rPr>
                      <w:rFonts w:ascii="Cambria Math" w:hAnsi="Cambria Math" w:cs="Times New Roman"/>
                    </w:rPr>
                    <m:t>Ω</m:t>
                  </m:r>
                </m:e>
                <m:sub>
                  <m:r>
                    <w:rPr>
                      <w:rFonts w:ascii="Cambria Math" w:hAnsi="Cambria Math" w:cs="Times New Roman"/>
                    </w:rPr>
                    <m:t>y</m:t>
                  </m:r>
                </m:sub>
              </m:sSub>
            </m:e>
            <m:sup>
              <m:r>
                <w:rPr>
                  <w:rFonts w:ascii="Cambria Math" w:hAnsi="Cambria Math" w:cs="Times New Roman"/>
                </w:rPr>
                <m:t>REF1</m:t>
              </m:r>
            </m:sup>
          </m:s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E</m:t>
                  </m:r>
                  <m:r>
                    <m:rPr>
                      <m:sty m:val="p"/>
                    </m:rPr>
                    <w:rPr>
                      <w:rFonts w:ascii="Cambria Math" w:hAnsi="Cambria Math" w:cs="Times New Roman"/>
                    </w:rPr>
                    <m:t>Ω</m:t>
                  </m:r>
                </m:e>
                <m:sub>
                  <m:r>
                    <w:rPr>
                      <w:rFonts w:ascii="Cambria Math" w:hAnsi="Cambria Math" w:cs="Times New Roman"/>
                    </w:rPr>
                    <m:t>y</m:t>
                  </m:r>
                </m:sub>
              </m:sSub>
            </m:e>
            <m:sub>
              <m:r>
                <w:rPr>
                  <w:rFonts w:ascii="Cambria Math" w:hAnsi="Cambria Math" w:cs="Times New Roman"/>
                </w:rPr>
                <m:t>Higher NRR</m:t>
              </m:r>
            </m:sub>
            <m:sup>
              <m:r>
                <w:rPr>
                  <w:rFonts w:ascii="Cambria Math" w:hAnsi="Cambria Math" w:cs="Times New Roman"/>
                </w:rPr>
                <m:t>REF1</m:t>
              </m:r>
            </m:sup>
          </m:sSubSup>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E</m:t>
                  </m:r>
                  <m:r>
                    <m:rPr>
                      <m:sty m:val="p"/>
                    </m:rPr>
                    <w:rPr>
                      <w:rFonts w:ascii="Cambria Math" w:hAnsi="Cambria Math" w:cs="Times New Roman"/>
                    </w:rPr>
                    <m:t>Ω</m:t>
                  </m:r>
                </m:e>
                <m:sub>
                  <m:r>
                    <w:rPr>
                      <w:rFonts w:ascii="Cambria Math" w:hAnsi="Cambria Math" w:cs="Times New Roman"/>
                    </w:rPr>
                    <m:t>y</m:t>
                  </m:r>
                </m:sub>
              </m:sSub>
            </m:e>
            <m:sub>
              <m:r>
                <w:rPr>
                  <w:rFonts w:ascii="Cambria Math" w:hAnsi="Cambria Math" w:cs="Times New Roman"/>
                </w:rPr>
                <m:t>Lower NRR</m:t>
              </m:r>
            </m:sub>
            <m:sup>
              <m:r>
                <w:rPr>
                  <w:rFonts w:ascii="Cambria Math" w:hAnsi="Cambria Math" w:cs="Times New Roman"/>
                </w:rPr>
                <m:t>REF1</m:t>
              </m:r>
            </m:sup>
          </m:sSubSup>
        </m:oMath>
      </m:oMathPara>
    </w:p>
    <w:p w14:paraId="40BD2801" w14:textId="69D5DA73" w:rsidR="007B5565" w:rsidRDefault="00C901A3" w:rsidP="008342C7">
      <w:pPr>
        <w:spacing w:after="240"/>
        <w:ind w:firstLine="708"/>
        <w:rPr>
          <w:sz w:val="24"/>
        </w:rPr>
      </w:pPr>
      <w:r>
        <w:rPr>
          <w:sz w:val="24"/>
        </w:rPr>
        <w:t>where</w:t>
      </w:r>
    </w:p>
    <w:p w14:paraId="33B47B2A" w14:textId="707E58B0" w:rsidR="007B5565" w:rsidRPr="00C901A3" w:rsidRDefault="00C901A3" w:rsidP="008342C7">
      <w:pPr>
        <w:spacing w:after="240"/>
        <w:ind w:left="708"/>
        <w:jc w:val="center"/>
        <w:rPr>
          <w:sz w:val="24"/>
        </w:rPr>
      </w:pPr>
      <w:r w:rsidRPr="00C901A3">
        <w:rPr>
          <w:sz w:val="24"/>
        </w:rPr>
        <w:t xml:space="preserve">(a) </w:t>
      </w: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Higher NRR</m:t>
            </m:r>
          </m:sub>
          <m:sup>
            <m:r>
              <w:rPr>
                <w:rFonts w:ascii="Cambria Math" w:hAnsi="Cambria Math" w:cs="Times New Roman"/>
                <w:sz w:val="24"/>
              </w:rPr>
              <m:t>REF1</m:t>
            </m:r>
          </m:sup>
        </m:sSubSup>
        <m:r>
          <w:rPr>
            <w:rFonts w:ascii="Cambria Math" w:hAnsi="Cambria Math" w:cs="Times New Roman"/>
            <w:sz w:val="24"/>
          </w:rPr>
          <m:t>=</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LLDC+Low Ed</m:t>
            </m:r>
          </m:sub>
          <m:sup>
            <m:r>
              <w:rPr>
                <w:rFonts w:ascii="Cambria Math" w:hAnsi="Cambria Math" w:cs="Times New Roman"/>
                <w:sz w:val="24"/>
              </w:rPr>
              <m:t>REF1</m:t>
            </m:r>
          </m:sup>
        </m:sSubSup>
        <m:r>
          <w:rPr>
            <w:rFonts w:ascii="Cambria Math" w:hAnsi="Cambria Math" w:cs="Times New Roman"/>
            <w:sz w:val="24"/>
          </w:rPr>
          <m:t xml:space="preserve">+ </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LLDC+High Ed</m:t>
            </m:r>
          </m:sub>
          <m:sup>
            <m:r>
              <w:rPr>
                <w:rFonts w:ascii="Cambria Math" w:hAnsi="Cambria Math" w:cs="Times New Roman"/>
                <w:sz w:val="24"/>
              </w:rPr>
              <m:t>REF1</m:t>
            </m:r>
          </m:sup>
        </m:sSubSup>
      </m:oMath>
    </w:p>
    <w:p w14:paraId="2DE5DB11" w14:textId="05DC3D79" w:rsidR="007B5565" w:rsidRPr="008342C7" w:rsidRDefault="00AC466B" w:rsidP="008342C7">
      <w:pPr>
        <w:spacing w:after="240"/>
        <w:ind w:firstLine="708"/>
        <w:rPr>
          <w:sz w:val="24"/>
        </w:rPr>
      </w:pPr>
      <m:oMathPara>
        <m:oMathParaPr>
          <m:jc m:val="center"/>
        </m:oMathParaPr>
        <m:oMath>
          <m:sSubSup>
            <m:sSubSupPr>
              <m:ctrlPr>
                <w:rPr>
                  <w:rFonts w:ascii="Cambria Math" w:hAnsi="Cambria Math" w:cs="Times New Roman"/>
                  <w:i/>
                  <w:sz w:val="24"/>
                </w:rPr>
              </m:ctrlPr>
            </m:sSubSupPr>
            <m:e>
              <m:sSub>
                <m:sSubPr>
                  <m:ctrlPr>
                    <w:rPr>
                      <w:rFonts w:ascii="Cambria Math" w:hAnsi="Cambria Math" w:cs="Times New Roman"/>
                      <w:i/>
                      <w:sz w:val="24"/>
                    </w:rPr>
                  </m:ctrlPr>
                </m:sSubPr>
                <m:e>
                  <m:d>
                    <m:dPr>
                      <m:ctrlPr>
                        <w:rPr>
                          <w:rFonts w:ascii="Cambria Math" w:hAnsi="Cambria Math" w:cs="Times New Roman"/>
                          <w:i/>
                          <w:sz w:val="24"/>
                        </w:rPr>
                      </m:ctrlPr>
                    </m:dPr>
                    <m:e>
                      <m:r>
                        <w:rPr>
                          <w:rFonts w:ascii="Cambria Math" w:hAnsi="Cambria Math" w:cs="Times New Roman"/>
                          <w:sz w:val="24"/>
                        </w:rPr>
                        <m:t>b</m:t>
                      </m:r>
                    </m:e>
                  </m:d>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Lower NRR</m:t>
              </m:r>
            </m:sub>
            <m:sup>
              <m:r>
                <w:rPr>
                  <w:rFonts w:ascii="Cambria Math" w:hAnsi="Cambria Math" w:cs="Times New Roman"/>
                  <w:sz w:val="24"/>
                </w:rPr>
                <m:t>REF1</m:t>
              </m:r>
            </m:sup>
          </m:sSubSup>
          <m:r>
            <w:rPr>
              <w:rFonts w:ascii="Cambria Math" w:hAnsi="Cambria Math" w:cs="Times New Roman"/>
              <w:sz w:val="24"/>
            </w:rPr>
            <m:t xml:space="preserve">= </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MDC+LAC+EE+Low Ed</m:t>
              </m:r>
            </m:sub>
            <m:sup>
              <m:r>
                <w:rPr>
                  <w:rFonts w:ascii="Cambria Math" w:hAnsi="Cambria Math" w:cs="Times New Roman"/>
                  <w:sz w:val="24"/>
                </w:rPr>
                <m:t>REF1</m:t>
              </m:r>
            </m:sup>
          </m:sSubSup>
          <m:r>
            <w:rPr>
              <w:rFonts w:ascii="Cambria Math" w:hAnsi="Cambria Math" w:cs="Times New Roman"/>
              <w:sz w:val="24"/>
            </w:rPr>
            <m:t xml:space="preserve">+ </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MDC+LAC+EE+China+High Ed</m:t>
              </m:r>
            </m:sub>
            <m:sup>
              <m:r>
                <w:rPr>
                  <w:rFonts w:ascii="Cambria Math" w:hAnsi="Cambria Math" w:cs="Times New Roman"/>
                  <w:sz w:val="24"/>
                </w:rPr>
                <m:t>REF1</m:t>
              </m:r>
            </m:sup>
          </m:sSubSup>
        </m:oMath>
      </m:oMathPara>
    </w:p>
    <w:p w14:paraId="6611E8B9" w14:textId="77777777" w:rsidR="007B5565" w:rsidRPr="00110F94" w:rsidRDefault="007B5565" w:rsidP="008342C7">
      <w:pPr>
        <w:spacing w:after="240"/>
        <w:rPr>
          <w:sz w:val="24"/>
        </w:rPr>
      </w:pPr>
    </w:p>
    <w:p w14:paraId="581A0155" w14:textId="11A46DEF" w:rsidR="007B5565" w:rsidRPr="008342C7" w:rsidRDefault="00AC466B" w:rsidP="008342C7">
      <w:pPr>
        <w:spacing w:after="240"/>
        <w:rPr>
          <w:sz w:val="24"/>
        </w:rPr>
      </w:pPr>
      <m:oMathPara>
        <m:oMathParaPr>
          <m:jc m:val="center"/>
        </m:oMathParaPr>
        <m:oMath>
          <m:d>
            <m:dPr>
              <m:ctrlPr>
                <w:rPr>
                  <w:rFonts w:ascii="Cambria Math" w:hAnsi="Cambria Math" w:cs="Times New Roman"/>
                  <w:i/>
                  <w:sz w:val="24"/>
                </w:rPr>
              </m:ctrlPr>
            </m:dPr>
            <m:e>
              <m:r>
                <w:rPr>
                  <w:rFonts w:ascii="Cambria Math" w:hAnsi="Cambria Math" w:cs="Times New Roman"/>
                  <w:sz w:val="24"/>
                </w:rPr>
                <m:t>4</m:t>
              </m:r>
            </m:e>
          </m:d>
          <m:r>
            <w:rPr>
              <w:rFonts w:ascii="Cambria Math" w:hAnsi="Cambria Math" w:cs="Times New Roman"/>
              <w:sz w:val="24"/>
            </w:rPr>
            <m:t xml:space="preserve"> </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p>
              <m:r>
                <w:rPr>
                  <w:rFonts w:ascii="Cambria Math" w:hAnsi="Cambria Math" w:cs="Times New Roman"/>
                  <w:sz w:val="24"/>
                </w:rPr>
                <m:t>REF2</m:t>
              </m:r>
            </m:sup>
          </m:sSup>
          <m:r>
            <w:rPr>
              <w:rFonts w:ascii="Cambria Math" w:hAnsi="Cambria Math" w:cs="Times New Roman"/>
              <w:sz w:val="24"/>
            </w:rPr>
            <m:t>=</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m:t>
              </m:r>
            </m:sub>
            <m:sup>
              <m:r>
                <w:rPr>
                  <w:rFonts w:ascii="Cambria Math" w:hAnsi="Cambria Math" w:cs="Times New Roman"/>
                  <w:sz w:val="24"/>
                </w:rPr>
                <m:t>REF2</m:t>
              </m:r>
            </m:sup>
          </m:sSubSup>
          <m:r>
            <w:rPr>
              <w:rFonts w:ascii="Cambria Math" w:hAnsi="Cambria Math" w:cs="Times New Roman"/>
              <w:sz w:val="24"/>
            </w:rPr>
            <m:t xml:space="preserve">+ </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MDC+LAC+EE+China</m:t>
              </m:r>
            </m:sub>
            <m:sup>
              <m:r>
                <w:rPr>
                  <w:rFonts w:ascii="Cambria Math" w:hAnsi="Cambria Math" w:cs="Times New Roman"/>
                  <w:sz w:val="24"/>
                </w:rPr>
                <m:t>REF2</m:t>
              </m:r>
            </m:sup>
          </m:sSubSup>
        </m:oMath>
      </m:oMathPara>
    </w:p>
    <w:p w14:paraId="5AA0D613" w14:textId="71BD6E2E" w:rsidR="00B96CB1" w:rsidRPr="00E5118F" w:rsidRDefault="00B96CB1" w:rsidP="00CC4EAD">
      <w:pPr>
        <w:spacing w:after="240"/>
        <w:jc w:val="both"/>
      </w:pPr>
    </w:p>
    <w:p w14:paraId="53E82304" w14:textId="667F2E06" w:rsidR="00C766DE" w:rsidRDefault="005C52F6" w:rsidP="002F5551">
      <w:pPr>
        <w:spacing w:after="240"/>
        <w:jc w:val="both"/>
        <w:rPr>
          <w:sz w:val="24"/>
        </w:rPr>
      </w:pPr>
      <w:r>
        <w:rPr>
          <w:sz w:val="24"/>
        </w:rPr>
        <w:t xml:space="preserve">For the REF 1 </w:t>
      </w:r>
      <w:r w:rsidR="00FF6DEE">
        <w:rPr>
          <w:sz w:val="24"/>
        </w:rPr>
        <w:t>and 2 scenarios</w:t>
      </w:r>
      <w:r>
        <w:rPr>
          <w:sz w:val="24"/>
        </w:rPr>
        <w:t>, the percentage of energy demand attribute</w:t>
      </w:r>
      <w:r w:rsidR="00FF6DEE">
        <w:rPr>
          <w:sz w:val="24"/>
        </w:rPr>
        <w:t>d to LLDC</w:t>
      </w:r>
      <w:r>
        <w:rPr>
          <w:sz w:val="24"/>
        </w:rPr>
        <w:t xml:space="preserve"> is calculate</w:t>
      </w:r>
      <w:r w:rsidR="00FF6DEE">
        <w:rPr>
          <w:sz w:val="24"/>
        </w:rPr>
        <w:t xml:space="preserve">d by dividing the total </w:t>
      </w:r>
      <w:r>
        <w:rPr>
          <w:sz w:val="24"/>
        </w:rPr>
        <w:t>energy demand by the energy demand for LLDC + High NRR regions (</w:t>
      </w:r>
      <w:r w:rsidR="00FF6DEE">
        <w:rPr>
          <w:sz w:val="24"/>
        </w:rPr>
        <w:t xml:space="preserve">for REF 1, </w:t>
      </w:r>
      <w:r>
        <w:rPr>
          <w:sz w:val="24"/>
        </w:rPr>
        <w:t xml:space="preserve">with low or high Ed, respectively). </w:t>
      </w:r>
    </w:p>
    <w:p w14:paraId="7187CE70" w14:textId="0F8452EF" w:rsidR="00FF6DEE" w:rsidRDefault="00FF6DEE" w:rsidP="002F5551">
      <w:pPr>
        <w:spacing w:after="240"/>
        <w:jc w:val="both"/>
        <w:rPr>
          <w:sz w:val="24"/>
        </w:rPr>
      </w:pPr>
    </w:p>
    <w:p w14:paraId="6911594A" w14:textId="65A4B132" w:rsidR="00CC4EAD" w:rsidRPr="00110F94" w:rsidRDefault="00DE1F2C" w:rsidP="008342C7">
      <w:pPr>
        <w:spacing w:after="240"/>
        <w:jc w:val="center"/>
        <w:rPr>
          <w:sz w:val="28"/>
        </w:rPr>
      </w:pPr>
      <w:r>
        <w:rPr>
          <w:sz w:val="24"/>
        </w:rPr>
        <w:t xml:space="preserve">(5) </w:t>
      </w: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m:t>
            </m:r>
          </m:sub>
          <m:sup>
            <m:r>
              <w:rPr>
                <w:rFonts w:ascii="Cambria Math" w:hAnsi="Cambria Math" w:cs="Times New Roman"/>
                <w:sz w:val="24"/>
              </w:rPr>
              <m:t>REF 1</m:t>
            </m:r>
          </m:sup>
        </m:sSubSup>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sSub>
                      <m:sSubPr>
                        <m:ctrlPr>
                          <w:rPr>
                            <w:rFonts w:ascii="Cambria Math" w:hAnsi="Cambria Math" w:cs="Times New Roman"/>
                            <w:i/>
                            <w:sz w:val="24"/>
                          </w:rPr>
                        </m:ctrlPr>
                      </m:sSubPr>
                      <m:e>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LLDC+High NRR+High Ed</m:t>
                            </m:r>
                          </m:sub>
                          <m:sup>
                            <m:r>
                              <w:rPr>
                                <w:rFonts w:ascii="Cambria Math" w:hAnsi="Cambria Math" w:cs="Times New Roman"/>
                                <w:sz w:val="24"/>
                              </w:rPr>
                              <m:t>REF1</m:t>
                            </m:r>
                          </m:sup>
                        </m:sSubSup>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LLDC+High NRR+Low Ed</m:t>
                    </m:r>
                  </m:sub>
                  <m:sup>
                    <m:r>
                      <w:rPr>
                        <w:rFonts w:ascii="Cambria Math" w:hAnsi="Cambria Math" w:cs="Times New Roman"/>
                        <w:sz w:val="24"/>
                      </w:rPr>
                      <m:t>REF1</m:t>
                    </m:r>
                  </m:sup>
                </m:sSubSup>
              </m:num>
              <m:den>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p>
                    <m:r>
                      <w:rPr>
                        <w:rFonts w:ascii="Cambria Math" w:hAnsi="Cambria Math" w:cs="Times New Roman"/>
                        <w:sz w:val="24"/>
                      </w:rPr>
                      <m:t>REF 1</m:t>
                    </m:r>
                  </m:sup>
                </m:sSup>
              </m:den>
            </m:f>
          </m:e>
        </m:d>
        <m:r>
          <w:rPr>
            <w:rFonts w:ascii="Cambria Math" w:hAnsi="Cambria Math" w:cs="Times New Roman"/>
            <w:sz w:val="24"/>
          </w:rPr>
          <m:t>×100</m:t>
        </m:r>
      </m:oMath>
    </w:p>
    <w:p w14:paraId="1B761927" w14:textId="77777777" w:rsidR="00CC4EAD" w:rsidRPr="00110F94" w:rsidRDefault="00CC4EAD" w:rsidP="00CC4EAD">
      <w:pPr>
        <w:spacing w:after="240"/>
        <w:jc w:val="both"/>
        <w:rPr>
          <w:sz w:val="28"/>
        </w:rPr>
      </w:pPr>
    </w:p>
    <w:p w14:paraId="63EB1FAE" w14:textId="0F78971E" w:rsidR="00FF6DEE" w:rsidRPr="00110F94" w:rsidRDefault="00DE1F2C" w:rsidP="008342C7">
      <w:pPr>
        <w:spacing w:after="240"/>
        <w:jc w:val="center"/>
        <w:rPr>
          <w:sz w:val="24"/>
        </w:rPr>
      </w:pPr>
      <w:r>
        <w:rPr>
          <w:sz w:val="24"/>
        </w:rPr>
        <w:t xml:space="preserve">(6) </w:t>
      </w: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MDC</m:t>
            </m:r>
          </m:sub>
          <m:sup>
            <m:r>
              <w:rPr>
                <w:rFonts w:ascii="Cambria Math" w:hAnsi="Cambria Math" w:cs="Times New Roman"/>
                <w:sz w:val="24"/>
              </w:rPr>
              <m:t>REF 1</m:t>
            </m:r>
          </m:sup>
        </m:sSubSup>
        <m:r>
          <w:rPr>
            <w:rFonts w:ascii="Cambria Math" w:hAnsi="Cambria Math" w:cs="Times New Roman"/>
            <w:sz w:val="24"/>
          </w:rPr>
          <m:t xml:space="preserve">=1- </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m:t>
            </m:r>
          </m:sub>
          <m:sup>
            <m:r>
              <w:rPr>
                <w:rFonts w:ascii="Cambria Math" w:hAnsi="Cambria Math" w:cs="Times New Roman"/>
                <w:sz w:val="24"/>
              </w:rPr>
              <m:t>REF 1</m:t>
            </m:r>
          </m:sup>
        </m:sSubSup>
      </m:oMath>
    </w:p>
    <w:p w14:paraId="7654E39F" w14:textId="304C52D6" w:rsidR="00FF6DEE" w:rsidRPr="00110F94" w:rsidRDefault="00FF6DEE" w:rsidP="002F5551">
      <w:pPr>
        <w:spacing w:after="240"/>
        <w:jc w:val="both"/>
        <w:rPr>
          <w:sz w:val="24"/>
        </w:rPr>
      </w:pPr>
    </w:p>
    <w:p w14:paraId="1C08D278" w14:textId="72A6F17A" w:rsidR="00FF6DEE" w:rsidRPr="00110F94" w:rsidRDefault="00DE1F2C" w:rsidP="008342C7">
      <w:pPr>
        <w:spacing w:after="240"/>
        <w:jc w:val="center"/>
        <w:rPr>
          <w:sz w:val="28"/>
        </w:rPr>
      </w:pPr>
      <w:r>
        <w:rPr>
          <w:sz w:val="24"/>
        </w:rPr>
        <w:t xml:space="preserve">(7) </w:t>
      </w: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m:t>
            </m:r>
          </m:sub>
          <m:sup>
            <m:r>
              <w:rPr>
                <w:rFonts w:ascii="Cambria Math" w:hAnsi="Cambria Math" w:cs="Times New Roman"/>
                <w:sz w:val="24"/>
              </w:rPr>
              <m:t>REF 2</m:t>
            </m:r>
          </m:sup>
        </m:sSubSup>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LLDC+High NRR</m:t>
                    </m:r>
                  </m:sub>
                  <m:sup>
                    <m:r>
                      <w:rPr>
                        <w:rFonts w:ascii="Cambria Math" w:hAnsi="Cambria Math" w:cs="Times New Roman"/>
                        <w:sz w:val="24"/>
                      </w:rPr>
                      <m:t>REF2</m:t>
                    </m:r>
                  </m:sup>
                </m:sSubSup>
              </m:num>
              <m:den>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p>
                    <m:r>
                      <w:rPr>
                        <w:rFonts w:ascii="Cambria Math" w:hAnsi="Cambria Math" w:cs="Times New Roman"/>
                        <w:sz w:val="24"/>
                      </w:rPr>
                      <m:t>REF 2</m:t>
                    </m:r>
                  </m:sup>
                </m:sSup>
              </m:den>
            </m:f>
          </m:e>
        </m:d>
        <m:r>
          <w:rPr>
            <w:rFonts w:ascii="Cambria Math" w:hAnsi="Cambria Math" w:cs="Times New Roman"/>
            <w:sz w:val="24"/>
          </w:rPr>
          <m:t>×100</m:t>
        </m:r>
      </m:oMath>
    </w:p>
    <w:p w14:paraId="7B129E33" w14:textId="77777777" w:rsidR="00FF6DEE" w:rsidRPr="00110F94" w:rsidRDefault="00FF6DEE" w:rsidP="002F5551">
      <w:pPr>
        <w:spacing w:after="240"/>
        <w:jc w:val="both"/>
        <w:rPr>
          <w:sz w:val="28"/>
        </w:rPr>
      </w:pPr>
    </w:p>
    <w:p w14:paraId="6D636618" w14:textId="0B715DD4" w:rsidR="00FF6DEE" w:rsidRPr="00110F94" w:rsidRDefault="00DE1F2C" w:rsidP="008342C7">
      <w:pPr>
        <w:spacing w:after="240"/>
        <w:jc w:val="center"/>
        <w:rPr>
          <w:sz w:val="24"/>
        </w:rPr>
      </w:pPr>
      <w:r>
        <w:rPr>
          <w:sz w:val="24"/>
        </w:rPr>
        <w:t xml:space="preserve">(8) </w:t>
      </w: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MDC</m:t>
            </m:r>
          </m:sub>
          <m:sup>
            <m:r>
              <w:rPr>
                <w:rFonts w:ascii="Cambria Math" w:hAnsi="Cambria Math" w:cs="Times New Roman"/>
                <w:sz w:val="24"/>
              </w:rPr>
              <m:t>REF 2</m:t>
            </m:r>
          </m:sup>
        </m:sSubSup>
        <m:r>
          <w:rPr>
            <w:rFonts w:ascii="Cambria Math" w:hAnsi="Cambria Math" w:cs="Times New Roman"/>
            <w:sz w:val="24"/>
          </w:rPr>
          <m:t xml:space="preserve">=1- </m:t>
        </m:r>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b>
            <m:r>
              <w:rPr>
                <w:rFonts w:ascii="Cambria Math" w:hAnsi="Cambria Math" w:cs="Times New Roman"/>
                <w:sz w:val="24"/>
              </w:rPr>
              <m:t>LLDC</m:t>
            </m:r>
          </m:sub>
          <m:sup>
            <m:r>
              <w:rPr>
                <w:rFonts w:ascii="Cambria Math" w:hAnsi="Cambria Math" w:cs="Times New Roman"/>
                <w:sz w:val="24"/>
              </w:rPr>
              <m:t>REF 2</m:t>
            </m:r>
          </m:sup>
        </m:sSubSup>
      </m:oMath>
    </w:p>
    <w:p w14:paraId="414A0916" w14:textId="77777777" w:rsidR="00FF6DEE" w:rsidRDefault="00FF6DEE" w:rsidP="002F5551">
      <w:pPr>
        <w:spacing w:after="240"/>
        <w:jc w:val="both"/>
        <w:rPr>
          <w:sz w:val="24"/>
        </w:rPr>
      </w:pPr>
    </w:p>
    <w:p w14:paraId="43FCEFAF" w14:textId="46572AD7" w:rsidR="00912B05" w:rsidRDefault="00C766DE" w:rsidP="002F5551">
      <w:pPr>
        <w:spacing w:after="240"/>
        <w:jc w:val="both"/>
        <w:rPr>
          <w:sz w:val="24"/>
        </w:rPr>
      </w:pPr>
      <w:r>
        <w:rPr>
          <w:sz w:val="24"/>
        </w:rPr>
        <w:t xml:space="preserve">The difference in energy demand for each </w:t>
      </w:r>
      <w:r w:rsidR="000E00FE">
        <w:rPr>
          <w:sz w:val="24"/>
        </w:rPr>
        <w:t>cluster</w:t>
      </w:r>
      <w:r>
        <w:rPr>
          <w:sz w:val="24"/>
        </w:rPr>
        <w:t xml:space="preserve"> between the REF 2 and REF 1 scenarios is then then calculated, </w:t>
      </w:r>
      <w:r w:rsidR="00FE56AC">
        <w:rPr>
          <w:sz w:val="24"/>
        </w:rPr>
        <w:t>together with</w:t>
      </w:r>
      <w:r>
        <w:rPr>
          <w:sz w:val="24"/>
        </w:rPr>
        <w:t xml:space="preserve"> the percentage of energy demand attributed to </w:t>
      </w:r>
      <w:r w:rsidR="004D0FFF">
        <w:rPr>
          <w:sz w:val="24"/>
        </w:rPr>
        <w:t>LLDC and MDC regions, and those</w:t>
      </w:r>
      <w:r>
        <w:rPr>
          <w:sz w:val="24"/>
        </w:rPr>
        <w:t xml:space="preserve"> with high educational </w:t>
      </w:r>
      <w:r w:rsidR="004D0FFF">
        <w:rPr>
          <w:sz w:val="24"/>
        </w:rPr>
        <w:t xml:space="preserve">attainment and </w:t>
      </w:r>
      <w:r w:rsidR="000A78FA">
        <w:rPr>
          <w:sz w:val="24"/>
        </w:rPr>
        <w:t xml:space="preserve">low educational attainment </w:t>
      </w:r>
      <w:r w:rsidR="00FA03ED">
        <w:rPr>
          <w:sz w:val="24"/>
        </w:rPr>
        <w:t>(Table 6)</w:t>
      </w:r>
    </w:p>
    <w:p w14:paraId="52FA2550" w14:textId="0CC59942" w:rsidR="00B811F9" w:rsidRPr="00110F94" w:rsidRDefault="00AC466B" w:rsidP="00362C88">
      <w:pPr>
        <w:spacing w:after="240"/>
        <w:jc w:val="center"/>
        <w:rPr>
          <w:sz w:val="28"/>
        </w:rPr>
      </w:pPr>
      <m:oMath>
        <m:d>
          <m:dPr>
            <m:ctrlPr>
              <w:rPr>
                <w:rFonts w:ascii="Cambria Math" w:hAnsi="Cambria Math" w:cs="Times New Roman"/>
                <w:i/>
                <w:sz w:val="24"/>
              </w:rPr>
            </m:ctrlPr>
          </m:dPr>
          <m:e>
            <m:r>
              <w:rPr>
                <w:rFonts w:ascii="Cambria Math" w:hAnsi="Cambria Math" w:cs="Times New Roman"/>
                <w:sz w:val="24"/>
              </w:rPr>
              <m:t>9</m:t>
            </m:r>
          </m:e>
        </m:d>
        <m:r>
          <w:rPr>
            <w:rFonts w:ascii="Cambria Math" w:hAnsi="Cambria Math" w:cs="Times New Roman"/>
            <w:sz w:val="24"/>
          </w:rPr>
          <m:t xml:space="preserve"> E</m:t>
        </m:r>
        <m:r>
          <m:rPr>
            <m:sty m:val="p"/>
          </m:rPr>
          <w:rPr>
            <w:rFonts w:ascii="Cambria Math" w:hAnsi="Cambria Math" w:cs="Times New Roman"/>
            <w:sz w:val="24"/>
          </w:rPr>
          <m:t>Ω</m:t>
        </m:r>
        <m:sSub>
          <m:sSubPr>
            <m:ctrlPr>
              <w:rPr>
                <w:rFonts w:ascii="Cambria Math" w:hAnsi="Cambria Math" w:cs="Times New Roman"/>
                <w:i/>
                <w:sz w:val="24"/>
              </w:rPr>
            </m:ctrlPr>
          </m:sSubPr>
          <m:e>
            <m:r>
              <m:rPr>
                <m:sty m:val="p"/>
              </m:rPr>
              <w:rPr>
                <w:rFonts w:ascii="Cambria Math" w:hAnsi="Cambria Math" w:cs="Times New Roman"/>
                <w:sz w:val="24"/>
              </w:rPr>
              <m:t>Δ</m:t>
            </m:r>
          </m:e>
          <m:sub>
            <m:r>
              <w:rPr>
                <w:rFonts w:ascii="Cambria Math" w:hAnsi="Cambria Math" w:cs="Times New Roman"/>
                <w:sz w:val="24"/>
              </w:rPr>
              <m:t>y</m:t>
            </m:r>
          </m:sub>
        </m:sSub>
      </m:oMath>
      <w:r w:rsidR="00B811F9" w:rsidRPr="00110F94">
        <w:rPr>
          <w:sz w:val="24"/>
        </w:rPr>
        <w:t>=</w:t>
      </w:r>
      <m:oMath>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p>
            <m:r>
              <w:rPr>
                <w:rFonts w:ascii="Cambria Math" w:hAnsi="Cambria Math" w:cs="Times New Roman"/>
                <w:sz w:val="24"/>
              </w:rPr>
              <m:t>REF1</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E</m:t>
                </m:r>
                <m:r>
                  <m:rPr>
                    <m:sty m:val="p"/>
                  </m:rPr>
                  <w:rPr>
                    <w:rFonts w:ascii="Cambria Math" w:hAnsi="Cambria Math" w:cs="Times New Roman"/>
                    <w:sz w:val="24"/>
                  </w:rPr>
                  <m:t>Ω</m:t>
                </m:r>
              </m:e>
              <m:sub>
                <m:r>
                  <w:rPr>
                    <w:rFonts w:ascii="Cambria Math" w:hAnsi="Cambria Math" w:cs="Times New Roman"/>
                    <w:sz w:val="24"/>
                  </w:rPr>
                  <m:t>y</m:t>
                </m:r>
              </m:sub>
            </m:sSub>
          </m:e>
          <m:sup>
            <m:r>
              <w:rPr>
                <w:rFonts w:ascii="Cambria Math" w:hAnsi="Cambria Math" w:cs="Times New Roman"/>
                <w:sz w:val="24"/>
              </w:rPr>
              <m:t>REF2</m:t>
            </m:r>
          </m:sup>
        </m:sSup>
      </m:oMath>
    </w:p>
    <w:p w14:paraId="0401E64A" w14:textId="7CBAF442" w:rsidR="00912B05" w:rsidRDefault="00FE56AC" w:rsidP="00DE1F2C">
      <w:pPr>
        <w:spacing w:after="240"/>
        <w:jc w:val="both"/>
        <w:rPr>
          <w:sz w:val="24"/>
        </w:rPr>
      </w:pPr>
      <w:r>
        <w:rPr>
          <w:sz w:val="24"/>
        </w:rPr>
        <w:t xml:space="preserve">Next, the differences in </w:t>
      </w:r>
      <w:r w:rsidRPr="002F5551">
        <w:rPr>
          <w:sz w:val="24"/>
        </w:rPr>
        <w:t xml:space="preserve">total functional demand of conventional technologies/practices </w:t>
      </w:r>
      <w:r>
        <w:rPr>
          <w:sz w:val="24"/>
        </w:rPr>
        <w:t>are calculated</w:t>
      </w:r>
      <w:r w:rsidR="00DE1F2C">
        <w:rPr>
          <w:sz w:val="24"/>
        </w:rPr>
        <w:t>. This is done</w:t>
      </w:r>
      <w:r>
        <w:rPr>
          <w:sz w:val="24"/>
        </w:rPr>
        <w:t xml:space="preserve"> across the</w:t>
      </w:r>
      <w:r w:rsidRPr="002F5551">
        <w:rPr>
          <w:sz w:val="24"/>
        </w:rPr>
        <w:t xml:space="preserve"> REF 1 and REF 2 scenarios</w:t>
      </w:r>
      <w:r>
        <w:rPr>
          <w:sz w:val="24"/>
        </w:rPr>
        <w:t xml:space="preserve"> in LLDCs with high and low educational attainment and MDCs (changes in functional demand of the</w:t>
      </w:r>
      <w:r w:rsidR="00FA03ED">
        <w:rPr>
          <w:sz w:val="24"/>
        </w:rPr>
        <w:t xml:space="preserve"> different</w:t>
      </w:r>
      <w:r>
        <w:rPr>
          <w:sz w:val="24"/>
        </w:rPr>
        <w:t xml:space="preserve"> </w:t>
      </w:r>
      <w:r w:rsidRPr="00B5301B">
        <w:rPr>
          <w:i/>
          <w:sz w:val="24"/>
        </w:rPr>
        <w:t>solution</w:t>
      </w:r>
      <w:r w:rsidR="00FA03ED" w:rsidRPr="00B5301B">
        <w:rPr>
          <w:i/>
          <w:sz w:val="24"/>
        </w:rPr>
        <w:t>s</w:t>
      </w:r>
      <w:r w:rsidR="00FA03ED">
        <w:rPr>
          <w:sz w:val="24"/>
        </w:rPr>
        <w:t xml:space="preserve"> across clusters</w:t>
      </w:r>
      <w:r>
        <w:rPr>
          <w:sz w:val="24"/>
        </w:rPr>
        <w:t xml:space="preserve"> is not calculated </w:t>
      </w:r>
      <w:r w:rsidR="00FA03ED">
        <w:rPr>
          <w:sz w:val="24"/>
        </w:rPr>
        <w:t>due to the complexity of the computations</w:t>
      </w:r>
      <w:r w:rsidR="00FE59D8">
        <w:rPr>
          <w:sz w:val="24"/>
        </w:rPr>
        <w:t>, and hence differences in implementation units are not factored into any of the calculations</w:t>
      </w:r>
      <w:r>
        <w:rPr>
          <w:sz w:val="24"/>
        </w:rPr>
        <w:t xml:space="preserve">). </w:t>
      </w:r>
    </w:p>
    <w:p w14:paraId="477DFF8D" w14:textId="75C88B6E" w:rsidR="00FE56AC" w:rsidRDefault="005C52F6" w:rsidP="002F5551">
      <w:pPr>
        <w:spacing w:after="240"/>
        <w:jc w:val="both"/>
        <w:rPr>
          <w:sz w:val="24"/>
        </w:rPr>
      </w:pPr>
      <w:r>
        <w:rPr>
          <w:sz w:val="24"/>
        </w:rPr>
        <w:t>The percentage increase in TAM for MDC + LAC + EE + China, LLDC + Higher NRR + High Ed and  LLDC + Higher NRR + High Ed regions is computed based on the differences in functional demand between the REF 1 and REF 2 scenarios.</w:t>
      </w:r>
    </w:p>
    <w:p w14:paraId="60696BB2" w14:textId="1AB978BE" w:rsidR="007B5565" w:rsidRPr="008342C7" w:rsidRDefault="00AC466B" w:rsidP="007B5565">
      <w:pPr>
        <w:spacing w:after="240"/>
        <w:jc w:val="both"/>
      </w:pPr>
      <m:oMathPara>
        <m:oMathParaPr>
          <m:jc m:val="center"/>
        </m:oMathParaPr>
        <m:oMath>
          <m:d>
            <m:dPr>
              <m:ctrlPr>
                <w:rPr>
                  <w:rFonts w:ascii="Cambria Math" w:hAnsi="Cambria Math" w:cs="Times New Roman"/>
                  <w:i/>
                </w:rPr>
              </m:ctrlPr>
            </m:dPr>
            <m:e>
              <m:r>
                <w:rPr>
                  <w:rFonts w:ascii="Cambria Math" w:hAnsi="Cambria Math" w:cs="Times New Roman"/>
                </w:rPr>
                <m:t>10</m:t>
              </m:r>
            </m:e>
          </m:d>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FU</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 TAM</m:t>
              </m:r>
            </m:e>
            <m:sub>
              <m:r>
                <w:rPr>
                  <w:rFonts w:ascii="Cambria Math" w:hAnsi="Cambria Math" w:cs="Times New Roman"/>
                </w:rPr>
                <m:t>con</m:t>
              </m:r>
            </m:sub>
            <m:sup>
              <m:r>
                <w:rPr>
                  <w:rFonts w:ascii="Cambria Math" w:hAnsi="Cambria Math" w:cs="Times New Roman"/>
                </w:rPr>
                <m:t>REF1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TAM</m:t>
              </m:r>
            </m:e>
            <m:sub>
              <m:r>
                <w:rPr>
                  <w:rFonts w:ascii="Cambria Math" w:hAnsi="Cambria Math" w:cs="Times New Roman"/>
                </w:rPr>
                <m:t>con</m:t>
              </m:r>
            </m:sub>
            <m:sup>
              <m:r>
                <w:rPr>
                  <w:rFonts w:ascii="Cambria Math" w:hAnsi="Cambria Math" w:cs="Times New Roman"/>
                </w:rPr>
                <m:t>REF2</m:t>
              </m:r>
            </m:sup>
          </m:sSubSup>
        </m:oMath>
      </m:oMathPara>
    </w:p>
    <w:p w14:paraId="43B08878" w14:textId="77777777" w:rsidR="000C3F75" w:rsidRDefault="000E00FE" w:rsidP="002F5551">
      <w:pPr>
        <w:spacing w:after="240"/>
        <w:jc w:val="both"/>
        <w:rPr>
          <w:sz w:val="24"/>
        </w:rPr>
      </w:pPr>
      <w:r>
        <w:rPr>
          <w:sz w:val="24"/>
        </w:rPr>
        <w:t xml:space="preserve">In order to compute the </w:t>
      </w:r>
      <w:r w:rsidR="00FE56AC">
        <w:rPr>
          <w:sz w:val="24"/>
        </w:rPr>
        <w:t xml:space="preserve">reduction in emissions </w:t>
      </w:r>
      <w:r>
        <w:rPr>
          <w:sz w:val="24"/>
        </w:rPr>
        <w:t>that result from</w:t>
      </w:r>
      <w:r w:rsidR="00FE56AC">
        <w:rPr>
          <w:sz w:val="24"/>
        </w:rPr>
        <w:t xml:space="preserve"> the entire </w:t>
      </w:r>
      <w:r>
        <w:rPr>
          <w:sz w:val="24"/>
        </w:rPr>
        <w:t xml:space="preserve">health and education sector, avoided emissions for each cluster are calculated according to whether they are based on grid emissions or fuel emissions. For each cluster, the TAM mix (table at the top of each cluster sheet) indicates if the energy sources for that cluster are grid or fuel based, </w:t>
      </w:r>
      <w:r w:rsidR="00E50818">
        <w:rPr>
          <w:sz w:val="24"/>
        </w:rPr>
        <w:t xml:space="preserve">or from other direct or indirect sources, </w:t>
      </w:r>
      <w:r>
        <w:rPr>
          <w:sz w:val="24"/>
        </w:rPr>
        <w:t>and if each of the energy sources are included in the conventional technologies/practices. For example, emissi</w:t>
      </w:r>
      <w:r w:rsidR="005659FD">
        <w:rPr>
          <w:sz w:val="24"/>
        </w:rPr>
        <w:t>o</w:t>
      </w:r>
      <w:r>
        <w:rPr>
          <w:sz w:val="24"/>
        </w:rPr>
        <w:t xml:space="preserve">ns from </w:t>
      </w:r>
      <w:r w:rsidR="005659FD">
        <w:rPr>
          <w:sz w:val="24"/>
        </w:rPr>
        <w:t xml:space="preserve">the electricity and lighting clusters </w:t>
      </w:r>
      <w:r>
        <w:rPr>
          <w:sz w:val="24"/>
        </w:rPr>
        <w:t xml:space="preserve">are grid based, while for the clean cook stoves cluster, they are fuel based. </w:t>
      </w:r>
      <w:r w:rsidR="005659FD">
        <w:rPr>
          <w:sz w:val="24"/>
        </w:rPr>
        <w:t>For the space heating, space cooling and water heating clusters, emissions are both grid and fuel based (indicated in Tables 9 and 13)</w:t>
      </w:r>
      <w:r w:rsidR="00E50818">
        <w:rPr>
          <w:sz w:val="24"/>
        </w:rPr>
        <w:t xml:space="preserve">, while for the paper and plastics clusters, avoided emissions come from other direct or indirect sources. </w:t>
      </w:r>
    </w:p>
    <w:p w14:paraId="54073E07" w14:textId="2C2B39F2" w:rsidR="00FE56AC" w:rsidRDefault="005659FD" w:rsidP="002F5551">
      <w:pPr>
        <w:spacing w:after="240"/>
        <w:jc w:val="both"/>
        <w:rPr>
          <w:sz w:val="24"/>
        </w:rPr>
      </w:pPr>
      <w:r>
        <w:rPr>
          <w:sz w:val="24"/>
        </w:rPr>
        <w:t>The total emissions reduction in LLDCs and MDCs are then calculated by adding up the reductions in grid</w:t>
      </w:r>
      <w:r w:rsidR="00E50818">
        <w:rPr>
          <w:sz w:val="24"/>
        </w:rPr>
        <w:t xml:space="preserve">, </w:t>
      </w:r>
      <w:r>
        <w:rPr>
          <w:sz w:val="24"/>
        </w:rPr>
        <w:t xml:space="preserve">fuel </w:t>
      </w:r>
      <w:r w:rsidR="00E50818">
        <w:rPr>
          <w:sz w:val="24"/>
        </w:rPr>
        <w:t xml:space="preserve">and/or direct and indirect </w:t>
      </w:r>
      <w:r>
        <w:rPr>
          <w:sz w:val="24"/>
        </w:rPr>
        <w:t>emissions under the</w:t>
      </w:r>
      <w:r w:rsidRPr="005659FD">
        <w:rPr>
          <w:sz w:val="24"/>
        </w:rPr>
        <w:t xml:space="preserve"> </w:t>
      </w:r>
      <w:r>
        <w:rPr>
          <w:sz w:val="24"/>
        </w:rPr>
        <w:t xml:space="preserve">conventional technologies/practices </w:t>
      </w:r>
      <w:r w:rsidR="00E50818">
        <w:rPr>
          <w:sz w:val="24"/>
        </w:rPr>
        <w:t>for each cluster</w:t>
      </w:r>
      <w:r w:rsidR="00032FC8">
        <w:rPr>
          <w:sz w:val="24"/>
        </w:rPr>
        <w:t xml:space="preserve">. </w:t>
      </w:r>
      <w:r w:rsidR="005C52F6">
        <w:rPr>
          <w:sz w:val="24"/>
        </w:rPr>
        <w:t xml:space="preserve"> </w:t>
      </w:r>
    </w:p>
    <w:p w14:paraId="1BE58572" w14:textId="77777777" w:rsidR="00110F94" w:rsidRDefault="00110F94" w:rsidP="002F5551">
      <w:pPr>
        <w:spacing w:after="240"/>
        <w:jc w:val="both"/>
        <w:rPr>
          <w:sz w:val="24"/>
        </w:rPr>
      </w:pPr>
    </w:p>
    <w:p w14:paraId="7362DC91" w14:textId="1AEE1961" w:rsidR="00044F1C" w:rsidRPr="008342C7" w:rsidRDefault="00AC466B" w:rsidP="008342C7">
      <w:pPr>
        <w:jc w:val="center"/>
        <w:rPr>
          <w:rFonts w:ascii="Times New Roman" w:hAnsi="Times New Roman" w:cs="Times New Roman"/>
        </w:rPr>
      </w:pPr>
      <m:oMathPara>
        <m:oMathParaPr>
          <m:jc m:val="center"/>
        </m:oMathParaPr>
        <m:oMath>
          <m:d>
            <m:dPr>
              <m:ctrlPr>
                <w:rPr>
                  <w:rFonts w:ascii="Cambria Math" w:hAnsi="Cambria Math" w:cs="Times New Roman"/>
                  <w:i/>
                </w:rPr>
              </m:ctrlPr>
            </m:dPr>
            <m:e>
              <m:r>
                <w:rPr>
                  <w:rFonts w:ascii="Cambria Math" w:hAnsi="Cambria Math" w:cs="Times New Roman"/>
                </w:rPr>
                <m:t>11</m:t>
              </m:r>
            </m:e>
          </m:d>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y</m:t>
                  </m:r>
                </m:sub>
                <m:sup>
                  <m:r>
                    <w:rPr>
                      <w:rFonts w:ascii="Cambria Math" w:hAnsi="Cambria Math" w:cs="Times New Roman"/>
                    </w:rPr>
                    <m:t>CO2e</m:t>
                  </m:r>
                </m:sup>
              </m:sSubSup>
            </m:e>
          </m:nary>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Grid</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Fuel</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Direct</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Indirect</m:t>
                      </m:r>
                      <m:r>
                        <m:rPr>
                          <m:sty m:val="p"/>
                        </m:rPr>
                        <w:rPr>
                          <w:rFonts w:ascii="Cambria Math" w:hAnsi="Cambria Math" w:cs="Times New Roman"/>
                        </w:rPr>
                        <m:t>Δ</m:t>
                      </m:r>
                    </m:e>
                    <m:sub>
                      <m:r>
                        <w:rPr>
                          <w:rFonts w:ascii="Cambria Math" w:hAnsi="Cambria Math" w:cs="Times New Roman"/>
                        </w:rPr>
                        <m:t>y</m:t>
                      </m:r>
                    </m:sub>
                  </m:sSub>
                </m:e>
              </m:d>
            </m:e>
          </m:nary>
        </m:oMath>
      </m:oMathPara>
    </w:p>
    <w:p w14:paraId="1C44117C" w14:textId="5779C716" w:rsidR="000D558A" w:rsidRPr="008342C7" w:rsidRDefault="000D558A" w:rsidP="008342C7">
      <w:pPr>
        <w:tabs>
          <w:tab w:val="left" w:pos="3744"/>
        </w:tabs>
        <w:spacing w:after="240"/>
        <w:jc w:val="center"/>
        <w:rPr>
          <w:sz w:val="24"/>
        </w:rPr>
      </w:pPr>
      <m:oMathPara>
        <m:oMathParaPr>
          <m:jc m:val="center"/>
        </m:oMathParaPr>
        <m:oMath>
          <m:r>
            <m:rPr>
              <m:sty m:val="p"/>
            </m:rPr>
            <w:rPr>
              <w:rFonts w:ascii="Cambria Math" w:hAnsi="Cambria Math" w:cs="Times New Roman"/>
            </w:rPr>
            <w:br/>
          </m:r>
        </m:oMath>
        <m:oMath>
          <m:d>
            <m:dPr>
              <m:ctrlPr>
                <w:rPr>
                  <w:rFonts w:ascii="Cambria Math" w:hAnsi="Cambria Math"/>
                  <w:i/>
                </w:rPr>
              </m:ctrlPr>
            </m:dPr>
            <m:e>
              <m:r>
                <w:rPr>
                  <w:rFonts w:ascii="Cambria Math" w:hAnsi="Cambria Math"/>
                </w:rPr>
                <m:t>12</m:t>
              </m:r>
            </m:e>
          </m:d>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sSub>
                <m:sSubPr>
                  <m:ctrlPr>
                    <w:rPr>
                      <w:rFonts w:ascii="Cambria Math" w:hAnsi="Cambria Math" w:cs="Times New Roman"/>
                      <w:i/>
                    </w:rPr>
                  </m:ctrlPr>
                </m:sSubPr>
                <m:e>
                  <m:r>
                    <w:rPr>
                      <w:rFonts w:ascii="Cambria Math" w:hAnsi="Cambria Math" w:cs="Times New Roman"/>
                    </w:rPr>
                    <m:t>Grid</m:t>
                  </m:r>
                  <m:r>
                    <m:rPr>
                      <m:sty m:val="p"/>
                    </m:rPr>
                    <w:rPr>
                      <w:rFonts w:ascii="Cambria Math" w:hAnsi="Cambria Math" w:cs="Times New Roman"/>
                    </w:rPr>
                    <m:t>Δ</m:t>
                  </m:r>
                </m:e>
                <m:sub>
                  <m:r>
                    <w:rPr>
                      <w:rFonts w:ascii="Cambria Math" w:hAnsi="Cambria Math" w:cs="Times New Roman"/>
                    </w:rPr>
                    <m:t>y</m:t>
                  </m:r>
                </m:sub>
              </m:sSub>
            </m:e>
          </m:nary>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FU</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EF</m:t>
                      </m:r>
                    </m:e>
                    <m:sub>
                      <m:r>
                        <w:rPr>
                          <w:rFonts w:ascii="Cambria Math" w:hAnsi="Cambria Math" w:cs="Times New Roman"/>
                        </w:rPr>
                        <m:t>y</m:t>
                      </m:r>
                    </m:sub>
                    <m:sup>
                      <m:r>
                        <w:rPr>
                          <w:rFonts w:ascii="Cambria Math" w:hAnsi="Cambria Math" w:cs="Times New Roman"/>
                        </w:rPr>
                        <m:t>g</m:t>
                      </m:r>
                    </m:sup>
                  </m:sSubSup>
                </m:e>
              </m:d>
            </m:e>
          </m:nary>
        </m:oMath>
      </m:oMathPara>
    </w:p>
    <w:p w14:paraId="5B15D152" w14:textId="54BBC739" w:rsidR="000D558A" w:rsidRPr="008342C7" w:rsidRDefault="00AC466B" w:rsidP="008342C7">
      <w:pPr>
        <w:spacing w:after="240"/>
        <w:jc w:val="center"/>
        <w:rPr>
          <w:sz w:val="24"/>
        </w:rPr>
      </w:pPr>
      <m:oMathPara>
        <m:oMathParaPr>
          <m:jc m:val="center"/>
        </m:oMathParaPr>
        <m:oMath>
          <m:d>
            <m:dPr>
              <m:ctrlPr>
                <w:rPr>
                  <w:rFonts w:ascii="Cambria Math" w:hAnsi="Cambria Math" w:cs="Times New Roman"/>
                  <w:i/>
                </w:rPr>
              </m:ctrlPr>
            </m:dPr>
            <m:e>
              <m:r>
                <w:rPr>
                  <w:rFonts w:ascii="Cambria Math" w:hAnsi="Cambria Math" w:cs="Times New Roman"/>
                </w:rPr>
                <m:t>13</m:t>
              </m:r>
            </m:e>
          </m:d>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sSub>
                <m:sSubPr>
                  <m:ctrlPr>
                    <w:rPr>
                      <w:rFonts w:ascii="Cambria Math" w:hAnsi="Cambria Math" w:cs="Times New Roman"/>
                      <w:i/>
                    </w:rPr>
                  </m:ctrlPr>
                </m:sSubPr>
                <m:e>
                  <m:r>
                    <w:rPr>
                      <w:rFonts w:ascii="Cambria Math" w:hAnsi="Cambria Math" w:cs="Times New Roman"/>
                    </w:rPr>
                    <m:t>Fuel</m:t>
                  </m:r>
                  <m:r>
                    <m:rPr>
                      <m:sty m:val="p"/>
                    </m:rPr>
                    <w:rPr>
                      <w:rFonts w:ascii="Cambria Math" w:hAnsi="Cambria Math" w:cs="Times New Roman"/>
                    </w:rPr>
                    <m:t>Δ</m:t>
                  </m:r>
                </m:e>
                <m:sub>
                  <m:r>
                    <w:rPr>
                      <w:rFonts w:ascii="Cambria Math" w:hAnsi="Cambria Math" w:cs="Times New Roman"/>
                    </w:rPr>
                    <m:t>y</m:t>
                  </m:r>
                </m:sub>
              </m:sSub>
            </m:e>
          </m:nary>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FU</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EF</m:t>
                      </m:r>
                    </m:e>
                    <m:sup>
                      <m:r>
                        <w:rPr>
                          <w:rFonts w:ascii="Cambria Math" w:hAnsi="Cambria Math" w:cs="Times New Roman"/>
                        </w:rPr>
                        <m:t>fc</m:t>
                      </m:r>
                    </m:sup>
                  </m:sSup>
                </m:e>
              </m:d>
            </m:e>
          </m:nary>
        </m:oMath>
      </m:oMathPara>
    </w:p>
    <w:p w14:paraId="272CC4B4" w14:textId="1EC87B15" w:rsidR="000D558A" w:rsidRPr="008342C7" w:rsidRDefault="00AC466B" w:rsidP="008342C7">
      <w:pPr>
        <w:spacing w:after="240"/>
        <w:jc w:val="center"/>
        <w:rPr>
          <w:sz w:val="24"/>
        </w:rPr>
      </w:pPr>
      <m:oMathPara>
        <m:oMathParaPr>
          <m:jc m:val="center"/>
        </m:oMathParaPr>
        <m:oMath>
          <m:d>
            <m:dPr>
              <m:ctrlPr>
                <w:rPr>
                  <w:rFonts w:ascii="Cambria Math" w:hAnsi="Cambria Math" w:cs="Times New Roman"/>
                  <w:i/>
                </w:rPr>
              </m:ctrlPr>
            </m:dPr>
            <m:e>
              <m:r>
                <w:rPr>
                  <w:rFonts w:ascii="Cambria Math" w:hAnsi="Cambria Math" w:cs="Times New Roman"/>
                </w:rPr>
                <m:t>14</m:t>
              </m:r>
            </m:e>
          </m:d>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sSub>
                <m:sSubPr>
                  <m:ctrlPr>
                    <w:rPr>
                      <w:rFonts w:ascii="Cambria Math" w:hAnsi="Cambria Math" w:cs="Times New Roman"/>
                      <w:i/>
                    </w:rPr>
                  </m:ctrlPr>
                </m:sSubPr>
                <m:e>
                  <m:r>
                    <w:rPr>
                      <w:rFonts w:ascii="Cambria Math" w:hAnsi="Cambria Math" w:cs="Times New Roman"/>
                    </w:rPr>
                    <m:t>Direct</m:t>
                  </m:r>
                  <m:r>
                    <m:rPr>
                      <m:sty m:val="p"/>
                    </m:rPr>
                    <w:rPr>
                      <w:rFonts w:ascii="Cambria Math" w:hAnsi="Cambria Math" w:cs="Times New Roman"/>
                    </w:rPr>
                    <m:t>Δ</m:t>
                  </m:r>
                </m:e>
                <m:sub>
                  <m:r>
                    <w:rPr>
                      <w:rFonts w:ascii="Cambria Math" w:hAnsi="Cambria Math" w:cs="Times New Roman"/>
                    </w:rPr>
                    <m:t>y</m:t>
                  </m:r>
                </m:sub>
              </m:sSub>
            </m:e>
          </m:nary>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FU</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EF</m:t>
                      </m:r>
                    </m:e>
                    <m:sub>
                      <m:r>
                        <w:rPr>
                          <w:rFonts w:ascii="Cambria Math" w:hAnsi="Cambria Math" w:cs="Times New Roman"/>
                        </w:rPr>
                        <m:t>con</m:t>
                      </m:r>
                    </m:sub>
                    <m:sup>
                      <m:r>
                        <w:rPr>
                          <w:rFonts w:ascii="Cambria Math" w:hAnsi="Cambria Math" w:cs="Times New Roman"/>
                        </w:rPr>
                        <m:t>OD</m:t>
                      </m:r>
                    </m:sup>
                  </m:sSubSup>
                </m:e>
              </m:d>
            </m:e>
          </m:nary>
        </m:oMath>
      </m:oMathPara>
    </w:p>
    <w:p w14:paraId="5FE1E7A2" w14:textId="710F2B2E" w:rsidR="000D558A" w:rsidRPr="008342C7" w:rsidRDefault="00AC466B" w:rsidP="008342C7">
      <w:pPr>
        <w:spacing w:after="240"/>
        <w:jc w:val="center"/>
        <w:rPr>
          <w:sz w:val="24"/>
        </w:rPr>
      </w:pPr>
      <m:oMathPara>
        <m:oMathParaPr>
          <m:jc m:val="center"/>
        </m:oMathParaPr>
        <m:oMath>
          <m:d>
            <m:dPr>
              <m:ctrlPr>
                <w:rPr>
                  <w:rFonts w:ascii="Cambria Math" w:hAnsi="Cambria Math"/>
                  <w:i/>
                </w:rPr>
              </m:ctrlPr>
            </m:dPr>
            <m:e>
              <m:r>
                <w:rPr>
                  <w:rFonts w:ascii="Cambria Math" w:hAnsi="Cambria Math"/>
                </w:rPr>
                <m:t>15</m:t>
              </m:r>
            </m:e>
          </m:d>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sSub>
                <m:sSubPr>
                  <m:ctrlPr>
                    <w:rPr>
                      <w:rFonts w:ascii="Cambria Math" w:hAnsi="Cambria Math" w:cs="Times New Roman"/>
                      <w:i/>
                    </w:rPr>
                  </m:ctrlPr>
                </m:sSubPr>
                <m:e>
                  <m:r>
                    <w:rPr>
                      <w:rFonts w:ascii="Cambria Math" w:hAnsi="Cambria Math" w:cs="Times New Roman"/>
                    </w:rPr>
                    <m:t>Indirect</m:t>
                  </m:r>
                  <m:r>
                    <m:rPr>
                      <m:sty m:val="p"/>
                    </m:rPr>
                    <w:rPr>
                      <w:rFonts w:ascii="Cambria Math" w:hAnsi="Cambria Math" w:cs="Times New Roman"/>
                    </w:rPr>
                    <m:t>Δ</m:t>
                  </m:r>
                </m:e>
                <m:sub>
                  <m:r>
                    <w:rPr>
                      <w:rFonts w:ascii="Cambria Math" w:hAnsi="Cambria Math" w:cs="Times New Roman"/>
                    </w:rPr>
                    <m:t>y</m:t>
                  </m:r>
                </m:sub>
              </m:sSub>
            </m:e>
          </m:nary>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FU</m:t>
                      </m:r>
                      <m:r>
                        <m:rPr>
                          <m:sty m:val="p"/>
                        </m:rPr>
                        <w:rPr>
                          <w:rFonts w:ascii="Cambria Math" w:hAnsi="Cambria Math" w:cs="Times New Roman"/>
                        </w:rPr>
                        <m:t>Δ</m:t>
                      </m:r>
                    </m:e>
                    <m:sub>
                      <m:r>
                        <w:rPr>
                          <w:rFonts w:ascii="Cambria Math" w:hAnsi="Cambria Math" w:cs="Times New Roman"/>
                        </w:rPr>
                        <m:t>y</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EF</m:t>
                      </m:r>
                    </m:e>
                    <m:sub>
                      <m:r>
                        <w:rPr>
                          <w:rFonts w:ascii="Cambria Math" w:hAnsi="Cambria Math" w:cs="Times New Roman"/>
                        </w:rPr>
                        <m:t>con</m:t>
                      </m:r>
                    </m:sub>
                    <m:sup>
                      <m:r>
                        <w:rPr>
                          <w:rFonts w:ascii="Cambria Math" w:hAnsi="Cambria Math" w:cs="Times New Roman"/>
                        </w:rPr>
                        <m:t>Ind</m:t>
                      </m:r>
                    </m:sup>
                  </m:sSubSup>
                </m:e>
              </m:d>
            </m:e>
          </m:nary>
        </m:oMath>
      </m:oMathPara>
    </w:p>
    <w:p w14:paraId="5934EF20" w14:textId="77777777" w:rsidR="000D558A" w:rsidRDefault="000D558A" w:rsidP="00E50818">
      <w:pPr>
        <w:spacing w:after="240"/>
        <w:jc w:val="both"/>
        <w:rPr>
          <w:sz w:val="24"/>
        </w:rPr>
      </w:pPr>
    </w:p>
    <w:p w14:paraId="35EEA313" w14:textId="5E6E15BC" w:rsidR="00032FC8" w:rsidRDefault="00032FC8" w:rsidP="00E50818">
      <w:pPr>
        <w:spacing w:after="240"/>
        <w:jc w:val="both"/>
        <w:rPr>
          <w:sz w:val="24"/>
        </w:rPr>
      </w:pPr>
      <w:r>
        <w:rPr>
          <w:sz w:val="24"/>
        </w:rPr>
        <w:t xml:space="preserve">Emissions for the demand-side food cluster are calculated using the Food model, which incorporates </w:t>
      </w:r>
      <w:r w:rsidRPr="00032FC8">
        <w:rPr>
          <w:sz w:val="24"/>
        </w:rPr>
        <w:t>global demand for food, required</w:t>
      </w:r>
      <w:r>
        <w:rPr>
          <w:sz w:val="24"/>
        </w:rPr>
        <w:t xml:space="preserve"> </w:t>
      </w:r>
      <w:r w:rsidRPr="00032FC8">
        <w:rPr>
          <w:sz w:val="24"/>
        </w:rPr>
        <w:t>supply</w:t>
      </w:r>
      <w:r>
        <w:rPr>
          <w:sz w:val="24"/>
        </w:rPr>
        <w:t xml:space="preserve"> </w:t>
      </w:r>
      <w:r w:rsidRPr="00032FC8">
        <w:rPr>
          <w:sz w:val="24"/>
        </w:rPr>
        <w:t>to meet that demand</w:t>
      </w:r>
      <w:r>
        <w:rPr>
          <w:sz w:val="24"/>
        </w:rPr>
        <w:t xml:space="preserve"> (</w:t>
      </w:r>
      <w:r w:rsidRPr="00032FC8">
        <w:rPr>
          <w:sz w:val="24"/>
        </w:rPr>
        <w:t>accounting for food waste that occurs post farm-gate), required land conversion</w:t>
      </w:r>
      <w:r>
        <w:rPr>
          <w:sz w:val="24"/>
        </w:rPr>
        <w:t xml:space="preserve"> </w:t>
      </w:r>
      <w:r w:rsidRPr="00032FC8">
        <w:rPr>
          <w:sz w:val="24"/>
        </w:rPr>
        <w:t>(either to or from agricultural production) to supply the food, and</w:t>
      </w:r>
      <w:r>
        <w:rPr>
          <w:sz w:val="24"/>
        </w:rPr>
        <w:t xml:space="preserve"> </w:t>
      </w:r>
      <w:r w:rsidRPr="00032FC8">
        <w:rPr>
          <w:sz w:val="24"/>
        </w:rPr>
        <w:t>the</w:t>
      </w:r>
      <w:r>
        <w:rPr>
          <w:sz w:val="24"/>
        </w:rPr>
        <w:t xml:space="preserve"> </w:t>
      </w:r>
      <w:r w:rsidRPr="00032FC8">
        <w:rPr>
          <w:sz w:val="24"/>
        </w:rPr>
        <w:t>combined emission impacts from</w:t>
      </w:r>
      <w:r>
        <w:rPr>
          <w:sz w:val="24"/>
        </w:rPr>
        <w:t xml:space="preserve"> </w:t>
      </w:r>
      <w:r w:rsidRPr="00032FC8">
        <w:rPr>
          <w:sz w:val="24"/>
        </w:rPr>
        <w:t>agricultural production and land conversion</w:t>
      </w:r>
      <w:r>
        <w:rPr>
          <w:sz w:val="24"/>
        </w:rPr>
        <w:t>. I</w:t>
      </w:r>
      <w:r w:rsidRPr="00032FC8">
        <w:rPr>
          <w:sz w:val="24"/>
        </w:rPr>
        <w:t>mpacts are modeled for 176 countries across 95</w:t>
      </w:r>
      <w:r>
        <w:rPr>
          <w:sz w:val="24"/>
        </w:rPr>
        <w:t xml:space="preserve"> </w:t>
      </w:r>
      <w:r w:rsidRPr="00032FC8">
        <w:rPr>
          <w:sz w:val="24"/>
        </w:rPr>
        <w:t>food commodity categories</w:t>
      </w:r>
      <w:r>
        <w:rPr>
          <w:sz w:val="24"/>
        </w:rPr>
        <w:t xml:space="preserve"> </w:t>
      </w:r>
      <w:r w:rsidRPr="00032FC8">
        <w:rPr>
          <w:sz w:val="24"/>
        </w:rPr>
        <w:t>using data collected by the FAO, applying</w:t>
      </w:r>
      <w:r>
        <w:rPr>
          <w:sz w:val="24"/>
        </w:rPr>
        <w:t xml:space="preserve"> </w:t>
      </w:r>
      <w:r w:rsidRPr="00032FC8">
        <w:rPr>
          <w:sz w:val="24"/>
        </w:rPr>
        <w:t>global average life cycle assessment (LCA) values</w:t>
      </w:r>
      <w:r>
        <w:rPr>
          <w:sz w:val="24"/>
        </w:rPr>
        <w:t xml:space="preserve"> </w:t>
      </w:r>
      <w:r w:rsidRPr="00032FC8">
        <w:rPr>
          <w:sz w:val="24"/>
        </w:rPr>
        <w:t>to the estimated post-farm gate supply of those commodities.</w:t>
      </w:r>
      <w:r>
        <w:rPr>
          <w:sz w:val="24"/>
        </w:rPr>
        <w:t xml:space="preserve"> </w:t>
      </w:r>
      <w:r w:rsidRPr="00032FC8">
        <w:rPr>
          <w:sz w:val="24"/>
        </w:rPr>
        <w:t>Country-level emissions and food supply results are then aggregated to yield global results, by converting caloric intake for various food commodities to population-level emissions impacts by country</w:t>
      </w:r>
      <w:r>
        <w:rPr>
          <w:sz w:val="24"/>
        </w:rPr>
        <w:t xml:space="preserve">. This emissions data is then imported directly into the Population Emissions model. </w:t>
      </w:r>
    </w:p>
    <w:p w14:paraId="4163D1D7" w14:textId="520571E1" w:rsidR="008478FD" w:rsidRPr="00032FC8" w:rsidRDefault="005659FD" w:rsidP="00E50818">
      <w:pPr>
        <w:spacing w:after="240"/>
        <w:jc w:val="both"/>
        <w:rPr>
          <w:sz w:val="24"/>
        </w:rPr>
      </w:pPr>
      <w:r w:rsidRPr="00032FC8">
        <w:rPr>
          <w:sz w:val="24"/>
        </w:rPr>
        <w:t>In terms of allocating t</w:t>
      </w:r>
      <w:r w:rsidR="008478FD" w:rsidRPr="00032FC8">
        <w:rPr>
          <w:sz w:val="24"/>
        </w:rPr>
        <w:t>he impact of education and health on the ove</w:t>
      </w:r>
      <w:r w:rsidRPr="00032FC8">
        <w:rPr>
          <w:sz w:val="24"/>
        </w:rPr>
        <w:t xml:space="preserve">rall reductions in emissions, in LLDC + High NRR + High Ed countries, and the MDC + LAC + EE + China, overall reductions in emissions are attributed to adoption of the health solution (family planning) alone, as educational attainment in these countries is assumed to be high. In </w:t>
      </w:r>
      <w:r w:rsidR="00946D29" w:rsidRPr="00032FC8">
        <w:rPr>
          <w:sz w:val="24"/>
        </w:rPr>
        <w:t>LLDC + High NRR + Low Ed countries</w:t>
      </w:r>
      <w:r w:rsidR="008478FD" w:rsidRPr="00032FC8">
        <w:rPr>
          <w:sz w:val="24"/>
        </w:rPr>
        <w:t xml:space="preserve">, </w:t>
      </w:r>
      <w:r w:rsidRPr="00032FC8">
        <w:rPr>
          <w:sz w:val="24"/>
        </w:rPr>
        <w:t xml:space="preserve">emissions reduction attributed to health and education solutions is assumed to be 50%:50%, </w:t>
      </w:r>
      <w:r w:rsidR="008478FD" w:rsidRPr="00032FC8">
        <w:rPr>
          <w:sz w:val="24"/>
        </w:rPr>
        <w:t>since we have no way of accurately ascertaining the individual impact of</w:t>
      </w:r>
      <w:r w:rsidRPr="00032FC8">
        <w:rPr>
          <w:sz w:val="24"/>
        </w:rPr>
        <w:t xml:space="preserve"> improved</w:t>
      </w:r>
      <w:r w:rsidR="008478FD" w:rsidRPr="00032FC8">
        <w:rPr>
          <w:sz w:val="24"/>
        </w:rPr>
        <w:t xml:space="preserve"> education solutions or health solutions </w:t>
      </w:r>
      <w:r w:rsidR="00946D29" w:rsidRPr="00032FC8">
        <w:rPr>
          <w:sz w:val="24"/>
        </w:rPr>
        <w:t>on population changes</w:t>
      </w:r>
      <w:r w:rsidR="008478FD" w:rsidRPr="00032FC8">
        <w:rPr>
          <w:sz w:val="24"/>
        </w:rPr>
        <w:t xml:space="preserve"> due to the highly interlinked and complex relationships between the two sectors. </w:t>
      </w:r>
    </w:p>
    <w:p w14:paraId="4F4FD478" w14:textId="44A97B8B" w:rsidR="00B87FB1" w:rsidRDefault="005659FD" w:rsidP="00E50818">
      <w:pPr>
        <w:spacing w:line="276" w:lineRule="auto"/>
        <w:contextualSpacing/>
        <w:jc w:val="both"/>
        <w:rPr>
          <w:sz w:val="24"/>
        </w:rPr>
      </w:pPr>
      <w:r w:rsidRPr="00032FC8">
        <w:rPr>
          <w:sz w:val="24"/>
        </w:rPr>
        <w:t xml:space="preserve">The final step in estimating the total emissions reduction </w:t>
      </w:r>
      <w:r w:rsidR="00E50818" w:rsidRPr="00032FC8">
        <w:rPr>
          <w:sz w:val="24"/>
        </w:rPr>
        <w:t>from adoption of</w:t>
      </w:r>
      <w:r w:rsidRPr="00032FC8">
        <w:rPr>
          <w:sz w:val="24"/>
        </w:rPr>
        <w:t xml:space="preserve"> the health and education solutions is to calculate the cumulative emissions reduced</w:t>
      </w:r>
      <w:r w:rsidR="00E50818" w:rsidRPr="00032FC8">
        <w:rPr>
          <w:sz w:val="24"/>
        </w:rPr>
        <w:t xml:space="preserve"> (in GTs)</w:t>
      </w:r>
      <w:r w:rsidRPr="00032FC8">
        <w:rPr>
          <w:sz w:val="24"/>
        </w:rPr>
        <w:t xml:space="preserve"> </w:t>
      </w:r>
      <w:r w:rsidR="00E50818" w:rsidRPr="00032FC8">
        <w:rPr>
          <w:sz w:val="24"/>
        </w:rPr>
        <w:t>for the years 2020 to</w:t>
      </w:r>
      <w:r w:rsidRPr="00032FC8">
        <w:rPr>
          <w:sz w:val="24"/>
        </w:rPr>
        <w:t xml:space="preserve"> 2050, </w:t>
      </w:r>
      <w:r w:rsidR="00E50818" w:rsidRPr="00032FC8">
        <w:rPr>
          <w:sz w:val="24"/>
        </w:rPr>
        <w:t>across</w:t>
      </w:r>
      <w:r w:rsidRPr="00032FC8">
        <w:rPr>
          <w:sz w:val="24"/>
        </w:rPr>
        <w:t xml:space="preserve"> all clusters, </w:t>
      </w:r>
      <w:r w:rsidR="00E50818" w:rsidRPr="00032FC8">
        <w:rPr>
          <w:sz w:val="24"/>
        </w:rPr>
        <w:t>for</w:t>
      </w:r>
      <w:r w:rsidRPr="00032FC8">
        <w:rPr>
          <w:sz w:val="24"/>
        </w:rPr>
        <w:t xml:space="preserve"> both LLDC and MDC regions.</w:t>
      </w:r>
      <w:r>
        <w:rPr>
          <w:sz w:val="24"/>
        </w:rPr>
        <w:t xml:space="preserve"> </w:t>
      </w:r>
    </w:p>
    <w:p w14:paraId="0BFF4710" w14:textId="77777777" w:rsidR="00292E51" w:rsidRDefault="00292E51" w:rsidP="00292E51"/>
    <w:p w14:paraId="506C9B7A" w14:textId="77777777" w:rsidR="00B87FB1" w:rsidRDefault="00B87FB1" w:rsidP="00B87FB1">
      <w:pPr>
        <w:spacing w:line="276" w:lineRule="auto"/>
        <w:contextualSpacing/>
      </w:pPr>
    </w:p>
    <w:p w14:paraId="1E7C40B5" w14:textId="04DA30C0" w:rsidR="00292E51" w:rsidRDefault="00292E51" w:rsidP="00D86F2F">
      <w:pPr>
        <w:ind w:firstLine="708"/>
      </w:pPr>
    </w:p>
    <w:p w14:paraId="418CE734" w14:textId="5B041E44" w:rsidR="00292E51" w:rsidRDefault="00292E51" w:rsidP="006248E6"/>
    <w:p w14:paraId="4809F8EF" w14:textId="77777777" w:rsidR="00292E51" w:rsidRDefault="00292E51" w:rsidP="006248E6">
      <w:pPr>
        <w:sectPr w:rsidR="00292E51">
          <w:pgSz w:w="12240" w:h="15840"/>
          <w:pgMar w:top="1440" w:right="1440" w:bottom="1440" w:left="1440" w:header="720" w:footer="720" w:gutter="0"/>
          <w:cols w:space="720"/>
        </w:sectPr>
      </w:pPr>
    </w:p>
    <w:p w14:paraId="3C07410F" w14:textId="6E427627" w:rsidR="006248E6" w:rsidRDefault="006248E6" w:rsidP="00B87FB1">
      <w:pPr>
        <w:pStyle w:val="Heading2"/>
      </w:pPr>
      <w:bookmarkStart w:id="66" w:name="_Toc71702095"/>
      <w:bookmarkStart w:id="67" w:name="_Toc74154061"/>
      <w:r w:rsidRPr="006248E6">
        <w:t>Data Sources</w:t>
      </w:r>
      <w:bookmarkEnd w:id="66"/>
      <w:bookmarkEnd w:id="67"/>
    </w:p>
    <w:p w14:paraId="06BB9D6C" w14:textId="7CD15F90" w:rsidR="004C4151" w:rsidRPr="004C4151" w:rsidRDefault="004C4151" w:rsidP="004C4151">
      <w:r>
        <w:t>The table below provides an overview of the data sources drawn on for the models and estimates for the Health and Education sector</w:t>
      </w:r>
    </w:p>
    <w:p w14:paraId="4BA1CB11" w14:textId="5A0FF956" w:rsidR="004C4151" w:rsidRPr="00B85AB0" w:rsidRDefault="004C4151" w:rsidP="004C4151">
      <w:pPr>
        <w:pStyle w:val="Caption"/>
        <w:keepNext/>
        <w:rPr>
          <w:i w:val="0"/>
          <w:color w:val="auto"/>
          <w:sz w:val="20"/>
        </w:rPr>
      </w:pPr>
      <w:bookmarkStart w:id="68" w:name="_Toc74154081"/>
      <w:r w:rsidRPr="00B85AB0">
        <w:rPr>
          <w:i w:val="0"/>
          <w:color w:val="auto"/>
          <w:sz w:val="20"/>
        </w:rPr>
        <w:t xml:space="preserve">Table </w:t>
      </w:r>
      <w:r w:rsidRPr="00B85AB0">
        <w:rPr>
          <w:i w:val="0"/>
          <w:color w:val="auto"/>
          <w:sz w:val="20"/>
        </w:rPr>
        <w:fldChar w:fldCharType="begin"/>
      </w:r>
      <w:r w:rsidRPr="00B85AB0">
        <w:rPr>
          <w:i w:val="0"/>
          <w:color w:val="auto"/>
          <w:sz w:val="20"/>
        </w:rPr>
        <w:instrText xml:space="preserve"> SEQ Table \* ARABIC </w:instrText>
      </w:r>
      <w:r w:rsidRPr="00B85AB0">
        <w:rPr>
          <w:i w:val="0"/>
          <w:color w:val="auto"/>
          <w:sz w:val="20"/>
        </w:rPr>
        <w:fldChar w:fldCharType="separate"/>
      </w:r>
      <w:r w:rsidR="007F3156">
        <w:rPr>
          <w:i w:val="0"/>
          <w:noProof/>
          <w:color w:val="auto"/>
          <w:sz w:val="20"/>
        </w:rPr>
        <w:t>8</w:t>
      </w:r>
      <w:r w:rsidRPr="00B85AB0">
        <w:rPr>
          <w:i w:val="0"/>
          <w:color w:val="auto"/>
          <w:sz w:val="20"/>
        </w:rPr>
        <w:fldChar w:fldCharType="end"/>
      </w:r>
      <w:r w:rsidRPr="00B85AB0">
        <w:rPr>
          <w:i w:val="0"/>
          <w:color w:val="auto"/>
          <w:sz w:val="20"/>
        </w:rPr>
        <w:t>: Data sources used for estimates and projections for the Health and Education sector</w:t>
      </w:r>
      <w:bookmarkEnd w:id="68"/>
    </w:p>
    <w:tbl>
      <w:tblPr>
        <w:tblStyle w:val="ListTable2-Accent3"/>
        <w:tblW w:w="13804" w:type="dxa"/>
        <w:tblLayout w:type="fixed"/>
        <w:tblLook w:val="0600" w:firstRow="0" w:lastRow="0" w:firstColumn="0" w:lastColumn="0" w:noHBand="1" w:noVBand="1"/>
      </w:tblPr>
      <w:tblGrid>
        <w:gridCol w:w="1298"/>
        <w:gridCol w:w="2335"/>
        <w:gridCol w:w="1754"/>
        <w:gridCol w:w="2551"/>
        <w:gridCol w:w="3261"/>
        <w:gridCol w:w="2605"/>
      </w:tblGrid>
      <w:tr w:rsidR="006248E6" w14:paraId="637258B4" w14:textId="77777777" w:rsidTr="00BC638D">
        <w:trPr>
          <w:trHeight w:val="314"/>
        </w:trPr>
        <w:tc>
          <w:tcPr>
            <w:tcW w:w="1298" w:type="dxa"/>
            <w:shd w:val="clear" w:color="auto" w:fill="C3E0F2" w:themeFill="accent3" w:themeFillTint="33"/>
          </w:tcPr>
          <w:p w14:paraId="27555970" w14:textId="77777777" w:rsidR="006248E6" w:rsidRPr="0007747E" w:rsidRDefault="006248E6" w:rsidP="00005459">
            <w:pPr>
              <w:jc w:val="both"/>
              <w:rPr>
                <w:rFonts w:cstheme="minorHAnsi"/>
                <w:sz w:val="20"/>
              </w:rPr>
            </w:pPr>
            <w:r w:rsidRPr="0007747E">
              <w:rPr>
                <w:rFonts w:cstheme="minorHAnsi"/>
                <w:b/>
                <w:sz w:val="20"/>
                <w:szCs w:val="18"/>
              </w:rPr>
              <w:t>Model Component</w:t>
            </w:r>
          </w:p>
        </w:tc>
        <w:tc>
          <w:tcPr>
            <w:tcW w:w="2335" w:type="dxa"/>
            <w:shd w:val="clear" w:color="auto" w:fill="C3E0F2" w:themeFill="accent3" w:themeFillTint="33"/>
          </w:tcPr>
          <w:p w14:paraId="1054EAF1" w14:textId="77777777" w:rsidR="006248E6" w:rsidRPr="0007747E" w:rsidRDefault="006248E6" w:rsidP="00005459">
            <w:pPr>
              <w:jc w:val="both"/>
              <w:rPr>
                <w:rFonts w:cstheme="minorHAnsi"/>
                <w:sz w:val="20"/>
              </w:rPr>
            </w:pPr>
            <w:r w:rsidRPr="0007747E">
              <w:rPr>
                <w:rFonts w:cstheme="minorHAnsi"/>
                <w:b/>
                <w:sz w:val="20"/>
                <w:szCs w:val="18"/>
              </w:rPr>
              <w:t xml:space="preserve"> Unit</w:t>
            </w:r>
          </w:p>
        </w:tc>
        <w:tc>
          <w:tcPr>
            <w:tcW w:w="1754" w:type="dxa"/>
            <w:shd w:val="clear" w:color="auto" w:fill="C3E0F2" w:themeFill="accent3" w:themeFillTint="33"/>
          </w:tcPr>
          <w:p w14:paraId="24C5DD72" w14:textId="77777777" w:rsidR="006248E6" w:rsidRPr="0007747E" w:rsidRDefault="006248E6" w:rsidP="00005459">
            <w:pPr>
              <w:jc w:val="both"/>
              <w:rPr>
                <w:rFonts w:cstheme="minorHAnsi"/>
                <w:sz w:val="20"/>
              </w:rPr>
            </w:pPr>
            <w:r w:rsidRPr="0007747E">
              <w:rPr>
                <w:rFonts w:cstheme="minorHAnsi"/>
                <w:b/>
                <w:sz w:val="20"/>
                <w:szCs w:val="18"/>
              </w:rPr>
              <w:t>Data Host</w:t>
            </w:r>
          </w:p>
        </w:tc>
        <w:tc>
          <w:tcPr>
            <w:tcW w:w="2551" w:type="dxa"/>
            <w:shd w:val="clear" w:color="auto" w:fill="C3E0F2" w:themeFill="accent3" w:themeFillTint="33"/>
          </w:tcPr>
          <w:p w14:paraId="55CD133D" w14:textId="77777777" w:rsidR="006248E6" w:rsidRPr="0007747E" w:rsidRDefault="006248E6" w:rsidP="00005459">
            <w:pPr>
              <w:jc w:val="both"/>
              <w:rPr>
                <w:rFonts w:cstheme="minorHAnsi"/>
                <w:sz w:val="20"/>
              </w:rPr>
            </w:pPr>
            <w:r w:rsidRPr="0007747E">
              <w:rPr>
                <w:rFonts w:cstheme="minorHAnsi"/>
                <w:b/>
                <w:sz w:val="20"/>
                <w:szCs w:val="18"/>
              </w:rPr>
              <w:t>Data Set</w:t>
            </w:r>
          </w:p>
        </w:tc>
        <w:tc>
          <w:tcPr>
            <w:tcW w:w="3261" w:type="dxa"/>
            <w:shd w:val="clear" w:color="auto" w:fill="C3E0F2" w:themeFill="accent3" w:themeFillTint="33"/>
          </w:tcPr>
          <w:p w14:paraId="3767E72C" w14:textId="77777777" w:rsidR="006248E6" w:rsidRPr="0007747E" w:rsidRDefault="006248E6" w:rsidP="00005459">
            <w:pPr>
              <w:jc w:val="both"/>
              <w:rPr>
                <w:rFonts w:cstheme="minorHAnsi"/>
                <w:sz w:val="20"/>
              </w:rPr>
            </w:pPr>
            <w:r w:rsidRPr="0007747E">
              <w:rPr>
                <w:rFonts w:cstheme="minorHAnsi"/>
                <w:b/>
                <w:sz w:val="20"/>
                <w:szCs w:val="18"/>
              </w:rPr>
              <w:t>Link</w:t>
            </w:r>
          </w:p>
        </w:tc>
        <w:tc>
          <w:tcPr>
            <w:tcW w:w="2605" w:type="dxa"/>
            <w:shd w:val="clear" w:color="auto" w:fill="C3E0F2" w:themeFill="accent3" w:themeFillTint="33"/>
          </w:tcPr>
          <w:p w14:paraId="281C5EEC" w14:textId="77777777" w:rsidR="006248E6" w:rsidRPr="0007747E" w:rsidRDefault="006248E6" w:rsidP="00005459">
            <w:pPr>
              <w:jc w:val="both"/>
              <w:rPr>
                <w:rFonts w:cstheme="minorHAnsi"/>
                <w:sz w:val="20"/>
              </w:rPr>
            </w:pPr>
            <w:r w:rsidRPr="0007747E">
              <w:rPr>
                <w:rFonts w:cstheme="minorHAnsi"/>
                <w:b/>
                <w:sz w:val="20"/>
                <w:szCs w:val="18"/>
              </w:rPr>
              <w:t>Source</w:t>
            </w:r>
          </w:p>
        </w:tc>
      </w:tr>
      <w:tr w:rsidR="006248E6" w14:paraId="12B74F77" w14:textId="77777777" w:rsidTr="00BC638D">
        <w:trPr>
          <w:trHeight w:val="637"/>
        </w:trPr>
        <w:tc>
          <w:tcPr>
            <w:tcW w:w="1298" w:type="dxa"/>
          </w:tcPr>
          <w:p w14:paraId="34C1CA7B" w14:textId="77777777" w:rsidR="006248E6" w:rsidRPr="0007747E" w:rsidRDefault="006248E6" w:rsidP="00005459">
            <w:pPr>
              <w:jc w:val="both"/>
              <w:rPr>
                <w:rFonts w:cstheme="minorHAnsi"/>
                <w:sz w:val="20"/>
              </w:rPr>
            </w:pPr>
            <w:r w:rsidRPr="0007747E">
              <w:rPr>
                <w:rFonts w:cstheme="minorHAnsi"/>
                <w:sz w:val="20"/>
                <w:szCs w:val="18"/>
              </w:rPr>
              <w:t>Population changes</w:t>
            </w:r>
          </w:p>
        </w:tc>
        <w:tc>
          <w:tcPr>
            <w:tcW w:w="2335" w:type="dxa"/>
          </w:tcPr>
          <w:p w14:paraId="0981A967" w14:textId="77777777" w:rsidR="006248E6" w:rsidRPr="0007747E" w:rsidRDefault="006248E6" w:rsidP="00005459">
            <w:pPr>
              <w:jc w:val="both"/>
              <w:rPr>
                <w:rFonts w:cstheme="minorHAnsi"/>
                <w:sz w:val="20"/>
              </w:rPr>
            </w:pPr>
            <w:r w:rsidRPr="0007747E">
              <w:rPr>
                <w:rFonts w:cstheme="minorHAnsi"/>
                <w:sz w:val="20"/>
                <w:szCs w:val="18"/>
              </w:rPr>
              <w:t>Total population (both sexes combined) for 1950-2100 (thousands)</w:t>
            </w:r>
          </w:p>
        </w:tc>
        <w:tc>
          <w:tcPr>
            <w:tcW w:w="1754" w:type="dxa"/>
          </w:tcPr>
          <w:p w14:paraId="4E4C8A4A" w14:textId="77777777" w:rsidR="006248E6" w:rsidRPr="0007747E" w:rsidRDefault="006248E6" w:rsidP="005E57D3">
            <w:pPr>
              <w:rPr>
                <w:rFonts w:cstheme="minorHAnsi"/>
                <w:sz w:val="20"/>
              </w:rPr>
            </w:pPr>
            <w:r w:rsidRPr="0007747E">
              <w:rPr>
                <w:rFonts w:cstheme="minorHAnsi"/>
                <w:sz w:val="20"/>
                <w:szCs w:val="18"/>
              </w:rPr>
              <w:t>UN Data: United Nations Population Projections</w:t>
            </w:r>
          </w:p>
        </w:tc>
        <w:tc>
          <w:tcPr>
            <w:tcW w:w="2551" w:type="dxa"/>
          </w:tcPr>
          <w:p w14:paraId="696229B9" w14:textId="77777777" w:rsidR="006248E6" w:rsidRPr="0007747E" w:rsidRDefault="006248E6" w:rsidP="00005459">
            <w:pPr>
              <w:rPr>
                <w:rFonts w:cstheme="minorHAnsi"/>
                <w:sz w:val="20"/>
                <w:szCs w:val="18"/>
              </w:rPr>
            </w:pPr>
            <w:r w:rsidRPr="0007747E">
              <w:rPr>
                <w:rFonts w:cstheme="minorHAnsi"/>
                <w:sz w:val="20"/>
                <w:szCs w:val="18"/>
              </w:rPr>
              <w:t xml:space="preserve">World Population Prospects 2019, standard projections (population data, overall total population-both sexes) </w:t>
            </w:r>
          </w:p>
        </w:tc>
        <w:tc>
          <w:tcPr>
            <w:tcW w:w="3261" w:type="dxa"/>
          </w:tcPr>
          <w:p w14:paraId="75E78D2C" w14:textId="77777777" w:rsidR="006248E6" w:rsidRPr="0007747E" w:rsidRDefault="00AC466B" w:rsidP="00005459">
            <w:pPr>
              <w:jc w:val="both"/>
              <w:rPr>
                <w:rFonts w:cstheme="minorHAnsi"/>
                <w:sz w:val="20"/>
                <w:szCs w:val="18"/>
              </w:rPr>
            </w:pPr>
            <w:hyperlink r:id="rId17" w:history="1">
              <w:r w:rsidR="006248E6" w:rsidRPr="0007747E">
                <w:rPr>
                  <w:rStyle w:val="Hyperlink"/>
                  <w:rFonts w:cstheme="minorHAnsi"/>
                  <w:sz w:val="20"/>
                  <w:szCs w:val="18"/>
                </w:rPr>
                <w:t>https://population.un.org/wpp/Download/Standard/Population/</w:t>
              </w:r>
            </w:hyperlink>
          </w:p>
        </w:tc>
        <w:tc>
          <w:tcPr>
            <w:tcW w:w="2605" w:type="dxa"/>
          </w:tcPr>
          <w:p w14:paraId="4F1FD190" w14:textId="77777777" w:rsidR="006248E6" w:rsidRPr="0007747E" w:rsidRDefault="006248E6" w:rsidP="00005459">
            <w:pPr>
              <w:rPr>
                <w:rFonts w:cstheme="minorHAnsi"/>
                <w:sz w:val="20"/>
              </w:rPr>
            </w:pPr>
            <w:r w:rsidRPr="0007747E">
              <w:rPr>
                <w:rFonts w:cstheme="minorHAnsi"/>
                <w:sz w:val="20"/>
                <w:szCs w:val="18"/>
              </w:rPr>
              <w:t>UN Department of Economic and Social Affairs, Population Dynamics</w:t>
            </w:r>
          </w:p>
        </w:tc>
      </w:tr>
      <w:tr w:rsidR="006248E6" w14:paraId="0D0E509B" w14:textId="77777777" w:rsidTr="00BC638D">
        <w:trPr>
          <w:trHeight w:val="476"/>
        </w:trPr>
        <w:tc>
          <w:tcPr>
            <w:tcW w:w="1298" w:type="dxa"/>
          </w:tcPr>
          <w:p w14:paraId="1D704D04" w14:textId="77777777" w:rsidR="006248E6" w:rsidRPr="0007747E" w:rsidRDefault="006248E6" w:rsidP="00005459">
            <w:pPr>
              <w:jc w:val="both"/>
              <w:rPr>
                <w:rFonts w:cstheme="minorHAnsi"/>
                <w:sz w:val="20"/>
              </w:rPr>
            </w:pPr>
          </w:p>
        </w:tc>
        <w:tc>
          <w:tcPr>
            <w:tcW w:w="2335" w:type="dxa"/>
          </w:tcPr>
          <w:p w14:paraId="7847628C" w14:textId="77777777" w:rsidR="006248E6" w:rsidRPr="0007747E" w:rsidRDefault="006248E6" w:rsidP="00005459">
            <w:pPr>
              <w:jc w:val="both"/>
              <w:rPr>
                <w:rFonts w:cstheme="minorHAnsi"/>
                <w:sz w:val="20"/>
              </w:rPr>
            </w:pPr>
            <w:r w:rsidRPr="0007747E">
              <w:rPr>
                <w:rFonts w:cstheme="minorHAnsi"/>
                <w:sz w:val="20"/>
                <w:szCs w:val="18"/>
              </w:rPr>
              <w:t>Net Reproductive Rate</w:t>
            </w:r>
          </w:p>
        </w:tc>
        <w:tc>
          <w:tcPr>
            <w:tcW w:w="1754" w:type="dxa"/>
          </w:tcPr>
          <w:p w14:paraId="659C9BBA" w14:textId="77777777" w:rsidR="006248E6" w:rsidRPr="0007747E" w:rsidRDefault="006248E6" w:rsidP="005E57D3">
            <w:pPr>
              <w:rPr>
                <w:rFonts w:cstheme="minorHAnsi"/>
                <w:sz w:val="20"/>
              </w:rPr>
            </w:pPr>
            <w:r w:rsidRPr="0007747E">
              <w:rPr>
                <w:rFonts w:cstheme="minorHAnsi"/>
                <w:sz w:val="20"/>
                <w:szCs w:val="18"/>
              </w:rPr>
              <w:t>UN Data: United Nations Population Projections</w:t>
            </w:r>
          </w:p>
        </w:tc>
        <w:tc>
          <w:tcPr>
            <w:tcW w:w="2551" w:type="dxa"/>
          </w:tcPr>
          <w:p w14:paraId="440F2CF9" w14:textId="77777777" w:rsidR="006248E6" w:rsidRPr="0007747E" w:rsidRDefault="006248E6" w:rsidP="00005459">
            <w:pPr>
              <w:rPr>
                <w:rFonts w:cstheme="minorHAnsi"/>
                <w:sz w:val="20"/>
              </w:rPr>
            </w:pPr>
            <w:r w:rsidRPr="0007747E">
              <w:rPr>
                <w:rFonts w:cstheme="minorHAnsi"/>
                <w:sz w:val="20"/>
                <w:szCs w:val="18"/>
              </w:rPr>
              <w:t>World Population Prospects 2019, standard projections (fertility  data, summary indices, NRR)</w:t>
            </w:r>
          </w:p>
        </w:tc>
        <w:tc>
          <w:tcPr>
            <w:tcW w:w="3261" w:type="dxa"/>
          </w:tcPr>
          <w:p w14:paraId="153D36B5" w14:textId="77777777" w:rsidR="006248E6" w:rsidRPr="0007747E" w:rsidRDefault="006248E6" w:rsidP="00005459">
            <w:pPr>
              <w:jc w:val="both"/>
              <w:rPr>
                <w:rFonts w:cstheme="minorHAnsi"/>
                <w:sz w:val="20"/>
              </w:rPr>
            </w:pPr>
            <w:r w:rsidRPr="0007747E">
              <w:rPr>
                <w:rStyle w:val="Hyperlink"/>
                <w:rFonts w:cstheme="minorHAnsi"/>
                <w:sz w:val="20"/>
                <w:szCs w:val="18"/>
              </w:rPr>
              <w:t>https://population.un.org/wpp/Download/Standard/Fertility/</w:t>
            </w:r>
          </w:p>
        </w:tc>
        <w:tc>
          <w:tcPr>
            <w:tcW w:w="2605" w:type="dxa"/>
          </w:tcPr>
          <w:p w14:paraId="686886F5" w14:textId="77777777" w:rsidR="006248E6" w:rsidRPr="0007747E" w:rsidRDefault="006248E6" w:rsidP="00005459">
            <w:pPr>
              <w:rPr>
                <w:rFonts w:cstheme="minorHAnsi"/>
                <w:sz w:val="20"/>
              </w:rPr>
            </w:pPr>
            <w:r w:rsidRPr="0007747E">
              <w:rPr>
                <w:rFonts w:cstheme="minorHAnsi"/>
                <w:sz w:val="20"/>
                <w:szCs w:val="18"/>
              </w:rPr>
              <w:t>UN Department of Economic and Social Affairs, Population Dynamics</w:t>
            </w:r>
          </w:p>
        </w:tc>
      </w:tr>
      <w:tr w:rsidR="006248E6" w14:paraId="48EBCE2B" w14:textId="77777777" w:rsidTr="00BC638D">
        <w:trPr>
          <w:trHeight w:val="837"/>
        </w:trPr>
        <w:tc>
          <w:tcPr>
            <w:tcW w:w="1298" w:type="dxa"/>
          </w:tcPr>
          <w:p w14:paraId="7936F77D" w14:textId="77777777" w:rsidR="006248E6" w:rsidRPr="0007747E" w:rsidRDefault="006248E6" w:rsidP="00005459">
            <w:pPr>
              <w:jc w:val="both"/>
              <w:rPr>
                <w:rFonts w:cstheme="minorHAnsi"/>
                <w:sz w:val="20"/>
              </w:rPr>
            </w:pPr>
          </w:p>
        </w:tc>
        <w:tc>
          <w:tcPr>
            <w:tcW w:w="2335" w:type="dxa"/>
          </w:tcPr>
          <w:p w14:paraId="4CC1648E" w14:textId="77777777" w:rsidR="006248E6" w:rsidRPr="0007747E" w:rsidRDefault="006248E6" w:rsidP="00005459">
            <w:pPr>
              <w:jc w:val="both"/>
              <w:rPr>
                <w:rFonts w:cstheme="minorHAnsi"/>
                <w:sz w:val="20"/>
              </w:rPr>
            </w:pPr>
            <w:r w:rsidRPr="0007747E">
              <w:rPr>
                <w:rFonts w:cstheme="minorHAnsi"/>
                <w:sz w:val="20"/>
                <w:szCs w:val="18"/>
              </w:rPr>
              <w:t>Country groupings based on SDG and UN subregions, World Bank Income groups</w:t>
            </w:r>
          </w:p>
        </w:tc>
        <w:tc>
          <w:tcPr>
            <w:tcW w:w="1754" w:type="dxa"/>
          </w:tcPr>
          <w:p w14:paraId="323B7607" w14:textId="77777777" w:rsidR="006248E6" w:rsidRPr="0007747E" w:rsidRDefault="006248E6" w:rsidP="005E57D3">
            <w:pPr>
              <w:rPr>
                <w:rFonts w:cstheme="minorHAnsi"/>
                <w:sz w:val="20"/>
              </w:rPr>
            </w:pPr>
            <w:r w:rsidRPr="0007747E">
              <w:rPr>
                <w:rFonts w:cstheme="minorHAnsi"/>
                <w:sz w:val="20"/>
                <w:szCs w:val="18"/>
              </w:rPr>
              <w:t>UN Data: United Nations Population Projections</w:t>
            </w:r>
          </w:p>
        </w:tc>
        <w:tc>
          <w:tcPr>
            <w:tcW w:w="2551" w:type="dxa"/>
          </w:tcPr>
          <w:p w14:paraId="2E2BA73C" w14:textId="77777777" w:rsidR="006248E6" w:rsidRPr="0007747E" w:rsidRDefault="006248E6" w:rsidP="00005459">
            <w:pPr>
              <w:rPr>
                <w:rFonts w:cstheme="minorHAnsi"/>
                <w:sz w:val="20"/>
              </w:rPr>
            </w:pPr>
            <w:r w:rsidRPr="0007747E">
              <w:rPr>
                <w:rFonts w:cstheme="minorHAnsi"/>
                <w:sz w:val="20"/>
                <w:szCs w:val="18"/>
              </w:rPr>
              <w:t>World Population Prospects 2019, metadata (documentation-locations)</w:t>
            </w:r>
          </w:p>
        </w:tc>
        <w:tc>
          <w:tcPr>
            <w:tcW w:w="3261" w:type="dxa"/>
          </w:tcPr>
          <w:p w14:paraId="5BBB8794" w14:textId="77777777" w:rsidR="006248E6" w:rsidRPr="0007747E" w:rsidRDefault="006248E6" w:rsidP="00005459">
            <w:pPr>
              <w:jc w:val="both"/>
              <w:rPr>
                <w:rStyle w:val="Hyperlink"/>
                <w:rFonts w:cstheme="minorHAnsi"/>
                <w:sz w:val="20"/>
                <w:szCs w:val="18"/>
              </w:rPr>
            </w:pPr>
            <w:r w:rsidRPr="0007747E">
              <w:rPr>
                <w:rStyle w:val="Hyperlink"/>
                <w:rFonts w:cstheme="minorHAnsi"/>
                <w:sz w:val="20"/>
                <w:szCs w:val="18"/>
              </w:rPr>
              <w:t>https://population.un.org/wpp/Download/Metadata/Documentation/</w:t>
            </w:r>
          </w:p>
          <w:p w14:paraId="444D305A" w14:textId="77777777" w:rsidR="006248E6" w:rsidRPr="0007747E" w:rsidRDefault="006248E6" w:rsidP="00005459">
            <w:pPr>
              <w:jc w:val="center"/>
              <w:rPr>
                <w:rFonts w:cstheme="minorHAnsi"/>
                <w:sz w:val="20"/>
              </w:rPr>
            </w:pPr>
          </w:p>
        </w:tc>
        <w:tc>
          <w:tcPr>
            <w:tcW w:w="2605" w:type="dxa"/>
          </w:tcPr>
          <w:p w14:paraId="6044C2A3" w14:textId="77777777" w:rsidR="006248E6" w:rsidRPr="0007747E" w:rsidRDefault="006248E6" w:rsidP="00005459">
            <w:pPr>
              <w:rPr>
                <w:rFonts w:cstheme="minorHAnsi"/>
                <w:sz w:val="20"/>
              </w:rPr>
            </w:pPr>
            <w:r w:rsidRPr="0007747E">
              <w:rPr>
                <w:rFonts w:cstheme="minorHAnsi"/>
                <w:sz w:val="20"/>
                <w:szCs w:val="18"/>
              </w:rPr>
              <w:t>UN Department of Economic and Social Affairs, Population Dynamics</w:t>
            </w:r>
          </w:p>
        </w:tc>
      </w:tr>
      <w:tr w:rsidR="006248E6" w14:paraId="071E5EE2" w14:textId="77777777" w:rsidTr="00BC638D">
        <w:trPr>
          <w:trHeight w:val="718"/>
        </w:trPr>
        <w:tc>
          <w:tcPr>
            <w:tcW w:w="1298" w:type="dxa"/>
          </w:tcPr>
          <w:p w14:paraId="19511121" w14:textId="77777777" w:rsidR="006248E6" w:rsidRPr="0007747E" w:rsidRDefault="006248E6" w:rsidP="00005459">
            <w:pPr>
              <w:jc w:val="both"/>
              <w:rPr>
                <w:rFonts w:cstheme="minorHAnsi"/>
                <w:sz w:val="20"/>
              </w:rPr>
            </w:pPr>
            <w:r w:rsidRPr="0007747E">
              <w:rPr>
                <w:rFonts w:cstheme="minorHAnsi"/>
                <w:sz w:val="20"/>
                <w:szCs w:val="18"/>
              </w:rPr>
              <w:t>Educational attainment</w:t>
            </w:r>
          </w:p>
        </w:tc>
        <w:tc>
          <w:tcPr>
            <w:tcW w:w="2335" w:type="dxa"/>
          </w:tcPr>
          <w:p w14:paraId="560AD9BB" w14:textId="77777777" w:rsidR="006248E6" w:rsidRPr="0007747E" w:rsidRDefault="006248E6" w:rsidP="00005459">
            <w:pPr>
              <w:jc w:val="both"/>
              <w:rPr>
                <w:rFonts w:cstheme="minorHAnsi"/>
                <w:sz w:val="20"/>
                <w:szCs w:val="18"/>
              </w:rPr>
            </w:pPr>
            <w:r w:rsidRPr="0007747E">
              <w:rPr>
                <w:rFonts w:cstheme="minorHAnsi"/>
                <w:sz w:val="20"/>
                <w:szCs w:val="18"/>
              </w:rPr>
              <w:t>Gender parity upper secondary school completion</w:t>
            </w:r>
          </w:p>
        </w:tc>
        <w:tc>
          <w:tcPr>
            <w:tcW w:w="1754" w:type="dxa"/>
          </w:tcPr>
          <w:p w14:paraId="794FC45B" w14:textId="77777777" w:rsidR="006248E6" w:rsidRPr="0007747E" w:rsidRDefault="006248E6" w:rsidP="005E57D3">
            <w:pPr>
              <w:rPr>
                <w:rFonts w:cstheme="minorHAnsi"/>
                <w:sz w:val="20"/>
              </w:rPr>
            </w:pPr>
            <w:r w:rsidRPr="0007747E">
              <w:rPr>
                <w:rFonts w:cstheme="minorHAnsi"/>
                <w:sz w:val="20"/>
                <w:szCs w:val="18"/>
              </w:rPr>
              <w:t>UNICEF Data</w:t>
            </w:r>
          </w:p>
        </w:tc>
        <w:tc>
          <w:tcPr>
            <w:tcW w:w="2551" w:type="dxa"/>
          </w:tcPr>
          <w:p w14:paraId="042CC6B5" w14:textId="77777777" w:rsidR="006248E6" w:rsidRPr="0007747E" w:rsidRDefault="006248E6" w:rsidP="00005459">
            <w:pPr>
              <w:rPr>
                <w:rFonts w:cstheme="minorHAnsi"/>
                <w:sz w:val="20"/>
              </w:rPr>
            </w:pPr>
            <w:r w:rsidRPr="0007747E">
              <w:rPr>
                <w:rFonts w:cstheme="minorHAnsi"/>
                <w:sz w:val="20"/>
                <w:szCs w:val="18"/>
              </w:rPr>
              <w:t>School completion rates Nov 2019</w:t>
            </w:r>
          </w:p>
        </w:tc>
        <w:tc>
          <w:tcPr>
            <w:tcW w:w="3261" w:type="dxa"/>
          </w:tcPr>
          <w:p w14:paraId="44CFB3BE" w14:textId="77777777" w:rsidR="006248E6" w:rsidRPr="0007747E" w:rsidRDefault="00AC466B" w:rsidP="00005459">
            <w:pPr>
              <w:jc w:val="both"/>
              <w:rPr>
                <w:rFonts w:cstheme="minorHAnsi"/>
                <w:color w:val="6B9F25" w:themeColor="hyperlink"/>
                <w:sz w:val="20"/>
                <w:szCs w:val="18"/>
                <w:u w:val="single"/>
              </w:rPr>
            </w:pPr>
            <w:hyperlink r:id="rId18" w:history="1">
              <w:r w:rsidR="006248E6" w:rsidRPr="0007747E">
                <w:rPr>
                  <w:rStyle w:val="Hyperlink"/>
                  <w:rFonts w:cstheme="minorHAnsi"/>
                  <w:sz w:val="20"/>
                  <w:szCs w:val="18"/>
                </w:rPr>
                <w:t>https://data.unicef.org/topic/gender/gender-disparities-in-education/</w:t>
              </w:r>
            </w:hyperlink>
          </w:p>
        </w:tc>
        <w:tc>
          <w:tcPr>
            <w:tcW w:w="2605" w:type="dxa"/>
          </w:tcPr>
          <w:p w14:paraId="6F2F5D62" w14:textId="77777777" w:rsidR="006248E6" w:rsidRPr="0007747E" w:rsidRDefault="006248E6" w:rsidP="00005459">
            <w:pPr>
              <w:rPr>
                <w:rFonts w:cstheme="minorHAnsi"/>
                <w:sz w:val="20"/>
              </w:rPr>
            </w:pPr>
            <w:r w:rsidRPr="0007747E">
              <w:rPr>
                <w:rFonts w:cstheme="minorHAnsi"/>
                <w:sz w:val="20"/>
                <w:szCs w:val="18"/>
              </w:rPr>
              <w:t>UNICEF Data:  Gender and education</w:t>
            </w:r>
          </w:p>
        </w:tc>
      </w:tr>
      <w:tr w:rsidR="006248E6" w14:paraId="20298500" w14:textId="77777777" w:rsidTr="00BC638D">
        <w:trPr>
          <w:trHeight w:val="805"/>
        </w:trPr>
        <w:tc>
          <w:tcPr>
            <w:tcW w:w="1298" w:type="dxa"/>
          </w:tcPr>
          <w:p w14:paraId="332AB555" w14:textId="77777777" w:rsidR="006248E6" w:rsidRPr="0007747E" w:rsidRDefault="006248E6" w:rsidP="00005459">
            <w:pPr>
              <w:jc w:val="both"/>
              <w:rPr>
                <w:rFonts w:cstheme="minorHAnsi"/>
                <w:sz w:val="20"/>
              </w:rPr>
            </w:pPr>
          </w:p>
        </w:tc>
        <w:tc>
          <w:tcPr>
            <w:tcW w:w="2335" w:type="dxa"/>
          </w:tcPr>
          <w:p w14:paraId="087B3E52" w14:textId="77777777" w:rsidR="006248E6" w:rsidRPr="0007747E" w:rsidRDefault="006248E6" w:rsidP="00005459">
            <w:pPr>
              <w:jc w:val="both"/>
              <w:rPr>
                <w:rFonts w:cstheme="minorHAnsi"/>
                <w:sz w:val="20"/>
                <w:szCs w:val="18"/>
              </w:rPr>
            </w:pPr>
            <w:r w:rsidRPr="0007747E">
              <w:rPr>
                <w:rFonts w:cstheme="minorHAnsi"/>
                <w:sz w:val="20"/>
                <w:szCs w:val="18"/>
              </w:rPr>
              <w:t>Gender parity primary and lower  secondary school completion</w:t>
            </w:r>
          </w:p>
        </w:tc>
        <w:tc>
          <w:tcPr>
            <w:tcW w:w="1754" w:type="dxa"/>
          </w:tcPr>
          <w:p w14:paraId="7B128B5B" w14:textId="77777777" w:rsidR="006248E6" w:rsidRPr="0007747E" w:rsidRDefault="006248E6" w:rsidP="005E57D3">
            <w:pPr>
              <w:rPr>
                <w:rFonts w:cstheme="minorHAnsi"/>
                <w:sz w:val="20"/>
              </w:rPr>
            </w:pPr>
            <w:r w:rsidRPr="0007747E">
              <w:rPr>
                <w:rFonts w:cstheme="minorHAnsi"/>
                <w:sz w:val="20"/>
                <w:szCs w:val="18"/>
              </w:rPr>
              <w:t>UNICEF Data</w:t>
            </w:r>
          </w:p>
        </w:tc>
        <w:tc>
          <w:tcPr>
            <w:tcW w:w="2551" w:type="dxa"/>
          </w:tcPr>
          <w:p w14:paraId="11790B69" w14:textId="77777777" w:rsidR="006248E6" w:rsidRPr="0007747E" w:rsidRDefault="006248E6" w:rsidP="00005459">
            <w:pPr>
              <w:rPr>
                <w:rFonts w:cstheme="minorHAnsi"/>
                <w:sz w:val="20"/>
              </w:rPr>
            </w:pPr>
            <w:r w:rsidRPr="0007747E">
              <w:rPr>
                <w:rFonts w:cstheme="minorHAnsi"/>
                <w:sz w:val="20"/>
                <w:szCs w:val="18"/>
              </w:rPr>
              <w:t>School completion rates Nov 2019</w:t>
            </w:r>
          </w:p>
        </w:tc>
        <w:tc>
          <w:tcPr>
            <w:tcW w:w="3261" w:type="dxa"/>
          </w:tcPr>
          <w:p w14:paraId="6BB77D9B" w14:textId="77777777" w:rsidR="006248E6" w:rsidRPr="0007747E" w:rsidRDefault="00AC466B" w:rsidP="00005459">
            <w:pPr>
              <w:jc w:val="both"/>
              <w:rPr>
                <w:rFonts w:cstheme="minorHAnsi"/>
                <w:color w:val="6B9F25" w:themeColor="hyperlink"/>
                <w:sz w:val="20"/>
                <w:szCs w:val="18"/>
                <w:u w:val="single"/>
              </w:rPr>
            </w:pPr>
            <w:hyperlink r:id="rId19" w:history="1">
              <w:r w:rsidR="006248E6" w:rsidRPr="0007747E">
                <w:rPr>
                  <w:rStyle w:val="Hyperlink"/>
                  <w:rFonts w:cstheme="minorHAnsi"/>
                  <w:sz w:val="20"/>
                  <w:szCs w:val="18"/>
                </w:rPr>
                <w:t>https://data.unicef.org/topic/gender/gender-disparities-in-education/</w:t>
              </w:r>
            </w:hyperlink>
          </w:p>
        </w:tc>
        <w:tc>
          <w:tcPr>
            <w:tcW w:w="2605" w:type="dxa"/>
          </w:tcPr>
          <w:p w14:paraId="795A8191" w14:textId="77777777" w:rsidR="006248E6" w:rsidRPr="0007747E" w:rsidRDefault="006248E6" w:rsidP="00005459">
            <w:pPr>
              <w:rPr>
                <w:rFonts w:cstheme="minorHAnsi"/>
                <w:sz w:val="20"/>
              </w:rPr>
            </w:pPr>
            <w:r w:rsidRPr="0007747E">
              <w:rPr>
                <w:rFonts w:cstheme="minorHAnsi"/>
                <w:sz w:val="20"/>
                <w:szCs w:val="18"/>
              </w:rPr>
              <w:t>UNICEF Data:  Gender and education</w:t>
            </w:r>
          </w:p>
        </w:tc>
      </w:tr>
      <w:tr w:rsidR="006248E6" w14:paraId="74EC9855" w14:textId="77777777" w:rsidTr="00BC638D">
        <w:trPr>
          <w:trHeight w:val="831"/>
        </w:trPr>
        <w:tc>
          <w:tcPr>
            <w:tcW w:w="1298" w:type="dxa"/>
          </w:tcPr>
          <w:p w14:paraId="73E00513" w14:textId="77777777" w:rsidR="006248E6" w:rsidRPr="0007747E" w:rsidRDefault="006248E6" w:rsidP="00005459">
            <w:pPr>
              <w:jc w:val="both"/>
              <w:rPr>
                <w:rFonts w:cstheme="minorHAnsi"/>
                <w:sz w:val="20"/>
              </w:rPr>
            </w:pPr>
          </w:p>
        </w:tc>
        <w:tc>
          <w:tcPr>
            <w:tcW w:w="2335" w:type="dxa"/>
          </w:tcPr>
          <w:p w14:paraId="742F8CF4" w14:textId="77777777" w:rsidR="006248E6" w:rsidRPr="0007747E" w:rsidRDefault="006248E6" w:rsidP="00005459">
            <w:pPr>
              <w:jc w:val="both"/>
              <w:rPr>
                <w:rFonts w:cstheme="minorHAnsi"/>
                <w:sz w:val="20"/>
                <w:szCs w:val="18"/>
              </w:rPr>
            </w:pPr>
            <w:r w:rsidRPr="0007747E">
              <w:rPr>
                <w:rFonts w:cstheme="minorHAnsi"/>
                <w:sz w:val="20"/>
                <w:szCs w:val="18"/>
              </w:rPr>
              <w:t>Educational attainment across genders</w:t>
            </w:r>
          </w:p>
        </w:tc>
        <w:tc>
          <w:tcPr>
            <w:tcW w:w="1754" w:type="dxa"/>
          </w:tcPr>
          <w:p w14:paraId="5F3F71F0" w14:textId="77777777" w:rsidR="006248E6" w:rsidRPr="0007747E" w:rsidRDefault="006248E6" w:rsidP="005E57D3">
            <w:pPr>
              <w:rPr>
                <w:rFonts w:cstheme="minorHAnsi"/>
                <w:sz w:val="20"/>
              </w:rPr>
            </w:pPr>
            <w:r w:rsidRPr="0007747E">
              <w:rPr>
                <w:rFonts w:cstheme="minorHAnsi"/>
                <w:sz w:val="20"/>
                <w:szCs w:val="18"/>
              </w:rPr>
              <w:t>UNICEF Data</w:t>
            </w:r>
          </w:p>
        </w:tc>
        <w:tc>
          <w:tcPr>
            <w:tcW w:w="2551" w:type="dxa"/>
          </w:tcPr>
          <w:p w14:paraId="2002E36C" w14:textId="77777777" w:rsidR="006248E6" w:rsidRPr="0007747E" w:rsidRDefault="006248E6" w:rsidP="00005459">
            <w:pPr>
              <w:rPr>
                <w:rFonts w:cstheme="minorHAnsi"/>
                <w:sz w:val="20"/>
              </w:rPr>
            </w:pPr>
            <w:r w:rsidRPr="0007747E">
              <w:rPr>
                <w:rFonts w:cstheme="minorHAnsi"/>
                <w:sz w:val="20"/>
                <w:szCs w:val="18"/>
              </w:rPr>
              <w:t>School completion rates Nov 2019</w:t>
            </w:r>
          </w:p>
        </w:tc>
        <w:tc>
          <w:tcPr>
            <w:tcW w:w="3261" w:type="dxa"/>
          </w:tcPr>
          <w:p w14:paraId="29DB7AE8" w14:textId="77777777" w:rsidR="006248E6" w:rsidRPr="0007747E" w:rsidRDefault="00AC466B" w:rsidP="00005459">
            <w:pPr>
              <w:jc w:val="both"/>
              <w:rPr>
                <w:rFonts w:cstheme="minorHAnsi"/>
                <w:color w:val="6B9F25" w:themeColor="hyperlink"/>
                <w:sz w:val="20"/>
                <w:szCs w:val="18"/>
                <w:u w:val="single"/>
              </w:rPr>
            </w:pPr>
            <w:hyperlink r:id="rId20" w:history="1">
              <w:r w:rsidR="006248E6" w:rsidRPr="0007747E">
                <w:rPr>
                  <w:rStyle w:val="Hyperlink"/>
                  <w:rFonts w:cstheme="minorHAnsi"/>
                  <w:sz w:val="20"/>
                  <w:szCs w:val="18"/>
                </w:rPr>
                <w:t>https://data.unicef.org/topic/gender/gender-disparities-in-education/</w:t>
              </w:r>
            </w:hyperlink>
          </w:p>
        </w:tc>
        <w:tc>
          <w:tcPr>
            <w:tcW w:w="2605" w:type="dxa"/>
          </w:tcPr>
          <w:p w14:paraId="6406D37F" w14:textId="77777777" w:rsidR="006248E6" w:rsidRPr="0007747E" w:rsidRDefault="006248E6" w:rsidP="00005459">
            <w:pPr>
              <w:rPr>
                <w:rFonts w:cstheme="minorHAnsi"/>
                <w:sz w:val="20"/>
              </w:rPr>
            </w:pPr>
            <w:r w:rsidRPr="0007747E">
              <w:rPr>
                <w:rFonts w:cstheme="minorHAnsi"/>
                <w:sz w:val="20"/>
                <w:szCs w:val="18"/>
              </w:rPr>
              <w:t>UNICEF Data:  Gender and education</w:t>
            </w:r>
          </w:p>
        </w:tc>
      </w:tr>
      <w:tr w:rsidR="006248E6" w14:paraId="6CC29E5C" w14:textId="77777777" w:rsidTr="00BC638D">
        <w:trPr>
          <w:trHeight w:val="677"/>
        </w:trPr>
        <w:tc>
          <w:tcPr>
            <w:tcW w:w="1298" w:type="dxa"/>
          </w:tcPr>
          <w:p w14:paraId="339CF5FB" w14:textId="77777777" w:rsidR="006248E6" w:rsidRPr="0007747E" w:rsidRDefault="006248E6" w:rsidP="00005459">
            <w:pPr>
              <w:jc w:val="both"/>
              <w:rPr>
                <w:rFonts w:cstheme="minorHAnsi"/>
                <w:sz w:val="20"/>
              </w:rPr>
            </w:pPr>
            <w:r w:rsidRPr="0007747E">
              <w:rPr>
                <w:rFonts w:cstheme="minorHAnsi"/>
                <w:sz w:val="20"/>
                <w:szCs w:val="18"/>
              </w:rPr>
              <w:t>Financials</w:t>
            </w:r>
          </w:p>
        </w:tc>
        <w:tc>
          <w:tcPr>
            <w:tcW w:w="2335" w:type="dxa"/>
          </w:tcPr>
          <w:p w14:paraId="279576D3" w14:textId="77777777" w:rsidR="006248E6" w:rsidRPr="0007747E" w:rsidRDefault="006248E6" w:rsidP="00005459">
            <w:pPr>
              <w:spacing w:after="300"/>
              <w:jc w:val="both"/>
              <w:rPr>
                <w:rFonts w:cstheme="minorHAnsi"/>
                <w:sz w:val="20"/>
              </w:rPr>
            </w:pPr>
            <w:r w:rsidRPr="0007747E">
              <w:rPr>
                <w:rFonts w:cstheme="minorHAnsi"/>
                <w:sz w:val="20"/>
                <w:szCs w:val="18"/>
              </w:rPr>
              <w:t>Costs of family planning</w:t>
            </w:r>
          </w:p>
        </w:tc>
        <w:tc>
          <w:tcPr>
            <w:tcW w:w="1754" w:type="dxa"/>
          </w:tcPr>
          <w:p w14:paraId="2BFC51EC" w14:textId="77777777" w:rsidR="006248E6" w:rsidRPr="0007747E" w:rsidRDefault="006248E6" w:rsidP="005E57D3">
            <w:pPr>
              <w:spacing w:after="300"/>
              <w:rPr>
                <w:rFonts w:cstheme="minorHAnsi"/>
                <w:sz w:val="20"/>
              </w:rPr>
            </w:pPr>
            <w:r w:rsidRPr="0007747E">
              <w:rPr>
                <w:rFonts w:cstheme="minorHAnsi"/>
                <w:sz w:val="20"/>
                <w:szCs w:val="18"/>
              </w:rPr>
              <w:t>Guttmacher Institute</w:t>
            </w:r>
          </w:p>
        </w:tc>
        <w:tc>
          <w:tcPr>
            <w:tcW w:w="2551" w:type="dxa"/>
          </w:tcPr>
          <w:p w14:paraId="09DF9956" w14:textId="77777777" w:rsidR="006248E6" w:rsidRPr="0007747E" w:rsidRDefault="006248E6" w:rsidP="00005459">
            <w:pPr>
              <w:rPr>
                <w:rFonts w:cstheme="minorHAnsi"/>
                <w:sz w:val="20"/>
              </w:rPr>
            </w:pPr>
            <w:r w:rsidRPr="0007747E">
              <w:rPr>
                <w:rFonts w:cstheme="minorHAnsi"/>
                <w:sz w:val="20"/>
                <w:szCs w:val="18"/>
              </w:rPr>
              <w:t>Costs per contraceptive user, 2019</w:t>
            </w:r>
          </w:p>
        </w:tc>
        <w:tc>
          <w:tcPr>
            <w:tcW w:w="3261" w:type="dxa"/>
          </w:tcPr>
          <w:p w14:paraId="620A4079" w14:textId="77777777" w:rsidR="006248E6" w:rsidRPr="0007747E" w:rsidRDefault="00AC466B" w:rsidP="00005459">
            <w:pPr>
              <w:jc w:val="both"/>
              <w:rPr>
                <w:rFonts w:cstheme="minorHAnsi"/>
                <w:sz w:val="20"/>
              </w:rPr>
            </w:pPr>
            <w:hyperlink r:id="rId21" w:history="1">
              <w:r w:rsidR="006248E6" w:rsidRPr="0007747E">
                <w:rPr>
                  <w:rStyle w:val="Hyperlink"/>
                  <w:rFonts w:cstheme="minorHAnsi"/>
                  <w:sz w:val="20"/>
                  <w:szCs w:val="18"/>
                </w:rPr>
                <w:t>Adding It Up: Investing in Sexual and Reproductive Health 2019 | Guttmacher Institute</w:t>
              </w:r>
            </w:hyperlink>
          </w:p>
        </w:tc>
        <w:tc>
          <w:tcPr>
            <w:tcW w:w="2605" w:type="dxa"/>
          </w:tcPr>
          <w:p w14:paraId="3E583FB1" w14:textId="77777777" w:rsidR="006248E6" w:rsidRPr="0007747E" w:rsidRDefault="006248E6" w:rsidP="00005459">
            <w:pPr>
              <w:rPr>
                <w:rFonts w:cstheme="minorHAnsi"/>
                <w:sz w:val="20"/>
                <w:szCs w:val="18"/>
              </w:rPr>
            </w:pPr>
            <w:r w:rsidRPr="0007747E">
              <w:rPr>
                <w:rFonts w:cstheme="minorHAnsi"/>
                <w:sz w:val="20"/>
                <w:szCs w:val="18"/>
              </w:rPr>
              <w:t xml:space="preserve">Guttmacher Institute. </w:t>
            </w:r>
            <w:r w:rsidRPr="0007747E">
              <w:rPr>
                <w:rFonts w:cstheme="minorHAnsi"/>
                <w:sz w:val="20"/>
                <w:szCs w:val="18"/>
              </w:rPr>
              <w:br/>
              <w:t>Adding It Up: Investing in Sexual and Reproductive Health 2019-</w:t>
            </w:r>
          </w:p>
          <w:p w14:paraId="5A904C0E" w14:textId="77777777" w:rsidR="006248E6" w:rsidRPr="0007747E" w:rsidRDefault="006248E6" w:rsidP="00005459">
            <w:pPr>
              <w:rPr>
                <w:rFonts w:cstheme="minorHAnsi"/>
                <w:sz w:val="20"/>
              </w:rPr>
            </w:pPr>
            <w:r w:rsidRPr="0007747E">
              <w:rPr>
                <w:rFonts w:cstheme="minorHAnsi"/>
                <w:sz w:val="20"/>
                <w:szCs w:val="18"/>
              </w:rPr>
              <w:t>Appendix Tables</w:t>
            </w:r>
          </w:p>
        </w:tc>
      </w:tr>
      <w:tr w:rsidR="006248E6" w14:paraId="1ABA1F08" w14:textId="77777777" w:rsidTr="00BC638D">
        <w:trPr>
          <w:trHeight w:val="325"/>
        </w:trPr>
        <w:tc>
          <w:tcPr>
            <w:tcW w:w="1298" w:type="dxa"/>
          </w:tcPr>
          <w:p w14:paraId="01421122" w14:textId="77777777" w:rsidR="006248E6" w:rsidRPr="0007747E" w:rsidRDefault="006248E6" w:rsidP="00005459">
            <w:pPr>
              <w:jc w:val="both"/>
              <w:rPr>
                <w:rFonts w:cstheme="minorHAnsi"/>
                <w:sz w:val="20"/>
              </w:rPr>
            </w:pPr>
          </w:p>
        </w:tc>
        <w:tc>
          <w:tcPr>
            <w:tcW w:w="2335" w:type="dxa"/>
          </w:tcPr>
          <w:p w14:paraId="5E97F36E" w14:textId="77777777" w:rsidR="006248E6" w:rsidRPr="0007747E" w:rsidRDefault="006248E6" w:rsidP="00005459">
            <w:pPr>
              <w:spacing w:after="300"/>
              <w:jc w:val="both"/>
              <w:rPr>
                <w:rFonts w:cstheme="minorHAnsi"/>
                <w:sz w:val="20"/>
                <w:szCs w:val="18"/>
              </w:rPr>
            </w:pPr>
            <w:r w:rsidRPr="0007747E">
              <w:rPr>
                <w:rFonts w:cstheme="minorHAnsi"/>
                <w:sz w:val="20"/>
                <w:szCs w:val="18"/>
              </w:rPr>
              <w:t>Costs of education</w:t>
            </w:r>
          </w:p>
        </w:tc>
        <w:tc>
          <w:tcPr>
            <w:tcW w:w="1754" w:type="dxa"/>
          </w:tcPr>
          <w:p w14:paraId="57EF5086" w14:textId="77777777" w:rsidR="006248E6" w:rsidRDefault="007F3156" w:rsidP="005E57D3">
            <w:pPr>
              <w:rPr>
                <w:rFonts w:cstheme="minorHAnsi"/>
                <w:sz w:val="20"/>
                <w:szCs w:val="18"/>
              </w:rPr>
            </w:pPr>
            <w:r>
              <w:rPr>
                <w:rFonts w:cstheme="minorHAnsi"/>
                <w:sz w:val="20"/>
                <w:szCs w:val="18"/>
              </w:rPr>
              <w:t xml:space="preserve">UNESCO: Global </w:t>
            </w:r>
            <w:r w:rsidR="00971DE8">
              <w:rPr>
                <w:rFonts w:cstheme="minorHAnsi"/>
                <w:sz w:val="20"/>
                <w:szCs w:val="18"/>
              </w:rPr>
              <w:t xml:space="preserve">Education </w:t>
            </w:r>
            <w:r>
              <w:rPr>
                <w:rFonts w:cstheme="minorHAnsi"/>
                <w:sz w:val="20"/>
                <w:szCs w:val="18"/>
              </w:rPr>
              <w:t>Monitoring Report</w:t>
            </w:r>
          </w:p>
          <w:p w14:paraId="1EA9F723" w14:textId="77777777" w:rsidR="00BC638D" w:rsidRDefault="00BC638D" w:rsidP="005E57D3">
            <w:pPr>
              <w:rPr>
                <w:rFonts w:cstheme="minorHAnsi"/>
                <w:sz w:val="20"/>
                <w:szCs w:val="18"/>
              </w:rPr>
            </w:pPr>
          </w:p>
          <w:p w14:paraId="0662B801" w14:textId="59BC0F76" w:rsidR="00971DE8" w:rsidRPr="0007747E" w:rsidRDefault="00971DE8" w:rsidP="005E57D3">
            <w:pPr>
              <w:rPr>
                <w:rFonts w:cstheme="minorHAnsi"/>
                <w:sz w:val="20"/>
                <w:szCs w:val="18"/>
              </w:rPr>
            </w:pPr>
            <w:r>
              <w:rPr>
                <w:rFonts w:cstheme="minorHAnsi"/>
                <w:sz w:val="20"/>
                <w:szCs w:val="18"/>
              </w:rPr>
              <w:t>OECD 2020</w:t>
            </w:r>
          </w:p>
        </w:tc>
        <w:tc>
          <w:tcPr>
            <w:tcW w:w="2551" w:type="dxa"/>
          </w:tcPr>
          <w:p w14:paraId="5FCD6A14" w14:textId="4549412F" w:rsidR="006248E6" w:rsidRDefault="007F3156" w:rsidP="00005459">
            <w:pPr>
              <w:jc w:val="both"/>
              <w:rPr>
                <w:rFonts w:cstheme="minorHAnsi"/>
                <w:sz w:val="20"/>
              </w:rPr>
            </w:pPr>
            <w:r>
              <w:rPr>
                <w:rFonts w:cstheme="minorHAnsi"/>
                <w:sz w:val="20"/>
              </w:rPr>
              <w:t>Co</w:t>
            </w:r>
            <w:r w:rsidRPr="007F3156">
              <w:rPr>
                <w:rFonts w:cstheme="minorHAnsi"/>
                <w:sz w:val="20"/>
              </w:rPr>
              <w:t>st analysis for achieving the SDGs</w:t>
            </w:r>
            <w:r>
              <w:rPr>
                <w:rFonts w:cstheme="minorHAnsi"/>
                <w:sz w:val="20"/>
              </w:rPr>
              <w:t xml:space="preserve"> (page 296)</w:t>
            </w:r>
          </w:p>
          <w:p w14:paraId="26568942" w14:textId="77777777" w:rsidR="00971DE8" w:rsidRDefault="00971DE8" w:rsidP="00005459">
            <w:pPr>
              <w:jc w:val="both"/>
              <w:rPr>
                <w:rFonts w:cstheme="minorHAnsi"/>
                <w:sz w:val="20"/>
              </w:rPr>
            </w:pPr>
          </w:p>
          <w:p w14:paraId="1439B2AB" w14:textId="355A0F96" w:rsidR="00971DE8" w:rsidRPr="0007747E" w:rsidRDefault="00971DE8" w:rsidP="00005459">
            <w:pPr>
              <w:jc w:val="both"/>
              <w:rPr>
                <w:rFonts w:cstheme="minorHAnsi"/>
                <w:sz w:val="20"/>
              </w:rPr>
            </w:pPr>
            <w:r>
              <w:rPr>
                <w:rFonts w:cstheme="minorHAnsi"/>
                <w:sz w:val="20"/>
              </w:rPr>
              <w:t>Total expenditure on education institutions per full time student (2017, page 280)</w:t>
            </w:r>
          </w:p>
        </w:tc>
        <w:tc>
          <w:tcPr>
            <w:tcW w:w="3261" w:type="dxa"/>
          </w:tcPr>
          <w:p w14:paraId="21052B81" w14:textId="723B2951" w:rsidR="006248E6" w:rsidRDefault="00AC466B" w:rsidP="00005459">
            <w:pPr>
              <w:jc w:val="both"/>
              <w:rPr>
                <w:rFonts w:cstheme="minorHAnsi"/>
                <w:sz w:val="20"/>
              </w:rPr>
            </w:pPr>
            <w:hyperlink r:id="rId22" w:history="1">
              <w:r w:rsidR="007F3156" w:rsidRPr="00736FAB">
                <w:rPr>
                  <w:rStyle w:val="Hyperlink"/>
                  <w:rFonts w:cstheme="minorHAnsi"/>
                  <w:sz w:val="20"/>
                </w:rPr>
                <w:t>https://unesdoc.unesco.org/ark:/48223/pf0000232205</w:t>
              </w:r>
            </w:hyperlink>
          </w:p>
          <w:p w14:paraId="6529AFE5" w14:textId="77777777" w:rsidR="007F3156" w:rsidRDefault="007F3156" w:rsidP="00005459">
            <w:pPr>
              <w:jc w:val="both"/>
              <w:rPr>
                <w:rFonts w:cstheme="minorHAnsi"/>
                <w:sz w:val="20"/>
              </w:rPr>
            </w:pPr>
          </w:p>
          <w:p w14:paraId="103B5F04" w14:textId="7050C1B1" w:rsidR="00971DE8" w:rsidRDefault="00AC466B" w:rsidP="00005459">
            <w:pPr>
              <w:jc w:val="both"/>
              <w:rPr>
                <w:rFonts w:cstheme="minorHAnsi"/>
                <w:sz w:val="20"/>
              </w:rPr>
            </w:pPr>
            <w:hyperlink r:id="rId23" w:history="1">
              <w:r w:rsidR="00971DE8" w:rsidRPr="00736FAB">
                <w:rPr>
                  <w:rStyle w:val="Hyperlink"/>
                  <w:rFonts w:cstheme="minorHAnsi"/>
                  <w:sz w:val="20"/>
                </w:rPr>
                <w:t>https://www.oecd.org/education/education-at-a-glance/</w:t>
              </w:r>
            </w:hyperlink>
          </w:p>
          <w:p w14:paraId="0487F55C" w14:textId="15D7BB5B" w:rsidR="00971DE8" w:rsidRPr="0007747E" w:rsidRDefault="00971DE8" w:rsidP="00005459">
            <w:pPr>
              <w:jc w:val="both"/>
              <w:rPr>
                <w:rFonts w:cstheme="minorHAnsi"/>
                <w:sz w:val="20"/>
              </w:rPr>
            </w:pPr>
          </w:p>
        </w:tc>
        <w:tc>
          <w:tcPr>
            <w:tcW w:w="2605" w:type="dxa"/>
          </w:tcPr>
          <w:p w14:paraId="744218AD" w14:textId="31CE7E44" w:rsidR="006248E6" w:rsidRDefault="007F3156" w:rsidP="00005459">
            <w:pPr>
              <w:jc w:val="both"/>
              <w:rPr>
                <w:rFonts w:cstheme="minorHAnsi"/>
                <w:sz w:val="20"/>
                <w:szCs w:val="18"/>
              </w:rPr>
            </w:pPr>
            <w:r>
              <w:rPr>
                <w:rFonts w:cstheme="minorHAnsi"/>
                <w:sz w:val="20"/>
                <w:szCs w:val="18"/>
              </w:rPr>
              <w:t>2015 Global Educa</w:t>
            </w:r>
            <w:r w:rsidR="00971DE8">
              <w:rPr>
                <w:rFonts w:cstheme="minorHAnsi"/>
                <w:sz w:val="20"/>
                <w:szCs w:val="18"/>
              </w:rPr>
              <w:t>tion Monitoring Report</w:t>
            </w:r>
          </w:p>
          <w:p w14:paraId="388E8ABD" w14:textId="77777777" w:rsidR="00971DE8" w:rsidRDefault="00971DE8" w:rsidP="00005459">
            <w:pPr>
              <w:jc w:val="both"/>
              <w:rPr>
                <w:rFonts w:cstheme="minorHAnsi"/>
                <w:sz w:val="20"/>
              </w:rPr>
            </w:pPr>
          </w:p>
          <w:p w14:paraId="6EDC767A" w14:textId="516C087D" w:rsidR="007F3156" w:rsidRPr="0007747E" w:rsidRDefault="00971DE8" w:rsidP="00005459">
            <w:pPr>
              <w:jc w:val="both"/>
              <w:rPr>
                <w:rFonts w:cstheme="minorHAnsi"/>
                <w:sz w:val="20"/>
              </w:rPr>
            </w:pPr>
            <w:r>
              <w:rPr>
                <w:rFonts w:cstheme="minorHAnsi"/>
                <w:sz w:val="20"/>
              </w:rPr>
              <w:t>Education at a Glance 2020: OECD indicators</w:t>
            </w:r>
          </w:p>
        </w:tc>
      </w:tr>
    </w:tbl>
    <w:p w14:paraId="697C8D2A" w14:textId="286C176B" w:rsidR="0007747E" w:rsidRDefault="0007747E">
      <w:pPr>
        <w:rPr>
          <w:rFonts w:asciiTheme="majorHAnsi" w:eastAsiaTheme="majorEastAsia" w:hAnsiTheme="majorHAnsi" w:cstheme="majorBidi"/>
          <w:b/>
          <w:bCs/>
          <w:smallCaps/>
          <w:color w:val="000000" w:themeColor="text1"/>
          <w:sz w:val="28"/>
          <w:szCs w:val="28"/>
        </w:rPr>
        <w:sectPr w:rsidR="0007747E" w:rsidSect="0007747E">
          <w:pgSz w:w="15840" w:h="12240" w:orient="landscape"/>
          <w:pgMar w:top="1440" w:right="1440" w:bottom="1440" w:left="1440" w:header="720" w:footer="720" w:gutter="0"/>
          <w:cols w:space="720"/>
          <w:docGrid w:linePitch="299"/>
        </w:sectPr>
      </w:pPr>
      <w:bookmarkStart w:id="69" w:name="_Toc71702096"/>
    </w:p>
    <w:p w14:paraId="08E93CE5" w14:textId="28C7FAEE" w:rsidR="006248E6" w:rsidRPr="006248E6" w:rsidRDefault="006248E6" w:rsidP="006248E6">
      <w:pPr>
        <w:pStyle w:val="Heading2"/>
      </w:pPr>
      <w:bookmarkStart w:id="70" w:name="_Toc74154062"/>
      <w:r>
        <w:t>Limitations</w:t>
      </w:r>
      <w:bookmarkEnd w:id="69"/>
      <w:r w:rsidR="00E84A82">
        <w:t xml:space="preserve"> to the m</w:t>
      </w:r>
      <w:r w:rsidR="00D372AB">
        <w:t>ethodology and Model</w:t>
      </w:r>
      <w:bookmarkEnd w:id="70"/>
    </w:p>
    <w:p w14:paraId="4823E691" w14:textId="043363FB" w:rsidR="00E84A82" w:rsidRDefault="00E84A82" w:rsidP="00E84A82">
      <w:pPr>
        <w:pStyle w:val="Heading3"/>
      </w:pPr>
      <w:bookmarkStart w:id="71" w:name="_Toc74154063"/>
      <w:r>
        <w:t>UN population projections</w:t>
      </w:r>
      <w:bookmarkEnd w:id="71"/>
    </w:p>
    <w:p w14:paraId="76D1C1FA" w14:textId="449E81D9" w:rsidR="006248E6" w:rsidRPr="00E84A82" w:rsidRDefault="006248E6" w:rsidP="00E84A82">
      <w:pPr>
        <w:spacing w:line="276" w:lineRule="auto"/>
        <w:jc w:val="both"/>
        <w:rPr>
          <w:sz w:val="24"/>
        </w:rPr>
      </w:pPr>
      <w:r w:rsidRPr="00E84A82">
        <w:rPr>
          <w:sz w:val="24"/>
        </w:rPr>
        <w:t xml:space="preserve">The UN’s population projections are based on the demographic transition theory. However, it is very possible that the development paths of low income countries, especially those in </w:t>
      </w:r>
      <w:r w:rsidR="00BD6727">
        <w:rPr>
          <w:sz w:val="24"/>
        </w:rPr>
        <w:t>SSA</w:t>
      </w:r>
      <w:r w:rsidRPr="00E84A82">
        <w:rPr>
          <w:sz w:val="24"/>
        </w:rPr>
        <w:t xml:space="preserve"> will not followed the trajectory theorized in the demographic transition theory. Therefore, despite increase in educational attainment and improved family planning service provision, fertility in regions such as </w:t>
      </w:r>
      <w:r w:rsidR="00BD6727">
        <w:rPr>
          <w:sz w:val="24"/>
        </w:rPr>
        <w:t>SSA</w:t>
      </w:r>
      <w:r w:rsidRPr="00E84A82">
        <w:rPr>
          <w:sz w:val="24"/>
        </w:rPr>
        <w:t xml:space="preserve"> may not fall as rapidly as has been set forth in the projections. </w:t>
      </w:r>
    </w:p>
    <w:p w14:paraId="64B7EDD1" w14:textId="3C439E6D" w:rsidR="002E6BDD" w:rsidRDefault="002E6BDD" w:rsidP="00D86F2F">
      <w:pPr>
        <w:tabs>
          <w:tab w:val="left" w:pos="2346"/>
        </w:tabs>
        <w:spacing w:line="276" w:lineRule="auto"/>
        <w:jc w:val="both"/>
        <w:rPr>
          <w:sz w:val="24"/>
        </w:rPr>
      </w:pPr>
      <w:r>
        <w:rPr>
          <w:sz w:val="24"/>
        </w:rPr>
        <w:t xml:space="preserve">Projections of regional population changes over time are also based on an aggregate of data for fertility, mortality and migration </w:t>
      </w:r>
      <w:r w:rsidR="00F75D67">
        <w:rPr>
          <w:sz w:val="24"/>
        </w:rPr>
        <w:t xml:space="preserve">estimates </w:t>
      </w:r>
      <w:r>
        <w:rPr>
          <w:sz w:val="24"/>
        </w:rPr>
        <w:t xml:space="preserve">from different empirical country data sets, many of which may have inconsistent or missing data as a result of different methods and time points of data collection and documentation. The UN </w:t>
      </w:r>
      <w:r w:rsidRPr="002E6BDD">
        <w:rPr>
          <w:sz w:val="24"/>
        </w:rPr>
        <w:t>Department of Economic and Social Affairs</w:t>
      </w:r>
      <w:r>
        <w:rPr>
          <w:sz w:val="24"/>
        </w:rPr>
        <w:t xml:space="preserve"> acknowledges this limitation, as stated in the </w:t>
      </w:r>
      <w:r w:rsidR="00F75D67">
        <w:rPr>
          <w:sz w:val="24"/>
        </w:rPr>
        <w:t xml:space="preserve">World Population Prospects </w:t>
      </w:r>
      <w:r>
        <w:rPr>
          <w:sz w:val="24"/>
        </w:rPr>
        <w:t xml:space="preserve">2019 </w:t>
      </w:r>
      <w:r w:rsidR="00F75D67">
        <w:rPr>
          <w:sz w:val="24"/>
        </w:rPr>
        <w:t xml:space="preserve">methodology </w:t>
      </w:r>
      <w:r>
        <w:rPr>
          <w:sz w:val="24"/>
        </w:rPr>
        <w:t>report: “</w:t>
      </w:r>
      <w:r w:rsidRPr="002E6BDD">
        <w:rPr>
          <w:sz w:val="24"/>
        </w:rPr>
        <w:t>considerable effort has been devoted to evaluating, analysing and reconciling empirical evidence to produce consistent and reliable estimates. However, in the absence of perfect demographic data, it should be noted that there is still a degree of uncertainty associated with the estimates of the population and related fertility, mortality and international migration indicators within many countries, especially in earlier decades.</w:t>
      </w:r>
      <w:r>
        <w:rPr>
          <w:sz w:val="24"/>
        </w:rPr>
        <w:t>”</w:t>
      </w:r>
      <w:r w:rsidR="00F75D67">
        <w:rPr>
          <w:sz w:val="24"/>
        </w:rPr>
        <w:fldChar w:fldCharType="begin"/>
      </w:r>
      <w:r w:rsidR="005F3A70">
        <w:rPr>
          <w:sz w:val="24"/>
        </w:rPr>
        <w:instrText xml:space="preserve"> ADDIN ZOTERO_ITEM CSL_CITATION {"citationID":"95kdbb3y","properties":{"formattedCitation":"(United Nations Population Division, 2021)","plainCitation":"(United Nations Population Division, 2021)","noteIndex":0},"citationItems":[{"id":18123,"uris":["http://zotero.org/users/7220606/items/67UCGHAQ"],"uri":["http://zotero.org/users/7220606/items/67UCGHAQ"],"itemData":{"id":18123,"type":"report","title":"World Population Prospects","URL":"https://population.un.org/wpp/Download/Standard/Population/","author":[{"family":"United Nations Population Division","given":""}],"issued":{"date-parts":[["2021"]]}}}],"schema":"https://github.com/citation-style-language/schema/raw/master/csl-citation.json"} </w:instrText>
      </w:r>
      <w:r w:rsidR="00F75D67">
        <w:rPr>
          <w:sz w:val="24"/>
        </w:rPr>
        <w:fldChar w:fldCharType="separate"/>
      </w:r>
      <w:r w:rsidR="005F3A70" w:rsidRPr="005F3A70">
        <w:rPr>
          <w:rFonts w:ascii="Calibri" w:hAnsi="Calibri" w:cs="Calibri"/>
          <w:sz w:val="24"/>
        </w:rPr>
        <w:t>(United Nations Population Division, 2021)</w:t>
      </w:r>
      <w:r w:rsidR="00F75D67">
        <w:rPr>
          <w:sz w:val="24"/>
        </w:rPr>
        <w:fldChar w:fldCharType="end"/>
      </w:r>
    </w:p>
    <w:p w14:paraId="680B9B24" w14:textId="70AE2B16" w:rsidR="006248E6" w:rsidRPr="00BF048C" w:rsidRDefault="005260D0" w:rsidP="00D86F2F">
      <w:pPr>
        <w:tabs>
          <w:tab w:val="left" w:pos="2346"/>
        </w:tabs>
        <w:spacing w:line="276" w:lineRule="auto"/>
        <w:jc w:val="both"/>
        <w:rPr>
          <w:sz w:val="24"/>
        </w:rPr>
      </w:pPr>
      <w:r>
        <w:rPr>
          <w:sz w:val="24"/>
        </w:rPr>
        <w:tab/>
      </w:r>
    </w:p>
    <w:p w14:paraId="4D8679E5" w14:textId="77777777" w:rsidR="00E84A82" w:rsidRDefault="00E84A82" w:rsidP="00E84A82">
      <w:pPr>
        <w:pStyle w:val="Heading3"/>
      </w:pPr>
      <w:bookmarkStart w:id="72" w:name="_Toc74154064"/>
      <w:r>
        <w:t>Regional grouping of countries</w:t>
      </w:r>
      <w:bookmarkEnd w:id="72"/>
    </w:p>
    <w:p w14:paraId="204B8FB8" w14:textId="3996D88F" w:rsidR="006248E6" w:rsidRDefault="00D86F2F" w:rsidP="00E84A82">
      <w:pPr>
        <w:spacing w:line="276" w:lineRule="auto"/>
        <w:jc w:val="both"/>
        <w:rPr>
          <w:sz w:val="24"/>
        </w:rPr>
      </w:pPr>
      <w:r>
        <w:rPr>
          <w:sz w:val="24"/>
        </w:rPr>
        <w:t xml:space="preserve">IPCC regional data are used in Drawdown’s models due to the lack of accurate country-level TAM estimates for the different clusters. </w:t>
      </w:r>
      <w:r w:rsidR="006248E6" w:rsidRPr="00E84A82">
        <w:rPr>
          <w:sz w:val="24"/>
        </w:rPr>
        <w:t xml:space="preserve">The use of IPCC regions to group countries together by educational attainment or NRR </w:t>
      </w:r>
      <w:r>
        <w:rPr>
          <w:sz w:val="24"/>
        </w:rPr>
        <w:t xml:space="preserve">however, </w:t>
      </w:r>
      <w:r w:rsidR="006248E6" w:rsidRPr="00E84A82">
        <w:rPr>
          <w:sz w:val="24"/>
        </w:rPr>
        <w:t xml:space="preserve">assume that all countries within the region fall under the same grouping, which may not always be the case. For example, Latin America as a region overall is assumed to have a low NRR, but some countries within the region have an intermediate NRR, such as Argentina and Mexico. Similarly, Middle East and Africa </w:t>
      </w:r>
      <w:r>
        <w:rPr>
          <w:sz w:val="24"/>
        </w:rPr>
        <w:t>is collectively</w:t>
      </w:r>
      <w:r w:rsidR="006248E6" w:rsidRPr="00E84A82">
        <w:rPr>
          <w:sz w:val="24"/>
        </w:rPr>
        <w:t xml:space="preserve"> assumed to have a high NRR, but countries included in the region, such as Dijbouti and Qatar, have intermediate and low NRRs, respectively.</w:t>
      </w:r>
    </w:p>
    <w:p w14:paraId="0DD53EF1" w14:textId="77777777" w:rsidR="006248E6" w:rsidRPr="00BF048C" w:rsidRDefault="006248E6" w:rsidP="00DF14B6">
      <w:pPr>
        <w:pStyle w:val="ListParagraph"/>
        <w:spacing w:line="276" w:lineRule="auto"/>
        <w:jc w:val="both"/>
        <w:rPr>
          <w:sz w:val="24"/>
        </w:rPr>
      </w:pPr>
    </w:p>
    <w:p w14:paraId="7B679BD2" w14:textId="77777777" w:rsidR="00E84A82" w:rsidRDefault="00E84A82" w:rsidP="00E84A82">
      <w:pPr>
        <w:pStyle w:val="Heading3"/>
      </w:pPr>
      <w:bookmarkStart w:id="73" w:name="_Toc74154065"/>
      <w:r>
        <w:t>Inconsistencies between data from different sources</w:t>
      </w:r>
      <w:bookmarkEnd w:id="73"/>
    </w:p>
    <w:p w14:paraId="48DC66C3" w14:textId="569A6027" w:rsidR="006248E6" w:rsidRPr="00E84A82" w:rsidRDefault="006248E6" w:rsidP="00E84A82">
      <w:pPr>
        <w:spacing w:line="276" w:lineRule="auto"/>
        <w:jc w:val="both"/>
        <w:rPr>
          <w:sz w:val="24"/>
        </w:rPr>
      </w:pPr>
      <w:r w:rsidRPr="00E84A82">
        <w:rPr>
          <w:sz w:val="24"/>
        </w:rPr>
        <w:t>Projections and estimates for family planning uptake, educational attainment and population shifts are modelled by different organizations using a variety of data sources, many of which do not follow the same region/country grouping. For instance, projections for family planning use are computed by UN DESA for geographical and SDG regions, while Drawdown’s modelling is based predominantly on IPCC regions. Given the different ways in which countries are grouped based on different regional classifications, comparing and harmonizing data in the analyses is sometimes a challenge.</w:t>
      </w:r>
    </w:p>
    <w:p w14:paraId="4A5F1E0E" w14:textId="77777777" w:rsidR="006248E6" w:rsidRPr="00BF048C" w:rsidRDefault="006248E6" w:rsidP="00DF14B6">
      <w:pPr>
        <w:pStyle w:val="ListParagraph"/>
        <w:spacing w:line="276" w:lineRule="auto"/>
        <w:jc w:val="both"/>
        <w:rPr>
          <w:sz w:val="24"/>
        </w:rPr>
      </w:pPr>
    </w:p>
    <w:p w14:paraId="1FDFB8F8" w14:textId="77777777" w:rsidR="00E84A82" w:rsidRDefault="00E84A82" w:rsidP="00E84A82">
      <w:pPr>
        <w:pStyle w:val="Heading3"/>
      </w:pPr>
      <w:bookmarkStart w:id="74" w:name="_Toc74154066"/>
      <w:r>
        <w:t>Incomplete data</w:t>
      </w:r>
      <w:bookmarkEnd w:id="74"/>
    </w:p>
    <w:p w14:paraId="4BDFE7D0" w14:textId="4EF25FD1" w:rsidR="00DF14B6" w:rsidRDefault="006248E6" w:rsidP="00E84A82">
      <w:pPr>
        <w:spacing w:line="276" w:lineRule="auto"/>
        <w:jc w:val="both"/>
      </w:pPr>
      <w:r w:rsidRPr="00E84A82">
        <w:rPr>
          <w:sz w:val="24"/>
        </w:rPr>
        <w:t xml:space="preserve">Data on NRR are not available for several small island/developing states. Given the small populations in these countries, the UN medium population variant estimates were used in computing both the REF 1 and REF 2 scenarios, based on the assumption that the populations in these countries will not change significantly over time. </w:t>
      </w:r>
    </w:p>
    <w:p w14:paraId="67CCE2D6" w14:textId="77777777" w:rsidR="00DF14B6" w:rsidRDefault="00DF14B6" w:rsidP="00DF14B6">
      <w:pPr>
        <w:spacing w:line="276" w:lineRule="auto"/>
        <w:contextualSpacing/>
      </w:pPr>
    </w:p>
    <w:p w14:paraId="343116FD" w14:textId="77777777" w:rsidR="00DF14B6" w:rsidRPr="00C00F22" w:rsidRDefault="00DF14B6" w:rsidP="00C00F22">
      <w:pPr>
        <w:spacing w:after="0" w:line="240" w:lineRule="auto"/>
        <w:rPr>
          <w:rFonts w:asciiTheme="majorHAnsi" w:hAnsiTheme="majorHAnsi" w:cs="Times New Roman"/>
          <w:lang w:eastAsia="en-US"/>
        </w:rPr>
        <w:sectPr w:rsidR="00DF14B6" w:rsidRPr="00C00F22" w:rsidSect="0007747E">
          <w:pgSz w:w="12240" w:h="15840"/>
          <w:pgMar w:top="1440" w:right="1440" w:bottom="1440" w:left="1440" w:header="720" w:footer="720" w:gutter="0"/>
          <w:cols w:space="720"/>
          <w:docGrid w:linePitch="299"/>
        </w:sectPr>
      </w:pPr>
    </w:p>
    <w:p w14:paraId="7D58A4D1" w14:textId="777E55C6" w:rsidR="00F52595" w:rsidRPr="00BA3289" w:rsidRDefault="00F52595" w:rsidP="00F52595">
      <w:pPr>
        <w:pStyle w:val="Heading1"/>
        <w:pBdr>
          <w:bottom w:val="single" w:sz="4" w:space="3" w:color="595959" w:themeColor="text1" w:themeTint="A6"/>
        </w:pBdr>
        <w:spacing w:before="0" w:after="0" w:line="240" w:lineRule="auto"/>
        <w:ind w:left="0"/>
      </w:pPr>
      <w:bookmarkStart w:id="75" w:name="_Toc74154067"/>
      <w:r w:rsidRPr="00BA3289">
        <w:t>Results</w:t>
      </w:r>
      <w:bookmarkEnd w:id="75"/>
    </w:p>
    <w:p w14:paraId="52CBD29D" w14:textId="77777777" w:rsidR="00E14F94" w:rsidRPr="00BA3289" w:rsidRDefault="00E14F94" w:rsidP="008806DE">
      <w:pPr>
        <w:spacing w:after="0"/>
        <w:rPr>
          <w:rFonts w:asciiTheme="majorHAnsi" w:hAnsiTheme="majorHAnsi"/>
          <w:bCs/>
        </w:rPr>
      </w:pPr>
    </w:p>
    <w:p w14:paraId="5259DE1F" w14:textId="323E88F9" w:rsidR="006D1DDE" w:rsidRDefault="006D1DDE" w:rsidP="00DD34E9">
      <w:pPr>
        <w:pStyle w:val="Heading2"/>
      </w:pPr>
      <w:bookmarkStart w:id="76" w:name="_Toc74154068"/>
      <w:r>
        <w:t>Changes in Population Estimates over time</w:t>
      </w:r>
      <w:bookmarkEnd w:id="76"/>
    </w:p>
    <w:p w14:paraId="0B04A095" w14:textId="6AFEB406" w:rsidR="006D1DDE" w:rsidRPr="00AC3D79" w:rsidRDefault="006D1DDE" w:rsidP="00F8496F">
      <w:pPr>
        <w:jc w:val="both"/>
        <w:rPr>
          <w:sz w:val="24"/>
        </w:rPr>
      </w:pPr>
      <w:r w:rsidRPr="00AC3D79">
        <w:rPr>
          <w:sz w:val="24"/>
        </w:rPr>
        <w:t>Based on estimates from the UN 2019 Revision of World Population Prospects, the REF 1 and REF 2 scenarios and projections across time for population growth are shown in Table 6 below</w:t>
      </w:r>
      <w:r w:rsidR="00BC2EBD" w:rsidRPr="00AC3D79">
        <w:rPr>
          <w:sz w:val="24"/>
        </w:rPr>
        <w:t>. For comparison purposes, population estimates derived from the previous UN 201</w:t>
      </w:r>
      <w:r w:rsidR="008C4798">
        <w:rPr>
          <w:sz w:val="24"/>
        </w:rPr>
        <w:t>5</w:t>
      </w:r>
      <w:r w:rsidR="00BC2EBD" w:rsidRPr="00AC3D79">
        <w:rPr>
          <w:sz w:val="24"/>
        </w:rPr>
        <w:t xml:space="preserve"> population projections are shown in Table 7. </w:t>
      </w:r>
    </w:p>
    <w:p w14:paraId="4BD32EF1" w14:textId="413D4290" w:rsidR="006D1DDE" w:rsidRPr="006D1DDE" w:rsidRDefault="006D1DDE" w:rsidP="006D1DDE">
      <w:pPr>
        <w:pStyle w:val="Caption"/>
        <w:keepNext/>
        <w:rPr>
          <w:i w:val="0"/>
          <w:sz w:val="22"/>
        </w:rPr>
      </w:pPr>
      <w:bookmarkStart w:id="77" w:name="_Toc74154082"/>
      <w:r w:rsidRPr="006D1DDE">
        <w:rPr>
          <w:i w:val="0"/>
          <w:sz w:val="22"/>
        </w:rPr>
        <w:t xml:space="preserve">Table </w:t>
      </w:r>
      <w:r w:rsidRPr="006D1DDE">
        <w:rPr>
          <w:i w:val="0"/>
          <w:sz w:val="22"/>
        </w:rPr>
        <w:fldChar w:fldCharType="begin"/>
      </w:r>
      <w:r w:rsidRPr="006D1DDE">
        <w:rPr>
          <w:i w:val="0"/>
          <w:sz w:val="22"/>
        </w:rPr>
        <w:instrText xml:space="preserve"> SEQ Table \* ARABIC </w:instrText>
      </w:r>
      <w:r w:rsidRPr="006D1DDE">
        <w:rPr>
          <w:i w:val="0"/>
          <w:sz w:val="22"/>
        </w:rPr>
        <w:fldChar w:fldCharType="separate"/>
      </w:r>
      <w:r w:rsidR="007F3156">
        <w:rPr>
          <w:i w:val="0"/>
          <w:noProof/>
          <w:sz w:val="22"/>
        </w:rPr>
        <w:t>9</w:t>
      </w:r>
      <w:r w:rsidRPr="006D1DDE">
        <w:rPr>
          <w:i w:val="0"/>
          <w:sz w:val="22"/>
        </w:rPr>
        <w:fldChar w:fldCharType="end"/>
      </w:r>
      <w:r w:rsidRPr="006D1DDE">
        <w:rPr>
          <w:i w:val="0"/>
          <w:sz w:val="22"/>
        </w:rPr>
        <w:t>: Changes in population estimates (in billions) across different scenarios, based on 2019 UN Population Projections</w:t>
      </w:r>
      <w:bookmarkEnd w:id="77"/>
    </w:p>
    <w:tbl>
      <w:tblPr>
        <w:tblStyle w:val="GridTable1Light"/>
        <w:tblW w:w="4927" w:type="pct"/>
        <w:tblInd w:w="-5" w:type="dxa"/>
        <w:tblLook w:val="0420" w:firstRow="1" w:lastRow="0" w:firstColumn="0" w:lastColumn="0" w:noHBand="0" w:noVBand="1"/>
      </w:tblPr>
      <w:tblGrid>
        <w:gridCol w:w="2740"/>
        <w:gridCol w:w="1292"/>
        <w:gridCol w:w="1616"/>
        <w:gridCol w:w="1721"/>
        <w:gridCol w:w="1844"/>
      </w:tblGrid>
      <w:tr w:rsidR="006D1DDE" w:rsidRPr="000A3872" w14:paraId="3D21A63C" w14:textId="77777777" w:rsidTr="006D1DDE">
        <w:trPr>
          <w:cnfStyle w:val="100000000000" w:firstRow="1" w:lastRow="0" w:firstColumn="0" w:lastColumn="0" w:oddVBand="0" w:evenVBand="0" w:oddHBand="0" w:evenHBand="0" w:firstRowFirstColumn="0" w:firstRowLastColumn="0" w:lastRowFirstColumn="0" w:lastRowLastColumn="0"/>
          <w:trHeight w:val="138"/>
        </w:trPr>
        <w:tc>
          <w:tcPr>
            <w:tcW w:w="5000" w:type="pct"/>
            <w:gridSpan w:val="5"/>
            <w:tcBorders>
              <w:top w:val="single" w:sz="4" w:space="0" w:color="auto"/>
            </w:tcBorders>
          </w:tcPr>
          <w:p w14:paraId="4C1783A1" w14:textId="26B5F120" w:rsidR="006D1DDE" w:rsidRPr="00A55C18" w:rsidRDefault="006D1DDE" w:rsidP="00DD34E9">
            <w:r>
              <w:rPr>
                <w:b w:val="0"/>
              </w:rPr>
              <w:t xml:space="preserve">2019 </w:t>
            </w:r>
            <w:r w:rsidRPr="006D1DDE">
              <w:rPr>
                <w:b w:val="0"/>
              </w:rPr>
              <w:t>Population estimates (billions)</w:t>
            </w:r>
          </w:p>
        </w:tc>
      </w:tr>
      <w:tr w:rsidR="006D1DDE" w:rsidRPr="000A3872" w14:paraId="7E6FE49D" w14:textId="77777777" w:rsidTr="006D1DDE">
        <w:trPr>
          <w:trHeight w:val="138"/>
        </w:trPr>
        <w:tc>
          <w:tcPr>
            <w:tcW w:w="1487" w:type="pct"/>
          </w:tcPr>
          <w:p w14:paraId="4EF3111B" w14:textId="44AF410E" w:rsidR="006D1DDE" w:rsidRPr="006D1DDE" w:rsidRDefault="006D1DDE" w:rsidP="00DD34E9">
            <w:pPr>
              <w:rPr>
                <w:b/>
                <w:szCs w:val="20"/>
              </w:rPr>
            </w:pPr>
            <w:r w:rsidRPr="006D1DDE">
              <w:rPr>
                <w:b/>
                <w:szCs w:val="20"/>
              </w:rPr>
              <w:t>Scenario</w:t>
            </w:r>
          </w:p>
        </w:tc>
        <w:tc>
          <w:tcPr>
            <w:tcW w:w="701" w:type="pct"/>
          </w:tcPr>
          <w:p w14:paraId="5DE41352" w14:textId="7A8D49BA" w:rsidR="006D1DDE" w:rsidRPr="006D1DDE" w:rsidRDefault="006D1DDE" w:rsidP="00BC2EBD">
            <w:pPr>
              <w:jc w:val="center"/>
              <w:rPr>
                <w:b/>
                <w:szCs w:val="20"/>
              </w:rPr>
            </w:pPr>
            <w:r w:rsidRPr="006D1DDE">
              <w:rPr>
                <w:b/>
                <w:szCs w:val="20"/>
              </w:rPr>
              <w:t>2015</w:t>
            </w:r>
          </w:p>
        </w:tc>
        <w:tc>
          <w:tcPr>
            <w:tcW w:w="877" w:type="pct"/>
          </w:tcPr>
          <w:p w14:paraId="11C61AD1" w14:textId="32A685D0" w:rsidR="006D1DDE" w:rsidRPr="006D1DDE" w:rsidRDefault="006D1DDE" w:rsidP="00BC2EBD">
            <w:pPr>
              <w:jc w:val="center"/>
              <w:rPr>
                <w:b/>
                <w:szCs w:val="20"/>
              </w:rPr>
            </w:pPr>
            <w:r w:rsidRPr="006D1DDE">
              <w:rPr>
                <w:b/>
                <w:szCs w:val="20"/>
              </w:rPr>
              <w:t>2020</w:t>
            </w:r>
          </w:p>
        </w:tc>
        <w:tc>
          <w:tcPr>
            <w:tcW w:w="934" w:type="pct"/>
          </w:tcPr>
          <w:p w14:paraId="77FF7839" w14:textId="4AADA93C" w:rsidR="006D1DDE" w:rsidRPr="006D1DDE" w:rsidRDefault="006D1DDE" w:rsidP="00BC2EBD">
            <w:pPr>
              <w:jc w:val="center"/>
              <w:rPr>
                <w:b/>
                <w:szCs w:val="20"/>
              </w:rPr>
            </w:pPr>
            <w:r w:rsidRPr="006D1DDE">
              <w:rPr>
                <w:b/>
                <w:szCs w:val="20"/>
              </w:rPr>
              <w:t>2050</w:t>
            </w:r>
          </w:p>
        </w:tc>
        <w:tc>
          <w:tcPr>
            <w:tcW w:w="1001" w:type="pct"/>
          </w:tcPr>
          <w:p w14:paraId="1EB41AAB" w14:textId="26CE8B38" w:rsidR="006D1DDE" w:rsidRPr="006D1DDE" w:rsidRDefault="006D1DDE" w:rsidP="00BC2EBD">
            <w:pPr>
              <w:jc w:val="center"/>
              <w:rPr>
                <w:b/>
                <w:szCs w:val="20"/>
              </w:rPr>
            </w:pPr>
            <w:r w:rsidRPr="006D1DDE">
              <w:rPr>
                <w:b/>
                <w:szCs w:val="20"/>
              </w:rPr>
              <w:t>2060</w:t>
            </w:r>
          </w:p>
        </w:tc>
      </w:tr>
      <w:tr w:rsidR="006D1DDE" w:rsidRPr="000A3872" w14:paraId="75584400" w14:textId="77777777" w:rsidTr="006D1DDE">
        <w:trPr>
          <w:trHeight w:val="82"/>
        </w:trPr>
        <w:tc>
          <w:tcPr>
            <w:tcW w:w="1487" w:type="pct"/>
            <w:vAlign w:val="center"/>
          </w:tcPr>
          <w:p w14:paraId="25A25AB7" w14:textId="27499352" w:rsidR="006D1DDE" w:rsidRPr="006D1DDE" w:rsidRDefault="006D1DDE" w:rsidP="00DD34E9">
            <w:pPr>
              <w:rPr>
                <w:rFonts w:eastAsia="Times New Roman" w:cs="Arial"/>
                <w:b/>
                <w:szCs w:val="20"/>
              </w:rPr>
            </w:pPr>
            <w:r w:rsidRPr="006D1DDE">
              <w:rPr>
                <w:rFonts w:eastAsia="Times New Roman" w:cs="Arial"/>
                <w:b/>
                <w:szCs w:val="20"/>
              </w:rPr>
              <w:t>REF 1</w:t>
            </w:r>
          </w:p>
        </w:tc>
        <w:tc>
          <w:tcPr>
            <w:tcW w:w="701" w:type="pct"/>
          </w:tcPr>
          <w:p w14:paraId="607EE5BC" w14:textId="77B1C4C7" w:rsidR="006D1DDE" w:rsidRPr="00652412" w:rsidRDefault="006D1DDE" w:rsidP="00BC2EBD">
            <w:pPr>
              <w:jc w:val="center"/>
              <w:rPr>
                <w:rFonts w:eastAsia="Times New Roman" w:cs="Arial"/>
                <w:szCs w:val="20"/>
              </w:rPr>
            </w:pPr>
            <w:r>
              <w:rPr>
                <w:rFonts w:eastAsia="Times New Roman" w:cs="Arial"/>
                <w:szCs w:val="20"/>
              </w:rPr>
              <w:t>7.37</w:t>
            </w:r>
          </w:p>
        </w:tc>
        <w:tc>
          <w:tcPr>
            <w:tcW w:w="877" w:type="pct"/>
            <w:shd w:val="clear" w:color="auto" w:fill="auto"/>
          </w:tcPr>
          <w:p w14:paraId="7F405388" w14:textId="0C436A46" w:rsidR="006D1DDE" w:rsidRPr="006D1DDE" w:rsidRDefault="006D1DDE" w:rsidP="00BC2EBD">
            <w:pPr>
              <w:jc w:val="center"/>
              <w:rPr>
                <w:rFonts w:eastAsia="Times New Roman" w:cs="Arial"/>
                <w:szCs w:val="20"/>
              </w:rPr>
            </w:pPr>
            <w:r>
              <w:rPr>
                <w:rFonts w:eastAsia="Times New Roman" w:cs="Arial"/>
                <w:szCs w:val="20"/>
              </w:rPr>
              <w:t>7.79</w:t>
            </w:r>
          </w:p>
        </w:tc>
        <w:tc>
          <w:tcPr>
            <w:tcW w:w="934" w:type="pct"/>
            <w:shd w:val="clear" w:color="auto" w:fill="auto"/>
          </w:tcPr>
          <w:p w14:paraId="61D17A5F" w14:textId="7F9D6127" w:rsidR="006D1DDE" w:rsidRPr="006D1DDE" w:rsidRDefault="006D1DDE" w:rsidP="00BC2EBD">
            <w:pPr>
              <w:jc w:val="center"/>
              <w:rPr>
                <w:rFonts w:eastAsia="Times New Roman" w:cs="Arial"/>
                <w:szCs w:val="20"/>
              </w:rPr>
            </w:pPr>
            <w:r>
              <w:rPr>
                <w:rFonts w:eastAsia="Times New Roman" w:cs="Arial"/>
                <w:szCs w:val="20"/>
              </w:rPr>
              <w:t>10.29</w:t>
            </w:r>
          </w:p>
        </w:tc>
        <w:tc>
          <w:tcPr>
            <w:tcW w:w="1001" w:type="pct"/>
            <w:shd w:val="clear" w:color="auto" w:fill="auto"/>
          </w:tcPr>
          <w:p w14:paraId="3C5072FE" w14:textId="7FCF0F38" w:rsidR="006D1DDE" w:rsidRPr="006D1DDE" w:rsidRDefault="006D1DDE" w:rsidP="00BC2EBD">
            <w:pPr>
              <w:jc w:val="center"/>
              <w:rPr>
                <w:rFonts w:eastAsia="Times New Roman" w:cs="Arial"/>
                <w:szCs w:val="20"/>
              </w:rPr>
            </w:pPr>
            <w:r>
              <w:rPr>
                <w:rFonts w:eastAsia="Times New Roman" w:cs="Arial"/>
                <w:szCs w:val="20"/>
              </w:rPr>
              <w:t>11.07</w:t>
            </w:r>
          </w:p>
        </w:tc>
      </w:tr>
      <w:tr w:rsidR="006D1DDE" w:rsidRPr="000A3872" w14:paraId="5D0F453D" w14:textId="77777777" w:rsidTr="006D1DDE">
        <w:trPr>
          <w:trHeight w:val="39"/>
        </w:trPr>
        <w:tc>
          <w:tcPr>
            <w:tcW w:w="1487" w:type="pct"/>
            <w:vAlign w:val="center"/>
          </w:tcPr>
          <w:p w14:paraId="5635AA03" w14:textId="7997AA55" w:rsidR="006D1DDE" w:rsidRPr="006D1DDE" w:rsidRDefault="006D1DDE" w:rsidP="00DD34E9">
            <w:pPr>
              <w:rPr>
                <w:rFonts w:eastAsia="Times New Roman" w:cs="Arial"/>
                <w:b/>
                <w:szCs w:val="20"/>
              </w:rPr>
            </w:pPr>
            <w:r w:rsidRPr="006D1DDE">
              <w:rPr>
                <w:rFonts w:eastAsia="Times New Roman" w:cs="Arial"/>
                <w:b/>
                <w:szCs w:val="20"/>
              </w:rPr>
              <w:t>REF 2</w:t>
            </w:r>
          </w:p>
        </w:tc>
        <w:tc>
          <w:tcPr>
            <w:tcW w:w="701" w:type="pct"/>
          </w:tcPr>
          <w:p w14:paraId="63C81239" w14:textId="1251596B" w:rsidR="006D1DDE" w:rsidRPr="00652412" w:rsidRDefault="006D1DDE" w:rsidP="00BC2EBD">
            <w:pPr>
              <w:jc w:val="center"/>
              <w:rPr>
                <w:rFonts w:eastAsia="Times New Roman" w:cs="Arial"/>
                <w:szCs w:val="20"/>
              </w:rPr>
            </w:pPr>
            <w:r>
              <w:rPr>
                <w:rFonts w:eastAsia="Times New Roman" w:cs="Arial"/>
                <w:szCs w:val="20"/>
              </w:rPr>
              <w:t>7.37</w:t>
            </w:r>
          </w:p>
        </w:tc>
        <w:tc>
          <w:tcPr>
            <w:tcW w:w="877" w:type="pct"/>
            <w:shd w:val="clear" w:color="auto" w:fill="auto"/>
          </w:tcPr>
          <w:p w14:paraId="0D700C72" w14:textId="0F65F9DE" w:rsidR="006D1DDE" w:rsidRPr="006D1DDE" w:rsidRDefault="006D1DDE" w:rsidP="00BC2EBD">
            <w:pPr>
              <w:jc w:val="center"/>
              <w:rPr>
                <w:rFonts w:eastAsia="Times New Roman" w:cs="Arial"/>
                <w:szCs w:val="20"/>
              </w:rPr>
            </w:pPr>
            <w:r>
              <w:rPr>
                <w:rFonts w:eastAsia="Times New Roman" w:cs="Arial"/>
                <w:szCs w:val="20"/>
              </w:rPr>
              <w:t>7.79</w:t>
            </w:r>
          </w:p>
        </w:tc>
        <w:tc>
          <w:tcPr>
            <w:tcW w:w="934" w:type="pct"/>
            <w:shd w:val="clear" w:color="auto" w:fill="auto"/>
          </w:tcPr>
          <w:p w14:paraId="1E9A2EEF" w14:textId="79FDE814" w:rsidR="006D1DDE" w:rsidRPr="006D1DDE" w:rsidRDefault="006D1DDE" w:rsidP="00BC2EBD">
            <w:pPr>
              <w:jc w:val="center"/>
              <w:rPr>
                <w:rFonts w:eastAsia="Times New Roman" w:cs="Arial"/>
                <w:szCs w:val="20"/>
              </w:rPr>
            </w:pPr>
            <w:r>
              <w:rPr>
                <w:rFonts w:eastAsia="Times New Roman" w:cs="Arial"/>
                <w:szCs w:val="20"/>
              </w:rPr>
              <w:t>9.43</w:t>
            </w:r>
          </w:p>
        </w:tc>
        <w:tc>
          <w:tcPr>
            <w:tcW w:w="1001" w:type="pct"/>
            <w:shd w:val="clear" w:color="auto" w:fill="auto"/>
          </w:tcPr>
          <w:p w14:paraId="1C073F2C" w14:textId="4CE26C69" w:rsidR="006D1DDE" w:rsidRPr="006D1DDE" w:rsidRDefault="006D1DDE" w:rsidP="00BC2EBD">
            <w:pPr>
              <w:jc w:val="center"/>
              <w:rPr>
                <w:rFonts w:eastAsia="Times New Roman" w:cs="Arial"/>
                <w:szCs w:val="20"/>
              </w:rPr>
            </w:pPr>
            <w:r>
              <w:rPr>
                <w:rFonts w:eastAsia="Times New Roman" w:cs="Arial"/>
                <w:szCs w:val="20"/>
              </w:rPr>
              <w:t>9.71</w:t>
            </w:r>
          </w:p>
        </w:tc>
      </w:tr>
      <w:tr w:rsidR="006D1DDE" w:rsidRPr="000A3872" w14:paraId="6C00A0B9" w14:textId="77777777" w:rsidTr="006D1DDE">
        <w:trPr>
          <w:trHeight w:val="138"/>
        </w:trPr>
        <w:tc>
          <w:tcPr>
            <w:tcW w:w="1487" w:type="pct"/>
            <w:vAlign w:val="center"/>
          </w:tcPr>
          <w:p w14:paraId="2DE00F3A" w14:textId="51B4102D" w:rsidR="006D1DDE" w:rsidRPr="006D1DDE" w:rsidRDefault="006D1DDE" w:rsidP="00DD34E9">
            <w:pPr>
              <w:rPr>
                <w:b/>
                <w:i/>
                <w:szCs w:val="20"/>
              </w:rPr>
            </w:pPr>
            <w:r w:rsidRPr="006D1DDE">
              <w:rPr>
                <w:b/>
                <w:i/>
                <w:szCs w:val="20"/>
              </w:rPr>
              <w:t>Difference</w:t>
            </w:r>
          </w:p>
        </w:tc>
        <w:tc>
          <w:tcPr>
            <w:tcW w:w="701" w:type="pct"/>
          </w:tcPr>
          <w:p w14:paraId="07B4E44A" w14:textId="75DC2D5A" w:rsidR="006D1DDE" w:rsidRPr="006D1DDE" w:rsidRDefault="006D1DDE" w:rsidP="00BC2EBD">
            <w:pPr>
              <w:jc w:val="center"/>
              <w:rPr>
                <w:rFonts w:eastAsia="Times New Roman" w:cs="Arial"/>
                <w:szCs w:val="20"/>
              </w:rPr>
            </w:pPr>
            <w:r w:rsidRPr="006D1DDE">
              <w:rPr>
                <w:rFonts w:eastAsia="Times New Roman" w:cs="Arial"/>
                <w:szCs w:val="20"/>
              </w:rPr>
              <w:t>0</w:t>
            </w:r>
          </w:p>
        </w:tc>
        <w:tc>
          <w:tcPr>
            <w:tcW w:w="877" w:type="pct"/>
          </w:tcPr>
          <w:p w14:paraId="41A6918C" w14:textId="09434342" w:rsidR="006D1DDE" w:rsidRPr="006D1DDE" w:rsidRDefault="006D1DDE" w:rsidP="00BC2EBD">
            <w:pPr>
              <w:jc w:val="center"/>
              <w:rPr>
                <w:rFonts w:eastAsia="Times New Roman" w:cs="Arial"/>
                <w:szCs w:val="20"/>
              </w:rPr>
            </w:pPr>
            <w:r w:rsidRPr="006D1DDE">
              <w:rPr>
                <w:rFonts w:eastAsia="Times New Roman" w:cs="Arial"/>
                <w:szCs w:val="20"/>
              </w:rPr>
              <w:t>0</w:t>
            </w:r>
          </w:p>
        </w:tc>
        <w:tc>
          <w:tcPr>
            <w:tcW w:w="934" w:type="pct"/>
          </w:tcPr>
          <w:p w14:paraId="2E2A7736" w14:textId="7C6CA4CD" w:rsidR="006D1DDE" w:rsidRPr="006D1DDE" w:rsidRDefault="006D1DDE" w:rsidP="00BC2EBD">
            <w:pPr>
              <w:jc w:val="center"/>
              <w:rPr>
                <w:rFonts w:eastAsia="Times New Roman" w:cs="Arial"/>
                <w:szCs w:val="20"/>
              </w:rPr>
            </w:pPr>
            <w:r w:rsidRPr="006D1DDE">
              <w:rPr>
                <w:rFonts w:eastAsia="Times New Roman" w:cs="Arial"/>
                <w:szCs w:val="20"/>
              </w:rPr>
              <w:t>0.86 (8.36% ↓)</w:t>
            </w:r>
          </w:p>
        </w:tc>
        <w:tc>
          <w:tcPr>
            <w:tcW w:w="1001" w:type="pct"/>
          </w:tcPr>
          <w:p w14:paraId="2E2C13CE" w14:textId="11067CAF" w:rsidR="006D1DDE" w:rsidRPr="00285E0E" w:rsidRDefault="006D1DDE" w:rsidP="00BC2EBD">
            <w:pPr>
              <w:jc w:val="center"/>
              <w:rPr>
                <w:i/>
                <w:szCs w:val="20"/>
              </w:rPr>
            </w:pPr>
            <w:r w:rsidRPr="006D1DDE">
              <w:rPr>
                <w:rFonts w:eastAsia="Times New Roman" w:cs="Arial" w:hint="eastAsia"/>
                <w:szCs w:val="20"/>
              </w:rPr>
              <w:t>1.37 (12.38% ↓)</w:t>
            </w:r>
          </w:p>
        </w:tc>
      </w:tr>
    </w:tbl>
    <w:p w14:paraId="65F0F1B5" w14:textId="77777777" w:rsidR="006D1DDE" w:rsidRDefault="006D1DDE" w:rsidP="006D1DDE"/>
    <w:p w14:paraId="3E6966CD" w14:textId="484D2E5C" w:rsidR="00BC2EBD" w:rsidRPr="00BC2EBD" w:rsidRDefault="00BC2EBD" w:rsidP="00BC2EBD">
      <w:pPr>
        <w:pStyle w:val="Caption"/>
        <w:keepNext/>
        <w:rPr>
          <w:i w:val="0"/>
          <w:sz w:val="22"/>
        </w:rPr>
      </w:pPr>
      <w:bookmarkStart w:id="78" w:name="_Toc74154083"/>
      <w:r w:rsidRPr="00BC2EBD">
        <w:rPr>
          <w:i w:val="0"/>
          <w:sz w:val="22"/>
        </w:rPr>
        <w:t xml:space="preserve">Table </w:t>
      </w:r>
      <w:r w:rsidRPr="00BC2EBD">
        <w:rPr>
          <w:i w:val="0"/>
          <w:sz w:val="22"/>
        </w:rPr>
        <w:fldChar w:fldCharType="begin"/>
      </w:r>
      <w:r w:rsidRPr="00BC2EBD">
        <w:rPr>
          <w:i w:val="0"/>
          <w:sz w:val="22"/>
        </w:rPr>
        <w:instrText xml:space="preserve"> SEQ Table \* ARABIC </w:instrText>
      </w:r>
      <w:r w:rsidRPr="00BC2EBD">
        <w:rPr>
          <w:i w:val="0"/>
          <w:sz w:val="22"/>
        </w:rPr>
        <w:fldChar w:fldCharType="separate"/>
      </w:r>
      <w:r w:rsidR="007F3156">
        <w:rPr>
          <w:i w:val="0"/>
          <w:noProof/>
          <w:sz w:val="22"/>
        </w:rPr>
        <w:t>10</w:t>
      </w:r>
      <w:r w:rsidRPr="00BC2EBD">
        <w:rPr>
          <w:i w:val="0"/>
          <w:sz w:val="22"/>
        </w:rPr>
        <w:fldChar w:fldCharType="end"/>
      </w:r>
      <w:r w:rsidRPr="00BC2EBD">
        <w:rPr>
          <w:i w:val="0"/>
          <w:sz w:val="22"/>
        </w:rPr>
        <w:t>: Changes in population estimates (in billions) across different scenarios, based on 201</w:t>
      </w:r>
      <w:r w:rsidR="008C4798">
        <w:rPr>
          <w:i w:val="0"/>
          <w:sz w:val="22"/>
        </w:rPr>
        <w:t>5</w:t>
      </w:r>
      <w:r w:rsidRPr="00BC2EBD">
        <w:rPr>
          <w:i w:val="0"/>
          <w:sz w:val="22"/>
        </w:rPr>
        <w:t xml:space="preserve"> UN Population Projections</w:t>
      </w:r>
      <w:bookmarkEnd w:id="78"/>
    </w:p>
    <w:tbl>
      <w:tblPr>
        <w:tblStyle w:val="GridTable1Light"/>
        <w:tblW w:w="4927" w:type="pct"/>
        <w:tblInd w:w="-5" w:type="dxa"/>
        <w:tblLook w:val="0420" w:firstRow="1" w:lastRow="0" w:firstColumn="0" w:lastColumn="0" w:noHBand="0" w:noVBand="1"/>
      </w:tblPr>
      <w:tblGrid>
        <w:gridCol w:w="2740"/>
        <w:gridCol w:w="1292"/>
        <w:gridCol w:w="1616"/>
        <w:gridCol w:w="1721"/>
        <w:gridCol w:w="1844"/>
      </w:tblGrid>
      <w:tr w:rsidR="00BC2EBD" w:rsidRPr="000A3872" w14:paraId="3E329DB5" w14:textId="77777777" w:rsidTr="00DD34E9">
        <w:trPr>
          <w:cnfStyle w:val="100000000000" w:firstRow="1" w:lastRow="0" w:firstColumn="0" w:lastColumn="0" w:oddVBand="0" w:evenVBand="0" w:oddHBand="0" w:evenHBand="0" w:firstRowFirstColumn="0" w:firstRowLastColumn="0" w:lastRowFirstColumn="0" w:lastRowLastColumn="0"/>
          <w:trHeight w:val="138"/>
        </w:trPr>
        <w:tc>
          <w:tcPr>
            <w:tcW w:w="5000" w:type="pct"/>
            <w:gridSpan w:val="5"/>
            <w:tcBorders>
              <w:top w:val="single" w:sz="4" w:space="0" w:color="auto"/>
            </w:tcBorders>
          </w:tcPr>
          <w:p w14:paraId="26A90BB3" w14:textId="740E575D" w:rsidR="00BC2EBD" w:rsidRPr="00A55C18" w:rsidRDefault="00BC2EBD" w:rsidP="00BC2EBD">
            <w:r>
              <w:rPr>
                <w:b w:val="0"/>
              </w:rPr>
              <w:t>201</w:t>
            </w:r>
            <w:r w:rsidR="008C4798">
              <w:rPr>
                <w:b w:val="0"/>
              </w:rPr>
              <w:t>5</w:t>
            </w:r>
            <w:r>
              <w:rPr>
                <w:b w:val="0"/>
              </w:rPr>
              <w:t xml:space="preserve"> </w:t>
            </w:r>
            <w:r w:rsidRPr="006D1DDE">
              <w:rPr>
                <w:b w:val="0"/>
              </w:rPr>
              <w:t>Population estimates (billions)</w:t>
            </w:r>
          </w:p>
        </w:tc>
      </w:tr>
      <w:tr w:rsidR="00BC2EBD" w:rsidRPr="000A3872" w14:paraId="3E6E53BC" w14:textId="77777777" w:rsidTr="00DD34E9">
        <w:trPr>
          <w:trHeight w:val="138"/>
        </w:trPr>
        <w:tc>
          <w:tcPr>
            <w:tcW w:w="1487" w:type="pct"/>
          </w:tcPr>
          <w:p w14:paraId="36D8EDC4" w14:textId="77777777" w:rsidR="00BC2EBD" w:rsidRPr="006D1DDE" w:rsidRDefault="00BC2EBD" w:rsidP="00DD34E9">
            <w:pPr>
              <w:rPr>
                <w:b/>
                <w:szCs w:val="20"/>
              </w:rPr>
            </w:pPr>
            <w:r w:rsidRPr="006D1DDE">
              <w:rPr>
                <w:b/>
                <w:szCs w:val="20"/>
              </w:rPr>
              <w:t>Scenario</w:t>
            </w:r>
          </w:p>
        </w:tc>
        <w:tc>
          <w:tcPr>
            <w:tcW w:w="701" w:type="pct"/>
          </w:tcPr>
          <w:p w14:paraId="3B2636D8" w14:textId="77777777" w:rsidR="00BC2EBD" w:rsidRPr="006D1DDE" w:rsidRDefault="00BC2EBD" w:rsidP="00BC2EBD">
            <w:pPr>
              <w:jc w:val="center"/>
              <w:rPr>
                <w:b/>
                <w:szCs w:val="20"/>
              </w:rPr>
            </w:pPr>
            <w:r w:rsidRPr="006D1DDE">
              <w:rPr>
                <w:b/>
                <w:szCs w:val="20"/>
              </w:rPr>
              <w:t>2015</w:t>
            </w:r>
          </w:p>
        </w:tc>
        <w:tc>
          <w:tcPr>
            <w:tcW w:w="877" w:type="pct"/>
          </w:tcPr>
          <w:p w14:paraId="4412D09D" w14:textId="77777777" w:rsidR="00BC2EBD" w:rsidRPr="006D1DDE" w:rsidRDefault="00BC2EBD" w:rsidP="00BC2EBD">
            <w:pPr>
              <w:jc w:val="center"/>
              <w:rPr>
                <w:b/>
                <w:szCs w:val="20"/>
              </w:rPr>
            </w:pPr>
            <w:r w:rsidRPr="006D1DDE">
              <w:rPr>
                <w:b/>
                <w:szCs w:val="20"/>
              </w:rPr>
              <w:t>2020</w:t>
            </w:r>
          </w:p>
        </w:tc>
        <w:tc>
          <w:tcPr>
            <w:tcW w:w="934" w:type="pct"/>
          </w:tcPr>
          <w:p w14:paraId="20D9F034" w14:textId="77777777" w:rsidR="00BC2EBD" w:rsidRPr="006D1DDE" w:rsidRDefault="00BC2EBD" w:rsidP="00BC2EBD">
            <w:pPr>
              <w:jc w:val="center"/>
              <w:rPr>
                <w:b/>
                <w:szCs w:val="20"/>
              </w:rPr>
            </w:pPr>
            <w:r w:rsidRPr="006D1DDE">
              <w:rPr>
                <w:b/>
                <w:szCs w:val="20"/>
              </w:rPr>
              <w:t>2050</w:t>
            </w:r>
          </w:p>
        </w:tc>
        <w:tc>
          <w:tcPr>
            <w:tcW w:w="1001" w:type="pct"/>
          </w:tcPr>
          <w:p w14:paraId="63E0B435" w14:textId="77777777" w:rsidR="00BC2EBD" w:rsidRPr="006D1DDE" w:rsidRDefault="00BC2EBD" w:rsidP="00BC2EBD">
            <w:pPr>
              <w:jc w:val="center"/>
              <w:rPr>
                <w:b/>
                <w:szCs w:val="20"/>
              </w:rPr>
            </w:pPr>
            <w:r w:rsidRPr="006D1DDE">
              <w:rPr>
                <w:b/>
                <w:szCs w:val="20"/>
              </w:rPr>
              <w:t>2060</w:t>
            </w:r>
          </w:p>
        </w:tc>
      </w:tr>
      <w:tr w:rsidR="00BC2EBD" w:rsidRPr="000A3872" w14:paraId="6B3A9702" w14:textId="77777777" w:rsidTr="00DD34E9">
        <w:trPr>
          <w:trHeight w:val="82"/>
        </w:trPr>
        <w:tc>
          <w:tcPr>
            <w:tcW w:w="1487" w:type="pct"/>
            <w:vAlign w:val="center"/>
          </w:tcPr>
          <w:p w14:paraId="298F1E27" w14:textId="77777777" w:rsidR="00BC2EBD" w:rsidRPr="006D1DDE" w:rsidRDefault="00BC2EBD" w:rsidP="00DD34E9">
            <w:pPr>
              <w:rPr>
                <w:rFonts w:eastAsia="Times New Roman" w:cs="Arial"/>
                <w:b/>
                <w:szCs w:val="20"/>
              </w:rPr>
            </w:pPr>
            <w:r w:rsidRPr="006D1DDE">
              <w:rPr>
                <w:rFonts w:eastAsia="Times New Roman" w:cs="Arial"/>
                <w:b/>
                <w:szCs w:val="20"/>
              </w:rPr>
              <w:t>REF 1</w:t>
            </w:r>
          </w:p>
        </w:tc>
        <w:tc>
          <w:tcPr>
            <w:tcW w:w="701" w:type="pct"/>
          </w:tcPr>
          <w:p w14:paraId="72848340" w14:textId="7201583A" w:rsidR="00BC2EBD" w:rsidRPr="00652412" w:rsidRDefault="00BC2EBD" w:rsidP="00BC2EBD">
            <w:pPr>
              <w:jc w:val="center"/>
              <w:rPr>
                <w:rFonts w:eastAsia="Times New Roman" w:cs="Arial"/>
                <w:szCs w:val="20"/>
              </w:rPr>
            </w:pPr>
            <w:r>
              <w:rPr>
                <w:rFonts w:eastAsia="Times New Roman" w:cs="Arial"/>
                <w:szCs w:val="20"/>
              </w:rPr>
              <w:t>7.35</w:t>
            </w:r>
          </w:p>
        </w:tc>
        <w:tc>
          <w:tcPr>
            <w:tcW w:w="877" w:type="pct"/>
            <w:shd w:val="clear" w:color="auto" w:fill="auto"/>
          </w:tcPr>
          <w:p w14:paraId="60AC1A38" w14:textId="77777777" w:rsidR="00BC2EBD" w:rsidRPr="006D1DDE" w:rsidRDefault="00BC2EBD" w:rsidP="00BC2EBD">
            <w:pPr>
              <w:jc w:val="center"/>
              <w:rPr>
                <w:rFonts w:eastAsia="Times New Roman" w:cs="Arial"/>
                <w:szCs w:val="20"/>
              </w:rPr>
            </w:pPr>
            <w:r>
              <w:rPr>
                <w:rFonts w:eastAsia="Times New Roman" w:cs="Arial"/>
                <w:szCs w:val="20"/>
              </w:rPr>
              <w:t>7.79</w:t>
            </w:r>
          </w:p>
        </w:tc>
        <w:tc>
          <w:tcPr>
            <w:tcW w:w="934" w:type="pct"/>
            <w:shd w:val="clear" w:color="auto" w:fill="auto"/>
          </w:tcPr>
          <w:p w14:paraId="4576CCCE" w14:textId="76A18614" w:rsidR="00BC2EBD" w:rsidRPr="006D1DDE" w:rsidRDefault="00BC2EBD" w:rsidP="00BC2EBD">
            <w:pPr>
              <w:jc w:val="center"/>
              <w:rPr>
                <w:rFonts w:eastAsia="Times New Roman" w:cs="Arial"/>
                <w:szCs w:val="20"/>
              </w:rPr>
            </w:pPr>
            <w:r>
              <w:rPr>
                <w:rFonts w:eastAsia="Times New Roman" w:cs="Arial"/>
                <w:szCs w:val="20"/>
              </w:rPr>
              <w:t>10.39</w:t>
            </w:r>
          </w:p>
        </w:tc>
        <w:tc>
          <w:tcPr>
            <w:tcW w:w="1001" w:type="pct"/>
            <w:shd w:val="clear" w:color="auto" w:fill="auto"/>
          </w:tcPr>
          <w:p w14:paraId="799BDB57" w14:textId="11F3646B" w:rsidR="00BC2EBD" w:rsidRPr="006D1DDE" w:rsidRDefault="00BC2EBD" w:rsidP="00BC2EBD">
            <w:pPr>
              <w:jc w:val="center"/>
              <w:rPr>
                <w:rFonts w:eastAsia="Times New Roman" w:cs="Arial"/>
                <w:szCs w:val="20"/>
              </w:rPr>
            </w:pPr>
            <w:r>
              <w:rPr>
                <w:rFonts w:eastAsia="Times New Roman" w:cs="Arial"/>
                <w:szCs w:val="20"/>
              </w:rPr>
              <w:t>11.23</w:t>
            </w:r>
          </w:p>
        </w:tc>
      </w:tr>
      <w:tr w:rsidR="00BC2EBD" w:rsidRPr="000A3872" w14:paraId="5F11C70F" w14:textId="77777777" w:rsidTr="00DD34E9">
        <w:trPr>
          <w:trHeight w:val="39"/>
        </w:trPr>
        <w:tc>
          <w:tcPr>
            <w:tcW w:w="1487" w:type="pct"/>
            <w:vAlign w:val="center"/>
          </w:tcPr>
          <w:p w14:paraId="41C0120D" w14:textId="77777777" w:rsidR="00BC2EBD" w:rsidRPr="006D1DDE" w:rsidRDefault="00BC2EBD" w:rsidP="00DD34E9">
            <w:pPr>
              <w:rPr>
                <w:rFonts w:eastAsia="Times New Roman" w:cs="Arial"/>
                <w:b/>
                <w:szCs w:val="20"/>
              </w:rPr>
            </w:pPr>
            <w:r w:rsidRPr="006D1DDE">
              <w:rPr>
                <w:rFonts w:eastAsia="Times New Roman" w:cs="Arial"/>
                <w:b/>
                <w:szCs w:val="20"/>
              </w:rPr>
              <w:t>REF 2</w:t>
            </w:r>
          </w:p>
        </w:tc>
        <w:tc>
          <w:tcPr>
            <w:tcW w:w="701" w:type="pct"/>
          </w:tcPr>
          <w:p w14:paraId="00814CFA" w14:textId="079EB775" w:rsidR="00BC2EBD" w:rsidRPr="00652412" w:rsidRDefault="00BC2EBD" w:rsidP="00BC2EBD">
            <w:pPr>
              <w:jc w:val="center"/>
              <w:rPr>
                <w:rFonts w:eastAsia="Times New Roman" w:cs="Arial"/>
                <w:szCs w:val="20"/>
              </w:rPr>
            </w:pPr>
            <w:r>
              <w:rPr>
                <w:rFonts w:eastAsia="Times New Roman" w:cs="Arial"/>
                <w:szCs w:val="20"/>
              </w:rPr>
              <w:t>7.35</w:t>
            </w:r>
          </w:p>
        </w:tc>
        <w:tc>
          <w:tcPr>
            <w:tcW w:w="877" w:type="pct"/>
            <w:shd w:val="clear" w:color="auto" w:fill="auto"/>
          </w:tcPr>
          <w:p w14:paraId="7B72B489" w14:textId="05502B3E" w:rsidR="00BC2EBD" w:rsidRPr="006D1DDE" w:rsidRDefault="00BC2EBD" w:rsidP="00BC2EBD">
            <w:pPr>
              <w:jc w:val="center"/>
              <w:rPr>
                <w:rFonts w:eastAsia="Times New Roman" w:cs="Arial"/>
                <w:szCs w:val="20"/>
              </w:rPr>
            </w:pPr>
            <w:r>
              <w:rPr>
                <w:rFonts w:eastAsia="Times New Roman" w:cs="Arial"/>
                <w:szCs w:val="20"/>
              </w:rPr>
              <w:t>7.73</w:t>
            </w:r>
          </w:p>
        </w:tc>
        <w:tc>
          <w:tcPr>
            <w:tcW w:w="934" w:type="pct"/>
            <w:shd w:val="clear" w:color="auto" w:fill="auto"/>
          </w:tcPr>
          <w:p w14:paraId="7A84E1EE" w14:textId="4E1194BA" w:rsidR="00BC2EBD" w:rsidRPr="006D1DDE" w:rsidRDefault="00BC2EBD" w:rsidP="00BC2EBD">
            <w:pPr>
              <w:jc w:val="center"/>
              <w:rPr>
                <w:rFonts w:eastAsia="Times New Roman" w:cs="Arial"/>
                <w:szCs w:val="20"/>
              </w:rPr>
            </w:pPr>
            <w:r>
              <w:rPr>
                <w:rFonts w:eastAsia="Times New Roman" w:cs="Arial"/>
                <w:szCs w:val="20"/>
              </w:rPr>
              <w:t>9.38</w:t>
            </w:r>
          </w:p>
        </w:tc>
        <w:tc>
          <w:tcPr>
            <w:tcW w:w="1001" w:type="pct"/>
            <w:shd w:val="clear" w:color="auto" w:fill="auto"/>
          </w:tcPr>
          <w:p w14:paraId="56DC5E12" w14:textId="3C3088B2" w:rsidR="00BC2EBD" w:rsidRPr="006D1DDE" w:rsidRDefault="00BC2EBD" w:rsidP="00BC2EBD">
            <w:pPr>
              <w:jc w:val="center"/>
              <w:rPr>
                <w:rFonts w:eastAsia="Times New Roman" w:cs="Arial"/>
                <w:szCs w:val="20"/>
              </w:rPr>
            </w:pPr>
            <w:r>
              <w:rPr>
                <w:rFonts w:eastAsia="Times New Roman" w:cs="Arial"/>
                <w:szCs w:val="20"/>
              </w:rPr>
              <w:t>9.70</w:t>
            </w:r>
          </w:p>
        </w:tc>
      </w:tr>
      <w:tr w:rsidR="00BC2EBD" w:rsidRPr="000A3872" w14:paraId="00406E5A" w14:textId="77777777" w:rsidTr="00DD34E9">
        <w:trPr>
          <w:trHeight w:val="138"/>
        </w:trPr>
        <w:tc>
          <w:tcPr>
            <w:tcW w:w="1487" w:type="pct"/>
            <w:vAlign w:val="center"/>
          </w:tcPr>
          <w:p w14:paraId="480E6137" w14:textId="77777777" w:rsidR="00BC2EBD" w:rsidRPr="006D1DDE" w:rsidRDefault="00BC2EBD" w:rsidP="00DD34E9">
            <w:pPr>
              <w:rPr>
                <w:b/>
                <w:i/>
                <w:szCs w:val="20"/>
              </w:rPr>
            </w:pPr>
            <w:r w:rsidRPr="006D1DDE">
              <w:rPr>
                <w:b/>
                <w:i/>
                <w:szCs w:val="20"/>
              </w:rPr>
              <w:t>Difference</w:t>
            </w:r>
          </w:p>
        </w:tc>
        <w:tc>
          <w:tcPr>
            <w:tcW w:w="701" w:type="pct"/>
          </w:tcPr>
          <w:p w14:paraId="6AB461DB" w14:textId="77777777" w:rsidR="00BC2EBD" w:rsidRPr="006D1DDE" w:rsidRDefault="00BC2EBD" w:rsidP="00BC2EBD">
            <w:pPr>
              <w:jc w:val="center"/>
              <w:rPr>
                <w:rFonts w:eastAsia="Times New Roman" w:cs="Arial"/>
                <w:szCs w:val="20"/>
              </w:rPr>
            </w:pPr>
            <w:r w:rsidRPr="006D1DDE">
              <w:rPr>
                <w:rFonts w:eastAsia="Times New Roman" w:cs="Arial"/>
                <w:szCs w:val="20"/>
              </w:rPr>
              <w:t>0</w:t>
            </w:r>
          </w:p>
        </w:tc>
        <w:tc>
          <w:tcPr>
            <w:tcW w:w="877" w:type="pct"/>
          </w:tcPr>
          <w:p w14:paraId="251AF776" w14:textId="153FC084" w:rsidR="00BC2EBD" w:rsidRPr="006D1DDE" w:rsidRDefault="00BC2EBD" w:rsidP="00BC2EBD">
            <w:pPr>
              <w:jc w:val="center"/>
              <w:rPr>
                <w:rFonts w:eastAsia="Times New Roman" w:cs="Arial"/>
                <w:szCs w:val="20"/>
              </w:rPr>
            </w:pPr>
            <w:r w:rsidRPr="006D1DDE">
              <w:rPr>
                <w:rFonts w:eastAsia="Times New Roman" w:cs="Arial"/>
                <w:szCs w:val="20"/>
              </w:rPr>
              <w:t>0</w:t>
            </w:r>
            <w:r w:rsidR="003929F9">
              <w:rPr>
                <w:rFonts w:eastAsia="Times New Roman" w:cs="Arial"/>
                <w:szCs w:val="20"/>
              </w:rPr>
              <w:t>.06</w:t>
            </w:r>
          </w:p>
        </w:tc>
        <w:tc>
          <w:tcPr>
            <w:tcW w:w="934" w:type="pct"/>
          </w:tcPr>
          <w:p w14:paraId="169428BC" w14:textId="56C98C27" w:rsidR="00BC2EBD" w:rsidRPr="00BC2EBD" w:rsidRDefault="00BC2EBD" w:rsidP="00BC2EBD">
            <w:pPr>
              <w:jc w:val="center"/>
              <w:rPr>
                <w:rFonts w:eastAsia="Times New Roman" w:cs="Arial"/>
                <w:szCs w:val="20"/>
                <w:lang w:val="en-NZ"/>
              </w:rPr>
            </w:pPr>
            <w:r w:rsidRPr="00BC2EBD">
              <w:rPr>
                <w:rFonts w:eastAsia="Times New Roman" w:cs="Arial"/>
                <w:szCs w:val="20"/>
                <w:lang w:val="en-NZ"/>
              </w:rPr>
              <w:t xml:space="preserve">1.01 </w:t>
            </w:r>
            <w:r w:rsidRPr="00BC2EBD">
              <w:rPr>
                <w:rFonts w:eastAsia="Times New Roman" w:cs="Arial"/>
                <w:bCs/>
                <w:szCs w:val="20"/>
                <w:lang w:val="en-NZ"/>
              </w:rPr>
              <w:t>(9.72% ↓)</w:t>
            </w:r>
          </w:p>
        </w:tc>
        <w:tc>
          <w:tcPr>
            <w:tcW w:w="1001" w:type="pct"/>
          </w:tcPr>
          <w:p w14:paraId="4CEB76FC" w14:textId="79E8AE2B" w:rsidR="00BC2EBD" w:rsidRPr="00BC2EBD" w:rsidRDefault="00BC2EBD" w:rsidP="00BC2EBD">
            <w:pPr>
              <w:jc w:val="center"/>
              <w:rPr>
                <w:rFonts w:eastAsia="Times New Roman" w:cs="Arial"/>
                <w:szCs w:val="20"/>
                <w:lang w:val="en-NZ"/>
              </w:rPr>
            </w:pPr>
            <w:r w:rsidRPr="00BC2EBD">
              <w:rPr>
                <w:rFonts w:eastAsia="Times New Roman" w:cs="Arial"/>
                <w:szCs w:val="20"/>
                <w:lang w:val="en-NZ"/>
              </w:rPr>
              <w:t>1.54 (13.71% ↓)</w:t>
            </w:r>
          </w:p>
        </w:tc>
      </w:tr>
    </w:tbl>
    <w:p w14:paraId="57CCF139" w14:textId="072CB40C" w:rsidR="006D1DDE" w:rsidRDefault="006D1DDE" w:rsidP="006D1DDE"/>
    <w:tbl>
      <w:tblPr>
        <w:tblStyle w:val="GridTable1Light"/>
        <w:tblW w:w="4927" w:type="pct"/>
        <w:tblInd w:w="-5" w:type="dxa"/>
        <w:tblLook w:val="0420" w:firstRow="1" w:lastRow="0" w:firstColumn="0" w:lastColumn="0" w:noHBand="0" w:noVBand="1"/>
      </w:tblPr>
      <w:tblGrid>
        <w:gridCol w:w="2740"/>
        <w:gridCol w:w="1292"/>
        <w:gridCol w:w="1616"/>
        <w:gridCol w:w="1721"/>
        <w:gridCol w:w="1844"/>
      </w:tblGrid>
      <w:tr w:rsidR="00287FDB" w:rsidRPr="000A3872" w14:paraId="1E1193F5" w14:textId="77777777" w:rsidTr="00BD6727">
        <w:trPr>
          <w:cnfStyle w:val="100000000000" w:firstRow="1" w:lastRow="0" w:firstColumn="0" w:lastColumn="0" w:oddVBand="0" w:evenVBand="0" w:oddHBand="0" w:evenHBand="0" w:firstRowFirstColumn="0" w:firstRowLastColumn="0" w:lastRowFirstColumn="0" w:lastRowLastColumn="0"/>
          <w:trHeight w:val="138"/>
        </w:trPr>
        <w:tc>
          <w:tcPr>
            <w:tcW w:w="5000" w:type="pct"/>
            <w:gridSpan w:val="5"/>
            <w:tcBorders>
              <w:top w:val="single" w:sz="4" w:space="0" w:color="auto"/>
            </w:tcBorders>
          </w:tcPr>
          <w:p w14:paraId="3CCCF64C" w14:textId="7115EAE0" w:rsidR="00287FDB" w:rsidRPr="00A55C18" w:rsidRDefault="00287FDB" w:rsidP="00BD6727">
            <w:r>
              <w:rPr>
                <w:b w:val="0"/>
              </w:rPr>
              <w:t xml:space="preserve">2017 </w:t>
            </w:r>
            <w:r w:rsidRPr="006D1DDE">
              <w:rPr>
                <w:b w:val="0"/>
              </w:rPr>
              <w:t>Population estimates (billions)</w:t>
            </w:r>
          </w:p>
        </w:tc>
      </w:tr>
      <w:tr w:rsidR="00287FDB" w:rsidRPr="000A3872" w14:paraId="3C7C9708" w14:textId="77777777" w:rsidTr="00BD6727">
        <w:trPr>
          <w:trHeight w:val="138"/>
        </w:trPr>
        <w:tc>
          <w:tcPr>
            <w:tcW w:w="1487" w:type="pct"/>
          </w:tcPr>
          <w:p w14:paraId="2365E962" w14:textId="77777777" w:rsidR="00287FDB" w:rsidRPr="006D1DDE" w:rsidRDefault="00287FDB" w:rsidP="00BD6727">
            <w:pPr>
              <w:rPr>
                <w:b/>
                <w:szCs w:val="20"/>
              </w:rPr>
            </w:pPr>
            <w:r w:rsidRPr="006D1DDE">
              <w:rPr>
                <w:b/>
                <w:szCs w:val="20"/>
              </w:rPr>
              <w:t>Scenario</w:t>
            </w:r>
          </w:p>
        </w:tc>
        <w:tc>
          <w:tcPr>
            <w:tcW w:w="701" w:type="pct"/>
          </w:tcPr>
          <w:p w14:paraId="17B7241A" w14:textId="77777777" w:rsidR="00287FDB" w:rsidRPr="006D1DDE" w:rsidRDefault="00287FDB" w:rsidP="00BD6727">
            <w:pPr>
              <w:jc w:val="center"/>
              <w:rPr>
                <w:b/>
                <w:szCs w:val="20"/>
              </w:rPr>
            </w:pPr>
            <w:r w:rsidRPr="006D1DDE">
              <w:rPr>
                <w:b/>
                <w:szCs w:val="20"/>
              </w:rPr>
              <w:t>2015</w:t>
            </w:r>
          </w:p>
        </w:tc>
        <w:tc>
          <w:tcPr>
            <w:tcW w:w="877" w:type="pct"/>
          </w:tcPr>
          <w:p w14:paraId="67F0C891" w14:textId="77777777" w:rsidR="00287FDB" w:rsidRPr="006D1DDE" w:rsidRDefault="00287FDB" w:rsidP="00BD6727">
            <w:pPr>
              <w:jc w:val="center"/>
              <w:rPr>
                <w:b/>
                <w:szCs w:val="20"/>
              </w:rPr>
            </w:pPr>
            <w:r w:rsidRPr="006D1DDE">
              <w:rPr>
                <w:b/>
                <w:szCs w:val="20"/>
              </w:rPr>
              <w:t>2020</w:t>
            </w:r>
          </w:p>
        </w:tc>
        <w:tc>
          <w:tcPr>
            <w:tcW w:w="934" w:type="pct"/>
          </w:tcPr>
          <w:p w14:paraId="1B4B5BB0" w14:textId="77777777" w:rsidR="00287FDB" w:rsidRPr="006D1DDE" w:rsidRDefault="00287FDB" w:rsidP="00BD6727">
            <w:pPr>
              <w:jc w:val="center"/>
              <w:rPr>
                <w:b/>
                <w:szCs w:val="20"/>
              </w:rPr>
            </w:pPr>
            <w:r w:rsidRPr="006D1DDE">
              <w:rPr>
                <w:b/>
                <w:szCs w:val="20"/>
              </w:rPr>
              <w:t>2050</w:t>
            </w:r>
          </w:p>
        </w:tc>
        <w:tc>
          <w:tcPr>
            <w:tcW w:w="1001" w:type="pct"/>
          </w:tcPr>
          <w:p w14:paraId="35092FD4" w14:textId="77777777" w:rsidR="00287FDB" w:rsidRPr="006D1DDE" w:rsidRDefault="00287FDB" w:rsidP="00BD6727">
            <w:pPr>
              <w:jc w:val="center"/>
              <w:rPr>
                <w:b/>
                <w:szCs w:val="20"/>
              </w:rPr>
            </w:pPr>
            <w:r w:rsidRPr="006D1DDE">
              <w:rPr>
                <w:b/>
                <w:szCs w:val="20"/>
              </w:rPr>
              <w:t>2060</w:t>
            </w:r>
          </w:p>
        </w:tc>
      </w:tr>
      <w:tr w:rsidR="00287FDB" w:rsidRPr="000A3872" w14:paraId="30449F57" w14:textId="77777777" w:rsidTr="00BD6727">
        <w:trPr>
          <w:trHeight w:val="82"/>
        </w:trPr>
        <w:tc>
          <w:tcPr>
            <w:tcW w:w="1487" w:type="pct"/>
            <w:vAlign w:val="center"/>
          </w:tcPr>
          <w:p w14:paraId="12BADE88" w14:textId="77777777" w:rsidR="00287FDB" w:rsidRPr="006D1DDE" w:rsidRDefault="00287FDB" w:rsidP="00BD6727">
            <w:pPr>
              <w:rPr>
                <w:rFonts w:eastAsia="Times New Roman" w:cs="Arial"/>
                <w:b/>
                <w:szCs w:val="20"/>
              </w:rPr>
            </w:pPr>
            <w:r w:rsidRPr="006D1DDE">
              <w:rPr>
                <w:rFonts w:eastAsia="Times New Roman" w:cs="Arial"/>
                <w:b/>
                <w:szCs w:val="20"/>
              </w:rPr>
              <w:t>REF 1</w:t>
            </w:r>
          </w:p>
        </w:tc>
        <w:tc>
          <w:tcPr>
            <w:tcW w:w="701" w:type="pct"/>
          </w:tcPr>
          <w:p w14:paraId="25F7CBF8" w14:textId="0AE4406F" w:rsidR="00287FDB" w:rsidRPr="00652412" w:rsidRDefault="00287FDB" w:rsidP="00BD6727">
            <w:pPr>
              <w:jc w:val="center"/>
              <w:rPr>
                <w:rFonts w:eastAsia="Times New Roman" w:cs="Arial"/>
                <w:szCs w:val="20"/>
              </w:rPr>
            </w:pPr>
            <w:r>
              <w:rPr>
                <w:rFonts w:eastAsia="Times New Roman" w:cs="Arial"/>
                <w:szCs w:val="20"/>
              </w:rPr>
              <w:t>7.38</w:t>
            </w:r>
          </w:p>
        </w:tc>
        <w:tc>
          <w:tcPr>
            <w:tcW w:w="877" w:type="pct"/>
            <w:shd w:val="clear" w:color="auto" w:fill="auto"/>
          </w:tcPr>
          <w:p w14:paraId="2E58A44A" w14:textId="0A4A5AE1" w:rsidR="00287FDB" w:rsidRPr="006D1DDE" w:rsidRDefault="00287FDB" w:rsidP="00BD6727">
            <w:pPr>
              <w:jc w:val="center"/>
              <w:rPr>
                <w:rFonts w:eastAsia="Times New Roman" w:cs="Arial"/>
                <w:szCs w:val="20"/>
              </w:rPr>
            </w:pPr>
            <w:r>
              <w:rPr>
                <w:rFonts w:eastAsia="Times New Roman" w:cs="Arial"/>
                <w:szCs w:val="20"/>
              </w:rPr>
              <w:t>7.83</w:t>
            </w:r>
          </w:p>
        </w:tc>
        <w:tc>
          <w:tcPr>
            <w:tcW w:w="934" w:type="pct"/>
            <w:shd w:val="clear" w:color="auto" w:fill="auto"/>
          </w:tcPr>
          <w:p w14:paraId="19A37165" w14:textId="537444DF" w:rsidR="00287FDB" w:rsidRPr="006D1DDE" w:rsidRDefault="00287FDB" w:rsidP="00BD6727">
            <w:pPr>
              <w:jc w:val="center"/>
              <w:rPr>
                <w:rFonts w:eastAsia="Times New Roman" w:cs="Arial"/>
                <w:szCs w:val="20"/>
              </w:rPr>
            </w:pPr>
            <w:r>
              <w:rPr>
                <w:rFonts w:eastAsia="Times New Roman" w:cs="Arial"/>
                <w:szCs w:val="20"/>
              </w:rPr>
              <w:t>10.43</w:t>
            </w:r>
          </w:p>
        </w:tc>
        <w:tc>
          <w:tcPr>
            <w:tcW w:w="1001" w:type="pct"/>
            <w:shd w:val="clear" w:color="auto" w:fill="auto"/>
          </w:tcPr>
          <w:p w14:paraId="2E41E03F" w14:textId="09844089" w:rsidR="00287FDB" w:rsidRPr="006D1DDE" w:rsidRDefault="00287FDB" w:rsidP="00BD6727">
            <w:pPr>
              <w:jc w:val="center"/>
              <w:rPr>
                <w:rFonts w:eastAsia="Times New Roman" w:cs="Arial"/>
                <w:szCs w:val="20"/>
              </w:rPr>
            </w:pPr>
            <w:r>
              <w:rPr>
                <w:rFonts w:eastAsia="Times New Roman" w:cs="Arial"/>
                <w:szCs w:val="20"/>
              </w:rPr>
              <w:t>11.27</w:t>
            </w:r>
          </w:p>
        </w:tc>
      </w:tr>
      <w:tr w:rsidR="00287FDB" w:rsidRPr="000A3872" w14:paraId="038EBCF0" w14:textId="77777777" w:rsidTr="00BD6727">
        <w:trPr>
          <w:trHeight w:val="39"/>
        </w:trPr>
        <w:tc>
          <w:tcPr>
            <w:tcW w:w="1487" w:type="pct"/>
            <w:vAlign w:val="center"/>
          </w:tcPr>
          <w:p w14:paraId="53A186E6" w14:textId="77777777" w:rsidR="00287FDB" w:rsidRPr="006D1DDE" w:rsidRDefault="00287FDB" w:rsidP="00BD6727">
            <w:pPr>
              <w:rPr>
                <w:rFonts w:eastAsia="Times New Roman" w:cs="Arial"/>
                <w:b/>
                <w:szCs w:val="20"/>
              </w:rPr>
            </w:pPr>
            <w:r w:rsidRPr="006D1DDE">
              <w:rPr>
                <w:rFonts w:eastAsia="Times New Roman" w:cs="Arial"/>
                <w:b/>
                <w:szCs w:val="20"/>
              </w:rPr>
              <w:t>REF 2</w:t>
            </w:r>
          </w:p>
        </w:tc>
        <w:tc>
          <w:tcPr>
            <w:tcW w:w="701" w:type="pct"/>
          </w:tcPr>
          <w:p w14:paraId="76C10B87" w14:textId="6A9D9C15" w:rsidR="00287FDB" w:rsidRPr="00652412" w:rsidRDefault="00287FDB" w:rsidP="00BD6727">
            <w:pPr>
              <w:jc w:val="center"/>
              <w:rPr>
                <w:rFonts w:eastAsia="Times New Roman" w:cs="Arial"/>
                <w:szCs w:val="20"/>
              </w:rPr>
            </w:pPr>
            <w:r>
              <w:rPr>
                <w:rFonts w:eastAsia="Times New Roman" w:cs="Arial"/>
                <w:szCs w:val="20"/>
              </w:rPr>
              <w:t>7.38</w:t>
            </w:r>
          </w:p>
        </w:tc>
        <w:tc>
          <w:tcPr>
            <w:tcW w:w="877" w:type="pct"/>
            <w:shd w:val="clear" w:color="auto" w:fill="auto"/>
          </w:tcPr>
          <w:p w14:paraId="66E44269" w14:textId="404ED05A" w:rsidR="00287FDB" w:rsidRPr="006D1DDE" w:rsidRDefault="00287FDB" w:rsidP="00BD6727">
            <w:pPr>
              <w:jc w:val="center"/>
              <w:rPr>
                <w:rFonts w:eastAsia="Times New Roman" w:cs="Arial"/>
                <w:szCs w:val="20"/>
              </w:rPr>
            </w:pPr>
            <w:r>
              <w:rPr>
                <w:rFonts w:eastAsia="Times New Roman" w:cs="Arial"/>
                <w:szCs w:val="20"/>
              </w:rPr>
              <w:t>7.77</w:t>
            </w:r>
          </w:p>
        </w:tc>
        <w:tc>
          <w:tcPr>
            <w:tcW w:w="934" w:type="pct"/>
            <w:shd w:val="clear" w:color="auto" w:fill="auto"/>
          </w:tcPr>
          <w:p w14:paraId="5DD4A676" w14:textId="03E94A1C" w:rsidR="00287FDB" w:rsidRPr="006D1DDE" w:rsidRDefault="00287FDB" w:rsidP="00BD6727">
            <w:pPr>
              <w:jc w:val="center"/>
              <w:rPr>
                <w:rFonts w:eastAsia="Times New Roman" w:cs="Arial"/>
                <w:szCs w:val="20"/>
              </w:rPr>
            </w:pPr>
            <w:r>
              <w:rPr>
                <w:rFonts w:eastAsia="Times New Roman" w:cs="Arial"/>
                <w:szCs w:val="20"/>
              </w:rPr>
              <w:t>9.43</w:t>
            </w:r>
          </w:p>
        </w:tc>
        <w:tc>
          <w:tcPr>
            <w:tcW w:w="1001" w:type="pct"/>
            <w:shd w:val="clear" w:color="auto" w:fill="auto"/>
          </w:tcPr>
          <w:p w14:paraId="4202E16C" w14:textId="59AEB891" w:rsidR="00287FDB" w:rsidRPr="006D1DDE" w:rsidRDefault="00287FDB" w:rsidP="00BD6727">
            <w:pPr>
              <w:jc w:val="center"/>
              <w:rPr>
                <w:rFonts w:eastAsia="Times New Roman" w:cs="Arial"/>
                <w:szCs w:val="20"/>
              </w:rPr>
            </w:pPr>
            <w:r>
              <w:rPr>
                <w:rFonts w:eastAsia="Times New Roman" w:cs="Arial"/>
                <w:szCs w:val="20"/>
              </w:rPr>
              <w:t>9.74</w:t>
            </w:r>
          </w:p>
        </w:tc>
      </w:tr>
      <w:tr w:rsidR="00287FDB" w:rsidRPr="000A3872" w14:paraId="69AF3D41" w14:textId="77777777" w:rsidTr="00BD6727">
        <w:trPr>
          <w:trHeight w:val="138"/>
        </w:trPr>
        <w:tc>
          <w:tcPr>
            <w:tcW w:w="1487" w:type="pct"/>
            <w:vAlign w:val="center"/>
          </w:tcPr>
          <w:p w14:paraId="15F2E85B" w14:textId="77777777" w:rsidR="00287FDB" w:rsidRPr="006D1DDE" w:rsidRDefault="00287FDB" w:rsidP="00BD6727">
            <w:pPr>
              <w:rPr>
                <w:b/>
                <w:i/>
                <w:szCs w:val="20"/>
              </w:rPr>
            </w:pPr>
            <w:r w:rsidRPr="006D1DDE">
              <w:rPr>
                <w:b/>
                <w:i/>
                <w:szCs w:val="20"/>
              </w:rPr>
              <w:t>Difference</w:t>
            </w:r>
          </w:p>
        </w:tc>
        <w:tc>
          <w:tcPr>
            <w:tcW w:w="701" w:type="pct"/>
          </w:tcPr>
          <w:p w14:paraId="22C8A222" w14:textId="77777777" w:rsidR="00287FDB" w:rsidRPr="006D1DDE" w:rsidRDefault="00287FDB" w:rsidP="00BD6727">
            <w:pPr>
              <w:jc w:val="center"/>
              <w:rPr>
                <w:rFonts w:eastAsia="Times New Roman" w:cs="Arial"/>
                <w:szCs w:val="20"/>
              </w:rPr>
            </w:pPr>
            <w:r w:rsidRPr="006D1DDE">
              <w:rPr>
                <w:rFonts w:eastAsia="Times New Roman" w:cs="Arial"/>
                <w:szCs w:val="20"/>
              </w:rPr>
              <w:t>0</w:t>
            </w:r>
          </w:p>
        </w:tc>
        <w:tc>
          <w:tcPr>
            <w:tcW w:w="877" w:type="pct"/>
          </w:tcPr>
          <w:p w14:paraId="0600B93D" w14:textId="77777777" w:rsidR="00287FDB" w:rsidRPr="006D1DDE" w:rsidRDefault="00287FDB" w:rsidP="00BD6727">
            <w:pPr>
              <w:jc w:val="center"/>
              <w:rPr>
                <w:rFonts w:eastAsia="Times New Roman" w:cs="Arial"/>
                <w:szCs w:val="20"/>
              </w:rPr>
            </w:pPr>
            <w:r w:rsidRPr="006D1DDE">
              <w:rPr>
                <w:rFonts w:eastAsia="Times New Roman" w:cs="Arial"/>
                <w:szCs w:val="20"/>
              </w:rPr>
              <w:t>0</w:t>
            </w:r>
            <w:r>
              <w:rPr>
                <w:rFonts w:eastAsia="Times New Roman" w:cs="Arial"/>
                <w:szCs w:val="20"/>
              </w:rPr>
              <w:t>.06</w:t>
            </w:r>
          </w:p>
        </w:tc>
        <w:tc>
          <w:tcPr>
            <w:tcW w:w="934" w:type="pct"/>
          </w:tcPr>
          <w:p w14:paraId="64CF0631" w14:textId="193D03FD" w:rsidR="00287FDB" w:rsidRPr="00BC2EBD" w:rsidRDefault="00287FDB" w:rsidP="00BD6727">
            <w:pPr>
              <w:jc w:val="center"/>
              <w:rPr>
                <w:rFonts w:eastAsia="Times New Roman" w:cs="Arial"/>
                <w:szCs w:val="20"/>
                <w:lang w:val="en-NZ"/>
              </w:rPr>
            </w:pPr>
            <w:r>
              <w:rPr>
                <w:rFonts w:eastAsia="Times New Roman" w:cs="Arial"/>
                <w:szCs w:val="20"/>
                <w:lang w:val="en-NZ"/>
              </w:rPr>
              <w:t>1.00</w:t>
            </w:r>
            <w:r w:rsidRPr="00BC2EBD">
              <w:rPr>
                <w:rFonts w:eastAsia="Times New Roman" w:cs="Arial"/>
                <w:szCs w:val="20"/>
                <w:lang w:val="en-NZ"/>
              </w:rPr>
              <w:t xml:space="preserve"> </w:t>
            </w:r>
            <w:r>
              <w:rPr>
                <w:rFonts w:eastAsia="Times New Roman" w:cs="Arial"/>
                <w:bCs/>
                <w:szCs w:val="20"/>
                <w:lang w:val="en-NZ"/>
              </w:rPr>
              <w:t>(9.59</w:t>
            </w:r>
            <w:r w:rsidRPr="00BC2EBD">
              <w:rPr>
                <w:rFonts w:eastAsia="Times New Roman" w:cs="Arial"/>
                <w:bCs/>
                <w:szCs w:val="20"/>
                <w:lang w:val="en-NZ"/>
              </w:rPr>
              <w:t>% ↓)</w:t>
            </w:r>
          </w:p>
        </w:tc>
        <w:tc>
          <w:tcPr>
            <w:tcW w:w="1001" w:type="pct"/>
          </w:tcPr>
          <w:p w14:paraId="752D6601" w14:textId="5AAB4938" w:rsidR="00287FDB" w:rsidRPr="00BC2EBD" w:rsidRDefault="00287FDB" w:rsidP="00BD6727">
            <w:pPr>
              <w:jc w:val="center"/>
              <w:rPr>
                <w:rFonts w:eastAsia="Times New Roman" w:cs="Arial"/>
                <w:szCs w:val="20"/>
                <w:lang w:val="en-NZ"/>
              </w:rPr>
            </w:pPr>
            <w:r>
              <w:rPr>
                <w:rFonts w:eastAsia="Times New Roman" w:cs="Arial"/>
                <w:szCs w:val="20"/>
                <w:lang w:val="en-NZ"/>
              </w:rPr>
              <w:t>1.53 (13.58%</w:t>
            </w:r>
            <w:r w:rsidRPr="00BC2EBD">
              <w:rPr>
                <w:rFonts w:eastAsia="Times New Roman" w:cs="Arial"/>
                <w:szCs w:val="20"/>
                <w:lang w:val="en-NZ"/>
              </w:rPr>
              <w:t xml:space="preserve"> ↓)</w:t>
            </w:r>
          </w:p>
        </w:tc>
      </w:tr>
    </w:tbl>
    <w:p w14:paraId="5903E5C8" w14:textId="77777777" w:rsidR="00287FDB" w:rsidRDefault="00287FDB" w:rsidP="006D1DDE"/>
    <w:p w14:paraId="0866EC82" w14:textId="653A72C9" w:rsidR="003B765C" w:rsidRDefault="00F8496F" w:rsidP="00F8496F">
      <w:pPr>
        <w:pStyle w:val="ListParagraph"/>
        <w:spacing w:line="276" w:lineRule="auto"/>
        <w:ind w:left="0"/>
        <w:jc w:val="both"/>
        <w:rPr>
          <w:sz w:val="24"/>
        </w:rPr>
      </w:pPr>
      <w:r>
        <w:rPr>
          <w:sz w:val="24"/>
        </w:rPr>
        <w:t>A few key differences observed in the projected population trends of the 2019 UN estimates,</w:t>
      </w:r>
      <w:r w:rsidR="00DD34E9">
        <w:rPr>
          <w:sz w:val="24"/>
        </w:rPr>
        <w:t xml:space="preserve"> compared to the previous iteration from 201</w:t>
      </w:r>
      <w:r w:rsidR="008C4798">
        <w:rPr>
          <w:sz w:val="24"/>
        </w:rPr>
        <w:t>5</w:t>
      </w:r>
      <w:r>
        <w:rPr>
          <w:sz w:val="24"/>
        </w:rPr>
        <w:t xml:space="preserve">, is a slight increase in the REF 2 population estimates, and a decrease in the REF 1 estimates for the years 2050 and 2060. </w:t>
      </w:r>
    </w:p>
    <w:p w14:paraId="108800D8" w14:textId="77777777" w:rsidR="00DB46EF" w:rsidRDefault="00DB46EF" w:rsidP="00F8496F">
      <w:pPr>
        <w:pStyle w:val="ListParagraph"/>
        <w:spacing w:line="276" w:lineRule="auto"/>
        <w:ind w:left="0"/>
        <w:jc w:val="both"/>
        <w:rPr>
          <w:sz w:val="24"/>
        </w:rPr>
      </w:pPr>
    </w:p>
    <w:p w14:paraId="36158908" w14:textId="0C3BD611" w:rsidR="003B765C" w:rsidRDefault="00F8496F" w:rsidP="00F8496F">
      <w:pPr>
        <w:pStyle w:val="ListParagraph"/>
        <w:spacing w:line="276" w:lineRule="auto"/>
        <w:ind w:left="0"/>
        <w:jc w:val="both"/>
        <w:rPr>
          <w:sz w:val="24"/>
        </w:rPr>
      </w:pPr>
      <w:r>
        <w:rPr>
          <w:sz w:val="24"/>
        </w:rPr>
        <w:t xml:space="preserve">The </w:t>
      </w:r>
      <w:r w:rsidR="003B765C">
        <w:rPr>
          <w:sz w:val="24"/>
        </w:rPr>
        <w:t xml:space="preserve">difference </w:t>
      </w:r>
      <w:r>
        <w:rPr>
          <w:sz w:val="24"/>
        </w:rPr>
        <w:t xml:space="preserve">between REF 1 and 2 populations </w:t>
      </w:r>
      <w:r w:rsidR="003B765C">
        <w:rPr>
          <w:sz w:val="24"/>
        </w:rPr>
        <w:t xml:space="preserve">(shown by the percentage reduction in estimates) </w:t>
      </w:r>
      <w:r>
        <w:rPr>
          <w:sz w:val="24"/>
        </w:rPr>
        <w:t xml:space="preserve">for 2019 </w:t>
      </w:r>
      <w:r w:rsidR="003B765C">
        <w:rPr>
          <w:sz w:val="24"/>
        </w:rPr>
        <w:t xml:space="preserve">(0.86 billion, or a decrease of 8.36% between the scenarios) </w:t>
      </w:r>
      <w:r>
        <w:rPr>
          <w:sz w:val="24"/>
        </w:rPr>
        <w:t>is also smalle</w:t>
      </w:r>
      <w:r w:rsidR="003B765C">
        <w:rPr>
          <w:sz w:val="24"/>
        </w:rPr>
        <w:t>r compared with 201</w:t>
      </w:r>
      <w:r w:rsidR="008C4798">
        <w:rPr>
          <w:sz w:val="24"/>
        </w:rPr>
        <w:t xml:space="preserve">5 </w:t>
      </w:r>
      <w:r w:rsidR="003B765C">
        <w:rPr>
          <w:sz w:val="24"/>
        </w:rPr>
        <w:t>estimates (1.01 billion, a decrease of 9.72% between the scenarios), and constitutes a 14.85% decrease between 201</w:t>
      </w:r>
      <w:r w:rsidR="008C4798">
        <w:rPr>
          <w:sz w:val="24"/>
        </w:rPr>
        <w:t xml:space="preserve">5 </w:t>
      </w:r>
      <w:r w:rsidR="003B765C">
        <w:rPr>
          <w:sz w:val="24"/>
        </w:rPr>
        <w:t xml:space="preserve">and 2019 ([1.01-0.85/1.01]*100). </w:t>
      </w:r>
    </w:p>
    <w:p w14:paraId="65E49FE0" w14:textId="698A672C" w:rsidR="003B765C" w:rsidRDefault="003B765C" w:rsidP="00F8496F">
      <w:pPr>
        <w:pStyle w:val="ListParagraph"/>
        <w:spacing w:line="276" w:lineRule="auto"/>
        <w:ind w:left="0"/>
        <w:jc w:val="both"/>
        <w:rPr>
          <w:sz w:val="24"/>
        </w:rPr>
      </w:pPr>
    </w:p>
    <w:p w14:paraId="7DA4F373" w14:textId="77777777" w:rsidR="003B765C" w:rsidRDefault="003B765C" w:rsidP="00F8496F">
      <w:pPr>
        <w:pStyle w:val="ListParagraph"/>
        <w:spacing w:line="276" w:lineRule="auto"/>
        <w:ind w:left="0"/>
        <w:jc w:val="both"/>
        <w:rPr>
          <w:sz w:val="24"/>
        </w:rPr>
      </w:pPr>
    </w:p>
    <w:p w14:paraId="28CC5360" w14:textId="77777777" w:rsidR="00F8496F" w:rsidRPr="005B51C7" w:rsidRDefault="00F8496F" w:rsidP="00F8496F">
      <w:pPr>
        <w:pStyle w:val="ListParagraph"/>
        <w:spacing w:line="276" w:lineRule="auto"/>
        <w:ind w:left="0"/>
        <w:jc w:val="both"/>
        <w:rPr>
          <w:sz w:val="24"/>
        </w:rPr>
      </w:pPr>
    </w:p>
    <w:p w14:paraId="241991C6" w14:textId="4A131FD4" w:rsidR="006D1DDE" w:rsidRPr="006D1DDE" w:rsidRDefault="006D1DDE" w:rsidP="006D1DDE">
      <w:r>
        <w:t xml:space="preserve"> </w:t>
      </w:r>
    </w:p>
    <w:p w14:paraId="63DE073E" w14:textId="32F027DD" w:rsidR="0022452E" w:rsidRPr="00F45E06" w:rsidRDefault="0022452E" w:rsidP="00DD34E9">
      <w:pPr>
        <w:pStyle w:val="Heading2"/>
      </w:pPr>
      <w:bookmarkStart w:id="79" w:name="_Toc74154069"/>
      <w:r>
        <w:t>Emissions Reduction</w:t>
      </w:r>
      <w:r w:rsidRPr="00F45E06">
        <w:t xml:space="preserve"> Impact</w:t>
      </w:r>
      <w:bookmarkEnd w:id="79"/>
    </w:p>
    <w:p w14:paraId="1A0FB2B8" w14:textId="6E900272" w:rsidR="001E0DDA" w:rsidRDefault="0022452E" w:rsidP="003B765C">
      <w:pPr>
        <w:jc w:val="both"/>
        <w:rPr>
          <w:sz w:val="24"/>
        </w:rPr>
      </w:pPr>
      <w:r w:rsidRPr="003B765C">
        <w:rPr>
          <w:sz w:val="24"/>
        </w:rPr>
        <w:t>In Project Drawdown’s Plausible</w:t>
      </w:r>
      <w:r w:rsidR="00A56720">
        <w:rPr>
          <w:sz w:val="24"/>
        </w:rPr>
        <w:t>/Ambitious</w:t>
      </w:r>
      <w:r w:rsidRPr="003B765C">
        <w:rPr>
          <w:sz w:val="24"/>
        </w:rPr>
        <w:t xml:space="preserve"> Scenario</w:t>
      </w:r>
      <w:r w:rsidR="00A56720">
        <w:rPr>
          <w:sz w:val="24"/>
        </w:rPr>
        <w:t>s for</w:t>
      </w:r>
      <w:r w:rsidR="003B765C">
        <w:rPr>
          <w:sz w:val="24"/>
        </w:rPr>
        <w:t xml:space="preserve"> 2021</w:t>
      </w:r>
      <w:r w:rsidRPr="003B765C">
        <w:rPr>
          <w:sz w:val="24"/>
        </w:rPr>
        <w:t xml:space="preserve">, </w:t>
      </w:r>
      <w:r w:rsidR="001E0DDA" w:rsidRPr="003B765C">
        <w:rPr>
          <w:sz w:val="24"/>
        </w:rPr>
        <w:t xml:space="preserve">Health and Education solutions contribute towards a reduction in </w:t>
      </w:r>
      <w:r w:rsidR="003B765C" w:rsidRPr="003B765C">
        <w:rPr>
          <w:sz w:val="24"/>
          <w:highlight w:val="yellow"/>
        </w:rPr>
        <w:t>69.9</w:t>
      </w:r>
      <w:r w:rsidR="003B765C">
        <w:rPr>
          <w:sz w:val="24"/>
          <w:highlight w:val="yellow"/>
        </w:rPr>
        <w:t xml:space="preserve"> </w:t>
      </w:r>
      <w:r w:rsidR="003B765C">
        <w:rPr>
          <w:sz w:val="24"/>
        </w:rPr>
        <w:t xml:space="preserve">GT </w:t>
      </w:r>
      <w:r w:rsidRPr="003B765C">
        <w:rPr>
          <w:sz w:val="24"/>
        </w:rPr>
        <w:t xml:space="preserve">of </w:t>
      </w:r>
      <w:r w:rsidR="003B765C">
        <w:rPr>
          <w:sz w:val="24"/>
        </w:rPr>
        <w:t>GHG</w:t>
      </w:r>
      <w:r w:rsidRPr="003B765C">
        <w:rPr>
          <w:sz w:val="24"/>
        </w:rPr>
        <w:t xml:space="preserve"> emissions</w:t>
      </w:r>
      <w:r w:rsidR="003B765C">
        <w:rPr>
          <w:sz w:val="24"/>
        </w:rPr>
        <w:t xml:space="preserve"> (Table 8)</w:t>
      </w:r>
      <w:r w:rsidRPr="003B765C">
        <w:rPr>
          <w:sz w:val="24"/>
        </w:rPr>
        <w:t xml:space="preserve">. In the </w:t>
      </w:r>
      <w:r w:rsidR="001E0DDA" w:rsidRPr="003B765C">
        <w:rPr>
          <w:sz w:val="24"/>
        </w:rPr>
        <w:t>Maximum</w:t>
      </w:r>
      <w:r w:rsidR="00A56720">
        <w:rPr>
          <w:sz w:val="24"/>
        </w:rPr>
        <w:t xml:space="preserve"> Scenario</w:t>
      </w:r>
      <w:r w:rsidRPr="003B765C">
        <w:rPr>
          <w:sz w:val="24"/>
        </w:rPr>
        <w:t xml:space="preserve">, they contribute </w:t>
      </w:r>
      <w:r w:rsidR="00A56720">
        <w:rPr>
          <w:sz w:val="24"/>
        </w:rPr>
        <w:t xml:space="preserve">towards a reduction of </w:t>
      </w:r>
      <w:r w:rsidR="001E0DDA" w:rsidRPr="003B765C">
        <w:rPr>
          <w:sz w:val="24"/>
        </w:rPr>
        <w:t>XX</w:t>
      </w:r>
      <w:r w:rsidRPr="003B765C">
        <w:rPr>
          <w:sz w:val="24"/>
        </w:rPr>
        <w:t xml:space="preserve"> percent. </w:t>
      </w:r>
    </w:p>
    <w:p w14:paraId="458D3255" w14:textId="25BAB911" w:rsidR="00C20215" w:rsidRPr="003B765C" w:rsidRDefault="00C20215" w:rsidP="00C20215">
      <w:pPr>
        <w:jc w:val="both"/>
        <w:rPr>
          <w:sz w:val="24"/>
        </w:rPr>
      </w:pPr>
      <w:r w:rsidRPr="003B765C">
        <w:rPr>
          <w:sz w:val="24"/>
        </w:rPr>
        <w:t xml:space="preserve">Compared with </w:t>
      </w:r>
      <w:r>
        <w:rPr>
          <w:sz w:val="24"/>
        </w:rPr>
        <w:t xml:space="preserve">the estimates of GHG reduction </w:t>
      </w:r>
      <w:r w:rsidRPr="00D86F2F">
        <w:rPr>
          <w:sz w:val="24"/>
        </w:rPr>
        <w:t>from 201</w:t>
      </w:r>
      <w:r w:rsidR="008C4798" w:rsidRPr="00D86F2F">
        <w:rPr>
          <w:sz w:val="24"/>
        </w:rPr>
        <w:t>5</w:t>
      </w:r>
      <w:r w:rsidRPr="00D86F2F">
        <w:rPr>
          <w:sz w:val="24"/>
        </w:rPr>
        <w:t>, the</w:t>
      </w:r>
      <w:r>
        <w:rPr>
          <w:sz w:val="24"/>
        </w:rPr>
        <w:t xml:space="preserve"> 2019 estimates are a reduction of about 18.1% [(85.4-69.9/85.4)*100]. Based on the difference of 14.85% in population estimates mentioned in the preceding section, this reduction in GHG emissions corresponds to app 1.20% decrease in GHG emissions for every 1% decrease in population estimates. </w:t>
      </w:r>
    </w:p>
    <w:p w14:paraId="7362DB12" w14:textId="77777777" w:rsidR="00C20215" w:rsidRPr="003B765C" w:rsidRDefault="00C20215" w:rsidP="003B765C">
      <w:pPr>
        <w:jc w:val="both"/>
        <w:rPr>
          <w:sz w:val="24"/>
        </w:rPr>
      </w:pPr>
    </w:p>
    <w:p w14:paraId="387B778D" w14:textId="29A24DF6" w:rsidR="00426097" w:rsidRPr="003B765C" w:rsidRDefault="00426097" w:rsidP="00426097">
      <w:pPr>
        <w:pStyle w:val="Caption"/>
        <w:keepNext/>
        <w:rPr>
          <w:i w:val="0"/>
          <w:color w:val="000000" w:themeColor="text1"/>
          <w:sz w:val="22"/>
        </w:rPr>
      </w:pPr>
      <w:bookmarkStart w:id="80" w:name="_Toc74154084"/>
      <w:r w:rsidRPr="003B765C">
        <w:rPr>
          <w:i w:val="0"/>
          <w:color w:val="000000" w:themeColor="text1"/>
          <w:sz w:val="22"/>
        </w:rPr>
        <w:t xml:space="preserve">Table </w:t>
      </w:r>
      <w:r w:rsidRPr="003B765C">
        <w:rPr>
          <w:i w:val="0"/>
          <w:color w:val="000000" w:themeColor="text1"/>
          <w:sz w:val="22"/>
        </w:rPr>
        <w:fldChar w:fldCharType="begin"/>
      </w:r>
      <w:r w:rsidRPr="003B765C">
        <w:rPr>
          <w:i w:val="0"/>
          <w:color w:val="000000" w:themeColor="text1"/>
          <w:sz w:val="22"/>
        </w:rPr>
        <w:instrText xml:space="preserve"> SEQ Table \* ARABIC </w:instrText>
      </w:r>
      <w:r w:rsidRPr="003B765C">
        <w:rPr>
          <w:i w:val="0"/>
          <w:color w:val="000000" w:themeColor="text1"/>
          <w:sz w:val="22"/>
        </w:rPr>
        <w:fldChar w:fldCharType="separate"/>
      </w:r>
      <w:r w:rsidR="007F3156">
        <w:rPr>
          <w:i w:val="0"/>
          <w:noProof/>
          <w:color w:val="000000" w:themeColor="text1"/>
          <w:sz w:val="22"/>
        </w:rPr>
        <w:t>11</w:t>
      </w:r>
      <w:r w:rsidRPr="003B765C">
        <w:rPr>
          <w:i w:val="0"/>
          <w:color w:val="000000" w:themeColor="text1"/>
          <w:sz w:val="22"/>
        </w:rPr>
        <w:fldChar w:fldCharType="end"/>
      </w:r>
      <w:r w:rsidRPr="003B765C">
        <w:rPr>
          <w:i w:val="0"/>
          <w:color w:val="000000" w:themeColor="text1"/>
          <w:sz w:val="22"/>
        </w:rPr>
        <w:t xml:space="preserve">: Emissions </w:t>
      </w:r>
      <w:r w:rsidR="00F45FCE">
        <w:rPr>
          <w:i w:val="0"/>
          <w:color w:val="000000" w:themeColor="text1"/>
          <w:sz w:val="22"/>
        </w:rPr>
        <w:t>Reductions (GTs)</w:t>
      </w:r>
      <w:r w:rsidRPr="003B765C">
        <w:rPr>
          <w:i w:val="0"/>
          <w:color w:val="000000" w:themeColor="text1"/>
          <w:sz w:val="22"/>
        </w:rPr>
        <w:t xml:space="preserve"> of the Health and Education Sector Solutions</w:t>
      </w:r>
      <w:bookmarkEnd w:id="80"/>
    </w:p>
    <w:tbl>
      <w:tblPr>
        <w:tblStyle w:val="GridTable1Light"/>
        <w:tblW w:w="4887" w:type="pct"/>
        <w:tblInd w:w="-5" w:type="dxa"/>
        <w:tblLook w:val="0420" w:firstRow="1" w:lastRow="0" w:firstColumn="0" w:lastColumn="0" w:noHBand="0" w:noVBand="1"/>
      </w:tblPr>
      <w:tblGrid>
        <w:gridCol w:w="2268"/>
        <w:gridCol w:w="3687"/>
        <w:gridCol w:w="3184"/>
      </w:tblGrid>
      <w:tr w:rsidR="00A56720" w:rsidRPr="000A3872" w14:paraId="71837E19" w14:textId="346DC41C" w:rsidTr="00A56720">
        <w:trPr>
          <w:cnfStyle w:val="100000000000" w:firstRow="1" w:lastRow="0" w:firstColumn="0" w:lastColumn="0" w:oddVBand="0" w:evenVBand="0" w:oddHBand="0" w:evenHBand="0" w:firstRowFirstColumn="0" w:firstRowLastColumn="0" w:lastRowFirstColumn="0" w:lastRowLastColumn="0"/>
          <w:trHeight w:val="121"/>
        </w:trPr>
        <w:tc>
          <w:tcPr>
            <w:tcW w:w="1241" w:type="pct"/>
          </w:tcPr>
          <w:p w14:paraId="008FD471" w14:textId="77777777" w:rsidR="00A56720" w:rsidRPr="00285E0E" w:rsidRDefault="00A56720" w:rsidP="0022452E">
            <w:pPr>
              <w:rPr>
                <w:szCs w:val="20"/>
              </w:rPr>
            </w:pPr>
          </w:p>
        </w:tc>
        <w:tc>
          <w:tcPr>
            <w:tcW w:w="2017" w:type="pct"/>
          </w:tcPr>
          <w:p w14:paraId="28D593F2" w14:textId="4E581A47" w:rsidR="00A56720" w:rsidRPr="00CE5FA2" w:rsidRDefault="00A56720" w:rsidP="00A56720">
            <w:pPr>
              <w:rPr>
                <w:i/>
                <w:szCs w:val="20"/>
              </w:rPr>
            </w:pPr>
            <w:r w:rsidRPr="00CE5FA2">
              <w:rPr>
                <w:szCs w:val="20"/>
              </w:rPr>
              <w:t>Plausible</w:t>
            </w:r>
            <w:r>
              <w:rPr>
                <w:szCs w:val="20"/>
              </w:rPr>
              <w:t xml:space="preserve">/ Ambitious </w:t>
            </w:r>
            <w:r w:rsidRPr="00CE5FA2">
              <w:rPr>
                <w:szCs w:val="20"/>
              </w:rPr>
              <w:t>Scenario</w:t>
            </w:r>
          </w:p>
        </w:tc>
        <w:tc>
          <w:tcPr>
            <w:tcW w:w="1743" w:type="pct"/>
          </w:tcPr>
          <w:p w14:paraId="2F086E7D" w14:textId="13155BB0" w:rsidR="00A56720" w:rsidRPr="00CE5FA2" w:rsidRDefault="00A56720" w:rsidP="0022452E">
            <w:pPr>
              <w:rPr>
                <w:szCs w:val="20"/>
              </w:rPr>
            </w:pPr>
            <w:r>
              <w:rPr>
                <w:szCs w:val="20"/>
              </w:rPr>
              <w:t>Maximum Scenario</w:t>
            </w:r>
          </w:p>
        </w:tc>
      </w:tr>
      <w:tr w:rsidR="00A56720" w:rsidRPr="000A3872" w14:paraId="16BE797B" w14:textId="64B089E0" w:rsidTr="00A56720">
        <w:trPr>
          <w:trHeight w:val="72"/>
        </w:trPr>
        <w:tc>
          <w:tcPr>
            <w:tcW w:w="1241" w:type="pct"/>
            <w:vAlign w:val="center"/>
          </w:tcPr>
          <w:p w14:paraId="5C896E9E" w14:textId="075A7927" w:rsidR="00A56720" w:rsidRPr="00652412" w:rsidRDefault="00A56720" w:rsidP="0022452E">
            <w:pPr>
              <w:rPr>
                <w:rFonts w:eastAsia="Times New Roman" w:cs="Arial"/>
                <w:szCs w:val="20"/>
              </w:rPr>
            </w:pPr>
            <w:r w:rsidRPr="00652412">
              <w:rPr>
                <w:rFonts w:eastAsia="Times New Roman" w:cs="Arial"/>
                <w:szCs w:val="20"/>
              </w:rPr>
              <w:t>201</w:t>
            </w:r>
            <w:r w:rsidR="008C4798">
              <w:rPr>
                <w:rFonts w:eastAsia="Times New Roman" w:cs="Arial"/>
                <w:szCs w:val="20"/>
              </w:rPr>
              <w:t>5</w:t>
            </w:r>
          </w:p>
        </w:tc>
        <w:tc>
          <w:tcPr>
            <w:tcW w:w="2017" w:type="pct"/>
          </w:tcPr>
          <w:p w14:paraId="1F658A6D" w14:textId="0AFF9B83" w:rsidR="00A56720" w:rsidRPr="00652412" w:rsidRDefault="00A56720" w:rsidP="0022452E">
            <w:pPr>
              <w:rPr>
                <w:rFonts w:eastAsia="Times New Roman" w:cs="Arial"/>
                <w:szCs w:val="20"/>
              </w:rPr>
            </w:pPr>
            <w:r w:rsidRPr="00652412">
              <w:rPr>
                <w:rFonts w:eastAsia="Times New Roman" w:cs="Arial"/>
                <w:szCs w:val="20"/>
              </w:rPr>
              <w:t>83.2</w:t>
            </w:r>
          </w:p>
        </w:tc>
        <w:tc>
          <w:tcPr>
            <w:tcW w:w="1743" w:type="pct"/>
            <w:shd w:val="clear" w:color="auto" w:fill="E3DED1" w:themeFill="background2"/>
          </w:tcPr>
          <w:p w14:paraId="5BE5B786" w14:textId="77777777" w:rsidR="00A56720" w:rsidRPr="00285E0E" w:rsidRDefault="00A56720" w:rsidP="0022452E">
            <w:pPr>
              <w:rPr>
                <w:rFonts w:eastAsia="Times New Roman" w:cs="Arial"/>
                <w:i/>
                <w:szCs w:val="20"/>
              </w:rPr>
            </w:pPr>
          </w:p>
        </w:tc>
      </w:tr>
      <w:tr w:rsidR="00A56720" w:rsidRPr="000A3872" w14:paraId="7B9CFC34" w14:textId="7E4BC955" w:rsidTr="00A56720">
        <w:trPr>
          <w:trHeight w:val="34"/>
        </w:trPr>
        <w:tc>
          <w:tcPr>
            <w:tcW w:w="1241" w:type="pct"/>
            <w:vAlign w:val="center"/>
          </w:tcPr>
          <w:p w14:paraId="24472972" w14:textId="7C9994C8" w:rsidR="00A56720" w:rsidRPr="00652412" w:rsidRDefault="00A56720" w:rsidP="0022452E">
            <w:pPr>
              <w:rPr>
                <w:rFonts w:eastAsia="Times New Roman" w:cs="Arial"/>
                <w:szCs w:val="20"/>
              </w:rPr>
            </w:pPr>
            <w:r w:rsidRPr="00652412">
              <w:rPr>
                <w:rFonts w:eastAsia="Times New Roman" w:cs="Arial"/>
                <w:szCs w:val="20"/>
              </w:rPr>
              <w:t>2019</w:t>
            </w:r>
          </w:p>
        </w:tc>
        <w:tc>
          <w:tcPr>
            <w:tcW w:w="2017" w:type="pct"/>
          </w:tcPr>
          <w:p w14:paraId="590DB202" w14:textId="3C70F32E" w:rsidR="00A56720" w:rsidRPr="00652412" w:rsidRDefault="00A56720" w:rsidP="0022452E">
            <w:pPr>
              <w:rPr>
                <w:rFonts w:eastAsia="Times New Roman" w:cs="Arial"/>
                <w:szCs w:val="20"/>
              </w:rPr>
            </w:pPr>
            <w:r w:rsidRPr="00652412">
              <w:rPr>
                <w:rFonts w:eastAsia="Times New Roman" w:cs="Arial"/>
                <w:szCs w:val="20"/>
              </w:rPr>
              <w:t>85.4</w:t>
            </w:r>
          </w:p>
        </w:tc>
        <w:tc>
          <w:tcPr>
            <w:tcW w:w="1743" w:type="pct"/>
            <w:shd w:val="clear" w:color="auto" w:fill="E3DED1" w:themeFill="background2"/>
          </w:tcPr>
          <w:p w14:paraId="3D3028E0" w14:textId="77777777" w:rsidR="00A56720" w:rsidRPr="00285E0E" w:rsidRDefault="00A56720" w:rsidP="0022452E">
            <w:pPr>
              <w:rPr>
                <w:rFonts w:eastAsia="Times New Roman" w:cs="Arial"/>
                <w:i/>
                <w:szCs w:val="20"/>
              </w:rPr>
            </w:pPr>
          </w:p>
        </w:tc>
      </w:tr>
      <w:tr w:rsidR="00A56720" w:rsidRPr="000A3872" w14:paraId="13E388F2" w14:textId="589FB9E9" w:rsidTr="00A56720">
        <w:trPr>
          <w:trHeight w:val="121"/>
        </w:trPr>
        <w:tc>
          <w:tcPr>
            <w:tcW w:w="1241" w:type="pct"/>
            <w:vAlign w:val="center"/>
          </w:tcPr>
          <w:p w14:paraId="0EE1ED8B" w14:textId="3067AD75" w:rsidR="00A56720" w:rsidRPr="00285E0E" w:rsidRDefault="00A56720" w:rsidP="0022452E">
            <w:pPr>
              <w:rPr>
                <w:i/>
                <w:szCs w:val="20"/>
              </w:rPr>
            </w:pPr>
            <w:bookmarkStart w:id="81" w:name="OLE_LINK4"/>
            <w:r>
              <w:rPr>
                <w:rFonts w:eastAsia="Times New Roman" w:cs="Arial"/>
                <w:szCs w:val="20"/>
              </w:rPr>
              <w:t>2021</w:t>
            </w:r>
          </w:p>
        </w:tc>
        <w:tc>
          <w:tcPr>
            <w:tcW w:w="2017" w:type="pct"/>
          </w:tcPr>
          <w:p w14:paraId="0C62B8CD" w14:textId="6D74D9A3" w:rsidR="00A56720" w:rsidRPr="009E1999" w:rsidRDefault="00A56720" w:rsidP="0022452E">
            <w:pPr>
              <w:rPr>
                <w:b/>
                <w:szCs w:val="20"/>
              </w:rPr>
            </w:pPr>
            <w:r w:rsidRPr="009E1999">
              <w:rPr>
                <w:b/>
                <w:szCs w:val="20"/>
              </w:rPr>
              <w:t>69.9</w:t>
            </w:r>
          </w:p>
        </w:tc>
        <w:tc>
          <w:tcPr>
            <w:tcW w:w="1743" w:type="pct"/>
          </w:tcPr>
          <w:p w14:paraId="525B4E9C" w14:textId="0DA48CFD" w:rsidR="00A56720" w:rsidRPr="00F45FCE" w:rsidRDefault="00F45FCE" w:rsidP="0022452E">
            <w:pPr>
              <w:rPr>
                <w:b/>
                <w:szCs w:val="20"/>
              </w:rPr>
            </w:pPr>
            <w:r w:rsidRPr="00F45FCE">
              <w:rPr>
                <w:b/>
                <w:szCs w:val="20"/>
              </w:rPr>
              <w:t>88.9</w:t>
            </w:r>
          </w:p>
        </w:tc>
      </w:tr>
      <w:bookmarkEnd w:id="81"/>
    </w:tbl>
    <w:p w14:paraId="1B097054" w14:textId="1475E363" w:rsidR="0022452E" w:rsidRDefault="0022452E" w:rsidP="0022452E"/>
    <w:p w14:paraId="674CA226" w14:textId="11A5001E" w:rsidR="003B765C" w:rsidRDefault="002F5551" w:rsidP="0022452E">
      <w:r>
        <w:rPr>
          <w:sz w:val="24"/>
        </w:rPr>
        <w:t>Reductions in GTs due to population changes</w:t>
      </w:r>
      <w:r w:rsidR="00F776DD">
        <w:rPr>
          <w:sz w:val="24"/>
        </w:rPr>
        <w:t xml:space="preserve"> </w:t>
      </w:r>
      <w:r w:rsidR="00F776DD" w:rsidRPr="00F776DD">
        <w:rPr>
          <w:sz w:val="24"/>
        </w:rPr>
        <w:t>under the Plausible</w:t>
      </w:r>
      <w:r w:rsidR="00A56720">
        <w:rPr>
          <w:sz w:val="24"/>
        </w:rPr>
        <w:t>/Ambitious</w:t>
      </w:r>
      <w:r w:rsidR="00F776DD" w:rsidRPr="00F776DD">
        <w:rPr>
          <w:sz w:val="24"/>
        </w:rPr>
        <w:t xml:space="preserve"> Scenario</w:t>
      </w:r>
      <w:r>
        <w:rPr>
          <w:sz w:val="24"/>
        </w:rPr>
        <w:t xml:space="preserve"> across the different secto</w:t>
      </w:r>
      <w:r w:rsidR="00F776DD">
        <w:rPr>
          <w:sz w:val="24"/>
        </w:rPr>
        <w:t xml:space="preserve">rs are shown in Table 9 below. </w:t>
      </w:r>
    </w:p>
    <w:p w14:paraId="52F26156" w14:textId="7FB9EC0B" w:rsidR="00426097" w:rsidRPr="003B765C" w:rsidRDefault="00426097" w:rsidP="00426097">
      <w:pPr>
        <w:pStyle w:val="Caption"/>
        <w:keepNext/>
        <w:rPr>
          <w:i w:val="0"/>
          <w:color w:val="auto"/>
          <w:sz w:val="22"/>
        </w:rPr>
      </w:pPr>
      <w:bookmarkStart w:id="82" w:name="_Toc74154085"/>
      <w:r w:rsidRPr="003B765C">
        <w:rPr>
          <w:i w:val="0"/>
          <w:color w:val="auto"/>
          <w:sz w:val="22"/>
        </w:rPr>
        <w:t xml:space="preserve">Table </w:t>
      </w:r>
      <w:r w:rsidRPr="003B765C">
        <w:rPr>
          <w:i w:val="0"/>
          <w:color w:val="auto"/>
          <w:sz w:val="22"/>
        </w:rPr>
        <w:fldChar w:fldCharType="begin"/>
      </w:r>
      <w:r w:rsidRPr="003B765C">
        <w:rPr>
          <w:i w:val="0"/>
          <w:color w:val="auto"/>
          <w:sz w:val="22"/>
        </w:rPr>
        <w:instrText xml:space="preserve"> SEQ Table \* ARABIC </w:instrText>
      </w:r>
      <w:r w:rsidRPr="003B765C">
        <w:rPr>
          <w:i w:val="0"/>
          <w:color w:val="auto"/>
          <w:sz w:val="22"/>
        </w:rPr>
        <w:fldChar w:fldCharType="separate"/>
      </w:r>
      <w:r w:rsidR="007F3156">
        <w:rPr>
          <w:i w:val="0"/>
          <w:noProof/>
          <w:color w:val="auto"/>
          <w:sz w:val="22"/>
        </w:rPr>
        <w:t>12</w:t>
      </w:r>
      <w:r w:rsidRPr="003B765C">
        <w:rPr>
          <w:i w:val="0"/>
          <w:color w:val="auto"/>
          <w:sz w:val="22"/>
        </w:rPr>
        <w:fldChar w:fldCharType="end"/>
      </w:r>
      <w:r w:rsidRPr="003B765C">
        <w:rPr>
          <w:i w:val="0"/>
          <w:color w:val="auto"/>
          <w:sz w:val="22"/>
        </w:rPr>
        <w:t>: Emissions Reductions across different sectors under the Plausible Scenario</w:t>
      </w:r>
      <w:bookmarkEnd w:id="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452E" w14:paraId="7562C1AD" w14:textId="77777777" w:rsidTr="00DD34E9">
        <w:tc>
          <w:tcPr>
            <w:tcW w:w="9350" w:type="dxa"/>
          </w:tcPr>
          <w:tbl>
            <w:tblPr>
              <w:tblStyle w:val="GridTable1Light"/>
              <w:tblpPr w:leftFromText="180" w:rightFromText="180" w:vertAnchor="text" w:horzAnchor="margin" w:tblpY="-100"/>
              <w:tblOverlap w:val="never"/>
              <w:tblW w:w="2531" w:type="pct"/>
              <w:tblLook w:val="04A0" w:firstRow="1" w:lastRow="0" w:firstColumn="1" w:lastColumn="0" w:noHBand="0" w:noVBand="1"/>
              <w:tblCaption w:val=""/>
              <w:tblDescription w:val=""/>
            </w:tblPr>
            <w:tblGrid>
              <w:gridCol w:w="2561"/>
              <w:gridCol w:w="2058"/>
            </w:tblGrid>
            <w:tr w:rsidR="00426097" w14:paraId="4389C711" w14:textId="77777777" w:rsidTr="0042609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772" w:type="pct"/>
                  <w:vAlign w:val="center"/>
                </w:tcPr>
                <w:p w14:paraId="5B1C9748" w14:textId="77777777" w:rsidR="00426097" w:rsidRDefault="00426097" w:rsidP="00426097">
                  <w:pPr>
                    <w:jc w:val="center"/>
                  </w:pPr>
                  <w:r>
                    <w:t>Solutions</w:t>
                  </w:r>
                </w:p>
              </w:tc>
              <w:tc>
                <w:tcPr>
                  <w:tcW w:w="2228" w:type="pct"/>
                  <w:vAlign w:val="center"/>
                </w:tcPr>
                <w:p w14:paraId="72E48330" w14:textId="77777777" w:rsidR="00426097" w:rsidRPr="0DD1715B" w:rsidRDefault="00426097" w:rsidP="00426097">
                  <w:pPr>
                    <w:jc w:val="center"/>
                    <w:cnfStyle w:val="100000000000" w:firstRow="1" w:lastRow="0" w:firstColumn="0" w:lastColumn="0" w:oddVBand="0" w:evenVBand="0" w:oddHBand="0" w:evenHBand="0" w:firstRowFirstColumn="0" w:firstRowLastColumn="0" w:lastRowFirstColumn="0" w:lastRowLastColumn="0"/>
                  </w:pPr>
                  <w:r>
                    <w:t>Gigatons CO2-eq</w:t>
                  </w:r>
                </w:p>
              </w:tc>
            </w:tr>
            <w:tr w:rsidR="00426097" w14:paraId="73148653"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17A6B01E" w14:textId="77777777" w:rsidR="00426097" w:rsidRDefault="00426097" w:rsidP="00426097">
                  <w:r>
                    <w:t>Population Change, by other sector</w:t>
                  </w:r>
                </w:p>
              </w:tc>
              <w:tc>
                <w:tcPr>
                  <w:tcW w:w="2228" w:type="pct"/>
                </w:tcPr>
                <w:p w14:paraId="70BF39AD" w14:textId="77777777" w:rsidR="00426097" w:rsidRPr="000838A2" w:rsidRDefault="00426097" w:rsidP="00426097">
                  <w:pPr>
                    <w:jc w:val="center"/>
                    <w:cnfStyle w:val="000000000000" w:firstRow="0" w:lastRow="0" w:firstColumn="0" w:lastColumn="0" w:oddVBand="0" w:evenVBand="0" w:oddHBand="0" w:evenHBand="0" w:firstRowFirstColumn="0" w:firstRowLastColumn="0" w:lastRowFirstColumn="0" w:lastRowLastColumn="0"/>
                    <w:rPr>
                      <w:b/>
                      <w:color w:val="B35E06" w:themeColor="accent1" w:themeShade="BF"/>
                    </w:rPr>
                  </w:pPr>
                </w:p>
              </w:tc>
            </w:tr>
            <w:tr w:rsidR="00426097" w14:paraId="0AE2ECAC"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75720E51" w14:textId="77777777" w:rsidR="00426097" w:rsidRPr="005C3B97" w:rsidRDefault="00426097" w:rsidP="00426097">
                  <w:pPr>
                    <w:ind w:left="119"/>
                    <w:rPr>
                      <w:b w:val="0"/>
                      <w:bCs w:val="0"/>
                      <w:i/>
                      <w:iCs/>
                    </w:rPr>
                  </w:pPr>
                  <w:r>
                    <w:rPr>
                      <w:b w:val="0"/>
                      <w:i/>
                      <w:iCs/>
                    </w:rPr>
                    <w:t>Electricity Generation</w:t>
                  </w:r>
                </w:p>
              </w:tc>
              <w:tc>
                <w:tcPr>
                  <w:tcW w:w="2228" w:type="pct"/>
                </w:tcPr>
                <w:p w14:paraId="339C367B" w14:textId="77777777" w:rsidR="00426097" w:rsidRDefault="00426097" w:rsidP="00426097">
                  <w:pPr>
                    <w:jc w:val="center"/>
                    <w:cnfStyle w:val="000000000000" w:firstRow="0" w:lastRow="0" w:firstColumn="0" w:lastColumn="0" w:oddVBand="0" w:evenVBand="0" w:oddHBand="0" w:evenHBand="0" w:firstRowFirstColumn="0" w:firstRowLastColumn="0" w:lastRowFirstColumn="0" w:lastRowLastColumn="0"/>
                  </w:pPr>
                </w:p>
              </w:tc>
            </w:tr>
            <w:tr w:rsidR="00426097" w14:paraId="27981CD9"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3E9E29BF" w14:textId="77777777" w:rsidR="00426097" w:rsidRPr="005C3B97" w:rsidRDefault="00426097" w:rsidP="00426097">
                  <w:pPr>
                    <w:ind w:left="119"/>
                    <w:rPr>
                      <w:b w:val="0"/>
                      <w:bCs w:val="0"/>
                      <w:i/>
                      <w:iCs/>
                    </w:rPr>
                  </w:pPr>
                  <w:r>
                    <w:rPr>
                      <w:b w:val="0"/>
                      <w:i/>
                      <w:iCs/>
                    </w:rPr>
                    <w:t xml:space="preserve">Buildings </w:t>
                  </w:r>
                </w:p>
              </w:tc>
              <w:tc>
                <w:tcPr>
                  <w:tcW w:w="2228" w:type="pct"/>
                </w:tcPr>
                <w:p w14:paraId="54B4651E" w14:textId="77777777" w:rsidR="00426097" w:rsidRDefault="00426097" w:rsidP="00426097">
                  <w:pPr>
                    <w:jc w:val="center"/>
                    <w:cnfStyle w:val="000000000000" w:firstRow="0" w:lastRow="0" w:firstColumn="0" w:lastColumn="0" w:oddVBand="0" w:evenVBand="0" w:oddHBand="0" w:evenHBand="0" w:firstRowFirstColumn="0" w:firstRowLastColumn="0" w:lastRowFirstColumn="0" w:lastRowLastColumn="0"/>
                  </w:pPr>
                </w:p>
              </w:tc>
            </w:tr>
            <w:tr w:rsidR="00426097" w14:paraId="0F8BF800"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1197685B" w14:textId="77777777" w:rsidR="00426097" w:rsidRPr="005C3B97" w:rsidRDefault="00426097" w:rsidP="00426097">
                  <w:pPr>
                    <w:ind w:left="119"/>
                    <w:rPr>
                      <w:b w:val="0"/>
                      <w:bCs w:val="0"/>
                      <w:i/>
                      <w:iCs/>
                    </w:rPr>
                  </w:pPr>
                  <w:r>
                    <w:rPr>
                      <w:b w:val="0"/>
                      <w:i/>
                      <w:iCs/>
                    </w:rPr>
                    <w:t>Transportation</w:t>
                  </w:r>
                </w:p>
              </w:tc>
              <w:tc>
                <w:tcPr>
                  <w:tcW w:w="2228" w:type="pct"/>
                </w:tcPr>
                <w:p w14:paraId="788B3562" w14:textId="77777777" w:rsidR="00426097" w:rsidRDefault="00426097" w:rsidP="00426097">
                  <w:pPr>
                    <w:jc w:val="center"/>
                    <w:cnfStyle w:val="000000000000" w:firstRow="0" w:lastRow="0" w:firstColumn="0" w:lastColumn="0" w:oddVBand="0" w:evenVBand="0" w:oddHBand="0" w:evenHBand="0" w:firstRowFirstColumn="0" w:firstRowLastColumn="0" w:lastRowFirstColumn="0" w:lastRowLastColumn="0"/>
                  </w:pPr>
                </w:p>
              </w:tc>
            </w:tr>
            <w:tr w:rsidR="00426097" w14:paraId="44B85CFB"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07B5D42C" w14:textId="77777777" w:rsidR="00426097" w:rsidRPr="005C3B97" w:rsidRDefault="00426097" w:rsidP="00426097">
                  <w:pPr>
                    <w:ind w:left="119"/>
                    <w:rPr>
                      <w:b w:val="0"/>
                      <w:bCs w:val="0"/>
                      <w:i/>
                      <w:iCs/>
                    </w:rPr>
                  </w:pPr>
                  <w:r>
                    <w:rPr>
                      <w:b w:val="0"/>
                      <w:i/>
                      <w:iCs/>
                    </w:rPr>
                    <w:t>Materials</w:t>
                  </w:r>
                </w:p>
              </w:tc>
              <w:tc>
                <w:tcPr>
                  <w:tcW w:w="2228" w:type="pct"/>
                </w:tcPr>
                <w:p w14:paraId="659949FD" w14:textId="77777777" w:rsidR="00426097" w:rsidRDefault="00426097" w:rsidP="00426097">
                  <w:pPr>
                    <w:jc w:val="center"/>
                    <w:cnfStyle w:val="000000000000" w:firstRow="0" w:lastRow="0" w:firstColumn="0" w:lastColumn="0" w:oddVBand="0" w:evenVBand="0" w:oddHBand="0" w:evenHBand="0" w:firstRowFirstColumn="0" w:firstRowLastColumn="0" w:lastRowFirstColumn="0" w:lastRowLastColumn="0"/>
                  </w:pPr>
                </w:p>
              </w:tc>
            </w:tr>
            <w:tr w:rsidR="00426097" w14:paraId="17593E2D"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6FD3DC80" w14:textId="77777777" w:rsidR="00426097" w:rsidRPr="005C3B97" w:rsidRDefault="00426097" w:rsidP="00426097">
                  <w:pPr>
                    <w:ind w:left="119"/>
                    <w:rPr>
                      <w:b w:val="0"/>
                      <w:bCs w:val="0"/>
                      <w:i/>
                      <w:iCs/>
                    </w:rPr>
                  </w:pPr>
                  <w:r>
                    <w:rPr>
                      <w:b w:val="0"/>
                      <w:i/>
                      <w:iCs/>
                    </w:rPr>
                    <w:t>Food System</w:t>
                  </w:r>
                </w:p>
              </w:tc>
              <w:tc>
                <w:tcPr>
                  <w:tcW w:w="2228" w:type="pct"/>
                </w:tcPr>
                <w:p w14:paraId="2DBF1A1B" w14:textId="77777777" w:rsidR="00426097" w:rsidRDefault="00426097" w:rsidP="00426097">
                  <w:pPr>
                    <w:jc w:val="center"/>
                    <w:cnfStyle w:val="000000000000" w:firstRow="0" w:lastRow="0" w:firstColumn="0" w:lastColumn="0" w:oddVBand="0" w:evenVBand="0" w:oddHBand="0" w:evenHBand="0" w:firstRowFirstColumn="0" w:firstRowLastColumn="0" w:lastRowFirstColumn="0" w:lastRowLastColumn="0"/>
                  </w:pPr>
                </w:p>
              </w:tc>
            </w:tr>
            <w:tr w:rsidR="00426097" w14:paraId="44EE7807"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6A619935" w14:textId="2EAD576A" w:rsidR="00426097" w:rsidRPr="00426097" w:rsidRDefault="00426097" w:rsidP="00426097">
                  <w:pPr>
                    <w:ind w:left="119"/>
                    <w:rPr>
                      <w:b w:val="0"/>
                      <w:i/>
                      <w:iCs/>
                    </w:rPr>
                  </w:pPr>
                  <w:r w:rsidRPr="00426097">
                    <w:rPr>
                      <w:b w:val="0"/>
                      <w:i/>
                      <w:iCs/>
                    </w:rPr>
                    <w:t>Land use</w:t>
                  </w:r>
                  <w:r>
                    <w:rPr>
                      <w:b w:val="0"/>
                      <w:i/>
                      <w:iCs/>
                    </w:rPr>
                    <w:t>*</w:t>
                  </w:r>
                </w:p>
              </w:tc>
              <w:tc>
                <w:tcPr>
                  <w:tcW w:w="2228" w:type="pct"/>
                </w:tcPr>
                <w:p w14:paraId="3D3F6ABC" w14:textId="6FFFBA5C" w:rsidR="00426097" w:rsidRDefault="00426097" w:rsidP="00426097">
                  <w:pPr>
                    <w:jc w:val="center"/>
                    <w:cnfStyle w:val="000000000000" w:firstRow="0" w:lastRow="0" w:firstColumn="0" w:lastColumn="0" w:oddVBand="0" w:evenVBand="0" w:oddHBand="0" w:evenHBand="0" w:firstRowFirstColumn="0" w:firstRowLastColumn="0" w:lastRowFirstColumn="0" w:lastRowLastColumn="0"/>
                  </w:pPr>
                  <w:r>
                    <w:t>0</w:t>
                  </w:r>
                </w:p>
              </w:tc>
            </w:tr>
            <w:tr w:rsidR="00426097" w14:paraId="3BDD1CE7" w14:textId="77777777" w:rsidTr="00426097">
              <w:trPr>
                <w:trHeight w:val="144"/>
              </w:trPr>
              <w:tc>
                <w:tcPr>
                  <w:cnfStyle w:val="001000000000" w:firstRow="0" w:lastRow="0" w:firstColumn="1" w:lastColumn="0" w:oddVBand="0" w:evenVBand="0" w:oddHBand="0" w:evenHBand="0" w:firstRowFirstColumn="0" w:firstRowLastColumn="0" w:lastRowFirstColumn="0" w:lastRowLastColumn="0"/>
                  <w:tcW w:w="2772" w:type="pct"/>
                </w:tcPr>
                <w:p w14:paraId="55B2F8F2" w14:textId="77777777" w:rsidR="00426097" w:rsidRPr="00DC69C1" w:rsidRDefault="00426097" w:rsidP="00426097">
                  <w:pPr>
                    <w:rPr>
                      <w:bCs w:val="0"/>
                      <w:iCs/>
                    </w:rPr>
                  </w:pPr>
                  <w:r w:rsidRPr="00DC69C1">
                    <w:rPr>
                      <w:iCs/>
                    </w:rPr>
                    <w:t>TOTAL</w:t>
                  </w:r>
                </w:p>
              </w:tc>
              <w:tc>
                <w:tcPr>
                  <w:tcW w:w="2228" w:type="pct"/>
                </w:tcPr>
                <w:p w14:paraId="4E054962" w14:textId="77777777" w:rsidR="00426097" w:rsidRPr="00AC5C8E" w:rsidRDefault="00426097" w:rsidP="00426097">
                  <w:pPr>
                    <w:jc w:val="center"/>
                    <w:cnfStyle w:val="000000000000" w:firstRow="0" w:lastRow="0" w:firstColumn="0" w:lastColumn="0" w:oddVBand="0" w:evenVBand="0" w:oddHBand="0" w:evenHBand="0" w:firstRowFirstColumn="0" w:firstRowLastColumn="0" w:lastRowFirstColumn="0" w:lastRowLastColumn="0"/>
                    <w:rPr>
                      <w:b/>
                    </w:rPr>
                  </w:pPr>
                  <w:r>
                    <w:rPr>
                      <w:b/>
                    </w:rPr>
                    <w:t>69.9</w:t>
                  </w:r>
                </w:p>
              </w:tc>
            </w:tr>
          </w:tbl>
          <w:p w14:paraId="5426F3C5" w14:textId="2E4EBA0A" w:rsidR="0022452E" w:rsidRPr="008E3F68" w:rsidRDefault="0022452E" w:rsidP="00426097">
            <w:pPr>
              <w:spacing w:after="60"/>
              <w:rPr>
                <w:i/>
                <w:iCs/>
                <w:sz w:val="20"/>
                <w:szCs w:val="20"/>
              </w:rPr>
            </w:pPr>
          </w:p>
        </w:tc>
      </w:tr>
      <w:tr w:rsidR="0022452E" w14:paraId="24548C55" w14:textId="77777777" w:rsidTr="00DD34E9">
        <w:tc>
          <w:tcPr>
            <w:tcW w:w="9350" w:type="dxa"/>
          </w:tcPr>
          <w:p w14:paraId="10E7B697" w14:textId="77777777" w:rsidR="0022452E" w:rsidRDefault="0022452E" w:rsidP="00DD34E9"/>
        </w:tc>
      </w:tr>
    </w:tbl>
    <w:p w14:paraId="24679AAD" w14:textId="71C32562" w:rsidR="0022452E" w:rsidRDefault="0022452E" w:rsidP="0022452E">
      <w:pPr>
        <w:rPr>
          <w:i/>
        </w:rPr>
      </w:pPr>
      <w:r>
        <w:t xml:space="preserve">*NOTE: </w:t>
      </w:r>
      <w:r w:rsidRPr="002E3D74">
        <w:t>land us</w:t>
      </w:r>
      <w:r>
        <w:t>age and related emissions</w:t>
      </w:r>
      <w:r w:rsidRPr="002E3D74">
        <w:t xml:space="preserve"> </w:t>
      </w:r>
      <w:r>
        <w:t>are</w:t>
      </w:r>
      <w:r w:rsidRPr="002E3D74">
        <w:t xml:space="preserve"> determined by estimations of Total Land Area (TLA) based on hectares of land in different land types, agroecological zones, and thermal-moisture regimes derived from data provided by the </w:t>
      </w:r>
      <w:r>
        <w:t>Food and Agriculture Organization of the United Nations (FAO)</w:t>
      </w:r>
      <w:r w:rsidRPr="002E3D74">
        <w:t xml:space="preserve"> and the International Institute for Applied Sy</w:t>
      </w:r>
      <w:r w:rsidR="00426097">
        <w:t>stems Analysis</w:t>
      </w:r>
      <w:r w:rsidRPr="002E3D74">
        <w:t>. Due to the high level of uncertainty related to the higher population scenario, land availability, and resource constraints, emissions reduction</w:t>
      </w:r>
      <w:r>
        <w:t>s</w:t>
      </w:r>
      <w:r w:rsidRPr="002E3D74">
        <w:t xml:space="preserve"> related to the land use sector </w:t>
      </w:r>
      <w:r>
        <w:t>were</w:t>
      </w:r>
      <w:r w:rsidRPr="002E3D74">
        <w:t xml:space="preserve"> not included in this analysis.</w:t>
      </w:r>
    </w:p>
    <w:p w14:paraId="5FFE7409" w14:textId="77777777" w:rsidR="00F52595" w:rsidRPr="00BA3289" w:rsidRDefault="00F52595" w:rsidP="00F52595">
      <w:pPr>
        <w:pStyle w:val="Heading1"/>
        <w:pBdr>
          <w:bottom w:val="single" w:sz="4" w:space="3" w:color="595959" w:themeColor="text1" w:themeTint="A6"/>
        </w:pBdr>
        <w:spacing w:before="0" w:after="0" w:line="240" w:lineRule="auto"/>
        <w:ind w:left="0"/>
        <w:sectPr w:rsidR="00F52595" w:rsidRPr="00BA3289">
          <w:pgSz w:w="12240" w:h="15840"/>
          <w:pgMar w:top="1440" w:right="1440" w:bottom="1440" w:left="1440" w:header="720" w:footer="720" w:gutter="0"/>
          <w:cols w:space="720"/>
        </w:sectPr>
      </w:pPr>
    </w:p>
    <w:p w14:paraId="638C27B6" w14:textId="4E9C5F3D" w:rsidR="00F52595" w:rsidRPr="00BA3289" w:rsidRDefault="00F52595" w:rsidP="00F52595">
      <w:pPr>
        <w:pStyle w:val="Heading1"/>
        <w:pBdr>
          <w:bottom w:val="single" w:sz="4" w:space="3" w:color="595959" w:themeColor="text1" w:themeTint="A6"/>
        </w:pBdr>
        <w:spacing w:before="0" w:after="0" w:line="240" w:lineRule="auto"/>
        <w:ind w:left="0"/>
      </w:pPr>
      <w:bookmarkStart w:id="83" w:name="_Toc74154070"/>
      <w:r w:rsidRPr="00BA3289">
        <w:t>Discussion</w:t>
      </w:r>
      <w:bookmarkEnd w:id="83"/>
    </w:p>
    <w:p w14:paraId="2D319E21" w14:textId="77777777" w:rsidR="00F52595" w:rsidRPr="00BA3289" w:rsidRDefault="00F52595" w:rsidP="008806DE">
      <w:pPr>
        <w:spacing w:after="0"/>
        <w:rPr>
          <w:rFonts w:asciiTheme="majorHAnsi" w:hAnsiTheme="majorHAnsi"/>
          <w:bCs/>
        </w:rPr>
      </w:pPr>
    </w:p>
    <w:p w14:paraId="61FEDB72" w14:textId="33606C88" w:rsidR="00FB504F" w:rsidRDefault="0088790F" w:rsidP="005B51C7">
      <w:pPr>
        <w:pStyle w:val="ListParagraph"/>
        <w:spacing w:line="276" w:lineRule="auto"/>
        <w:ind w:left="0"/>
        <w:jc w:val="both"/>
        <w:rPr>
          <w:sz w:val="24"/>
        </w:rPr>
      </w:pPr>
      <w:r w:rsidRPr="005B51C7">
        <w:rPr>
          <w:sz w:val="24"/>
        </w:rPr>
        <w:t xml:space="preserve">Today, an estimated 7.8 billion people inhabit this planet. By 2050, this number will undoubtedly increase, but how dramatic this increase will be, as well as the consequences of this increase in terms of emissions, </w:t>
      </w:r>
      <w:r w:rsidR="00CF3DC5">
        <w:rPr>
          <w:sz w:val="24"/>
        </w:rPr>
        <w:t xml:space="preserve">climate change and </w:t>
      </w:r>
      <w:r w:rsidRPr="005B51C7">
        <w:rPr>
          <w:sz w:val="24"/>
        </w:rPr>
        <w:t xml:space="preserve">planetary health, remains to be seen. </w:t>
      </w:r>
      <w:r w:rsidR="00FB504F" w:rsidRPr="005B51C7">
        <w:rPr>
          <w:sz w:val="24"/>
        </w:rPr>
        <w:t xml:space="preserve">Despite a backdrop of improved societal structure and advances in infrastructure and technology, the demand, production and consumption of </w:t>
      </w:r>
      <w:r w:rsidRPr="005B51C7">
        <w:rPr>
          <w:sz w:val="24"/>
        </w:rPr>
        <w:t xml:space="preserve">food, water, energy, and other resources </w:t>
      </w:r>
      <w:r w:rsidR="00FB504F" w:rsidRPr="005B51C7">
        <w:rPr>
          <w:sz w:val="24"/>
        </w:rPr>
        <w:t xml:space="preserve">will increase as the global population increases. While </w:t>
      </w:r>
      <w:r w:rsidR="00AC3D79" w:rsidRPr="005B51C7">
        <w:rPr>
          <w:sz w:val="24"/>
        </w:rPr>
        <w:t>acknowledging</w:t>
      </w:r>
      <w:r w:rsidR="00FB504F" w:rsidRPr="005B51C7">
        <w:rPr>
          <w:sz w:val="24"/>
        </w:rPr>
        <w:t xml:space="preserve"> that countries and regions with high population growth are not always the </w:t>
      </w:r>
      <w:r w:rsidR="006C031F" w:rsidRPr="005B51C7">
        <w:rPr>
          <w:sz w:val="24"/>
        </w:rPr>
        <w:t xml:space="preserve">same </w:t>
      </w:r>
      <w:r w:rsidR="00FB504F" w:rsidRPr="005B51C7">
        <w:rPr>
          <w:sz w:val="24"/>
        </w:rPr>
        <w:t xml:space="preserve">countries and regions contributing most towards GHG emissions, reducing the overall momentum and scale of global population growth is a </w:t>
      </w:r>
      <w:r w:rsidR="00004157" w:rsidRPr="005B51C7">
        <w:rPr>
          <w:sz w:val="24"/>
        </w:rPr>
        <w:t xml:space="preserve">definitive way to reduce the </w:t>
      </w:r>
      <w:r w:rsidR="00FB504F" w:rsidRPr="005B51C7">
        <w:rPr>
          <w:sz w:val="24"/>
        </w:rPr>
        <w:t xml:space="preserve">negative impacts of climate change on the planet. </w:t>
      </w:r>
      <w:r w:rsidR="00004157" w:rsidRPr="005B51C7">
        <w:rPr>
          <w:sz w:val="24"/>
        </w:rPr>
        <w:t xml:space="preserve">One </w:t>
      </w:r>
      <w:r w:rsidR="00FB504F" w:rsidRPr="005B51C7">
        <w:rPr>
          <w:sz w:val="24"/>
        </w:rPr>
        <w:t xml:space="preserve">of the most effective and certain rights-based approaches that slow unchecked population growth, through preventing unintended or unwanted pregnancies, is ensuring access to voluntary family planning and universal education for all. </w:t>
      </w:r>
    </w:p>
    <w:p w14:paraId="0A03D43C" w14:textId="77777777" w:rsidR="005B51C7" w:rsidRPr="005B51C7" w:rsidRDefault="005B51C7" w:rsidP="005B51C7">
      <w:pPr>
        <w:pStyle w:val="ListParagraph"/>
        <w:spacing w:line="276" w:lineRule="auto"/>
        <w:ind w:left="0"/>
        <w:jc w:val="both"/>
        <w:rPr>
          <w:sz w:val="24"/>
        </w:rPr>
      </w:pPr>
    </w:p>
    <w:p w14:paraId="7C9C8D69" w14:textId="24519A9A" w:rsidR="00554EA2" w:rsidRPr="005B51C7" w:rsidRDefault="006C031F" w:rsidP="005B51C7">
      <w:pPr>
        <w:pStyle w:val="ListParagraph"/>
        <w:spacing w:line="276" w:lineRule="auto"/>
        <w:ind w:left="0"/>
        <w:jc w:val="both"/>
        <w:rPr>
          <w:sz w:val="24"/>
        </w:rPr>
      </w:pPr>
      <w:r w:rsidRPr="005B51C7">
        <w:rPr>
          <w:sz w:val="24"/>
        </w:rPr>
        <w:t xml:space="preserve">As this TR has outlined, there are a few different scenarios that could unfold by 2050, depending on a combination of factors. Demographic factors such as population growth, the age structure of populations, the demographic dividend, urbanization, and household size all have a role to play in determining overall emissions over time. </w:t>
      </w:r>
      <w:r w:rsidR="00554EA2" w:rsidRPr="005B51C7">
        <w:rPr>
          <w:sz w:val="24"/>
        </w:rPr>
        <w:t>Beyond the profound societal benefits in advancing women’s empowerment, human rights and equity, t</w:t>
      </w:r>
      <w:r w:rsidRPr="005B51C7">
        <w:rPr>
          <w:sz w:val="24"/>
        </w:rPr>
        <w:t xml:space="preserve">he health and education sector solutions outlined in the preceding sections directly impact unsustainable population growth that is critical to mitigating climate change through reducing overall emissions. Although there is a lack of consensus on the precise significance </w:t>
      </w:r>
      <w:r w:rsidR="00CF3DC5">
        <w:rPr>
          <w:sz w:val="24"/>
        </w:rPr>
        <w:t xml:space="preserve">and weight </w:t>
      </w:r>
      <w:r w:rsidRPr="005B51C7">
        <w:rPr>
          <w:sz w:val="24"/>
        </w:rPr>
        <w:t>of the various i</w:t>
      </w:r>
      <w:r w:rsidR="00CF3DC5">
        <w:rPr>
          <w:sz w:val="24"/>
        </w:rPr>
        <w:t>nteractions between education</w:t>
      </w:r>
      <w:r w:rsidRPr="005B51C7">
        <w:rPr>
          <w:sz w:val="24"/>
        </w:rPr>
        <w:t xml:space="preserve">, family planning uptake, and fertility outcomes over time, it is </w:t>
      </w:r>
      <w:r w:rsidR="00CF3DC5">
        <w:rPr>
          <w:sz w:val="24"/>
        </w:rPr>
        <w:t>evident</w:t>
      </w:r>
      <w:r w:rsidRPr="005B51C7">
        <w:rPr>
          <w:sz w:val="24"/>
        </w:rPr>
        <w:t xml:space="preserve"> that these interventions are important </w:t>
      </w:r>
      <w:r w:rsidR="00554EA2" w:rsidRPr="005B51C7">
        <w:rPr>
          <w:sz w:val="24"/>
        </w:rPr>
        <w:t>yet often overlooked contributors toward the drawdown of GHG</w:t>
      </w:r>
      <w:r w:rsidR="007B5512" w:rsidRPr="005B51C7">
        <w:rPr>
          <w:sz w:val="24"/>
        </w:rPr>
        <w:t xml:space="preserve"> emissions</w:t>
      </w:r>
      <w:r w:rsidR="00554EA2" w:rsidRPr="005B51C7">
        <w:rPr>
          <w:sz w:val="24"/>
        </w:rPr>
        <w:t>.</w:t>
      </w:r>
    </w:p>
    <w:p w14:paraId="78A769AF" w14:textId="77777777" w:rsidR="006C031F" w:rsidRPr="005B51C7" w:rsidRDefault="006C031F" w:rsidP="005B51C7">
      <w:pPr>
        <w:pStyle w:val="ListParagraph"/>
        <w:spacing w:line="276" w:lineRule="auto"/>
        <w:ind w:left="0"/>
        <w:jc w:val="both"/>
        <w:rPr>
          <w:sz w:val="24"/>
        </w:rPr>
      </w:pPr>
    </w:p>
    <w:p w14:paraId="2E36DB2A" w14:textId="18C8CC88" w:rsidR="006C031F" w:rsidRPr="005B51C7" w:rsidRDefault="007B5512" w:rsidP="005B51C7">
      <w:pPr>
        <w:pStyle w:val="ListParagraph"/>
        <w:spacing w:line="276" w:lineRule="auto"/>
        <w:ind w:left="0"/>
        <w:jc w:val="both"/>
        <w:rPr>
          <w:sz w:val="24"/>
        </w:rPr>
      </w:pPr>
      <w:r w:rsidRPr="005B51C7">
        <w:rPr>
          <w:sz w:val="24"/>
        </w:rPr>
        <w:t xml:space="preserve">As mentioned above, it is important to recognize that while population growth maybe </w:t>
      </w:r>
      <w:r w:rsidR="006C031F" w:rsidRPr="005B51C7">
        <w:rPr>
          <w:sz w:val="24"/>
        </w:rPr>
        <w:t xml:space="preserve">highest in </w:t>
      </w:r>
      <w:r w:rsidRPr="005B51C7">
        <w:rPr>
          <w:sz w:val="24"/>
        </w:rPr>
        <w:t>LMICs</w:t>
      </w:r>
      <w:r w:rsidR="006C031F" w:rsidRPr="005B51C7">
        <w:rPr>
          <w:sz w:val="24"/>
        </w:rPr>
        <w:t xml:space="preserve">, emissions </w:t>
      </w:r>
      <w:r w:rsidRPr="005B51C7">
        <w:rPr>
          <w:sz w:val="24"/>
        </w:rPr>
        <w:t>per capita are greatest in high-</w:t>
      </w:r>
      <w:r w:rsidR="006C031F" w:rsidRPr="005B51C7">
        <w:rPr>
          <w:sz w:val="24"/>
        </w:rPr>
        <w:t xml:space="preserve">income countries. As </w:t>
      </w:r>
      <w:r w:rsidRPr="005B51C7">
        <w:rPr>
          <w:sz w:val="24"/>
        </w:rPr>
        <w:t xml:space="preserve">LMICs progress through the different </w:t>
      </w:r>
      <w:r w:rsidR="006C031F" w:rsidRPr="005B51C7">
        <w:rPr>
          <w:sz w:val="24"/>
        </w:rPr>
        <w:t>stages of the demographic transition</w:t>
      </w:r>
      <w:r w:rsidRPr="005B51C7">
        <w:rPr>
          <w:sz w:val="24"/>
        </w:rPr>
        <w:t>, their demand,</w:t>
      </w:r>
      <w:r w:rsidR="006C031F" w:rsidRPr="005B51C7">
        <w:rPr>
          <w:sz w:val="24"/>
        </w:rPr>
        <w:t xml:space="preserve"> </w:t>
      </w:r>
      <w:r w:rsidRPr="005B51C7">
        <w:rPr>
          <w:sz w:val="24"/>
        </w:rPr>
        <w:t xml:space="preserve">production and </w:t>
      </w:r>
      <w:r w:rsidR="006C031F" w:rsidRPr="005B51C7">
        <w:rPr>
          <w:sz w:val="24"/>
        </w:rPr>
        <w:t xml:space="preserve">consumption </w:t>
      </w:r>
      <w:r w:rsidRPr="005B51C7">
        <w:rPr>
          <w:sz w:val="24"/>
        </w:rPr>
        <w:t xml:space="preserve">patterns will mirror those that we see in high-income countries today. </w:t>
      </w:r>
      <w:r w:rsidR="006C031F" w:rsidRPr="005B51C7">
        <w:rPr>
          <w:sz w:val="24"/>
        </w:rPr>
        <w:t xml:space="preserve">This </w:t>
      </w:r>
      <w:r w:rsidRPr="005B51C7">
        <w:rPr>
          <w:sz w:val="24"/>
        </w:rPr>
        <w:t xml:space="preserve">effectively </w:t>
      </w:r>
      <w:r w:rsidR="006C031F" w:rsidRPr="005B51C7">
        <w:rPr>
          <w:sz w:val="24"/>
        </w:rPr>
        <w:t xml:space="preserve">means that even </w:t>
      </w:r>
      <w:r w:rsidRPr="005B51C7">
        <w:rPr>
          <w:sz w:val="24"/>
        </w:rPr>
        <w:t xml:space="preserve">if </w:t>
      </w:r>
      <w:r w:rsidR="006C031F" w:rsidRPr="005B51C7">
        <w:rPr>
          <w:sz w:val="24"/>
        </w:rPr>
        <w:t>population growth rates</w:t>
      </w:r>
      <w:r w:rsidRPr="005B51C7">
        <w:rPr>
          <w:sz w:val="24"/>
        </w:rPr>
        <w:t xml:space="preserve"> slow in LMICs</w:t>
      </w:r>
      <w:r w:rsidR="006C031F" w:rsidRPr="005B51C7">
        <w:rPr>
          <w:sz w:val="24"/>
        </w:rPr>
        <w:t>, their contribution to</w:t>
      </w:r>
      <w:r w:rsidRPr="005B51C7">
        <w:rPr>
          <w:sz w:val="24"/>
        </w:rPr>
        <w:t>wards</w:t>
      </w:r>
      <w:r w:rsidR="006C031F" w:rsidRPr="005B51C7">
        <w:rPr>
          <w:sz w:val="24"/>
        </w:rPr>
        <w:t xml:space="preserve"> global emissions </w:t>
      </w:r>
      <w:r w:rsidRPr="005B51C7">
        <w:rPr>
          <w:sz w:val="24"/>
        </w:rPr>
        <w:t>may increase due to an</w:t>
      </w:r>
      <w:r w:rsidR="006C031F" w:rsidRPr="005B51C7">
        <w:rPr>
          <w:sz w:val="24"/>
        </w:rPr>
        <w:t xml:space="preserve"> increase in per capita emissions. </w:t>
      </w:r>
      <w:r w:rsidRPr="005B51C7">
        <w:rPr>
          <w:sz w:val="24"/>
        </w:rPr>
        <w:t xml:space="preserve">The emissions reductions possible in the different Drawdown scenarios in low fertility countries are much greater than those in medium and high fertility countries combined. Therefore, it is important that strategies focused on changing emission patterns are alongside health and education sector solutions focused on reducing </w:t>
      </w:r>
      <w:r w:rsidR="006C031F" w:rsidRPr="005B51C7">
        <w:rPr>
          <w:sz w:val="24"/>
        </w:rPr>
        <w:t xml:space="preserve">the </w:t>
      </w:r>
      <w:r w:rsidRPr="005B51C7">
        <w:rPr>
          <w:sz w:val="24"/>
        </w:rPr>
        <w:t>total number of future emitters</w:t>
      </w:r>
      <w:r w:rsidR="006C031F" w:rsidRPr="005B51C7">
        <w:rPr>
          <w:sz w:val="24"/>
        </w:rPr>
        <w:t xml:space="preserve">. </w:t>
      </w:r>
      <w:r w:rsidRPr="005B51C7">
        <w:rPr>
          <w:sz w:val="24"/>
        </w:rPr>
        <w:t xml:space="preserve">Climate and planetary health education is key to achieving this; if today’s children and youth are educated and encouraged to actively participate in climate action and leadership, </w:t>
      </w:r>
      <w:r w:rsidR="006C031F" w:rsidRPr="005B51C7">
        <w:rPr>
          <w:sz w:val="24"/>
        </w:rPr>
        <w:t xml:space="preserve">they will have the </w:t>
      </w:r>
      <w:r w:rsidR="00A27B1A">
        <w:rPr>
          <w:sz w:val="24"/>
        </w:rPr>
        <w:t>skills, mindsets</w:t>
      </w:r>
      <w:r w:rsidR="006C031F" w:rsidRPr="005B51C7">
        <w:rPr>
          <w:sz w:val="24"/>
        </w:rPr>
        <w:t xml:space="preserve"> and understanding to adopt behaviors that will </w:t>
      </w:r>
      <w:r w:rsidR="00A27B1A">
        <w:rPr>
          <w:sz w:val="24"/>
        </w:rPr>
        <w:t>enable</w:t>
      </w:r>
      <w:r w:rsidR="006C031F" w:rsidRPr="005B51C7">
        <w:rPr>
          <w:sz w:val="24"/>
        </w:rPr>
        <w:t xml:space="preserve"> </w:t>
      </w:r>
      <w:r w:rsidR="005B51C7" w:rsidRPr="005B51C7">
        <w:rPr>
          <w:sz w:val="24"/>
        </w:rPr>
        <w:t>their future</w:t>
      </w:r>
      <w:r w:rsidR="006C031F" w:rsidRPr="005B51C7">
        <w:rPr>
          <w:sz w:val="24"/>
        </w:rPr>
        <w:t xml:space="preserve"> families and communities </w:t>
      </w:r>
      <w:r w:rsidR="00A27B1A">
        <w:rPr>
          <w:sz w:val="24"/>
        </w:rPr>
        <w:t xml:space="preserve">better </w:t>
      </w:r>
      <w:r w:rsidR="006C031F" w:rsidRPr="005B51C7">
        <w:rPr>
          <w:sz w:val="24"/>
        </w:rPr>
        <w:t xml:space="preserve">adapt to climate change.     </w:t>
      </w:r>
    </w:p>
    <w:p w14:paraId="0982B6CC" w14:textId="77777777" w:rsidR="006C031F" w:rsidRPr="005B51C7" w:rsidRDefault="006C031F" w:rsidP="005B51C7">
      <w:pPr>
        <w:pStyle w:val="ListParagraph"/>
        <w:spacing w:line="276" w:lineRule="auto"/>
        <w:ind w:left="0"/>
        <w:jc w:val="both"/>
        <w:rPr>
          <w:sz w:val="24"/>
        </w:rPr>
      </w:pPr>
    </w:p>
    <w:p w14:paraId="148BBE41" w14:textId="33F2C9D8" w:rsidR="004B3779" w:rsidRDefault="004B3779" w:rsidP="00E84A82">
      <w:pPr>
        <w:pStyle w:val="Heading2"/>
        <w:rPr>
          <w:lang w:eastAsia="en-US"/>
        </w:rPr>
      </w:pPr>
      <w:bookmarkStart w:id="84" w:name="_Toc74154071"/>
      <w:r>
        <w:rPr>
          <w:lang w:eastAsia="en-US"/>
        </w:rPr>
        <w:t>Key highlights</w:t>
      </w:r>
      <w:bookmarkEnd w:id="84"/>
    </w:p>
    <w:p w14:paraId="043637FE" w14:textId="34E67495" w:rsidR="00E33459" w:rsidRDefault="00AB34A4" w:rsidP="00AB34A4">
      <w:pPr>
        <w:pStyle w:val="ListParagraph"/>
        <w:numPr>
          <w:ilvl w:val="0"/>
          <w:numId w:val="13"/>
        </w:numPr>
        <w:jc w:val="both"/>
        <w:rPr>
          <w:sz w:val="24"/>
        </w:rPr>
      </w:pPr>
      <w:r>
        <w:rPr>
          <w:sz w:val="24"/>
        </w:rPr>
        <w:t xml:space="preserve">The PDS models have been updated with the latest UN population projections from 2019. </w:t>
      </w:r>
      <w:r w:rsidR="00AA6FD1">
        <w:rPr>
          <w:sz w:val="24"/>
        </w:rPr>
        <w:t xml:space="preserve">Estimates </w:t>
      </w:r>
      <w:r>
        <w:rPr>
          <w:sz w:val="24"/>
        </w:rPr>
        <w:t>now indicate that i</w:t>
      </w:r>
      <w:r w:rsidR="00E33459">
        <w:rPr>
          <w:sz w:val="24"/>
        </w:rPr>
        <w:t>n a Plausible/Ambitious scenario,</w:t>
      </w:r>
      <w:r w:rsidR="00E33459" w:rsidRPr="00E33459">
        <w:rPr>
          <w:sz w:val="24"/>
        </w:rPr>
        <w:t xml:space="preserve"> </w:t>
      </w:r>
      <w:r w:rsidR="00AA6FD1">
        <w:rPr>
          <w:sz w:val="24"/>
        </w:rPr>
        <w:t xml:space="preserve">adoption of the Health and Education solutions result in a decrease of </w:t>
      </w:r>
      <w:r w:rsidR="00AA6FD1" w:rsidRPr="00AA6FD1">
        <w:rPr>
          <w:sz w:val="24"/>
          <w:highlight w:val="yellow"/>
        </w:rPr>
        <w:t>69.9</w:t>
      </w:r>
      <w:r w:rsidR="00AA6FD1">
        <w:rPr>
          <w:sz w:val="24"/>
        </w:rPr>
        <w:t xml:space="preserve"> Gt of GHG emissions. The difference in estimates between 201</w:t>
      </w:r>
      <w:r w:rsidR="008C4798">
        <w:rPr>
          <w:sz w:val="24"/>
        </w:rPr>
        <w:t>5</w:t>
      </w:r>
      <w:r w:rsidR="00AA6FD1">
        <w:rPr>
          <w:sz w:val="24"/>
        </w:rPr>
        <w:t xml:space="preserve"> and 2019 of an</w:t>
      </w:r>
      <w:r w:rsidR="00E33459">
        <w:rPr>
          <w:sz w:val="24"/>
        </w:rPr>
        <w:t xml:space="preserve"> 18</w:t>
      </w:r>
      <w:r w:rsidR="00E33459" w:rsidRPr="00E33459">
        <w:rPr>
          <w:sz w:val="24"/>
        </w:rPr>
        <w:t>% reduction in global population</w:t>
      </w:r>
      <w:r w:rsidR="00E33459">
        <w:rPr>
          <w:sz w:val="24"/>
        </w:rPr>
        <w:t xml:space="preserve"> by 2050 will likely result in a 15% reduction in GHG </w:t>
      </w:r>
      <w:r w:rsidR="00AA6FD1">
        <w:rPr>
          <w:sz w:val="24"/>
        </w:rPr>
        <w:t xml:space="preserve">emissions. </w:t>
      </w:r>
    </w:p>
    <w:p w14:paraId="162F9555" w14:textId="55B429C5" w:rsidR="00E33459" w:rsidRDefault="00E33459" w:rsidP="00AB34A4">
      <w:pPr>
        <w:pStyle w:val="ListParagraph"/>
        <w:numPr>
          <w:ilvl w:val="0"/>
          <w:numId w:val="13"/>
        </w:numPr>
        <w:jc w:val="both"/>
        <w:rPr>
          <w:sz w:val="24"/>
        </w:rPr>
      </w:pPr>
      <w:r>
        <w:rPr>
          <w:sz w:val="24"/>
        </w:rPr>
        <w:t>While rates of educational attainment and uptake of voluntary family planning have improved in recent years through concerted efforts and investment, there is still much to be done in order to ensure equitable access to universal education and quality SRHR services globally. Regional disparities continue to exist, particularly in SSA</w:t>
      </w:r>
      <w:r w:rsidR="003F274E">
        <w:rPr>
          <w:sz w:val="24"/>
        </w:rPr>
        <w:t xml:space="preserve"> and low-resource settings</w:t>
      </w:r>
      <w:r>
        <w:rPr>
          <w:sz w:val="24"/>
        </w:rPr>
        <w:t xml:space="preserve">. </w:t>
      </w:r>
    </w:p>
    <w:p w14:paraId="57E05485" w14:textId="356F9EE2" w:rsidR="00E33459" w:rsidRPr="00AB34A4" w:rsidRDefault="00E33459" w:rsidP="00FD2C5C">
      <w:pPr>
        <w:pStyle w:val="ListParagraph"/>
        <w:numPr>
          <w:ilvl w:val="0"/>
          <w:numId w:val="13"/>
        </w:numPr>
        <w:jc w:val="both"/>
        <w:rPr>
          <w:sz w:val="24"/>
        </w:rPr>
      </w:pPr>
      <w:r w:rsidRPr="00AB34A4">
        <w:rPr>
          <w:sz w:val="24"/>
        </w:rPr>
        <w:t xml:space="preserve">In order to inch closer towards the </w:t>
      </w:r>
      <w:r w:rsidR="004164A2">
        <w:rPr>
          <w:sz w:val="24"/>
        </w:rPr>
        <w:t xml:space="preserve">Plausible/Ambitious and  </w:t>
      </w:r>
      <w:r w:rsidRPr="00AB34A4">
        <w:rPr>
          <w:sz w:val="24"/>
        </w:rPr>
        <w:t>Maximum scenario</w:t>
      </w:r>
      <w:r w:rsidR="004164A2">
        <w:rPr>
          <w:sz w:val="24"/>
        </w:rPr>
        <w:t>s</w:t>
      </w:r>
      <w:r w:rsidRPr="00AB34A4">
        <w:rPr>
          <w:sz w:val="24"/>
        </w:rPr>
        <w:t xml:space="preserve">, </w:t>
      </w:r>
      <w:r w:rsidR="003F274E">
        <w:rPr>
          <w:sz w:val="24"/>
        </w:rPr>
        <w:t>sustained and collaborative initiatives focused on</w:t>
      </w:r>
      <w:r w:rsidRPr="00AB34A4">
        <w:rPr>
          <w:sz w:val="24"/>
        </w:rPr>
        <w:t xml:space="preserve"> reducing poverty, </w:t>
      </w:r>
      <w:r w:rsidR="00AB34A4" w:rsidRPr="00AB34A4">
        <w:rPr>
          <w:sz w:val="24"/>
        </w:rPr>
        <w:t xml:space="preserve">addressing urbanization, </w:t>
      </w:r>
      <w:r w:rsidRPr="00AB34A4">
        <w:rPr>
          <w:sz w:val="24"/>
        </w:rPr>
        <w:t xml:space="preserve">increasing funding for both education and SRHR services, and </w:t>
      </w:r>
      <w:r w:rsidR="00AB34A4" w:rsidRPr="00AB34A4">
        <w:rPr>
          <w:sz w:val="24"/>
        </w:rPr>
        <w:t xml:space="preserve">advancing </w:t>
      </w:r>
      <w:r w:rsidRPr="00AB34A4">
        <w:rPr>
          <w:sz w:val="24"/>
        </w:rPr>
        <w:t xml:space="preserve">climate and planetary education will be critical. </w:t>
      </w:r>
      <w:r w:rsidR="00AB34A4" w:rsidRPr="00AB34A4">
        <w:rPr>
          <w:sz w:val="24"/>
        </w:rPr>
        <w:t>T</w:t>
      </w:r>
      <w:r w:rsidRPr="00AB34A4">
        <w:rPr>
          <w:sz w:val="24"/>
        </w:rPr>
        <w:t>he COVID-19 pandemic has had</w:t>
      </w:r>
      <w:r w:rsidR="00AB34A4" w:rsidRPr="00AB34A4">
        <w:rPr>
          <w:sz w:val="24"/>
        </w:rPr>
        <w:t xml:space="preserve"> drastic effects</w:t>
      </w:r>
      <w:r w:rsidRPr="00AB34A4">
        <w:rPr>
          <w:sz w:val="24"/>
        </w:rPr>
        <w:t xml:space="preserve"> on </w:t>
      </w:r>
      <w:r w:rsidR="00AB34A4" w:rsidRPr="00AB34A4">
        <w:rPr>
          <w:sz w:val="24"/>
        </w:rPr>
        <w:t xml:space="preserve">development </w:t>
      </w:r>
      <w:r w:rsidRPr="00AB34A4">
        <w:rPr>
          <w:sz w:val="24"/>
        </w:rPr>
        <w:t xml:space="preserve">and </w:t>
      </w:r>
      <w:r w:rsidR="00AB34A4" w:rsidRPr="00AB34A4">
        <w:rPr>
          <w:sz w:val="24"/>
        </w:rPr>
        <w:t xml:space="preserve">investment in all of these areas, and the next few years are likely to see slow progress on this front as the world rebounds and recovers from the pandemic. </w:t>
      </w:r>
    </w:p>
    <w:p w14:paraId="5D39B56F" w14:textId="77777777" w:rsidR="00E33459" w:rsidRPr="00E33459" w:rsidRDefault="00E33459" w:rsidP="00E33459">
      <w:pPr>
        <w:rPr>
          <w:sz w:val="24"/>
        </w:rPr>
      </w:pPr>
    </w:p>
    <w:p w14:paraId="5361B0E8" w14:textId="3AD8DC89" w:rsidR="004B3779" w:rsidRPr="00BA3289" w:rsidRDefault="004B3779" w:rsidP="00E84A82">
      <w:pPr>
        <w:pStyle w:val="Heading2"/>
        <w:rPr>
          <w:lang w:eastAsia="en-US"/>
        </w:rPr>
      </w:pPr>
      <w:bookmarkStart w:id="85" w:name="_Toc74154072"/>
      <w:r>
        <w:rPr>
          <w:lang w:eastAsia="en-US"/>
        </w:rPr>
        <w:t>Limitations</w:t>
      </w:r>
      <w:bookmarkEnd w:id="85"/>
      <w:r>
        <w:rPr>
          <w:lang w:eastAsia="en-US"/>
        </w:rPr>
        <w:t xml:space="preserve"> </w:t>
      </w:r>
    </w:p>
    <w:p w14:paraId="1E76CB5D" w14:textId="05F3935E" w:rsidR="00A56720" w:rsidRDefault="00662641" w:rsidP="00A56720">
      <w:pPr>
        <w:pStyle w:val="ListParagraph"/>
        <w:spacing w:line="276" w:lineRule="auto"/>
        <w:ind w:left="0"/>
        <w:jc w:val="both"/>
        <w:rPr>
          <w:sz w:val="24"/>
        </w:rPr>
      </w:pPr>
      <w:r>
        <w:rPr>
          <w:sz w:val="24"/>
        </w:rPr>
        <w:t xml:space="preserve">In attempting to provide a comprehensive and technical overview of the Health and Education sector of Project Drawdown, some areas remain unexplored and outside the scope of this TR. For instance, while advocating for universal education and 12 years of complete schooling for both girls and boys, the direct impact of boys’ education on fertility decisions, as well as choices about family size, the spacing of children, and the voluntary uptake of family planning id currently unknown. This is due to the measure of fertility </w:t>
      </w:r>
      <w:r w:rsidR="00E86A8B">
        <w:rPr>
          <w:sz w:val="24"/>
        </w:rPr>
        <w:t xml:space="preserve">inherently </w:t>
      </w:r>
      <w:r>
        <w:rPr>
          <w:sz w:val="24"/>
        </w:rPr>
        <w:t>tied to women’s reproductive choices and</w:t>
      </w:r>
      <w:r w:rsidR="00E86A8B">
        <w:rPr>
          <w:sz w:val="24"/>
        </w:rPr>
        <w:t xml:space="preserve"> birth</w:t>
      </w:r>
      <w:r>
        <w:rPr>
          <w:sz w:val="24"/>
        </w:rPr>
        <w:t xml:space="preserve"> outcomes, as well as the difficulty in quantifying the role of men in decisions around family planning uptake</w:t>
      </w:r>
      <w:r w:rsidR="00E86A8B">
        <w:rPr>
          <w:sz w:val="24"/>
        </w:rPr>
        <w:t xml:space="preserve"> and SRHR</w:t>
      </w:r>
      <w:r>
        <w:rPr>
          <w:sz w:val="24"/>
        </w:rPr>
        <w:t>. To date, there have</w:t>
      </w:r>
      <w:r w:rsidR="00E86A8B">
        <w:rPr>
          <w:sz w:val="24"/>
        </w:rPr>
        <w:t xml:space="preserve"> also</w:t>
      </w:r>
      <w:r>
        <w:rPr>
          <w:sz w:val="24"/>
        </w:rPr>
        <w:t xml:space="preserve"> been very few studies that have focused on the association between universal education and population shifts over time, mainly due to the complexity and multi-level relationships that exist in this domain. </w:t>
      </w:r>
    </w:p>
    <w:p w14:paraId="09D301AB" w14:textId="561EEEA0" w:rsidR="00A56720" w:rsidRDefault="00662641" w:rsidP="00E37DA6">
      <w:pPr>
        <w:spacing w:line="276" w:lineRule="auto"/>
        <w:jc w:val="both"/>
        <w:rPr>
          <w:sz w:val="24"/>
        </w:rPr>
      </w:pPr>
      <w:r>
        <w:rPr>
          <w:sz w:val="24"/>
        </w:rPr>
        <w:t xml:space="preserve">Financial estimates have not yet been incorporated into the population emission model, and therefore the costs involved for implementing the solutions in this sector are yet to be determined. </w:t>
      </w:r>
      <w:r w:rsidR="00E86A8B">
        <w:rPr>
          <w:sz w:val="24"/>
        </w:rPr>
        <w:t xml:space="preserve">Again, this is due to challenges in accurately estimating the dynamic and complex costs of providing quality education and health services that are accessible to all. In similar vein, the impact of global, regional and national policies, directives and funding on the education and health was not analyzed in this report, due to the depth and breadth of that analyses being outside the scope of this TR. </w:t>
      </w:r>
    </w:p>
    <w:p w14:paraId="7BB5665C" w14:textId="2E60A2AC" w:rsidR="00E37DA6" w:rsidRDefault="00E37DA6" w:rsidP="00E37DA6">
      <w:pPr>
        <w:spacing w:line="276" w:lineRule="auto"/>
        <w:jc w:val="both"/>
        <w:rPr>
          <w:sz w:val="24"/>
        </w:rPr>
      </w:pPr>
      <w:r>
        <w:rPr>
          <w:sz w:val="24"/>
        </w:rPr>
        <w:t>It is also important to reiterate that the methodology and research that form the foundation of Project Drawdown’s work is constantly evolving and changing based on new data, improved modelling and new, innovative solutions in the field of climate change. As such, the estimates and information provided in this report are an accurate reflection of the most current and updated TAM and population projections that are available. Yet these numbers are bound to change in the months and years to come and may look very different in the near future, particularly in light of the way the world has changed and reacted to the COVID-19 pandemic and while different nations, sectors and societies continue to recover in their own way. By the same token, Project Drawdown’s outcomes and outputs will continue to be guided by new data, technological advances and scientific discoveries to come.</w:t>
      </w:r>
    </w:p>
    <w:p w14:paraId="57AD51F1" w14:textId="77777777" w:rsidR="00A56720" w:rsidRDefault="00A56720" w:rsidP="00A56720"/>
    <w:p w14:paraId="3D5488BE" w14:textId="77777777" w:rsidR="005E57D3" w:rsidRDefault="005E57D3" w:rsidP="005E57D3">
      <w:pPr>
        <w:spacing w:after="0"/>
        <w:jc w:val="both"/>
      </w:pPr>
    </w:p>
    <w:p w14:paraId="6F0EB1A5" w14:textId="524B93DD" w:rsidR="00EB33BF" w:rsidRDefault="00EB33BF">
      <w:r>
        <w:br w:type="page"/>
      </w:r>
    </w:p>
    <w:p w14:paraId="76E96F04" w14:textId="5B43652F" w:rsidR="00434F61" w:rsidRPr="00BA3289" w:rsidRDefault="00434F61" w:rsidP="005B51C7">
      <w:pPr>
        <w:pStyle w:val="Heading1"/>
        <w:spacing w:before="0" w:after="0" w:line="240" w:lineRule="auto"/>
        <w:ind w:left="0"/>
      </w:pPr>
      <w:bookmarkStart w:id="86" w:name="_Toc74154073"/>
      <w:r w:rsidRPr="00BA3289">
        <w:t>Reference</w:t>
      </w:r>
      <w:r w:rsidR="0066787A" w:rsidRPr="00BA3289">
        <w:t>s</w:t>
      </w:r>
      <w:bookmarkEnd w:id="86"/>
    </w:p>
    <w:p w14:paraId="7454D80C" w14:textId="77777777" w:rsidR="00434F61" w:rsidRPr="00BA3289" w:rsidRDefault="00434F61" w:rsidP="00B144E5">
      <w:pPr>
        <w:spacing w:after="0"/>
        <w:rPr>
          <w:rFonts w:asciiTheme="majorHAnsi" w:hAnsiTheme="majorHAnsi"/>
          <w:bCs/>
        </w:rPr>
      </w:pPr>
    </w:p>
    <w:p w14:paraId="01351D4A" w14:textId="77777777" w:rsidR="00167929" w:rsidRPr="00167929" w:rsidRDefault="00167929" w:rsidP="00167929">
      <w:pPr>
        <w:pStyle w:val="Bibliography"/>
        <w:rPr>
          <w:rFonts w:ascii="Calibri" w:hAnsi="Calibri" w:cs="Calibri"/>
        </w:rPr>
      </w:pPr>
      <w:r w:rsidRPr="00167929">
        <w:rPr>
          <w:rFonts w:ascii="Calibri" w:hAnsi="Calibri" w:cs="Calibri"/>
        </w:rPr>
        <w:t xml:space="preserve">Ali, M., &amp; Bellows, B. (2018). </w:t>
      </w:r>
      <w:r w:rsidRPr="00167929">
        <w:rPr>
          <w:rFonts w:ascii="Calibri" w:hAnsi="Calibri" w:cs="Calibri"/>
          <w:i/>
          <w:iCs/>
        </w:rPr>
        <w:t>Ensuring adequate financing of family planning commodities and services</w:t>
      </w:r>
      <w:r w:rsidRPr="00167929">
        <w:rPr>
          <w:rFonts w:ascii="Calibri" w:hAnsi="Calibri" w:cs="Calibri"/>
        </w:rPr>
        <w:t>. Population Council. https://doi.org/10.31899/rh4.1004</w:t>
      </w:r>
    </w:p>
    <w:p w14:paraId="6DB15514" w14:textId="77777777" w:rsidR="00167929" w:rsidRPr="00167929" w:rsidRDefault="00167929" w:rsidP="00167929">
      <w:pPr>
        <w:pStyle w:val="Bibliography"/>
        <w:rPr>
          <w:rFonts w:ascii="Calibri" w:hAnsi="Calibri" w:cs="Calibri"/>
        </w:rPr>
      </w:pPr>
      <w:r w:rsidRPr="00167929">
        <w:rPr>
          <w:rFonts w:ascii="Calibri" w:hAnsi="Calibri" w:cs="Calibri"/>
        </w:rPr>
        <w:t xml:space="preserve">Anderson, A. (2010). </w:t>
      </w:r>
      <w:r w:rsidRPr="00167929">
        <w:rPr>
          <w:rFonts w:ascii="Calibri" w:hAnsi="Calibri" w:cs="Calibri"/>
          <w:i/>
          <w:iCs/>
        </w:rPr>
        <w:t>Combating climate change through quality education</w:t>
      </w:r>
      <w:r w:rsidRPr="00167929">
        <w:rPr>
          <w:rFonts w:ascii="Calibri" w:hAnsi="Calibri" w:cs="Calibri"/>
        </w:rPr>
        <w:t>. The Brookings Institution.</w:t>
      </w:r>
    </w:p>
    <w:p w14:paraId="4719DF1F" w14:textId="77777777" w:rsidR="00167929" w:rsidRPr="00167929" w:rsidRDefault="00167929" w:rsidP="00167929">
      <w:pPr>
        <w:pStyle w:val="Bibliography"/>
        <w:rPr>
          <w:rFonts w:ascii="Calibri" w:hAnsi="Calibri" w:cs="Calibri"/>
        </w:rPr>
      </w:pPr>
      <w:r w:rsidRPr="00167929">
        <w:rPr>
          <w:rFonts w:ascii="Calibri" w:hAnsi="Calibri" w:cs="Calibri"/>
        </w:rPr>
        <w:t xml:space="preserve">Anderson, T., &amp; Kohler, H.-P. (2015). Low Fertility, Socioeconomic Development, and Gender Equity. </w:t>
      </w:r>
      <w:r w:rsidRPr="00167929">
        <w:rPr>
          <w:rFonts w:ascii="Calibri" w:hAnsi="Calibri" w:cs="Calibri"/>
          <w:i/>
          <w:iCs/>
        </w:rPr>
        <w:t>Population and Development Review</w:t>
      </w:r>
      <w:r w:rsidRPr="00167929">
        <w:rPr>
          <w:rFonts w:ascii="Calibri" w:hAnsi="Calibri" w:cs="Calibri"/>
        </w:rPr>
        <w:t xml:space="preserve">, </w:t>
      </w:r>
      <w:r w:rsidRPr="00167929">
        <w:rPr>
          <w:rFonts w:ascii="Calibri" w:hAnsi="Calibri" w:cs="Calibri"/>
          <w:i/>
          <w:iCs/>
        </w:rPr>
        <w:t>41</w:t>
      </w:r>
      <w:r w:rsidRPr="00167929">
        <w:rPr>
          <w:rFonts w:ascii="Calibri" w:hAnsi="Calibri" w:cs="Calibri"/>
        </w:rPr>
        <w:t>(3), 381–407. https://doi.org/10.1111/j.1728-4457.2015.00065.x</w:t>
      </w:r>
    </w:p>
    <w:p w14:paraId="46917B35" w14:textId="77777777" w:rsidR="00167929" w:rsidRPr="00167929" w:rsidRDefault="00167929" w:rsidP="00167929">
      <w:pPr>
        <w:pStyle w:val="Bibliography"/>
        <w:rPr>
          <w:rFonts w:ascii="Calibri" w:hAnsi="Calibri" w:cs="Calibri"/>
        </w:rPr>
      </w:pPr>
      <w:r w:rsidRPr="00167929">
        <w:rPr>
          <w:rFonts w:ascii="Calibri" w:hAnsi="Calibri" w:cs="Calibri"/>
        </w:rPr>
        <w:t xml:space="preserve">Arokiasamy, P., McNay, K., &amp; Cassen, R. H. (2004). Female Education and Fertility Decline: Recent Developments in the Relationship. </w:t>
      </w:r>
      <w:r w:rsidRPr="00167929">
        <w:rPr>
          <w:rFonts w:ascii="Calibri" w:hAnsi="Calibri" w:cs="Calibri"/>
          <w:i/>
          <w:iCs/>
        </w:rPr>
        <w:t>Economic and Political Weekly</w:t>
      </w:r>
      <w:r w:rsidRPr="00167929">
        <w:rPr>
          <w:rFonts w:ascii="Calibri" w:hAnsi="Calibri" w:cs="Calibri"/>
        </w:rPr>
        <w:t xml:space="preserve">, </w:t>
      </w:r>
      <w:r w:rsidRPr="00167929">
        <w:rPr>
          <w:rFonts w:ascii="Calibri" w:hAnsi="Calibri" w:cs="Calibri"/>
          <w:i/>
          <w:iCs/>
        </w:rPr>
        <w:t>39</w:t>
      </w:r>
      <w:r w:rsidRPr="00167929">
        <w:rPr>
          <w:rFonts w:ascii="Calibri" w:hAnsi="Calibri" w:cs="Calibri"/>
        </w:rPr>
        <w:t>(41), 4503–4507.</w:t>
      </w:r>
    </w:p>
    <w:p w14:paraId="56307D04" w14:textId="77777777" w:rsidR="00167929" w:rsidRPr="00167929" w:rsidRDefault="00167929" w:rsidP="00167929">
      <w:pPr>
        <w:pStyle w:val="Bibliography"/>
        <w:rPr>
          <w:rFonts w:ascii="Calibri" w:hAnsi="Calibri" w:cs="Calibri"/>
        </w:rPr>
      </w:pPr>
      <w:r w:rsidRPr="00167929">
        <w:rPr>
          <w:rFonts w:ascii="Calibri" w:hAnsi="Calibri" w:cs="Calibri"/>
        </w:rPr>
        <w:t xml:space="preserve">Basu, A. M. (2002). Why does Education Lead to Lower Fertility? A Critical Review of Some of the Possibilities. </w:t>
      </w:r>
      <w:r w:rsidRPr="00167929">
        <w:rPr>
          <w:rFonts w:ascii="Calibri" w:hAnsi="Calibri" w:cs="Calibri"/>
          <w:i/>
          <w:iCs/>
        </w:rPr>
        <w:t>World Development</w:t>
      </w:r>
      <w:r w:rsidRPr="00167929">
        <w:rPr>
          <w:rFonts w:ascii="Calibri" w:hAnsi="Calibri" w:cs="Calibri"/>
        </w:rPr>
        <w:t xml:space="preserve">, </w:t>
      </w:r>
      <w:r w:rsidRPr="00167929">
        <w:rPr>
          <w:rFonts w:ascii="Calibri" w:hAnsi="Calibri" w:cs="Calibri"/>
          <w:i/>
          <w:iCs/>
        </w:rPr>
        <w:t>30</w:t>
      </w:r>
      <w:r w:rsidRPr="00167929">
        <w:rPr>
          <w:rFonts w:ascii="Calibri" w:hAnsi="Calibri" w:cs="Calibri"/>
        </w:rPr>
        <w:t>(10), 1779–1790. https://doi.org/10.1016/S0305-750X(02)00072-4</w:t>
      </w:r>
    </w:p>
    <w:p w14:paraId="1D38D759" w14:textId="77777777" w:rsidR="00167929" w:rsidRPr="00167929" w:rsidRDefault="00167929" w:rsidP="00167929">
      <w:pPr>
        <w:pStyle w:val="Bibliography"/>
        <w:rPr>
          <w:rFonts w:ascii="Calibri" w:hAnsi="Calibri" w:cs="Calibri"/>
        </w:rPr>
      </w:pPr>
      <w:r w:rsidRPr="00167929">
        <w:rPr>
          <w:rFonts w:ascii="Calibri" w:hAnsi="Calibri" w:cs="Calibri"/>
        </w:rPr>
        <w:t xml:space="preserve">Bauer, P. T. (1965). The Vicious Circle of Poverty. </w:t>
      </w:r>
      <w:r w:rsidRPr="00167929">
        <w:rPr>
          <w:rFonts w:ascii="Calibri" w:hAnsi="Calibri" w:cs="Calibri"/>
          <w:i/>
          <w:iCs/>
        </w:rPr>
        <w:t>Weltwirtschaftliches Archiv</w:t>
      </w:r>
      <w:r w:rsidRPr="00167929">
        <w:rPr>
          <w:rFonts w:ascii="Calibri" w:hAnsi="Calibri" w:cs="Calibri"/>
        </w:rPr>
        <w:t xml:space="preserve">, </w:t>
      </w:r>
      <w:r w:rsidRPr="00167929">
        <w:rPr>
          <w:rFonts w:ascii="Calibri" w:hAnsi="Calibri" w:cs="Calibri"/>
          <w:i/>
          <w:iCs/>
        </w:rPr>
        <w:t>95</w:t>
      </w:r>
      <w:r w:rsidRPr="00167929">
        <w:rPr>
          <w:rFonts w:ascii="Calibri" w:hAnsi="Calibri" w:cs="Calibri"/>
        </w:rPr>
        <w:t>, 4–20.</w:t>
      </w:r>
    </w:p>
    <w:p w14:paraId="28AA4375" w14:textId="77777777" w:rsidR="00167929" w:rsidRPr="00167929" w:rsidRDefault="00167929" w:rsidP="00167929">
      <w:pPr>
        <w:pStyle w:val="Bibliography"/>
        <w:rPr>
          <w:rFonts w:ascii="Calibri" w:hAnsi="Calibri" w:cs="Calibri"/>
        </w:rPr>
      </w:pPr>
      <w:r w:rsidRPr="00167929">
        <w:rPr>
          <w:rFonts w:ascii="Calibri" w:hAnsi="Calibri" w:cs="Calibri"/>
        </w:rPr>
        <w:t xml:space="preserve">Benagiano, G., Bastianelli, C., &amp; Farris, M. (2007). Contraception: A social revolution. </w:t>
      </w:r>
      <w:r w:rsidRPr="00167929">
        <w:rPr>
          <w:rFonts w:ascii="Calibri" w:hAnsi="Calibri" w:cs="Calibri"/>
          <w:i/>
          <w:iCs/>
        </w:rPr>
        <w:t>The European Journal of Contraception &amp; Reproductive Health Care</w:t>
      </w:r>
      <w:r w:rsidRPr="00167929">
        <w:rPr>
          <w:rFonts w:ascii="Calibri" w:hAnsi="Calibri" w:cs="Calibri"/>
        </w:rPr>
        <w:t xml:space="preserve">, </w:t>
      </w:r>
      <w:r w:rsidRPr="00167929">
        <w:rPr>
          <w:rFonts w:ascii="Calibri" w:hAnsi="Calibri" w:cs="Calibri"/>
          <w:i/>
          <w:iCs/>
        </w:rPr>
        <w:t>12</w:t>
      </w:r>
      <w:r w:rsidRPr="00167929">
        <w:rPr>
          <w:rFonts w:ascii="Calibri" w:hAnsi="Calibri" w:cs="Calibri"/>
        </w:rPr>
        <w:t>(1), 3–12. https://doi.org/10.1080/13625180601012311</w:t>
      </w:r>
    </w:p>
    <w:p w14:paraId="26EA95FB" w14:textId="77777777" w:rsidR="00167929" w:rsidRPr="00167929" w:rsidRDefault="00167929" w:rsidP="00167929">
      <w:pPr>
        <w:pStyle w:val="Bibliography"/>
        <w:rPr>
          <w:rFonts w:ascii="Calibri" w:hAnsi="Calibri" w:cs="Calibri"/>
        </w:rPr>
      </w:pPr>
      <w:r w:rsidRPr="00167929">
        <w:rPr>
          <w:rFonts w:ascii="Calibri" w:hAnsi="Calibri" w:cs="Calibri"/>
        </w:rPr>
        <w:t xml:space="preserve">Bener, A., Saleh, N. M., Salameh, K. M. K., Basha, B., Joseph, S., Samson, N., &amp; AlBuz, R. (2012). The impact of the interpregnancy interval on birth weight and other pregnancy outcomes. </w:t>
      </w:r>
      <w:r w:rsidRPr="00167929">
        <w:rPr>
          <w:rFonts w:ascii="Calibri" w:hAnsi="Calibri" w:cs="Calibri"/>
          <w:i/>
          <w:iCs/>
        </w:rPr>
        <w:t>Revista Brasileira de Saúde Materno Infantil</w:t>
      </w:r>
      <w:r w:rsidRPr="00167929">
        <w:rPr>
          <w:rFonts w:ascii="Calibri" w:hAnsi="Calibri" w:cs="Calibri"/>
        </w:rPr>
        <w:t xml:space="preserve">, </w:t>
      </w:r>
      <w:r w:rsidRPr="00167929">
        <w:rPr>
          <w:rFonts w:ascii="Calibri" w:hAnsi="Calibri" w:cs="Calibri"/>
          <w:i/>
          <w:iCs/>
        </w:rPr>
        <w:t>12</w:t>
      </w:r>
      <w:r w:rsidRPr="00167929">
        <w:rPr>
          <w:rFonts w:ascii="Calibri" w:hAnsi="Calibri" w:cs="Calibri"/>
        </w:rPr>
        <w:t>(3), 233–241. https://doi.org/10.1590/S1519-38292012000300003</w:t>
      </w:r>
    </w:p>
    <w:p w14:paraId="108873B0" w14:textId="77777777" w:rsidR="00167929" w:rsidRPr="00167929" w:rsidRDefault="00167929" w:rsidP="00167929">
      <w:pPr>
        <w:pStyle w:val="Bibliography"/>
        <w:rPr>
          <w:rFonts w:ascii="Calibri" w:hAnsi="Calibri" w:cs="Calibri"/>
        </w:rPr>
      </w:pPr>
      <w:r w:rsidRPr="00167929">
        <w:rPr>
          <w:rFonts w:ascii="Calibri" w:hAnsi="Calibri" w:cs="Calibri"/>
        </w:rPr>
        <w:t xml:space="preserve">Bertrand, J. T., Hardee, K., Magnani, R. J., &amp; Angle, M. A. (1995). Access, Quality Of Care and Medical Barriers In Family Planning Programs. </w:t>
      </w:r>
      <w:r w:rsidRPr="00167929">
        <w:rPr>
          <w:rFonts w:ascii="Calibri" w:hAnsi="Calibri" w:cs="Calibri"/>
          <w:i/>
          <w:iCs/>
        </w:rPr>
        <w:t>International Family Planning Perspectives</w:t>
      </w:r>
      <w:r w:rsidRPr="00167929">
        <w:rPr>
          <w:rFonts w:ascii="Calibri" w:hAnsi="Calibri" w:cs="Calibri"/>
        </w:rPr>
        <w:t xml:space="preserve">, </w:t>
      </w:r>
      <w:r w:rsidRPr="00167929">
        <w:rPr>
          <w:rFonts w:ascii="Calibri" w:hAnsi="Calibri" w:cs="Calibri"/>
          <w:i/>
          <w:iCs/>
        </w:rPr>
        <w:t>21</w:t>
      </w:r>
      <w:r w:rsidRPr="00167929">
        <w:rPr>
          <w:rFonts w:ascii="Calibri" w:hAnsi="Calibri" w:cs="Calibri"/>
        </w:rPr>
        <w:t>(2), 64–74. https://doi.org/10.2307/2133525</w:t>
      </w:r>
    </w:p>
    <w:p w14:paraId="5DCACE93" w14:textId="77777777" w:rsidR="00167929" w:rsidRPr="00167929" w:rsidRDefault="00167929" w:rsidP="00167929">
      <w:pPr>
        <w:pStyle w:val="Bibliography"/>
        <w:rPr>
          <w:rFonts w:ascii="Calibri" w:hAnsi="Calibri" w:cs="Calibri"/>
        </w:rPr>
      </w:pPr>
      <w:r w:rsidRPr="00167929">
        <w:rPr>
          <w:rFonts w:ascii="Calibri" w:hAnsi="Calibri" w:cs="Calibri"/>
        </w:rPr>
        <w:t xml:space="preserve">Bhowmik, A. K., McCaffrey, M. S., Ruskey, A. M., Frischmann, C., &amp; Gaffney, O. (2020). Powers of 10: Seeking `sweet spots’ for rapid climate and sustainability actions between individual and global scales. </w:t>
      </w:r>
      <w:r w:rsidRPr="00167929">
        <w:rPr>
          <w:rFonts w:ascii="Calibri" w:hAnsi="Calibri" w:cs="Calibri"/>
          <w:i/>
          <w:iCs/>
        </w:rPr>
        <w:t>Environmental Research Letters</w:t>
      </w:r>
      <w:r w:rsidRPr="00167929">
        <w:rPr>
          <w:rFonts w:ascii="Calibri" w:hAnsi="Calibri" w:cs="Calibri"/>
        </w:rPr>
        <w:t xml:space="preserve">, </w:t>
      </w:r>
      <w:r w:rsidRPr="00167929">
        <w:rPr>
          <w:rFonts w:ascii="Calibri" w:hAnsi="Calibri" w:cs="Calibri"/>
          <w:i/>
          <w:iCs/>
        </w:rPr>
        <w:t>15</w:t>
      </w:r>
      <w:r w:rsidRPr="00167929">
        <w:rPr>
          <w:rFonts w:ascii="Calibri" w:hAnsi="Calibri" w:cs="Calibri"/>
        </w:rPr>
        <w:t>(9), 094011. https://doi.org/10.1088/1748-9326/ab9ed0</w:t>
      </w:r>
    </w:p>
    <w:p w14:paraId="4863BA9D" w14:textId="77777777" w:rsidR="00167929" w:rsidRPr="00167929" w:rsidRDefault="00167929" w:rsidP="00167929">
      <w:pPr>
        <w:pStyle w:val="Bibliography"/>
        <w:rPr>
          <w:rFonts w:ascii="Calibri" w:hAnsi="Calibri" w:cs="Calibri"/>
        </w:rPr>
      </w:pPr>
      <w:r w:rsidRPr="00167929">
        <w:rPr>
          <w:rFonts w:ascii="Calibri" w:hAnsi="Calibri" w:cs="Calibri"/>
        </w:rPr>
        <w:t xml:space="preserve">Birdsall, N., Levine, R., &amp; Ibrahim, A. (2005). Towards Universal Primary Education: Investments, incentives, and institutions. </w:t>
      </w:r>
      <w:r w:rsidRPr="00167929">
        <w:rPr>
          <w:rFonts w:ascii="Calibri" w:hAnsi="Calibri" w:cs="Calibri"/>
          <w:i/>
          <w:iCs/>
        </w:rPr>
        <w:t>European Journal of Education</w:t>
      </w:r>
      <w:r w:rsidRPr="00167929">
        <w:rPr>
          <w:rFonts w:ascii="Calibri" w:hAnsi="Calibri" w:cs="Calibri"/>
        </w:rPr>
        <w:t xml:space="preserve">, </w:t>
      </w:r>
      <w:r w:rsidRPr="00167929">
        <w:rPr>
          <w:rFonts w:ascii="Calibri" w:hAnsi="Calibri" w:cs="Calibri"/>
          <w:i/>
          <w:iCs/>
        </w:rPr>
        <w:t>40</w:t>
      </w:r>
      <w:r w:rsidRPr="00167929">
        <w:rPr>
          <w:rFonts w:ascii="Calibri" w:hAnsi="Calibri" w:cs="Calibri"/>
        </w:rPr>
        <w:t>(3), 337–349. https://doi.org/10.1111/j.1465-3435.2005.00230.x</w:t>
      </w:r>
    </w:p>
    <w:p w14:paraId="34FAF160" w14:textId="77777777" w:rsidR="00167929" w:rsidRPr="00167929" w:rsidRDefault="00167929" w:rsidP="00167929">
      <w:pPr>
        <w:pStyle w:val="Bibliography"/>
        <w:rPr>
          <w:rFonts w:ascii="Calibri" w:hAnsi="Calibri" w:cs="Calibri"/>
        </w:rPr>
      </w:pPr>
      <w:r w:rsidRPr="00167929">
        <w:rPr>
          <w:rFonts w:ascii="Calibri" w:hAnsi="Calibri" w:cs="Calibri"/>
        </w:rPr>
        <w:t xml:space="preserve">Bongaarts, J. (1978). A Framework for Analyzing the Proximate Determinants of Fertility. </w:t>
      </w:r>
      <w:r w:rsidRPr="00167929">
        <w:rPr>
          <w:rFonts w:ascii="Calibri" w:hAnsi="Calibri" w:cs="Calibri"/>
          <w:i/>
          <w:iCs/>
        </w:rPr>
        <w:t>Population and Development Review</w:t>
      </w:r>
      <w:r w:rsidRPr="00167929">
        <w:rPr>
          <w:rFonts w:ascii="Calibri" w:hAnsi="Calibri" w:cs="Calibri"/>
        </w:rPr>
        <w:t xml:space="preserve">, </w:t>
      </w:r>
      <w:r w:rsidRPr="00167929">
        <w:rPr>
          <w:rFonts w:ascii="Calibri" w:hAnsi="Calibri" w:cs="Calibri"/>
          <w:i/>
          <w:iCs/>
        </w:rPr>
        <w:t>4</w:t>
      </w:r>
      <w:r w:rsidRPr="00167929">
        <w:rPr>
          <w:rFonts w:ascii="Calibri" w:hAnsi="Calibri" w:cs="Calibri"/>
        </w:rPr>
        <w:t>(1), 105–132. https://doi.org/10.2307/1972149</w:t>
      </w:r>
    </w:p>
    <w:p w14:paraId="1A0ACFA3" w14:textId="77777777" w:rsidR="00167929" w:rsidRPr="00167929" w:rsidRDefault="00167929" w:rsidP="00167929">
      <w:pPr>
        <w:pStyle w:val="Bibliography"/>
        <w:rPr>
          <w:rFonts w:ascii="Calibri" w:hAnsi="Calibri" w:cs="Calibri"/>
        </w:rPr>
      </w:pPr>
      <w:r w:rsidRPr="00167929">
        <w:rPr>
          <w:rFonts w:ascii="Calibri" w:hAnsi="Calibri" w:cs="Calibri"/>
        </w:rPr>
        <w:t xml:space="preserve">Bongaarts, J. (2009). Human population growth and the demographic transition. </w:t>
      </w:r>
      <w:r w:rsidRPr="00167929">
        <w:rPr>
          <w:rFonts w:ascii="Calibri" w:hAnsi="Calibri" w:cs="Calibri"/>
          <w:i/>
          <w:iCs/>
        </w:rPr>
        <w:t>Philosophical Transactions of the Royal Society B: Biological Sciences</w:t>
      </w:r>
      <w:r w:rsidRPr="00167929">
        <w:rPr>
          <w:rFonts w:ascii="Calibri" w:hAnsi="Calibri" w:cs="Calibri"/>
        </w:rPr>
        <w:t xml:space="preserve">, </w:t>
      </w:r>
      <w:r w:rsidRPr="00167929">
        <w:rPr>
          <w:rFonts w:ascii="Calibri" w:hAnsi="Calibri" w:cs="Calibri"/>
          <w:i/>
          <w:iCs/>
        </w:rPr>
        <w:t>364</w:t>
      </w:r>
      <w:r w:rsidRPr="00167929">
        <w:rPr>
          <w:rFonts w:ascii="Calibri" w:hAnsi="Calibri" w:cs="Calibri"/>
        </w:rPr>
        <w:t>(1532), 2985–2990. https://doi.org/10.1098/rstb.2009.0137</w:t>
      </w:r>
    </w:p>
    <w:p w14:paraId="2BCC58F0" w14:textId="77777777" w:rsidR="00167929" w:rsidRPr="00167929" w:rsidRDefault="00167929" w:rsidP="00167929">
      <w:pPr>
        <w:pStyle w:val="Bibliography"/>
        <w:rPr>
          <w:rFonts w:ascii="Calibri" w:hAnsi="Calibri" w:cs="Calibri"/>
        </w:rPr>
      </w:pPr>
      <w:r w:rsidRPr="00167929">
        <w:rPr>
          <w:rFonts w:ascii="Calibri" w:hAnsi="Calibri" w:cs="Calibri"/>
        </w:rPr>
        <w:t xml:space="preserve">Bongaarts, J., Mensch, B. S., &amp; Blanc, A. K. (2017). Trends in the age at reproductive transitions in the developing world: The role of education. </w:t>
      </w:r>
      <w:r w:rsidRPr="00167929">
        <w:rPr>
          <w:rFonts w:ascii="Calibri" w:hAnsi="Calibri" w:cs="Calibri"/>
          <w:i/>
          <w:iCs/>
        </w:rPr>
        <w:t>Population Studies</w:t>
      </w:r>
      <w:r w:rsidRPr="00167929">
        <w:rPr>
          <w:rFonts w:ascii="Calibri" w:hAnsi="Calibri" w:cs="Calibri"/>
        </w:rPr>
        <w:t xml:space="preserve">, </w:t>
      </w:r>
      <w:r w:rsidRPr="00167929">
        <w:rPr>
          <w:rFonts w:ascii="Calibri" w:hAnsi="Calibri" w:cs="Calibri"/>
          <w:i/>
          <w:iCs/>
        </w:rPr>
        <w:t>71</w:t>
      </w:r>
      <w:r w:rsidRPr="00167929">
        <w:rPr>
          <w:rFonts w:ascii="Calibri" w:hAnsi="Calibri" w:cs="Calibri"/>
        </w:rPr>
        <w:t>(2), 139–154. https://doi.org/10.1080/00324728.2017.1291986</w:t>
      </w:r>
    </w:p>
    <w:p w14:paraId="597CB5EB" w14:textId="77777777" w:rsidR="00167929" w:rsidRPr="00167929" w:rsidRDefault="00167929" w:rsidP="00167929">
      <w:pPr>
        <w:pStyle w:val="Bibliography"/>
        <w:rPr>
          <w:rFonts w:ascii="Calibri" w:hAnsi="Calibri" w:cs="Calibri"/>
        </w:rPr>
      </w:pPr>
      <w:r w:rsidRPr="00167929">
        <w:rPr>
          <w:rFonts w:ascii="Calibri" w:hAnsi="Calibri" w:cs="Calibri"/>
        </w:rPr>
        <w:t xml:space="preserve">Bonneuil, N. (1990). Contextual and Structural Factors in Fertility Behaviour. </w:t>
      </w:r>
      <w:r w:rsidRPr="00167929">
        <w:rPr>
          <w:rFonts w:ascii="Calibri" w:hAnsi="Calibri" w:cs="Calibri"/>
          <w:i/>
          <w:iCs/>
        </w:rPr>
        <w:t>Population: An English Selection</w:t>
      </w:r>
      <w:r w:rsidRPr="00167929">
        <w:rPr>
          <w:rFonts w:ascii="Calibri" w:hAnsi="Calibri" w:cs="Calibri"/>
        </w:rPr>
        <w:t xml:space="preserve">, </w:t>
      </w:r>
      <w:r w:rsidRPr="00167929">
        <w:rPr>
          <w:rFonts w:ascii="Calibri" w:hAnsi="Calibri" w:cs="Calibri"/>
          <w:i/>
          <w:iCs/>
        </w:rPr>
        <w:t>2</w:t>
      </w:r>
      <w:r w:rsidRPr="00167929">
        <w:rPr>
          <w:rFonts w:ascii="Calibri" w:hAnsi="Calibri" w:cs="Calibri"/>
        </w:rPr>
        <w:t>, 69–91.</w:t>
      </w:r>
    </w:p>
    <w:p w14:paraId="205BE432" w14:textId="77777777" w:rsidR="00167929" w:rsidRPr="00167929" w:rsidRDefault="00167929" w:rsidP="00167929">
      <w:pPr>
        <w:pStyle w:val="Bibliography"/>
        <w:rPr>
          <w:rFonts w:ascii="Calibri" w:hAnsi="Calibri" w:cs="Calibri"/>
        </w:rPr>
      </w:pPr>
      <w:r w:rsidRPr="00167929">
        <w:rPr>
          <w:rFonts w:ascii="Calibri" w:hAnsi="Calibri" w:cs="Calibri"/>
        </w:rPr>
        <w:t xml:space="preserve">Brundrett, M. (2014). Education for all: The challenges of achieving universal early childhood care and primary education. </w:t>
      </w:r>
      <w:r w:rsidRPr="00167929">
        <w:rPr>
          <w:rFonts w:ascii="Calibri" w:hAnsi="Calibri" w:cs="Calibri"/>
          <w:i/>
          <w:iCs/>
        </w:rPr>
        <w:t>Education 3-13</w:t>
      </w:r>
      <w:r w:rsidRPr="00167929">
        <w:rPr>
          <w:rFonts w:ascii="Calibri" w:hAnsi="Calibri" w:cs="Calibri"/>
        </w:rPr>
        <w:t xml:space="preserve">, </w:t>
      </w:r>
      <w:r w:rsidRPr="00167929">
        <w:rPr>
          <w:rFonts w:ascii="Calibri" w:hAnsi="Calibri" w:cs="Calibri"/>
          <w:i/>
          <w:iCs/>
        </w:rPr>
        <w:t>42</w:t>
      </w:r>
      <w:r w:rsidRPr="00167929">
        <w:rPr>
          <w:rFonts w:ascii="Calibri" w:hAnsi="Calibri" w:cs="Calibri"/>
        </w:rPr>
        <w:t>(3), 233–236. https://doi.org/10.1080/03004279.2014.912911</w:t>
      </w:r>
    </w:p>
    <w:p w14:paraId="004E1441" w14:textId="77777777" w:rsidR="00167929" w:rsidRPr="00167929" w:rsidRDefault="00167929" w:rsidP="00167929">
      <w:pPr>
        <w:pStyle w:val="Bibliography"/>
        <w:rPr>
          <w:rFonts w:ascii="Calibri" w:hAnsi="Calibri" w:cs="Calibri"/>
        </w:rPr>
      </w:pPr>
      <w:r w:rsidRPr="00167929">
        <w:rPr>
          <w:rFonts w:ascii="Calibri" w:hAnsi="Calibri" w:cs="Calibri"/>
        </w:rPr>
        <w:t xml:space="preserve">Casey, C. K. and O. (2021, January 6). A new green learning agenda: Approaches to quality education for climate action. </w:t>
      </w:r>
      <w:r w:rsidRPr="00167929">
        <w:rPr>
          <w:rFonts w:ascii="Calibri" w:hAnsi="Calibri" w:cs="Calibri"/>
          <w:i/>
          <w:iCs/>
        </w:rPr>
        <w:t>Brookings</w:t>
      </w:r>
      <w:r w:rsidRPr="00167929">
        <w:rPr>
          <w:rFonts w:ascii="Calibri" w:hAnsi="Calibri" w:cs="Calibri"/>
        </w:rPr>
        <w:t>. https://www.brookings.edu/research/a-new-green-learning-agenda-approaches-to-quality-education-for-climate-action/</w:t>
      </w:r>
    </w:p>
    <w:p w14:paraId="4E6BBD08" w14:textId="77777777" w:rsidR="00167929" w:rsidRPr="00167929" w:rsidRDefault="00167929" w:rsidP="00167929">
      <w:pPr>
        <w:pStyle w:val="Bibliography"/>
        <w:rPr>
          <w:rFonts w:ascii="Calibri" w:hAnsi="Calibri" w:cs="Calibri"/>
        </w:rPr>
      </w:pPr>
      <w:r w:rsidRPr="00167929">
        <w:rPr>
          <w:rFonts w:ascii="Calibri" w:hAnsi="Calibri" w:cs="Calibri"/>
        </w:rPr>
        <w:t xml:space="preserve">Cheng, D., Schwarz, E. B., Douglas, E., &amp; Horon, I. (2009). Unintended pregnancy and associated maternal preconception, prenatal and postpartum behaviors. </w:t>
      </w:r>
      <w:r w:rsidRPr="00167929">
        <w:rPr>
          <w:rFonts w:ascii="Calibri" w:hAnsi="Calibri" w:cs="Calibri"/>
          <w:i/>
          <w:iCs/>
        </w:rPr>
        <w:t>Contraception</w:t>
      </w:r>
      <w:r w:rsidRPr="00167929">
        <w:rPr>
          <w:rFonts w:ascii="Calibri" w:hAnsi="Calibri" w:cs="Calibri"/>
        </w:rPr>
        <w:t xml:space="preserve">, </w:t>
      </w:r>
      <w:r w:rsidRPr="00167929">
        <w:rPr>
          <w:rFonts w:ascii="Calibri" w:hAnsi="Calibri" w:cs="Calibri"/>
          <w:i/>
          <w:iCs/>
        </w:rPr>
        <w:t>79</w:t>
      </w:r>
      <w:r w:rsidRPr="00167929">
        <w:rPr>
          <w:rFonts w:ascii="Calibri" w:hAnsi="Calibri" w:cs="Calibri"/>
        </w:rPr>
        <w:t>(3), 194–198. https://doi.org/10.1016/j.contraception.2008.09.009</w:t>
      </w:r>
    </w:p>
    <w:p w14:paraId="163FB753" w14:textId="77777777" w:rsidR="00167929" w:rsidRPr="00167929" w:rsidRDefault="00167929" w:rsidP="00167929">
      <w:pPr>
        <w:pStyle w:val="Bibliography"/>
        <w:rPr>
          <w:rFonts w:ascii="Calibri" w:hAnsi="Calibri" w:cs="Calibri"/>
        </w:rPr>
      </w:pPr>
      <w:r w:rsidRPr="00167929">
        <w:rPr>
          <w:rFonts w:ascii="Calibri" w:hAnsi="Calibri" w:cs="Calibri"/>
        </w:rPr>
        <w:t xml:space="preserve">Chescheir, N. C. (2017). Worldwide Abortion Rates and Access to Contraception. </w:t>
      </w:r>
      <w:r w:rsidRPr="00167929">
        <w:rPr>
          <w:rFonts w:ascii="Calibri" w:hAnsi="Calibri" w:cs="Calibri"/>
          <w:i/>
          <w:iCs/>
        </w:rPr>
        <w:t>Obstetrics &amp; Gynecology</w:t>
      </w:r>
      <w:r w:rsidRPr="00167929">
        <w:rPr>
          <w:rFonts w:ascii="Calibri" w:hAnsi="Calibri" w:cs="Calibri"/>
        </w:rPr>
        <w:t xml:space="preserve">, </w:t>
      </w:r>
      <w:r w:rsidRPr="00167929">
        <w:rPr>
          <w:rFonts w:ascii="Calibri" w:hAnsi="Calibri" w:cs="Calibri"/>
          <w:i/>
          <w:iCs/>
        </w:rPr>
        <w:t>129</w:t>
      </w:r>
      <w:r w:rsidRPr="00167929">
        <w:rPr>
          <w:rFonts w:ascii="Calibri" w:hAnsi="Calibri" w:cs="Calibri"/>
        </w:rPr>
        <w:t>(5), 783–785. https://doi.org/10.1097/AOG.0000000000002028</w:t>
      </w:r>
    </w:p>
    <w:p w14:paraId="25689DBB" w14:textId="77777777" w:rsidR="00167929" w:rsidRPr="00167929" w:rsidRDefault="00167929" w:rsidP="00167929">
      <w:pPr>
        <w:pStyle w:val="Bibliography"/>
        <w:rPr>
          <w:rFonts w:ascii="Calibri" w:hAnsi="Calibri" w:cs="Calibri"/>
        </w:rPr>
      </w:pPr>
      <w:r w:rsidRPr="00167929">
        <w:rPr>
          <w:rFonts w:ascii="Calibri" w:hAnsi="Calibri" w:cs="Calibri"/>
        </w:rPr>
        <w:t xml:space="preserve">Conger, R. D., Conger, K. J., &amp; Martin, M. J. (2010). Socioeconomic Status, Family Processes, and Individual Development. </w:t>
      </w:r>
      <w:r w:rsidRPr="00167929">
        <w:rPr>
          <w:rFonts w:ascii="Calibri" w:hAnsi="Calibri" w:cs="Calibri"/>
          <w:i/>
          <w:iCs/>
        </w:rPr>
        <w:t>Journal of Marriage and the Family</w:t>
      </w:r>
      <w:r w:rsidRPr="00167929">
        <w:rPr>
          <w:rFonts w:ascii="Calibri" w:hAnsi="Calibri" w:cs="Calibri"/>
        </w:rPr>
        <w:t xml:space="preserve">, </w:t>
      </w:r>
      <w:r w:rsidRPr="00167929">
        <w:rPr>
          <w:rFonts w:ascii="Calibri" w:hAnsi="Calibri" w:cs="Calibri"/>
          <w:i/>
          <w:iCs/>
        </w:rPr>
        <w:t>72</w:t>
      </w:r>
      <w:r w:rsidRPr="00167929">
        <w:rPr>
          <w:rFonts w:ascii="Calibri" w:hAnsi="Calibri" w:cs="Calibri"/>
        </w:rPr>
        <w:t>(3), 685–704. https://doi.org/10.1111/j.1741-3737.2010.00725.x</w:t>
      </w:r>
    </w:p>
    <w:p w14:paraId="3977D9B6" w14:textId="77777777" w:rsidR="00167929" w:rsidRPr="00167929" w:rsidRDefault="00167929" w:rsidP="00167929">
      <w:pPr>
        <w:pStyle w:val="Bibliography"/>
        <w:rPr>
          <w:rFonts w:ascii="Calibri" w:hAnsi="Calibri" w:cs="Calibri"/>
        </w:rPr>
      </w:pPr>
      <w:r w:rsidRPr="00167929">
        <w:rPr>
          <w:rFonts w:ascii="Calibri" w:hAnsi="Calibri" w:cs="Calibri"/>
        </w:rPr>
        <w:t xml:space="preserve">Delprato, M., Akyeampong, K., &amp; Dunne, M. (2017). Intergenerational Education Effects of Early Marriage in Sub-Saharan Africa. </w:t>
      </w:r>
      <w:r w:rsidRPr="00167929">
        <w:rPr>
          <w:rFonts w:ascii="Calibri" w:hAnsi="Calibri" w:cs="Calibri"/>
          <w:i/>
          <w:iCs/>
        </w:rPr>
        <w:t>World Development</w:t>
      </w:r>
      <w:r w:rsidRPr="00167929">
        <w:rPr>
          <w:rFonts w:ascii="Calibri" w:hAnsi="Calibri" w:cs="Calibri"/>
        </w:rPr>
        <w:t xml:space="preserve">, </w:t>
      </w:r>
      <w:r w:rsidRPr="00167929">
        <w:rPr>
          <w:rFonts w:ascii="Calibri" w:hAnsi="Calibri" w:cs="Calibri"/>
          <w:i/>
          <w:iCs/>
        </w:rPr>
        <w:t>91</w:t>
      </w:r>
      <w:r w:rsidRPr="00167929">
        <w:rPr>
          <w:rFonts w:ascii="Calibri" w:hAnsi="Calibri" w:cs="Calibri"/>
        </w:rPr>
        <w:t>, 173–192. https://doi.org/10.1016/j.worlddev.2016.11.010</w:t>
      </w:r>
    </w:p>
    <w:p w14:paraId="45E7FF99" w14:textId="77777777" w:rsidR="00167929" w:rsidRPr="00167929" w:rsidRDefault="00167929" w:rsidP="00167929">
      <w:pPr>
        <w:pStyle w:val="Bibliography"/>
        <w:rPr>
          <w:rFonts w:ascii="Calibri" w:hAnsi="Calibri" w:cs="Calibri"/>
        </w:rPr>
      </w:pPr>
      <w:r w:rsidRPr="00167929">
        <w:rPr>
          <w:rFonts w:ascii="Calibri" w:hAnsi="Calibri" w:cs="Calibri"/>
        </w:rPr>
        <w:t xml:space="preserve">Demographic and Health Surveys. (2007). </w:t>
      </w:r>
      <w:r w:rsidRPr="00167929">
        <w:rPr>
          <w:rFonts w:ascii="Calibri" w:hAnsi="Calibri" w:cs="Calibri"/>
          <w:i/>
          <w:iCs/>
        </w:rPr>
        <w:t>The DHS Program: Fertility and Fertility Preferences</w:t>
      </w:r>
      <w:r w:rsidRPr="00167929">
        <w:rPr>
          <w:rFonts w:ascii="Calibri" w:hAnsi="Calibri" w:cs="Calibri"/>
        </w:rPr>
        <w:t>. https://dhsprogram.com/topics/Fertility-and-Fertility-Preferences.cfm</w:t>
      </w:r>
    </w:p>
    <w:p w14:paraId="70455A4F" w14:textId="77777777" w:rsidR="00167929" w:rsidRPr="00167929" w:rsidRDefault="00167929" w:rsidP="00167929">
      <w:pPr>
        <w:pStyle w:val="Bibliography"/>
        <w:rPr>
          <w:rFonts w:ascii="Calibri" w:hAnsi="Calibri" w:cs="Calibri"/>
        </w:rPr>
      </w:pPr>
      <w:r w:rsidRPr="00167929">
        <w:rPr>
          <w:rFonts w:ascii="Calibri" w:hAnsi="Calibri" w:cs="Calibri"/>
        </w:rPr>
        <w:t xml:space="preserve">Didham, R. J., &amp; Ofei-Manu, P. (2020). Adaptive capacity as an educational goal to advance policy for integrating DRR into quality education for sustainable development. </w:t>
      </w:r>
      <w:r w:rsidRPr="00167929">
        <w:rPr>
          <w:rFonts w:ascii="Calibri" w:hAnsi="Calibri" w:cs="Calibri"/>
          <w:i/>
          <w:iCs/>
        </w:rPr>
        <w:t>International Journal of Disaster Risk Reduction</w:t>
      </w:r>
      <w:r w:rsidRPr="00167929">
        <w:rPr>
          <w:rFonts w:ascii="Calibri" w:hAnsi="Calibri" w:cs="Calibri"/>
        </w:rPr>
        <w:t xml:space="preserve">, </w:t>
      </w:r>
      <w:r w:rsidRPr="00167929">
        <w:rPr>
          <w:rFonts w:ascii="Calibri" w:hAnsi="Calibri" w:cs="Calibri"/>
          <w:i/>
          <w:iCs/>
        </w:rPr>
        <w:t>47</w:t>
      </w:r>
      <w:r w:rsidRPr="00167929">
        <w:rPr>
          <w:rFonts w:ascii="Calibri" w:hAnsi="Calibri" w:cs="Calibri"/>
        </w:rPr>
        <w:t>, 101631. https://doi.org/10.1016/j.ijdrr.2020.101631</w:t>
      </w:r>
    </w:p>
    <w:p w14:paraId="2FA67EB6" w14:textId="77777777" w:rsidR="00167929" w:rsidRPr="00167929" w:rsidRDefault="00167929" w:rsidP="00167929">
      <w:pPr>
        <w:pStyle w:val="Bibliography"/>
        <w:rPr>
          <w:rFonts w:ascii="Calibri" w:hAnsi="Calibri" w:cs="Calibri"/>
        </w:rPr>
      </w:pPr>
      <w:r w:rsidRPr="00167929">
        <w:rPr>
          <w:rFonts w:ascii="Calibri" w:hAnsi="Calibri" w:cs="Calibri"/>
        </w:rPr>
        <w:t xml:space="preserve">Dodson, J. C., Dérer, P., Cafaro, P., &amp; Götmark, F. (2020). Population growth and climate change: Addressing the overlooked threat multiplier. </w:t>
      </w:r>
      <w:r w:rsidRPr="00167929">
        <w:rPr>
          <w:rFonts w:ascii="Calibri" w:hAnsi="Calibri" w:cs="Calibri"/>
          <w:i/>
          <w:iCs/>
        </w:rPr>
        <w:t>Science of The Total Environment</w:t>
      </w:r>
      <w:r w:rsidRPr="00167929">
        <w:rPr>
          <w:rFonts w:ascii="Calibri" w:hAnsi="Calibri" w:cs="Calibri"/>
        </w:rPr>
        <w:t xml:space="preserve">, </w:t>
      </w:r>
      <w:r w:rsidRPr="00167929">
        <w:rPr>
          <w:rFonts w:ascii="Calibri" w:hAnsi="Calibri" w:cs="Calibri"/>
          <w:i/>
          <w:iCs/>
        </w:rPr>
        <w:t>748</w:t>
      </w:r>
      <w:r w:rsidRPr="00167929">
        <w:rPr>
          <w:rFonts w:ascii="Calibri" w:hAnsi="Calibri" w:cs="Calibri"/>
        </w:rPr>
        <w:t>, 141346. https://doi.org/10.1016/j.scitotenv.2020.141346</w:t>
      </w:r>
    </w:p>
    <w:p w14:paraId="2157E941" w14:textId="77777777" w:rsidR="00167929" w:rsidRPr="00167929" w:rsidRDefault="00167929" w:rsidP="00167929">
      <w:pPr>
        <w:pStyle w:val="Bibliography"/>
        <w:rPr>
          <w:rFonts w:ascii="Calibri" w:hAnsi="Calibri" w:cs="Calibri"/>
        </w:rPr>
      </w:pPr>
      <w:r w:rsidRPr="00167929">
        <w:rPr>
          <w:rFonts w:ascii="Calibri" w:hAnsi="Calibri" w:cs="Calibri"/>
        </w:rPr>
        <w:t xml:space="preserve">Dyson, T. (2011). The Role of the Demographic Transition in the Process of Urbanization. </w:t>
      </w:r>
      <w:r w:rsidRPr="00167929">
        <w:rPr>
          <w:rFonts w:ascii="Calibri" w:hAnsi="Calibri" w:cs="Calibri"/>
          <w:i/>
          <w:iCs/>
        </w:rPr>
        <w:t>Population and Development Review</w:t>
      </w:r>
      <w:r w:rsidRPr="00167929">
        <w:rPr>
          <w:rFonts w:ascii="Calibri" w:hAnsi="Calibri" w:cs="Calibri"/>
        </w:rPr>
        <w:t xml:space="preserve">, </w:t>
      </w:r>
      <w:r w:rsidRPr="00167929">
        <w:rPr>
          <w:rFonts w:ascii="Calibri" w:hAnsi="Calibri" w:cs="Calibri"/>
          <w:i/>
          <w:iCs/>
        </w:rPr>
        <w:t>37</w:t>
      </w:r>
      <w:r w:rsidRPr="00167929">
        <w:rPr>
          <w:rFonts w:ascii="Calibri" w:hAnsi="Calibri" w:cs="Calibri"/>
        </w:rPr>
        <w:t>, 34–54. JSTOR.</w:t>
      </w:r>
    </w:p>
    <w:p w14:paraId="449C33FC" w14:textId="77777777" w:rsidR="00167929" w:rsidRPr="00167929" w:rsidRDefault="00167929" w:rsidP="00167929">
      <w:pPr>
        <w:pStyle w:val="Bibliography"/>
        <w:rPr>
          <w:rFonts w:ascii="Calibri" w:hAnsi="Calibri" w:cs="Calibri"/>
        </w:rPr>
      </w:pPr>
      <w:r w:rsidRPr="00167929">
        <w:rPr>
          <w:rFonts w:ascii="Calibri" w:hAnsi="Calibri" w:cs="Calibri"/>
        </w:rPr>
        <w:t xml:space="preserve">Eastin, J. (2018). Climate change and gender equality in developing states. </w:t>
      </w:r>
      <w:r w:rsidRPr="00167929">
        <w:rPr>
          <w:rFonts w:ascii="Calibri" w:hAnsi="Calibri" w:cs="Calibri"/>
          <w:i/>
          <w:iCs/>
        </w:rPr>
        <w:t>World Development</w:t>
      </w:r>
      <w:r w:rsidRPr="00167929">
        <w:rPr>
          <w:rFonts w:ascii="Calibri" w:hAnsi="Calibri" w:cs="Calibri"/>
        </w:rPr>
        <w:t xml:space="preserve">, </w:t>
      </w:r>
      <w:r w:rsidRPr="00167929">
        <w:rPr>
          <w:rFonts w:ascii="Calibri" w:hAnsi="Calibri" w:cs="Calibri"/>
          <w:i/>
          <w:iCs/>
        </w:rPr>
        <w:t>107</w:t>
      </w:r>
      <w:r w:rsidRPr="00167929">
        <w:rPr>
          <w:rFonts w:ascii="Calibri" w:hAnsi="Calibri" w:cs="Calibri"/>
        </w:rPr>
        <w:t>, 289–305. https://doi.org/10.1016/j.worlddev.2018.02.021</w:t>
      </w:r>
    </w:p>
    <w:p w14:paraId="37832E6D" w14:textId="77777777" w:rsidR="00167929" w:rsidRPr="00167929" w:rsidRDefault="00167929" w:rsidP="00167929">
      <w:pPr>
        <w:pStyle w:val="Bibliography"/>
        <w:rPr>
          <w:rFonts w:ascii="Calibri" w:hAnsi="Calibri" w:cs="Calibri"/>
        </w:rPr>
      </w:pPr>
      <w:r w:rsidRPr="00167929">
        <w:rPr>
          <w:rFonts w:ascii="Calibri" w:hAnsi="Calibri" w:cs="Calibri"/>
        </w:rPr>
        <w:t xml:space="preserve">Education For All: Global Monitoring Report. (2015). </w:t>
      </w:r>
      <w:r w:rsidRPr="00167929">
        <w:rPr>
          <w:rFonts w:ascii="Calibri" w:hAnsi="Calibri" w:cs="Calibri"/>
          <w:i/>
          <w:iCs/>
        </w:rPr>
        <w:t>Pricing the right to education: The cost of reaching new targets by 2030</w:t>
      </w:r>
      <w:r w:rsidRPr="00167929">
        <w:rPr>
          <w:rFonts w:ascii="Calibri" w:hAnsi="Calibri" w:cs="Calibri"/>
        </w:rPr>
        <w:t xml:space="preserve"> (Policy Paper 18).</w:t>
      </w:r>
    </w:p>
    <w:p w14:paraId="3E98EA4F" w14:textId="77777777" w:rsidR="00167929" w:rsidRPr="00167929" w:rsidRDefault="00167929" w:rsidP="00167929">
      <w:pPr>
        <w:pStyle w:val="Bibliography"/>
        <w:rPr>
          <w:rFonts w:ascii="Calibri" w:hAnsi="Calibri" w:cs="Calibri"/>
        </w:rPr>
      </w:pPr>
      <w:r w:rsidRPr="00167929">
        <w:rPr>
          <w:rFonts w:ascii="Calibri" w:hAnsi="Calibri" w:cs="Calibri"/>
        </w:rPr>
        <w:t xml:space="preserve">Ensor, T., &amp; Cooper, S. (2004). Overcoming barriers to health service access: Influencing the demand side. </w:t>
      </w:r>
      <w:r w:rsidRPr="00167929">
        <w:rPr>
          <w:rFonts w:ascii="Calibri" w:hAnsi="Calibri" w:cs="Calibri"/>
          <w:i/>
          <w:iCs/>
        </w:rPr>
        <w:t>Health Policy and Planning</w:t>
      </w:r>
      <w:r w:rsidRPr="00167929">
        <w:rPr>
          <w:rFonts w:ascii="Calibri" w:hAnsi="Calibri" w:cs="Calibri"/>
        </w:rPr>
        <w:t xml:space="preserve">, </w:t>
      </w:r>
      <w:r w:rsidRPr="00167929">
        <w:rPr>
          <w:rFonts w:ascii="Calibri" w:hAnsi="Calibri" w:cs="Calibri"/>
          <w:i/>
          <w:iCs/>
        </w:rPr>
        <w:t>19</w:t>
      </w:r>
      <w:r w:rsidRPr="00167929">
        <w:rPr>
          <w:rFonts w:ascii="Calibri" w:hAnsi="Calibri" w:cs="Calibri"/>
        </w:rPr>
        <w:t>(2), 69–79. https://doi.org/10.1093/heapol/czh009</w:t>
      </w:r>
    </w:p>
    <w:p w14:paraId="0B61A2F5" w14:textId="77777777" w:rsidR="00167929" w:rsidRPr="00167929" w:rsidRDefault="00167929" w:rsidP="00167929">
      <w:pPr>
        <w:pStyle w:val="Bibliography"/>
        <w:rPr>
          <w:rFonts w:ascii="Calibri" w:hAnsi="Calibri" w:cs="Calibri"/>
        </w:rPr>
      </w:pPr>
      <w:r w:rsidRPr="00167929">
        <w:rPr>
          <w:rFonts w:ascii="Calibri" w:hAnsi="Calibri" w:cs="Calibri"/>
        </w:rPr>
        <w:t xml:space="preserve">FHI360. (2016). </w:t>
      </w:r>
      <w:r w:rsidRPr="00167929">
        <w:rPr>
          <w:rFonts w:ascii="Calibri" w:hAnsi="Calibri" w:cs="Calibri"/>
          <w:i/>
          <w:iCs/>
        </w:rPr>
        <w:t>Education and the SDGs</w:t>
      </w:r>
      <w:r w:rsidRPr="00167929">
        <w:rPr>
          <w:rFonts w:ascii="Calibri" w:hAnsi="Calibri" w:cs="Calibri"/>
        </w:rPr>
        <w:t xml:space="preserve"> (Educate a Child).</w:t>
      </w:r>
    </w:p>
    <w:p w14:paraId="3BB544B4" w14:textId="77777777" w:rsidR="00167929" w:rsidRPr="00167929" w:rsidRDefault="00167929" w:rsidP="00167929">
      <w:pPr>
        <w:pStyle w:val="Bibliography"/>
        <w:rPr>
          <w:rFonts w:ascii="Calibri" w:hAnsi="Calibri" w:cs="Calibri"/>
        </w:rPr>
      </w:pPr>
      <w:r w:rsidRPr="00167929">
        <w:rPr>
          <w:rFonts w:ascii="Calibri" w:hAnsi="Calibri" w:cs="Calibri"/>
        </w:rPr>
        <w:t xml:space="preserve">Frischmann, C. J., Mehra, M., Allard, R., Bayuk, K., Gouveia, J. P., &amp; Gorman, M. R. (2020). Drawdown’s “System of Solutions” Helps to Achieve the SDGs. </w:t>
      </w:r>
      <w:r w:rsidRPr="00167929">
        <w:rPr>
          <w:rFonts w:ascii="Calibri" w:hAnsi="Calibri" w:cs="Calibri"/>
          <w:i/>
          <w:iCs/>
        </w:rPr>
        <w:t>Partnerships for the Goals</w:t>
      </w:r>
      <w:r w:rsidRPr="00167929">
        <w:rPr>
          <w:rFonts w:ascii="Calibri" w:hAnsi="Calibri" w:cs="Calibri"/>
        </w:rPr>
        <w:t>, 1–25. https://doi.org/10.1007/978-3-319-71067-9_100-1</w:t>
      </w:r>
    </w:p>
    <w:p w14:paraId="341993F8" w14:textId="77777777" w:rsidR="00167929" w:rsidRPr="00167929" w:rsidRDefault="00167929" w:rsidP="00167929">
      <w:pPr>
        <w:pStyle w:val="Bibliography"/>
        <w:rPr>
          <w:rFonts w:ascii="Calibri" w:hAnsi="Calibri" w:cs="Calibri"/>
        </w:rPr>
      </w:pPr>
      <w:r w:rsidRPr="00167929">
        <w:rPr>
          <w:rFonts w:ascii="Calibri" w:hAnsi="Calibri" w:cs="Calibri"/>
        </w:rPr>
        <w:t xml:space="preserve">Gammage, S., Joshi, S., &amp; Rodgers, Y. van der M. (2020). The Intersections of Women’s Economic and Reproductive Empowerment. </w:t>
      </w:r>
      <w:r w:rsidRPr="00167929">
        <w:rPr>
          <w:rFonts w:ascii="Calibri" w:hAnsi="Calibri" w:cs="Calibri"/>
          <w:i/>
          <w:iCs/>
        </w:rPr>
        <w:t>Feminist Economics</w:t>
      </w:r>
      <w:r w:rsidRPr="00167929">
        <w:rPr>
          <w:rFonts w:ascii="Calibri" w:hAnsi="Calibri" w:cs="Calibri"/>
        </w:rPr>
        <w:t xml:space="preserve">, </w:t>
      </w:r>
      <w:r w:rsidRPr="00167929">
        <w:rPr>
          <w:rFonts w:ascii="Calibri" w:hAnsi="Calibri" w:cs="Calibri"/>
          <w:i/>
          <w:iCs/>
        </w:rPr>
        <w:t>26</w:t>
      </w:r>
      <w:r w:rsidRPr="00167929">
        <w:rPr>
          <w:rFonts w:ascii="Calibri" w:hAnsi="Calibri" w:cs="Calibri"/>
        </w:rPr>
        <w:t>(1), 1–22. https://doi.org/10.1080/13545701.2019.1674451</w:t>
      </w:r>
    </w:p>
    <w:p w14:paraId="544E5E1E" w14:textId="77777777" w:rsidR="00167929" w:rsidRPr="00167929" w:rsidRDefault="00167929" w:rsidP="00167929">
      <w:pPr>
        <w:pStyle w:val="Bibliography"/>
        <w:rPr>
          <w:rFonts w:ascii="Calibri" w:hAnsi="Calibri" w:cs="Calibri"/>
        </w:rPr>
      </w:pPr>
      <w:r w:rsidRPr="00167929">
        <w:rPr>
          <w:rFonts w:ascii="Calibri" w:hAnsi="Calibri" w:cs="Calibri"/>
        </w:rPr>
        <w:t xml:space="preserve">Global Partnership for Education. (2019). </w:t>
      </w:r>
      <w:r w:rsidRPr="00167929">
        <w:rPr>
          <w:rFonts w:ascii="Calibri" w:hAnsi="Calibri" w:cs="Calibri"/>
          <w:i/>
          <w:iCs/>
        </w:rPr>
        <w:t>Education data highlights</w:t>
      </w:r>
      <w:r w:rsidRPr="00167929">
        <w:rPr>
          <w:rFonts w:ascii="Calibri" w:hAnsi="Calibri" w:cs="Calibri"/>
        </w:rPr>
        <w:t>. https://www.globalpartnership.org/results/education-data-highlights</w:t>
      </w:r>
    </w:p>
    <w:p w14:paraId="5D7D9A9C" w14:textId="77777777" w:rsidR="00167929" w:rsidRPr="00167929" w:rsidRDefault="00167929" w:rsidP="00167929">
      <w:pPr>
        <w:pStyle w:val="Bibliography"/>
        <w:rPr>
          <w:rFonts w:ascii="Calibri" w:hAnsi="Calibri" w:cs="Calibri"/>
        </w:rPr>
      </w:pPr>
      <w:r w:rsidRPr="00167929">
        <w:rPr>
          <w:rFonts w:ascii="Calibri" w:hAnsi="Calibri" w:cs="Calibri"/>
        </w:rPr>
        <w:t xml:space="preserve">Götmark, F., &amp; Andersson, M. (2020). Human fertility in relation to education, economy, religion, contraception, and family planning programs. </w:t>
      </w:r>
      <w:r w:rsidRPr="00167929">
        <w:rPr>
          <w:rFonts w:ascii="Calibri" w:hAnsi="Calibri" w:cs="Calibri"/>
          <w:i/>
          <w:iCs/>
        </w:rPr>
        <w:t>BMC Public Health</w:t>
      </w:r>
      <w:r w:rsidRPr="00167929">
        <w:rPr>
          <w:rFonts w:ascii="Calibri" w:hAnsi="Calibri" w:cs="Calibri"/>
        </w:rPr>
        <w:t xml:space="preserve">, </w:t>
      </w:r>
      <w:r w:rsidRPr="00167929">
        <w:rPr>
          <w:rFonts w:ascii="Calibri" w:hAnsi="Calibri" w:cs="Calibri"/>
          <w:i/>
          <w:iCs/>
        </w:rPr>
        <w:t>20</w:t>
      </w:r>
      <w:r w:rsidRPr="00167929">
        <w:rPr>
          <w:rFonts w:ascii="Calibri" w:hAnsi="Calibri" w:cs="Calibri"/>
        </w:rPr>
        <w:t>(1), 265. https://doi.org/10.1186/s12889-020-8331-7</w:t>
      </w:r>
    </w:p>
    <w:p w14:paraId="36A13A39" w14:textId="77777777" w:rsidR="00167929" w:rsidRPr="00167929" w:rsidRDefault="00167929" w:rsidP="00167929">
      <w:pPr>
        <w:pStyle w:val="Bibliography"/>
        <w:rPr>
          <w:rFonts w:ascii="Calibri" w:hAnsi="Calibri" w:cs="Calibri"/>
        </w:rPr>
      </w:pPr>
      <w:r w:rsidRPr="00167929">
        <w:rPr>
          <w:rFonts w:ascii="Calibri" w:hAnsi="Calibri" w:cs="Calibri"/>
        </w:rPr>
        <w:t xml:space="preserve">Guarcello, L., Lyon, S., &amp; Rosati, F. C. (2005). </w:t>
      </w:r>
      <w:r w:rsidRPr="00167929">
        <w:rPr>
          <w:rFonts w:ascii="Calibri" w:hAnsi="Calibri" w:cs="Calibri"/>
          <w:i/>
          <w:iCs/>
        </w:rPr>
        <w:t>Impact of children’s work on school attendance and performance: A review of school survey evidence from five countries</w:t>
      </w:r>
      <w:r w:rsidRPr="00167929">
        <w:rPr>
          <w:rFonts w:ascii="Calibri" w:hAnsi="Calibri" w:cs="Calibri"/>
        </w:rPr>
        <w:t>. 99.</w:t>
      </w:r>
    </w:p>
    <w:p w14:paraId="62437798" w14:textId="77777777" w:rsidR="00167929" w:rsidRPr="00167929" w:rsidRDefault="00167929" w:rsidP="00167929">
      <w:pPr>
        <w:pStyle w:val="Bibliography"/>
        <w:rPr>
          <w:rFonts w:ascii="Calibri" w:hAnsi="Calibri" w:cs="Calibri"/>
        </w:rPr>
      </w:pPr>
      <w:r w:rsidRPr="00167929">
        <w:rPr>
          <w:rFonts w:ascii="Calibri" w:hAnsi="Calibri" w:cs="Calibri"/>
        </w:rPr>
        <w:t xml:space="preserve">Guttmacher Institute. (2020). </w:t>
      </w:r>
      <w:r w:rsidRPr="00167929">
        <w:rPr>
          <w:rFonts w:ascii="Calibri" w:hAnsi="Calibri" w:cs="Calibri"/>
          <w:i/>
          <w:iCs/>
        </w:rPr>
        <w:t>Adding it Up: Investing in Sexual and Reproductive Health in Low- and Middle-Income Countries</w:t>
      </w:r>
      <w:r w:rsidRPr="00167929">
        <w:rPr>
          <w:rFonts w:ascii="Calibri" w:hAnsi="Calibri" w:cs="Calibri"/>
        </w:rPr>
        <w:t>. https://www.guttmacher.org/fact-sheet/adding-it-up-investing-in-sexual-reproductive-health</w:t>
      </w:r>
    </w:p>
    <w:p w14:paraId="514FE8B8" w14:textId="77777777" w:rsidR="00167929" w:rsidRPr="00167929" w:rsidRDefault="00167929" w:rsidP="00167929">
      <w:pPr>
        <w:pStyle w:val="Bibliography"/>
        <w:rPr>
          <w:rFonts w:ascii="Calibri" w:hAnsi="Calibri" w:cs="Calibri"/>
        </w:rPr>
      </w:pPr>
      <w:r w:rsidRPr="00167929">
        <w:rPr>
          <w:rFonts w:ascii="Calibri" w:hAnsi="Calibri" w:cs="Calibri"/>
        </w:rPr>
        <w:t xml:space="preserve">Hallegatte, S., Fay, M., &amp; Barbier, E. B. (2018). Poverty and climate change: Introduction. </w:t>
      </w:r>
      <w:r w:rsidRPr="00167929">
        <w:rPr>
          <w:rFonts w:ascii="Calibri" w:hAnsi="Calibri" w:cs="Calibri"/>
          <w:i/>
          <w:iCs/>
        </w:rPr>
        <w:t>Environment and Development Economics</w:t>
      </w:r>
      <w:r w:rsidRPr="00167929">
        <w:rPr>
          <w:rFonts w:ascii="Calibri" w:hAnsi="Calibri" w:cs="Calibri"/>
        </w:rPr>
        <w:t xml:space="preserve">, </w:t>
      </w:r>
      <w:r w:rsidRPr="00167929">
        <w:rPr>
          <w:rFonts w:ascii="Calibri" w:hAnsi="Calibri" w:cs="Calibri"/>
          <w:i/>
          <w:iCs/>
        </w:rPr>
        <w:t>23</w:t>
      </w:r>
      <w:r w:rsidRPr="00167929">
        <w:rPr>
          <w:rFonts w:ascii="Calibri" w:hAnsi="Calibri" w:cs="Calibri"/>
        </w:rPr>
        <w:t>(3), 217–233. https://doi.org/10.1017/S1355770X18000141</w:t>
      </w:r>
    </w:p>
    <w:p w14:paraId="019FC745" w14:textId="77777777" w:rsidR="00167929" w:rsidRPr="00167929" w:rsidRDefault="00167929" w:rsidP="00167929">
      <w:pPr>
        <w:pStyle w:val="Bibliography"/>
        <w:rPr>
          <w:rFonts w:ascii="Calibri" w:hAnsi="Calibri" w:cs="Calibri"/>
        </w:rPr>
      </w:pPr>
      <w:r w:rsidRPr="00167929">
        <w:rPr>
          <w:rFonts w:ascii="Calibri" w:hAnsi="Calibri" w:cs="Calibri"/>
        </w:rPr>
        <w:t xml:space="preserve">Hardee, K., Croce-Galis, M., &amp; Gay, J. (2017). Are men well served by family planning programs? </w:t>
      </w:r>
      <w:r w:rsidRPr="00167929">
        <w:rPr>
          <w:rFonts w:ascii="Calibri" w:hAnsi="Calibri" w:cs="Calibri"/>
          <w:i/>
          <w:iCs/>
        </w:rPr>
        <w:t>Reproductive Health</w:t>
      </w:r>
      <w:r w:rsidRPr="00167929">
        <w:rPr>
          <w:rFonts w:ascii="Calibri" w:hAnsi="Calibri" w:cs="Calibri"/>
        </w:rPr>
        <w:t xml:space="preserve">, </w:t>
      </w:r>
      <w:r w:rsidRPr="00167929">
        <w:rPr>
          <w:rFonts w:ascii="Calibri" w:hAnsi="Calibri" w:cs="Calibri"/>
          <w:i/>
          <w:iCs/>
        </w:rPr>
        <w:t>14</w:t>
      </w:r>
      <w:r w:rsidRPr="00167929">
        <w:rPr>
          <w:rFonts w:ascii="Calibri" w:hAnsi="Calibri" w:cs="Calibri"/>
        </w:rPr>
        <w:t>(1), 14. https://doi.org/10.1186/s12978-017-0278-5</w:t>
      </w:r>
    </w:p>
    <w:p w14:paraId="69AC4F2C" w14:textId="77777777" w:rsidR="00167929" w:rsidRPr="00167929" w:rsidRDefault="00167929" w:rsidP="00167929">
      <w:pPr>
        <w:pStyle w:val="Bibliography"/>
        <w:rPr>
          <w:rFonts w:ascii="Calibri" w:hAnsi="Calibri" w:cs="Calibri"/>
        </w:rPr>
      </w:pPr>
      <w:r w:rsidRPr="00167929">
        <w:rPr>
          <w:rFonts w:ascii="Calibri" w:hAnsi="Calibri" w:cs="Calibri"/>
        </w:rPr>
        <w:t xml:space="preserve">Hardee, K., Kumar, J., Newman, K., Bakamjian, L., Harris, S., Rodríguez, M., &amp; Brown, W. (2014). Voluntary, Human Rights–Based Family Planning: A Conceptual Framework. </w:t>
      </w:r>
      <w:r w:rsidRPr="00167929">
        <w:rPr>
          <w:rFonts w:ascii="Calibri" w:hAnsi="Calibri" w:cs="Calibri"/>
          <w:i/>
          <w:iCs/>
        </w:rPr>
        <w:t>Studies in Family Planning</w:t>
      </w:r>
      <w:r w:rsidRPr="00167929">
        <w:rPr>
          <w:rFonts w:ascii="Calibri" w:hAnsi="Calibri" w:cs="Calibri"/>
        </w:rPr>
        <w:t xml:space="preserve">, </w:t>
      </w:r>
      <w:r w:rsidRPr="00167929">
        <w:rPr>
          <w:rFonts w:ascii="Calibri" w:hAnsi="Calibri" w:cs="Calibri"/>
          <w:i/>
          <w:iCs/>
        </w:rPr>
        <w:t>45</w:t>
      </w:r>
      <w:r w:rsidRPr="00167929">
        <w:rPr>
          <w:rFonts w:ascii="Calibri" w:hAnsi="Calibri" w:cs="Calibri"/>
        </w:rPr>
        <w:t>(1), 1–18. https://doi.org/10.1111/j.1728-4465.2014.00373.x</w:t>
      </w:r>
    </w:p>
    <w:p w14:paraId="1266322A" w14:textId="77777777" w:rsidR="00167929" w:rsidRPr="00167929" w:rsidRDefault="00167929" w:rsidP="00167929">
      <w:pPr>
        <w:pStyle w:val="Bibliography"/>
        <w:rPr>
          <w:rFonts w:ascii="Calibri" w:hAnsi="Calibri" w:cs="Calibri"/>
        </w:rPr>
      </w:pPr>
      <w:r w:rsidRPr="00167929">
        <w:rPr>
          <w:rFonts w:ascii="Calibri" w:hAnsi="Calibri" w:cs="Calibri"/>
        </w:rPr>
        <w:t xml:space="preserve">Hickel, J. (2016). The true extent of global poverty and hunger: Questioning the good news narrative of the Millennium Development Goals. </w:t>
      </w:r>
      <w:r w:rsidRPr="00167929">
        <w:rPr>
          <w:rFonts w:ascii="Calibri" w:hAnsi="Calibri" w:cs="Calibri"/>
          <w:i/>
          <w:iCs/>
        </w:rPr>
        <w:t>Third World Quarterly</w:t>
      </w:r>
      <w:r w:rsidRPr="00167929">
        <w:rPr>
          <w:rFonts w:ascii="Calibri" w:hAnsi="Calibri" w:cs="Calibri"/>
        </w:rPr>
        <w:t xml:space="preserve">, </w:t>
      </w:r>
      <w:r w:rsidRPr="00167929">
        <w:rPr>
          <w:rFonts w:ascii="Calibri" w:hAnsi="Calibri" w:cs="Calibri"/>
          <w:i/>
          <w:iCs/>
        </w:rPr>
        <w:t>37</w:t>
      </w:r>
      <w:r w:rsidRPr="00167929">
        <w:rPr>
          <w:rFonts w:ascii="Calibri" w:hAnsi="Calibri" w:cs="Calibri"/>
        </w:rPr>
        <w:t>(5), 749–767. https://doi.org/10.1080/01436597.2015.1109439</w:t>
      </w:r>
    </w:p>
    <w:p w14:paraId="759F38C4" w14:textId="77777777" w:rsidR="00167929" w:rsidRPr="00167929" w:rsidRDefault="00167929" w:rsidP="00167929">
      <w:pPr>
        <w:pStyle w:val="Bibliography"/>
        <w:rPr>
          <w:rFonts w:ascii="Calibri" w:hAnsi="Calibri" w:cs="Calibri"/>
        </w:rPr>
      </w:pPr>
      <w:r w:rsidRPr="00167929">
        <w:rPr>
          <w:rFonts w:ascii="Calibri" w:hAnsi="Calibri" w:cs="Calibri"/>
        </w:rPr>
        <w:t xml:space="preserve">Hunt, F., Consortium for Research on Educational Access, T. &amp; E., University of Sussex, &amp; Centre for International Education. (2008). </w:t>
      </w:r>
      <w:r w:rsidRPr="00167929">
        <w:rPr>
          <w:rFonts w:ascii="Calibri" w:hAnsi="Calibri" w:cs="Calibri"/>
          <w:i/>
          <w:iCs/>
        </w:rPr>
        <w:t>Dropping out from school: A cross-country review of literature</w:t>
      </w:r>
      <w:r w:rsidRPr="00167929">
        <w:rPr>
          <w:rFonts w:ascii="Calibri" w:hAnsi="Calibri" w:cs="Calibri"/>
        </w:rPr>
        <w:t>. Consortium for Research on Educational Access, Transitions and Equity.</w:t>
      </w:r>
    </w:p>
    <w:p w14:paraId="7851AA4A" w14:textId="77777777" w:rsidR="00167929" w:rsidRPr="00167929" w:rsidRDefault="00167929" w:rsidP="00167929">
      <w:pPr>
        <w:pStyle w:val="Bibliography"/>
        <w:rPr>
          <w:rFonts w:ascii="Calibri" w:hAnsi="Calibri" w:cs="Calibri"/>
        </w:rPr>
      </w:pPr>
      <w:r w:rsidRPr="00167929">
        <w:rPr>
          <w:rFonts w:ascii="Calibri" w:hAnsi="Calibri" w:cs="Calibri"/>
        </w:rPr>
        <w:t xml:space="preserve">Kaneda, T., Falk, M., &amp; Patierno, K. (2021). </w:t>
      </w:r>
      <w:r w:rsidRPr="00167929">
        <w:rPr>
          <w:rFonts w:ascii="Calibri" w:hAnsi="Calibri" w:cs="Calibri"/>
          <w:i/>
          <w:iCs/>
        </w:rPr>
        <w:t>Understanding and Comparing Population Projections in Sub-Saharan Africa</w:t>
      </w:r>
      <w:r w:rsidRPr="00167929">
        <w:rPr>
          <w:rFonts w:ascii="Calibri" w:hAnsi="Calibri" w:cs="Calibri"/>
        </w:rPr>
        <w:t>. Population Reference Bureau. https://www.prb.org/resources/understanding-and-comparing-population-projections-in-sub-saharan-africa/</w:t>
      </w:r>
    </w:p>
    <w:p w14:paraId="6FFED915" w14:textId="77777777" w:rsidR="00167929" w:rsidRPr="00167929" w:rsidRDefault="00167929" w:rsidP="00167929">
      <w:pPr>
        <w:pStyle w:val="Bibliography"/>
        <w:rPr>
          <w:rFonts w:ascii="Calibri" w:hAnsi="Calibri" w:cs="Calibri"/>
        </w:rPr>
      </w:pPr>
      <w:r w:rsidRPr="00167929">
        <w:rPr>
          <w:rFonts w:ascii="Calibri" w:hAnsi="Calibri" w:cs="Calibri"/>
        </w:rPr>
        <w:t xml:space="preserve">Karamouzian, M., Sharifi, H., &amp; Haghdoost, A. A. (2014). Iran’s Shift in Family Planning Policies: Concerns and Challenges. </w:t>
      </w:r>
      <w:r w:rsidRPr="00167929">
        <w:rPr>
          <w:rFonts w:ascii="Calibri" w:hAnsi="Calibri" w:cs="Calibri"/>
          <w:i/>
          <w:iCs/>
        </w:rPr>
        <w:t>International Journal of Health Policy and Management</w:t>
      </w:r>
      <w:r w:rsidRPr="00167929">
        <w:rPr>
          <w:rFonts w:ascii="Calibri" w:hAnsi="Calibri" w:cs="Calibri"/>
        </w:rPr>
        <w:t xml:space="preserve">, </w:t>
      </w:r>
      <w:r w:rsidRPr="00167929">
        <w:rPr>
          <w:rFonts w:ascii="Calibri" w:hAnsi="Calibri" w:cs="Calibri"/>
          <w:i/>
          <w:iCs/>
        </w:rPr>
        <w:t>3</w:t>
      </w:r>
      <w:r w:rsidRPr="00167929">
        <w:rPr>
          <w:rFonts w:ascii="Calibri" w:hAnsi="Calibri" w:cs="Calibri"/>
        </w:rPr>
        <w:t>(5), 231–233. https://doi.org/10.15171/ijhpm.2014.81</w:t>
      </w:r>
    </w:p>
    <w:p w14:paraId="1EDAF2BE" w14:textId="77777777" w:rsidR="00167929" w:rsidRPr="00167929" w:rsidRDefault="00167929" w:rsidP="00167929">
      <w:pPr>
        <w:pStyle w:val="Bibliography"/>
        <w:rPr>
          <w:rFonts w:ascii="Calibri" w:hAnsi="Calibri" w:cs="Calibri"/>
        </w:rPr>
      </w:pPr>
      <w:r w:rsidRPr="00167929">
        <w:rPr>
          <w:rFonts w:ascii="Calibri" w:hAnsi="Calibri" w:cs="Calibri"/>
        </w:rPr>
        <w:t xml:space="preserve">Kennedy, E., Binder, G., Humphries-Waa, K., Tidhar, T., Cini, K., Comrie-Thomson, L., Vaughan, C., Francis, K., Scott, N., Wulan, N., Patton, G., &amp; Azzopardi, P. (2020). Gender inequalities in health and wellbeing across the first two decades of life: An analysis of 40 low-income and middle-income countries in the Asia-Pacific region. </w:t>
      </w:r>
      <w:r w:rsidRPr="00167929">
        <w:rPr>
          <w:rFonts w:ascii="Calibri" w:hAnsi="Calibri" w:cs="Calibri"/>
          <w:i/>
          <w:iCs/>
        </w:rPr>
        <w:t>The Lancet Global Health</w:t>
      </w:r>
      <w:r w:rsidRPr="00167929">
        <w:rPr>
          <w:rFonts w:ascii="Calibri" w:hAnsi="Calibri" w:cs="Calibri"/>
        </w:rPr>
        <w:t xml:space="preserve">, </w:t>
      </w:r>
      <w:r w:rsidRPr="00167929">
        <w:rPr>
          <w:rFonts w:ascii="Calibri" w:hAnsi="Calibri" w:cs="Calibri"/>
          <w:i/>
          <w:iCs/>
        </w:rPr>
        <w:t>8</w:t>
      </w:r>
      <w:r w:rsidRPr="00167929">
        <w:rPr>
          <w:rFonts w:ascii="Calibri" w:hAnsi="Calibri" w:cs="Calibri"/>
        </w:rPr>
        <w:t>(12), e1473–e1488. https://doi.org/10.1016/S2214-109X(20)30354-5</w:t>
      </w:r>
    </w:p>
    <w:p w14:paraId="509F1D18" w14:textId="77777777" w:rsidR="00167929" w:rsidRPr="00167929" w:rsidRDefault="00167929" w:rsidP="00167929">
      <w:pPr>
        <w:pStyle w:val="Bibliography"/>
        <w:rPr>
          <w:rFonts w:ascii="Calibri" w:hAnsi="Calibri" w:cs="Calibri"/>
        </w:rPr>
      </w:pPr>
      <w:r w:rsidRPr="00167929">
        <w:rPr>
          <w:rFonts w:ascii="Calibri" w:hAnsi="Calibri" w:cs="Calibri"/>
        </w:rPr>
        <w:t xml:space="preserve">Kim, J. (2016). Female education and its impact on fertility. </w:t>
      </w:r>
      <w:r w:rsidRPr="00167929">
        <w:rPr>
          <w:rFonts w:ascii="Calibri" w:hAnsi="Calibri" w:cs="Calibri"/>
          <w:i/>
          <w:iCs/>
        </w:rPr>
        <w:t>IZA World of Labor</w:t>
      </w:r>
      <w:r w:rsidRPr="00167929">
        <w:rPr>
          <w:rFonts w:ascii="Calibri" w:hAnsi="Calibri" w:cs="Calibri"/>
        </w:rPr>
        <w:t>. https://doi.org/10.15185/izawol.228</w:t>
      </w:r>
    </w:p>
    <w:p w14:paraId="032BF2CC" w14:textId="77777777" w:rsidR="00167929" w:rsidRPr="00167929" w:rsidRDefault="00167929" w:rsidP="00167929">
      <w:pPr>
        <w:pStyle w:val="Bibliography"/>
        <w:rPr>
          <w:rFonts w:ascii="Calibri" w:hAnsi="Calibri" w:cs="Calibri"/>
        </w:rPr>
      </w:pPr>
      <w:r w:rsidRPr="00167929">
        <w:rPr>
          <w:rFonts w:ascii="Calibri" w:hAnsi="Calibri" w:cs="Calibri"/>
        </w:rPr>
        <w:t xml:space="preserve">Korachais, C., Macouillard, E., &amp; Meessen, B. (2016). How User Fees Influence Contraception in Low and Middle Income Countries: A Systematic Review. </w:t>
      </w:r>
      <w:r w:rsidRPr="00167929">
        <w:rPr>
          <w:rFonts w:ascii="Calibri" w:hAnsi="Calibri" w:cs="Calibri"/>
          <w:i/>
          <w:iCs/>
        </w:rPr>
        <w:t>Studies in Family Planning</w:t>
      </w:r>
      <w:r w:rsidRPr="00167929">
        <w:rPr>
          <w:rFonts w:ascii="Calibri" w:hAnsi="Calibri" w:cs="Calibri"/>
        </w:rPr>
        <w:t xml:space="preserve">, </w:t>
      </w:r>
      <w:r w:rsidRPr="00167929">
        <w:rPr>
          <w:rFonts w:ascii="Calibri" w:hAnsi="Calibri" w:cs="Calibri"/>
          <w:i/>
          <w:iCs/>
        </w:rPr>
        <w:t>47</w:t>
      </w:r>
      <w:r w:rsidRPr="00167929">
        <w:rPr>
          <w:rFonts w:ascii="Calibri" w:hAnsi="Calibri" w:cs="Calibri"/>
        </w:rPr>
        <w:t>(4), 341–356. https://doi.org/10.1111/sifp.12005</w:t>
      </w:r>
    </w:p>
    <w:p w14:paraId="480E1DC1" w14:textId="77777777" w:rsidR="00167929" w:rsidRPr="00167929" w:rsidRDefault="00167929" w:rsidP="00167929">
      <w:pPr>
        <w:pStyle w:val="Bibliography"/>
        <w:rPr>
          <w:rFonts w:ascii="Calibri" w:hAnsi="Calibri" w:cs="Calibri"/>
        </w:rPr>
      </w:pPr>
      <w:r w:rsidRPr="00167929">
        <w:rPr>
          <w:rFonts w:ascii="Calibri" w:hAnsi="Calibri" w:cs="Calibri"/>
        </w:rPr>
        <w:t xml:space="preserve">Kwauk, C. (2020). </w:t>
      </w:r>
      <w:r w:rsidRPr="00167929">
        <w:rPr>
          <w:rFonts w:ascii="Calibri" w:hAnsi="Calibri" w:cs="Calibri"/>
          <w:i/>
          <w:iCs/>
        </w:rPr>
        <w:t>Roadblocks to quality education in a time of climate change</w:t>
      </w:r>
      <w:r w:rsidRPr="00167929">
        <w:rPr>
          <w:rFonts w:ascii="Calibri" w:hAnsi="Calibri" w:cs="Calibri"/>
        </w:rPr>
        <w:t>. https://www.brookings.edu/research/roadblocks-to-quality-education-in-a-time-of-climate-change/</w:t>
      </w:r>
    </w:p>
    <w:p w14:paraId="60983DF2" w14:textId="77777777" w:rsidR="00167929" w:rsidRPr="00167929" w:rsidRDefault="00167929" w:rsidP="00167929">
      <w:pPr>
        <w:pStyle w:val="Bibliography"/>
        <w:rPr>
          <w:rFonts w:ascii="Calibri" w:hAnsi="Calibri" w:cs="Calibri"/>
        </w:rPr>
      </w:pPr>
      <w:r w:rsidRPr="00167929">
        <w:rPr>
          <w:rFonts w:ascii="Calibri" w:hAnsi="Calibri" w:cs="Calibri"/>
        </w:rPr>
        <w:t xml:space="preserve">Lama, P., Hamza, M., &amp; Wester, M. (2021). Gendered dimensions of migration in relation to climate change. </w:t>
      </w:r>
      <w:r w:rsidRPr="00167929">
        <w:rPr>
          <w:rFonts w:ascii="Calibri" w:hAnsi="Calibri" w:cs="Calibri"/>
          <w:i/>
          <w:iCs/>
        </w:rPr>
        <w:t>Climate and Development</w:t>
      </w:r>
      <w:r w:rsidRPr="00167929">
        <w:rPr>
          <w:rFonts w:ascii="Calibri" w:hAnsi="Calibri" w:cs="Calibri"/>
        </w:rPr>
        <w:t xml:space="preserve">, </w:t>
      </w:r>
      <w:r w:rsidRPr="00167929">
        <w:rPr>
          <w:rFonts w:ascii="Calibri" w:hAnsi="Calibri" w:cs="Calibri"/>
          <w:i/>
          <w:iCs/>
        </w:rPr>
        <w:t>13</w:t>
      </w:r>
      <w:r w:rsidRPr="00167929">
        <w:rPr>
          <w:rFonts w:ascii="Calibri" w:hAnsi="Calibri" w:cs="Calibri"/>
        </w:rPr>
        <w:t>(4), 326–336. https://doi.org/10.1080/17565529.2020.1772708</w:t>
      </w:r>
    </w:p>
    <w:p w14:paraId="4B8D4CAC" w14:textId="77777777" w:rsidR="00167929" w:rsidRPr="00167929" w:rsidRDefault="00167929" w:rsidP="00167929">
      <w:pPr>
        <w:pStyle w:val="Bibliography"/>
        <w:rPr>
          <w:rFonts w:ascii="Calibri" w:hAnsi="Calibri" w:cs="Calibri"/>
        </w:rPr>
      </w:pPr>
      <w:r w:rsidRPr="00167929">
        <w:rPr>
          <w:rFonts w:ascii="Calibri" w:hAnsi="Calibri" w:cs="Calibri"/>
        </w:rPr>
        <w:t xml:space="preserve">Lawson, D. W., &amp; Mace, R. (2010). Optimizing Modern Family Size: Trade-offs between Fertility and the Economic Costs of Reproduction. </w:t>
      </w:r>
      <w:r w:rsidRPr="00167929">
        <w:rPr>
          <w:rFonts w:ascii="Calibri" w:hAnsi="Calibri" w:cs="Calibri"/>
          <w:i/>
          <w:iCs/>
        </w:rPr>
        <w:t>Human Nature</w:t>
      </w:r>
      <w:r w:rsidRPr="00167929">
        <w:rPr>
          <w:rFonts w:ascii="Calibri" w:hAnsi="Calibri" w:cs="Calibri"/>
        </w:rPr>
        <w:t xml:space="preserve">, </w:t>
      </w:r>
      <w:r w:rsidRPr="00167929">
        <w:rPr>
          <w:rFonts w:ascii="Calibri" w:hAnsi="Calibri" w:cs="Calibri"/>
          <w:i/>
          <w:iCs/>
        </w:rPr>
        <w:t>21</w:t>
      </w:r>
      <w:r w:rsidRPr="00167929">
        <w:rPr>
          <w:rFonts w:ascii="Calibri" w:hAnsi="Calibri" w:cs="Calibri"/>
        </w:rPr>
        <w:t>(1), 39–61. https://doi.org/10.1007/s12110-010-9080-6</w:t>
      </w:r>
    </w:p>
    <w:p w14:paraId="06C34192" w14:textId="77777777" w:rsidR="00167929" w:rsidRPr="00167929" w:rsidRDefault="00167929" w:rsidP="00167929">
      <w:pPr>
        <w:pStyle w:val="Bibliography"/>
        <w:rPr>
          <w:rFonts w:ascii="Calibri" w:hAnsi="Calibri" w:cs="Calibri"/>
        </w:rPr>
      </w:pPr>
      <w:r w:rsidRPr="00167929">
        <w:rPr>
          <w:rFonts w:ascii="Calibri" w:hAnsi="Calibri" w:cs="Calibri"/>
        </w:rPr>
        <w:t xml:space="preserve">Liu, D. H., &amp; Raftery, A. E. (2020). How Do Education and Family Planning Accelerate Fertility Decline? </w:t>
      </w:r>
      <w:r w:rsidRPr="00167929">
        <w:rPr>
          <w:rFonts w:ascii="Calibri" w:hAnsi="Calibri" w:cs="Calibri"/>
          <w:i/>
          <w:iCs/>
        </w:rPr>
        <w:t>Population and Development Review</w:t>
      </w:r>
      <w:r w:rsidRPr="00167929">
        <w:rPr>
          <w:rFonts w:ascii="Calibri" w:hAnsi="Calibri" w:cs="Calibri"/>
        </w:rPr>
        <w:t xml:space="preserve">, </w:t>
      </w:r>
      <w:r w:rsidRPr="00167929">
        <w:rPr>
          <w:rFonts w:ascii="Calibri" w:hAnsi="Calibri" w:cs="Calibri"/>
          <w:i/>
          <w:iCs/>
        </w:rPr>
        <w:t>46</w:t>
      </w:r>
      <w:r w:rsidRPr="00167929">
        <w:rPr>
          <w:rFonts w:ascii="Calibri" w:hAnsi="Calibri" w:cs="Calibri"/>
        </w:rPr>
        <w:t>(3), 409–441. https://doi.org/10.1111/padr.12347</w:t>
      </w:r>
    </w:p>
    <w:p w14:paraId="0BB744C6" w14:textId="77777777" w:rsidR="00167929" w:rsidRPr="00167929" w:rsidRDefault="00167929" w:rsidP="00167929">
      <w:pPr>
        <w:pStyle w:val="Bibliography"/>
        <w:rPr>
          <w:rFonts w:ascii="Calibri" w:hAnsi="Calibri" w:cs="Calibri"/>
        </w:rPr>
      </w:pPr>
      <w:r w:rsidRPr="00167929">
        <w:rPr>
          <w:rFonts w:ascii="Calibri" w:hAnsi="Calibri" w:cs="Calibri"/>
        </w:rPr>
        <w:t xml:space="preserve">McCleary-Sills, J., Hanmer, L., Parsons, J., &amp; Klugman, J. (2015). Child Marriage: A Critical Barrier to Girls’ Schooling and Gender Equality in Education. </w:t>
      </w:r>
      <w:r w:rsidRPr="00167929">
        <w:rPr>
          <w:rFonts w:ascii="Calibri" w:hAnsi="Calibri" w:cs="Calibri"/>
          <w:i/>
          <w:iCs/>
        </w:rPr>
        <w:t>The Review of Faith &amp; International Affairs</w:t>
      </w:r>
      <w:r w:rsidRPr="00167929">
        <w:rPr>
          <w:rFonts w:ascii="Calibri" w:hAnsi="Calibri" w:cs="Calibri"/>
        </w:rPr>
        <w:t xml:space="preserve">, </w:t>
      </w:r>
      <w:r w:rsidRPr="00167929">
        <w:rPr>
          <w:rFonts w:ascii="Calibri" w:hAnsi="Calibri" w:cs="Calibri"/>
          <w:i/>
          <w:iCs/>
        </w:rPr>
        <w:t>13</w:t>
      </w:r>
      <w:r w:rsidRPr="00167929">
        <w:rPr>
          <w:rFonts w:ascii="Calibri" w:hAnsi="Calibri" w:cs="Calibri"/>
        </w:rPr>
        <w:t>(3), 69–80. https://doi.org/10.1080/15570274.2015.1075755</w:t>
      </w:r>
    </w:p>
    <w:p w14:paraId="10D62564" w14:textId="77777777" w:rsidR="00167929" w:rsidRPr="00167929" w:rsidRDefault="00167929" w:rsidP="00167929">
      <w:pPr>
        <w:pStyle w:val="Bibliography"/>
        <w:rPr>
          <w:rFonts w:ascii="Calibri" w:hAnsi="Calibri" w:cs="Calibri"/>
        </w:rPr>
      </w:pPr>
      <w:r w:rsidRPr="00167929">
        <w:rPr>
          <w:rFonts w:ascii="Calibri" w:hAnsi="Calibri" w:cs="Calibri"/>
        </w:rPr>
        <w:t xml:space="preserve">McDonald, P. (2000). Gender Equity in Theories of Fertility Transition. </w:t>
      </w:r>
      <w:r w:rsidRPr="00167929">
        <w:rPr>
          <w:rFonts w:ascii="Calibri" w:hAnsi="Calibri" w:cs="Calibri"/>
          <w:i/>
          <w:iCs/>
        </w:rPr>
        <w:t>Population and Development Review</w:t>
      </w:r>
      <w:r w:rsidRPr="00167929">
        <w:rPr>
          <w:rFonts w:ascii="Calibri" w:hAnsi="Calibri" w:cs="Calibri"/>
        </w:rPr>
        <w:t xml:space="preserve">, </w:t>
      </w:r>
      <w:r w:rsidRPr="00167929">
        <w:rPr>
          <w:rFonts w:ascii="Calibri" w:hAnsi="Calibri" w:cs="Calibri"/>
          <w:i/>
          <w:iCs/>
        </w:rPr>
        <w:t>26</w:t>
      </w:r>
      <w:r w:rsidRPr="00167929">
        <w:rPr>
          <w:rFonts w:ascii="Calibri" w:hAnsi="Calibri" w:cs="Calibri"/>
        </w:rPr>
        <w:t>(3), 427–439. https://doi.org/10.1111/j.1728-4457.2000.00427.x</w:t>
      </w:r>
    </w:p>
    <w:p w14:paraId="02652F6B" w14:textId="77777777" w:rsidR="00167929" w:rsidRPr="00167929" w:rsidRDefault="00167929" w:rsidP="00167929">
      <w:pPr>
        <w:pStyle w:val="Bibliography"/>
        <w:rPr>
          <w:rFonts w:ascii="Calibri" w:hAnsi="Calibri" w:cs="Calibri"/>
        </w:rPr>
      </w:pPr>
      <w:r w:rsidRPr="00167929">
        <w:rPr>
          <w:rFonts w:ascii="Calibri" w:hAnsi="Calibri" w:cs="Calibri"/>
        </w:rPr>
        <w:t xml:space="preserve">McQuillan, K. (2004). When Does Religion Influence Fertility? </w:t>
      </w:r>
      <w:r w:rsidRPr="00167929">
        <w:rPr>
          <w:rFonts w:ascii="Calibri" w:hAnsi="Calibri" w:cs="Calibri"/>
          <w:i/>
          <w:iCs/>
        </w:rPr>
        <w:t>Population and Development Review</w:t>
      </w:r>
      <w:r w:rsidRPr="00167929">
        <w:rPr>
          <w:rFonts w:ascii="Calibri" w:hAnsi="Calibri" w:cs="Calibri"/>
        </w:rPr>
        <w:t xml:space="preserve">, </w:t>
      </w:r>
      <w:r w:rsidRPr="00167929">
        <w:rPr>
          <w:rFonts w:ascii="Calibri" w:hAnsi="Calibri" w:cs="Calibri"/>
          <w:i/>
          <w:iCs/>
        </w:rPr>
        <w:t>30</w:t>
      </w:r>
      <w:r w:rsidRPr="00167929">
        <w:rPr>
          <w:rFonts w:ascii="Calibri" w:hAnsi="Calibri" w:cs="Calibri"/>
        </w:rPr>
        <w:t>(1), 25–56. https://doi.org/10.1111/j.1728-4457.2004.00002.x</w:t>
      </w:r>
    </w:p>
    <w:p w14:paraId="7ED8D749" w14:textId="77777777" w:rsidR="00167929" w:rsidRPr="00167929" w:rsidRDefault="00167929" w:rsidP="00167929">
      <w:pPr>
        <w:pStyle w:val="Bibliography"/>
        <w:rPr>
          <w:rFonts w:ascii="Calibri" w:hAnsi="Calibri" w:cs="Calibri"/>
        </w:rPr>
      </w:pPr>
      <w:r w:rsidRPr="00167929">
        <w:rPr>
          <w:rFonts w:ascii="Calibri" w:hAnsi="Calibri" w:cs="Calibri"/>
        </w:rPr>
        <w:t xml:space="preserve">MEASURE DHS. (n.d.). </w:t>
      </w:r>
      <w:r w:rsidRPr="00167929">
        <w:rPr>
          <w:rFonts w:ascii="Calibri" w:hAnsi="Calibri" w:cs="Calibri"/>
          <w:i/>
          <w:iCs/>
        </w:rPr>
        <w:t>Total fertility rate</w:t>
      </w:r>
      <w:r w:rsidRPr="00167929">
        <w:rPr>
          <w:rFonts w:ascii="Calibri" w:hAnsi="Calibri" w:cs="Calibri"/>
        </w:rPr>
        <w:t xml:space="preserve"> [Indicator]. Retrieved March 23, 2021, from https://www.measureevaluation.org/prh/rh_indicators/family-planning/fertility/total-fertility-rate</w:t>
      </w:r>
    </w:p>
    <w:p w14:paraId="5FC80D4C" w14:textId="77777777" w:rsidR="00167929" w:rsidRPr="00167929" w:rsidRDefault="00167929" w:rsidP="00167929">
      <w:pPr>
        <w:pStyle w:val="Bibliography"/>
        <w:rPr>
          <w:rFonts w:ascii="Calibri" w:hAnsi="Calibri" w:cs="Calibri"/>
        </w:rPr>
      </w:pPr>
      <w:r w:rsidRPr="00167929">
        <w:rPr>
          <w:rFonts w:ascii="Calibri" w:hAnsi="Calibri" w:cs="Calibri"/>
        </w:rPr>
        <w:t xml:space="preserve">Mensch, B. S., Chuang, E. K., Melnikas, A. J., &amp; Psaki, S. R. (2019). Evidence for causal links between education and maternal and child health: Systematic review. </w:t>
      </w:r>
      <w:r w:rsidRPr="00167929">
        <w:rPr>
          <w:rFonts w:ascii="Calibri" w:hAnsi="Calibri" w:cs="Calibri"/>
          <w:i/>
          <w:iCs/>
        </w:rPr>
        <w:t>Tropical Medicine &amp; International Health</w:t>
      </w:r>
      <w:r w:rsidRPr="00167929">
        <w:rPr>
          <w:rFonts w:ascii="Calibri" w:hAnsi="Calibri" w:cs="Calibri"/>
        </w:rPr>
        <w:t xml:space="preserve">, </w:t>
      </w:r>
      <w:r w:rsidRPr="00167929">
        <w:rPr>
          <w:rFonts w:ascii="Calibri" w:hAnsi="Calibri" w:cs="Calibri"/>
          <w:i/>
          <w:iCs/>
        </w:rPr>
        <w:t>24</w:t>
      </w:r>
      <w:r w:rsidRPr="00167929">
        <w:rPr>
          <w:rFonts w:ascii="Calibri" w:hAnsi="Calibri" w:cs="Calibri"/>
        </w:rPr>
        <w:t>(5), 504–522. https://doi.org/10.1111/tmi.13218</w:t>
      </w:r>
    </w:p>
    <w:p w14:paraId="18B2FE3E" w14:textId="77777777" w:rsidR="00167929" w:rsidRPr="00167929" w:rsidRDefault="00167929" w:rsidP="00167929">
      <w:pPr>
        <w:pStyle w:val="Bibliography"/>
        <w:rPr>
          <w:rFonts w:ascii="Calibri" w:hAnsi="Calibri" w:cs="Calibri"/>
        </w:rPr>
      </w:pPr>
      <w:r w:rsidRPr="00167929">
        <w:rPr>
          <w:rFonts w:ascii="Calibri" w:hAnsi="Calibri" w:cs="Calibri"/>
        </w:rPr>
        <w:t xml:space="preserve">Monstad, K., Propper, C., &amp; Salvanes, K. G. (2008). Education and Fertility: Evidence from a Natural Experiment. </w:t>
      </w:r>
      <w:r w:rsidRPr="00167929">
        <w:rPr>
          <w:rFonts w:ascii="Calibri" w:hAnsi="Calibri" w:cs="Calibri"/>
          <w:i/>
          <w:iCs/>
        </w:rPr>
        <w:t>The Scandinavian Journal of Economics</w:t>
      </w:r>
      <w:r w:rsidRPr="00167929">
        <w:rPr>
          <w:rFonts w:ascii="Calibri" w:hAnsi="Calibri" w:cs="Calibri"/>
        </w:rPr>
        <w:t xml:space="preserve">, </w:t>
      </w:r>
      <w:r w:rsidRPr="00167929">
        <w:rPr>
          <w:rFonts w:ascii="Calibri" w:hAnsi="Calibri" w:cs="Calibri"/>
          <w:i/>
          <w:iCs/>
        </w:rPr>
        <w:t>110</w:t>
      </w:r>
      <w:r w:rsidRPr="00167929">
        <w:rPr>
          <w:rFonts w:ascii="Calibri" w:hAnsi="Calibri" w:cs="Calibri"/>
        </w:rPr>
        <w:t>(4), 827–852.</w:t>
      </w:r>
    </w:p>
    <w:p w14:paraId="25D05E00" w14:textId="77777777" w:rsidR="00167929" w:rsidRPr="00167929" w:rsidRDefault="00167929" w:rsidP="00167929">
      <w:pPr>
        <w:pStyle w:val="Bibliography"/>
        <w:rPr>
          <w:rFonts w:ascii="Calibri" w:hAnsi="Calibri" w:cs="Calibri"/>
        </w:rPr>
      </w:pPr>
      <w:r w:rsidRPr="00167929">
        <w:rPr>
          <w:rFonts w:ascii="Calibri" w:hAnsi="Calibri" w:cs="Calibri"/>
        </w:rPr>
        <w:t xml:space="preserve">Moore, M., Gould, P., &amp; Keary, B. S. (2002). Global urbanization and the impact on health. </w:t>
      </w:r>
      <w:r w:rsidRPr="00167929">
        <w:rPr>
          <w:rFonts w:ascii="Calibri" w:hAnsi="Calibri" w:cs="Calibri"/>
          <w:i/>
          <w:iCs/>
        </w:rPr>
        <w:t>International Journal of Hygiene and Environmental Health</w:t>
      </w:r>
      <w:r w:rsidRPr="00167929">
        <w:rPr>
          <w:rFonts w:ascii="Calibri" w:hAnsi="Calibri" w:cs="Calibri"/>
        </w:rPr>
        <w:t xml:space="preserve">, </w:t>
      </w:r>
      <w:r w:rsidRPr="00167929">
        <w:rPr>
          <w:rFonts w:ascii="Calibri" w:hAnsi="Calibri" w:cs="Calibri"/>
          <w:i/>
          <w:iCs/>
        </w:rPr>
        <w:t>206</w:t>
      </w:r>
      <w:r w:rsidRPr="00167929">
        <w:rPr>
          <w:rFonts w:ascii="Calibri" w:hAnsi="Calibri" w:cs="Calibri"/>
        </w:rPr>
        <w:t>, 269–278.</w:t>
      </w:r>
    </w:p>
    <w:p w14:paraId="45B2F8CC" w14:textId="77777777" w:rsidR="00167929" w:rsidRPr="00167929" w:rsidRDefault="00167929" w:rsidP="00167929">
      <w:pPr>
        <w:pStyle w:val="Bibliography"/>
        <w:rPr>
          <w:rFonts w:ascii="Calibri" w:hAnsi="Calibri" w:cs="Calibri"/>
        </w:rPr>
      </w:pPr>
      <w:r w:rsidRPr="00167929">
        <w:rPr>
          <w:rFonts w:ascii="Calibri" w:hAnsi="Calibri" w:cs="Calibri"/>
        </w:rPr>
        <w:t xml:space="preserve">Morrow, V., &amp; Boyden, J. (2018). </w:t>
      </w:r>
      <w:r w:rsidRPr="00167929">
        <w:rPr>
          <w:rFonts w:ascii="Calibri" w:hAnsi="Calibri" w:cs="Calibri"/>
          <w:i/>
          <w:iCs/>
        </w:rPr>
        <w:t>Responding to children’s work: Evidence from the Young Lives study in Ethiopia, India, Peru and Vietnam</w:t>
      </w:r>
      <w:r w:rsidRPr="00167929">
        <w:rPr>
          <w:rFonts w:ascii="Calibri" w:hAnsi="Calibri" w:cs="Calibri"/>
        </w:rPr>
        <w:t xml:space="preserve"> (Summative Report. Oxford: Young Lives). https://www.younglives.org.uk/content/responding-childrens-work-evidence-young-lives-study-ethiopia-india-peru-and-vietnam</w:t>
      </w:r>
    </w:p>
    <w:p w14:paraId="7DFF78EE" w14:textId="77777777" w:rsidR="00167929" w:rsidRPr="00167929" w:rsidRDefault="00167929" w:rsidP="00167929">
      <w:pPr>
        <w:pStyle w:val="Bibliography"/>
        <w:rPr>
          <w:rFonts w:ascii="Calibri" w:hAnsi="Calibri" w:cs="Calibri"/>
        </w:rPr>
      </w:pPr>
      <w:r w:rsidRPr="00167929">
        <w:rPr>
          <w:rFonts w:ascii="Calibri" w:hAnsi="Calibri" w:cs="Calibri"/>
        </w:rPr>
        <w:t xml:space="preserve">Mwaikambo, L., Speizer, I. S., Schurmann, A., Morgan, G., &amp; Fikree, F. (2011). What Works in Family Planning Interventions: A Systematic Review. </w:t>
      </w:r>
      <w:r w:rsidRPr="00167929">
        <w:rPr>
          <w:rFonts w:ascii="Calibri" w:hAnsi="Calibri" w:cs="Calibri"/>
          <w:i/>
          <w:iCs/>
        </w:rPr>
        <w:t>Studies in Family Planning</w:t>
      </w:r>
      <w:r w:rsidRPr="00167929">
        <w:rPr>
          <w:rFonts w:ascii="Calibri" w:hAnsi="Calibri" w:cs="Calibri"/>
        </w:rPr>
        <w:t xml:space="preserve">, </w:t>
      </w:r>
      <w:r w:rsidRPr="00167929">
        <w:rPr>
          <w:rFonts w:ascii="Calibri" w:hAnsi="Calibri" w:cs="Calibri"/>
          <w:i/>
          <w:iCs/>
        </w:rPr>
        <w:t>42</w:t>
      </w:r>
      <w:r w:rsidRPr="00167929">
        <w:rPr>
          <w:rFonts w:ascii="Calibri" w:hAnsi="Calibri" w:cs="Calibri"/>
        </w:rPr>
        <w:t>(2), 67–82. https://doi.org/10.1111/j.1728-4465.2011.00267.x</w:t>
      </w:r>
    </w:p>
    <w:p w14:paraId="4CCF45F6" w14:textId="77777777" w:rsidR="00167929" w:rsidRPr="00167929" w:rsidRDefault="00167929" w:rsidP="00167929">
      <w:pPr>
        <w:pStyle w:val="Bibliography"/>
        <w:rPr>
          <w:rFonts w:ascii="Calibri" w:hAnsi="Calibri" w:cs="Calibri"/>
        </w:rPr>
      </w:pPr>
      <w:r w:rsidRPr="00167929">
        <w:rPr>
          <w:rFonts w:ascii="Calibri" w:hAnsi="Calibri" w:cs="Calibri"/>
        </w:rPr>
        <w:t xml:space="preserve">Olson, D., &amp; Piller, A. (2013). Ethiopia: An Emerging Family Planning Success Story. </w:t>
      </w:r>
      <w:r w:rsidRPr="00167929">
        <w:rPr>
          <w:rFonts w:ascii="Calibri" w:hAnsi="Calibri" w:cs="Calibri"/>
          <w:i/>
          <w:iCs/>
        </w:rPr>
        <w:t>Studies in Family Planning</w:t>
      </w:r>
      <w:r w:rsidRPr="00167929">
        <w:rPr>
          <w:rFonts w:ascii="Calibri" w:hAnsi="Calibri" w:cs="Calibri"/>
        </w:rPr>
        <w:t xml:space="preserve">, </w:t>
      </w:r>
      <w:r w:rsidRPr="00167929">
        <w:rPr>
          <w:rFonts w:ascii="Calibri" w:hAnsi="Calibri" w:cs="Calibri"/>
          <w:i/>
          <w:iCs/>
        </w:rPr>
        <w:t>44</w:t>
      </w:r>
      <w:r w:rsidRPr="00167929">
        <w:rPr>
          <w:rFonts w:ascii="Calibri" w:hAnsi="Calibri" w:cs="Calibri"/>
        </w:rPr>
        <w:t>, 445–459. https://doi.org/10.1111/j.1728-4465.2013.00369.x</w:t>
      </w:r>
    </w:p>
    <w:p w14:paraId="46BBBFD0" w14:textId="77777777" w:rsidR="00167929" w:rsidRPr="00167929" w:rsidRDefault="00167929" w:rsidP="00167929">
      <w:pPr>
        <w:pStyle w:val="Bibliography"/>
        <w:rPr>
          <w:rFonts w:ascii="Calibri" w:hAnsi="Calibri" w:cs="Calibri"/>
        </w:rPr>
      </w:pPr>
      <w:r w:rsidRPr="00167929">
        <w:rPr>
          <w:rFonts w:ascii="Calibri" w:hAnsi="Calibri" w:cs="Calibri"/>
        </w:rPr>
        <w:t xml:space="preserve">Parsons, J., Edmeades, J., Kes, A., Petroni, S., Sexton, M., &amp; Wodon, Q. (2015). Economic Impacts of Child Marriage: A Review of the Literature. </w:t>
      </w:r>
      <w:r w:rsidRPr="00167929">
        <w:rPr>
          <w:rFonts w:ascii="Calibri" w:hAnsi="Calibri" w:cs="Calibri"/>
          <w:i/>
          <w:iCs/>
        </w:rPr>
        <w:t>The Review of Faith &amp; International Affairs</w:t>
      </w:r>
      <w:r w:rsidRPr="00167929">
        <w:rPr>
          <w:rFonts w:ascii="Calibri" w:hAnsi="Calibri" w:cs="Calibri"/>
        </w:rPr>
        <w:t xml:space="preserve">, </w:t>
      </w:r>
      <w:r w:rsidRPr="00167929">
        <w:rPr>
          <w:rFonts w:ascii="Calibri" w:hAnsi="Calibri" w:cs="Calibri"/>
          <w:i/>
          <w:iCs/>
        </w:rPr>
        <w:t>13</w:t>
      </w:r>
      <w:r w:rsidRPr="00167929">
        <w:rPr>
          <w:rFonts w:ascii="Calibri" w:hAnsi="Calibri" w:cs="Calibri"/>
        </w:rPr>
        <w:t>(3), 12–22. https://doi.org/10.1080/15570274.2015.1075757</w:t>
      </w:r>
    </w:p>
    <w:p w14:paraId="2BBA7969" w14:textId="77777777" w:rsidR="00167929" w:rsidRPr="00167929" w:rsidRDefault="00167929" w:rsidP="00167929">
      <w:pPr>
        <w:pStyle w:val="Bibliography"/>
        <w:rPr>
          <w:rFonts w:ascii="Calibri" w:hAnsi="Calibri" w:cs="Calibri"/>
        </w:rPr>
      </w:pPr>
      <w:r w:rsidRPr="00167929">
        <w:rPr>
          <w:rFonts w:ascii="Calibri" w:hAnsi="Calibri" w:cs="Calibri"/>
        </w:rPr>
        <w:t xml:space="preserve">Patrikar, S. R., Basannar, D. R., &amp; Seema Sharma, M. (2014). Women empowerment and use of contraception. </w:t>
      </w:r>
      <w:r w:rsidRPr="00167929">
        <w:rPr>
          <w:rFonts w:ascii="Calibri" w:hAnsi="Calibri" w:cs="Calibri"/>
          <w:i/>
          <w:iCs/>
        </w:rPr>
        <w:t>Medical Journal Armed Forces India</w:t>
      </w:r>
      <w:r w:rsidRPr="00167929">
        <w:rPr>
          <w:rFonts w:ascii="Calibri" w:hAnsi="Calibri" w:cs="Calibri"/>
        </w:rPr>
        <w:t xml:space="preserve">, </w:t>
      </w:r>
      <w:r w:rsidRPr="00167929">
        <w:rPr>
          <w:rFonts w:ascii="Calibri" w:hAnsi="Calibri" w:cs="Calibri"/>
          <w:i/>
          <w:iCs/>
        </w:rPr>
        <w:t>70</w:t>
      </w:r>
      <w:r w:rsidRPr="00167929">
        <w:rPr>
          <w:rFonts w:ascii="Calibri" w:hAnsi="Calibri" w:cs="Calibri"/>
        </w:rPr>
        <w:t>(3), 253–256. https://doi.org/10.1016/j.mjafi.2013.12.014</w:t>
      </w:r>
    </w:p>
    <w:p w14:paraId="2BD08BBC" w14:textId="77777777" w:rsidR="00167929" w:rsidRPr="00167929" w:rsidRDefault="00167929" w:rsidP="00167929">
      <w:pPr>
        <w:pStyle w:val="Bibliography"/>
        <w:rPr>
          <w:rFonts w:ascii="Calibri" w:hAnsi="Calibri" w:cs="Calibri"/>
        </w:rPr>
      </w:pPr>
      <w:r w:rsidRPr="00167929">
        <w:rPr>
          <w:rFonts w:ascii="Calibri" w:hAnsi="Calibri" w:cs="Calibri"/>
        </w:rPr>
        <w:t xml:space="preserve">Population Reference Bureau. (2013). </w:t>
      </w:r>
      <w:r w:rsidRPr="00167929">
        <w:rPr>
          <w:rFonts w:ascii="Calibri" w:hAnsi="Calibri" w:cs="Calibri"/>
          <w:i/>
          <w:iCs/>
        </w:rPr>
        <w:t>United Nations Raises Projected World Population</w:t>
      </w:r>
      <w:r w:rsidRPr="00167929">
        <w:rPr>
          <w:rFonts w:ascii="Calibri" w:hAnsi="Calibri" w:cs="Calibri"/>
        </w:rPr>
        <w:t>. https://www.prb.org/un-world-projections/</w:t>
      </w:r>
    </w:p>
    <w:p w14:paraId="7A8D75EC" w14:textId="77777777" w:rsidR="00167929" w:rsidRPr="00167929" w:rsidRDefault="00167929" w:rsidP="00167929">
      <w:pPr>
        <w:pStyle w:val="Bibliography"/>
        <w:rPr>
          <w:rFonts w:ascii="Calibri" w:hAnsi="Calibri" w:cs="Calibri"/>
        </w:rPr>
      </w:pPr>
      <w:r w:rsidRPr="00167929">
        <w:rPr>
          <w:rFonts w:ascii="Calibri" w:hAnsi="Calibri" w:cs="Calibri"/>
        </w:rPr>
        <w:t xml:space="preserve">Population Reference Bureau. (2019). </w:t>
      </w:r>
      <w:r w:rsidRPr="00167929">
        <w:rPr>
          <w:rFonts w:ascii="Calibri" w:hAnsi="Calibri" w:cs="Calibri"/>
          <w:i/>
          <w:iCs/>
        </w:rPr>
        <w:t>Myths, Misconceptions Still Discourage Use of Family Planning</w:t>
      </w:r>
      <w:r w:rsidRPr="00167929">
        <w:rPr>
          <w:rFonts w:ascii="Calibri" w:hAnsi="Calibri" w:cs="Calibri"/>
        </w:rPr>
        <w:t>. https://www.prb.org/myths-misconceptions-still-discourage-use-of-family-planning/</w:t>
      </w:r>
    </w:p>
    <w:p w14:paraId="1FF1DBA4" w14:textId="77777777" w:rsidR="00167929" w:rsidRPr="00167929" w:rsidRDefault="00167929" w:rsidP="00167929">
      <w:pPr>
        <w:pStyle w:val="Bibliography"/>
        <w:rPr>
          <w:rFonts w:ascii="Calibri" w:hAnsi="Calibri" w:cs="Calibri"/>
        </w:rPr>
      </w:pPr>
      <w:r w:rsidRPr="00167929">
        <w:rPr>
          <w:rFonts w:ascii="Calibri" w:hAnsi="Calibri" w:cs="Calibri"/>
        </w:rPr>
        <w:t xml:space="preserve">Prata, N. (2009). Making family planning accessible in resource-poor settings. </w:t>
      </w:r>
      <w:r w:rsidRPr="00167929">
        <w:rPr>
          <w:rFonts w:ascii="Calibri" w:hAnsi="Calibri" w:cs="Calibri"/>
          <w:i/>
          <w:iCs/>
        </w:rPr>
        <w:t>Philosophical Transactions of the Royal Society B: Biological Sciences</w:t>
      </w:r>
      <w:r w:rsidRPr="00167929">
        <w:rPr>
          <w:rFonts w:ascii="Calibri" w:hAnsi="Calibri" w:cs="Calibri"/>
        </w:rPr>
        <w:t xml:space="preserve">, </w:t>
      </w:r>
      <w:r w:rsidRPr="00167929">
        <w:rPr>
          <w:rFonts w:ascii="Calibri" w:hAnsi="Calibri" w:cs="Calibri"/>
          <w:i/>
          <w:iCs/>
        </w:rPr>
        <w:t>364</w:t>
      </w:r>
      <w:r w:rsidRPr="00167929">
        <w:rPr>
          <w:rFonts w:ascii="Calibri" w:hAnsi="Calibri" w:cs="Calibri"/>
        </w:rPr>
        <w:t>(1532), 3093–3099. https://doi.org/10.1098/rstb.2009.0172</w:t>
      </w:r>
    </w:p>
    <w:p w14:paraId="1C83F4A1" w14:textId="77777777" w:rsidR="00167929" w:rsidRPr="00167929" w:rsidRDefault="00167929" w:rsidP="00167929">
      <w:pPr>
        <w:pStyle w:val="Bibliography"/>
        <w:rPr>
          <w:rFonts w:ascii="Calibri" w:hAnsi="Calibri" w:cs="Calibri"/>
        </w:rPr>
      </w:pPr>
      <w:r w:rsidRPr="00167929">
        <w:rPr>
          <w:rFonts w:ascii="Calibri" w:hAnsi="Calibri" w:cs="Calibri"/>
        </w:rPr>
        <w:t xml:space="preserve">Psaki, S. R., Chuang, E. K., Melnikas, A. J., Wilson, D. B., &amp; Mensch, B. S. (2019). Causal effects of education on sexual and reproductive health in low and middle-income countries: A systematic review and meta-analysis. </w:t>
      </w:r>
      <w:r w:rsidRPr="00167929">
        <w:rPr>
          <w:rFonts w:ascii="Calibri" w:hAnsi="Calibri" w:cs="Calibri"/>
          <w:i/>
          <w:iCs/>
        </w:rPr>
        <w:t>SSM - Population Health</w:t>
      </w:r>
      <w:r w:rsidRPr="00167929">
        <w:rPr>
          <w:rFonts w:ascii="Calibri" w:hAnsi="Calibri" w:cs="Calibri"/>
        </w:rPr>
        <w:t xml:space="preserve">, </w:t>
      </w:r>
      <w:r w:rsidRPr="00167929">
        <w:rPr>
          <w:rFonts w:ascii="Calibri" w:hAnsi="Calibri" w:cs="Calibri"/>
          <w:i/>
          <w:iCs/>
        </w:rPr>
        <w:t>8</w:t>
      </w:r>
      <w:r w:rsidRPr="00167929">
        <w:rPr>
          <w:rFonts w:ascii="Calibri" w:hAnsi="Calibri" w:cs="Calibri"/>
        </w:rPr>
        <w:t>, 100386. https://doi.org/10.1016/j.ssmph.2019.100386</w:t>
      </w:r>
    </w:p>
    <w:p w14:paraId="0D4C73FF" w14:textId="77777777" w:rsidR="00167929" w:rsidRPr="00167929" w:rsidRDefault="00167929" w:rsidP="00167929">
      <w:pPr>
        <w:pStyle w:val="Bibliography"/>
        <w:rPr>
          <w:rFonts w:ascii="Calibri" w:hAnsi="Calibri" w:cs="Calibri"/>
        </w:rPr>
      </w:pPr>
      <w:r w:rsidRPr="00167929">
        <w:rPr>
          <w:rFonts w:ascii="Calibri" w:hAnsi="Calibri" w:cs="Calibri"/>
        </w:rPr>
        <w:t xml:space="preserve">Roberts, B. (1996). The Beijing Fourth World Conference on Women. </w:t>
      </w:r>
      <w:r w:rsidRPr="00167929">
        <w:rPr>
          <w:rFonts w:ascii="Calibri" w:hAnsi="Calibri" w:cs="Calibri"/>
          <w:i/>
          <w:iCs/>
        </w:rPr>
        <w:t>The Canadian Journal of Sociology / Cahiers Canadiens de Sociologie</w:t>
      </w:r>
      <w:r w:rsidRPr="00167929">
        <w:rPr>
          <w:rFonts w:ascii="Calibri" w:hAnsi="Calibri" w:cs="Calibri"/>
        </w:rPr>
        <w:t xml:space="preserve">, </w:t>
      </w:r>
      <w:r w:rsidRPr="00167929">
        <w:rPr>
          <w:rFonts w:ascii="Calibri" w:hAnsi="Calibri" w:cs="Calibri"/>
          <w:i/>
          <w:iCs/>
        </w:rPr>
        <w:t>21</w:t>
      </w:r>
      <w:r w:rsidRPr="00167929">
        <w:rPr>
          <w:rFonts w:ascii="Calibri" w:hAnsi="Calibri" w:cs="Calibri"/>
        </w:rPr>
        <w:t>(2), 237–244. https://doi.org/10.2307/3341979</w:t>
      </w:r>
    </w:p>
    <w:p w14:paraId="490AB742" w14:textId="77777777" w:rsidR="00167929" w:rsidRPr="00167929" w:rsidRDefault="00167929" w:rsidP="00167929">
      <w:pPr>
        <w:pStyle w:val="Bibliography"/>
        <w:rPr>
          <w:rFonts w:ascii="Calibri" w:hAnsi="Calibri" w:cs="Calibri"/>
        </w:rPr>
      </w:pPr>
      <w:r w:rsidRPr="00167929">
        <w:rPr>
          <w:rFonts w:ascii="Calibri" w:hAnsi="Calibri" w:cs="Calibri"/>
        </w:rPr>
        <w:t xml:space="preserve">Satterthwaite, D. (2009). The implications of population growth and urbanization for climate change. </w:t>
      </w:r>
      <w:r w:rsidRPr="00167929">
        <w:rPr>
          <w:rFonts w:ascii="Calibri" w:hAnsi="Calibri" w:cs="Calibri"/>
          <w:i/>
          <w:iCs/>
        </w:rPr>
        <w:t>Environment and Urbanization</w:t>
      </w:r>
      <w:r w:rsidRPr="00167929">
        <w:rPr>
          <w:rFonts w:ascii="Calibri" w:hAnsi="Calibri" w:cs="Calibri"/>
        </w:rPr>
        <w:t xml:space="preserve">, </w:t>
      </w:r>
      <w:r w:rsidRPr="00167929">
        <w:rPr>
          <w:rFonts w:ascii="Calibri" w:hAnsi="Calibri" w:cs="Calibri"/>
          <w:i/>
          <w:iCs/>
        </w:rPr>
        <w:t>21</w:t>
      </w:r>
      <w:r w:rsidRPr="00167929">
        <w:rPr>
          <w:rFonts w:ascii="Calibri" w:hAnsi="Calibri" w:cs="Calibri"/>
        </w:rPr>
        <w:t>(2), 545–567. https://doi.org/10.1177/0956247809344361</w:t>
      </w:r>
    </w:p>
    <w:p w14:paraId="3B252C9A" w14:textId="77777777" w:rsidR="00167929" w:rsidRPr="00167929" w:rsidRDefault="00167929" w:rsidP="00167929">
      <w:pPr>
        <w:pStyle w:val="Bibliography"/>
        <w:rPr>
          <w:rFonts w:ascii="Calibri" w:hAnsi="Calibri" w:cs="Calibri"/>
        </w:rPr>
      </w:pPr>
      <w:r w:rsidRPr="00167929">
        <w:rPr>
          <w:rFonts w:ascii="Calibri" w:hAnsi="Calibri" w:cs="Calibri"/>
        </w:rPr>
        <w:t xml:space="preserve">Schuler, S. R., Hashemi, S. M., &amp; Jenkins, A. H. (1995). Bangladesh’s Family Planning Success Story: A Gender Perspective. </w:t>
      </w:r>
      <w:r w:rsidRPr="00167929">
        <w:rPr>
          <w:rFonts w:ascii="Calibri" w:hAnsi="Calibri" w:cs="Calibri"/>
          <w:i/>
          <w:iCs/>
        </w:rPr>
        <w:t>International Family Planning Perspectives</w:t>
      </w:r>
      <w:r w:rsidRPr="00167929">
        <w:rPr>
          <w:rFonts w:ascii="Calibri" w:hAnsi="Calibri" w:cs="Calibri"/>
        </w:rPr>
        <w:t xml:space="preserve">, </w:t>
      </w:r>
      <w:r w:rsidRPr="00167929">
        <w:rPr>
          <w:rFonts w:ascii="Calibri" w:hAnsi="Calibri" w:cs="Calibri"/>
          <w:i/>
          <w:iCs/>
        </w:rPr>
        <w:t>21</w:t>
      </w:r>
      <w:r w:rsidRPr="00167929">
        <w:rPr>
          <w:rFonts w:ascii="Calibri" w:hAnsi="Calibri" w:cs="Calibri"/>
        </w:rPr>
        <w:t>(4), 132. https://doi.org/10.2307/2133319</w:t>
      </w:r>
    </w:p>
    <w:p w14:paraId="1C2CF0AE" w14:textId="77777777" w:rsidR="00167929" w:rsidRPr="00167929" w:rsidRDefault="00167929" w:rsidP="00167929">
      <w:pPr>
        <w:pStyle w:val="Bibliography"/>
        <w:rPr>
          <w:rFonts w:ascii="Calibri" w:hAnsi="Calibri" w:cs="Calibri"/>
        </w:rPr>
      </w:pPr>
      <w:r w:rsidRPr="00167929">
        <w:rPr>
          <w:rFonts w:ascii="Calibri" w:hAnsi="Calibri" w:cs="Calibri"/>
        </w:rPr>
        <w:t xml:space="preserve">Scott, V. K., Gottschalk, L. B., Wright, K. Q., Twose, C., Bohren, M. A., Schmitt, M. E., &amp; Ortayli, N. (2015). Community Health Workers’ Provision of Family Planning Services in Low- and Middle-Income Countries: A Systematic Review of Effectiveness. </w:t>
      </w:r>
      <w:r w:rsidRPr="00167929">
        <w:rPr>
          <w:rFonts w:ascii="Calibri" w:hAnsi="Calibri" w:cs="Calibri"/>
          <w:i/>
          <w:iCs/>
        </w:rPr>
        <w:t>Studies in Family Planning</w:t>
      </w:r>
      <w:r w:rsidRPr="00167929">
        <w:rPr>
          <w:rFonts w:ascii="Calibri" w:hAnsi="Calibri" w:cs="Calibri"/>
        </w:rPr>
        <w:t xml:space="preserve">, </w:t>
      </w:r>
      <w:r w:rsidRPr="00167929">
        <w:rPr>
          <w:rFonts w:ascii="Calibri" w:hAnsi="Calibri" w:cs="Calibri"/>
          <w:i/>
          <w:iCs/>
        </w:rPr>
        <w:t>46</w:t>
      </w:r>
      <w:r w:rsidRPr="00167929">
        <w:rPr>
          <w:rFonts w:ascii="Calibri" w:hAnsi="Calibri" w:cs="Calibri"/>
        </w:rPr>
        <w:t>(3), 241–261.</w:t>
      </w:r>
    </w:p>
    <w:p w14:paraId="031A09CC" w14:textId="77777777" w:rsidR="00167929" w:rsidRPr="00167929" w:rsidRDefault="00167929" w:rsidP="00167929">
      <w:pPr>
        <w:pStyle w:val="Bibliography"/>
        <w:rPr>
          <w:rFonts w:ascii="Calibri" w:hAnsi="Calibri" w:cs="Calibri"/>
        </w:rPr>
      </w:pPr>
      <w:r w:rsidRPr="00167929">
        <w:rPr>
          <w:rFonts w:ascii="Calibri" w:hAnsi="Calibri" w:cs="Calibri"/>
        </w:rPr>
        <w:t xml:space="preserve">Shaw, D. J. (2007). International Conference on Population and Development, 1994. In D. J. Shaw (Ed.), </w:t>
      </w:r>
      <w:r w:rsidRPr="00167929">
        <w:rPr>
          <w:rFonts w:ascii="Calibri" w:hAnsi="Calibri" w:cs="Calibri"/>
          <w:i/>
          <w:iCs/>
        </w:rPr>
        <w:t>World Food Security: A History since 1945</w:t>
      </w:r>
      <w:r w:rsidRPr="00167929">
        <w:rPr>
          <w:rFonts w:ascii="Calibri" w:hAnsi="Calibri" w:cs="Calibri"/>
        </w:rPr>
        <w:t xml:space="preserve"> (pp. 321–327). Palgrave Macmillan UK. https://doi.org/10.1057/9780230589780_31</w:t>
      </w:r>
    </w:p>
    <w:p w14:paraId="18F68EA2" w14:textId="77777777" w:rsidR="00167929" w:rsidRPr="00167929" w:rsidRDefault="00167929" w:rsidP="00167929">
      <w:pPr>
        <w:pStyle w:val="Bibliography"/>
        <w:rPr>
          <w:rFonts w:ascii="Calibri" w:hAnsi="Calibri" w:cs="Calibri"/>
        </w:rPr>
      </w:pPr>
      <w:r w:rsidRPr="00167929">
        <w:rPr>
          <w:rFonts w:ascii="Calibri" w:hAnsi="Calibri" w:cs="Calibri"/>
        </w:rPr>
        <w:t xml:space="preserve">Sohn, E. (2020). Strengthening society with contraception. </w:t>
      </w:r>
      <w:r w:rsidRPr="00167929">
        <w:rPr>
          <w:rFonts w:ascii="Calibri" w:hAnsi="Calibri" w:cs="Calibri"/>
          <w:i/>
          <w:iCs/>
        </w:rPr>
        <w:t>Nature</w:t>
      </w:r>
      <w:r w:rsidRPr="00167929">
        <w:rPr>
          <w:rFonts w:ascii="Calibri" w:hAnsi="Calibri" w:cs="Calibri"/>
        </w:rPr>
        <w:t xml:space="preserve">, </w:t>
      </w:r>
      <w:r w:rsidRPr="00167929">
        <w:rPr>
          <w:rFonts w:ascii="Calibri" w:hAnsi="Calibri" w:cs="Calibri"/>
          <w:i/>
          <w:iCs/>
        </w:rPr>
        <w:t>588</w:t>
      </w:r>
      <w:r w:rsidRPr="00167929">
        <w:rPr>
          <w:rFonts w:ascii="Calibri" w:hAnsi="Calibri" w:cs="Calibri"/>
        </w:rPr>
        <w:t>(7838), S162–S164. https://doi.org/10.1038/d41586-020-03530-8</w:t>
      </w:r>
    </w:p>
    <w:p w14:paraId="45CAA72F" w14:textId="77777777" w:rsidR="00167929" w:rsidRPr="00167929" w:rsidRDefault="00167929" w:rsidP="00167929">
      <w:pPr>
        <w:pStyle w:val="Bibliography"/>
        <w:rPr>
          <w:rFonts w:ascii="Calibri" w:hAnsi="Calibri" w:cs="Calibri"/>
        </w:rPr>
      </w:pPr>
      <w:r w:rsidRPr="00167929">
        <w:rPr>
          <w:rFonts w:ascii="Calibri" w:hAnsi="Calibri" w:cs="Calibri"/>
        </w:rPr>
        <w:t xml:space="preserve">Solo, J., &amp; Festin, M. (2019). Provider Bias in Family Planning Services: A Review of Its Meaning and Manifestations. </w:t>
      </w:r>
      <w:r w:rsidRPr="00167929">
        <w:rPr>
          <w:rFonts w:ascii="Calibri" w:hAnsi="Calibri" w:cs="Calibri"/>
          <w:i/>
          <w:iCs/>
        </w:rPr>
        <w:t>Global Health: Science and Practice</w:t>
      </w:r>
      <w:r w:rsidRPr="00167929">
        <w:rPr>
          <w:rFonts w:ascii="Calibri" w:hAnsi="Calibri" w:cs="Calibri"/>
        </w:rPr>
        <w:t xml:space="preserve">, </w:t>
      </w:r>
      <w:r w:rsidRPr="00167929">
        <w:rPr>
          <w:rFonts w:ascii="Calibri" w:hAnsi="Calibri" w:cs="Calibri"/>
          <w:i/>
          <w:iCs/>
        </w:rPr>
        <w:t>7</w:t>
      </w:r>
      <w:r w:rsidRPr="00167929">
        <w:rPr>
          <w:rFonts w:ascii="Calibri" w:hAnsi="Calibri" w:cs="Calibri"/>
        </w:rPr>
        <w:t>(3), 371–385. https://doi.org/10.9745/GHSP-D-19-00130</w:t>
      </w:r>
    </w:p>
    <w:p w14:paraId="0A7C87C0" w14:textId="77777777" w:rsidR="00167929" w:rsidRPr="00167929" w:rsidRDefault="00167929" w:rsidP="00167929">
      <w:pPr>
        <w:pStyle w:val="Bibliography"/>
        <w:rPr>
          <w:rFonts w:ascii="Calibri" w:hAnsi="Calibri" w:cs="Calibri"/>
        </w:rPr>
      </w:pPr>
      <w:r w:rsidRPr="00167929">
        <w:rPr>
          <w:rFonts w:ascii="Calibri" w:hAnsi="Calibri" w:cs="Calibri"/>
        </w:rPr>
        <w:t xml:space="preserve">Sommer, M., Caruso, B. A., Sahin, M., Calderon, T., Cavill, S., Mahon, T., &amp; Phillips-Howard, P. A. (2016). A Time for Global Action: Addressing Girls’ Menstrual Hygiene Management Needs in Schools. </w:t>
      </w:r>
      <w:r w:rsidRPr="00167929">
        <w:rPr>
          <w:rFonts w:ascii="Calibri" w:hAnsi="Calibri" w:cs="Calibri"/>
          <w:i/>
          <w:iCs/>
        </w:rPr>
        <w:t>PLOS Medicine</w:t>
      </w:r>
      <w:r w:rsidRPr="00167929">
        <w:rPr>
          <w:rFonts w:ascii="Calibri" w:hAnsi="Calibri" w:cs="Calibri"/>
        </w:rPr>
        <w:t xml:space="preserve">, </w:t>
      </w:r>
      <w:r w:rsidRPr="00167929">
        <w:rPr>
          <w:rFonts w:ascii="Calibri" w:hAnsi="Calibri" w:cs="Calibri"/>
          <w:i/>
          <w:iCs/>
        </w:rPr>
        <w:t>13</w:t>
      </w:r>
      <w:r w:rsidRPr="00167929">
        <w:rPr>
          <w:rFonts w:ascii="Calibri" w:hAnsi="Calibri" w:cs="Calibri"/>
        </w:rPr>
        <w:t>(2), e1001962. https://doi.org/10.1371/journal.pmed.1001962</w:t>
      </w:r>
    </w:p>
    <w:p w14:paraId="667083C6" w14:textId="77777777" w:rsidR="00167929" w:rsidRPr="00167929" w:rsidRDefault="00167929" w:rsidP="00167929">
      <w:pPr>
        <w:pStyle w:val="Bibliography"/>
        <w:rPr>
          <w:rFonts w:ascii="Calibri" w:hAnsi="Calibri" w:cs="Calibri"/>
        </w:rPr>
      </w:pPr>
      <w:r w:rsidRPr="00167929">
        <w:rPr>
          <w:rFonts w:ascii="Calibri" w:hAnsi="Calibri" w:cs="Calibri"/>
        </w:rPr>
        <w:t xml:space="preserve">Sorokowski, P., Randall, A. K., Groyecka, A., Frackowiak, T., Cantarero, K., Hilpert, P., Ahmadi, K., Alghraibeh, A. M., Aryeetey, R., Bertoni, A., Bettache, K., Błażejewska, M., Bodenmann, G., Bortolini, T. S., Bosc, C., Butovskaya, M., Castro, F. N., Cetinkaya, H., Cunha, D., … Sorokowska, A. (2017). Marital Satisfaction, Sex, Age, Marriage Duration, Religion, Number of Children, Economic Status, Education, and Collectivistic Values: Data from 33 Countries. </w:t>
      </w:r>
      <w:r w:rsidRPr="00167929">
        <w:rPr>
          <w:rFonts w:ascii="Calibri" w:hAnsi="Calibri" w:cs="Calibri"/>
          <w:i/>
          <w:iCs/>
        </w:rPr>
        <w:t>Frontiers in Psychology</w:t>
      </w:r>
      <w:r w:rsidRPr="00167929">
        <w:rPr>
          <w:rFonts w:ascii="Calibri" w:hAnsi="Calibri" w:cs="Calibri"/>
        </w:rPr>
        <w:t xml:space="preserve">, </w:t>
      </w:r>
      <w:r w:rsidRPr="00167929">
        <w:rPr>
          <w:rFonts w:ascii="Calibri" w:hAnsi="Calibri" w:cs="Calibri"/>
          <w:i/>
          <w:iCs/>
        </w:rPr>
        <w:t>8</w:t>
      </w:r>
      <w:r w:rsidRPr="00167929">
        <w:rPr>
          <w:rFonts w:ascii="Calibri" w:hAnsi="Calibri" w:cs="Calibri"/>
        </w:rPr>
        <w:t>. https://doi.org/10.3389/fpsyg.2017.01199</w:t>
      </w:r>
    </w:p>
    <w:p w14:paraId="057C3786" w14:textId="77777777" w:rsidR="00167929" w:rsidRPr="00167929" w:rsidRDefault="00167929" w:rsidP="00167929">
      <w:pPr>
        <w:pStyle w:val="Bibliography"/>
        <w:rPr>
          <w:rFonts w:ascii="Calibri" w:hAnsi="Calibri" w:cs="Calibri"/>
        </w:rPr>
      </w:pPr>
      <w:r w:rsidRPr="00167929">
        <w:rPr>
          <w:rFonts w:ascii="Calibri" w:hAnsi="Calibri" w:cs="Calibri"/>
        </w:rPr>
        <w:t xml:space="preserve">Sridhar, K. S. (2015). Is Urban Poverty More Challenging than Rural Poverty? A Review. </w:t>
      </w:r>
      <w:r w:rsidRPr="00167929">
        <w:rPr>
          <w:rFonts w:ascii="Calibri" w:hAnsi="Calibri" w:cs="Calibri"/>
          <w:i/>
          <w:iCs/>
        </w:rPr>
        <w:t>Environment and Urbanization ASIA</w:t>
      </w:r>
      <w:r w:rsidRPr="00167929">
        <w:rPr>
          <w:rFonts w:ascii="Calibri" w:hAnsi="Calibri" w:cs="Calibri"/>
        </w:rPr>
        <w:t xml:space="preserve">, </w:t>
      </w:r>
      <w:r w:rsidRPr="00167929">
        <w:rPr>
          <w:rFonts w:ascii="Calibri" w:hAnsi="Calibri" w:cs="Calibri"/>
          <w:i/>
          <w:iCs/>
        </w:rPr>
        <w:t>6</w:t>
      </w:r>
      <w:r w:rsidRPr="00167929">
        <w:rPr>
          <w:rFonts w:ascii="Calibri" w:hAnsi="Calibri" w:cs="Calibri"/>
        </w:rPr>
        <w:t>(2), 95–108. https://doi.org/10.1177/0975425315589159</w:t>
      </w:r>
    </w:p>
    <w:p w14:paraId="096AB513" w14:textId="77777777" w:rsidR="00167929" w:rsidRPr="00167929" w:rsidRDefault="00167929" w:rsidP="00167929">
      <w:pPr>
        <w:pStyle w:val="Bibliography"/>
        <w:rPr>
          <w:rFonts w:ascii="Calibri" w:hAnsi="Calibri" w:cs="Calibri"/>
        </w:rPr>
      </w:pPr>
      <w:r w:rsidRPr="00167929">
        <w:rPr>
          <w:rFonts w:ascii="Calibri" w:hAnsi="Calibri" w:cs="Calibri"/>
        </w:rPr>
        <w:t xml:space="preserve">Starbird, E., Norton, M., &amp; Marcus, R. (2016). Investing in Family Planning: Key to Achieving the Sustainable Development Goals. </w:t>
      </w:r>
      <w:r w:rsidRPr="00167929">
        <w:rPr>
          <w:rFonts w:ascii="Calibri" w:hAnsi="Calibri" w:cs="Calibri"/>
          <w:i/>
          <w:iCs/>
        </w:rPr>
        <w:t>Global Health: Science and Practice</w:t>
      </w:r>
      <w:r w:rsidRPr="00167929">
        <w:rPr>
          <w:rFonts w:ascii="Calibri" w:hAnsi="Calibri" w:cs="Calibri"/>
        </w:rPr>
        <w:t xml:space="preserve">, </w:t>
      </w:r>
      <w:r w:rsidRPr="00167929">
        <w:rPr>
          <w:rFonts w:ascii="Calibri" w:hAnsi="Calibri" w:cs="Calibri"/>
          <w:i/>
          <w:iCs/>
        </w:rPr>
        <w:t>4</w:t>
      </w:r>
      <w:r w:rsidRPr="00167929">
        <w:rPr>
          <w:rFonts w:ascii="Calibri" w:hAnsi="Calibri" w:cs="Calibri"/>
        </w:rPr>
        <w:t>(2), 191–210. https://doi.org/10.9745/GHSP-D-15-00374</w:t>
      </w:r>
    </w:p>
    <w:p w14:paraId="5DB13F84" w14:textId="77777777" w:rsidR="00167929" w:rsidRPr="00167929" w:rsidRDefault="00167929" w:rsidP="00167929">
      <w:pPr>
        <w:pStyle w:val="Bibliography"/>
        <w:rPr>
          <w:rFonts w:ascii="Calibri" w:hAnsi="Calibri" w:cs="Calibri"/>
        </w:rPr>
      </w:pPr>
      <w:r w:rsidRPr="00167929">
        <w:rPr>
          <w:rFonts w:ascii="Calibri" w:hAnsi="Calibri" w:cs="Calibri"/>
        </w:rPr>
        <w:t xml:space="preserve">Subbarao, K., &amp; Raney, L. (1993). </w:t>
      </w:r>
      <w:r w:rsidRPr="00167929">
        <w:rPr>
          <w:rFonts w:ascii="Calibri" w:hAnsi="Calibri" w:cs="Calibri"/>
          <w:i/>
          <w:iCs/>
        </w:rPr>
        <w:t>Social gains from female education: A cross-national study</w:t>
      </w:r>
      <w:r w:rsidRPr="00167929">
        <w:rPr>
          <w:rFonts w:ascii="Calibri" w:hAnsi="Calibri" w:cs="Calibri"/>
        </w:rPr>
        <w:t>. The World Bank. https://doi.org/10.1596/0-8213-2387-3</w:t>
      </w:r>
    </w:p>
    <w:p w14:paraId="73DE8BD5" w14:textId="77777777" w:rsidR="00167929" w:rsidRPr="00167929" w:rsidRDefault="00167929" w:rsidP="00167929">
      <w:pPr>
        <w:pStyle w:val="Bibliography"/>
        <w:rPr>
          <w:rFonts w:ascii="Calibri" w:hAnsi="Calibri" w:cs="Calibri"/>
        </w:rPr>
      </w:pPr>
      <w:r w:rsidRPr="00167929">
        <w:rPr>
          <w:rFonts w:ascii="Calibri" w:hAnsi="Calibri" w:cs="Calibri"/>
        </w:rPr>
        <w:t xml:space="preserve">Tilak, J. B. G. (2002). Education and Poverty. </w:t>
      </w:r>
      <w:r w:rsidRPr="00167929">
        <w:rPr>
          <w:rFonts w:ascii="Calibri" w:hAnsi="Calibri" w:cs="Calibri"/>
          <w:i/>
          <w:iCs/>
        </w:rPr>
        <w:t>Journal of Human Development</w:t>
      </w:r>
      <w:r w:rsidRPr="00167929">
        <w:rPr>
          <w:rFonts w:ascii="Calibri" w:hAnsi="Calibri" w:cs="Calibri"/>
        </w:rPr>
        <w:t xml:space="preserve">, </w:t>
      </w:r>
      <w:r w:rsidRPr="00167929">
        <w:rPr>
          <w:rFonts w:ascii="Calibri" w:hAnsi="Calibri" w:cs="Calibri"/>
          <w:i/>
          <w:iCs/>
        </w:rPr>
        <w:t>3</w:t>
      </w:r>
      <w:r w:rsidRPr="00167929">
        <w:rPr>
          <w:rFonts w:ascii="Calibri" w:hAnsi="Calibri" w:cs="Calibri"/>
        </w:rPr>
        <w:t>(2), 191–207. https://doi.org/10.1080/14649880220147301</w:t>
      </w:r>
    </w:p>
    <w:p w14:paraId="3BA76543" w14:textId="77777777" w:rsidR="00167929" w:rsidRPr="00167929" w:rsidRDefault="00167929" w:rsidP="00167929">
      <w:pPr>
        <w:pStyle w:val="Bibliography"/>
        <w:rPr>
          <w:rFonts w:ascii="Calibri" w:hAnsi="Calibri" w:cs="Calibri"/>
        </w:rPr>
      </w:pPr>
      <w:r w:rsidRPr="00167929">
        <w:rPr>
          <w:rFonts w:ascii="Calibri" w:hAnsi="Calibri" w:cs="Calibri"/>
        </w:rPr>
        <w:t xml:space="preserve">UN. (n.d.). Sustainable Development Goal 1: End poverty in all its forms everywhere. </w:t>
      </w:r>
      <w:r w:rsidRPr="00167929">
        <w:rPr>
          <w:rFonts w:ascii="Calibri" w:hAnsi="Calibri" w:cs="Calibri"/>
          <w:i/>
          <w:iCs/>
        </w:rPr>
        <w:t>United Nations Sustainable Development</w:t>
      </w:r>
      <w:r w:rsidRPr="00167929">
        <w:rPr>
          <w:rFonts w:ascii="Calibri" w:hAnsi="Calibri" w:cs="Calibri"/>
        </w:rPr>
        <w:t>. Retrieved April 30, 2021, from https://www.un.org/sustainabledevelopment/poverty/</w:t>
      </w:r>
    </w:p>
    <w:p w14:paraId="1FE490FC" w14:textId="77777777" w:rsidR="00167929" w:rsidRPr="00167929" w:rsidRDefault="00167929" w:rsidP="00167929">
      <w:pPr>
        <w:pStyle w:val="Bibliography"/>
        <w:rPr>
          <w:rFonts w:ascii="Calibri" w:hAnsi="Calibri" w:cs="Calibri"/>
        </w:rPr>
      </w:pPr>
      <w:r w:rsidRPr="00167929">
        <w:rPr>
          <w:rFonts w:ascii="Calibri" w:hAnsi="Calibri" w:cs="Calibri"/>
        </w:rPr>
        <w:t xml:space="preserve">UN. (2015). </w:t>
      </w:r>
      <w:r w:rsidRPr="00167929">
        <w:rPr>
          <w:rFonts w:ascii="Calibri" w:hAnsi="Calibri" w:cs="Calibri"/>
          <w:i/>
          <w:iCs/>
        </w:rPr>
        <w:t>Sustainable Development Goal 4: Ensure inclusive and equitable quality education and promote lifelong learning opportunities for all</w:t>
      </w:r>
      <w:r w:rsidRPr="00167929">
        <w:rPr>
          <w:rFonts w:ascii="Calibri" w:hAnsi="Calibri" w:cs="Calibri"/>
        </w:rPr>
        <w:t>. https://sdgs.un.org/goals/goal4</w:t>
      </w:r>
    </w:p>
    <w:p w14:paraId="1E9ADEA1" w14:textId="77777777" w:rsidR="00167929" w:rsidRPr="00167929" w:rsidRDefault="00167929" w:rsidP="00167929">
      <w:pPr>
        <w:pStyle w:val="Bibliography"/>
        <w:rPr>
          <w:rFonts w:ascii="Calibri" w:hAnsi="Calibri" w:cs="Calibri"/>
        </w:rPr>
      </w:pPr>
      <w:r w:rsidRPr="00167929">
        <w:rPr>
          <w:rFonts w:ascii="Calibri" w:hAnsi="Calibri" w:cs="Calibri"/>
        </w:rPr>
        <w:t xml:space="preserve">UNESCO. (2015). </w:t>
      </w:r>
      <w:r w:rsidRPr="00167929">
        <w:rPr>
          <w:rFonts w:ascii="Calibri" w:hAnsi="Calibri" w:cs="Calibri"/>
          <w:i/>
          <w:iCs/>
        </w:rPr>
        <w:t>Education for All 2000-2015: Achievements and challenges</w:t>
      </w:r>
      <w:r w:rsidRPr="00167929">
        <w:rPr>
          <w:rFonts w:ascii="Calibri" w:hAnsi="Calibri" w:cs="Calibri"/>
        </w:rPr>
        <w:t xml:space="preserve"> (Global Education Monitoring Report).</w:t>
      </w:r>
    </w:p>
    <w:p w14:paraId="365B7A1D" w14:textId="77777777" w:rsidR="00167929" w:rsidRPr="00167929" w:rsidRDefault="00167929" w:rsidP="00167929">
      <w:pPr>
        <w:pStyle w:val="Bibliography"/>
        <w:rPr>
          <w:rFonts w:ascii="Calibri" w:hAnsi="Calibri" w:cs="Calibri"/>
        </w:rPr>
      </w:pPr>
      <w:r w:rsidRPr="00167929">
        <w:rPr>
          <w:rFonts w:ascii="Calibri" w:hAnsi="Calibri" w:cs="Calibri"/>
        </w:rPr>
        <w:t xml:space="preserve">UNESCO. (2016). </w:t>
      </w:r>
      <w:r w:rsidRPr="00167929">
        <w:rPr>
          <w:rFonts w:ascii="Calibri" w:hAnsi="Calibri" w:cs="Calibri"/>
          <w:i/>
          <w:iCs/>
        </w:rPr>
        <w:t>Education for people and planet: Creating sustainable futures for all</w:t>
      </w:r>
      <w:r w:rsidRPr="00167929">
        <w:rPr>
          <w:rFonts w:ascii="Calibri" w:hAnsi="Calibri" w:cs="Calibri"/>
        </w:rPr>
        <w:t xml:space="preserve"> (Global Education Monitoring Report). https://unesdoc.unesco.org/ark:/48223/pf0000245752</w:t>
      </w:r>
    </w:p>
    <w:p w14:paraId="6E688A24" w14:textId="77777777" w:rsidR="00167929" w:rsidRPr="00167929" w:rsidRDefault="00167929" w:rsidP="00167929">
      <w:pPr>
        <w:pStyle w:val="Bibliography"/>
        <w:rPr>
          <w:rFonts w:ascii="Calibri" w:hAnsi="Calibri" w:cs="Calibri"/>
        </w:rPr>
      </w:pPr>
      <w:r w:rsidRPr="00167929">
        <w:rPr>
          <w:rFonts w:ascii="Calibri" w:hAnsi="Calibri" w:cs="Calibri"/>
        </w:rPr>
        <w:t xml:space="preserve">UNESCO. (2020). </w:t>
      </w:r>
      <w:r w:rsidRPr="00167929">
        <w:rPr>
          <w:rFonts w:ascii="Calibri" w:hAnsi="Calibri" w:cs="Calibri"/>
          <w:i/>
          <w:iCs/>
        </w:rPr>
        <w:t>Inclusion and Education | Global Education Monitoring Report</w:t>
      </w:r>
      <w:r w:rsidRPr="00167929">
        <w:rPr>
          <w:rFonts w:ascii="Calibri" w:hAnsi="Calibri" w:cs="Calibri"/>
        </w:rPr>
        <w:t>. https://en.unesco.org/gem-report/report/2020/inclusion</w:t>
      </w:r>
    </w:p>
    <w:p w14:paraId="3B887E97" w14:textId="77777777" w:rsidR="00167929" w:rsidRPr="00167929" w:rsidRDefault="00167929" w:rsidP="00167929">
      <w:pPr>
        <w:pStyle w:val="Bibliography"/>
        <w:rPr>
          <w:rFonts w:ascii="Calibri" w:hAnsi="Calibri" w:cs="Calibri"/>
        </w:rPr>
      </w:pPr>
      <w:r w:rsidRPr="00167929">
        <w:rPr>
          <w:rFonts w:ascii="Calibri" w:hAnsi="Calibri" w:cs="Calibri"/>
        </w:rPr>
        <w:t xml:space="preserve">UNFPA. (2016). </w:t>
      </w:r>
      <w:r w:rsidRPr="00167929">
        <w:rPr>
          <w:rFonts w:ascii="Calibri" w:hAnsi="Calibri" w:cs="Calibri"/>
          <w:i/>
          <w:iCs/>
        </w:rPr>
        <w:t>Demographic dividend</w:t>
      </w:r>
      <w:r w:rsidRPr="00167929">
        <w:rPr>
          <w:rFonts w:ascii="Calibri" w:hAnsi="Calibri" w:cs="Calibri"/>
        </w:rPr>
        <w:t>. https://www.unfpa.org/demographic-dividend</w:t>
      </w:r>
    </w:p>
    <w:p w14:paraId="7E6D35E7" w14:textId="77777777" w:rsidR="00167929" w:rsidRPr="00167929" w:rsidRDefault="00167929" w:rsidP="00167929">
      <w:pPr>
        <w:pStyle w:val="Bibliography"/>
        <w:rPr>
          <w:rFonts w:ascii="Calibri" w:hAnsi="Calibri" w:cs="Calibri"/>
        </w:rPr>
      </w:pPr>
      <w:r w:rsidRPr="00167929">
        <w:rPr>
          <w:rFonts w:ascii="Calibri" w:hAnsi="Calibri" w:cs="Calibri"/>
        </w:rPr>
        <w:t xml:space="preserve">United Nations. (2015). </w:t>
      </w:r>
      <w:r w:rsidRPr="00167929">
        <w:rPr>
          <w:rFonts w:ascii="Calibri" w:hAnsi="Calibri" w:cs="Calibri"/>
          <w:i/>
          <w:iCs/>
        </w:rPr>
        <w:t>Women...In The Shadow of Climate Change | United Nations</w:t>
      </w:r>
      <w:r w:rsidRPr="00167929">
        <w:rPr>
          <w:rFonts w:ascii="Calibri" w:hAnsi="Calibri" w:cs="Calibri"/>
        </w:rPr>
        <w:t>. https://www.un.org/en/chronicle/article/womenin-shadow-climate-change</w:t>
      </w:r>
    </w:p>
    <w:p w14:paraId="3EB9D0F6" w14:textId="77777777" w:rsidR="00167929" w:rsidRPr="00167929" w:rsidRDefault="00167929" w:rsidP="00167929">
      <w:pPr>
        <w:pStyle w:val="Bibliography"/>
        <w:rPr>
          <w:rFonts w:ascii="Calibri" w:hAnsi="Calibri" w:cs="Calibri"/>
        </w:rPr>
      </w:pPr>
      <w:r w:rsidRPr="00167929">
        <w:rPr>
          <w:rFonts w:ascii="Calibri" w:hAnsi="Calibri" w:cs="Calibri"/>
        </w:rPr>
        <w:t xml:space="preserve">United Nations. (2019). </w:t>
      </w:r>
      <w:r w:rsidRPr="00167929">
        <w:rPr>
          <w:rFonts w:ascii="Calibri" w:hAnsi="Calibri" w:cs="Calibri"/>
          <w:i/>
          <w:iCs/>
        </w:rPr>
        <w:t>Contraceptive Use by Method 2019</w:t>
      </w:r>
      <w:r w:rsidRPr="00167929">
        <w:rPr>
          <w:rFonts w:ascii="Calibri" w:hAnsi="Calibri" w:cs="Calibri"/>
        </w:rPr>
        <w:t>. UN. https://doi.org/10.18356/1bd58a10-en</w:t>
      </w:r>
    </w:p>
    <w:p w14:paraId="79923286" w14:textId="77777777" w:rsidR="00167929" w:rsidRPr="00167929" w:rsidRDefault="00167929" w:rsidP="00167929">
      <w:pPr>
        <w:pStyle w:val="Bibliography"/>
        <w:rPr>
          <w:rFonts w:ascii="Calibri" w:hAnsi="Calibri" w:cs="Calibri"/>
        </w:rPr>
      </w:pPr>
      <w:r w:rsidRPr="00167929">
        <w:rPr>
          <w:rFonts w:ascii="Calibri" w:hAnsi="Calibri" w:cs="Calibri"/>
        </w:rPr>
        <w:t xml:space="preserve">United Nations. (2020). Gender equality and women’s empowerment. </w:t>
      </w:r>
      <w:r w:rsidRPr="00167929">
        <w:rPr>
          <w:rFonts w:ascii="Calibri" w:hAnsi="Calibri" w:cs="Calibri"/>
          <w:i/>
          <w:iCs/>
        </w:rPr>
        <w:t>United Nations Sustainable Development</w:t>
      </w:r>
      <w:r w:rsidRPr="00167929">
        <w:rPr>
          <w:rFonts w:ascii="Calibri" w:hAnsi="Calibri" w:cs="Calibri"/>
        </w:rPr>
        <w:t>. https://www.un.org/sustainabledevelopment/gender-equality/</w:t>
      </w:r>
    </w:p>
    <w:p w14:paraId="78A9319E" w14:textId="77777777" w:rsidR="00167929" w:rsidRPr="00167929" w:rsidRDefault="00167929" w:rsidP="00167929">
      <w:pPr>
        <w:pStyle w:val="Bibliography"/>
        <w:rPr>
          <w:rFonts w:ascii="Calibri" w:hAnsi="Calibri" w:cs="Calibri"/>
        </w:rPr>
      </w:pPr>
      <w:r w:rsidRPr="00167929">
        <w:rPr>
          <w:rFonts w:ascii="Calibri" w:hAnsi="Calibri" w:cs="Calibri"/>
        </w:rPr>
        <w:t xml:space="preserve">United Nations Department of Economic and Social Affairs, Population Division. (2020). </w:t>
      </w:r>
      <w:r w:rsidRPr="00167929">
        <w:rPr>
          <w:rFonts w:ascii="Calibri" w:hAnsi="Calibri" w:cs="Calibri"/>
          <w:i/>
          <w:iCs/>
        </w:rPr>
        <w:t>World fertility and family planning 2020: Highlights.</w:t>
      </w:r>
    </w:p>
    <w:p w14:paraId="0DE16CD1" w14:textId="77777777" w:rsidR="00167929" w:rsidRPr="00167929" w:rsidRDefault="00167929" w:rsidP="00167929">
      <w:pPr>
        <w:pStyle w:val="Bibliography"/>
        <w:rPr>
          <w:rFonts w:ascii="Calibri" w:hAnsi="Calibri" w:cs="Calibri"/>
        </w:rPr>
      </w:pPr>
      <w:r w:rsidRPr="00167929">
        <w:rPr>
          <w:rFonts w:ascii="Calibri" w:hAnsi="Calibri" w:cs="Calibri"/>
        </w:rPr>
        <w:t xml:space="preserve">United Nations Population Division. (2021). </w:t>
      </w:r>
      <w:r w:rsidRPr="00167929">
        <w:rPr>
          <w:rFonts w:ascii="Calibri" w:hAnsi="Calibri" w:cs="Calibri"/>
          <w:i/>
          <w:iCs/>
        </w:rPr>
        <w:t>World Population Prospects</w:t>
      </w:r>
      <w:r w:rsidRPr="00167929">
        <w:rPr>
          <w:rFonts w:ascii="Calibri" w:hAnsi="Calibri" w:cs="Calibri"/>
        </w:rPr>
        <w:t>. https://population.un.org/wpp/Download/Standard/Population/</w:t>
      </w:r>
    </w:p>
    <w:p w14:paraId="1C184F7E" w14:textId="77777777" w:rsidR="00167929" w:rsidRPr="00167929" w:rsidRDefault="00167929" w:rsidP="00167929">
      <w:pPr>
        <w:pStyle w:val="Bibliography"/>
        <w:rPr>
          <w:rFonts w:ascii="Calibri" w:hAnsi="Calibri" w:cs="Calibri"/>
        </w:rPr>
      </w:pPr>
      <w:r w:rsidRPr="00167929">
        <w:rPr>
          <w:rFonts w:ascii="Calibri" w:hAnsi="Calibri" w:cs="Calibri"/>
        </w:rPr>
        <w:t xml:space="preserve">van Maarseveen, R. (2020). The urban–rural education gap: Do cities indeed make us smarter?*. </w:t>
      </w:r>
      <w:r w:rsidRPr="00167929">
        <w:rPr>
          <w:rFonts w:ascii="Calibri" w:hAnsi="Calibri" w:cs="Calibri"/>
          <w:i/>
          <w:iCs/>
        </w:rPr>
        <w:t>Journal of Economic Geography</w:t>
      </w:r>
      <w:r w:rsidRPr="00167929">
        <w:rPr>
          <w:rFonts w:ascii="Calibri" w:hAnsi="Calibri" w:cs="Calibri"/>
        </w:rPr>
        <w:t xml:space="preserve">, </w:t>
      </w:r>
      <w:r w:rsidRPr="00167929">
        <w:rPr>
          <w:rFonts w:ascii="Calibri" w:hAnsi="Calibri" w:cs="Calibri"/>
          <w:i/>
          <w:iCs/>
        </w:rPr>
        <w:t>lbaa033</w:t>
      </w:r>
      <w:r w:rsidRPr="00167929">
        <w:rPr>
          <w:rFonts w:ascii="Calibri" w:hAnsi="Calibri" w:cs="Calibri"/>
        </w:rPr>
        <w:t>. https://doi.org/10.1093/jeg/lbaa033</w:t>
      </w:r>
    </w:p>
    <w:p w14:paraId="6BAE45C6" w14:textId="77777777" w:rsidR="00167929" w:rsidRPr="00167929" w:rsidRDefault="00167929" w:rsidP="00167929">
      <w:pPr>
        <w:pStyle w:val="Bibliography"/>
        <w:rPr>
          <w:rFonts w:ascii="Calibri" w:hAnsi="Calibri" w:cs="Calibri"/>
        </w:rPr>
      </w:pPr>
      <w:r w:rsidRPr="00167929">
        <w:rPr>
          <w:rFonts w:ascii="Calibri" w:hAnsi="Calibri" w:cs="Calibri"/>
        </w:rPr>
        <w:t xml:space="preserve">Walter, L. F., Marisa Azul, A., Brandli, L., Lange Salvia, A., &amp; Wall, T. (Eds.). (2021). </w:t>
      </w:r>
      <w:r w:rsidRPr="00167929">
        <w:rPr>
          <w:rFonts w:ascii="Calibri" w:hAnsi="Calibri" w:cs="Calibri"/>
          <w:i/>
          <w:iCs/>
        </w:rPr>
        <w:t>Gender Equality</w:t>
      </w:r>
      <w:r w:rsidRPr="00167929">
        <w:rPr>
          <w:rFonts w:ascii="Calibri" w:hAnsi="Calibri" w:cs="Calibri"/>
        </w:rPr>
        <w:t>. Springer International Publishing. https://doi.org/10.1007/978-3-319-95687-9</w:t>
      </w:r>
    </w:p>
    <w:p w14:paraId="17B7B531" w14:textId="77777777" w:rsidR="00167929" w:rsidRPr="00167929" w:rsidRDefault="00167929" w:rsidP="00167929">
      <w:pPr>
        <w:pStyle w:val="Bibliography"/>
        <w:rPr>
          <w:rFonts w:ascii="Calibri" w:hAnsi="Calibri" w:cs="Calibri"/>
        </w:rPr>
      </w:pPr>
      <w:r w:rsidRPr="00167929">
        <w:rPr>
          <w:rFonts w:ascii="Calibri" w:hAnsi="Calibri" w:cs="Calibri"/>
        </w:rPr>
        <w:t xml:space="preserve">Wickrama, K. A. S., &amp; Lorenz, F. (2009). Women’s Status, Fertility Decline, and Women’s Health in Developing Countries: Direct and Indirect Influences of Social Status on Health. </w:t>
      </w:r>
      <w:r w:rsidRPr="00167929">
        <w:rPr>
          <w:rFonts w:ascii="Calibri" w:hAnsi="Calibri" w:cs="Calibri"/>
          <w:i/>
          <w:iCs/>
        </w:rPr>
        <w:t>Rural Sociologu</w:t>
      </w:r>
      <w:r w:rsidRPr="00167929">
        <w:rPr>
          <w:rFonts w:ascii="Calibri" w:hAnsi="Calibri" w:cs="Calibri"/>
        </w:rPr>
        <w:t>. https://onlinelibrary.wiley.com/doi/abs/10.1111/j.1549-0831.2002.tb00103.x</w:t>
      </w:r>
    </w:p>
    <w:p w14:paraId="7DAEE0CE" w14:textId="77777777" w:rsidR="00167929" w:rsidRPr="00167929" w:rsidRDefault="00167929" w:rsidP="00167929">
      <w:pPr>
        <w:pStyle w:val="Bibliography"/>
        <w:rPr>
          <w:rFonts w:ascii="Calibri" w:hAnsi="Calibri" w:cs="Calibri"/>
        </w:rPr>
      </w:pPr>
      <w:r w:rsidRPr="00167929">
        <w:rPr>
          <w:rFonts w:ascii="Calibri" w:hAnsi="Calibri" w:cs="Calibri"/>
        </w:rPr>
        <w:t xml:space="preserve">World Health Organization. (2020). </w:t>
      </w:r>
      <w:r w:rsidRPr="00167929">
        <w:rPr>
          <w:rFonts w:ascii="Calibri" w:hAnsi="Calibri" w:cs="Calibri"/>
          <w:i/>
          <w:iCs/>
        </w:rPr>
        <w:t>Family planning/contraception methods</w:t>
      </w:r>
      <w:r w:rsidRPr="00167929">
        <w:rPr>
          <w:rFonts w:ascii="Calibri" w:hAnsi="Calibri" w:cs="Calibri"/>
        </w:rPr>
        <w:t>. https://www.who.int/news-room/fact-sheets/detail/family-planning-contraception</w:t>
      </w:r>
    </w:p>
    <w:p w14:paraId="5D2551CF" w14:textId="77777777" w:rsidR="005F3A70" w:rsidRDefault="006248E6" w:rsidP="005F3A70">
      <w:pPr>
        <w:pStyle w:val="Bibliography"/>
      </w:pPr>
      <w:r>
        <w:fldChar w:fldCharType="begin"/>
      </w:r>
      <w:r w:rsidR="005F3A70">
        <w:instrText xml:space="preserve"> ADDIN ZOTERO_BIBL {"uncited":[],"omitted":[],"custom":[]} CSL_BIBLIOGRAPHY </w:instrText>
      </w:r>
      <w:r>
        <w:fldChar w:fldCharType="separate"/>
      </w:r>
      <w:r w:rsidR="005F3A70">
        <w:t xml:space="preserve">Ali, M., &amp; Bellows, B. (2018). </w:t>
      </w:r>
      <w:r w:rsidR="005F3A70">
        <w:rPr>
          <w:i/>
          <w:iCs/>
        </w:rPr>
        <w:t>Ensuring adequate financing of family planning commodities and services</w:t>
      </w:r>
      <w:r w:rsidR="005F3A70">
        <w:t>. Population Council. https://doi.org/10.31899/rh4.1004</w:t>
      </w:r>
    </w:p>
    <w:p w14:paraId="7BC060F1" w14:textId="77777777" w:rsidR="005F3A70" w:rsidRDefault="005F3A70" w:rsidP="005F3A70">
      <w:pPr>
        <w:pStyle w:val="Bibliography"/>
      </w:pPr>
      <w:r>
        <w:t xml:space="preserve">Anderson, A. (2010). </w:t>
      </w:r>
      <w:r>
        <w:rPr>
          <w:i/>
          <w:iCs/>
        </w:rPr>
        <w:t>Combating climate change through quality education</w:t>
      </w:r>
      <w:r>
        <w:t>. The Brookings Institution.</w:t>
      </w:r>
    </w:p>
    <w:p w14:paraId="1E53E93A" w14:textId="77777777" w:rsidR="005F3A70" w:rsidRDefault="005F3A70" w:rsidP="005F3A70">
      <w:pPr>
        <w:pStyle w:val="Bibliography"/>
      </w:pPr>
      <w:r>
        <w:t xml:space="preserve">Anderson, T., &amp; Kohler, H.-P. (2015). Low Fertility, Socioeconomic Development, and Gender Equity. </w:t>
      </w:r>
      <w:r>
        <w:rPr>
          <w:i/>
          <w:iCs/>
        </w:rPr>
        <w:t>Population and Development Review</w:t>
      </w:r>
      <w:r>
        <w:t xml:space="preserve">, </w:t>
      </w:r>
      <w:r>
        <w:rPr>
          <w:i/>
          <w:iCs/>
        </w:rPr>
        <w:t>41</w:t>
      </w:r>
      <w:r>
        <w:t>(3), 381–407. https://doi.org/10.1111/j.1728-4457.2015.00065.x</w:t>
      </w:r>
    </w:p>
    <w:p w14:paraId="14270A4C" w14:textId="77777777" w:rsidR="005F3A70" w:rsidRDefault="005F3A70" w:rsidP="005F3A70">
      <w:pPr>
        <w:pStyle w:val="Bibliography"/>
      </w:pPr>
      <w:r>
        <w:t xml:space="preserve">Arokiasamy, P., McNay, K., &amp; Cassen, R. H. (2004). Female Education and Fertility Decline: Recent Developments in the Relationship. </w:t>
      </w:r>
      <w:r>
        <w:rPr>
          <w:i/>
          <w:iCs/>
        </w:rPr>
        <w:t>Economic and Political Weekly</w:t>
      </w:r>
      <w:r>
        <w:t xml:space="preserve">, </w:t>
      </w:r>
      <w:r>
        <w:rPr>
          <w:i/>
          <w:iCs/>
        </w:rPr>
        <w:t>39</w:t>
      </w:r>
      <w:r>
        <w:t>(41), 4503–4507.</w:t>
      </w:r>
    </w:p>
    <w:p w14:paraId="38C2D03D" w14:textId="77777777" w:rsidR="005F3A70" w:rsidRDefault="005F3A70" w:rsidP="005F3A70">
      <w:pPr>
        <w:pStyle w:val="Bibliography"/>
      </w:pPr>
      <w:r>
        <w:t xml:space="preserve">Basu, A. M. (2002). Why does Education Lead to Lower Fertility? A Critical Review of Some of the Possibilities. </w:t>
      </w:r>
      <w:r>
        <w:rPr>
          <w:i/>
          <w:iCs/>
        </w:rPr>
        <w:t>World Development</w:t>
      </w:r>
      <w:r>
        <w:t xml:space="preserve">, </w:t>
      </w:r>
      <w:r>
        <w:rPr>
          <w:i/>
          <w:iCs/>
        </w:rPr>
        <w:t>30</w:t>
      </w:r>
      <w:r>
        <w:t>(10), 1779–1790. https://doi.org/10.1016/S0305-750X(02)00072-4</w:t>
      </w:r>
    </w:p>
    <w:p w14:paraId="24BB8AB4" w14:textId="77777777" w:rsidR="005F3A70" w:rsidRDefault="005F3A70" w:rsidP="005F3A70">
      <w:pPr>
        <w:pStyle w:val="Bibliography"/>
      </w:pPr>
      <w:r>
        <w:t xml:space="preserve">Bauer, P. T. (1965). The Vicious Circle of Poverty. </w:t>
      </w:r>
      <w:r>
        <w:rPr>
          <w:i/>
          <w:iCs/>
        </w:rPr>
        <w:t>Weltwirtschaftliches Archiv</w:t>
      </w:r>
      <w:r>
        <w:t xml:space="preserve">, </w:t>
      </w:r>
      <w:r>
        <w:rPr>
          <w:i/>
          <w:iCs/>
        </w:rPr>
        <w:t>95</w:t>
      </w:r>
      <w:r>
        <w:t>, 4–20.</w:t>
      </w:r>
    </w:p>
    <w:p w14:paraId="49C4ED5D" w14:textId="77777777" w:rsidR="005F3A70" w:rsidRDefault="005F3A70" w:rsidP="005F3A70">
      <w:pPr>
        <w:pStyle w:val="Bibliography"/>
      </w:pPr>
      <w:r>
        <w:t xml:space="preserve">Benagiano, G., Bastianelli, C., &amp; Farris, M. (2007). Contraception: A social revolution. </w:t>
      </w:r>
      <w:r>
        <w:rPr>
          <w:i/>
          <w:iCs/>
        </w:rPr>
        <w:t>The European Journal of Contraception &amp; Reproductive Health Care</w:t>
      </w:r>
      <w:r>
        <w:t xml:space="preserve">, </w:t>
      </w:r>
      <w:r>
        <w:rPr>
          <w:i/>
          <w:iCs/>
        </w:rPr>
        <w:t>12</w:t>
      </w:r>
      <w:r>
        <w:t>(1), 3–12. https://doi.org/10.1080/13625180601012311</w:t>
      </w:r>
    </w:p>
    <w:p w14:paraId="22D2D7B0" w14:textId="77777777" w:rsidR="005F3A70" w:rsidRDefault="005F3A70" w:rsidP="005F3A70">
      <w:pPr>
        <w:pStyle w:val="Bibliography"/>
      </w:pPr>
      <w:r>
        <w:t xml:space="preserve">Bener, A., Saleh, N. M., Salameh, K. M. K., Basha, B., Joseph, S., Samson, N., &amp; AlBuz, R. (2012). The impact of the interpregnancy interval on birth weight and other pregnancy outcomes. </w:t>
      </w:r>
      <w:r>
        <w:rPr>
          <w:i/>
          <w:iCs/>
        </w:rPr>
        <w:t>Revista Brasileira de Saúde Materno Infantil</w:t>
      </w:r>
      <w:r>
        <w:t xml:space="preserve">, </w:t>
      </w:r>
      <w:r>
        <w:rPr>
          <w:i/>
          <w:iCs/>
        </w:rPr>
        <w:t>12</w:t>
      </w:r>
      <w:r>
        <w:t>(3), 233–241. https://doi.org/10.1590/S1519-38292012000300003</w:t>
      </w:r>
    </w:p>
    <w:p w14:paraId="0DA938AF" w14:textId="77777777" w:rsidR="005F3A70" w:rsidRDefault="005F3A70" w:rsidP="005F3A70">
      <w:pPr>
        <w:pStyle w:val="Bibliography"/>
      </w:pPr>
      <w:r>
        <w:t xml:space="preserve">Bertrand, J. T., Hardee, K., Magnani, R. J., &amp; Angle, M. A. (1995). Access, Quality Of Care and Medical Barriers In Family Planning Programs. </w:t>
      </w:r>
      <w:r>
        <w:rPr>
          <w:i/>
          <w:iCs/>
        </w:rPr>
        <w:t>International Family Planning Perspectives</w:t>
      </w:r>
      <w:r>
        <w:t xml:space="preserve">, </w:t>
      </w:r>
      <w:r>
        <w:rPr>
          <w:i/>
          <w:iCs/>
        </w:rPr>
        <w:t>21</w:t>
      </w:r>
      <w:r>
        <w:t>(2), 64–74. https://doi.org/10.2307/2133525</w:t>
      </w:r>
    </w:p>
    <w:p w14:paraId="2FF03877" w14:textId="77777777" w:rsidR="005F3A70" w:rsidRDefault="005F3A70" w:rsidP="005F3A70">
      <w:pPr>
        <w:pStyle w:val="Bibliography"/>
      </w:pPr>
      <w:r>
        <w:t xml:space="preserve">Bhowmik, A. K., McCaffrey, M. S., Ruskey, A. M., Frischmann, C., &amp; Gaffney, O. (2020). Powers of 10: Seeking `sweet spots’ for rapid climate and sustainability actions between individual and global scales. </w:t>
      </w:r>
      <w:r>
        <w:rPr>
          <w:i/>
          <w:iCs/>
        </w:rPr>
        <w:t>Environmental Research Letters</w:t>
      </w:r>
      <w:r>
        <w:t xml:space="preserve">, </w:t>
      </w:r>
      <w:r>
        <w:rPr>
          <w:i/>
          <w:iCs/>
        </w:rPr>
        <w:t>15</w:t>
      </w:r>
      <w:r>
        <w:t>(9), 094011. https://doi.org/10.1088/1748-9326/ab9ed0</w:t>
      </w:r>
    </w:p>
    <w:p w14:paraId="2DB2EB1F" w14:textId="77777777" w:rsidR="005F3A70" w:rsidRDefault="005F3A70" w:rsidP="005F3A70">
      <w:pPr>
        <w:pStyle w:val="Bibliography"/>
      </w:pPr>
      <w:r>
        <w:t xml:space="preserve">Birdsall, N., Levine, R., &amp; Ibrahim, A. (2005). Towards Universal Primary Education: Investments, incentives, and institutions. </w:t>
      </w:r>
      <w:r>
        <w:rPr>
          <w:i/>
          <w:iCs/>
        </w:rPr>
        <w:t>European Journal of Education</w:t>
      </w:r>
      <w:r>
        <w:t xml:space="preserve">, </w:t>
      </w:r>
      <w:r>
        <w:rPr>
          <w:i/>
          <w:iCs/>
        </w:rPr>
        <w:t>40</w:t>
      </w:r>
      <w:r>
        <w:t>(3), 337–349. https://doi.org/10.1111/j.1465-3435.2005.00230.x</w:t>
      </w:r>
    </w:p>
    <w:p w14:paraId="43F2DF73" w14:textId="77777777" w:rsidR="005F3A70" w:rsidRDefault="005F3A70" w:rsidP="005F3A70">
      <w:pPr>
        <w:pStyle w:val="Bibliography"/>
      </w:pPr>
      <w:r>
        <w:t xml:space="preserve">Bongaarts, J. (1978). A Framework for Analyzing the Proximate Determinants of Fertility. </w:t>
      </w:r>
      <w:r>
        <w:rPr>
          <w:i/>
          <w:iCs/>
        </w:rPr>
        <w:t>Population and Development Review</w:t>
      </w:r>
      <w:r>
        <w:t xml:space="preserve">, </w:t>
      </w:r>
      <w:r>
        <w:rPr>
          <w:i/>
          <w:iCs/>
        </w:rPr>
        <w:t>4</w:t>
      </w:r>
      <w:r>
        <w:t>(1), 105–132. https://doi.org/10.2307/1972149</w:t>
      </w:r>
    </w:p>
    <w:p w14:paraId="57731ACA" w14:textId="77777777" w:rsidR="005F3A70" w:rsidRDefault="005F3A70" w:rsidP="005F3A70">
      <w:pPr>
        <w:pStyle w:val="Bibliography"/>
      </w:pPr>
      <w:r>
        <w:t xml:space="preserve">Bongaarts, J. (2009). Human population growth and the demographic transition. </w:t>
      </w:r>
      <w:r>
        <w:rPr>
          <w:i/>
          <w:iCs/>
        </w:rPr>
        <w:t>Philosophical Transactions of the Royal Society B: Biological Sciences</w:t>
      </w:r>
      <w:r>
        <w:t xml:space="preserve">, </w:t>
      </w:r>
      <w:r>
        <w:rPr>
          <w:i/>
          <w:iCs/>
        </w:rPr>
        <w:t>364</w:t>
      </w:r>
      <w:r>
        <w:t>(1532), 2985–2990. https://doi.org/10.1098/rstb.2009.0137</w:t>
      </w:r>
    </w:p>
    <w:p w14:paraId="75D79351" w14:textId="77777777" w:rsidR="005F3A70" w:rsidRDefault="005F3A70" w:rsidP="005F3A70">
      <w:pPr>
        <w:pStyle w:val="Bibliography"/>
      </w:pPr>
      <w:r>
        <w:t xml:space="preserve">Bongaarts, J., Mensch, B. S., &amp; Blanc, A. K. (2017). Trends in the age at reproductive transitions in the developing world: The role of education. </w:t>
      </w:r>
      <w:r>
        <w:rPr>
          <w:i/>
          <w:iCs/>
        </w:rPr>
        <w:t>Population Studies</w:t>
      </w:r>
      <w:r>
        <w:t xml:space="preserve">, </w:t>
      </w:r>
      <w:r>
        <w:rPr>
          <w:i/>
          <w:iCs/>
        </w:rPr>
        <w:t>71</w:t>
      </w:r>
      <w:r>
        <w:t>(2), 139–154. https://doi.org/10.1080/00324728.2017.1291986</w:t>
      </w:r>
    </w:p>
    <w:p w14:paraId="6A3B85C1" w14:textId="77777777" w:rsidR="005F3A70" w:rsidRDefault="005F3A70" w:rsidP="005F3A70">
      <w:pPr>
        <w:pStyle w:val="Bibliography"/>
      </w:pPr>
      <w:r>
        <w:t xml:space="preserve">Bonneuil, N. (1990). Contextual and Structural Factors in Fertility Behaviour. </w:t>
      </w:r>
      <w:r>
        <w:rPr>
          <w:i/>
          <w:iCs/>
        </w:rPr>
        <w:t>Population: An English Selection</w:t>
      </w:r>
      <w:r>
        <w:t xml:space="preserve">, </w:t>
      </w:r>
      <w:r>
        <w:rPr>
          <w:i/>
          <w:iCs/>
        </w:rPr>
        <w:t>2</w:t>
      </w:r>
      <w:r>
        <w:t>, 69–91.</w:t>
      </w:r>
    </w:p>
    <w:p w14:paraId="08873CB8" w14:textId="77777777" w:rsidR="005F3A70" w:rsidRDefault="005F3A70" w:rsidP="005F3A70">
      <w:pPr>
        <w:pStyle w:val="Bibliography"/>
      </w:pPr>
      <w:r>
        <w:t xml:space="preserve">Brundrett, M. (2014). Education for all: The challenges of achieving universal early childhood care and primary education. </w:t>
      </w:r>
      <w:r>
        <w:rPr>
          <w:i/>
          <w:iCs/>
        </w:rPr>
        <w:t>Education 3-13</w:t>
      </w:r>
      <w:r>
        <w:t xml:space="preserve">, </w:t>
      </w:r>
      <w:r>
        <w:rPr>
          <w:i/>
          <w:iCs/>
        </w:rPr>
        <w:t>42</w:t>
      </w:r>
      <w:r>
        <w:t>(3), 233–236. https://doi.org/10.1080/03004279.2014.912911</w:t>
      </w:r>
    </w:p>
    <w:p w14:paraId="47311F22" w14:textId="77777777" w:rsidR="005F3A70" w:rsidRDefault="005F3A70" w:rsidP="005F3A70">
      <w:pPr>
        <w:pStyle w:val="Bibliography"/>
      </w:pPr>
      <w:r>
        <w:t xml:space="preserve">Casey, C. K. and O. (2021, January 6). A new green learning agenda: Approaches to quality education for climate action. </w:t>
      </w:r>
      <w:r>
        <w:rPr>
          <w:i/>
          <w:iCs/>
        </w:rPr>
        <w:t>Brookings</w:t>
      </w:r>
      <w:r>
        <w:t>. https://www.brookings.edu/research/a-new-green-learning-agenda-approaches-to-quality-education-for-climate-action/</w:t>
      </w:r>
    </w:p>
    <w:p w14:paraId="42842F59" w14:textId="77777777" w:rsidR="005F3A70" w:rsidRDefault="005F3A70" w:rsidP="005F3A70">
      <w:pPr>
        <w:pStyle w:val="Bibliography"/>
      </w:pPr>
      <w:r>
        <w:t xml:space="preserve">Cheng, D., Schwarz, E. B., Douglas, E., &amp; Horon, I. (2009). Unintended pregnancy and associated maternal preconception, prenatal and postpartum behaviors. </w:t>
      </w:r>
      <w:r>
        <w:rPr>
          <w:i/>
          <w:iCs/>
        </w:rPr>
        <w:t>Contraception</w:t>
      </w:r>
      <w:r>
        <w:t xml:space="preserve">, </w:t>
      </w:r>
      <w:r>
        <w:rPr>
          <w:i/>
          <w:iCs/>
        </w:rPr>
        <w:t>79</w:t>
      </w:r>
      <w:r>
        <w:t>(3), 194–198. https://doi.org/10.1016/j.contraception.2008.09.009</w:t>
      </w:r>
    </w:p>
    <w:p w14:paraId="6419348F" w14:textId="77777777" w:rsidR="005F3A70" w:rsidRDefault="005F3A70" w:rsidP="005F3A70">
      <w:pPr>
        <w:pStyle w:val="Bibliography"/>
      </w:pPr>
      <w:r>
        <w:t xml:space="preserve">Chescheir, N. C. (2017). Worldwide Abortion Rates and Access to Contraception. </w:t>
      </w:r>
      <w:r>
        <w:rPr>
          <w:i/>
          <w:iCs/>
        </w:rPr>
        <w:t>Obstetrics &amp; Gynecology</w:t>
      </w:r>
      <w:r>
        <w:t xml:space="preserve">, </w:t>
      </w:r>
      <w:r>
        <w:rPr>
          <w:i/>
          <w:iCs/>
        </w:rPr>
        <w:t>129</w:t>
      </w:r>
      <w:r>
        <w:t>(5), 783–785. https://doi.org/10.1097/AOG.0000000000002028</w:t>
      </w:r>
    </w:p>
    <w:p w14:paraId="360239E0" w14:textId="77777777" w:rsidR="005F3A70" w:rsidRDefault="005F3A70" w:rsidP="005F3A70">
      <w:pPr>
        <w:pStyle w:val="Bibliography"/>
      </w:pPr>
      <w:r>
        <w:t xml:space="preserve">Conger, R. D., Conger, K. J., &amp; Martin, M. J. (2010). Socioeconomic Status, Family Processes, and Individual Development. </w:t>
      </w:r>
      <w:r>
        <w:rPr>
          <w:i/>
          <w:iCs/>
        </w:rPr>
        <w:t>Journal of Marriage and the Family</w:t>
      </w:r>
      <w:r>
        <w:t xml:space="preserve">, </w:t>
      </w:r>
      <w:r>
        <w:rPr>
          <w:i/>
          <w:iCs/>
        </w:rPr>
        <w:t>72</w:t>
      </w:r>
      <w:r>
        <w:t>(3), 685–704. https://doi.org/10.1111/j.1741-3737.2010.00725.x</w:t>
      </w:r>
    </w:p>
    <w:p w14:paraId="0E731DBF" w14:textId="77777777" w:rsidR="005F3A70" w:rsidRDefault="005F3A70" w:rsidP="005F3A70">
      <w:pPr>
        <w:pStyle w:val="Bibliography"/>
      </w:pPr>
      <w:r>
        <w:t xml:space="preserve">Delprato, M., Akyeampong, K., &amp; Dunne, M. (2017). Intergenerational Education Effects of Early Marriage in Sub-Saharan Africa. </w:t>
      </w:r>
      <w:r>
        <w:rPr>
          <w:i/>
          <w:iCs/>
        </w:rPr>
        <w:t>World Development</w:t>
      </w:r>
      <w:r>
        <w:t xml:space="preserve">, </w:t>
      </w:r>
      <w:r>
        <w:rPr>
          <w:i/>
          <w:iCs/>
        </w:rPr>
        <w:t>91</w:t>
      </w:r>
      <w:r>
        <w:t>, 173–192. https://doi.org/10.1016/j.worlddev.2016.11.010</w:t>
      </w:r>
    </w:p>
    <w:p w14:paraId="7148D3EB" w14:textId="77777777" w:rsidR="005F3A70" w:rsidRDefault="005F3A70" w:rsidP="005F3A70">
      <w:pPr>
        <w:pStyle w:val="Bibliography"/>
      </w:pPr>
      <w:r>
        <w:t xml:space="preserve">Demographic and Health Surveys. (2007). </w:t>
      </w:r>
      <w:r>
        <w:rPr>
          <w:i/>
          <w:iCs/>
        </w:rPr>
        <w:t>The DHS Program: Fertility and Fertility Preferences</w:t>
      </w:r>
      <w:r>
        <w:t>. https://dhsprogram.com/topics/Fertility-and-Fertility-Preferences.cfm</w:t>
      </w:r>
    </w:p>
    <w:p w14:paraId="11F6CCAB" w14:textId="77777777" w:rsidR="005F3A70" w:rsidRDefault="005F3A70" w:rsidP="005F3A70">
      <w:pPr>
        <w:pStyle w:val="Bibliography"/>
      </w:pPr>
      <w:r>
        <w:t xml:space="preserve">Didham, R. J., &amp; Ofei-Manu, P. (2020). Adaptive capacity as an educational goal to advance policy for integrating DRR into quality education for sustainable development. </w:t>
      </w:r>
      <w:r>
        <w:rPr>
          <w:i/>
          <w:iCs/>
        </w:rPr>
        <w:t>International Journal of Disaster Risk Reduction</w:t>
      </w:r>
      <w:r>
        <w:t xml:space="preserve">, </w:t>
      </w:r>
      <w:r>
        <w:rPr>
          <w:i/>
          <w:iCs/>
        </w:rPr>
        <w:t>47</w:t>
      </w:r>
      <w:r>
        <w:t>, 101631. https://doi.org/10.1016/j.ijdrr.2020.101631</w:t>
      </w:r>
    </w:p>
    <w:p w14:paraId="44167DFC" w14:textId="77777777" w:rsidR="005F3A70" w:rsidRDefault="005F3A70" w:rsidP="005F3A70">
      <w:pPr>
        <w:pStyle w:val="Bibliography"/>
      </w:pPr>
      <w:r>
        <w:t xml:space="preserve">Dodson, J. C., Dérer, P., Cafaro, P., &amp; Götmark, F. (2020). Population growth and climate change: Addressing the overlooked threat multiplier. </w:t>
      </w:r>
      <w:r>
        <w:rPr>
          <w:i/>
          <w:iCs/>
        </w:rPr>
        <w:t>Science of The Total Environment</w:t>
      </w:r>
      <w:r>
        <w:t xml:space="preserve">, </w:t>
      </w:r>
      <w:r>
        <w:rPr>
          <w:i/>
          <w:iCs/>
        </w:rPr>
        <w:t>748</w:t>
      </w:r>
      <w:r>
        <w:t>, 141346. https://doi.org/10.1016/j.scitotenv.2020.141346</w:t>
      </w:r>
    </w:p>
    <w:p w14:paraId="2DEBF96D" w14:textId="77777777" w:rsidR="005F3A70" w:rsidRDefault="005F3A70" w:rsidP="005F3A70">
      <w:pPr>
        <w:pStyle w:val="Bibliography"/>
      </w:pPr>
      <w:r>
        <w:t xml:space="preserve">Dyson, T. (2011). The Role of the Demographic Transition in the Process of Urbanization. </w:t>
      </w:r>
      <w:r>
        <w:rPr>
          <w:i/>
          <w:iCs/>
        </w:rPr>
        <w:t>Population and Development Review</w:t>
      </w:r>
      <w:r>
        <w:t xml:space="preserve">, </w:t>
      </w:r>
      <w:r>
        <w:rPr>
          <w:i/>
          <w:iCs/>
        </w:rPr>
        <w:t>37</w:t>
      </w:r>
      <w:r>
        <w:t>, 34–54. JSTOR.</w:t>
      </w:r>
    </w:p>
    <w:p w14:paraId="50CC8C02" w14:textId="77777777" w:rsidR="005F3A70" w:rsidRDefault="005F3A70" w:rsidP="005F3A70">
      <w:pPr>
        <w:pStyle w:val="Bibliography"/>
      </w:pPr>
      <w:r>
        <w:t xml:space="preserve">Eastin, J. (2018). Climate change and gender equality in developing states. </w:t>
      </w:r>
      <w:r>
        <w:rPr>
          <w:i/>
          <w:iCs/>
        </w:rPr>
        <w:t>World Development</w:t>
      </w:r>
      <w:r>
        <w:t xml:space="preserve">, </w:t>
      </w:r>
      <w:r>
        <w:rPr>
          <w:i/>
          <w:iCs/>
        </w:rPr>
        <w:t>107</w:t>
      </w:r>
      <w:r>
        <w:t>, 289–305. https://doi.org/10.1016/j.worlddev.2018.02.021</w:t>
      </w:r>
    </w:p>
    <w:p w14:paraId="52241885" w14:textId="77777777" w:rsidR="005F3A70" w:rsidRDefault="005F3A70" w:rsidP="005F3A70">
      <w:pPr>
        <w:pStyle w:val="Bibliography"/>
      </w:pPr>
      <w:r>
        <w:t xml:space="preserve">Education For All: Global Monitoring Report. (2015). </w:t>
      </w:r>
      <w:r>
        <w:rPr>
          <w:i/>
          <w:iCs/>
        </w:rPr>
        <w:t>Pricing the right to education: The cost of reaching new targets by 2030</w:t>
      </w:r>
      <w:r>
        <w:t xml:space="preserve"> (Policy Paper 18).</w:t>
      </w:r>
    </w:p>
    <w:p w14:paraId="4DCD8074" w14:textId="77777777" w:rsidR="005F3A70" w:rsidRDefault="005F3A70" w:rsidP="005F3A70">
      <w:pPr>
        <w:pStyle w:val="Bibliography"/>
      </w:pPr>
      <w:r>
        <w:t xml:space="preserve">Ensor, T., &amp; Cooper, S. (2004). Overcoming barriers to health service access: Influencing the demand side. </w:t>
      </w:r>
      <w:r>
        <w:rPr>
          <w:i/>
          <w:iCs/>
        </w:rPr>
        <w:t>Health Policy and Planning</w:t>
      </w:r>
      <w:r>
        <w:t xml:space="preserve">, </w:t>
      </w:r>
      <w:r>
        <w:rPr>
          <w:i/>
          <w:iCs/>
        </w:rPr>
        <w:t>19</w:t>
      </w:r>
      <w:r>
        <w:t>(2), 69–79. https://doi.org/10.1093/heapol/czh009</w:t>
      </w:r>
    </w:p>
    <w:p w14:paraId="5FC5CFAF" w14:textId="77777777" w:rsidR="005F3A70" w:rsidRDefault="005F3A70" w:rsidP="005F3A70">
      <w:pPr>
        <w:pStyle w:val="Bibliography"/>
      </w:pPr>
      <w:r>
        <w:t xml:space="preserve">FHI360. (2016). </w:t>
      </w:r>
      <w:r>
        <w:rPr>
          <w:i/>
          <w:iCs/>
        </w:rPr>
        <w:t>Education and the SDGs</w:t>
      </w:r>
      <w:r>
        <w:t xml:space="preserve"> (Educate a Child).</w:t>
      </w:r>
    </w:p>
    <w:p w14:paraId="42BD5BD8" w14:textId="77777777" w:rsidR="005F3A70" w:rsidRDefault="005F3A70" w:rsidP="005F3A70">
      <w:pPr>
        <w:pStyle w:val="Bibliography"/>
      </w:pPr>
      <w:r>
        <w:t xml:space="preserve">Frischmann, C. J., Mehra, M., Allard, R., Bayuk, K., Gouveia, J. P., &amp; Gorman, M. R. (2020). Drawdown’s “System of Solutions” Helps to Achieve the SDGs. </w:t>
      </w:r>
      <w:r>
        <w:rPr>
          <w:i/>
          <w:iCs/>
        </w:rPr>
        <w:t>Partnerships for the Goals</w:t>
      </w:r>
      <w:r>
        <w:t>, 1–25. https://doi.org/10.1007/978-3-319-71067-9_100-1</w:t>
      </w:r>
    </w:p>
    <w:p w14:paraId="75793D31" w14:textId="77777777" w:rsidR="005F3A70" w:rsidRDefault="005F3A70" w:rsidP="005F3A70">
      <w:pPr>
        <w:pStyle w:val="Bibliography"/>
      </w:pPr>
      <w:r>
        <w:t xml:space="preserve">Gammage, S., Joshi, S., &amp; Rodgers, Y. van der M. (2020). The Intersections of Women’s Economic and Reproductive Empowerment. </w:t>
      </w:r>
      <w:r>
        <w:rPr>
          <w:i/>
          <w:iCs/>
        </w:rPr>
        <w:t>Feminist Economics</w:t>
      </w:r>
      <w:r>
        <w:t xml:space="preserve">, </w:t>
      </w:r>
      <w:r>
        <w:rPr>
          <w:i/>
          <w:iCs/>
        </w:rPr>
        <w:t>26</w:t>
      </w:r>
      <w:r>
        <w:t>(1), 1–22. https://doi.org/10.1080/13545701.2019.1674451</w:t>
      </w:r>
    </w:p>
    <w:p w14:paraId="472D64D4" w14:textId="77777777" w:rsidR="005F3A70" w:rsidRDefault="005F3A70" w:rsidP="005F3A70">
      <w:pPr>
        <w:pStyle w:val="Bibliography"/>
      </w:pPr>
      <w:r>
        <w:t xml:space="preserve">Global Partnership for Education. (2019). </w:t>
      </w:r>
      <w:r>
        <w:rPr>
          <w:i/>
          <w:iCs/>
        </w:rPr>
        <w:t>Education data highlights</w:t>
      </w:r>
      <w:r>
        <w:t>. https://www.globalpartnership.org/results/education-data-highlights</w:t>
      </w:r>
    </w:p>
    <w:p w14:paraId="338205BD" w14:textId="77777777" w:rsidR="005F3A70" w:rsidRDefault="005F3A70" w:rsidP="005F3A70">
      <w:pPr>
        <w:pStyle w:val="Bibliography"/>
      </w:pPr>
      <w:r>
        <w:t xml:space="preserve">Götmark, F., &amp; Andersson, M. (2020). Human fertility in relation to education, economy, religion, contraception, and family planning programs. </w:t>
      </w:r>
      <w:r>
        <w:rPr>
          <w:i/>
          <w:iCs/>
        </w:rPr>
        <w:t>BMC Public Health</w:t>
      </w:r>
      <w:r>
        <w:t xml:space="preserve">, </w:t>
      </w:r>
      <w:r>
        <w:rPr>
          <w:i/>
          <w:iCs/>
        </w:rPr>
        <w:t>20</w:t>
      </w:r>
      <w:r>
        <w:t>(1), 265. https://doi.org/10.1186/s12889-020-8331-7</w:t>
      </w:r>
    </w:p>
    <w:p w14:paraId="1E22ECA5" w14:textId="77777777" w:rsidR="005F3A70" w:rsidRDefault="005F3A70" w:rsidP="005F3A70">
      <w:pPr>
        <w:pStyle w:val="Bibliography"/>
      </w:pPr>
      <w:r>
        <w:t xml:space="preserve">Guarcello, L., Lyon, S., &amp; Rosati, F. C. (2005). </w:t>
      </w:r>
      <w:r>
        <w:rPr>
          <w:i/>
          <w:iCs/>
        </w:rPr>
        <w:t>Impact of children’s work on school attendance and performance: A review of school survey evidence from five countries</w:t>
      </w:r>
      <w:r>
        <w:t>. 99.</w:t>
      </w:r>
    </w:p>
    <w:p w14:paraId="3CDD2645" w14:textId="77777777" w:rsidR="005F3A70" w:rsidRDefault="005F3A70" w:rsidP="005F3A70">
      <w:pPr>
        <w:pStyle w:val="Bibliography"/>
      </w:pPr>
      <w:r>
        <w:t xml:space="preserve">Guttmacher Institute. (2020). </w:t>
      </w:r>
      <w:r>
        <w:rPr>
          <w:i/>
          <w:iCs/>
        </w:rPr>
        <w:t>Adding it Up: Investing in Sexual and Reproductive Health in Low- and Middle-Income Countries</w:t>
      </w:r>
      <w:r>
        <w:t>. https://www.guttmacher.org/fact-sheet/adding-it-up-investing-in-sexual-reproductive-health</w:t>
      </w:r>
    </w:p>
    <w:p w14:paraId="0B1204FA" w14:textId="77777777" w:rsidR="005F3A70" w:rsidRDefault="005F3A70" w:rsidP="005F3A70">
      <w:pPr>
        <w:pStyle w:val="Bibliography"/>
      </w:pPr>
      <w:r>
        <w:t xml:space="preserve">Hallegatte, S., Fay, M., &amp; Barbier, E. B. (2018). Poverty and climate change: Introduction. </w:t>
      </w:r>
      <w:r>
        <w:rPr>
          <w:i/>
          <w:iCs/>
        </w:rPr>
        <w:t>Environment and Development Economics</w:t>
      </w:r>
      <w:r>
        <w:t xml:space="preserve">, </w:t>
      </w:r>
      <w:r>
        <w:rPr>
          <w:i/>
          <w:iCs/>
        </w:rPr>
        <w:t>23</w:t>
      </w:r>
      <w:r>
        <w:t>(3), 217–233. https://doi.org/10.1017/S1355770X18000141</w:t>
      </w:r>
    </w:p>
    <w:p w14:paraId="4D55B17A" w14:textId="77777777" w:rsidR="005F3A70" w:rsidRDefault="005F3A70" w:rsidP="005F3A70">
      <w:pPr>
        <w:pStyle w:val="Bibliography"/>
      </w:pPr>
      <w:r>
        <w:t xml:space="preserve">Hardee, K., Croce-Galis, M., &amp; Gay, J. (2017). Are men well served by family planning programs? </w:t>
      </w:r>
      <w:r>
        <w:rPr>
          <w:i/>
          <w:iCs/>
        </w:rPr>
        <w:t>Reproductive Health</w:t>
      </w:r>
      <w:r>
        <w:t xml:space="preserve">, </w:t>
      </w:r>
      <w:r>
        <w:rPr>
          <w:i/>
          <w:iCs/>
        </w:rPr>
        <w:t>14</w:t>
      </w:r>
      <w:r>
        <w:t>(1), 14. https://doi.org/10.1186/s12978-017-0278-5</w:t>
      </w:r>
    </w:p>
    <w:p w14:paraId="6B867A2C" w14:textId="77777777" w:rsidR="005F3A70" w:rsidRDefault="005F3A70" w:rsidP="005F3A70">
      <w:pPr>
        <w:pStyle w:val="Bibliography"/>
      </w:pPr>
      <w:r>
        <w:t xml:space="preserve">Hardee, K., Kumar, J., Newman, K., Bakamjian, L., Harris, S., Rodríguez, M., &amp; Brown, W. (2014). Voluntary, Human Rights–Based Family Planning: A Conceptual Framework. </w:t>
      </w:r>
      <w:r>
        <w:rPr>
          <w:i/>
          <w:iCs/>
        </w:rPr>
        <w:t>Studies in Family Planning</w:t>
      </w:r>
      <w:r>
        <w:t xml:space="preserve">, </w:t>
      </w:r>
      <w:r>
        <w:rPr>
          <w:i/>
          <w:iCs/>
        </w:rPr>
        <w:t>45</w:t>
      </w:r>
      <w:r>
        <w:t>(1), 1–18. https://doi.org/10.1111/j.1728-4465.2014.00373.x</w:t>
      </w:r>
    </w:p>
    <w:p w14:paraId="2109D68F" w14:textId="77777777" w:rsidR="005F3A70" w:rsidRDefault="005F3A70" w:rsidP="005F3A70">
      <w:pPr>
        <w:pStyle w:val="Bibliography"/>
      </w:pPr>
      <w:r>
        <w:t xml:space="preserve">Hickel, J. (2016). The true extent of global poverty and hunger: Questioning the good news narrative of the Millennium Development Goals. </w:t>
      </w:r>
      <w:r>
        <w:rPr>
          <w:i/>
          <w:iCs/>
        </w:rPr>
        <w:t>Third World Quarterly</w:t>
      </w:r>
      <w:r>
        <w:t xml:space="preserve">, </w:t>
      </w:r>
      <w:r>
        <w:rPr>
          <w:i/>
          <w:iCs/>
        </w:rPr>
        <w:t>37</w:t>
      </w:r>
      <w:r>
        <w:t>(5), 749–767. https://doi.org/10.1080/01436597.2015.1109439</w:t>
      </w:r>
    </w:p>
    <w:p w14:paraId="1178E712" w14:textId="77777777" w:rsidR="005F3A70" w:rsidRDefault="005F3A70" w:rsidP="005F3A70">
      <w:pPr>
        <w:pStyle w:val="Bibliography"/>
      </w:pPr>
      <w:r>
        <w:t xml:space="preserve">Hunt, F., Consortium for Research on Educational Access, T. &amp; E., University of Sussex, &amp; Centre for International Education. (2008). </w:t>
      </w:r>
      <w:r>
        <w:rPr>
          <w:i/>
          <w:iCs/>
        </w:rPr>
        <w:t>Dropping out from school: A cross-country review of literature</w:t>
      </w:r>
      <w:r>
        <w:t>. Consortium for Research on Educational Access, Transitions and Equity.</w:t>
      </w:r>
    </w:p>
    <w:p w14:paraId="66455D14" w14:textId="77777777" w:rsidR="005F3A70" w:rsidRDefault="005F3A70" w:rsidP="005F3A70">
      <w:pPr>
        <w:pStyle w:val="Bibliography"/>
      </w:pPr>
      <w:r>
        <w:t xml:space="preserve">Kaneda, T., Falk, M., &amp; Patierno, K. (2021). </w:t>
      </w:r>
      <w:r>
        <w:rPr>
          <w:i/>
          <w:iCs/>
        </w:rPr>
        <w:t>Understanding and Comparing Population Projections in Sub-Saharan Africa</w:t>
      </w:r>
      <w:r>
        <w:t>. Population Reference Bureau. https://www.prb.org/resources/understanding-and-comparing-population-projections-in-sub-saharan-africa/</w:t>
      </w:r>
    </w:p>
    <w:p w14:paraId="0E10A34F" w14:textId="77777777" w:rsidR="005F3A70" w:rsidRDefault="005F3A70" w:rsidP="005F3A70">
      <w:pPr>
        <w:pStyle w:val="Bibliography"/>
      </w:pPr>
      <w:r>
        <w:t xml:space="preserve">Karamouzian, M., Sharifi, H., &amp; Haghdoost, A. A. (2014). Iran’s Shift in Family Planning Policies: Concerns and Challenges. </w:t>
      </w:r>
      <w:r>
        <w:rPr>
          <w:i/>
          <w:iCs/>
        </w:rPr>
        <w:t>International Journal of Health Policy and Management</w:t>
      </w:r>
      <w:r>
        <w:t xml:space="preserve">, </w:t>
      </w:r>
      <w:r>
        <w:rPr>
          <w:i/>
          <w:iCs/>
        </w:rPr>
        <w:t>3</w:t>
      </w:r>
      <w:r>
        <w:t>(5), 231–233. https://doi.org/10.15171/ijhpm.2014.81</w:t>
      </w:r>
    </w:p>
    <w:p w14:paraId="2F55B56A" w14:textId="77777777" w:rsidR="005F3A70" w:rsidRDefault="005F3A70" w:rsidP="005F3A70">
      <w:pPr>
        <w:pStyle w:val="Bibliography"/>
      </w:pPr>
      <w:r>
        <w:t xml:space="preserve">Kennedy, E., Binder, G., Humphries-Waa, K., Tidhar, T., Cini, K., Comrie-Thomson, L., Vaughan, C., Francis, K., Scott, N., Wulan, N., Patton, G., &amp; Azzopardi, P. (2020). Gender inequalities in health and wellbeing across the first two decades of life: An analysis of 40 low-income and middle-income countries in the Asia-Pacific region. </w:t>
      </w:r>
      <w:r>
        <w:rPr>
          <w:i/>
          <w:iCs/>
        </w:rPr>
        <w:t>The Lancet Global Health</w:t>
      </w:r>
      <w:r>
        <w:t xml:space="preserve">, </w:t>
      </w:r>
      <w:r>
        <w:rPr>
          <w:i/>
          <w:iCs/>
        </w:rPr>
        <w:t>8</w:t>
      </w:r>
      <w:r>
        <w:t>(12), e1473–e1488. https://doi.org/10.1016/S2214-109X(20)30354-5</w:t>
      </w:r>
    </w:p>
    <w:p w14:paraId="061D6154" w14:textId="77777777" w:rsidR="005F3A70" w:rsidRDefault="005F3A70" w:rsidP="005F3A70">
      <w:pPr>
        <w:pStyle w:val="Bibliography"/>
      </w:pPr>
      <w:r>
        <w:t xml:space="preserve">Kim, J. (2016). Female education and its impact on fertility. </w:t>
      </w:r>
      <w:r>
        <w:rPr>
          <w:i/>
          <w:iCs/>
        </w:rPr>
        <w:t>IZA World of Labor</w:t>
      </w:r>
      <w:r>
        <w:t>. https://doi.org/10.15185/izawol.228</w:t>
      </w:r>
    </w:p>
    <w:p w14:paraId="302B815F" w14:textId="77777777" w:rsidR="005F3A70" w:rsidRDefault="005F3A70" w:rsidP="005F3A70">
      <w:pPr>
        <w:pStyle w:val="Bibliography"/>
      </w:pPr>
      <w:r>
        <w:t xml:space="preserve">Korachais, C., Macouillard, E., &amp; Meessen, B. (2016). How User Fees Influence Contraception in Low and Middle Income Countries: A Systematic Review. </w:t>
      </w:r>
      <w:r>
        <w:rPr>
          <w:i/>
          <w:iCs/>
        </w:rPr>
        <w:t>Studies in Family Planning</w:t>
      </w:r>
      <w:r>
        <w:t xml:space="preserve">, </w:t>
      </w:r>
      <w:r>
        <w:rPr>
          <w:i/>
          <w:iCs/>
        </w:rPr>
        <w:t>47</w:t>
      </w:r>
      <w:r>
        <w:t>(4), 341–356. https://doi.org/10.1111/sifp.12005</w:t>
      </w:r>
    </w:p>
    <w:p w14:paraId="100EF9A6" w14:textId="77777777" w:rsidR="005F3A70" w:rsidRDefault="005F3A70" w:rsidP="005F3A70">
      <w:pPr>
        <w:pStyle w:val="Bibliography"/>
      </w:pPr>
      <w:r>
        <w:t xml:space="preserve">Kwauk, C. (2020). </w:t>
      </w:r>
      <w:r>
        <w:rPr>
          <w:i/>
          <w:iCs/>
        </w:rPr>
        <w:t>Roadblocks to quality education in a time of climate change</w:t>
      </w:r>
      <w:r>
        <w:t>. https://www.brookings.edu/research/roadblocks-to-quality-education-in-a-time-of-climate-change/</w:t>
      </w:r>
    </w:p>
    <w:p w14:paraId="298C0A81" w14:textId="77777777" w:rsidR="005F3A70" w:rsidRDefault="005F3A70" w:rsidP="005F3A70">
      <w:pPr>
        <w:pStyle w:val="Bibliography"/>
      </w:pPr>
      <w:r>
        <w:t xml:space="preserve">Lama, P., Hamza, M., &amp; Wester, M. (2021). Gendered dimensions of migration in relation to climate change. </w:t>
      </w:r>
      <w:r>
        <w:rPr>
          <w:i/>
          <w:iCs/>
        </w:rPr>
        <w:t>Climate and Development</w:t>
      </w:r>
      <w:r>
        <w:t xml:space="preserve">, </w:t>
      </w:r>
      <w:r>
        <w:rPr>
          <w:i/>
          <w:iCs/>
        </w:rPr>
        <w:t>13</w:t>
      </w:r>
      <w:r>
        <w:t>(4), 326–336. https://doi.org/10.1080/17565529.2020.1772708</w:t>
      </w:r>
    </w:p>
    <w:p w14:paraId="7C7BCF5A" w14:textId="77777777" w:rsidR="005F3A70" w:rsidRDefault="005F3A70" w:rsidP="005F3A70">
      <w:pPr>
        <w:pStyle w:val="Bibliography"/>
      </w:pPr>
      <w:r>
        <w:t xml:space="preserve">Lawson, D. W., &amp; Mace, R. (2010). Optimizing Modern Family Size: Trade-offs between Fertility and the Economic Costs of Reproduction. </w:t>
      </w:r>
      <w:r>
        <w:rPr>
          <w:i/>
          <w:iCs/>
        </w:rPr>
        <w:t>Human Nature</w:t>
      </w:r>
      <w:r>
        <w:t xml:space="preserve">, </w:t>
      </w:r>
      <w:r>
        <w:rPr>
          <w:i/>
          <w:iCs/>
        </w:rPr>
        <w:t>21</w:t>
      </w:r>
      <w:r>
        <w:t>(1), 39–61. https://doi.org/10.1007/s12110-010-9080-6</w:t>
      </w:r>
    </w:p>
    <w:p w14:paraId="34CE9D64" w14:textId="77777777" w:rsidR="005F3A70" w:rsidRDefault="005F3A70" w:rsidP="005F3A70">
      <w:pPr>
        <w:pStyle w:val="Bibliography"/>
      </w:pPr>
      <w:r>
        <w:t xml:space="preserve">Liu, D. H., &amp; Raftery, A. E. (2020). How Do Education and Family Planning Accelerate Fertility Decline? </w:t>
      </w:r>
      <w:r>
        <w:rPr>
          <w:i/>
          <w:iCs/>
        </w:rPr>
        <w:t>Population and Development Review</w:t>
      </w:r>
      <w:r>
        <w:t xml:space="preserve">, </w:t>
      </w:r>
      <w:r>
        <w:rPr>
          <w:i/>
          <w:iCs/>
        </w:rPr>
        <w:t>46</w:t>
      </w:r>
      <w:r>
        <w:t>(3), 409–441. https://doi.org/10.1111/padr.12347</w:t>
      </w:r>
    </w:p>
    <w:p w14:paraId="7578DC2B" w14:textId="77777777" w:rsidR="005F3A70" w:rsidRDefault="005F3A70" w:rsidP="005F3A70">
      <w:pPr>
        <w:pStyle w:val="Bibliography"/>
      </w:pPr>
      <w:r>
        <w:t xml:space="preserve">McCleary-Sills, J., Hanmer, L., Parsons, J., &amp; Klugman, J. (2015). Child Marriage: A Critical Barrier to Girls’ Schooling and Gender Equality in Education. </w:t>
      </w:r>
      <w:r>
        <w:rPr>
          <w:i/>
          <w:iCs/>
        </w:rPr>
        <w:t>The Review of Faith &amp; International Affairs</w:t>
      </w:r>
      <w:r>
        <w:t xml:space="preserve">, </w:t>
      </w:r>
      <w:r>
        <w:rPr>
          <w:i/>
          <w:iCs/>
        </w:rPr>
        <w:t>13</w:t>
      </w:r>
      <w:r>
        <w:t>(3), 69–80. https://doi.org/10.1080/15570274.2015.1075755</w:t>
      </w:r>
    </w:p>
    <w:p w14:paraId="38A34B77" w14:textId="77777777" w:rsidR="005F3A70" w:rsidRDefault="005F3A70" w:rsidP="005F3A70">
      <w:pPr>
        <w:pStyle w:val="Bibliography"/>
      </w:pPr>
      <w:r>
        <w:t xml:space="preserve">McDonald, P. (2000). Gender Equity in Theories of Fertility Transition. </w:t>
      </w:r>
      <w:r>
        <w:rPr>
          <w:i/>
          <w:iCs/>
        </w:rPr>
        <w:t>Population and Development Review</w:t>
      </w:r>
      <w:r>
        <w:t xml:space="preserve">, </w:t>
      </w:r>
      <w:r>
        <w:rPr>
          <w:i/>
          <w:iCs/>
        </w:rPr>
        <w:t>26</w:t>
      </w:r>
      <w:r>
        <w:t>(3), 427–439. https://doi.org/10.1111/j.1728-4457.2000.00427.x</w:t>
      </w:r>
    </w:p>
    <w:p w14:paraId="6B92F928" w14:textId="77777777" w:rsidR="005F3A70" w:rsidRDefault="005F3A70" w:rsidP="005F3A70">
      <w:pPr>
        <w:pStyle w:val="Bibliography"/>
      </w:pPr>
      <w:r>
        <w:t xml:space="preserve">McQuillan, K. (2004). When Does Religion Influence Fertility? </w:t>
      </w:r>
      <w:r>
        <w:rPr>
          <w:i/>
          <w:iCs/>
        </w:rPr>
        <w:t>Population and Development Review</w:t>
      </w:r>
      <w:r>
        <w:t xml:space="preserve">, </w:t>
      </w:r>
      <w:r>
        <w:rPr>
          <w:i/>
          <w:iCs/>
        </w:rPr>
        <w:t>30</w:t>
      </w:r>
      <w:r>
        <w:t>(1), 25–56. https://doi.org/10.1111/j.1728-4457.2004.00002.x</w:t>
      </w:r>
    </w:p>
    <w:p w14:paraId="006D6713" w14:textId="77777777" w:rsidR="005F3A70" w:rsidRDefault="005F3A70" w:rsidP="005F3A70">
      <w:pPr>
        <w:pStyle w:val="Bibliography"/>
      </w:pPr>
      <w:r>
        <w:t xml:space="preserve">MEASURE DHS. (n.d.). </w:t>
      </w:r>
      <w:r>
        <w:rPr>
          <w:i/>
          <w:iCs/>
        </w:rPr>
        <w:t>Total fertility rate</w:t>
      </w:r>
      <w:r>
        <w:t xml:space="preserve"> [Indicator]. Retrieved March 23, 2021, from https://www.measureevaluation.org/prh/rh_indicators/family-planning/fertility/total-fertility-rate</w:t>
      </w:r>
    </w:p>
    <w:p w14:paraId="0017FAFB" w14:textId="77777777" w:rsidR="005F3A70" w:rsidRDefault="005F3A70" w:rsidP="005F3A70">
      <w:pPr>
        <w:pStyle w:val="Bibliography"/>
      </w:pPr>
      <w:r>
        <w:t xml:space="preserve">Mensch, B. S., Chuang, E. K., Melnikas, A. J., &amp; Psaki, S. R. (2019). Evidence for causal links between education and maternal and child health: Systematic review. </w:t>
      </w:r>
      <w:r>
        <w:rPr>
          <w:i/>
          <w:iCs/>
        </w:rPr>
        <w:t>Tropical Medicine &amp; International Health</w:t>
      </w:r>
      <w:r>
        <w:t xml:space="preserve">, </w:t>
      </w:r>
      <w:r>
        <w:rPr>
          <w:i/>
          <w:iCs/>
        </w:rPr>
        <w:t>24</w:t>
      </w:r>
      <w:r>
        <w:t>(5), 504–522. https://doi.org/10.1111/tmi.13218</w:t>
      </w:r>
    </w:p>
    <w:p w14:paraId="33040FB4" w14:textId="77777777" w:rsidR="005F3A70" w:rsidRDefault="005F3A70" w:rsidP="005F3A70">
      <w:pPr>
        <w:pStyle w:val="Bibliography"/>
      </w:pPr>
      <w:r>
        <w:t xml:space="preserve">Monstad, K., Propper, C., &amp; Salvanes, K. G. (2008). Education and Fertility: Evidence from a Natural Experiment. </w:t>
      </w:r>
      <w:r>
        <w:rPr>
          <w:i/>
          <w:iCs/>
        </w:rPr>
        <w:t>The Scandinavian Journal of Economics</w:t>
      </w:r>
      <w:r>
        <w:t xml:space="preserve">, </w:t>
      </w:r>
      <w:r>
        <w:rPr>
          <w:i/>
          <w:iCs/>
        </w:rPr>
        <w:t>110</w:t>
      </w:r>
      <w:r>
        <w:t>(4), 827–852.</w:t>
      </w:r>
    </w:p>
    <w:p w14:paraId="3DDB4B49" w14:textId="77777777" w:rsidR="005F3A70" w:rsidRDefault="005F3A70" w:rsidP="005F3A70">
      <w:pPr>
        <w:pStyle w:val="Bibliography"/>
      </w:pPr>
      <w:r>
        <w:t xml:space="preserve">Moore, M., Gould, P., &amp; Keary, B. S. (2002). Global urbanization and the impact on health. </w:t>
      </w:r>
      <w:r>
        <w:rPr>
          <w:i/>
          <w:iCs/>
        </w:rPr>
        <w:t>International Journal of Hygiene and Environmental Health</w:t>
      </w:r>
      <w:r>
        <w:t xml:space="preserve">, </w:t>
      </w:r>
      <w:r>
        <w:rPr>
          <w:i/>
          <w:iCs/>
        </w:rPr>
        <w:t>206</w:t>
      </w:r>
      <w:r>
        <w:t>, 269–278.</w:t>
      </w:r>
    </w:p>
    <w:p w14:paraId="20E4098C" w14:textId="77777777" w:rsidR="005F3A70" w:rsidRDefault="005F3A70" w:rsidP="005F3A70">
      <w:pPr>
        <w:pStyle w:val="Bibliography"/>
      </w:pPr>
      <w:r>
        <w:t xml:space="preserve">Morrow, V., &amp; Boyden, J. (2018). </w:t>
      </w:r>
      <w:r>
        <w:rPr>
          <w:i/>
          <w:iCs/>
        </w:rPr>
        <w:t>Responding to children’s work: Evidence from the Young Lives study in Ethiopia, India, Peru and Vietnam</w:t>
      </w:r>
      <w:r>
        <w:t xml:space="preserve"> (Summative Report. Oxford: Young Lives). https://www.younglives.org.uk/content/responding-childrens-work-evidence-young-lives-study-ethiopia-india-peru-and-vietnam</w:t>
      </w:r>
    </w:p>
    <w:p w14:paraId="674F0FBB" w14:textId="77777777" w:rsidR="005F3A70" w:rsidRDefault="005F3A70" w:rsidP="005F3A70">
      <w:pPr>
        <w:pStyle w:val="Bibliography"/>
      </w:pPr>
      <w:r>
        <w:t xml:space="preserve">Mwaikambo, L., Speizer, I. S., Schurmann, A., Morgan, G., &amp; Fikree, F. (2011). What Works in Family Planning Interventions: A Systematic Review. </w:t>
      </w:r>
      <w:r>
        <w:rPr>
          <w:i/>
          <w:iCs/>
        </w:rPr>
        <w:t>Studies in Family Planning</w:t>
      </w:r>
      <w:r>
        <w:t xml:space="preserve">, </w:t>
      </w:r>
      <w:r>
        <w:rPr>
          <w:i/>
          <w:iCs/>
        </w:rPr>
        <w:t>42</w:t>
      </w:r>
      <w:r>
        <w:t>(2), 67–82. https://doi.org/10.1111/j.1728-4465.2011.00267.x</w:t>
      </w:r>
    </w:p>
    <w:p w14:paraId="5F1B6AE6" w14:textId="77777777" w:rsidR="005F3A70" w:rsidRDefault="005F3A70" w:rsidP="005F3A70">
      <w:pPr>
        <w:pStyle w:val="Bibliography"/>
      </w:pPr>
      <w:r>
        <w:t xml:space="preserve">Olson, D., &amp; Piller, A. (2013). Ethiopia: An Emerging Family Planning Success Story. </w:t>
      </w:r>
      <w:r>
        <w:rPr>
          <w:i/>
          <w:iCs/>
        </w:rPr>
        <w:t>Studies in Family Planning</w:t>
      </w:r>
      <w:r>
        <w:t xml:space="preserve">, </w:t>
      </w:r>
      <w:r>
        <w:rPr>
          <w:i/>
          <w:iCs/>
        </w:rPr>
        <w:t>44</w:t>
      </w:r>
      <w:r>
        <w:t>, 445–459. https://doi.org/10.1111/j.1728-4465.2013.00369.x</w:t>
      </w:r>
    </w:p>
    <w:p w14:paraId="39E0DDF6" w14:textId="77777777" w:rsidR="005F3A70" w:rsidRDefault="005F3A70" w:rsidP="005F3A70">
      <w:pPr>
        <w:pStyle w:val="Bibliography"/>
      </w:pPr>
      <w:r>
        <w:t xml:space="preserve">Parsons, J., Edmeades, J., Kes, A., Petroni, S., Sexton, M., &amp; Wodon, Q. (2015). Economic Impacts of Child Marriage: A Review of the Literature. </w:t>
      </w:r>
      <w:r>
        <w:rPr>
          <w:i/>
          <w:iCs/>
        </w:rPr>
        <w:t>The Review of Faith &amp; International Affairs</w:t>
      </w:r>
      <w:r>
        <w:t xml:space="preserve">, </w:t>
      </w:r>
      <w:r>
        <w:rPr>
          <w:i/>
          <w:iCs/>
        </w:rPr>
        <w:t>13</w:t>
      </w:r>
      <w:r>
        <w:t>(3), 12–22. https://doi.org/10.1080/15570274.2015.1075757</w:t>
      </w:r>
    </w:p>
    <w:p w14:paraId="02AFE922" w14:textId="77777777" w:rsidR="005F3A70" w:rsidRDefault="005F3A70" w:rsidP="005F3A70">
      <w:pPr>
        <w:pStyle w:val="Bibliography"/>
      </w:pPr>
      <w:r>
        <w:t xml:space="preserve">Patrikar, S. R., Basannar, D. R., &amp; Seema Sharma, M. (2014). Women empowerment and use of contraception. </w:t>
      </w:r>
      <w:r>
        <w:rPr>
          <w:i/>
          <w:iCs/>
        </w:rPr>
        <w:t>Medical Journal Armed Forces India</w:t>
      </w:r>
      <w:r>
        <w:t xml:space="preserve">, </w:t>
      </w:r>
      <w:r>
        <w:rPr>
          <w:i/>
          <w:iCs/>
        </w:rPr>
        <w:t>70</w:t>
      </w:r>
      <w:r>
        <w:t>(3), 253–256. https://doi.org/10.1016/j.mjafi.2013.12.014</w:t>
      </w:r>
    </w:p>
    <w:p w14:paraId="318F6AC2" w14:textId="77777777" w:rsidR="005F3A70" w:rsidRDefault="005F3A70" w:rsidP="005F3A70">
      <w:pPr>
        <w:pStyle w:val="Bibliography"/>
      </w:pPr>
      <w:r>
        <w:t xml:space="preserve">Population Reference Bureau. (2013). </w:t>
      </w:r>
      <w:r>
        <w:rPr>
          <w:i/>
          <w:iCs/>
        </w:rPr>
        <w:t>United Nations Raises Projected World Population</w:t>
      </w:r>
      <w:r>
        <w:t>. https://www.prb.org/un-world-projections/</w:t>
      </w:r>
    </w:p>
    <w:p w14:paraId="65FF712A" w14:textId="77777777" w:rsidR="005F3A70" w:rsidRDefault="005F3A70" w:rsidP="005F3A70">
      <w:pPr>
        <w:pStyle w:val="Bibliography"/>
      </w:pPr>
      <w:r>
        <w:t xml:space="preserve">Population Reference Bureau. (2019). </w:t>
      </w:r>
      <w:r>
        <w:rPr>
          <w:i/>
          <w:iCs/>
        </w:rPr>
        <w:t>Myths, Misconceptions Still Discourage Use of Family Planning</w:t>
      </w:r>
      <w:r>
        <w:t>. https://www.prb.org/myths-misconceptions-still-discourage-use-of-family-planning/</w:t>
      </w:r>
    </w:p>
    <w:p w14:paraId="13A53D30" w14:textId="77777777" w:rsidR="005F3A70" w:rsidRDefault="005F3A70" w:rsidP="005F3A70">
      <w:pPr>
        <w:pStyle w:val="Bibliography"/>
      </w:pPr>
      <w:r>
        <w:t xml:space="preserve">Prata, N. (2009). Making family planning accessible in resource-poor settings. </w:t>
      </w:r>
      <w:r>
        <w:rPr>
          <w:i/>
          <w:iCs/>
        </w:rPr>
        <w:t>Philosophical Transactions of the Royal Society B: Biological Sciences</w:t>
      </w:r>
      <w:r>
        <w:t xml:space="preserve">, </w:t>
      </w:r>
      <w:r>
        <w:rPr>
          <w:i/>
          <w:iCs/>
        </w:rPr>
        <w:t>364</w:t>
      </w:r>
      <w:r>
        <w:t>(1532), 3093–3099. https://doi.org/10.1098/rstb.2009.0172</w:t>
      </w:r>
    </w:p>
    <w:p w14:paraId="4529279D" w14:textId="77777777" w:rsidR="005F3A70" w:rsidRDefault="005F3A70" w:rsidP="005F3A70">
      <w:pPr>
        <w:pStyle w:val="Bibliography"/>
      </w:pPr>
      <w:r>
        <w:t xml:space="preserve">Psaki, S. R., Chuang, E. K., Melnikas, A. J., Wilson, D. B., &amp; Mensch, B. S. (2019). Causal effects of education on sexual and reproductive health in low and middle-income countries: A systematic review and meta-analysis. </w:t>
      </w:r>
      <w:r>
        <w:rPr>
          <w:i/>
          <w:iCs/>
        </w:rPr>
        <w:t>SSM - Population Health</w:t>
      </w:r>
      <w:r>
        <w:t xml:space="preserve">, </w:t>
      </w:r>
      <w:r>
        <w:rPr>
          <w:i/>
          <w:iCs/>
        </w:rPr>
        <w:t>8</w:t>
      </w:r>
      <w:r>
        <w:t>, 100386. https://doi.org/10.1016/j.ssmph.2019.100386</w:t>
      </w:r>
    </w:p>
    <w:p w14:paraId="56E18F52" w14:textId="77777777" w:rsidR="005F3A70" w:rsidRDefault="005F3A70" w:rsidP="005F3A70">
      <w:pPr>
        <w:pStyle w:val="Bibliography"/>
      </w:pPr>
      <w:r>
        <w:t xml:space="preserve">Roberts, B. (1996). The Beijing Fourth World Conference on Women. </w:t>
      </w:r>
      <w:r>
        <w:rPr>
          <w:i/>
          <w:iCs/>
        </w:rPr>
        <w:t>The Canadian Journal of Sociology / Cahiers Canadiens de Sociologie</w:t>
      </w:r>
      <w:r>
        <w:t xml:space="preserve">, </w:t>
      </w:r>
      <w:r>
        <w:rPr>
          <w:i/>
          <w:iCs/>
        </w:rPr>
        <w:t>21</w:t>
      </w:r>
      <w:r>
        <w:t>(2), 237–244. https://doi.org/10.2307/3341979</w:t>
      </w:r>
    </w:p>
    <w:p w14:paraId="26441C1A" w14:textId="77777777" w:rsidR="005F3A70" w:rsidRDefault="005F3A70" w:rsidP="005F3A70">
      <w:pPr>
        <w:pStyle w:val="Bibliography"/>
      </w:pPr>
      <w:r>
        <w:t xml:space="preserve">Satterthwaite, D. (2009). The implications of population growth and urbanization for climate change. </w:t>
      </w:r>
      <w:r>
        <w:rPr>
          <w:i/>
          <w:iCs/>
        </w:rPr>
        <w:t>Environment and Urbanization</w:t>
      </w:r>
      <w:r>
        <w:t xml:space="preserve">, </w:t>
      </w:r>
      <w:r>
        <w:rPr>
          <w:i/>
          <w:iCs/>
        </w:rPr>
        <w:t>21</w:t>
      </w:r>
      <w:r>
        <w:t>(2), 545–567. https://doi.org/10.1177/0956247809344361</w:t>
      </w:r>
    </w:p>
    <w:p w14:paraId="1DF6C6B9" w14:textId="77777777" w:rsidR="005F3A70" w:rsidRDefault="005F3A70" w:rsidP="005F3A70">
      <w:pPr>
        <w:pStyle w:val="Bibliography"/>
      </w:pPr>
      <w:r>
        <w:t xml:space="preserve">Schuler, S. R., Hashemi, S. M., &amp; Jenkins, A. H. (1995). Bangladesh’s Family Planning Success Story: A Gender Perspective. </w:t>
      </w:r>
      <w:r>
        <w:rPr>
          <w:i/>
          <w:iCs/>
        </w:rPr>
        <w:t>International Family Planning Perspectives</w:t>
      </w:r>
      <w:r>
        <w:t xml:space="preserve">, </w:t>
      </w:r>
      <w:r>
        <w:rPr>
          <w:i/>
          <w:iCs/>
        </w:rPr>
        <w:t>21</w:t>
      </w:r>
      <w:r>
        <w:t>(4), 132. https://doi.org/10.2307/2133319</w:t>
      </w:r>
    </w:p>
    <w:p w14:paraId="1F32604E" w14:textId="77777777" w:rsidR="005F3A70" w:rsidRDefault="005F3A70" w:rsidP="005F3A70">
      <w:pPr>
        <w:pStyle w:val="Bibliography"/>
      </w:pPr>
      <w:r>
        <w:t xml:space="preserve">Scott, V. K., Gottschalk, L. B., Wright, K. Q., Twose, C., Bohren, M. A., Schmitt, M. E., &amp; Ortayli, N. (2015). Community Health Workers’ Provision of Family Planning Services in Low- and Middle-Income Countries: A Systematic Review of Effectiveness. </w:t>
      </w:r>
      <w:r>
        <w:rPr>
          <w:i/>
          <w:iCs/>
        </w:rPr>
        <w:t>Studies in Family Planning</w:t>
      </w:r>
      <w:r>
        <w:t xml:space="preserve">, </w:t>
      </w:r>
      <w:r>
        <w:rPr>
          <w:i/>
          <w:iCs/>
        </w:rPr>
        <w:t>46</w:t>
      </w:r>
      <w:r>
        <w:t>(3), 241–261.</w:t>
      </w:r>
    </w:p>
    <w:p w14:paraId="6AA5538B" w14:textId="77777777" w:rsidR="005F3A70" w:rsidRDefault="005F3A70" w:rsidP="005F3A70">
      <w:pPr>
        <w:pStyle w:val="Bibliography"/>
      </w:pPr>
      <w:r>
        <w:t xml:space="preserve">Shaw, D. J. (2007). International Conference on Population and Development, 1994. In D. J. Shaw (Ed.), </w:t>
      </w:r>
      <w:r>
        <w:rPr>
          <w:i/>
          <w:iCs/>
        </w:rPr>
        <w:t>World Food Security: A History since 1945</w:t>
      </w:r>
      <w:r>
        <w:t xml:space="preserve"> (pp. 321–327). Palgrave Macmillan UK. https://doi.org/10.1057/9780230589780_31</w:t>
      </w:r>
    </w:p>
    <w:p w14:paraId="6382F913" w14:textId="77777777" w:rsidR="005F3A70" w:rsidRDefault="005F3A70" w:rsidP="005F3A70">
      <w:pPr>
        <w:pStyle w:val="Bibliography"/>
      </w:pPr>
      <w:r>
        <w:t xml:space="preserve">Sohn, E. (2020). Strengthening society with contraception. </w:t>
      </w:r>
      <w:r>
        <w:rPr>
          <w:i/>
          <w:iCs/>
        </w:rPr>
        <w:t>Nature</w:t>
      </w:r>
      <w:r>
        <w:t xml:space="preserve">, </w:t>
      </w:r>
      <w:r>
        <w:rPr>
          <w:i/>
          <w:iCs/>
        </w:rPr>
        <w:t>588</w:t>
      </w:r>
      <w:r>
        <w:t>(7838), S162–S164. https://doi.org/10.1038/d41586-020-03530-8</w:t>
      </w:r>
    </w:p>
    <w:p w14:paraId="329A383A" w14:textId="77777777" w:rsidR="005F3A70" w:rsidRDefault="005F3A70" w:rsidP="005F3A70">
      <w:pPr>
        <w:pStyle w:val="Bibliography"/>
      </w:pPr>
      <w:r>
        <w:t xml:space="preserve">Solo, J., &amp; Festin, M. (2019). Provider Bias in Family Planning Services: A Review of Its Meaning and Manifestations. </w:t>
      </w:r>
      <w:r>
        <w:rPr>
          <w:i/>
          <w:iCs/>
        </w:rPr>
        <w:t>Global Health: Science and Practice</w:t>
      </w:r>
      <w:r>
        <w:t xml:space="preserve">, </w:t>
      </w:r>
      <w:r>
        <w:rPr>
          <w:i/>
          <w:iCs/>
        </w:rPr>
        <w:t>7</w:t>
      </w:r>
      <w:r>
        <w:t>(3), 371–385. https://doi.org/10.9745/GHSP-D-19-00130</w:t>
      </w:r>
    </w:p>
    <w:p w14:paraId="616BD93E" w14:textId="77777777" w:rsidR="005F3A70" w:rsidRDefault="005F3A70" w:rsidP="005F3A70">
      <w:pPr>
        <w:pStyle w:val="Bibliography"/>
      </w:pPr>
      <w:r>
        <w:t xml:space="preserve">Sommer, M., Caruso, B. A., Sahin, M., Calderon, T., Cavill, S., Mahon, T., &amp; Phillips-Howard, P. A. (2016). A Time for Global Action: Addressing Girls’ Menstrual Hygiene Management Needs in Schools. </w:t>
      </w:r>
      <w:r>
        <w:rPr>
          <w:i/>
          <w:iCs/>
        </w:rPr>
        <w:t>PLOS Medicine</w:t>
      </w:r>
      <w:r>
        <w:t xml:space="preserve">, </w:t>
      </w:r>
      <w:r>
        <w:rPr>
          <w:i/>
          <w:iCs/>
        </w:rPr>
        <w:t>13</w:t>
      </w:r>
      <w:r>
        <w:t>(2), e1001962. https://doi.org/10.1371/journal.pmed.1001962</w:t>
      </w:r>
    </w:p>
    <w:p w14:paraId="017A0701" w14:textId="77777777" w:rsidR="005F3A70" w:rsidRDefault="005F3A70" w:rsidP="005F3A70">
      <w:pPr>
        <w:pStyle w:val="Bibliography"/>
      </w:pPr>
      <w:r>
        <w:t xml:space="preserve">Sorokowski, P., Randall, A. K., Groyecka, A., Frackowiak, T., Cantarero, K., Hilpert, P., Ahmadi, K., Alghraibeh, A. M., Aryeetey, R., Bertoni, A., Bettache, K., Błażejewska, M., Bodenmann, G., Bortolini, T. S., Bosc, C., Butovskaya, M., Castro, F. N., Cetinkaya, H., Cunha, D., … Sorokowska, A. (2017). Marital Satisfaction, Sex, Age, Marriage Duration, Religion, Number of Children, Economic Status, Education, and Collectivistic Values: Data from 33 Countries. </w:t>
      </w:r>
      <w:r>
        <w:rPr>
          <w:i/>
          <w:iCs/>
        </w:rPr>
        <w:t>Frontiers in Psychology</w:t>
      </w:r>
      <w:r>
        <w:t xml:space="preserve">, </w:t>
      </w:r>
      <w:r>
        <w:rPr>
          <w:i/>
          <w:iCs/>
        </w:rPr>
        <w:t>8</w:t>
      </w:r>
      <w:r>
        <w:t>. https://doi.org/10.3389/fpsyg.2017.01199</w:t>
      </w:r>
    </w:p>
    <w:p w14:paraId="416B5EEC" w14:textId="77777777" w:rsidR="005F3A70" w:rsidRDefault="005F3A70" w:rsidP="005F3A70">
      <w:pPr>
        <w:pStyle w:val="Bibliography"/>
      </w:pPr>
      <w:r>
        <w:t xml:space="preserve">Sridhar, K. S. (2015). Is Urban Poverty More Challenging than Rural Poverty? A Review. </w:t>
      </w:r>
      <w:r>
        <w:rPr>
          <w:i/>
          <w:iCs/>
        </w:rPr>
        <w:t>Environment and Urbanization ASIA</w:t>
      </w:r>
      <w:r>
        <w:t xml:space="preserve">, </w:t>
      </w:r>
      <w:r>
        <w:rPr>
          <w:i/>
          <w:iCs/>
        </w:rPr>
        <w:t>6</w:t>
      </w:r>
      <w:r>
        <w:t>(2), 95–108. https://doi.org/10.1177/0975425315589159</w:t>
      </w:r>
    </w:p>
    <w:p w14:paraId="4F2547FF" w14:textId="77777777" w:rsidR="005F3A70" w:rsidRDefault="005F3A70" w:rsidP="005F3A70">
      <w:pPr>
        <w:pStyle w:val="Bibliography"/>
      </w:pPr>
      <w:r>
        <w:t xml:space="preserve">Starbird, E., Norton, M., &amp; Marcus, R. (2016). Investing in Family Planning: Key to Achieving the Sustainable Development Goals. </w:t>
      </w:r>
      <w:r>
        <w:rPr>
          <w:i/>
          <w:iCs/>
        </w:rPr>
        <w:t>Global Health: Science and Practice</w:t>
      </w:r>
      <w:r>
        <w:t xml:space="preserve">, </w:t>
      </w:r>
      <w:r>
        <w:rPr>
          <w:i/>
          <w:iCs/>
        </w:rPr>
        <w:t>4</w:t>
      </w:r>
      <w:r>
        <w:t>(2), 191–210. https://doi.org/10.9745/GHSP-D-15-00374</w:t>
      </w:r>
    </w:p>
    <w:p w14:paraId="6447D2C8" w14:textId="77777777" w:rsidR="005F3A70" w:rsidRDefault="005F3A70" w:rsidP="005F3A70">
      <w:pPr>
        <w:pStyle w:val="Bibliography"/>
      </w:pPr>
      <w:r>
        <w:t xml:space="preserve">Subbarao, K., &amp; Raney, L. (1993). </w:t>
      </w:r>
      <w:r>
        <w:rPr>
          <w:i/>
          <w:iCs/>
        </w:rPr>
        <w:t>Social gains from female education: A cross-national study</w:t>
      </w:r>
      <w:r>
        <w:t>. The World Bank. https://doi.org/10.1596/0-8213-2387-3</w:t>
      </w:r>
    </w:p>
    <w:p w14:paraId="326E37FF" w14:textId="77777777" w:rsidR="005F3A70" w:rsidRDefault="005F3A70" w:rsidP="005F3A70">
      <w:pPr>
        <w:pStyle w:val="Bibliography"/>
      </w:pPr>
      <w:r>
        <w:t xml:space="preserve">Tilak, J. B. G. (2002). Education and Poverty. </w:t>
      </w:r>
      <w:r>
        <w:rPr>
          <w:i/>
          <w:iCs/>
        </w:rPr>
        <w:t>Journal of Human Development</w:t>
      </w:r>
      <w:r>
        <w:t xml:space="preserve">, </w:t>
      </w:r>
      <w:r>
        <w:rPr>
          <w:i/>
          <w:iCs/>
        </w:rPr>
        <w:t>3</w:t>
      </w:r>
      <w:r>
        <w:t>(2), 191–207. https://doi.org/10.1080/14649880220147301</w:t>
      </w:r>
    </w:p>
    <w:p w14:paraId="4966F659" w14:textId="77777777" w:rsidR="005F3A70" w:rsidRDefault="005F3A70" w:rsidP="005F3A70">
      <w:pPr>
        <w:pStyle w:val="Bibliography"/>
      </w:pPr>
      <w:r>
        <w:t xml:space="preserve">UN. (n.d.). Sustainable Development Goal 1: End poverty in all its forms everywhere. </w:t>
      </w:r>
      <w:r>
        <w:rPr>
          <w:i/>
          <w:iCs/>
        </w:rPr>
        <w:t>United Nations Sustainable Development</w:t>
      </w:r>
      <w:r>
        <w:t>. Retrieved April 30, 2021, from https://www.un.org/sustainabledevelopment/poverty/</w:t>
      </w:r>
    </w:p>
    <w:p w14:paraId="0E057D77" w14:textId="77777777" w:rsidR="005F3A70" w:rsidRDefault="005F3A70" w:rsidP="005F3A70">
      <w:pPr>
        <w:pStyle w:val="Bibliography"/>
      </w:pPr>
      <w:r>
        <w:t xml:space="preserve">UN. (2015). </w:t>
      </w:r>
      <w:r>
        <w:rPr>
          <w:i/>
          <w:iCs/>
        </w:rPr>
        <w:t>Sustainable Development Goal 4: Ensure inclusive and equitable quality education and promote lifelong learning opportunities for all</w:t>
      </w:r>
      <w:r>
        <w:t>. https://sdgs.un.org/goals/goal4</w:t>
      </w:r>
    </w:p>
    <w:p w14:paraId="03AAFC80" w14:textId="77777777" w:rsidR="005F3A70" w:rsidRDefault="005F3A70" w:rsidP="005F3A70">
      <w:pPr>
        <w:pStyle w:val="Bibliography"/>
      </w:pPr>
      <w:r>
        <w:t xml:space="preserve">UNESCO. (2015). </w:t>
      </w:r>
      <w:r>
        <w:rPr>
          <w:i/>
          <w:iCs/>
        </w:rPr>
        <w:t>Education for All 2000-2015: Achievements and challenges</w:t>
      </w:r>
      <w:r>
        <w:t xml:space="preserve"> (Global Education Monitoring Report).</w:t>
      </w:r>
    </w:p>
    <w:p w14:paraId="51A56BCD" w14:textId="77777777" w:rsidR="005F3A70" w:rsidRDefault="005F3A70" w:rsidP="005F3A70">
      <w:pPr>
        <w:pStyle w:val="Bibliography"/>
      </w:pPr>
      <w:r>
        <w:t xml:space="preserve">UNESCO. (2016). </w:t>
      </w:r>
      <w:r>
        <w:rPr>
          <w:i/>
          <w:iCs/>
        </w:rPr>
        <w:t>Education for people and planet: Creating sustainable futures for all</w:t>
      </w:r>
      <w:r>
        <w:t xml:space="preserve"> (Global Education Monitoring Report). https://unesdoc.unesco.org/ark:/48223/pf0000245752</w:t>
      </w:r>
    </w:p>
    <w:p w14:paraId="5225853E" w14:textId="77777777" w:rsidR="005F3A70" w:rsidRDefault="005F3A70" w:rsidP="005F3A70">
      <w:pPr>
        <w:pStyle w:val="Bibliography"/>
      </w:pPr>
      <w:r>
        <w:t xml:space="preserve">UNESCO. (2020). </w:t>
      </w:r>
      <w:r>
        <w:rPr>
          <w:i/>
          <w:iCs/>
        </w:rPr>
        <w:t>Inclusion and Education | Global Education Monitoring Report</w:t>
      </w:r>
      <w:r>
        <w:t>. https://en.unesco.org/gem-report/report/2020/inclusion</w:t>
      </w:r>
    </w:p>
    <w:p w14:paraId="04757956" w14:textId="77777777" w:rsidR="005F3A70" w:rsidRDefault="005F3A70" w:rsidP="005F3A70">
      <w:pPr>
        <w:pStyle w:val="Bibliography"/>
      </w:pPr>
      <w:r>
        <w:t xml:space="preserve">UNFPA. (2016). </w:t>
      </w:r>
      <w:r>
        <w:rPr>
          <w:i/>
          <w:iCs/>
        </w:rPr>
        <w:t>Demographic dividend</w:t>
      </w:r>
      <w:r>
        <w:t>. https://www.unfpa.org/demographic-dividend</w:t>
      </w:r>
    </w:p>
    <w:p w14:paraId="29BC9B9B" w14:textId="77777777" w:rsidR="005F3A70" w:rsidRDefault="005F3A70" w:rsidP="005F3A70">
      <w:pPr>
        <w:pStyle w:val="Bibliography"/>
      </w:pPr>
      <w:r>
        <w:t xml:space="preserve">United Nations. (2015). </w:t>
      </w:r>
      <w:r>
        <w:rPr>
          <w:i/>
          <w:iCs/>
        </w:rPr>
        <w:t>Women...In The Shadow of Climate Change | United Nations</w:t>
      </w:r>
      <w:r>
        <w:t>. https://www.un.org/en/chronicle/article/womenin-shadow-climate-change</w:t>
      </w:r>
    </w:p>
    <w:p w14:paraId="43AA4819" w14:textId="77777777" w:rsidR="005F3A70" w:rsidRDefault="005F3A70" w:rsidP="005F3A70">
      <w:pPr>
        <w:pStyle w:val="Bibliography"/>
      </w:pPr>
      <w:r>
        <w:t xml:space="preserve">United Nations. (2019). </w:t>
      </w:r>
      <w:r>
        <w:rPr>
          <w:i/>
          <w:iCs/>
        </w:rPr>
        <w:t>Contraceptive Use by Method 2019</w:t>
      </w:r>
      <w:r>
        <w:t>. UN. https://doi.org/10.18356/1bd58a10-en</w:t>
      </w:r>
    </w:p>
    <w:p w14:paraId="769CC929" w14:textId="77777777" w:rsidR="005F3A70" w:rsidRDefault="005F3A70" w:rsidP="005F3A70">
      <w:pPr>
        <w:pStyle w:val="Bibliography"/>
      </w:pPr>
      <w:r>
        <w:t xml:space="preserve">United Nations. (2020). Gender equality and women’s empowerment. </w:t>
      </w:r>
      <w:r>
        <w:rPr>
          <w:i/>
          <w:iCs/>
        </w:rPr>
        <w:t>United Nations Sustainable Development</w:t>
      </w:r>
      <w:r>
        <w:t>. https://www.un.org/sustainabledevelopment/gender-equality/</w:t>
      </w:r>
    </w:p>
    <w:p w14:paraId="77DE212D" w14:textId="77777777" w:rsidR="005F3A70" w:rsidRDefault="005F3A70" w:rsidP="005F3A70">
      <w:pPr>
        <w:pStyle w:val="Bibliography"/>
      </w:pPr>
      <w:r>
        <w:t xml:space="preserve">United Nations Department of Economic and Social Affairs, Population Division. (2020). </w:t>
      </w:r>
      <w:r>
        <w:rPr>
          <w:i/>
          <w:iCs/>
        </w:rPr>
        <w:t>World fertility and family planning 2020: Highlights.</w:t>
      </w:r>
    </w:p>
    <w:p w14:paraId="1FABC225" w14:textId="77777777" w:rsidR="005F3A70" w:rsidRDefault="005F3A70" w:rsidP="005F3A70">
      <w:pPr>
        <w:pStyle w:val="Bibliography"/>
      </w:pPr>
      <w:r>
        <w:t xml:space="preserve">United Nations Population Division. (2019). </w:t>
      </w:r>
      <w:r>
        <w:rPr>
          <w:i/>
          <w:iCs/>
        </w:rPr>
        <w:t>World Population Prospects 2019: Methodology of the United Nations population estimates and projections</w:t>
      </w:r>
      <w:r>
        <w:t>. 61.</w:t>
      </w:r>
    </w:p>
    <w:p w14:paraId="1B43D697" w14:textId="77777777" w:rsidR="005F3A70" w:rsidRDefault="005F3A70" w:rsidP="005F3A70">
      <w:pPr>
        <w:pStyle w:val="Bibliography"/>
      </w:pPr>
      <w:r>
        <w:t xml:space="preserve">United Nations Population Division. (2021). </w:t>
      </w:r>
      <w:r>
        <w:rPr>
          <w:i/>
          <w:iCs/>
        </w:rPr>
        <w:t>World Population Prospects</w:t>
      </w:r>
      <w:r>
        <w:t>. https://population.un.org/wpp/Download/Standard/Population/</w:t>
      </w:r>
    </w:p>
    <w:p w14:paraId="148C2DD5" w14:textId="77777777" w:rsidR="005F3A70" w:rsidRDefault="005F3A70" w:rsidP="005F3A70">
      <w:pPr>
        <w:pStyle w:val="Bibliography"/>
      </w:pPr>
      <w:r>
        <w:t xml:space="preserve">van Maarseveen, R. (2020). The urban–rural education gap: Do cities indeed make us smarter?*. </w:t>
      </w:r>
      <w:r>
        <w:rPr>
          <w:i/>
          <w:iCs/>
        </w:rPr>
        <w:t>Journal of Economic Geography</w:t>
      </w:r>
      <w:r>
        <w:t xml:space="preserve">, </w:t>
      </w:r>
      <w:r>
        <w:rPr>
          <w:i/>
          <w:iCs/>
        </w:rPr>
        <w:t>lbaa033</w:t>
      </w:r>
      <w:r>
        <w:t>. https://doi.org/10.1093/jeg/lbaa033</w:t>
      </w:r>
    </w:p>
    <w:p w14:paraId="60C70916" w14:textId="77777777" w:rsidR="005F3A70" w:rsidRDefault="005F3A70" w:rsidP="005F3A70">
      <w:pPr>
        <w:pStyle w:val="Bibliography"/>
      </w:pPr>
      <w:r>
        <w:t xml:space="preserve">Walter, L. F., Marisa Azul, A., Brandli, L., Lange Salvia, A., &amp; Wall, T. (Eds.). (2021). </w:t>
      </w:r>
      <w:r>
        <w:rPr>
          <w:i/>
          <w:iCs/>
        </w:rPr>
        <w:t>Gender Equality</w:t>
      </w:r>
      <w:r>
        <w:t>. Springer International Publishing. https://doi.org/10.1007/978-3-319-95687-9</w:t>
      </w:r>
    </w:p>
    <w:p w14:paraId="4EB4807C" w14:textId="77777777" w:rsidR="005F3A70" w:rsidRDefault="005F3A70" w:rsidP="005F3A70">
      <w:pPr>
        <w:pStyle w:val="Bibliography"/>
      </w:pPr>
      <w:r>
        <w:t xml:space="preserve">Wickrama, K. A. S., &amp; Lorenz, F. (2009). Women’s Status, Fertility Decline, and Women’s Health in Developing Countries: Direct and Indirect Influences of Social Status on Health. </w:t>
      </w:r>
      <w:r>
        <w:rPr>
          <w:i/>
          <w:iCs/>
        </w:rPr>
        <w:t>Rural Sociologu</w:t>
      </w:r>
      <w:r>
        <w:t>. https://onlinelibrary.wiley.com/doi/abs/10.1111/j.1549-0831.2002.tb00103.x</w:t>
      </w:r>
    </w:p>
    <w:p w14:paraId="7DB1F9AC" w14:textId="77777777" w:rsidR="005F3A70" w:rsidRDefault="005F3A70" w:rsidP="005F3A70">
      <w:pPr>
        <w:pStyle w:val="Bibliography"/>
      </w:pPr>
      <w:r>
        <w:t xml:space="preserve">World Health Organization. (2020). </w:t>
      </w:r>
      <w:r>
        <w:rPr>
          <w:i/>
          <w:iCs/>
        </w:rPr>
        <w:t>Family planning/contraception methods</w:t>
      </w:r>
      <w:r>
        <w:t>. https://www.who.int/news-room/fact-sheets/detail/family-planning-contraception</w:t>
      </w:r>
    </w:p>
    <w:p w14:paraId="11597DF8" w14:textId="27ED1417" w:rsidR="00CD272A" w:rsidRPr="00BA3289" w:rsidRDefault="006248E6" w:rsidP="00EB33BF">
      <w:pPr>
        <w:spacing w:after="0" w:line="240" w:lineRule="auto"/>
        <w:rPr>
          <w:rFonts w:asciiTheme="majorHAnsi" w:hAnsiTheme="majorHAnsi"/>
          <w:bCs/>
        </w:rPr>
      </w:pPr>
      <w:r>
        <w:fldChar w:fldCharType="end"/>
      </w:r>
    </w:p>
    <w:p w14:paraId="5EDE8A54" w14:textId="04731927" w:rsidR="00377DC6" w:rsidRDefault="00377DC6" w:rsidP="00377DC6">
      <w:pPr>
        <w:spacing w:after="0"/>
        <w:rPr>
          <w:bCs/>
        </w:rPr>
      </w:pPr>
    </w:p>
    <w:p w14:paraId="1A6DA7B6" w14:textId="77777777" w:rsidR="00377DC6" w:rsidRDefault="00377DC6" w:rsidP="00377DC6">
      <w:pPr>
        <w:spacing w:after="0"/>
        <w:rPr>
          <w:bCs/>
        </w:rPr>
      </w:pPr>
    </w:p>
    <w:p w14:paraId="55DA6C68" w14:textId="69ECACB6" w:rsidR="00A872AB" w:rsidRDefault="00A872AB">
      <w:pPr>
        <w:rPr>
          <w:bCs/>
        </w:rPr>
      </w:pPr>
      <w:r>
        <w:rPr>
          <w:bCs/>
        </w:rPr>
        <w:br w:type="page"/>
      </w:r>
    </w:p>
    <w:p w14:paraId="797DAAC3" w14:textId="3E861E0F" w:rsidR="00A43B77" w:rsidRPr="00BA3289" w:rsidRDefault="00A43B77" w:rsidP="00A43B77">
      <w:pPr>
        <w:pStyle w:val="Heading1"/>
        <w:pBdr>
          <w:bottom w:val="single" w:sz="4" w:space="3" w:color="595959" w:themeColor="text1" w:themeTint="A6"/>
        </w:pBdr>
        <w:spacing w:before="0" w:after="0" w:line="240" w:lineRule="auto"/>
        <w:ind w:left="0"/>
      </w:pPr>
      <w:bookmarkStart w:id="87" w:name="_Toc74154074"/>
      <w:r>
        <w:t>Appendix</w:t>
      </w:r>
      <w:bookmarkEnd w:id="87"/>
    </w:p>
    <w:p w14:paraId="42DB4B2A" w14:textId="41F396DD" w:rsidR="00650CC0" w:rsidRDefault="00650CC0" w:rsidP="00A43B77">
      <w:pPr>
        <w:spacing w:after="0"/>
        <w:rPr>
          <w:rFonts w:asciiTheme="majorHAnsi" w:hAnsiTheme="majorHAnsi"/>
          <w:bCs/>
        </w:rPr>
      </w:pPr>
    </w:p>
    <w:p w14:paraId="55CA718D" w14:textId="77777777" w:rsidR="000E68E0" w:rsidRDefault="000E68E0" w:rsidP="000E68E0">
      <w:pPr>
        <w:spacing w:after="0"/>
        <w:rPr>
          <w:rFonts w:asciiTheme="majorHAnsi" w:hAnsiTheme="majorHAnsi"/>
          <w:b/>
          <w:bCs/>
        </w:rPr>
      </w:pPr>
    </w:p>
    <w:p w14:paraId="7C7D3B11" w14:textId="5145D192" w:rsidR="00CA2E08" w:rsidRDefault="00CA2E08" w:rsidP="000E68E0">
      <w:pPr>
        <w:spacing w:after="0"/>
        <w:rPr>
          <w:rFonts w:asciiTheme="majorHAnsi" w:hAnsiTheme="majorHAnsi"/>
          <w:bCs/>
        </w:rPr>
      </w:pPr>
    </w:p>
    <w:p w14:paraId="5ECE3CEE" w14:textId="77777777" w:rsidR="00E63661" w:rsidRDefault="00E63661" w:rsidP="000E68E0">
      <w:pPr>
        <w:spacing w:after="0"/>
        <w:rPr>
          <w:rFonts w:asciiTheme="majorHAnsi" w:hAnsiTheme="majorHAnsi"/>
          <w:bCs/>
        </w:rPr>
      </w:pPr>
    </w:p>
    <w:p w14:paraId="697744BD" w14:textId="77777777" w:rsidR="000D44BC" w:rsidRDefault="000D44BC" w:rsidP="00A43B77">
      <w:pPr>
        <w:spacing w:after="0"/>
        <w:rPr>
          <w:rFonts w:asciiTheme="majorHAnsi" w:hAnsiTheme="majorHAnsi"/>
          <w:b/>
          <w:bCs/>
        </w:rPr>
      </w:pPr>
    </w:p>
    <w:p w14:paraId="6ABB65A9" w14:textId="48C9E9E2" w:rsidR="002E1F7C" w:rsidRPr="0077254D" w:rsidRDefault="002E1F7C" w:rsidP="00B144E5">
      <w:pPr>
        <w:spacing w:after="0"/>
        <w:rPr>
          <w:rFonts w:cs="Arial"/>
          <w:bCs/>
          <w:sz w:val="18"/>
          <w:szCs w:val="18"/>
        </w:rPr>
      </w:pPr>
    </w:p>
    <w:p w14:paraId="3237F5D6" w14:textId="654DACA3" w:rsidR="002E1F7C" w:rsidRDefault="002E1F7C" w:rsidP="00B144E5">
      <w:pPr>
        <w:spacing w:after="0"/>
        <w:rPr>
          <w:bCs/>
        </w:rPr>
      </w:pPr>
    </w:p>
    <w:p w14:paraId="27DEECBC" w14:textId="1B4DEC8C" w:rsidR="002E1F7C" w:rsidRDefault="002E1F7C" w:rsidP="00B144E5">
      <w:pPr>
        <w:spacing w:after="0"/>
        <w:rPr>
          <w:bCs/>
        </w:rPr>
      </w:pPr>
    </w:p>
    <w:p w14:paraId="2E2CA18B" w14:textId="77777777" w:rsidR="002E1F7C" w:rsidRDefault="002E1F7C" w:rsidP="00B144E5">
      <w:pPr>
        <w:spacing w:after="0"/>
        <w:rPr>
          <w:bCs/>
        </w:rPr>
      </w:pPr>
    </w:p>
    <w:p w14:paraId="013E22A6" w14:textId="77777777" w:rsidR="002E1F7C" w:rsidRDefault="002E1F7C" w:rsidP="00B144E5">
      <w:pPr>
        <w:spacing w:after="0"/>
        <w:rPr>
          <w:bCs/>
        </w:rPr>
      </w:pPr>
    </w:p>
    <w:p w14:paraId="47C3E2EA" w14:textId="77777777" w:rsidR="002E1F7C" w:rsidRDefault="002E1F7C" w:rsidP="00B144E5">
      <w:pPr>
        <w:spacing w:after="0"/>
        <w:rPr>
          <w:bCs/>
        </w:rPr>
      </w:pPr>
    </w:p>
    <w:p w14:paraId="40E51615" w14:textId="77777777" w:rsidR="002E1F7C" w:rsidRDefault="002E1F7C" w:rsidP="0001127B">
      <w:pPr>
        <w:spacing w:after="0"/>
        <w:jc w:val="right"/>
        <w:rPr>
          <w:bCs/>
        </w:rPr>
      </w:pPr>
    </w:p>
    <w:p w14:paraId="2F8CF839" w14:textId="77777777" w:rsidR="002E1F7C" w:rsidRDefault="002E1F7C" w:rsidP="00B144E5">
      <w:pPr>
        <w:spacing w:after="0"/>
        <w:rPr>
          <w:bCs/>
        </w:rPr>
      </w:pPr>
    </w:p>
    <w:p w14:paraId="4E1B7F51" w14:textId="77777777" w:rsidR="002E1F7C" w:rsidRDefault="002E1F7C" w:rsidP="00B144E5">
      <w:pPr>
        <w:spacing w:after="0"/>
        <w:rPr>
          <w:bCs/>
        </w:rPr>
      </w:pPr>
    </w:p>
    <w:p w14:paraId="0FF033C0" w14:textId="77777777" w:rsidR="002E1F7C" w:rsidRDefault="002E1F7C" w:rsidP="00B144E5">
      <w:pPr>
        <w:spacing w:after="0"/>
        <w:rPr>
          <w:bCs/>
        </w:rPr>
      </w:pPr>
    </w:p>
    <w:p w14:paraId="0CFE00C1" w14:textId="77777777" w:rsidR="002E1F7C" w:rsidRDefault="002E1F7C" w:rsidP="00B144E5">
      <w:pPr>
        <w:spacing w:after="0"/>
        <w:rPr>
          <w:bCs/>
        </w:rPr>
      </w:pPr>
    </w:p>
    <w:p w14:paraId="076FA1D7" w14:textId="78B47D3D" w:rsidR="002E1F7C" w:rsidRDefault="0001127B" w:rsidP="0001127B">
      <w:pPr>
        <w:tabs>
          <w:tab w:val="left" w:pos="1120"/>
        </w:tabs>
        <w:spacing w:after="0"/>
        <w:rPr>
          <w:bCs/>
        </w:rPr>
      </w:pPr>
      <w:r>
        <w:rPr>
          <w:bCs/>
        </w:rPr>
        <w:tab/>
      </w:r>
    </w:p>
    <w:p w14:paraId="60A071A5" w14:textId="77777777" w:rsidR="002E1F7C" w:rsidRDefault="002E1F7C" w:rsidP="00B144E5">
      <w:pPr>
        <w:spacing w:after="0"/>
        <w:rPr>
          <w:bCs/>
        </w:rPr>
      </w:pPr>
    </w:p>
    <w:p w14:paraId="0634BE28" w14:textId="77777777" w:rsidR="002E1F7C" w:rsidRDefault="002E1F7C" w:rsidP="00B144E5">
      <w:pPr>
        <w:spacing w:after="0"/>
        <w:rPr>
          <w:bCs/>
        </w:rPr>
      </w:pPr>
    </w:p>
    <w:p w14:paraId="306FB7A2" w14:textId="77777777" w:rsidR="002E1F7C" w:rsidRDefault="002E1F7C" w:rsidP="00B144E5">
      <w:pPr>
        <w:spacing w:after="0"/>
        <w:rPr>
          <w:bCs/>
        </w:rPr>
      </w:pPr>
    </w:p>
    <w:p w14:paraId="48E4970B" w14:textId="77777777" w:rsidR="002E1F7C" w:rsidRDefault="002E1F7C" w:rsidP="00B144E5">
      <w:pPr>
        <w:spacing w:after="0"/>
        <w:rPr>
          <w:bCs/>
        </w:rPr>
      </w:pPr>
    </w:p>
    <w:p w14:paraId="04836EFF" w14:textId="77777777" w:rsidR="002E1F7C" w:rsidRDefault="002E1F7C" w:rsidP="00B144E5">
      <w:pPr>
        <w:spacing w:after="0"/>
        <w:rPr>
          <w:bCs/>
        </w:rPr>
      </w:pPr>
    </w:p>
    <w:p w14:paraId="4145D2A0" w14:textId="77777777" w:rsidR="002E1F7C" w:rsidRDefault="002E1F7C" w:rsidP="00B144E5">
      <w:pPr>
        <w:spacing w:after="0"/>
        <w:rPr>
          <w:bCs/>
        </w:rPr>
      </w:pPr>
    </w:p>
    <w:p w14:paraId="2EAE217D" w14:textId="77777777" w:rsidR="002E1F7C" w:rsidRDefault="002E1F7C" w:rsidP="00B144E5">
      <w:pPr>
        <w:spacing w:after="0"/>
        <w:rPr>
          <w:bCs/>
        </w:rPr>
      </w:pPr>
    </w:p>
    <w:p w14:paraId="69477852" w14:textId="77777777" w:rsidR="002E1F7C" w:rsidRDefault="002E1F7C" w:rsidP="00B144E5">
      <w:pPr>
        <w:spacing w:after="0"/>
        <w:rPr>
          <w:bCs/>
        </w:rPr>
      </w:pPr>
    </w:p>
    <w:p w14:paraId="75DFDFAA" w14:textId="77777777" w:rsidR="002E1F7C" w:rsidRDefault="002E1F7C" w:rsidP="00B144E5">
      <w:pPr>
        <w:spacing w:after="0"/>
        <w:rPr>
          <w:bCs/>
        </w:rPr>
      </w:pPr>
    </w:p>
    <w:p w14:paraId="289482F5" w14:textId="0E51B378" w:rsidR="002E1F7C" w:rsidRDefault="002E1F7C" w:rsidP="00B144E5">
      <w:pPr>
        <w:spacing w:after="0"/>
        <w:rPr>
          <w:bCs/>
        </w:rPr>
      </w:pPr>
    </w:p>
    <w:p w14:paraId="6470B0C4" w14:textId="77777777" w:rsidR="002E1F7C" w:rsidRDefault="002E1F7C" w:rsidP="00B144E5">
      <w:pPr>
        <w:spacing w:after="0"/>
        <w:rPr>
          <w:bCs/>
        </w:rPr>
      </w:pPr>
    </w:p>
    <w:p w14:paraId="523A3F25" w14:textId="57A14FBB" w:rsidR="002E1F7C" w:rsidRDefault="002E1F7C" w:rsidP="00B144E5">
      <w:pPr>
        <w:spacing w:after="0"/>
        <w:rPr>
          <w:bCs/>
        </w:rPr>
      </w:pPr>
    </w:p>
    <w:p w14:paraId="45391DD0" w14:textId="312E125B" w:rsidR="00A43B77" w:rsidRDefault="00A43B77" w:rsidP="00B144E5">
      <w:pPr>
        <w:spacing w:after="0"/>
        <w:rPr>
          <w:bCs/>
        </w:rPr>
      </w:pPr>
    </w:p>
    <w:p w14:paraId="3B398C3B" w14:textId="6A0A19A6" w:rsidR="00A43B77" w:rsidRDefault="00A43B77" w:rsidP="00B144E5">
      <w:pPr>
        <w:spacing w:after="0"/>
        <w:rPr>
          <w:bCs/>
        </w:rPr>
      </w:pPr>
    </w:p>
    <w:p w14:paraId="10B5CDFF" w14:textId="19407EC0" w:rsidR="00A43B77" w:rsidRDefault="00A43B77" w:rsidP="00A43B77">
      <w:pPr>
        <w:spacing w:after="0"/>
        <w:rPr>
          <w:bCs/>
        </w:rPr>
      </w:pPr>
    </w:p>
    <w:p w14:paraId="56A59324" w14:textId="77777777" w:rsidR="002E1F7C" w:rsidRDefault="002E1F7C" w:rsidP="00A43B77">
      <w:pPr>
        <w:spacing w:after="0"/>
        <w:rPr>
          <w:bCs/>
        </w:rPr>
      </w:pPr>
    </w:p>
    <w:p w14:paraId="290A9D3A" w14:textId="77777777" w:rsidR="002E1F7C" w:rsidRDefault="002E1F7C" w:rsidP="00A43B77">
      <w:pPr>
        <w:spacing w:after="0"/>
        <w:rPr>
          <w:bCs/>
        </w:rPr>
      </w:pPr>
    </w:p>
    <w:p w14:paraId="173E890C" w14:textId="77777777" w:rsidR="002E1F7C" w:rsidRDefault="002E1F7C" w:rsidP="00A43B77">
      <w:pPr>
        <w:spacing w:after="0"/>
        <w:rPr>
          <w:bCs/>
        </w:rPr>
      </w:pPr>
    </w:p>
    <w:p w14:paraId="551C5611" w14:textId="77777777" w:rsidR="002E1F7C" w:rsidRDefault="002E1F7C" w:rsidP="00A43B77">
      <w:pPr>
        <w:spacing w:after="0"/>
        <w:rPr>
          <w:bCs/>
        </w:rPr>
      </w:pPr>
    </w:p>
    <w:p w14:paraId="3B1EB9AB" w14:textId="77777777" w:rsidR="002E1F7C" w:rsidRPr="00A43B77" w:rsidRDefault="002E1F7C" w:rsidP="00A43B77">
      <w:pPr>
        <w:spacing w:after="0"/>
        <w:rPr>
          <w:bCs/>
        </w:rPr>
      </w:pPr>
    </w:p>
    <w:p w14:paraId="29C57AD8" w14:textId="4311C05D" w:rsidR="00A43B77" w:rsidRPr="00B144E5" w:rsidRDefault="00A43B77" w:rsidP="00B144E5">
      <w:pPr>
        <w:spacing w:after="0"/>
        <w:rPr>
          <w:bCs/>
        </w:rPr>
      </w:pPr>
    </w:p>
    <w:sectPr w:rsidR="00A43B77" w:rsidRPr="00B144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8C05" w14:textId="77777777" w:rsidR="00AC466B" w:rsidRDefault="00AC466B" w:rsidP="00D26F59">
      <w:pPr>
        <w:spacing w:after="0" w:line="240" w:lineRule="auto"/>
      </w:pPr>
      <w:r>
        <w:separator/>
      </w:r>
    </w:p>
  </w:endnote>
  <w:endnote w:type="continuationSeparator" w:id="0">
    <w:p w14:paraId="31829AA9" w14:textId="77777777" w:rsidR="00AC466B" w:rsidRDefault="00AC466B" w:rsidP="00D2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0B30F1" w:rsidRDefault="000B30F1"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0B30F1" w:rsidRDefault="000B30F1"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0AAB" w14:textId="2CB85F15" w:rsidR="000B30F1" w:rsidRDefault="000B30F1"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3A70">
      <w:rPr>
        <w:rStyle w:val="PageNumber"/>
        <w:noProof/>
      </w:rPr>
      <w:t>5</w:t>
    </w:r>
    <w:r>
      <w:rPr>
        <w:rStyle w:val="PageNumber"/>
      </w:rPr>
      <w:fldChar w:fldCharType="end"/>
    </w:r>
  </w:p>
  <w:p w14:paraId="28CAE7D4" w14:textId="77777777" w:rsidR="000B30F1" w:rsidRDefault="000B30F1" w:rsidP="00F5259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00567"/>
      <w:docPartObj>
        <w:docPartGallery w:val="Page Numbers (Bottom of Page)"/>
        <w:docPartUnique/>
      </w:docPartObj>
    </w:sdtPr>
    <w:sdtEndPr>
      <w:rPr>
        <w:noProof/>
      </w:rPr>
    </w:sdtEndPr>
    <w:sdtContent>
      <w:p w14:paraId="470FAB08" w14:textId="7DBF3D15" w:rsidR="000B30F1" w:rsidRDefault="000B30F1">
        <w:pPr>
          <w:pStyle w:val="Footer"/>
          <w:jc w:val="right"/>
        </w:pPr>
        <w:r>
          <w:fldChar w:fldCharType="begin"/>
        </w:r>
        <w:r>
          <w:instrText xml:space="preserve"> PAGE   \* MERGEFORMAT </w:instrText>
        </w:r>
        <w:r>
          <w:fldChar w:fldCharType="separate"/>
        </w:r>
        <w:r w:rsidR="005F3A70">
          <w:rPr>
            <w:noProof/>
          </w:rPr>
          <w:t>32</w:t>
        </w:r>
        <w:r>
          <w:rPr>
            <w:noProof/>
          </w:rPr>
          <w:fldChar w:fldCharType="end"/>
        </w:r>
      </w:p>
    </w:sdtContent>
  </w:sdt>
  <w:p w14:paraId="3F213EDA" w14:textId="77777777" w:rsidR="000B30F1" w:rsidRDefault="000B3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2237" w14:textId="77777777" w:rsidR="00AC466B" w:rsidRDefault="00AC466B" w:rsidP="00D26F59">
      <w:pPr>
        <w:spacing w:after="0" w:line="240" w:lineRule="auto"/>
      </w:pPr>
      <w:r>
        <w:separator/>
      </w:r>
    </w:p>
  </w:footnote>
  <w:footnote w:type="continuationSeparator" w:id="0">
    <w:p w14:paraId="0AF0E818" w14:textId="77777777" w:rsidR="00AC466B" w:rsidRDefault="00AC466B" w:rsidP="00D26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8844D4"/>
    <w:multiLevelType w:val="hybridMultilevel"/>
    <w:tmpl w:val="86F6F95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2E315693"/>
    <w:multiLevelType w:val="hybridMultilevel"/>
    <w:tmpl w:val="1D0836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300442D2"/>
    <w:multiLevelType w:val="hybridMultilevel"/>
    <w:tmpl w:val="097C4B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FA367D"/>
    <w:multiLevelType w:val="multilevel"/>
    <w:tmpl w:val="AB5EC334"/>
    <w:lvl w:ilvl="0">
      <w:start w:val="1"/>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64236F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565B1D"/>
    <w:multiLevelType w:val="hybridMultilevel"/>
    <w:tmpl w:val="85FCB6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3223E35"/>
    <w:multiLevelType w:val="hybridMultilevel"/>
    <w:tmpl w:val="74AEBC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CC14A26"/>
    <w:multiLevelType w:val="hybridMultilevel"/>
    <w:tmpl w:val="81A62F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2B479F3"/>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2E4723"/>
    <w:multiLevelType w:val="hybridMultilevel"/>
    <w:tmpl w:val="A98C02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E020FC5"/>
    <w:multiLevelType w:val="hybridMultilevel"/>
    <w:tmpl w:val="5272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14281"/>
    <w:multiLevelType w:val="multilevel"/>
    <w:tmpl w:val="332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D34CF"/>
    <w:multiLevelType w:val="hybridMultilevel"/>
    <w:tmpl w:val="50EAA664"/>
    <w:lvl w:ilvl="0" w:tplc="7FB49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7"/>
  </w:num>
  <w:num w:numId="4">
    <w:abstractNumId w:val="4"/>
  </w:num>
  <w:num w:numId="5">
    <w:abstractNumId w:val="8"/>
  </w:num>
  <w:num w:numId="6">
    <w:abstractNumId w:val="12"/>
  </w:num>
  <w:num w:numId="7">
    <w:abstractNumId w:val="10"/>
  </w:num>
  <w:num w:numId="8">
    <w:abstractNumId w:val="11"/>
  </w:num>
  <w:num w:numId="9">
    <w:abstractNumId w:val="13"/>
  </w:num>
  <w:num w:numId="10">
    <w:abstractNumId w:val="6"/>
  </w:num>
  <w:num w:numId="11">
    <w:abstractNumId w:val="3"/>
  </w:num>
  <w:num w:numId="12">
    <w:abstractNumId w:val="2"/>
  </w:num>
  <w:num w:numId="13">
    <w:abstractNumId w:val="5"/>
  </w:num>
  <w:num w:numId="14">
    <w:abstractNumId w:val="9"/>
  </w:num>
  <w:num w:numId="1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71"/>
    <w:rsid w:val="00004157"/>
    <w:rsid w:val="00005459"/>
    <w:rsid w:val="0001127B"/>
    <w:rsid w:val="00012E66"/>
    <w:rsid w:val="000178CE"/>
    <w:rsid w:val="00020628"/>
    <w:rsid w:val="00027B88"/>
    <w:rsid w:val="00032FC8"/>
    <w:rsid w:val="000447FD"/>
    <w:rsid w:val="00044F1C"/>
    <w:rsid w:val="00050D8A"/>
    <w:rsid w:val="00053CD6"/>
    <w:rsid w:val="00054158"/>
    <w:rsid w:val="00056ED1"/>
    <w:rsid w:val="00075F31"/>
    <w:rsid w:val="0007747E"/>
    <w:rsid w:val="000828F9"/>
    <w:rsid w:val="000829DC"/>
    <w:rsid w:val="000851FF"/>
    <w:rsid w:val="0009232E"/>
    <w:rsid w:val="000926C3"/>
    <w:rsid w:val="0009271D"/>
    <w:rsid w:val="000A0032"/>
    <w:rsid w:val="000A2EBD"/>
    <w:rsid w:val="000A6F40"/>
    <w:rsid w:val="000A78FA"/>
    <w:rsid w:val="000B1609"/>
    <w:rsid w:val="000B1918"/>
    <w:rsid w:val="000B30F1"/>
    <w:rsid w:val="000C3F75"/>
    <w:rsid w:val="000C7A55"/>
    <w:rsid w:val="000D30DE"/>
    <w:rsid w:val="000D44BC"/>
    <w:rsid w:val="000D558A"/>
    <w:rsid w:val="000D7668"/>
    <w:rsid w:val="000D7BC5"/>
    <w:rsid w:val="000E00FE"/>
    <w:rsid w:val="000E4D32"/>
    <w:rsid w:val="000E594F"/>
    <w:rsid w:val="000E6058"/>
    <w:rsid w:val="000E68E0"/>
    <w:rsid w:val="000F131E"/>
    <w:rsid w:val="00101408"/>
    <w:rsid w:val="00106436"/>
    <w:rsid w:val="001073C8"/>
    <w:rsid w:val="00110F94"/>
    <w:rsid w:val="00112C6F"/>
    <w:rsid w:val="001134D2"/>
    <w:rsid w:val="001162BF"/>
    <w:rsid w:val="00123A28"/>
    <w:rsid w:val="00124C49"/>
    <w:rsid w:val="00125B80"/>
    <w:rsid w:val="00136093"/>
    <w:rsid w:val="00150546"/>
    <w:rsid w:val="00151B5A"/>
    <w:rsid w:val="00163104"/>
    <w:rsid w:val="00167929"/>
    <w:rsid w:val="00184F68"/>
    <w:rsid w:val="0019275B"/>
    <w:rsid w:val="0019695A"/>
    <w:rsid w:val="001A1AB8"/>
    <w:rsid w:val="001A50C3"/>
    <w:rsid w:val="001A5B42"/>
    <w:rsid w:val="001B1401"/>
    <w:rsid w:val="001B15BA"/>
    <w:rsid w:val="001C3DC0"/>
    <w:rsid w:val="001C5872"/>
    <w:rsid w:val="001D5637"/>
    <w:rsid w:val="001E0DDA"/>
    <w:rsid w:val="001E39AE"/>
    <w:rsid w:val="001F2EFC"/>
    <w:rsid w:val="001F4349"/>
    <w:rsid w:val="002013B9"/>
    <w:rsid w:val="002058C1"/>
    <w:rsid w:val="00215E2F"/>
    <w:rsid w:val="00215F04"/>
    <w:rsid w:val="002174F2"/>
    <w:rsid w:val="00221954"/>
    <w:rsid w:val="0022452E"/>
    <w:rsid w:val="0022781D"/>
    <w:rsid w:val="00227CC3"/>
    <w:rsid w:val="0023178B"/>
    <w:rsid w:val="00236B12"/>
    <w:rsid w:val="00236EFB"/>
    <w:rsid w:val="00244258"/>
    <w:rsid w:val="002476A8"/>
    <w:rsid w:val="00255D19"/>
    <w:rsid w:val="00260326"/>
    <w:rsid w:val="00264D1A"/>
    <w:rsid w:val="00266635"/>
    <w:rsid w:val="00267606"/>
    <w:rsid w:val="002677CE"/>
    <w:rsid w:val="00270442"/>
    <w:rsid w:val="00272912"/>
    <w:rsid w:val="00273FEC"/>
    <w:rsid w:val="00287FDB"/>
    <w:rsid w:val="00292243"/>
    <w:rsid w:val="00292E51"/>
    <w:rsid w:val="00293BCF"/>
    <w:rsid w:val="002976ED"/>
    <w:rsid w:val="0029773D"/>
    <w:rsid w:val="002A62C7"/>
    <w:rsid w:val="002B4DF1"/>
    <w:rsid w:val="002B4E23"/>
    <w:rsid w:val="002C0282"/>
    <w:rsid w:val="002C7EB3"/>
    <w:rsid w:val="002D402C"/>
    <w:rsid w:val="002E1F7C"/>
    <w:rsid w:val="002E4197"/>
    <w:rsid w:val="002E69FF"/>
    <w:rsid w:val="002E6BDD"/>
    <w:rsid w:val="002F5551"/>
    <w:rsid w:val="002F7EEE"/>
    <w:rsid w:val="00300CEE"/>
    <w:rsid w:val="00303670"/>
    <w:rsid w:val="00304DD3"/>
    <w:rsid w:val="00305A9C"/>
    <w:rsid w:val="00306CE1"/>
    <w:rsid w:val="00307FF4"/>
    <w:rsid w:val="00315556"/>
    <w:rsid w:val="00316A5A"/>
    <w:rsid w:val="00325AF7"/>
    <w:rsid w:val="003260E9"/>
    <w:rsid w:val="00333492"/>
    <w:rsid w:val="00333748"/>
    <w:rsid w:val="00346BC9"/>
    <w:rsid w:val="0034746E"/>
    <w:rsid w:val="003478D8"/>
    <w:rsid w:val="0036022C"/>
    <w:rsid w:val="00362C88"/>
    <w:rsid w:val="00365756"/>
    <w:rsid w:val="00367667"/>
    <w:rsid w:val="003727F8"/>
    <w:rsid w:val="00374564"/>
    <w:rsid w:val="00376426"/>
    <w:rsid w:val="00377DC6"/>
    <w:rsid w:val="00387821"/>
    <w:rsid w:val="003929F9"/>
    <w:rsid w:val="00393392"/>
    <w:rsid w:val="003A3E4B"/>
    <w:rsid w:val="003A49D9"/>
    <w:rsid w:val="003B1F91"/>
    <w:rsid w:val="003B2BDF"/>
    <w:rsid w:val="003B4C27"/>
    <w:rsid w:val="003B765C"/>
    <w:rsid w:val="003C3271"/>
    <w:rsid w:val="003D1819"/>
    <w:rsid w:val="003E06AC"/>
    <w:rsid w:val="003E07EC"/>
    <w:rsid w:val="003E0AE3"/>
    <w:rsid w:val="003E7994"/>
    <w:rsid w:val="003F274E"/>
    <w:rsid w:val="003F52E2"/>
    <w:rsid w:val="00400318"/>
    <w:rsid w:val="004164A2"/>
    <w:rsid w:val="00416A4B"/>
    <w:rsid w:val="00423A94"/>
    <w:rsid w:val="00425DFC"/>
    <w:rsid w:val="00426097"/>
    <w:rsid w:val="00427C1D"/>
    <w:rsid w:val="00434F61"/>
    <w:rsid w:val="0044137C"/>
    <w:rsid w:val="004575C6"/>
    <w:rsid w:val="00472983"/>
    <w:rsid w:val="00481F8C"/>
    <w:rsid w:val="00484825"/>
    <w:rsid w:val="00486C75"/>
    <w:rsid w:val="00490F36"/>
    <w:rsid w:val="00496526"/>
    <w:rsid w:val="004A006F"/>
    <w:rsid w:val="004B0DBA"/>
    <w:rsid w:val="004B3779"/>
    <w:rsid w:val="004B45D0"/>
    <w:rsid w:val="004B5900"/>
    <w:rsid w:val="004B5D54"/>
    <w:rsid w:val="004B6C65"/>
    <w:rsid w:val="004C4151"/>
    <w:rsid w:val="004D0FFF"/>
    <w:rsid w:val="004D345F"/>
    <w:rsid w:val="004D5520"/>
    <w:rsid w:val="004E4194"/>
    <w:rsid w:val="004F1696"/>
    <w:rsid w:val="004F5658"/>
    <w:rsid w:val="00503F11"/>
    <w:rsid w:val="00516BCD"/>
    <w:rsid w:val="0052424B"/>
    <w:rsid w:val="005260D0"/>
    <w:rsid w:val="00540434"/>
    <w:rsid w:val="005417CE"/>
    <w:rsid w:val="00541D39"/>
    <w:rsid w:val="00554EA2"/>
    <w:rsid w:val="005560C0"/>
    <w:rsid w:val="00560D0A"/>
    <w:rsid w:val="00564C96"/>
    <w:rsid w:val="005659FD"/>
    <w:rsid w:val="00571731"/>
    <w:rsid w:val="00572763"/>
    <w:rsid w:val="005758CA"/>
    <w:rsid w:val="005767F1"/>
    <w:rsid w:val="005845A3"/>
    <w:rsid w:val="005878B7"/>
    <w:rsid w:val="005945EC"/>
    <w:rsid w:val="005B51C7"/>
    <w:rsid w:val="005C4192"/>
    <w:rsid w:val="005C52F6"/>
    <w:rsid w:val="005D026A"/>
    <w:rsid w:val="005D2C9C"/>
    <w:rsid w:val="005E49C0"/>
    <w:rsid w:val="005E57D3"/>
    <w:rsid w:val="005F0C3F"/>
    <w:rsid w:val="005F1AD8"/>
    <w:rsid w:val="005F38E3"/>
    <w:rsid w:val="005F3A70"/>
    <w:rsid w:val="005F6F5D"/>
    <w:rsid w:val="0060297F"/>
    <w:rsid w:val="00602DF7"/>
    <w:rsid w:val="006035E9"/>
    <w:rsid w:val="00603FE9"/>
    <w:rsid w:val="0060672D"/>
    <w:rsid w:val="00610A1E"/>
    <w:rsid w:val="006116BB"/>
    <w:rsid w:val="006135B6"/>
    <w:rsid w:val="006158C3"/>
    <w:rsid w:val="0062180C"/>
    <w:rsid w:val="006229F8"/>
    <w:rsid w:val="0062402A"/>
    <w:rsid w:val="006248E6"/>
    <w:rsid w:val="00631A5F"/>
    <w:rsid w:val="00635618"/>
    <w:rsid w:val="00640665"/>
    <w:rsid w:val="00643C43"/>
    <w:rsid w:val="006504FE"/>
    <w:rsid w:val="00650CC0"/>
    <w:rsid w:val="00652412"/>
    <w:rsid w:val="00652B00"/>
    <w:rsid w:val="0065579A"/>
    <w:rsid w:val="00662641"/>
    <w:rsid w:val="006634B5"/>
    <w:rsid w:val="0066787A"/>
    <w:rsid w:val="00671C72"/>
    <w:rsid w:val="006874FD"/>
    <w:rsid w:val="0069370D"/>
    <w:rsid w:val="00695E13"/>
    <w:rsid w:val="006A4A08"/>
    <w:rsid w:val="006A55FE"/>
    <w:rsid w:val="006B477B"/>
    <w:rsid w:val="006C031F"/>
    <w:rsid w:val="006C5881"/>
    <w:rsid w:val="006C7CF9"/>
    <w:rsid w:val="006D1DDE"/>
    <w:rsid w:val="006E505B"/>
    <w:rsid w:val="006F0BD0"/>
    <w:rsid w:val="006F505C"/>
    <w:rsid w:val="006F6334"/>
    <w:rsid w:val="0070611F"/>
    <w:rsid w:val="007102BE"/>
    <w:rsid w:val="00720F3A"/>
    <w:rsid w:val="00721955"/>
    <w:rsid w:val="00724C99"/>
    <w:rsid w:val="00740504"/>
    <w:rsid w:val="007408AC"/>
    <w:rsid w:val="007500D3"/>
    <w:rsid w:val="0075301C"/>
    <w:rsid w:val="007546AE"/>
    <w:rsid w:val="00761959"/>
    <w:rsid w:val="0077254D"/>
    <w:rsid w:val="007725A1"/>
    <w:rsid w:val="0077708F"/>
    <w:rsid w:val="0078300C"/>
    <w:rsid w:val="00784640"/>
    <w:rsid w:val="007A58F9"/>
    <w:rsid w:val="007B251A"/>
    <w:rsid w:val="007B5512"/>
    <w:rsid w:val="007B5565"/>
    <w:rsid w:val="007C28E3"/>
    <w:rsid w:val="007D1608"/>
    <w:rsid w:val="007D2C50"/>
    <w:rsid w:val="007D2E3F"/>
    <w:rsid w:val="007D306B"/>
    <w:rsid w:val="007D4C43"/>
    <w:rsid w:val="007E5D7A"/>
    <w:rsid w:val="007F218C"/>
    <w:rsid w:val="007F3156"/>
    <w:rsid w:val="00801E45"/>
    <w:rsid w:val="0080365E"/>
    <w:rsid w:val="00804ADB"/>
    <w:rsid w:val="0081099F"/>
    <w:rsid w:val="008113FA"/>
    <w:rsid w:val="008203FB"/>
    <w:rsid w:val="008274C2"/>
    <w:rsid w:val="008332CA"/>
    <w:rsid w:val="008337BB"/>
    <w:rsid w:val="00833CE3"/>
    <w:rsid w:val="008342C7"/>
    <w:rsid w:val="0083647A"/>
    <w:rsid w:val="008368CA"/>
    <w:rsid w:val="00837784"/>
    <w:rsid w:val="00843F48"/>
    <w:rsid w:val="0084641A"/>
    <w:rsid w:val="008478FD"/>
    <w:rsid w:val="0085286D"/>
    <w:rsid w:val="00856317"/>
    <w:rsid w:val="00857CDE"/>
    <w:rsid w:val="008627CC"/>
    <w:rsid w:val="00867B7A"/>
    <w:rsid w:val="008714AA"/>
    <w:rsid w:val="00873553"/>
    <w:rsid w:val="008806DE"/>
    <w:rsid w:val="00887776"/>
    <w:rsid w:val="008878F5"/>
    <w:rsid w:val="0088790F"/>
    <w:rsid w:val="008903CE"/>
    <w:rsid w:val="00891470"/>
    <w:rsid w:val="008939AE"/>
    <w:rsid w:val="008957CC"/>
    <w:rsid w:val="008A4015"/>
    <w:rsid w:val="008A49E7"/>
    <w:rsid w:val="008B7440"/>
    <w:rsid w:val="008C4798"/>
    <w:rsid w:val="008D6D1A"/>
    <w:rsid w:val="008E2E75"/>
    <w:rsid w:val="008F2ACC"/>
    <w:rsid w:val="00901EE7"/>
    <w:rsid w:val="0090418A"/>
    <w:rsid w:val="00905FBB"/>
    <w:rsid w:val="00907B1B"/>
    <w:rsid w:val="009105BA"/>
    <w:rsid w:val="00912B05"/>
    <w:rsid w:val="0091496E"/>
    <w:rsid w:val="00916FDF"/>
    <w:rsid w:val="0093067B"/>
    <w:rsid w:val="00931761"/>
    <w:rsid w:val="00941CE1"/>
    <w:rsid w:val="0094349E"/>
    <w:rsid w:val="009468E1"/>
    <w:rsid w:val="00946D29"/>
    <w:rsid w:val="00952650"/>
    <w:rsid w:val="009528FD"/>
    <w:rsid w:val="009600F1"/>
    <w:rsid w:val="00962201"/>
    <w:rsid w:val="00966563"/>
    <w:rsid w:val="00967E71"/>
    <w:rsid w:val="00971DE8"/>
    <w:rsid w:val="00972F8C"/>
    <w:rsid w:val="00975091"/>
    <w:rsid w:val="009763E5"/>
    <w:rsid w:val="00976F6F"/>
    <w:rsid w:val="00981A95"/>
    <w:rsid w:val="00982379"/>
    <w:rsid w:val="009A640A"/>
    <w:rsid w:val="009B551F"/>
    <w:rsid w:val="009C0A81"/>
    <w:rsid w:val="009C6898"/>
    <w:rsid w:val="009D3B78"/>
    <w:rsid w:val="009D6AE4"/>
    <w:rsid w:val="009E16E4"/>
    <w:rsid w:val="009E1999"/>
    <w:rsid w:val="009E6E89"/>
    <w:rsid w:val="009E785E"/>
    <w:rsid w:val="009F306A"/>
    <w:rsid w:val="009F4361"/>
    <w:rsid w:val="009F5599"/>
    <w:rsid w:val="00A009EB"/>
    <w:rsid w:val="00A0399A"/>
    <w:rsid w:val="00A07B5E"/>
    <w:rsid w:val="00A27B1A"/>
    <w:rsid w:val="00A43B77"/>
    <w:rsid w:val="00A43EFD"/>
    <w:rsid w:val="00A44819"/>
    <w:rsid w:val="00A56720"/>
    <w:rsid w:val="00A63C99"/>
    <w:rsid w:val="00A65656"/>
    <w:rsid w:val="00A67518"/>
    <w:rsid w:val="00A70D18"/>
    <w:rsid w:val="00A7252F"/>
    <w:rsid w:val="00A87030"/>
    <w:rsid w:val="00A872AB"/>
    <w:rsid w:val="00A95567"/>
    <w:rsid w:val="00A957B7"/>
    <w:rsid w:val="00A95975"/>
    <w:rsid w:val="00A972C6"/>
    <w:rsid w:val="00AA51D5"/>
    <w:rsid w:val="00AA6FD1"/>
    <w:rsid w:val="00AB01A1"/>
    <w:rsid w:val="00AB34A4"/>
    <w:rsid w:val="00AB71E0"/>
    <w:rsid w:val="00AC048B"/>
    <w:rsid w:val="00AC07CF"/>
    <w:rsid w:val="00AC20ED"/>
    <w:rsid w:val="00AC3D79"/>
    <w:rsid w:val="00AC466B"/>
    <w:rsid w:val="00AC6180"/>
    <w:rsid w:val="00AD3ABE"/>
    <w:rsid w:val="00AE1C1F"/>
    <w:rsid w:val="00AE3F8B"/>
    <w:rsid w:val="00AE7A86"/>
    <w:rsid w:val="00AF0AA6"/>
    <w:rsid w:val="00AF7DA5"/>
    <w:rsid w:val="00B06869"/>
    <w:rsid w:val="00B144E5"/>
    <w:rsid w:val="00B14F30"/>
    <w:rsid w:val="00B16859"/>
    <w:rsid w:val="00B22EA0"/>
    <w:rsid w:val="00B23620"/>
    <w:rsid w:val="00B346B5"/>
    <w:rsid w:val="00B36063"/>
    <w:rsid w:val="00B3687A"/>
    <w:rsid w:val="00B404A4"/>
    <w:rsid w:val="00B43EF7"/>
    <w:rsid w:val="00B4794F"/>
    <w:rsid w:val="00B502A3"/>
    <w:rsid w:val="00B51ACB"/>
    <w:rsid w:val="00B5301B"/>
    <w:rsid w:val="00B5320C"/>
    <w:rsid w:val="00B54D40"/>
    <w:rsid w:val="00B557A7"/>
    <w:rsid w:val="00B55D25"/>
    <w:rsid w:val="00B621E7"/>
    <w:rsid w:val="00B626E8"/>
    <w:rsid w:val="00B7202B"/>
    <w:rsid w:val="00B72D8F"/>
    <w:rsid w:val="00B76D3C"/>
    <w:rsid w:val="00B811F9"/>
    <w:rsid w:val="00B85AB0"/>
    <w:rsid w:val="00B87FB1"/>
    <w:rsid w:val="00B92586"/>
    <w:rsid w:val="00B92B8A"/>
    <w:rsid w:val="00B945AD"/>
    <w:rsid w:val="00B94973"/>
    <w:rsid w:val="00B952BF"/>
    <w:rsid w:val="00B96CB1"/>
    <w:rsid w:val="00BA3289"/>
    <w:rsid w:val="00BC2EBD"/>
    <w:rsid w:val="00BC638D"/>
    <w:rsid w:val="00BD0B54"/>
    <w:rsid w:val="00BD136D"/>
    <w:rsid w:val="00BD4917"/>
    <w:rsid w:val="00BD5090"/>
    <w:rsid w:val="00BD662B"/>
    <w:rsid w:val="00BD6727"/>
    <w:rsid w:val="00BD7516"/>
    <w:rsid w:val="00BE2EE4"/>
    <w:rsid w:val="00BE45CB"/>
    <w:rsid w:val="00C002D1"/>
    <w:rsid w:val="00C00F22"/>
    <w:rsid w:val="00C04501"/>
    <w:rsid w:val="00C07879"/>
    <w:rsid w:val="00C102D3"/>
    <w:rsid w:val="00C110B5"/>
    <w:rsid w:val="00C15067"/>
    <w:rsid w:val="00C17390"/>
    <w:rsid w:val="00C20215"/>
    <w:rsid w:val="00C23819"/>
    <w:rsid w:val="00C24EC3"/>
    <w:rsid w:val="00C33B59"/>
    <w:rsid w:val="00C40332"/>
    <w:rsid w:val="00C404DA"/>
    <w:rsid w:val="00C41757"/>
    <w:rsid w:val="00C436AC"/>
    <w:rsid w:val="00C52483"/>
    <w:rsid w:val="00C57730"/>
    <w:rsid w:val="00C57FAA"/>
    <w:rsid w:val="00C63235"/>
    <w:rsid w:val="00C70809"/>
    <w:rsid w:val="00C7436D"/>
    <w:rsid w:val="00C766DE"/>
    <w:rsid w:val="00C81D94"/>
    <w:rsid w:val="00C83492"/>
    <w:rsid w:val="00C901A3"/>
    <w:rsid w:val="00C904CD"/>
    <w:rsid w:val="00CA0870"/>
    <w:rsid w:val="00CA2E08"/>
    <w:rsid w:val="00CA42C7"/>
    <w:rsid w:val="00CC1DB9"/>
    <w:rsid w:val="00CC4EAD"/>
    <w:rsid w:val="00CD272A"/>
    <w:rsid w:val="00CD5BBE"/>
    <w:rsid w:val="00CE38A3"/>
    <w:rsid w:val="00CE564A"/>
    <w:rsid w:val="00CE6BD5"/>
    <w:rsid w:val="00CF3DC5"/>
    <w:rsid w:val="00D04F58"/>
    <w:rsid w:val="00D07091"/>
    <w:rsid w:val="00D14B14"/>
    <w:rsid w:val="00D2082D"/>
    <w:rsid w:val="00D26F59"/>
    <w:rsid w:val="00D30E16"/>
    <w:rsid w:val="00D34DF6"/>
    <w:rsid w:val="00D35569"/>
    <w:rsid w:val="00D372AB"/>
    <w:rsid w:val="00D4560C"/>
    <w:rsid w:val="00D63022"/>
    <w:rsid w:val="00D654A1"/>
    <w:rsid w:val="00D67C40"/>
    <w:rsid w:val="00D73FC4"/>
    <w:rsid w:val="00D85366"/>
    <w:rsid w:val="00D86F2F"/>
    <w:rsid w:val="00D9073E"/>
    <w:rsid w:val="00D91DB8"/>
    <w:rsid w:val="00D93BC3"/>
    <w:rsid w:val="00DA33C7"/>
    <w:rsid w:val="00DA5FD8"/>
    <w:rsid w:val="00DB46EF"/>
    <w:rsid w:val="00DB6C56"/>
    <w:rsid w:val="00DB755B"/>
    <w:rsid w:val="00DD04EA"/>
    <w:rsid w:val="00DD2BFC"/>
    <w:rsid w:val="00DD34C2"/>
    <w:rsid w:val="00DD34E9"/>
    <w:rsid w:val="00DD607F"/>
    <w:rsid w:val="00DE1F2C"/>
    <w:rsid w:val="00DF05E1"/>
    <w:rsid w:val="00DF14B6"/>
    <w:rsid w:val="00E04E29"/>
    <w:rsid w:val="00E116B4"/>
    <w:rsid w:val="00E11CD2"/>
    <w:rsid w:val="00E14F94"/>
    <w:rsid w:val="00E1532B"/>
    <w:rsid w:val="00E15E97"/>
    <w:rsid w:val="00E2775F"/>
    <w:rsid w:val="00E30692"/>
    <w:rsid w:val="00E33459"/>
    <w:rsid w:val="00E37DA6"/>
    <w:rsid w:val="00E444C9"/>
    <w:rsid w:val="00E44736"/>
    <w:rsid w:val="00E50280"/>
    <w:rsid w:val="00E50818"/>
    <w:rsid w:val="00E5118F"/>
    <w:rsid w:val="00E53C38"/>
    <w:rsid w:val="00E54F0F"/>
    <w:rsid w:val="00E63661"/>
    <w:rsid w:val="00E6735D"/>
    <w:rsid w:val="00E805A1"/>
    <w:rsid w:val="00E82D62"/>
    <w:rsid w:val="00E84011"/>
    <w:rsid w:val="00E844EA"/>
    <w:rsid w:val="00E84A82"/>
    <w:rsid w:val="00E86A8B"/>
    <w:rsid w:val="00E93643"/>
    <w:rsid w:val="00EA072F"/>
    <w:rsid w:val="00EA34EF"/>
    <w:rsid w:val="00EB33BF"/>
    <w:rsid w:val="00EB4DA2"/>
    <w:rsid w:val="00EC0D57"/>
    <w:rsid w:val="00EC57B8"/>
    <w:rsid w:val="00EE0272"/>
    <w:rsid w:val="00EF2247"/>
    <w:rsid w:val="00EF4135"/>
    <w:rsid w:val="00F03017"/>
    <w:rsid w:val="00F0595F"/>
    <w:rsid w:val="00F0598F"/>
    <w:rsid w:val="00F06281"/>
    <w:rsid w:val="00F06F88"/>
    <w:rsid w:val="00F15AEE"/>
    <w:rsid w:val="00F45FCE"/>
    <w:rsid w:val="00F46737"/>
    <w:rsid w:val="00F52595"/>
    <w:rsid w:val="00F53092"/>
    <w:rsid w:val="00F70742"/>
    <w:rsid w:val="00F71F5A"/>
    <w:rsid w:val="00F73235"/>
    <w:rsid w:val="00F75D67"/>
    <w:rsid w:val="00F776DD"/>
    <w:rsid w:val="00F77AB2"/>
    <w:rsid w:val="00F815A4"/>
    <w:rsid w:val="00F81C45"/>
    <w:rsid w:val="00F8496F"/>
    <w:rsid w:val="00F90D56"/>
    <w:rsid w:val="00FA03ED"/>
    <w:rsid w:val="00FA0F1B"/>
    <w:rsid w:val="00FA2194"/>
    <w:rsid w:val="00FA674F"/>
    <w:rsid w:val="00FA7C26"/>
    <w:rsid w:val="00FB0C8F"/>
    <w:rsid w:val="00FB0EDC"/>
    <w:rsid w:val="00FB137B"/>
    <w:rsid w:val="00FB2DC0"/>
    <w:rsid w:val="00FB504F"/>
    <w:rsid w:val="00FC63D3"/>
    <w:rsid w:val="00FD0BBD"/>
    <w:rsid w:val="00FD2788"/>
    <w:rsid w:val="00FD2C5C"/>
    <w:rsid w:val="00FD56F7"/>
    <w:rsid w:val="00FD6DED"/>
    <w:rsid w:val="00FD77AF"/>
    <w:rsid w:val="00FD7809"/>
    <w:rsid w:val="00FE53D4"/>
    <w:rsid w:val="00FE56AC"/>
    <w:rsid w:val="00FE59D8"/>
    <w:rsid w:val="00FF51FB"/>
    <w:rsid w:val="00FF6DE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52D16135-46FD-4403-AADC-901D9604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DB"/>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634B5"/>
    <w:pPr>
      <w:keepNext/>
      <w:keepLines/>
      <w:numPr>
        <w:ilvl w:val="1"/>
        <w:numId w:val="1"/>
      </w:numPr>
      <w:spacing w:before="24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634B5"/>
    <w:pPr>
      <w:keepNext/>
      <w:keepLines/>
      <w:numPr>
        <w:ilvl w:val="2"/>
        <w:numId w:val="1"/>
      </w:numPr>
      <w:spacing w:before="20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6634B5"/>
    <w:pPr>
      <w:keepNext/>
      <w:keepLines/>
      <w:numPr>
        <w:ilvl w:val="3"/>
        <w:numId w:val="1"/>
      </w:numPr>
      <w:spacing w:before="200" w:after="120"/>
      <w:ind w:left="862" w:hanging="862"/>
      <w:outlineLvl w:val="3"/>
    </w:pPr>
    <w:rPr>
      <w:rFonts w:asciiTheme="majorHAnsi" w:eastAsiaTheme="majorEastAsia" w:hAnsiTheme="majorHAnsi" w:cstheme="majorBidi"/>
      <w:b/>
      <w:bCs/>
      <w:iCs/>
      <w:color w:val="000000" w:themeColor="text1"/>
      <w:sz w:val="24"/>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634B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634B5"/>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6634B5"/>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9528FD"/>
    <w:pPr>
      <w:tabs>
        <w:tab w:val="left" w:pos="440"/>
        <w:tab w:val="right" w:leader="dot" w:pos="9350"/>
      </w:tabs>
      <w:spacing w:after="0" w:line="360" w:lineRule="auto"/>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line="240" w:lineRule="auto"/>
    </w:pPr>
    <w:rPr>
      <w:rFonts w:ascii="Times New Roman" w:eastAsia="SimSun" w:hAnsi="Times New Roman" w:cs="Times New Roman"/>
      <w:kern w:val="1"/>
      <w:sz w:val="24"/>
      <w:szCs w:val="24"/>
      <w:lang w:eastAsia="ar-SA"/>
    </w:rPr>
  </w:style>
  <w:style w:type="paragraph" w:styleId="BodyText">
    <w:name w:val="Body Text"/>
    <w:basedOn w:val="Normal"/>
    <w:link w:val="BodyTextChar"/>
    <w:rsid w:val="0009232E"/>
    <w:pPr>
      <w:widowControl w:val="0"/>
      <w:suppressAutoHyphens/>
      <w:overflowPunct w:val="0"/>
      <w:spacing w:after="120" w:line="240" w:lineRule="auto"/>
    </w:pPr>
    <w:rPr>
      <w:rFonts w:ascii="Times New Roman" w:eastAsia="SimSun" w:hAnsi="Times New Roma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line="240" w:lineRule="auto"/>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semiHidden/>
    <w:unhideWhenUsed/>
    <w:rsid w:val="005F6F5D"/>
    <w:pPr>
      <w:spacing w:line="240" w:lineRule="auto"/>
    </w:pPr>
    <w:rPr>
      <w:sz w:val="20"/>
      <w:szCs w:val="20"/>
    </w:rPr>
  </w:style>
  <w:style w:type="character" w:customStyle="1" w:styleId="CommentTextChar">
    <w:name w:val="Comment Text Char"/>
    <w:basedOn w:val="DefaultParagraphFont"/>
    <w:link w:val="CommentText"/>
    <w:uiPriority w:val="99"/>
    <w:semiHidden/>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24C99"/>
    <w:pPr>
      <w:spacing w:before="100" w:beforeAutospacing="1" w:after="100" w:afterAutospacing="1" w:line="240" w:lineRule="auto"/>
    </w:pPr>
    <w:rPr>
      <w:rFonts w:ascii="Times" w:hAnsi="Times" w:cs="Times New Roman"/>
      <w:sz w:val="20"/>
      <w:szCs w:val="20"/>
      <w:lang w:eastAsia="en-US"/>
    </w:rPr>
  </w:style>
  <w:style w:type="character" w:customStyle="1" w:styleId="apple-tab-span">
    <w:name w:val="apple-tab-span"/>
    <w:basedOn w:val="DefaultParagraphFont"/>
    <w:rsid w:val="00724C99"/>
  </w:style>
  <w:style w:type="character" w:styleId="FollowedHyperlink">
    <w:name w:val="FollowedHyperlink"/>
    <w:basedOn w:val="DefaultParagraphFont"/>
    <w:uiPriority w:val="99"/>
    <w:semiHidden/>
    <w:unhideWhenUsed/>
    <w:rsid w:val="00E444C9"/>
    <w:rPr>
      <w:color w:val="B26B02" w:themeColor="followedHyperlink"/>
      <w:u w:val="single"/>
    </w:rPr>
  </w:style>
  <w:style w:type="paragraph" w:customStyle="1" w:styleId="xl66">
    <w:name w:val="xl66"/>
    <w:basedOn w:val="Normal"/>
    <w:rsid w:val="000E68E0"/>
    <w:pPr>
      <w:spacing w:before="100" w:beforeAutospacing="1" w:after="100" w:afterAutospacing="1" w:line="240" w:lineRule="auto"/>
      <w:jc w:val="right"/>
    </w:pPr>
    <w:rPr>
      <w:rFonts w:ascii="Arial" w:hAnsi="Arial" w:cs="Arial"/>
      <w:sz w:val="18"/>
      <w:szCs w:val="18"/>
      <w:lang w:eastAsia="en-US"/>
    </w:rPr>
  </w:style>
  <w:style w:type="paragraph" w:customStyle="1" w:styleId="xl67">
    <w:name w:val="xl67"/>
    <w:basedOn w:val="Normal"/>
    <w:rsid w:val="000E68E0"/>
    <w:pPr>
      <w:pBdr>
        <w:top w:val="single" w:sz="4" w:space="0" w:color="auto"/>
        <w:left w:val="single" w:sz="4" w:space="0" w:color="auto"/>
        <w:right w:val="single" w:sz="4" w:space="0" w:color="auto"/>
      </w:pBdr>
      <w:shd w:val="clear" w:color="000000" w:fill="99CCFF"/>
      <w:spacing w:before="100" w:beforeAutospacing="1" w:after="100" w:afterAutospacing="1" w:line="240" w:lineRule="auto"/>
      <w:jc w:val="center"/>
      <w:textAlignment w:val="center"/>
    </w:pPr>
    <w:rPr>
      <w:rFonts w:ascii="Arial" w:hAnsi="Arial" w:cs="Arial"/>
      <w:b/>
      <w:bCs/>
      <w:sz w:val="18"/>
      <w:szCs w:val="18"/>
      <w:lang w:eastAsia="en-US"/>
    </w:rPr>
  </w:style>
  <w:style w:type="paragraph" w:customStyle="1" w:styleId="xl68">
    <w:name w:val="xl68"/>
    <w:basedOn w:val="Normal"/>
    <w:rsid w:val="000E68E0"/>
    <w:pPr>
      <w:pBdr>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ascii="Arial" w:hAnsi="Arial" w:cs="Arial"/>
      <w:b/>
      <w:bCs/>
      <w:sz w:val="18"/>
      <w:szCs w:val="18"/>
      <w:lang w:eastAsia="en-US"/>
    </w:rPr>
  </w:style>
  <w:style w:type="paragraph" w:customStyle="1" w:styleId="xl69">
    <w:name w:val="xl69"/>
    <w:basedOn w:val="Normal"/>
    <w:rsid w:val="000E68E0"/>
    <w:pPr>
      <w:pBdr>
        <w:top w:val="single" w:sz="4" w:space="0" w:color="auto"/>
        <w:left w:val="single" w:sz="4" w:space="0" w:color="auto"/>
        <w:bottom w:val="single" w:sz="4" w:space="0" w:color="auto"/>
      </w:pBdr>
      <w:shd w:val="clear" w:color="000000" w:fill="99CCFF"/>
      <w:spacing w:before="100" w:beforeAutospacing="1" w:after="100" w:afterAutospacing="1" w:line="240" w:lineRule="auto"/>
      <w:jc w:val="center"/>
      <w:textAlignment w:val="center"/>
    </w:pPr>
    <w:rPr>
      <w:rFonts w:ascii="Arial" w:hAnsi="Arial" w:cs="Arial"/>
      <w:b/>
      <w:bCs/>
      <w:sz w:val="18"/>
      <w:szCs w:val="18"/>
      <w:lang w:eastAsia="en-US"/>
    </w:rPr>
  </w:style>
  <w:style w:type="paragraph" w:customStyle="1" w:styleId="xl70">
    <w:name w:val="xl70"/>
    <w:basedOn w:val="Normal"/>
    <w:rsid w:val="000E68E0"/>
    <w:pPr>
      <w:pBdr>
        <w:top w:val="single" w:sz="4" w:space="0" w:color="auto"/>
        <w:bottom w:val="single" w:sz="4" w:space="0" w:color="auto"/>
      </w:pBdr>
      <w:shd w:val="clear" w:color="000000" w:fill="99CCFF"/>
      <w:spacing w:before="100" w:beforeAutospacing="1" w:after="100" w:afterAutospacing="1" w:line="240" w:lineRule="auto"/>
      <w:jc w:val="center"/>
      <w:textAlignment w:val="center"/>
    </w:pPr>
    <w:rPr>
      <w:rFonts w:ascii="Arial" w:hAnsi="Arial" w:cs="Arial"/>
      <w:b/>
      <w:bCs/>
      <w:sz w:val="18"/>
      <w:szCs w:val="18"/>
      <w:lang w:eastAsia="en-US"/>
    </w:rPr>
  </w:style>
  <w:style w:type="paragraph" w:customStyle="1" w:styleId="xl71">
    <w:name w:val="xl71"/>
    <w:basedOn w:val="Normal"/>
    <w:rsid w:val="000E68E0"/>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ascii="Arial" w:hAnsi="Arial" w:cs="Arial"/>
      <w:b/>
      <w:bCs/>
      <w:sz w:val="18"/>
      <w:szCs w:val="18"/>
      <w:lang w:eastAsia="en-US"/>
    </w:rPr>
  </w:style>
  <w:style w:type="paragraph" w:customStyle="1" w:styleId="xl72">
    <w:name w:val="xl72"/>
    <w:basedOn w:val="Normal"/>
    <w:rsid w:val="000E68E0"/>
    <w:pPr>
      <w:shd w:val="clear" w:color="000000" w:fill="EBF1DE"/>
      <w:spacing w:before="100" w:beforeAutospacing="1" w:after="100" w:afterAutospacing="1" w:line="240" w:lineRule="auto"/>
      <w:jc w:val="right"/>
    </w:pPr>
    <w:rPr>
      <w:rFonts w:ascii="Arial" w:hAnsi="Arial" w:cs="Arial"/>
      <w:sz w:val="18"/>
      <w:szCs w:val="18"/>
      <w:lang w:eastAsia="en-US"/>
    </w:rPr>
  </w:style>
  <w:style w:type="paragraph" w:customStyle="1" w:styleId="xl73">
    <w:name w:val="xl73"/>
    <w:basedOn w:val="Normal"/>
    <w:rsid w:val="000E68E0"/>
    <w:pPr>
      <w:spacing w:before="100" w:beforeAutospacing="1" w:after="100" w:afterAutospacing="1" w:line="240" w:lineRule="auto"/>
      <w:ind w:firstLineChars="200" w:firstLine="200"/>
    </w:pPr>
    <w:rPr>
      <w:rFonts w:ascii="Arial" w:hAnsi="Arial" w:cs="Arial"/>
      <w:sz w:val="18"/>
      <w:szCs w:val="18"/>
      <w:lang w:eastAsia="en-US"/>
    </w:rPr>
  </w:style>
  <w:style w:type="paragraph" w:customStyle="1" w:styleId="xl74">
    <w:name w:val="xl74"/>
    <w:basedOn w:val="Normal"/>
    <w:rsid w:val="000E68E0"/>
    <w:pPr>
      <w:spacing w:before="100" w:beforeAutospacing="1" w:after="100" w:afterAutospacing="1" w:line="240" w:lineRule="auto"/>
    </w:pPr>
    <w:rPr>
      <w:rFonts w:ascii="Arial" w:hAnsi="Arial" w:cs="Arial"/>
      <w:b/>
      <w:bCs/>
      <w:sz w:val="18"/>
      <w:szCs w:val="18"/>
      <w:lang w:eastAsia="en-US"/>
    </w:rPr>
  </w:style>
  <w:style w:type="paragraph" w:customStyle="1" w:styleId="xl75">
    <w:name w:val="xl75"/>
    <w:basedOn w:val="Normal"/>
    <w:rsid w:val="000E68E0"/>
    <w:pPr>
      <w:spacing w:before="100" w:beforeAutospacing="1" w:after="100" w:afterAutospacing="1" w:line="240" w:lineRule="auto"/>
      <w:ind w:firstLineChars="100" w:firstLine="100"/>
    </w:pPr>
    <w:rPr>
      <w:rFonts w:ascii="Arial" w:hAnsi="Arial" w:cs="Arial"/>
      <w:b/>
      <w:bCs/>
      <w:sz w:val="18"/>
      <w:szCs w:val="18"/>
      <w:lang w:eastAsia="en-US"/>
    </w:rPr>
  </w:style>
  <w:style w:type="paragraph" w:customStyle="1" w:styleId="xl76">
    <w:name w:val="xl76"/>
    <w:basedOn w:val="Normal"/>
    <w:rsid w:val="000E68E0"/>
    <w:pPr>
      <w:pBdr>
        <w:top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hAnsi="Calibri"/>
      <w:b/>
      <w:bCs/>
      <w:sz w:val="18"/>
      <w:szCs w:val="18"/>
      <w:lang w:eastAsia="en-US"/>
    </w:rPr>
  </w:style>
  <w:style w:type="paragraph" w:customStyle="1" w:styleId="xl77">
    <w:name w:val="xl77"/>
    <w:basedOn w:val="Normal"/>
    <w:rsid w:val="000E68E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hAnsi="Calibri"/>
      <w:b/>
      <w:bCs/>
      <w:sz w:val="18"/>
      <w:szCs w:val="18"/>
      <w:lang w:eastAsia="en-US"/>
    </w:rPr>
  </w:style>
  <w:style w:type="paragraph" w:customStyle="1" w:styleId="xl78">
    <w:name w:val="xl78"/>
    <w:basedOn w:val="Normal"/>
    <w:rsid w:val="000E68E0"/>
    <w:pPr>
      <w:spacing w:before="100" w:beforeAutospacing="1" w:after="100" w:afterAutospacing="1" w:line="240" w:lineRule="auto"/>
      <w:ind w:firstLineChars="100" w:firstLine="100"/>
    </w:pPr>
    <w:rPr>
      <w:rFonts w:ascii="Calibri" w:hAnsi="Calibri"/>
      <w:sz w:val="18"/>
      <w:szCs w:val="18"/>
      <w:lang w:eastAsia="en-US"/>
    </w:rPr>
  </w:style>
  <w:style w:type="paragraph" w:customStyle="1" w:styleId="xl79">
    <w:name w:val="xl79"/>
    <w:basedOn w:val="Normal"/>
    <w:rsid w:val="000E68E0"/>
    <w:pPr>
      <w:spacing w:before="100" w:beforeAutospacing="1" w:after="100" w:afterAutospacing="1" w:line="240" w:lineRule="auto"/>
      <w:ind w:firstLineChars="100" w:firstLine="100"/>
    </w:pPr>
    <w:rPr>
      <w:rFonts w:ascii="Calibri" w:hAnsi="Calibri"/>
      <w:i/>
      <w:iCs/>
      <w:sz w:val="18"/>
      <w:szCs w:val="18"/>
      <w:lang w:eastAsia="en-US"/>
    </w:rPr>
  </w:style>
  <w:style w:type="paragraph" w:customStyle="1" w:styleId="xl80">
    <w:name w:val="xl80"/>
    <w:basedOn w:val="Normal"/>
    <w:rsid w:val="000E68E0"/>
    <w:pPr>
      <w:spacing w:before="100" w:beforeAutospacing="1" w:after="100" w:afterAutospacing="1" w:line="240" w:lineRule="auto"/>
      <w:ind w:firstLineChars="200" w:firstLine="200"/>
    </w:pPr>
    <w:rPr>
      <w:rFonts w:ascii="Calibri" w:hAnsi="Calibri"/>
      <w:sz w:val="18"/>
      <w:szCs w:val="18"/>
      <w:lang w:eastAsia="en-US"/>
    </w:rPr>
  </w:style>
  <w:style w:type="paragraph" w:customStyle="1" w:styleId="xl81">
    <w:name w:val="xl81"/>
    <w:basedOn w:val="Normal"/>
    <w:rsid w:val="000E68E0"/>
    <w:pPr>
      <w:spacing w:before="100" w:beforeAutospacing="1" w:after="100" w:afterAutospacing="1" w:line="240" w:lineRule="auto"/>
      <w:ind w:firstLineChars="200" w:firstLine="200"/>
    </w:pPr>
    <w:rPr>
      <w:rFonts w:ascii="Calibri" w:hAnsi="Calibri"/>
      <w:i/>
      <w:iCs/>
      <w:sz w:val="18"/>
      <w:szCs w:val="18"/>
      <w:lang w:eastAsia="en-US"/>
    </w:rPr>
  </w:style>
  <w:style w:type="paragraph" w:customStyle="1" w:styleId="xl82">
    <w:name w:val="xl82"/>
    <w:basedOn w:val="Normal"/>
    <w:rsid w:val="000E68E0"/>
    <w:pPr>
      <w:spacing w:before="100" w:beforeAutospacing="1" w:after="100" w:afterAutospacing="1" w:line="240" w:lineRule="auto"/>
    </w:pPr>
    <w:rPr>
      <w:rFonts w:ascii="Calibri" w:hAnsi="Calibri"/>
      <w:b/>
      <w:bCs/>
      <w:i/>
      <w:iCs/>
      <w:sz w:val="18"/>
      <w:szCs w:val="18"/>
      <w:lang w:eastAsia="en-US"/>
    </w:rPr>
  </w:style>
  <w:style w:type="paragraph" w:customStyle="1" w:styleId="xl83">
    <w:name w:val="xl83"/>
    <w:basedOn w:val="Normal"/>
    <w:rsid w:val="000E68E0"/>
    <w:pPr>
      <w:spacing w:before="100" w:beforeAutospacing="1" w:after="100" w:afterAutospacing="1" w:line="240" w:lineRule="auto"/>
      <w:ind w:firstLineChars="100" w:firstLine="100"/>
    </w:pPr>
    <w:rPr>
      <w:rFonts w:ascii="Calibri" w:hAnsi="Calibri"/>
      <w:b/>
      <w:bCs/>
      <w:i/>
      <w:iCs/>
      <w:sz w:val="18"/>
      <w:szCs w:val="18"/>
      <w:lang w:eastAsia="en-US"/>
    </w:rPr>
  </w:style>
  <w:style w:type="paragraph" w:customStyle="1" w:styleId="xl84">
    <w:name w:val="xl84"/>
    <w:basedOn w:val="Normal"/>
    <w:rsid w:val="000E68E0"/>
    <w:pPr>
      <w:spacing w:before="100" w:beforeAutospacing="1" w:after="100" w:afterAutospacing="1" w:line="240" w:lineRule="auto"/>
      <w:ind w:firstLineChars="200" w:firstLine="200"/>
    </w:pPr>
    <w:rPr>
      <w:rFonts w:ascii="Calibri" w:hAnsi="Calibri"/>
      <w:sz w:val="18"/>
      <w:szCs w:val="18"/>
      <w:lang w:eastAsia="en-US"/>
    </w:rPr>
  </w:style>
  <w:style w:type="character" w:customStyle="1" w:styleId="apple-converted-space">
    <w:name w:val="apple-converted-space"/>
    <w:basedOn w:val="DefaultParagraphFont"/>
    <w:rsid w:val="000D7668"/>
  </w:style>
  <w:style w:type="table" w:customStyle="1" w:styleId="TableGrid1">
    <w:name w:val="Table Grid1"/>
    <w:basedOn w:val="TableNormal"/>
    <w:next w:val="TableGrid"/>
    <w:uiPriority w:val="59"/>
    <w:rsid w:val="00EC0D57"/>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248E6"/>
    <w:pPr>
      <w:spacing w:after="0" w:line="480" w:lineRule="auto"/>
      <w:ind w:left="720" w:hanging="720"/>
    </w:pPr>
    <w:rPr>
      <w:rFonts w:eastAsiaTheme="minorHAnsi"/>
      <w:lang w:val="en-NZ" w:eastAsia="en-US"/>
    </w:rPr>
  </w:style>
  <w:style w:type="table" w:styleId="GridTable3-Accent3">
    <w:name w:val="Grid Table 3 Accent 3"/>
    <w:basedOn w:val="TableNormal"/>
    <w:uiPriority w:val="48"/>
    <w:rsid w:val="006248E6"/>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paragraph" w:styleId="TOC4">
    <w:name w:val="toc 4"/>
    <w:basedOn w:val="Normal"/>
    <w:next w:val="Normal"/>
    <w:autoRedefine/>
    <w:uiPriority w:val="39"/>
    <w:unhideWhenUsed/>
    <w:rsid w:val="00571731"/>
    <w:pPr>
      <w:spacing w:after="100"/>
      <w:ind w:left="660"/>
    </w:pPr>
  </w:style>
  <w:style w:type="table" w:styleId="ListTable2-Accent3">
    <w:name w:val="List Table 2 Accent 3"/>
    <w:basedOn w:val="TableNormal"/>
    <w:uiPriority w:val="47"/>
    <w:rsid w:val="00005459"/>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1Light">
    <w:name w:val="Grid Table 1 Light"/>
    <w:basedOn w:val="TableNormal"/>
    <w:uiPriority w:val="46"/>
    <w:rsid w:val="0022452E"/>
    <w:pPr>
      <w:spacing w:after="0" w:line="240" w:lineRule="auto"/>
    </w:pPr>
    <w:rPr>
      <w:sz w:val="24"/>
      <w:szCs w:val="24"/>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4B6"/>
    <w:pPr>
      <w:spacing w:after="0" w:line="240" w:lineRule="auto"/>
    </w:pPr>
    <w:rPr>
      <w:rFonts w:eastAsiaTheme="minorHAnsi"/>
      <w:lang w:val="en-NZ" w:eastAsia="en-US"/>
    </w:r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916FDF"/>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088">
      <w:bodyDiv w:val="1"/>
      <w:marLeft w:val="0"/>
      <w:marRight w:val="0"/>
      <w:marTop w:val="0"/>
      <w:marBottom w:val="0"/>
      <w:divBdr>
        <w:top w:val="none" w:sz="0" w:space="0" w:color="auto"/>
        <w:left w:val="none" w:sz="0" w:space="0" w:color="auto"/>
        <w:bottom w:val="none" w:sz="0" w:space="0" w:color="auto"/>
        <w:right w:val="none" w:sz="0" w:space="0" w:color="auto"/>
      </w:divBdr>
    </w:div>
    <w:div w:id="39525941">
      <w:bodyDiv w:val="1"/>
      <w:marLeft w:val="0"/>
      <w:marRight w:val="0"/>
      <w:marTop w:val="0"/>
      <w:marBottom w:val="0"/>
      <w:divBdr>
        <w:top w:val="none" w:sz="0" w:space="0" w:color="auto"/>
        <w:left w:val="none" w:sz="0" w:space="0" w:color="auto"/>
        <w:bottom w:val="none" w:sz="0" w:space="0" w:color="auto"/>
        <w:right w:val="none" w:sz="0" w:space="0" w:color="auto"/>
      </w:divBdr>
    </w:div>
    <w:div w:id="44644695">
      <w:bodyDiv w:val="1"/>
      <w:marLeft w:val="0"/>
      <w:marRight w:val="0"/>
      <w:marTop w:val="0"/>
      <w:marBottom w:val="0"/>
      <w:divBdr>
        <w:top w:val="none" w:sz="0" w:space="0" w:color="auto"/>
        <w:left w:val="none" w:sz="0" w:space="0" w:color="auto"/>
        <w:bottom w:val="none" w:sz="0" w:space="0" w:color="auto"/>
        <w:right w:val="none" w:sz="0" w:space="0" w:color="auto"/>
      </w:divBdr>
    </w:div>
    <w:div w:id="62873579">
      <w:bodyDiv w:val="1"/>
      <w:marLeft w:val="0"/>
      <w:marRight w:val="0"/>
      <w:marTop w:val="0"/>
      <w:marBottom w:val="0"/>
      <w:divBdr>
        <w:top w:val="none" w:sz="0" w:space="0" w:color="auto"/>
        <w:left w:val="none" w:sz="0" w:space="0" w:color="auto"/>
        <w:bottom w:val="none" w:sz="0" w:space="0" w:color="auto"/>
        <w:right w:val="none" w:sz="0" w:space="0" w:color="auto"/>
      </w:divBdr>
    </w:div>
    <w:div w:id="86049802">
      <w:bodyDiv w:val="1"/>
      <w:marLeft w:val="0"/>
      <w:marRight w:val="0"/>
      <w:marTop w:val="0"/>
      <w:marBottom w:val="0"/>
      <w:divBdr>
        <w:top w:val="none" w:sz="0" w:space="0" w:color="auto"/>
        <w:left w:val="none" w:sz="0" w:space="0" w:color="auto"/>
        <w:bottom w:val="none" w:sz="0" w:space="0" w:color="auto"/>
        <w:right w:val="none" w:sz="0" w:space="0" w:color="auto"/>
      </w:divBdr>
    </w:div>
    <w:div w:id="93522480">
      <w:bodyDiv w:val="1"/>
      <w:marLeft w:val="0"/>
      <w:marRight w:val="0"/>
      <w:marTop w:val="0"/>
      <w:marBottom w:val="0"/>
      <w:divBdr>
        <w:top w:val="none" w:sz="0" w:space="0" w:color="auto"/>
        <w:left w:val="none" w:sz="0" w:space="0" w:color="auto"/>
        <w:bottom w:val="none" w:sz="0" w:space="0" w:color="auto"/>
        <w:right w:val="none" w:sz="0" w:space="0" w:color="auto"/>
      </w:divBdr>
    </w:div>
    <w:div w:id="96876183">
      <w:bodyDiv w:val="1"/>
      <w:marLeft w:val="0"/>
      <w:marRight w:val="0"/>
      <w:marTop w:val="0"/>
      <w:marBottom w:val="0"/>
      <w:divBdr>
        <w:top w:val="none" w:sz="0" w:space="0" w:color="auto"/>
        <w:left w:val="none" w:sz="0" w:space="0" w:color="auto"/>
        <w:bottom w:val="none" w:sz="0" w:space="0" w:color="auto"/>
        <w:right w:val="none" w:sz="0" w:space="0" w:color="auto"/>
      </w:divBdr>
    </w:div>
    <w:div w:id="111873294">
      <w:bodyDiv w:val="1"/>
      <w:marLeft w:val="0"/>
      <w:marRight w:val="0"/>
      <w:marTop w:val="0"/>
      <w:marBottom w:val="0"/>
      <w:divBdr>
        <w:top w:val="none" w:sz="0" w:space="0" w:color="auto"/>
        <w:left w:val="none" w:sz="0" w:space="0" w:color="auto"/>
        <w:bottom w:val="none" w:sz="0" w:space="0" w:color="auto"/>
        <w:right w:val="none" w:sz="0" w:space="0" w:color="auto"/>
      </w:divBdr>
    </w:div>
    <w:div w:id="129983742">
      <w:bodyDiv w:val="1"/>
      <w:marLeft w:val="0"/>
      <w:marRight w:val="0"/>
      <w:marTop w:val="0"/>
      <w:marBottom w:val="0"/>
      <w:divBdr>
        <w:top w:val="none" w:sz="0" w:space="0" w:color="auto"/>
        <w:left w:val="none" w:sz="0" w:space="0" w:color="auto"/>
        <w:bottom w:val="none" w:sz="0" w:space="0" w:color="auto"/>
        <w:right w:val="none" w:sz="0" w:space="0" w:color="auto"/>
      </w:divBdr>
    </w:div>
    <w:div w:id="155921872">
      <w:bodyDiv w:val="1"/>
      <w:marLeft w:val="0"/>
      <w:marRight w:val="0"/>
      <w:marTop w:val="0"/>
      <w:marBottom w:val="0"/>
      <w:divBdr>
        <w:top w:val="none" w:sz="0" w:space="0" w:color="auto"/>
        <w:left w:val="none" w:sz="0" w:space="0" w:color="auto"/>
        <w:bottom w:val="none" w:sz="0" w:space="0" w:color="auto"/>
        <w:right w:val="none" w:sz="0" w:space="0" w:color="auto"/>
      </w:divBdr>
    </w:div>
    <w:div w:id="176582793">
      <w:bodyDiv w:val="1"/>
      <w:marLeft w:val="0"/>
      <w:marRight w:val="0"/>
      <w:marTop w:val="0"/>
      <w:marBottom w:val="0"/>
      <w:divBdr>
        <w:top w:val="none" w:sz="0" w:space="0" w:color="auto"/>
        <w:left w:val="none" w:sz="0" w:space="0" w:color="auto"/>
        <w:bottom w:val="none" w:sz="0" w:space="0" w:color="auto"/>
        <w:right w:val="none" w:sz="0" w:space="0" w:color="auto"/>
      </w:divBdr>
    </w:div>
    <w:div w:id="180630437">
      <w:bodyDiv w:val="1"/>
      <w:marLeft w:val="0"/>
      <w:marRight w:val="0"/>
      <w:marTop w:val="0"/>
      <w:marBottom w:val="0"/>
      <w:divBdr>
        <w:top w:val="none" w:sz="0" w:space="0" w:color="auto"/>
        <w:left w:val="none" w:sz="0" w:space="0" w:color="auto"/>
        <w:bottom w:val="none" w:sz="0" w:space="0" w:color="auto"/>
        <w:right w:val="none" w:sz="0" w:space="0" w:color="auto"/>
      </w:divBdr>
    </w:div>
    <w:div w:id="180708973">
      <w:bodyDiv w:val="1"/>
      <w:marLeft w:val="0"/>
      <w:marRight w:val="0"/>
      <w:marTop w:val="0"/>
      <w:marBottom w:val="0"/>
      <w:divBdr>
        <w:top w:val="none" w:sz="0" w:space="0" w:color="auto"/>
        <w:left w:val="none" w:sz="0" w:space="0" w:color="auto"/>
        <w:bottom w:val="none" w:sz="0" w:space="0" w:color="auto"/>
        <w:right w:val="none" w:sz="0" w:space="0" w:color="auto"/>
      </w:divBdr>
    </w:div>
    <w:div w:id="181163210">
      <w:bodyDiv w:val="1"/>
      <w:marLeft w:val="0"/>
      <w:marRight w:val="0"/>
      <w:marTop w:val="0"/>
      <w:marBottom w:val="0"/>
      <w:divBdr>
        <w:top w:val="none" w:sz="0" w:space="0" w:color="auto"/>
        <w:left w:val="none" w:sz="0" w:space="0" w:color="auto"/>
        <w:bottom w:val="none" w:sz="0" w:space="0" w:color="auto"/>
        <w:right w:val="none" w:sz="0" w:space="0" w:color="auto"/>
      </w:divBdr>
    </w:div>
    <w:div w:id="193925481">
      <w:bodyDiv w:val="1"/>
      <w:marLeft w:val="0"/>
      <w:marRight w:val="0"/>
      <w:marTop w:val="0"/>
      <w:marBottom w:val="0"/>
      <w:divBdr>
        <w:top w:val="none" w:sz="0" w:space="0" w:color="auto"/>
        <w:left w:val="none" w:sz="0" w:space="0" w:color="auto"/>
        <w:bottom w:val="none" w:sz="0" w:space="0" w:color="auto"/>
        <w:right w:val="none" w:sz="0" w:space="0" w:color="auto"/>
      </w:divBdr>
    </w:div>
    <w:div w:id="205411634">
      <w:bodyDiv w:val="1"/>
      <w:marLeft w:val="0"/>
      <w:marRight w:val="0"/>
      <w:marTop w:val="0"/>
      <w:marBottom w:val="0"/>
      <w:divBdr>
        <w:top w:val="none" w:sz="0" w:space="0" w:color="auto"/>
        <w:left w:val="none" w:sz="0" w:space="0" w:color="auto"/>
        <w:bottom w:val="none" w:sz="0" w:space="0" w:color="auto"/>
        <w:right w:val="none" w:sz="0" w:space="0" w:color="auto"/>
      </w:divBdr>
    </w:div>
    <w:div w:id="211311246">
      <w:bodyDiv w:val="1"/>
      <w:marLeft w:val="0"/>
      <w:marRight w:val="0"/>
      <w:marTop w:val="0"/>
      <w:marBottom w:val="0"/>
      <w:divBdr>
        <w:top w:val="none" w:sz="0" w:space="0" w:color="auto"/>
        <w:left w:val="none" w:sz="0" w:space="0" w:color="auto"/>
        <w:bottom w:val="none" w:sz="0" w:space="0" w:color="auto"/>
        <w:right w:val="none" w:sz="0" w:space="0" w:color="auto"/>
      </w:divBdr>
    </w:div>
    <w:div w:id="229193730">
      <w:bodyDiv w:val="1"/>
      <w:marLeft w:val="0"/>
      <w:marRight w:val="0"/>
      <w:marTop w:val="0"/>
      <w:marBottom w:val="0"/>
      <w:divBdr>
        <w:top w:val="none" w:sz="0" w:space="0" w:color="auto"/>
        <w:left w:val="none" w:sz="0" w:space="0" w:color="auto"/>
        <w:bottom w:val="none" w:sz="0" w:space="0" w:color="auto"/>
        <w:right w:val="none" w:sz="0" w:space="0" w:color="auto"/>
      </w:divBdr>
    </w:div>
    <w:div w:id="282224842">
      <w:bodyDiv w:val="1"/>
      <w:marLeft w:val="0"/>
      <w:marRight w:val="0"/>
      <w:marTop w:val="0"/>
      <w:marBottom w:val="0"/>
      <w:divBdr>
        <w:top w:val="none" w:sz="0" w:space="0" w:color="auto"/>
        <w:left w:val="none" w:sz="0" w:space="0" w:color="auto"/>
        <w:bottom w:val="none" w:sz="0" w:space="0" w:color="auto"/>
        <w:right w:val="none" w:sz="0" w:space="0" w:color="auto"/>
      </w:divBdr>
    </w:div>
    <w:div w:id="292444005">
      <w:bodyDiv w:val="1"/>
      <w:marLeft w:val="0"/>
      <w:marRight w:val="0"/>
      <w:marTop w:val="0"/>
      <w:marBottom w:val="0"/>
      <w:divBdr>
        <w:top w:val="none" w:sz="0" w:space="0" w:color="auto"/>
        <w:left w:val="none" w:sz="0" w:space="0" w:color="auto"/>
        <w:bottom w:val="none" w:sz="0" w:space="0" w:color="auto"/>
        <w:right w:val="none" w:sz="0" w:space="0" w:color="auto"/>
      </w:divBdr>
    </w:div>
    <w:div w:id="305166859">
      <w:bodyDiv w:val="1"/>
      <w:marLeft w:val="0"/>
      <w:marRight w:val="0"/>
      <w:marTop w:val="0"/>
      <w:marBottom w:val="0"/>
      <w:divBdr>
        <w:top w:val="none" w:sz="0" w:space="0" w:color="auto"/>
        <w:left w:val="none" w:sz="0" w:space="0" w:color="auto"/>
        <w:bottom w:val="none" w:sz="0" w:space="0" w:color="auto"/>
        <w:right w:val="none" w:sz="0" w:space="0" w:color="auto"/>
      </w:divBdr>
    </w:div>
    <w:div w:id="306519860">
      <w:bodyDiv w:val="1"/>
      <w:marLeft w:val="0"/>
      <w:marRight w:val="0"/>
      <w:marTop w:val="0"/>
      <w:marBottom w:val="0"/>
      <w:divBdr>
        <w:top w:val="none" w:sz="0" w:space="0" w:color="auto"/>
        <w:left w:val="none" w:sz="0" w:space="0" w:color="auto"/>
        <w:bottom w:val="none" w:sz="0" w:space="0" w:color="auto"/>
        <w:right w:val="none" w:sz="0" w:space="0" w:color="auto"/>
      </w:divBdr>
    </w:div>
    <w:div w:id="308093485">
      <w:bodyDiv w:val="1"/>
      <w:marLeft w:val="0"/>
      <w:marRight w:val="0"/>
      <w:marTop w:val="0"/>
      <w:marBottom w:val="0"/>
      <w:divBdr>
        <w:top w:val="none" w:sz="0" w:space="0" w:color="auto"/>
        <w:left w:val="none" w:sz="0" w:space="0" w:color="auto"/>
        <w:bottom w:val="none" w:sz="0" w:space="0" w:color="auto"/>
        <w:right w:val="none" w:sz="0" w:space="0" w:color="auto"/>
      </w:divBdr>
    </w:div>
    <w:div w:id="325666502">
      <w:bodyDiv w:val="1"/>
      <w:marLeft w:val="0"/>
      <w:marRight w:val="0"/>
      <w:marTop w:val="0"/>
      <w:marBottom w:val="0"/>
      <w:divBdr>
        <w:top w:val="none" w:sz="0" w:space="0" w:color="auto"/>
        <w:left w:val="none" w:sz="0" w:space="0" w:color="auto"/>
        <w:bottom w:val="none" w:sz="0" w:space="0" w:color="auto"/>
        <w:right w:val="none" w:sz="0" w:space="0" w:color="auto"/>
      </w:divBdr>
    </w:div>
    <w:div w:id="359861692">
      <w:bodyDiv w:val="1"/>
      <w:marLeft w:val="0"/>
      <w:marRight w:val="0"/>
      <w:marTop w:val="0"/>
      <w:marBottom w:val="0"/>
      <w:divBdr>
        <w:top w:val="none" w:sz="0" w:space="0" w:color="auto"/>
        <w:left w:val="none" w:sz="0" w:space="0" w:color="auto"/>
        <w:bottom w:val="none" w:sz="0" w:space="0" w:color="auto"/>
        <w:right w:val="none" w:sz="0" w:space="0" w:color="auto"/>
      </w:divBdr>
    </w:div>
    <w:div w:id="399838823">
      <w:bodyDiv w:val="1"/>
      <w:marLeft w:val="0"/>
      <w:marRight w:val="0"/>
      <w:marTop w:val="0"/>
      <w:marBottom w:val="0"/>
      <w:divBdr>
        <w:top w:val="none" w:sz="0" w:space="0" w:color="auto"/>
        <w:left w:val="none" w:sz="0" w:space="0" w:color="auto"/>
        <w:bottom w:val="none" w:sz="0" w:space="0" w:color="auto"/>
        <w:right w:val="none" w:sz="0" w:space="0" w:color="auto"/>
      </w:divBdr>
    </w:div>
    <w:div w:id="404843893">
      <w:bodyDiv w:val="1"/>
      <w:marLeft w:val="0"/>
      <w:marRight w:val="0"/>
      <w:marTop w:val="0"/>
      <w:marBottom w:val="0"/>
      <w:divBdr>
        <w:top w:val="none" w:sz="0" w:space="0" w:color="auto"/>
        <w:left w:val="none" w:sz="0" w:space="0" w:color="auto"/>
        <w:bottom w:val="none" w:sz="0" w:space="0" w:color="auto"/>
        <w:right w:val="none" w:sz="0" w:space="0" w:color="auto"/>
      </w:divBdr>
    </w:div>
    <w:div w:id="411004926">
      <w:bodyDiv w:val="1"/>
      <w:marLeft w:val="0"/>
      <w:marRight w:val="0"/>
      <w:marTop w:val="0"/>
      <w:marBottom w:val="0"/>
      <w:divBdr>
        <w:top w:val="none" w:sz="0" w:space="0" w:color="auto"/>
        <w:left w:val="none" w:sz="0" w:space="0" w:color="auto"/>
        <w:bottom w:val="none" w:sz="0" w:space="0" w:color="auto"/>
        <w:right w:val="none" w:sz="0" w:space="0" w:color="auto"/>
      </w:divBdr>
    </w:div>
    <w:div w:id="465397696">
      <w:bodyDiv w:val="1"/>
      <w:marLeft w:val="0"/>
      <w:marRight w:val="0"/>
      <w:marTop w:val="0"/>
      <w:marBottom w:val="0"/>
      <w:divBdr>
        <w:top w:val="none" w:sz="0" w:space="0" w:color="auto"/>
        <w:left w:val="none" w:sz="0" w:space="0" w:color="auto"/>
        <w:bottom w:val="none" w:sz="0" w:space="0" w:color="auto"/>
        <w:right w:val="none" w:sz="0" w:space="0" w:color="auto"/>
      </w:divBdr>
    </w:div>
    <w:div w:id="481042736">
      <w:bodyDiv w:val="1"/>
      <w:marLeft w:val="0"/>
      <w:marRight w:val="0"/>
      <w:marTop w:val="0"/>
      <w:marBottom w:val="0"/>
      <w:divBdr>
        <w:top w:val="none" w:sz="0" w:space="0" w:color="auto"/>
        <w:left w:val="none" w:sz="0" w:space="0" w:color="auto"/>
        <w:bottom w:val="none" w:sz="0" w:space="0" w:color="auto"/>
        <w:right w:val="none" w:sz="0" w:space="0" w:color="auto"/>
      </w:divBdr>
    </w:div>
    <w:div w:id="537352955">
      <w:bodyDiv w:val="1"/>
      <w:marLeft w:val="0"/>
      <w:marRight w:val="0"/>
      <w:marTop w:val="0"/>
      <w:marBottom w:val="0"/>
      <w:divBdr>
        <w:top w:val="none" w:sz="0" w:space="0" w:color="auto"/>
        <w:left w:val="none" w:sz="0" w:space="0" w:color="auto"/>
        <w:bottom w:val="none" w:sz="0" w:space="0" w:color="auto"/>
        <w:right w:val="none" w:sz="0" w:space="0" w:color="auto"/>
      </w:divBdr>
    </w:div>
    <w:div w:id="593319344">
      <w:bodyDiv w:val="1"/>
      <w:marLeft w:val="0"/>
      <w:marRight w:val="0"/>
      <w:marTop w:val="0"/>
      <w:marBottom w:val="0"/>
      <w:divBdr>
        <w:top w:val="none" w:sz="0" w:space="0" w:color="auto"/>
        <w:left w:val="none" w:sz="0" w:space="0" w:color="auto"/>
        <w:bottom w:val="none" w:sz="0" w:space="0" w:color="auto"/>
        <w:right w:val="none" w:sz="0" w:space="0" w:color="auto"/>
      </w:divBdr>
    </w:div>
    <w:div w:id="643236990">
      <w:bodyDiv w:val="1"/>
      <w:marLeft w:val="0"/>
      <w:marRight w:val="0"/>
      <w:marTop w:val="0"/>
      <w:marBottom w:val="0"/>
      <w:divBdr>
        <w:top w:val="none" w:sz="0" w:space="0" w:color="auto"/>
        <w:left w:val="none" w:sz="0" w:space="0" w:color="auto"/>
        <w:bottom w:val="none" w:sz="0" w:space="0" w:color="auto"/>
        <w:right w:val="none" w:sz="0" w:space="0" w:color="auto"/>
      </w:divBdr>
    </w:div>
    <w:div w:id="650712269">
      <w:bodyDiv w:val="1"/>
      <w:marLeft w:val="0"/>
      <w:marRight w:val="0"/>
      <w:marTop w:val="0"/>
      <w:marBottom w:val="0"/>
      <w:divBdr>
        <w:top w:val="none" w:sz="0" w:space="0" w:color="auto"/>
        <w:left w:val="none" w:sz="0" w:space="0" w:color="auto"/>
        <w:bottom w:val="none" w:sz="0" w:space="0" w:color="auto"/>
        <w:right w:val="none" w:sz="0" w:space="0" w:color="auto"/>
      </w:divBdr>
    </w:div>
    <w:div w:id="695041758">
      <w:bodyDiv w:val="1"/>
      <w:marLeft w:val="0"/>
      <w:marRight w:val="0"/>
      <w:marTop w:val="0"/>
      <w:marBottom w:val="0"/>
      <w:divBdr>
        <w:top w:val="none" w:sz="0" w:space="0" w:color="auto"/>
        <w:left w:val="none" w:sz="0" w:space="0" w:color="auto"/>
        <w:bottom w:val="none" w:sz="0" w:space="0" w:color="auto"/>
        <w:right w:val="none" w:sz="0" w:space="0" w:color="auto"/>
      </w:divBdr>
    </w:div>
    <w:div w:id="739836637">
      <w:bodyDiv w:val="1"/>
      <w:marLeft w:val="0"/>
      <w:marRight w:val="0"/>
      <w:marTop w:val="0"/>
      <w:marBottom w:val="0"/>
      <w:divBdr>
        <w:top w:val="none" w:sz="0" w:space="0" w:color="auto"/>
        <w:left w:val="none" w:sz="0" w:space="0" w:color="auto"/>
        <w:bottom w:val="none" w:sz="0" w:space="0" w:color="auto"/>
        <w:right w:val="none" w:sz="0" w:space="0" w:color="auto"/>
      </w:divBdr>
    </w:div>
    <w:div w:id="762068777">
      <w:bodyDiv w:val="1"/>
      <w:marLeft w:val="0"/>
      <w:marRight w:val="0"/>
      <w:marTop w:val="0"/>
      <w:marBottom w:val="0"/>
      <w:divBdr>
        <w:top w:val="none" w:sz="0" w:space="0" w:color="auto"/>
        <w:left w:val="none" w:sz="0" w:space="0" w:color="auto"/>
        <w:bottom w:val="none" w:sz="0" w:space="0" w:color="auto"/>
        <w:right w:val="none" w:sz="0" w:space="0" w:color="auto"/>
      </w:divBdr>
    </w:div>
    <w:div w:id="783234913">
      <w:bodyDiv w:val="1"/>
      <w:marLeft w:val="0"/>
      <w:marRight w:val="0"/>
      <w:marTop w:val="0"/>
      <w:marBottom w:val="0"/>
      <w:divBdr>
        <w:top w:val="none" w:sz="0" w:space="0" w:color="auto"/>
        <w:left w:val="none" w:sz="0" w:space="0" w:color="auto"/>
        <w:bottom w:val="none" w:sz="0" w:space="0" w:color="auto"/>
        <w:right w:val="none" w:sz="0" w:space="0" w:color="auto"/>
      </w:divBdr>
    </w:div>
    <w:div w:id="784230434">
      <w:bodyDiv w:val="1"/>
      <w:marLeft w:val="0"/>
      <w:marRight w:val="0"/>
      <w:marTop w:val="0"/>
      <w:marBottom w:val="0"/>
      <w:divBdr>
        <w:top w:val="none" w:sz="0" w:space="0" w:color="auto"/>
        <w:left w:val="none" w:sz="0" w:space="0" w:color="auto"/>
        <w:bottom w:val="none" w:sz="0" w:space="0" w:color="auto"/>
        <w:right w:val="none" w:sz="0" w:space="0" w:color="auto"/>
      </w:divBdr>
    </w:div>
    <w:div w:id="790974079">
      <w:bodyDiv w:val="1"/>
      <w:marLeft w:val="0"/>
      <w:marRight w:val="0"/>
      <w:marTop w:val="0"/>
      <w:marBottom w:val="0"/>
      <w:divBdr>
        <w:top w:val="none" w:sz="0" w:space="0" w:color="auto"/>
        <w:left w:val="none" w:sz="0" w:space="0" w:color="auto"/>
        <w:bottom w:val="none" w:sz="0" w:space="0" w:color="auto"/>
        <w:right w:val="none" w:sz="0" w:space="0" w:color="auto"/>
      </w:divBdr>
    </w:div>
    <w:div w:id="806824597">
      <w:bodyDiv w:val="1"/>
      <w:marLeft w:val="0"/>
      <w:marRight w:val="0"/>
      <w:marTop w:val="0"/>
      <w:marBottom w:val="0"/>
      <w:divBdr>
        <w:top w:val="none" w:sz="0" w:space="0" w:color="auto"/>
        <w:left w:val="none" w:sz="0" w:space="0" w:color="auto"/>
        <w:bottom w:val="none" w:sz="0" w:space="0" w:color="auto"/>
        <w:right w:val="none" w:sz="0" w:space="0" w:color="auto"/>
      </w:divBdr>
    </w:div>
    <w:div w:id="845630271">
      <w:bodyDiv w:val="1"/>
      <w:marLeft w:val="0"/>
      <w:marRight w:val="0"/>
      <w:marTop w:val="0"/>
      <w:marBottom w:val="0"/>
      <w:divBdr>
        <w:top w:val="none" w:sz="0" w:space="0" w:color="auto"/>
        <w:left w:val="none" w:sz="0" w:space="0" w:color="auto"/>
        <w:bottom w:val="none" w:sz="0" w:space="0" w:color="auto"/>
        <w:right w:val="none" w:sz="0" w:space="0" w:color="auto"/>
      </w:divBdr>
    </w:div>
    <w:div w:id="860163562">
      <w:bodyDiv w:val="1"/>
      <w:marLeft w:val="0"/>
      <w:marRight w:val="0"/>
      <w:marTop w:val="0"/>
      <w:marBottom w:val="0"/>
      <w:divBdr>
        <w:top w:val="none" w:sz="0" w:space="0" w:color="auto"/>
        <w:left w:val="none" w:sz="0" w:space="0" w:color="auto"/>
        <w:bottom w:val="none" w:sz="0" w:space="0" w:color="auto"/>
        <w:right w:val="none" w:sz="0" w:space="0" w:color="auto"/>
      </w:divBdr>
    </w:div>
    <w:div w:id="876623772">
      <w:bodyDiv w:val="1"/>
      <w:marLeft w:val="0"/>
      <w:marRight w:val="0"/>
      <w:marTop w:val="0"/>
      <w:marBottom w:val="0"/>
      <w:divBdr>
        <w:top w:val="none" w:sz="0" w:space="0" w:color="auto"/>
        <w:left w:val="none" w:sz="0" w:space="0" w:color="auto"/>
        <w:bottom w:val="none" w:sz="0" w:space="0" w:color="auto"/>
        <w:right w:val="none" w:sz="0" w:space="0" w:color="auto"/>
      </w:divBdr>
    </w:div>
    <w:div w:id="877084205">
      <w:bodyDiv w:val="1"/>
      <w:marLeft w:val="0"/>
      <w:marRight w:val="0"/>
      <w:marTop w:val="0"/>
      <w:marBottom w:val="0"/>
      <w:divBdr>
        <w:top w:val="none" w:sz="0" w:space="0" w:color="auto"/>
        <w:left w:val="none" w:sz="0" w:space="0" w:color="auto"/>
        <w:bottom w:val="none" w:sz="0" w:space="0" w:color="auto"/>
        <w:right w:val="none" w:sz="0" w:space="0" w:color="auto"/>
      </w:divBdr>
    </w:div>
    <w:div w:id="912472195">
      <w:bodyDiv w:val="1"/>
      <w:marLeft w:val="0"/>
      <w:marRight w:val="0"/>
      <w:marTop w:val="0"/>
      <w:marBottom w:val="0"/>
      <w:divBdr>
        <w:top w:val="none" w:sz="0" w:space="0" w:color="auto"/>
        <w:left w:val="none" w:sz="0" w:space="0" w:color="auto"/>
        <w:bottom w:val="none" w:sz="0" w:space="0" w:color="auto"/>
        <w:right w:val="none" w:sz="0" w:space="0" w:color="auto"/>
      </w:divBdr>
    </w:div>
    <w:div w:id="920139534">
      <w:bodyDiv w:val="1"/>
      <w:marLeft w:val="0"/>
      <w:marRight w:val="0"/>
      <w:marTop w:val="0"/>
      <w:marBottom w:val="0"/>
      <w:divBdr>
        <w:top w:val="none" w:sz="0" w:space="0" w:color="auto"/>
        <w:left w:val="none" w:sz="0" w:space="0" w:color="auto"/>
        <w:bottom w:val="none" w:sz="0" w:space="0" w:color="auto"/>
        <w:right w:val="none" w:sz="0" w:space="0" w:color="auto"/>
      </w:divBdr>
    </w:div>
    <w:div w:id="927883535">
      <w:bodyDiv w:val="1"/>
      <w:marLeft w:val="0"/>
      <w:marRight w:val="0"/>
      <w:marTop w:val="0"/>
      <w:marBottom w:val="0"/>
      <w:divBdr>
        <w:top w:val="none" w:sz="0" w:space="0" w:color="auto"/>
        <w:left w:val="none" w:sz="0" w:space="0" w:color="auto"/>
        <w:bottom w:val="none" w:sz="0" w:space="0" w:color="auto"/>
        <w:right w:val="none" w:sz="0" w:space="0" w:color="auto"/>
      </w:divBdr>
    </w:div>
    <w:div w:id="938561297">
      <w:bodyDiv w:val="1"/>
      <w:marLeft w:val="0"/>
      <w:marRight w:val="0"/>
      <w:marTop w:val="0"/>
      <w:marBottom w:val="0"/>
      <w:divBdr>
        <w:top w:val="none" w:sz="0" w:space="0" w:color="auto"/>
        <w:left w:val="none" w:sz="0" w:space="0" w:color="auto"/>
        <w:bottom w:val="none" w:sz="0" w:space="0" w:color="auto"/>
        <w:right w:val="none" w:sz="0" w:space="0" w:color="auto"/>
      </w:divBdr>
    </w:div>
    <w:div w:id="990521063">
      <w:bodyDiv w:val="1"/>
      <w:marLeft w:val="0"/>
      <w:marRight w:val="0"/>
      <w:marTop w:val="0"/>
      <w:marBottom w:val="0"/>
      <w:divBdr>
        <w:top w:val="none" w:sz="0" w:space="0" w:color="auto"/>
        <w:left w:val="none" w:sz="0" w:space="0" w:color="auto"/>
        <w:bottom w:val="none" w:sz="0" w:space="0" w:color="auto"/>
        <w:right w:val="none" w:sz="0" w:space="0" w:color="auto"/>
      </w:divBdr>
    </w:div>
    <w:div w:id="1025014896">
      <w:bodyDiv w:val="1"/>
      <w:marLeft w:val="0"/>
      <w:marRight w:val="0"/>
      <w:marTop w:val="0"/>
      <w:marBottom w:val="0"/>
      <w:divBdr>
        <w:top w:val="none" w:sz="0" w:space="0" w:color="auto"/>
        <w:left w:val="none" w:sz="0" w:space="0" w:color="auto"/>
        <w:bottom w:val="none" w:sz="0" w:space="0" w:color="auto"/>
        <w:right w:val="none" w:sz="0" w:space="0" w:color="auto"/>
      </w:divBdr>
    </w:div>
    <w:div w:id="1039168011">
      <w:bodyDiv w:val="1"/>
      <w:marLeft w:val="0"/>
      <w:marRight w:val="0"/>
      <w:marTop w:val="0"/>
      <w:marBottom w:val="0"/>
      <w:divBdr>
        <w:top w:val="none" w:sz="0" w:space="0" w:color="auto"/>
        <w:left w:val="none" w:sz="0" w:space="0" w:color="auto"/>
        <w:bottom w:val="none" w:sz="0" w:space="0" w:color="auto"/>
        <w:right w:val="none" w:sz="0" w:space="0" w:color="auto"/>
      </w:divBdr>
    </w:div>
    <w:div w:id="1040545358">
      <w:bodyDiv w:val="1"/>
      <w:marLeft w:val="0"/>
      <w:marRight w:val="0"/>
      <w:marTop w:val="0"/>
      <w:marBottom w:val="0"/>
      <w:divBdr>
        <w:top w:val="none" w:sz="0" w:space="0" w:color="auto"/>
        <w:left w:val="none" w:sz="0" w:space="0" w:color="auto"/>
        <w:bottom w:val="none" w:sz="0" w:space="0" w:color="auto"/>
        <w:right w:val="none" w:sz="0" w:space="0" w:color="auto"/>
      </w:divBdr>
    </w:div>
    <w:div w:id="1043210015">
      <w:bodyDiv w:val="1"/>
      <w:marLeft w:val="0"/>
      <w:marRight w:val="0"/>
      <w:marTop w:val="0"/>
      <w:marBottom w:val="0"/>
      <w:divBdr>
        <w:top w:val="none" w:sz="0" w:space="0" w:color="auto"/>
        <w:left w:val="none" w:sz="0" w:space="0" w:color="auto"/>
        <w:bottom w:val="none" w:sz="0" w:space="0" w:color="auto"/>
        <w:right w:val="none" w:sz="0" w:space="0" w:color="auto"/>
      </w:divBdr>
      <w:divsChild>
        <w:div w:id="847596971">
          <w:marLeft w:val="0"/>
          <w:marRight w:val="0"/>
          <w:marTop w:val="0"/>
          <w:marBottom w:val="0"/>
          <w:divBdr>
            <w:top w:val="none" w:sz="0" w:space="0" w:color="auto"/>
            <w:left w:val="none" w:sz="0" w:space="0" w:color="auto"/>
            <w:bottom w:val="none" w:sz="0" w:space="0" w:color="auto"/>
            <w:right w:val="none" w:sz="0" w:space="0" w:color="auto"/>
          </w:divBdr>
        </w:div>
      </w:divsChild>
    </w:div>
    <w:div w:id="1078357288">
      <w:bodyDiv w:val="1"/>
      <w:marLeft w:val="0"/>
      <w:marRight w:val="0"/>
      <w:marTop w:val="0"/>
      <w:marBottom w:val="0"/>
      <w:divBdr>
        <w:top w:val="none" w:sz="0" w:space="0" w:color="auto"/>
        <w:left w:val="none" w:sz="0" w:space="0" w:color="auto"/>
        <w:bottom w:val="none" w:sz="0" w:space="0" w:color="auto"/>
        <w:right w:val="none" w:sz="0" w:space="0" w:color="auto"/>
      </w:divBdr>
    </w:div>
    <w:div w:id="1149204719">
      <w:bodyDiv w:val="1"/>
      <w:marLeft w:val="0"/>
      <w:marRight w:val="0"/>
      <w:marTop w:val="0"/>
      <w:marBottom w:val="0"/>
      <w:divBdr>
        <w:top w:val="none" w:sz="0" w:space="0" w:color="auto"/>
        <w:left w:val="none" w:sz="0" w:space="0" w:color="auto"/>
        <w:bottom w:val="none" w:sz="0" w:space="0" w:color="auto"/>
        <w:right w:val="none" w:sz="0" w:space="0" w:color="auto"/>
      </w:divBdr>
    </w:div>
    <w:div w:id="1162237367">
      <w:bodyDiv w:val="1"/>
      <w:marLeft w:val="0"/>
      <w:marRight w:val="0"/>
      <w:marTop w:val="0"/>
      <w:marBottom w:val="0"/>
      <w:divBdr>
        <w:top w:val="none" w:sz="0" w:space="0" w:color="auto"/>
        <w:left w:val="none" w:sz="0" w:space="0" w:color="auto"/>
        <w:bottom w:val="none" w:sz="0" w:space="0" w:color="auto"/>
        <w:right w:val="none" w:sz="0" w:space="0" w:color="auto"/>
      </w:divBdr>
    </w:div>
    <w:div w:id="1176387354">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5067">
      <w:bodyDiv w:val="1"/>
      <w:marLeft w:val="0"/>
      <w:marRight w:val="0"/>
      <w:marTop w:val="0"/>
      <w:marBottom w:val="0"/>
      <w:divBdr>
        <w:top w:val="none" w:sz="0" w:space="0" w:color="auto"/>
        <w:left w:val="none" w:sz="0" w:space="0" w:color="auto"/>
        <w:bottom w:val="none" w:sz="0" w:space="0" w:color="auto"/>
        <w:right w:val="none" w:sz="0" w:space="0" w:color="auto"/>
      </w:divBdr>
    </w:div>
    <w:div w:id="1203589958">
      <w:bodyDiv w:val="1"/>
      <w:marLeft w:val="0"/>
      <w:marRight w:val="0"/>
      <w:marTop w:val="0"/>
      <w:marBottom w:val="0"/>
      <w:divBdr>
        <w:top w:val="none" w:sz="0" w:space="0" w:color="auto"/>
        <w:left w:val="none" w:sz="0" w:space="0" w:color="auto"/>
        <w:bottom w:val="none" w:sz="0" w:space="0" w:color="auto"/>
        <w:right w:val="none" w:sz="0" w:space="0" w:color="auto"/>
      </w:divBdr>
    </w:div>
    <w:div w:id="1241134840">
      <w:bodyDiv w:val="1"/>
      <w:marLeft w:val="0"/>
      <w:marRight w:val="0"/>
      <w:marTop w:val="0"/>
      <w:marBottom w:val="0"/>
      <w:divBdr>
        <w:top w:val="none" w:sz="0" w:space="0" w:color="auto"/>
        <w:left w:val="none" w:sz="0" w:space="0" w:color="auto"/>
        <w:bottom w:val="none" w:sz="0" w:space="0" w:color="auto"/>
        <w:right w:val="none" w:sz="0" w:space="0" w:color="auto"/>
      </w:divBdr>
    </w:div>
    <w:div w:id="1281454590">
      <w:bodyDiv w:val="1"/>
      <w:marLeft w:val="0"/>
      <w:marRight w:val="0"/>
      <w:marTop w:val="0"/>
      <w:marBottom w:val="0"/>
      <w:divBdr>
        <w:top w:val="none" w:sz="0" w:space="0" w:color="auto"/>
        <w:left w:val="none" w:sz="0" w:space="0" w:color="auto"/>
        <w:bottom w:val="none" w:sz="0" w:space="0" w:color="auto"/>
        <w:right w:val="none" w:sz="0" w:space="0" w:color="auto"/>
      </w:divBdr>
    </w:div>
    <w:div w:id="1288583796">
      <w:bodyDiv w:val="1"/>
      <w:marLeft w:val="0"/>
      <w:marRight w:val="0"/>
      <w:marTop w:val="0"/>
      <w:marBottom w:val="0"/>
      <w:divBdr>
        <w:top w:val="none" w:sz="0" w:space="0" w:color="auto"/>
        <w:left w:val="none" w:sz="0" w:space="0" w:color="auto"/>
        <w:bottom w:val="none" w:sz="0" w:space="0" w:color="auto"/>
        <w:right w:val="none" w:sz="0" w:space="0" w:color="auto"/>
      </w:divBdr>
    </w:div>
    <w:div w:id="1296639977">
      <w:bodyDiv w:val="1"/>
      <w:marLeft w:val="0"/>
      <w:marRight w:val="0"/>
      <w:marTop w:val="0"/>
      <w:marBottom w:val="0"/>
      <w:divBdr>
        <w:top w:val="none" w:sz="0" w:space="0" w:color="auto"/>
        <w:left w:val="none" w:sz="0" w:space="0" w:color="auto"/>
        <w:bottom w:val="none" w:sz="0" w:space="0" w:color="auto"/>
        <w:right w:val="none" w:sz="0" w:space="0" w:color="auto"/>
      </w:divBdr>
    </w:div>
    <w:div w:id="1297568523">
      <w:bodyDiv w:val="1"/>
      <w:marLeft w:val="0"/>
      <w:marRight w:val="0"/>
      <w:marTop w:val="0"/>
      <w:marBottom w:val="0"/>
      <w:divBdr>
        <w:top w:val="none" w:sz="0" w:space="0" w:color="auto"/>
        <w:left w:val="none" w:sz="0" w:space="0" w:color="auto"/>
        <w:bottom w:val="none" w:sz="0" w:space="0" w:color="auto"/>
        <w:right w:val="none" w:sz="0" w:space="0" w:color="auto"/>
      </w:divBdr>
    </w:div>
    <w:div w:id="1322582618">
      <w:bodyDiv w:val="1"/>
      <w:marLeft w:val="0"/>
      <w:marRight w:val="0"/>
      <w:marTop w:val="0"/>
      <w:marBottom w:val="0"/>
      <w:divBdr>
        <w:top w:val="none" w:sz="0" w:space="0" w:color="auto"/>
        <w:left w:val="none" w:sz="0" w:space="0" w:color="auto"/>
        <w:bottom w:val="none" w:sz="0" w:space="0" w:color="auto"/>
        <w:right w:val="none" w:sz="0" w:space="0" w:color="auto"/>
      </w:divBdr>
    </w:div>
    <w:div w:id="1333609360">
      <w:bodyDiv w:val="1"/>
      <w:marLeft w:val="0"/>
      <w:marRight w:val="0"/>
      <w:marTop w:val="0"/>
      <w:marBottom w:val="0"/>
      <w:divBdr>
        <w:top w:val="none" w:sz="0" w:space="0" w:color="auto"/>
        <w:left w:val="none" w:sz="0" w:space="0" w:color="auto"/>
        <w:bottom w:val="none" w:sz="0" w:space="0" w:color="auto"/>
        <w:right w:val="none" w:sz="0" w:space="0" w:color="auto"/>
      </w:divBdr>
    </w:div>
    <w:div w:id="1339190325">
      <w:bodyDiv w:val="1"/>
      <w:marLeft w:val="0"/>
      <w:marRight w:val="0"/>
      <w:marTop w:val="0"/>
      <w:marBottom w:val="0"/>
      <w:divBdr>
        <w:top w:val="none" w:sz="0" w:space="0" w:color="auto"/>
        <w:left w:val="none" w:sz="0" w:space="0" w:color="auto"/>
        <w:bottom w:val="none" w:sz="0" w:space="0" w:color="auto"/>
        <w:right w:val="none" w:sz="0" w:space="0" w:color="auto"/>
      </w:divBdr>
      <w:divsChild>
        <w:div w:id="1806894259">
          <w:marLeft w:val="0"/>
          <w:marRight w:val="0"/>
          <w:marTop w:val="0"/>
          <w:marBottom w:val="0"/>
          <w:divBdr>
            <w:top w:val="none" w:sz="0" w:space="0" w:color="auto"/>
            <w:left w:val="none" w:sz="0" w:space="0" w:color="auto"/>
            <w:bottom w:val="none" w:sz="0" w:space="0" w:color="auto"/>
            <w:right w:val="none" w:sz="0" w:space="0" w:color="auto"/>
          </w:divBdr>
        </w:div>
      </w:divsChild>
    </w:div>
    <w:div w:id="1341548131">
      <w:bodyDiv w:val="1"/>
      <w:marLeft w:val="0"/>
      <w:marRight w:val="0"/>
      <w:marTop w:val="0"/>
      <w:marBottom w:val="0"/>
      <w:divBdr>
        <w:top w:val="none" w:sz="0" w:space="0" w:color="auto"/>
        <w:left w:val="none" w:sz="0" w:space="0" w:color="auto"/>
        <w:bottom w:val="none" w:sz="0" w:space="0" w:color="auto"/>
        <w:right w:val="none" w:sz="0" w:space="0" w:color="auto"/>
      </w:divBdr>
    </w:div>
    <w:div w:id="1344942993">
      <w:bodyDiv w:val="1"/>
      <w:marLeft w:val="0"/>
      <w:marRight w:val="0"/>
      <w:marTop w:val="0"/>
      <w:marBottom w:val="0"/>
      <w:divBdr>
        <w:top w:val="none" w:sz="0" w:space="0" w:color="auto"/>
        <w:left w:val="none" w:sz="0" w:space="0" w:color="auto"/>
        <w:bottom w:val="none" w:sz="0" w:space="0" w:color="auto"/>
        <w:right w:val="none" w:sz="0" w:space="0" w:color="auto"/>
      </w:divBdr>
    </w:div>
    <w:div w:id="1382825509">
      <w:bodyDiv w:val="1"/>
      <w:marLeft w:val="0"/>
      <w:marRight w:val="0"/>
      <w:marTop w:val="0"/>
      <w:marBottom w:val="0"/>
      <w:divBdr>
        <w:top w:val="none" w:sz="0" w:space="0" w:color="auto"/>
        <w:left w:val="none" w:sz="0" w:space="0" w:color="auto"/>
        <w:bottom w:val="none" w:sz="0" w:space="0" w:color="auto"/>
        <w:right w:val="none" w:sz="0" w:space="0" w:color="auto"/>
      </w:divBdr>
    </w:div>
    <w:div w:id="1419401057">
      <w:bodyDiv w:val="1"/>
      <w:marLeft w:val="0"/>
      <w:marRight w:val="0"/>
      <w:marTop w:val="0"/>
      <w:marBottom w:val="0"/>
      <w:divBdr>
        <w:top w:val="none" w:sz="0" w:space="0" w:color="auto"/>
        <w:left w:val="none" w:sz="0" w:space="0" w:color="auto"/>
        <w:bottom w:val="none" w:sz="0" w:space="0" w:color="auto"/>
        <w:right w:val="none" w:sz="0" w:space="0" w:color="auto"/>
      </w:divBdr>
    </w:div>
    <w:div w:id="1432700834">
      <w:bodyDiv w:val="1"/>
      <w:marLeft w:val="0"/>
      <w:marRight w:val="0"/>
      <w:marTop w:val="0"/>
      <w:marBottom w:val="0"/>
      <w:divBdr>
        <w:top w:val="none" w:sz="0" w:space="0" w:color="auto"/>
        <w:left w:val="none" w:sz="0" w:space="0" w:color="auto"/>
        <w:bottom w:val="none" w:sz="0" w:space="0" w:color="auto"/>
        <w:right w:val="none" w:sz="0" w:space="0" w:color="auto"/>
      </w:divBdr>
    </w:div>
    <w:div w:id="1437677240">
      <w:bodyDiv w:val="1"/>
      <w:marLeft w:val="0"/>
      <w:marRight w:val="0"/>
      <w:marTop w:val="0"/>
      <w:marBottom w:val="0"/>
      <w:divBdr>
        <w:top w:val="none" w:sz="0" w:space="0" w:color="auto"/>
        <w:left w:val="none" w:sz="0" w:space="0" w:color="auto"/>
        <w:bottom w:val="none" w:sz="0" w:space="0" w:color="auto"/>
        <w:right w:val="none" w:sz="0" w:space="0" w:color="auto"/>
      </w:divBdr>
    </w:div>
    <w:div w:id="1441948672">
      <w:bodyDiv w:val="1"/>
      <w:marLeft w:val="0"/>
      <w:marRight w:val="0"/>
      <w:marTop w:val="0"/>
      <w:marBottom w:val="0"/>
      <w:divBdr>
        <w:top w:val="none" w:sz="0" w:space="0" w:color="auto"/>
        <w:left w:val="none" w:sz="0" w:space="0" w:color="auto"/>
        <w:bottom w:val="none" w:sz="0" w:space="0" w:color="auto"/>
        <w:right w:val="none" w:sz="0" w:space="0" w:color="auto"/>
      </w:divBdr>
    </w:div>
    <w:div w:id="1443185644">
      <w:bodyDiv w:val="1"/>
      <w:marLeft w:val="0"/>
      <w:marRight w:val="0"/>
      <w:marTop w:val="0"/>
      <w:marBottom w:val="0"/>
      <w:divBdr>
        <w:top w:val="none" w:sz="0" w:space="0" w:color="auto"/>
        <w:left w:val="none" w:sz="0" w:space="0" w:color="auto"/>
        <w:bottom w:val="none" w:sz="0" w:space="0" w:color="auto"/>
        <w:right w:val="none" w:sz="0" w:space="0" w:color="auto"/>
      </w:divBdr>
    </w:div>
    <w:div w:id="1447042376">
      <w:bodyDiv w:val="1"/>
      <w:marLeft w:val="0"/>
      <w:marRight w:val="0"/>
      <w:marTop w:val="0"/>
      <w:marBottom w:val="0"/>
      <w:divBdr>
        <w:top w:val="none" w:sz="0" w:space="0" w:color="auto"/>
        <w:left w:val="none" w:sz="0" w:space="0" w:color="auto"/>
        <w:bottom w:val="none" w:sz="0" w:space="0" w:color="auto"/>
        <w:right w:val="none" w:sz="0" w:space="0" w:color="auto"/>
      </w:divBdr>
    </w:div>
    <w:div w:id="1451171111">
      <w:bodyDiv w:val="1"/>
      <w:marLeft w:val="0"/>
      <w:marRight w:val="0"/>
      <w:marTop w:val="0"/>
      <w:marBottom w:val="0"/>
      <w:divBdr>
        <w:top w:val="none" w:sz="0" w:space="0" w:color="auto"/>
        <w:left w:val="none" w:sz="0" w:space="0" w:color="auto"/>
        <w:bottom w:val="none" w:sz="0" w:space="0" w:color="auto"/>
        <w:right w:val="none" w:sz="0" w:space="0" w:color="auto"/>
      </w:divBdr>
    </w:div>
    <w:div w:id="1456949556">
      <w:bodyDiv w:val="1"/>
      <w:marLeft w:val="0"/>
      <w:marRight w:val="0"/>
      <w:marTop w:val="0"/>
      <w:marBottom w:val="0"/>
      <w:divBdr>
        <w:top w:val="none" w:sz="0" w:space="0" w:color="auto"/>
        <w:left w:val="none" w:sz="0" w:space="0" w:color="auto"/>
        <w:bottom w:val="none" w:sz="0" w:space="0" w:color="auto"/>
        <w:right w:val="none" w:sz="0" w:space="0" w:color="auto"/>
      </w:divBdr>
    </w:div>
    <w:div w:id="1549613227">
      <w:bodyDiv w:val="1"/>
      <w:marLeft w:val="0"/>
      <w:marRight w:val="0"/>
      <w:marTop w:val="0"/>
      <w:marBottom w:val="0"/>
      <w:divBdr>
        <w:top w:val="none" w:sz="0" w:space="0" w:color="auto"/>
        <w:left w:val="none" w:sz="0" w:space="0" w:color="auto"/>
        <w:bottom w:val="none" w:sz="0" w:space="0" w:color="auto"/>
        <w:right w:val="none" w:sz="0" w:space="0" w:color="auto"/>
      </w:divBdr>
    </w:div>
    <w:div w:id="1563637787">
      <w:bodyDiv w:val="1"/>
      <w:marLeft w:val="0"/>
      <w:marRight w:val="0"/>
      <w:marTop w:val="0"/>
      <w:marBottom w:val="0"/>
      <w:divBdr>
        <w:top w:val="none" w:sz="0" w:space="0" w:color="auto"/>
        <w:left w:val="none" w:sz="0" w:space="0" w:color="auto"/>
        <w:bottom w:val="none" w:sz="0" w:space="0" w:color="auto"/>
        <w:right w:val="none" w:sz="0" w:space="0" w:color="auto"/>
      </w:divBdr>
    </w:div>
    <w:div w:id="1567187354">
      <w:bodyDiv w:val="1"/>
      <w:marLeft w:val="0"/>
      <w:marRight w:val="0"/>
      <w:marTop w:val="0"/>
      <w:marBottom w:val="0"/>
      <w:divBdr>
        <w:top w:val="none" w:sz="0" w:space="0" w:color="auto"/>
        <w:left w:val="none" w:sz="0" w:space="0" w:color="auto"/>
        <w:bottom w:val="none" w:sz="0" w:space="0" w:color="auto"/>
        <w:right w:val="none" w:sz="0" w:space="0" w:color="auto"/>
      </w:divBdr>
    </w:div>
    <w:div w:id="1581060328">
      <w:bodyDiv w:val="1"/>
      <w:marLeft w:val="0"/>
      <w:marRight w:val="0"/>
      <w:marTop w:val="0"/>
      <w:marBottom w:val="0"/>
      <w:divBdr>
        <w:top w:val="none" w:sz="0" w:space="0" w:color="auto"/>
        <w:left w:val="none" w:sz="0" w:space="0" w:color="auto"/>
        <w:bottom w:val="none" w:sz="0" w:space="0" w:color="auto"/>
        <w:right w:val="none" w:sz="0" w:space="0" w:color="auto"/>
      </w:divBdr>
    </w:div>
    <w:div w:id="1617636852">
      <w:bodyDiv w:val="1"/>
      <w:marLeft w:val="0"/>
      <w:marRight w:val="0"/>
      <w:marTop w:val="0"/>
      <w:marBottom w:val="0"/>
      <w:divBdr>
        <w:top w:val="none" w:sz="0" w:space="0" w:color="auto"/>
        <w:left w:val="none" w:sz="0" w:space="0" w:color="auto"/>
        <w:bottom w:val="none" w:sz="0" w:space="0" w:color="auto"/>
        <w:right w:val="none" w:sz="0" w:space="0" w:color="auto"/>
      </w:divBdr>
    </w:div>
    <w:div w:id="1658875658">
      <w:bodyDiv w:val="1"/>
      <w:marLeft w:val="0"/>
      <w:marRight w:val="0"/>
      <w:marTop w:val="0"/>
      <w:marBottom w:val="0"/>
      <w:divBdr>
        <w:top w:val="none" w:sz="0" w:space="0" w:color="auto"/>
        <w:left w:val="none" w:sz="0" w:space="0" w:color="auto"/>
        <w:bottom w:val="none" w:sz="0" w:space="0" w:color="auto"/>
        <w:right w:val="none" w:sz="0" w:space="0" w:color="auto"/>
      </w:divBdr>
    </w:div>
    <w:div w:id="1667129716">
      <w:bodyDiv w:val="1"/>
      <w:marLeft w:val="0"/>
      <w:marRight w:val="0"/>
      <w:marTop w:val="0"/>
      <w:marBottom w:val="0"/>
      <w:divBdr>
        <w:top w:val="none" w:sz="0" w:space="0" w:color="auto"/>
        <w:left w:val="none" w:sz="0" w:space="0" w:color="auto"/>
        <w:bottom w:val="none" w:sz="0" w:space="0" w:color="auto"/>
        <w:right w:val="none" w:sz="0" w:space="0" w:color="auto"/>
      </w:divBdr>
    </w:div>
    <w:div w:id="1675957956">
      <w:bodyDiv w:val="1"/>
      <w:marLeft w:val="0"/>
      <w:marRight w:val="0"/>
      <w:marTop w:val="0"/>
      <w:marBottom w:val="0"/>
      <w:divBdr>
        <w:top w:val="none" w:sz="0" w:space="0" w:color="auto"/>
        <w:left w:val="none" w:sz="0" w:space="0" w:color="auto"/>
        <w:bottom w:val="none" w:sz="0" w:space="0" w:color="auto"/>
        <w:right w:val="none" w:sz="0" w:space="0" w:color="auto"/>
      </w:divBdr>
    </w:div>
    <w:div w:id="1680038595">
      <w:bodyDiv w:val="1"/>
      <w:marLeft w:val="0"/>
      <w:marRight w:val="0"/>
      <w:marTop w:val="0"/>
      <w:marBottom w:val="0"/>
      <w:divBdr>
        <w:top w:val="none" w:sz="0" w:space="0" w:color="auto"/>
        <w:left w:val="none" w:sz="0" w:space="0" w:color="auto"/>
        <w:bottom w:val="none" w:sz="0" w:space="0" w:color="auto"/>
        <w:right w:val="none" w:sz="0" w:space="0" w:color="auto"/>
      </w:divBdr>
    </w:div>
    <w:div w:id="1691909373">
      <w:bodyDiv w:val="1"/>
      <w:marLeft w:val="0"/>
      <w:marRight w:val="0"/>
      <w:marTop w:val="0"/>
      <w:marBottom w:val="0"/>
      <w:divBdr>
        <w:top w:val="none" w:sz="0" w:space="0" w:color="auto"/>
        <w:left w:val="none" w:sz="0" w:space="0" w:color="auto"/>
        <w:bottom w:val="none" w:sz="0" w:space="0" w:color="auto"/>
        <w:right w:val="none" w:sz="0" w:space="0" w:color="auto"/>
      </w:divBdr>
    </w:div>
    <w:div w:id="1692298070">
      <w:bodyDiv w:val="1"/>
      <w:marLeft w:val="0"/>
      <w:marRight w:val="0"/>
      <w:marTop w:val="0"/>
      <w:marBottom w:val="0"/>
      <w:divBdr>
        <w:top w:val="none" w:sz="0" w:space="0" w:color="auto"/>
        <w:left w:val="none" w:sz="0" w:space="0" w:color="auto"/>
        <w:bottom w:val="none" w:sz="0" w:space="0" w:color="auto"/>
        <w:right w:val="none" w:sz="0" w:space="0" w:color="auto"/>
      </w:divBdr>
    </w:div>
    <w:div w:id="1702826629">
      <w:bodyDiv w:val="1"/>
      <w:marLeft w:val="0"/>
      <w:marRight w:val="0"/>
      <w:marTop w:val="0"/>
      <w:marBottom w:val="0"/>
      <w:divBdr>
        <w:top w:val="none" w:sz="0" w:space="0" w:color="auto"/>
        <w:left w:val="none" w:sz="0" w:space="0" w:color="auto"/>
        <w:bottom w:val="none" w:sz="0" w:space="0" w:color="auto"/>
        <w:right w:val="none" w:sz="0" w:space="0" w:color="auto"/>
      </w:divBdr>
    </w:div>
    <w:div w:id="1709452789">
      <w:bodyDiv w:val="1"/>
      <w:marLeft w:val="0"/>
      <w:marRight w:val="0"/>
      <w:marTop w:val="0"/>
      <w:marBottom w:val="0"/>
      <w:divBdr>
        <w:top w:val="none" w:sz="0" w:space="0" w:color="auto"/>
        <w:left w:val="none" w:sz="0" w:space="0" w:color="auto"/>
        <w:bottom w:val="none" w:sz="0" w:space="0" w:color="auto"/>
        <w:right w:val="none" w:sz="0" w:space="0" w:color="auto"/>
      </w:divBdr>
    </w:div>
    <w:div w:id="1759711114">
      <w:bodyDiv w:val="1"/>
      <w:marLeft w:val="0"/>
      <w:marRight w:val="0"/>
      <w:marTop w:val="0"/>
      <w:marBottom w:val="0"/>
      <w:divBdr>
        <w:top w:val="none" w:sz="0" w:space="0" w:color="auto"/>
        <w:left w:val="none" w:sz="0" w:space="0" w:color="auto"/>
        <w:bottom w:val="none" w:sz="0" w:space="0" w:color="auto"/>
        <w:right w:val="none" w:sz="0" w:space="0" w:color="auto"/>
      </w:divBdr>
    </w:div>
    <w:div w:id="1760364679">
      <w:bodyDiv w:val="1"/>
      <w:marLeft w:val="0"/>
      <w:marRight w:val="0"/>
      <w:marTop w:val="0"/>
      <w:marBottom w:val="0"/>
      <w:divBdr>
        <w:top w:val="none" w:sz="0" w:space="0" w:color="auto"/>
        <w:left w:val="none" w:sz="0" w:space="0" w:color="auto"/>
        <w:bottom w:val="none" w:sz="0" w:space="0" w:color="auto"/>
        <w:right w:val="none" w:sz="0" w:space="0" w:color="auto"/>
      </w:divBdr>
    </w:div>
    <w:div w:id="1801609896">
      <w:bodyDiv w:val="1"/>
      <w:marLeft w:val="0"/>
      <w:marRight w:val="0"/>
      <w:marTop w:val="0"/>
      <w:marBottom w:val="0"/>
      <w:divBdr>
        <w:top w:val="none" w:sz="0" w:space="0" w:color="auto"/>
        <w:left w:val="none" w:sz="0" w:space="0" w:color="auto"/>
        <w:bottom w:val="none" w:sz="0" w:space="0" w:color="auto"/>
        <w:right w:val="none" w:sz="0" w:space="0" w:color="auto"/>
      </w:divBdr>
    </w:div>
    <w:div w:id="1823691985">
      <w:bodyDiv w:val="1"/>
      <w:marLeft w:val="0"/>
      <w:marRight w:val="0"/>
      <w:marTop w:val="0"/>
      <w:marBottom w:val="0"/>
      <w:divBdr>
        <w:top w:val="none" w:sz="0" w:space="0" w:color="auto"/>
        <w:left w:val="none" w:sz="0" w:space="0" w:color="auto"/>
        <w:bottom w:val="none" w:sz="0" w:space="0" w:color="auto"/>
        <w:right w:val="none" w:sz="0" w:space="0" w:color="auto"/>
      </w:divBdr>
    </w:div>
    <w:div w:id="1825975143">
      <w:bodyDiv w:val="1"/>
      <w:marLeft w:val="0"/>
      <w:marRight w:val="0"/>
      <w:marTop w:val="0"/>
      <w:marBottom w:val="0"/>
      <w:divBdr>
        <w:top w:val="none" w:sz="0" w:space="0" w:color="auto"/>
        <w:left w:val="none" w:sz="0" w:space="0" w:color="auto"/>
        <w:bottom w:val="none" w:sz="0" w:space="0" w:color="auto"/>
        <w:right w:val="none" w:sz="0" w:space="0" w:color="auto"/>
      </w:divBdr>
      <w:divsChild>
        <w:div w:id="1252661933">
          <w:marLeft w:val="0"/>
          <w:marRight w:val="0"/>
          <w:marTop w:val="0"/>
          <w:marBottom w:val="0"/>
          <w:divBdr>
            <w:top w:val="none" w:sz="0" w:space="0" w:color="auto"/>
            <w:left w:val="none" w:sz="0" w:space="0" w:color="auto"/>
            <w:bottom w:val="none" w:sz="0" w:space="0" w:color="auto"/>
            <w:right w:val="none" w:sz="0" w:space="0" w:color="auto"/>
          </w:divBdr>
        </w:div>
      </w:divsChild>
    </w:div>
    <w:div w:id="1834879372">
      <w:bodyDiv w:val="1"/>
      <w:marLeft w:val="0"/>
      <w:marRight w:val="0"/>
      <w:marTop w:val="0"/>
      <w:marBottom w:val="0"/>
      <w:divBdr>
        <w:top w:val="none" w:sz="0" w:space="0" w:color="auto"/>
        <w:left w:val="none" w:sz="0" w:space="0" w:color="auto"/>
        <w:bottom w:val="none" w:sz="0" w:space="0" w:color="auto"/>
        <w:right w:val="none" w:sz="0" w:space="0" w:color="auto"/>
      </w:divBdr>
    </w:div>
    <w:div w:id="1837989321">
      <w:bodyDiv w:val="1"/>
      <w:marLeft w:val="0"/>
      <w:marRight w:val="0"/>
      <w:marTop w:val="0"/>
      <w:marBottom w:val="0"/>
      <w:divBdr>
        <w:top w:val="none" w:sz="0" w:space="0" w:color="auto"/>
        <w:left w:val="none" w:sz="0" w:space="0" w:color="auto"/>
        <w:bottom w:val="none" w:sz="0" w:space="0" w:color="auto"/>
        <w:right w:val="none" w:sz="0" w:space="0" w:color="auto"/>
      </w:divBdr>
    </w:div>
    <w:div w:id="1841003466">
      <w:bodyDiv w:val="1"/>
      <w:marLeft w:val="0"/>
      <w:marRight w:val="0"/>
      <w:marTop w:val="0"/>
      <w:marBottom w:val="0"/>
      <w:divBdr>
        <w:top w:val="none" w:sz="0" w:space="0" w:color="auto"/>
        <w:left w:val="none" w:sz="0" w:space="0" w:color="auto"/>
        <w:bottom w:val="none" w:sz="0" w:space="0" w:color="auto"/>
        <w:right w:val="none" w:sz="0" w:space="0" w:color="auto"/>
      </w:divBdr>
    </w:div>
    <w:div w:id="1958292604">
      <w:bodyDiv w:val="1"/>
      <w:marLeft w:val="0"/>
      <w:marRight w:val="0"/>
      <w:marTop w:val="0"/>
      <w:marBottom w:val="0"/>
      <w:divBdr>
        <w:top w:val="none" w:sz="0" w:space="0" w:color="auto"/>
        <w:left w:val="none" w:sz="0" w:space="0" w:color="auto"/>
        <w:bottom w:val="none" w:sz="0" w:space="0" w:color="auto"/>
        <w:right w:val="none" w:sz="0" w:space="0" w:color="auto"/>
      </w:divBdr>
    </w:div>
    <w:div w:id="1966735760">
      <w:bodyDiv w:val="1"/>
      <w:marLeft w:val="0"/>
      <w:marRight w:val="0"/>
      <w:marTop w:val="0"/>
      <w:marBottom w:val="0"/>
      <w:divBdr>
        <w:top w:val="none" w:sz="0" w:space="0" w:color="auto"/>
        <w:left w:val="none" w:sz="0" w:space="0" w:color="auto"/>
        <w:bottom w:val="none" w:sz="0" w:space="0" w:color="auto"/>
        <w:right w:val="none" w:sz="0" w:space="0" w:color="auto"/>
      </w:divBdr>
    </w:div>
    <w:div w:id="1982924160">
      <w:bodyDiv w:val="1"/>
      <w:marLeft w:val="0"/>
      <w:marRight w:val="0"/>
      <w:marTop w:val="0"/>
      <w:marBottom w:val="0"/>
      <w:divBdr>
        <w:top w:val="none" w:sz="0" w:space="0" w:color="auto"/>
        <w:left w:val="none" w:sz="0" w:space="0" w:color="auto"/>
        <w:bottom w:val="none" w:sz="0" w:space="0" w:color="auto"/>
        <w:right w:val="none" w:sz="0" w:space="0" w:color="auto"/>
      </w:divBdr>
    </w:div>
    <w:div w:id="1993752064">
      <w:bodyDiv w:val="1"/>
      <w:marLeft w:val="0"/>
      <w:marRight w:val="0"/>
      <w:marTop w:val="0"/>
      <w:marBottom w:val="0"/>
      <w:divBdr>
        <w:top w:val="none" w:sz="0" w:space="0" w:color="auto"/>
        <w:left w:val="none" w:sz="0" w:space="0" w:color="auto"/>
        <w:bottom w:val="none" w:sz="0" w:space="0" w:color="auto"/>
        <w:right w:val="none" w:sz="0" w:space="0" w:color="auto"/>
      </w:divBdr>
    </w:div>
    <w:div w:id="1999730231">
      <w:bodyDiv w:val="1"/>
      <w:marLeft w:val="0"/>
      <w:marRight w:val="0"/>
      <w:marTop w:val="0"/>
      <w:marBottom w:val="0"/>
      <w:divBdr>
        <w:top w:val="none" w:sz="0" w:space="0" w:color="auto"/>
        <w:left w:val="none" w:sz="0" w:space="0" w:color="auto"/>
        <w:bottom w:val="none" w:sz="0" w:space="0" w:color="auto"/>
        <w:right w:val="none" w:sz="0" w:space="0" w:color="auto"/>
      </w:divBdr>
    </w:div>
    <w:div w:id="2000425821">
      <w:bodyDiv w:val="1"/>
      <w:marLeft w:val="0"/>
      <w:marRight w:val="0"/>
      <w:marTop w:val="0"/>
      <w:marBottom w:val="0"/>
      <w:divBdr>
        <w:top w:val="none" w:sz="0" w:space="0" w:color="auto"/>
        <w:left w:val="none" w:sz="0" w:space="0" w:color="auto"/>
        <w:bottom w:val="none" w:sz="0" w:space="0" w:color="auto"/>
        <w:right w:val="none" w:sz="0" w:space="0" w:color="auto"/>
      </w:divBdr>
    </w:div>
    <w:div w:id="2110350945">
      <w:bodyDiv w:val="1"/>
      <w:marLeft w:val="0"/>
      <w:marRight w:val="0"/>
      <w:marTop w:val="0"/>
      <w:marBottom w:val="0"/>
      <w:divBdr>
        <w:top w:val="none" w:sz="0" w:space="0" w:color="auto"/>
        <w:left w:val="none" w:sz="0" w:space="0" w:color="auto"/>
        <w:bottom w:val="none" w:sz="0" w:space="0" w:color="auto"/>
        <w:right w:val="none" w:sz="0" w:space="0" w:color="auto"/>
      </w:divBdr>
    </w:div>
    <w:div w:id="2113931272">
      <w:bodyDiv w:val="1"/>
      <w:marLeft w:val="0"/>
      <w:marRight w:val="0"/>
      <w:marTop w:val="0"/>
      <w:marBottom w:val="0"/>
      <w:divBdr>
        <w:top w:val="none" w:sz="0" w:space="0" w:color="auto"/>
        <w:left w:val="none" w:sz="0" w:space="0" w:color="auto"/>
        <w:bottom w:val="none" w:sz="0" w:space="0" w:color="auto"/>
        <w:right w:val="none" w:sz="0" w:space="0" w:color="auto"/>
      </w:divBdr>
    </w:div>
    <w:div w:id="2118988642">
      <w:bodyDiv w:val="1"/>
      <w:marLeft w:val="0"/>
      <w:marRight w:val="0"/>
      <w:marTop w:val="0"/>
      <w:marBottom w:val="0"/>
      <w:divBdr>
        <w:top w:val="none" w:sz="0" w:space="0" w:color="auto"/>
        <w:left w:val="none" w:sz="0" w:space="0" w:color="auto"/>
        <w:bottom w:val="none" w:sz="0" w:space="0" w:color="auto"/>
        <w:right w:val="none" w:sz="0" w:space="0" w:color="auto"/>
      </w:divBdr>
    </w:div>
    <w:div w:id="2128504370">
      <w:bodyDiv w:val="1"/>
      <w:marLeft w:val="0"/>
      <w:marRight w:val="0"/>
      <w:marTop w:val="0"/>
      <w:marBottom w:val="0"/>
      <w:divBdr>
        <w:top w:val="none" w:sz="0" w:space="0" w:color="auto"/>
        <w:left w:val="none" w:sz="0" w:space="0" w:color="auto"/>
        <w:bottom w:val="none" w:sz="0" w:space="0" w:color="auto"/>
        <w:right w:val="none" w:sz="0" w:space="0" w:color="auto"/>
      </w:divBdr>
    </w:div>
    <w:div w:id="2131119606">
      <w:bodyDiv w:val="1"/>
      <w:marLeft w:val="0"/>
      <w:marRight w:val="0"/>
      <w:marTop w:val="0"/>
      <w:marBottom w:val="0"/>
      <w:divBdr>
        <w:top w:val="none" w:sz="0" w:space="0" w:color="auto"/>
        <w:left w:val="none" w:sz="0" w:space="0" w:color="auto"/>
        <w:bottom w:val="none" w:sz="0" w:space="0" w:color="auto"/>
        <w:right w:val="none" w:sz="0" w:space="0" w:color="auto"/>
      </w:divBdr>
    </w:div>
    <w:div w:id="2136631013">
      <w:bodyDiv w:val="1"/>
      <w:marLeft w:val="0"/>
      <w:marRight w:val="0"/>
      <w:marTop w:val="0"/>
      <w:marBottom w:val="0"/>
      <w:divBdr>
        <w:top w:val="none" w:sz="0" w:space="0" w:color="auto"/>
        <w:left w:val="none" w:sz="0" w:space="0" w:color="auto"/>
        <w:bottom w:val="none" w:sz="0" w:space="0" w:color="auto"/>
        <w:right w:val="none" w:sz="0" w:space="0" w:color="auto"/>
      </w:divBdr>
    </w:div>
    <w:div w:id="21457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data.unicef.org/topic/gender/gender-disparities-in-education/" TargetMode="External"/><Relationship Id="rId3" Type="http://schemas.openxmlformats.org/officeDocument/2006/relationships/numbering" Target="numbering.xml"/><Relationship Id="rId21" Type="http://schemas.openxmlformats.org/officeDocument/2006/relationships/hyperlink" Target="https://www.guttmacher.org/report/adding-it-up-investing-in-sexual-reproductive-health-2019" TargetMode="External"/><Relationship Id="rId7" Type="http://schemas.openxmlformats.org/officeDocument/2006/relationships/footnotes" Target="footnotes.xml"/><Relationship Id="rId12" Type="http://schemas.openxmlformats.org/officeDocument/2006/relationships/hyperlink" Target="file:///\\file\UsersA$\ana73\Home\Desktop\Drawdown%20fellowship\Fellowship%20docs\Technical%20report_AN_Full%20draft_130521.docx" TargetMode="External"/><Relationship Id="rId17" Type="http://schemas.openxmlformats.org/officeDocument/2006/relationships/hyperlink" Target="https://population.un.org/wpp/Download/Standard/Popul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ata.unicef.org/topic/gender/gender-disparities-in-edu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oecd.org/education/education-at-a-glance/" TargetMode="External"/><Relationship Id="rId10" Type="http://schemas.openxmlformats.org/officeDocument/2006/relationships/hyperlink" Target="mailto:info@drawdown.org" TargetMode="External"/><Relationship Id="rId19" Type="http://schemas.openxmlformats.org/officeDocument/2006/relationships/hyperlink" Target="https://data.unicef.org/topic/gender/gender-disparities-in-educatio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unesdoc.unesco.org/ark:/48223/pf0000232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0DDB930-7295-453D-8F52-4EE6577C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35</TotalTime>
  <Pages>11</Pages>
  <Words>52225</Words>
  <Characters>297685</Characters>
  <Application>Microsoft Office Word</Application>
  <DocSecurity>0</DocSecurity>
  <Lines>2480</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6</cp:revision>
  <dcterms:created xsi:type="dcterms:W3CDTF">2021-08-01T03:58:00Z</dcterms:created>
  <dcterms:modified xsi:type="dcterms:W3CDTF">2021-11-30T21:09:00Z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zotero-version="5.0.96.2"&gt;&lt;session id="18lCUztq"/&gt;&lt;style id="http://www.zotero.org/styles/apa" locale="en-US"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