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5A57" w14:textId="4EEAF95B" w:rsidR="00B94E13" w:rsidRDefault="00B94E13">
      <w:pPr>
        <w:spacing w:after="160" w:line="259" w:lineRule="auto"/>
        <w:rPr>
          <w:rStyle w:val="Hyperlink"/>
          <w:noProof/>
        </w:rPr>
      </w:pPr>
      <w:r w:rsidRPr="003F1AF9">
        <w:rPr>
          <w:rStyle w:val="Hyperlink"/>
          <w:noProof/>
        </w:rPr>
        <mc:AlternateContent>
          <mc:Choice Requires="wps">
            <w:drawing>
              <wp:anchor distT="0" distB="0" distL="114300" distR="114300" simplePos="0" relativeHeight="251661312" behindDoc="0" locked="0" layoutInCell="1" allowOverlap="1" wp14:anchorId="276CF067" wp14:editId="194F58D1">
                <wp:simplePos x="0" y="0"/>
                <wp:positionH relativeFrom="page">
                  <wp:posOffset>914400</wp:posOffset>
                </wp:positionH>
                <wp:positionV relativeFrom="page">
                  <wp:posOffset>1188085</wp:posOffset>
                </wp:positionV>
                <wp:extent cx="6248400" cy="8201025"/>
                <wp:effectExtent l="0" t="0" r="0" b="9525"/>
                <wp:wrapSquare wrapText="bothSides"/>
                <wp:docPr id="5" name="Text Box 5"/>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A1577" w14:textId="77777777" w:rsidR="0024486F" w:rsidRPr="00E91BE1" w:rsidRDefault="0024486F" w:rsidP="00B94E13">
                            <w:pPr>
                              <w:spacing w:line="240" w:lineRule="auto"/>
                              <w:jc w:val="center"/>
                              <w:rPr>
                                <w:b/>
                                <w:smallCaps/>
                                <w:color w:val="404040" w:themeColor="text1" w:themeTint="BF"/>
                                <w:sz w:val="48"/>
                                <w:szCs w:val="48"/>
                              </w:rPr>
                            </w:pPr>
                            <w:r w:rsidRPr="00E91BE1">
                              <w:rPr>
                                <w:b/>
                                <w:smallCaps/>
                                <w:color w:val="404040" w:themeColor="text1" w:themeTint="BF"/>
                                <w:sz w:val="48"/>
                                <w:szCs w:val="48"/>
                              </w:rPr>
                              <w:t>Technical assessment for</w:t>
                            </w:r>
                          </w:p>
                          <w:p w14:paraId="65C648CD" w14:textId="757EE46F" w:rsidR="0024486F" w:rsidRPr="00E91BE1" w:rsidRDefault="0024486F" w:rsidP="00B94E13">
                            <w:pPr>
                              <w:spacing w:line="240" w:lineRule="auto"/>
                              <w:jc w:val="center"/>
                              <w:rPr>
                                <w:b/>
                                <w:smallCaps/>
                                <w:color w:val="404040" w:themeColor="text1" w:themeTint="BF"/>
                                <w:sz w:val="48"/>
                                <w:szCs w:val="48"/>
                              </w:rPr>
                            </w:pPr>
                            <w:r>
                              <w:rPr>
                                <w:b/>
                                <w:smallCaps/>
                                <w:color w:val="404040" w:themeColor="text1" w:themeTint="BF"/>
                                <w:sz w:val="48"/>
                                <w:szCs w:val="48"/>
                              </w:rPr>
                              <w:t>Alternative Cements</w:t>
                            </w:r>
                          </w:p>
                          <w:p w14:paraId="02E3C0C2" w14:textId="77777777" w:rsidR="0024486F" w:rsidRPr="00EB247F" w:rsidRDefault="0024486F" w:rsidP="00B94E13">
                            <w:pPr>
                              <w:spacing w:line="240" w:lineRule="auto"/>
                              <w:jc w:val="center"/>
                              <w:rPr>
                                <w:smallCaps/>
                                <w:color w:val="404040" w:themeColor="text1" w:themeTint="BF"/>
                                <w:sz w:val="36"/>
                                <w:szCs w:val="36"/>
                              </w:rPr>
                            </w:pPr>
                          </w:p>
                          <w:p w14:paraId="7666959C" w14:textId="319533AB" w:rsidR="0024486F" w:rsidRPr="00E91BE1" w:rsidRDefault="0024486F" w:rsidP="00B94E13">
                            <w:pPr>
                              <w:spacing w:line="240" w:lineRule="auto"/>
                              <w:jc w:val="center"/>
                              <w:rPr>
                                <w:smallCaps/>
                                <w:color w:val="404040" w:themeColor="text1" w:themeTint="BF"/>
                                <w:sz w:val="36"/>
                                <w:szCs w:val="36"/>
                              </w:rPr>
                            </w:pPr>
                            <w:r w:rsidRPr="00E91BE1">
                              <w:rPr>
                                <w:smallCaps/>
                                <w:color w:val="404040" w:themeColor="text1" w:themeTint="BF"/>
                                <w:sz w:val="36"/>
                                <w:szCs w:val="36"/>
                              </w:rPr>
                              <w:t>Sector:</w:t>
                            </w:r>
                            <w:r>
                              <w:rPr>
                                <w:smallCaps/>
                                <w:color w:val="404040" w:themeColor="text1" w:themeTint="BF"/>
                                <w:sz w:val="36"/>
                                <w:szCs w:val="36"/>
                              </w:rPr>
                              <w:t xml:space="preserve">  Materials</w:t>
                            </w:r>
                          </w:p>
                          <w:p w14:paraId="58867849" w14:textId="234B643C" w:rsidR="0024486F" w:rsidRPr="00E91BE1" w:rsidRDefault="0024486F" w:rsidP="00B94E13">
                            <w:pPr>
                              <w:spacing w:line="240" w:lineRule="auto"/>
                              <w:jc w:val="center"/>
                              <w:rPr>
                                <w:smallCaps/>
                                <w:color w:val="404040" w:themeColor="text1" w:themeTint="BF"/>
                                <w:sz w:val="36"/>
                                <w:szCs w:val="36"/>
                              </w:rPr>
                            </w:pPr>
                            <w:r w:rsidRPr="00E91BE1">
                              <w:rPr>
                                <w:smallCaps/>
                                <w:color w:val="404040" w:themeColor="text1" w:themeTint="BF"/>
                                <w:sz w:val="36"/>
                                <w:szCs w:val="36"/>
                              </w:rPr>
                              <w:t>Agency Level:</w:t>
                            </w:r>
                            <w:r>
                              <w:rPr>
                                <w:smallCaps/>
                                <w:color w:val="404040" w:themeColor="text1" w:themeTint="BF"/>
                                <w:sz w:val="36"/>
                                <w:szCs w:val="36"/>
                              </w:rPr>
                              <w:t xml:space="preserve">  Business</w:t>
                            </w:r>
                          </w:p>
                          <w:p w14:paraId="39C1679B" w14:textId="5C2AB647" w:rsidR="0024486F" w:rsidRPr="00E91BE1" w:rsidRDefault="0024486F" w:rsidP="00B94E13">
                            <w:pPr>
                              <w:spacing w:line="240" w:lineRule="auto"/>
                              <w:jc w:val="center"/>
                              <w:rPr>
                                <w:smallCaps/>
                                <w:color w:val="404040" w:themeColor="text1" w:themeTint="BF"/>
                                <w:sz w:val="36"/>
                                <w:szCs w:val="36"/>
                              </w:rPr>
                            </w:pPr>
                            <w:r w:rsidRPr="00E91BE1">
                              <w:rPr>
                                <w:smallCaps/>
                                <w:color w:val="404040" w:themeColor="text1" w:themeTint="BF"/>
                                <w:sz w:val="36"/>
                                <w:szCs w:val="36"/>
                              </w:rPr>
                              <w:t>Keywords:</w:t>
                            </w:r>
                            <w:r>
                              <w:rPr>
                                <w:smallCaps/>
                                <w:color w:val="404040" w:themeColor="text1" w:themeTint="BF"/>
                                <w:sz w:val="36"/>
                                <w:szCs w:val="36"/>
                              </w:rPr>
                              <w:t xml:space="preserve">  alternative concretes, sustainable concrete, supplementary cementitious materials, fly ash</w:t>
                            </w:r>
                          </w:p>
                          <w:p w14:paraId="4BB06C0A" w14:textId="77777777" w:rsidR="0024486F" w:rsidRDefault="0024486F" w:rsidP="00B94E13"/>
                          <w:p w14:paraId="4A2DA774" w14:textId="77777777" w:rsidR="0024486F" w:rsidRDefault="0024486F" w:rsidP="00B94E13"/>
                          <w:p w14:paraId="547DF597" w14:textId="77777777" w:rsidR="0024486F" w:rsidRPr="0033242D" w:rsidRDefault="0024486F" w:rsidP="00B94E13">
                            <w:pPr>
                              <w:spacing w:line="240" w:lineRule="auto"/>
                              <w:jc w:val="center"/>
                              <w:rPr>
                                <w:smallCaps/>
                                <w:color w:val="404040" w:themeColor="text1" w:themeTint="BF"/>
                                <w:sz w:val="36"/>
                                <w:szCs w:val="36"/>
                              </w:rPr>
                            </w:pPr>
                            <w:r w:rsidRPr="0033242D">
                              <w:rPr>
                                <w:smallCaps/>
                                <w:color w:val="404040" w:themeColor="text1" w:themeTint="BF"/>
                                <w:sz w:val="36"/>
                                <w:szCs w:val="36"/>
                              </w:rPr>
                              <w:t xml:space="preserve">Book Edition </w:t>
                            </w:r>
                            <w:r w:rsidRPr="00DF021F">
                              <w:rPr>
                                <w:smallCaps/>
                                <w:color w:val="404040" w:themeColor="text1" w:themeTint="BF"/>
                                <w:sz w:val="36"/>
                                <w:szCs w:val="36"/>
                              </w:rPr>
                              <w:t>1</w:t>
                            </w:r>
                          </w:p>
                          <w:p w14:paraId="7F4383A2" w14:textId="77777777" w:rsidR="0024486F" w:rsidRPr="002D76B6" w:rsidRDefault="0024486F" w:rsidP="00B94E13"/>
                          <w:p w14:paraId="5C1DDFA0" w14:textId="77777777" w:rsidR="0024486F" w:rsidRPr="002D76B6" w:rsidRDefault="0024486F" w:rsidP="00B94E13"/>
                          <w:p w14:paraId="0118EE0C" w14:textId="77777777" w:rsidR="0024486F" w:rsidRPr="002D76B6" w:rsidRDefault="0024486F" w:rsidP="00B94E13"/>
                          <w:p w14:paraId="3470EB92" w14:textId="77777777" w:rsidR="0024486F" w:rsidRPr="002D76B6" w:rsidRDefault="0024486F" w:rsidP="00B94E13">
                            <w:pPr>
                              <w:spacing w:line="240" w:lineRule="auto"/>
                              <w:rPr>
                                <w:b/>
                                <w:smallCaps/>
                                <w:color w:val="404040" w:themeColor="text1" w:themeTint="BF"/>
                                <w:sz w:val="28"/>
                                <w:szCs w:val="28"/>
                              </w:rPr>
                            </w:pPr>
                            <w:r w:rsidRPr="002D76B6">
                              <w:rPr>
                                <w:b/>
                                <w:smallCaps/>
                                <w:color w:val="404040" w:themeColor="text1" w:themeTint="BF"/>
                                <w:sz w:val="28"/>
                                <w:szCs w:val="28"/>
                              </w:rPr>
                              <w:t>Prepared by:</w:t>
                            </w:r>
                          </w:p>
                          <w:p w14:paraId="2C5CC916" w14:textId="229E6B21" w:rsidR="0024486F" w:rsidRDefault="0024486F" w:rsidP="00B94E13">
                            <w:pPr>
                              <w:spacing w:line="240" w:lineRule="auto"/>
                              <w:rPr>
                                <w:smallCaps/>
                                <w:color w:val="404040" w:themeColor="text1" w:themeTint="BF"/>
                                <w:sz w:val="28"/>
                                <w:szCs w:val="28"/>
                              </w:rPr>
                            </w:pPr>
                            <w:r>
                              <w:rPr>
                                <w:smallCaps/>
                                <w:color w:val="404040" w:themeColor="text1" w:themeTint="BF"/>
                                <w:sz w:val="28"/>
                                <w:szCs w:val="28"/>
                              </w:rPr>
                              <w:t>Jay H. Arehart, Research Fellow</w:t>
                            </w:r>
                          </w:p>
                          <w:p w14:paraId="328090D4" w14:textId="4FB7A68D" w:rsidR="0024486F" w:rsidRPr="0033242D" w:rsidRDefault="0024486F" w:rsidP="00B94E13">
                            <w:pPr>
                              <w:spacing w:line="240" w:lineRule="auto"/>
                              <w:rPr>
                                <w:smallCaps/>
                                <w:color w:val="404040" w:themeColor="text1" w:themeTint="BF"/>
                                <w:sz w:val="28"/>
                                <w:szCs w:val="28"/>
                              </w:rPr>
                            </w:pPr>
                            <w:r>
                              <w:rPr>
                                <w:smallCaps/>
                                <w:color w:val="404040" w:themeColor="text1" w:themeTint="BF"/>
                                <w:sz w:val="28"/>
                                <w:szCs w:val="28"/>
                              </w:rPr>
                              <w:t>Tala Daya, Senior Fellow</w:t>
                            </w:r>
                          </w:p>
                          <w:p w14:paraId="7E9B11E1" w14:textId="7F4558A7" w:rsidR="0024486F" w:rsidRPr="00E91BE1" w:rsidRDefault="0024486F" w:rsidP="00B94E13">
                            <w:pPr>
                              <w:spacing w:line="240" w:lineRule="auto"/>
                              <w:rPr>
                                <w:smallCaps/>
                                <w:color w:val="404040" w:themeColor="text1" w:themeTint="BF"/>
                                <w:sz w:val="28"/>
                                <w:szCs w:val="28"/>
                              </w:rPr>
                            </w:pPr>
                            <w:r w:rsidRPr="00341435">
                              <w:rPr>
                                <w:smallCaps/>
                                <w:color w:val="404040" w:themeColor="text1" w:themeTint="BF"/>
                                <w:sz w:val="28"/>
                                <w:szCs w:val="28"/>
                              </w:rPr>
                              <w:t>Ryan F</w:t>
                            </w:r>
                            <w:r>
                              <w:rPr>
                                <w:smallCaps/>
                                <w:color w:val="404040" w:themeColor="text1" w:themeTint="BF"/>
                                <w:sz w:val="28"/>
                                <w:szCs w:val="28"/>
                              </w:rPr>
                              <w:t>.</w:t>
                            </w:r>
                            <w:r w:rsidRPr="00341435">
                              <w:rPr>
                                <w:smallCaps/>
                                <w:color w:val="404040" w:themeColor="text1" w:themeTint="BF"/>
                                <w:sz w:val="28"/>
                                <w:szCs w:val="28"/>
                              </w:rPr>
                              <w:t xml:space="preserve"> Allard, Senior Fellow</w:t>
                            </w:r>
                          </w:p>
                          <w:p w14:paraId="1E09E11F" w14:textId="77777777" w:rsidR="0024486F" w:rsidRPr="00EB247F" w:rsidRDefault="0024486F" w:rsidP="00B94E13">
                            <w:pPr>
                              <w:rPr>
                                <w:smallCaps/>
                                <w:color w:val="404040" w:themeColor="text1" w:themeTint="BF"/>
                              </w:rPr>
                            </w:pPr>
                          </w:p>
                          <w:p w14:paraId="7C0E29D1" w14:textId="4631BF03" w:rsidR="0024486F" w:rsidRDefault="0024486F" w:rsidP="00B94E13">
                            <w:pPr>
                              <w:rPr>
                                <w:smallCaps/>
                                <w:color w:val="404040" w:themeColor="text1" w:themeTint="BF"/>
                              </w:rPr>
                            </w:pPr>
                          </w:p>
                          <w:p w14:paraId="7D79AA9B" w14:textId="77777777" w:rsidR="0024486F" w:rsidRPr="00EB247F" w:rsidRDefault="0024486F" w:rsidP="00B94E13">
                            <w:pPr>
                              <w:rPr>
                                <w:smallCaps/>
                                <w:color w:val="404040" w:themeColor="text1" w:themeTint="BF"/>
                              </w:rPr>
                            </w:pPr>
                          </w:p>
                          <w:p w14:paraId="466722AC" w14:textId="77777777" w:rsidR="0024486F" w:rsidRPr="00EB247F" w:rsidRDefault="0024486F" w:rsidP="00B94E13">
                            <w:pPr>
                              <w:rPr>
                                <w:smallCaps/>
                                <w:color w:val="404040" w:themeColor="text1" w:themeTint="BF"/>
                              </w:rPr>
                            </w:pPr>
                            <w:r w:rsidRPr="00EB247F">
                              <w:rPr>
                                <w:noProof/>
                              </w:rPr>
                              <w:drawing>
                                <wp:inline distT="0" distB="0" distL="0" distR="0" wp14:anchorId="6598437C" wp14:editId="1D61E06A">
                                  <wp:extent cx="3203517" cy="7531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7DAA021D" w14:textId="77777777" w:rsidR="0024486F" w:rsidRPr="002B648F" w:rsidRDefault="00791258" w:rsidP="00B94E13">
                            <w:pPr>
                              <w:rPr>
                                <w:rFonts w:asciiTheme="minorHAnsi" w:hAnsiTheme="minorHAnsi"/>
                                <w:smallCaps/>
                                <w:color w:val="000000" w:themeColor="text1"/>
                                <w:sz w:val="20"/>
                                <w:szCs w:val="20"/>
                              </w:rPr>
                            </w:pPr>
                            <w:hyperlink r:id="rId10" w:history="1">
                              <w:r w:rsidR="0024486F" w:rsidRPr="002B648F">
                                <w:rPr>
                                  <w:rFonts w:asciiTheme="minorHAnsi" w:hAnsiTheme="minorHAnsi"/>
                                  <w:color w:val="000000" w:themeColor="text1"/>
                                </w:rPr>
                                <w:t>info@drawdown.org</w:t>
                              </w:r>
                            </w:hyperlink>
                            <w:r w:rsidR="0024486F" w:rsidRPr="002B648F">
                              <w:rPr>
                                <w:rFonts w:asciiTheme="minorHAnsi" w:hAnsiTheme="minorHAnsi"/>
                                <w:smallCaps/>
                                <w:color w:val="000000" w:themeColor="text1"/>
                                <w:sz w:val="20"/>
                                <w:szCs w:val="20"/>
                              </w:rPr>
                              <w:t xml:space="preserve">             </w:t>
                            </w:r>
                            <w:hyperlink r:id="rId11" w:history="1">
                              <w:r w:rsidR="0024486F" w:rsidRPr="002B648F">
                                <w:rPr>
                                  <w:rFonts w:asciiTheme="minorHAnsi" w:hAnsiTheme="minorHAnsi"/>
                                  <w:color w:val="000000" w:themeColor="text1"/>
                                </w:rPr>
                                <w:t>www.drawdown.org</w:t>
                              </w:r>
                            </w:hyperlink>
                            <w:r w:rsidR="0024486F" w:rsidRPr="002B648F">
                              <w:rPr>
                                <w:rFonts w:asciiTheme="minorHAnsi" w:hAnsiTheme="minorHAnsi"/>
                                <w:smallCaps/>
                                <w:color w:val="000000" w:themeColor="text1"/>
                                <w:sz w:val="20"/>
                                <w:szCs w:val="20"/>
                              </w:rPr>
                              <w:t xml:space="preserve">  </w:t>
                            </w:r>
                          </w:p>
                          <w:p w14:paraId="7E20065F" w14:textId="77777777" w:rsidR="0024486F" w:rsidRPr="002B648F" w:rsidRDefault="0024486F" w:rsidP="00B94E13">
                            <w:pPr>
                              <w:rPr>
                                <w:smallCaps/>
                                <w:color w:val="404040" w:themeColor="text1" w:themeTint="BF"/>
                                <w:sz w:val="36"/>
                                <w:szCs w:val="36"/>
                              </w:rPr>
                            </w:pPr>
                          </w:p>
                          <w:p w14:paraId="2DA163D2" w14:textId="77777777" w:rsidR="0024486F" w:rsidRPr="002B648F" w:rsidRDefault="0024486F" w:rsidP="00B94E13">
                            <w:pPr>
                              <w:rPr>
                                <w:smallCaps/>
                                <w:color w:val="404040" w:themeColor="text1" w:themeTint="BF"/>
                                <w:sz w:val="36"/>
                                <w:szCs w:val="36"/>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6CF067" id="_x0000_t202" coordsize="21600,21600" o:spt="202" path="m,l,21600r21600,l21600,xe">
                <v:stroke joinstyle="miter"/>
                <v:path gradientshapeok="t" o:connecttype="rect"/>
              </v:shapetype>
              <v:shape id="Text Box 5" o:spid="_x0000_s1026" type="#_x0000_t202" style="position:absolute;margin-left:1in;margin-top:93.55pt;width:492pt;height:645.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VZ7tfgIAAFwFAAAOAAAAZHJzL2Uyb0RvYy54bWysVE1v2zAMvQ/YfxB0X51kSZEFdYqsRYcB&#13;&#10;RVusHXpWZKkxJouapCTOfv2eZDstul067CLT5CPFxw+dnbeNYTvlQ0225OOTEWfKSqpq+1Ty7w9X&#13;&#10;H+achShsJQxZVfKDCvx8+f7d2d4t1IQ2ZCrlGYLYsNi7km9idIuiCHKjGhFOyCkLoybfiIhf/1RU&#13;&#10;XuwRvTHFZDQ6LfbkK+dJqhCgveyMfJnja61kvNU6qMhMyZFbzKfP5zqdxfJMLJ68cJta9mmIf8ii&#13;&#10;EbXFpcdQlyIKtvX1H6GaWnoKpOOJpKYgrWupMgewGY9esbnfCKcyFxQnuGOZwv8LK292d57VVcln&#13;&#10;nFnRoEUPqo3sM7Vslqqzd2EB0L0DLLZQo8uDPkCZSLfaN+kLOgx21PlwrG0KJqE8nUzn0xFMErZ5&#13;&#10;IjvJ8Ytnd+dD/KKoYUkouUfzck3F7jpEpALoAEm3WbqqjckNNJbtccXH2Sg7HC3wMDZhVR6FPkyi&#13;&#10;1KWepXgwKmGM/aY0SpEZJEUeQnVhPNsJjI+QUtmYyee4QCeURhJvcezxz1m9xbnjMdxMNh6dm9qS&#13;&#10;z+xfpV39GFLWHR6FfME7ibFdt32r11Qd0GlP3aYEJ69qdONahHgnPFYDHcS6x1sc2hCqTr3E2Yb8&#13;&#10;r7/pEx4TCytne6xaycPPrfCKM/PVYpY/jafTtJv5B4LPwul8Nk/zsh7UdttcEPowxoviZBYTOJpB&#13;&#10;1J6aRzwHq3QdTMJKXFry9SBexG7z8ZxItVplENbQiXht751MoVNb0pA9tI/Cu34SI4b4hoZtFItX&#13;&#10;A9lhk6el1TaSrvO0psp25ewrjhXOQ9w/N+mNePmfUc+P4vI3AAAA//8DAFBLAwQUAAYACAAAACEA&#13;&#10;aithAOMAAAASAQAADwAAAGRycy9kb3ducmV2LnhtbExPwU7DMAy9I/EPkZG4sbTTtJau6TSBEDck&#13;&#10;OoTELWuytCxxqiZry9/jnuBi+fnZz++V+9lZNuohdB4FpKsEmMbGqw6NgI/jy0MOLESJSlqPWsCP&#13;&#10;DrCvbm9KWSg/4bse62gYiWAopIA2xr7gPDStdjKsfK+RuLMfnIwEB8PVICcSd5avk2TLneyQPrSy&#13;&#10;10+tbi711QnoHl/r0Xyev96sseHyPR+y3kxC3N/Nzzsqhx2wqOf4dwFLBvIPFRk7+SuqwCzhzYYC&#13;&#10;RWryLAW2bKTrnEanhcvyLfCq5P+jVL8AAAD//wMAUEsBAi0AFAAGAAgAAAAhALaDOJL+AAAA4QEA&#13;&#10;ABMAAAAAAAAAAAAAAAAAAAAAAFtDb250ZW50X1R5cGVzXS54bWxQSwECLQAUAAYACAAAACEAOP0h&#13;&#10;/9YAAACUAQAACwAAAAAAAAAAAAAAAAAvAQAAX3JlbHMvLnJlbHNQSwECLQAUAAYACAAAACEAEVWe&#13;&#10;7X4CAABcBQAADgAAAAAAAAAAAAAAAAAuAgAAZHJzL2Uyb0RvYy54bWxQSwECLQAUAAYACAAAACEA&#13;&#10;aithAOMAAAASAQAADwAAAAAAAAAAAAAAAADYBAAAZHJzL2Rvd25yZXYueG1sUEsFBgAAAAAEAAQA&#13;&#10;8wAAAOgFAAAAAA==&#13;&#10;" filled="f" stroked="f" strokeweight=".5pt">
                <v:textbox inset=",0,54pt,0">
                  <w:txbxContent>
                    <w:p w14:paraId="296A1577" w14:textId="77777777" w:rsidR="0024486F" w:rsidRPr="00E91BE1" w:rsidRDefault="0024486F" w:rsidP="00B94E13">
                      <w:pPr>
                        <w:spacing w:line="240" w:lineRule="auto"/>
                        <w:jc w:val="center"/>
                        <w:rPr>
                          <w:b/>
                          <w:smallCaps/>
                          <w:color w:val="404040" w:themeColor="text1" w:themeTint="BF"/>
                          <w:sz w:val="48"/>
                          <w:szCs w:val="48"/>
                        </w:rPr>
                      </w:pPr>
                      <w:r w:rsidRPr="00E91BE1">
                        <w:rPr>
                          <w:b/>
                          <w:smallCaps/>
                          <w:color w:val="404040" w:themeColor="text1" w:themeTint="BF"/>
                          <w:sz w:val="48"/>
                          <w:szCs w:val="48"/>
                        </w:rPr>
                        <w:t>Technical assessment for</w:t>
                      </w:r>
                    </w:p>
                    <w:p w14:paraId="65C648CD" w14:textId="757EE46F" w:rsidR="0024486F" w:rsidRPr="00E91BE1" w:rsidRDefault="0024486F" w:rsidP="00B94E13">
                      <w:pPr>
                        <w:spacing w:line="240" w:lineRule="auto"/>
                        <w:jc w:val="center"/>
                        <w:rPr>
                          <w:b/>
                          <w:smallCaps/>
                          <w:color w:val="404040" w:themeColor="text1" w:themeTint="BF"/>
                          <w:sz w:val="48"/>
                          <w:szCs w:val="48"/>
                        </w:rPr>
                      </w:pPr>
                      <w:r>
                        <w:rPr>
                          <w:b/>
                          <w:smallCaps/>
                          <w:color w:val="404040" w:themeColor="text1" w:themeTint="BF"/>
                          <w:sz w:val="48"/>
                          <w:szCs w:val="48"/>
                        </w:rPr>
                        <w:t>Alternative Cements</w:t>
                      </w:r>
                    </w:p>
                    <w:p w14:paraId="02E3C0C2" w14:textId="77777777" w:rsidR="0024486F" w:rsidRPr="00EB247F" w:rsidRDefault="0024486F" w:rsidP="00B94E13">
                      <w:pPr>
                        <w:spacing w:line="240" w:lineRule="auto"/>
                        <w:jc w:val="center"/>
                        <w:rPr>
                          <w:smallCaps/>
                          <w:color w:val="404040" w:themeColor="text1" w:themeTint="BF"/>
                          <w:sz w:val="36"/>
                          <w:szCs w:val="36"/>
                        </w:rPr>
                      </w:pPr>
                    </w:p>
                    <w:p w14:paraId="7666959C" w14:textId="319533AB" w:rsidR="0024486F" w:rsidRPr="00E91BE1" w:rsidRDefault="0024486F" w:rsidP="00B94E13">
                      <w:pPr>
                        <w:spacing w:line="240" w:lineRule="auto"/>
                        <w:jc w:val="center"/>
                        <w:rPr>
                          <w:smallCaps/>
                          <w:color w:val="404040" w:themeColor="text1" w:themeTint="BF"/>
                          <w:sz w:val="36"/>
                          <w:szCs w:val="36"/>
                        </w:rPr>
                      </w:pPr>
                      <w:r w:rsidRPr="00E91BE1">
                        <w:rPr>
                          <w:smallCaps/>
                          <w:color w:val="404040" w:themeColor="text1" w:themeTint="BF"/>
                          <w:sz w:val="36"/>
                          <w:szCs w:val="36"/>
                        </w:rPr>
                        <w:t>Sector:</w:t>
                      </w:r>
                      <w:r>
                        <w:rPr>
                          <w:smallCaps/>
                          <w:color w:val="404040" w:themeColor="text1" w:themeTint="BF"/>
                          <w:sz w:val="36"/>
                          <w:szCs w:val="36"/>
                        </w:rPr>
                        <w:t xml:space="preserve">  Materials</w:t>
                      </w:r>
                    </w:p>
                    <w:p w14:paraId="58867849" w14:textId="234B643C" w:rsidR="0024486F" w:rsidRPr="00E91BE1" w:rsidRDefault="0024486F" w:rsidP="00B94E13">
                      <w:pPr>
                        <w:spacing w:line="240" w:lineRule="auto"/>
                        <w:jc w:val="center"/>
                        <w:rPr>
                          <w:smallCaps/>
                          <w:color w:val="404040" w:themeColor="text1" w:themeTint="BF"/>
                          <w:sz w:val="36"/>
                          <w:szCs w:val="36"/>
                        </w:rPr>
                      </w:pPr>
                      <w:r w:rsidRPr="00E91BE1">
                        <w:rPr>
                          <w:smallCaps/>
                          <w:color w:val="404040" w:themeColor="text1" w:themeTint="BF"/>
                          <w:sz w:val="36"/>
                          <w:szCs w:val="36"/>
                        </w:rPr>
                        <w:t>Agency Level:</w:t>
                      </w:r>
                      <w:r>
                        <w:rPr>
                          <w:smallCaps/>
                          <w:color w:val="404040" w:themeColor="text1" w:themeTint="BF"/>
                          <w:sz w:val="36"/>
                          <w:szCs w:val="36"/>
                        </w:rPr>
                        <w:t xml:space="preserve">  Business</w:t>
                      </w:r>
                    </w:p>
                    <w:p w14:paraId="39C1679B" w14:textId="5C2AB647" w:rsidR="0024486F" w:rsidRPr="00E91BE1" w:rsidRDefault="0024486F" w:rsidP="00B94E13">
                      <w:pPr>
                        <w:spacing w:line="240" w:lineRule="auto"/>
                        <w:jc w:val="center"/>
                        <w:rPr>
                          <w:smallCaps/>
                          <w:color w:val="404040" w:themeColor="text1" w:themeTint="BF"/>
                          <w:sz w:val="36"/>
                          <w:szCs w:val="36"/>
                        </w:rPr>
                      </w:pPr>
                      <w:r w:rsidRPr="00E91BE1">
                        <w:rPr>
                          <w:smallCaps/>
                          <w:color w:val="404040" w:themeColor="text1" w:themeTint="BF"/>
                          <w:sz w:val="36"/>
                          <w:szCs w:val="36"/>
                        </w:rPr>
                        <w:t>Keywords:</w:t>
                      </w:r>
                      <w:r>
                        <w:rPr>
                          <w:smallCaps/>
                          <w:color w:val="404040" w:themeColor="text1" w:themeTint="BF"/>
                          <w:sz w:val="36"/>
                          <w:szCs w:val="36"/>
                        </w:rPr>
                        <w:t xml:space="preserve">  alternative concretes, sustainable concrete, supplementary cementitious materials, fly ash</w:t>
                      </w:r>
                    </w:p>
                    <w:p w14:paraId="4BB06C0A" w14:textId="77777777" w:rsidR="0024486F" w:rsidRDefault="0024486F" w:rsidP="00B94E13"/>
                    <w:p w14:paraId="4A2DA774" w14:textId="77777777" w:rsidR="0024486F" w:rsidRDefault="0024486F" w:rsidP="00B94E13"/>
                    <w:p w14:paraId="547DF597" w14:textId="77777777" w:rsidR="0024486F" w:rsidRPr="0033242D" w:rsidRDefault="0024486F" w:rsidP="00B94E13">
                      <w:pPr>
                        <w:spacing w:line="240" w:lineRule="auto"/>
                        <w:jc w:val="center"/>
                        <w:rPr>
                          <w:smallCaps/>
                          <w:color w:val="404040" w:themeColor="text1" w:themeTint="BF"/>
                          <w:sz w:val="36"/>
                          <w:szCs w:val="36"/>
                        </w:rPr>
                      </w:pPr>
                      <w:r w:rsidRPr="0033242D">
                        <w:rPr>
                          <w:smallCaps/>
                          <w:color w:val="404040" w:themeColor="text1" w:themeTint="BF"/>
                          <w:sz w:val="36"/>
                          <w:szCs w:val="36"/>
                        </w:rPr>
                        <w:t xml:space="preserve">Book Edition </w:t>
                      </w:r>
                      <w:r w:rsidRPr="00DF021F">
                        <w:rPr>
                          <w:smallCaps/>
                          <w:color w:val="404040" w:themeColor="text1" w:themeTint="BF"/>
                          <w:sz w:val="36"/>
                          <w:szCs w:val="36"/>
                        </w:rPr>
                        <w:t>1</w:t>
                      </w:r>
                    </w:p>
                    <w:p w14:paraId="7F4383A2" w14:textId="77777777" w:rsidR="0024486F" w:rsidRPr="002D76B6" w:rsidRDefault="0024486F" w:rsidP="00B94E13"/>
                    <w:p w14:paraId="5C1DDFA0" w14:textId="77777777" w:rsidR="0024486F" w:rsidRPr="002D76B6" w:rsidRDefault="0024486F" w:rsidP="00B94E13"/>
                    <w:p w14:paraId="0118EE0C" w14:textId="77777777" w:rsidR="0024486F" w:rsidRPr="002D76B6" w:rsidRDefault="0024486F" w:rsidP="00B94E13"/>
                    <w:p w14:paraId="3470EB92" w14:textId="77777777" w:rsidR="0024486F" w:rsidRPr="002D76B6" w:rsidRDefault="0024486F" w:rsidP="00B94E13">
                      <w:pPr>
                        <w:spacing w:line="240" w:lineRule="auto"/>
                        <w:rPr>
                          <w:b/>
                          <w:smallCaps/>
                          <w:color w:val="404040" w:themeColor="text1" w:themeTint="BF"/>
                          <w:sz w:val="28"/>
                          <w:szCs w:val="28"/>
                        </w:rPr>
                      </w:pPr>
                      <w:r w:rsidRPr="002D76B6">
                        <w:rPr>
                          <w:b/>
                          <w:smallCaps/>
                          <w:color w:val="404040" w:themeColor="text1" w:themeTint="BF"/>
                          <w:sz w:val="28"/>
                          <w:szCs w:val="28"/>
                        </w:rPr>
                        <w:t>Prepared by:</w:t>
                      </w:r>
                    </w:p>
                    <w:p w14:paraId="2C5CC916" w14:textId="229E6B21" w:rsidR="0024486F" w:rsidRDefault="0024486F" w:rsidP="00B94E13">
                      <w:pPr>
                        <w:spacing w:line="240" w:lineRule="auto"/>
                        <w:rPr>
                          <w:smallCaps/>
                          <w:color w:val="404040" w:themeColor="text1" w:themeTint="BF"/>
                          <w:sz w:val="28"/>
                          <w:szCs w:val="28"/>
                        </w:rPr>
                      </w:pPr>
                      <w:r>
                        <w:rPr>
                          <w:smallCaps/>
                          <w:color w:val="404040" w:themeColor="text1" w:themeTint="BF"/>
                          <w:sz w:val="28"/>
                          <w:szCs w:val="28"/>
                        </w:rPr>
                        <w:t>Jay H. Arehart, Research Fellow</w:t>
                      </w:r>
                    </w:p>
                    <w:p w14:paraId="328090D4" w14:textId="4FB7A68D" w:rsidR="0024486F" w:rsidRPr="0033242D" w:rsidRDefault="0024486F" w:rsidP="00B94E13">
                      <w:pPr>
                        <w:spacing w:line="240" w:lineRule="auto"/>
                        <w:rPr>
                          <w:smallCaps/>
                          <w:color w:val="404040" w:themeColor="text1" w:themeTint="BF"/>
                          <w:sz w:val="28"/>
                          <w:szCs w:val="28"/>
                        </w:rPr>
                      </w:pPr>
                      <w:r>
                        <w:rPr>
                          <w:smallCaps/>
                          <w:color w:val="404040" w:themeColor="text1" w:themeTint="BF"/>
                          <w:sz w:val="28"/>
                          <w:szCs w:val="28"/>
                        </w:rPr>
                        <w:t>Tala Daya, Senior Fellow</w:t>
                      </w:r>
                    </w:p>
                    <w:p w14:paraId="7E9B11E1" w14:textId="7F4558A7" w:rsidR="0024486F" w:rsidRPr="00E91BE1" w:rsidRDefault="0024486F" w:rsidP="00B94E13">
                      <w:pPr>
                        <w:spacing w:line="240" w:lineRule="auto"/>
                        <w:rPr>
                          <w:smallCaps/>
                          <w:color w:val="404040" w:themeColor="text1" w:themeTint="BF"/>
                          <w:sz w:val="28"/>
                          <w:szCs w:val="28"/>
                        </w:rPr>
                      </w:pPr>
                      <w:r w:rsidRPr="00341435">
                        <w:rPr>
                          <w:smallCaps/>
                          <w:color w:val="404040" w:themeColor="text1" w:themeTint="BF"/>
                          <w:sz w:val="28"/>
                          <w:szCs w:val="28"/>
                        </w:rPr>
                        <w:t>Ryan F</w:t>
                      </w:r>
                      <w:r>
                        <w:rPr>
                          <w:smallCaps/>
                          <w:color w:val="404040" w:themeColor="text1" w:themeTint="BF"/>
                          <w:sz w:val="28"/>
                          <w:szCs w:val="28"/>
                        </w:rPr>
                        <w:t>.</w:t>
                      </w:r>
                      <w:r w:rsidRPr="00341435">
                        <w:rPr>
                          <w:smallCaps/>
                          <w:color w:val="404040" w:themeColor="text1" w:themeTint="BF"/>
                          <w:sz w:val="28"/>
                          <w:szCs w:val="28"/>
                        </w:rPr>
                        <w:t xml:space="preserve"> Allard, Senior Fellow</w:t>
                      </w:r>
                    </w:p>
                    <w:p w14:paraId="1E09E11F" w14:textId="77777777" w:rsidR="0024486F" w:rsidRPr="00EB247F" w:rsidRDefault="0024486F" w:rsidP="00B94E13">
                      <w:pPr>
                        <w:rPr>
                          <w:smallCaps/>
                          <w:color w:val="404040" w:themeColor="text1" w:themeTint="BF"/>
                        </w:rPr>
                      </w:pPr>
                    </w:p>
                    <w:p w14:paraId="7C0E29D1" w14:textId="4631BF03" w:rsidR="0024486F" w:rsidRDefault="0024486F" w:rsidP="00B94E13">
                      <w:pPr>
                        <w:rPr>
                          <w:smallCaps/>
                          <w:color w:val="404040" w:themeColor="text1" w:themeTint="BF"/>
                        </w:rPr>
                      </w:pPr>
                    </w:p>
                    <w:p w14:paraId="7D79AA9B" w14:textId="77777777" w:rsidR="0024486F" w:rsidRPr="00EB247F" w:rsidRDefault="0024486F" w:rsidP="00B94E13">
                      <w:pPr>
                        <w:rPr>
                          <w:smallCaps/>
                          <w:color w:val="404040" w:themeColor="text1" w:themeTint="BF"/>
                        </w:rPr>
                      </w:pPr>
                    </w:p>
                    <w:p w14:paraId="466722AC" w14:textId="77777777" w:rsidR="0024486F" w:rsidRPr="00EB247F" w:rsidRDefault="0024486F" w:rsidP="00B94E13">
                      <w:pPr>
                        <w:rPr>
                          <w:smallCaps/>
                          <w:color w:val="404040" w:themeColor="text1" w:themeTint="BF"/>
                        </w:rPr>
                      </w:pPr>
                      <w:r w:rsidRPr="00EB247F">
                        <w:rPr>
                          <w:noProof/>
                        </w:rPr>
                        <w:drawing>
                          <wp:inline distT="0" distB="0" distL="0" distR="0" wp14:anchorId="6598437C" wp14:editId="1D61E06A">
                            <wp:extent cx="3203517" cy="7531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12">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7DAA021D" w14:textId="77777777" w:rsidR="0024486F" w:rsidRPr="002B648F" w:rsidRDefault="0024486F" w:rsidP="00B94E13">
                      <w:pPr>
                        <w:rPr>
                          <w:rFonts w:asciiTheme="minorHAnsi" w:hAnsiTheme="minorHAnsi"/>
                          <w:smallCaps/>
                          <w:color w:val="000000" w:themeColor="text1"/>
                          <w:sz w:val="20"/>
                          <w:szCs w:val="20"/>
                        </w:rPr>
                      </w:pPr>
                      <w:hyperlink r:id="rId13" w:history="1">
                        <w:r w:rsidRPr="002B648F">
                          <w:rPr>
                            <w:rFonts w:asciiTheme="minorHAnsi" w:hAnsiTheme="minorHAnsi"/>
                            <w:color w:val="000000" w:themeColor="text1"/>
                          </w:rPr>
                          <w:t>info@drawdown.org</w:t>
                        </w:r>
                      </w:hyperlink>
                      <w:r w:rsidRPr="002B648F">
                        <w:rPr>
                          <w:rFonts w:asciiTheme="minorHAnsi" w:hAnsiTheme="minorHAnsi"/>
                          <w:smallCaps/>
                          <w:color w:val="000000" w:themeColor="text1"/>
                          <w:sz w:val="20"/>
                          <w:szCs w:val="20"/>
                        </w:rPr>
                        <w:t xml:space="preserve">             </w:t>
                      </w:r>
                      <w:hyperlink r:id="rId14" w:history="1">
                        <w:r w:rsidRPr="002B648F">
                          <w:rPr>
                            <w:rFonts w:asciiTheme="minorHAnsi" w:hAnsiTheme="minorHAnsi"/>
                            <w:color w:val="000000" w:themeColor="text1"/>
                          </w:rPr>
                          <w:t>www.drawdown.org</w:t>
                        </w:r>
                      </w:hyperlink>
                      <w:r w:rsidRPr="002B648F">
                        <w:rPr>
                          <w:rFonts w:asciiTheme="minorHAnsi" w:hAnsiTheme="minorHAnsi"/>
                          <w:smallCaps/>
                          <w:color w:val="000000" w:themeColor="text1"/>
                          <w:sz w:val="20"/>
                          <w:szCs w:val="20"/>
                        </w:rPr>
                        <w:t xml:space="preserve">  </w:t>
                      </w:r>
                    </w:p>
                    <w:p w14:paraId="7E20065F" w14:textId="77777777" w:rsidR="0024486F" w:rsidRPr="002B648F" w:rsidRDefault="0024486F" w:rsidP="00B94E13">
                      <w:pPr>
                        <w:rPr>
                          <w:smallCaps/>
                          <w:color w:val="404040" w:themeColor="text1" w:themeTint="BF"/>
                          <w:sz w:val="36"/>
                          <w:szCs w:val="36"/>
                        </w:rPr>
                      </w:pPr>
                    </w:p>
                    <w:p w14:paraId="2DA163D2" w14:textId="77777777" w:rsidR="0024486F" w:rsidRPr="002B648F" w:rsidRDefault="0024486F" w:rsidP="00B94E13">
                      <w:pPr>
                        <w:rPr>
                          <w:smallCaps/>
                          <w:color w:val="404040" w:themeColor="text1" w:themeTint="BF"/>
                          <w:sz w:val="36"/>
                          <w:szCs w:val="36"/>
                        </w:rPr>
                      </w:pPr>
                    </w:p>
                  </w:txbxContent>
                </v:textbox>
                <w10:wrap type="square" anchorx="page" anchory="page"/>
              </v:shape>
            </w:pict>
          </mc:Fallback>
        </mc:AlternateContent>
      </w:r>
      <w:r>
        <w:rPr>
          <w:rStyle w:val="Hyperlink"/>
          <w:noProof/>
        </w:rPr>
        <w:br w:type="page"/>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C44058" w:rsidRDefault="551A77D0" w:rsidP="00EB247F">
          <w:pPr>
            <w:rPr>
              <w:rStyle w:val="Heading1Char"/>
            </w:rPr>
          </w:pPr>
          <w:r w:rsidRPr="00C44058">
            <w:rPr>
              <w:rStyle w:val="Heading1Char"/>
            </w:rPr>
            <w:t>Table of Contents</w:t>
          </w:r>
        </w:p>
        <w:p w14:paraId="009A980D" w14:textId="58BE0EFF" w:rsidR="008F2A2C" w:rsidRDefault="00640665">
          <w:pPr>
            <w:pStyle w:val="TOC1"/>
            <w:tabs>
              <w:tab w:val="right" w:leader="dot" w:pos="9350"/>
            </w:tabs>
            <w:rPr>
              <w:rFonts w:asciiTheme="minorHAnsi" w:eastAsiaTheme="minorEastAsia" w:hAnsiTheme="minorHAnsi" w:cstheme="minorBidi"/>
              <w:noProof/>
            </w:rPr>
          </w:pPr>
          <w:r w:rsidRPr="00C44058">
            <w:fldChar w:fldCharType="begin"/>
          </w:r>
          <w:r w:rsidRPr="00C44058">
            <w:instrText xml:space="preserve"> TOC \o "1-3" \h \z \u </w:instrText>
          </w:r>
          <w:r w:rsidRPr="00C44058">
            <w:fldChar w:fldCharType="separate"/>
          </w:r>
          <w:hyperlink w:anchor="_Toc38211617" w:history="1">
            <w:r w:rsidR="008F2A2C" w:rsidRPr="004176E2">
              <w:rPr>
                <w:rStyle w:val="Hyperlink"/>
                <w:rFonts w:eastAsiaTheme="majorEastAsia"/>
                <w:noProof/>
              </w:rPr>
              <w:t>List of Figures</w:t>
            </w:r>
            <w:r w:rsidR="008F2A2C">
              <w:rPr>
                <w:noProof/>
                <w:webHidden/>
              </w:rPr>
              <w:tab/>
            </w:r>
            <w:r w:rsidR="008F2A2C">
              <w:rPr>
                <w:noProof/>
                <w:webHidden/>
              </w:rPr>
              <w:fldChar w:fldCharType="begin"/>
            </w:r>
            <w:r w:rsidR="008F2A2C">
              <w:rPr>
                <w:noProof/>
                <w:webHidden/>
              </w:rPr>
              <w:instrText xml:space="preserve"> PAGEREF _Toc38211617 \h </w:instrText>
            </w:r>
            <w:r w:rsidR="008F2A2C">
              <w:rPr>
                <w:noProof/>
                <w:webHidden/>
              </w:rPr>
            </w:r>
            <w:r w:rsidR="008F2A2C">
              <w:rPr>
                <w:noProof/>
                <w:webHidden/>
              </w:rPr>
              <w:fldChar w:fldCharType="separate"/>
            </w:r>
            <w:r w:rsidR="008F2A2C">
              <w:rPr>
                <w:noProof/>
                <w:webHidden/>
              </w:rPr>
              <w:t>IV</w:t>
            </w:r>
            <w:r w:rsidR="008F2A2C">
              <w:rPr>
                <w:noProof/>
                <w:webHidden/>
              </w:rPr>
              <w:fldChar w:fldCharType="end"/>
            </w:r>
          </w:hyperlink>
        </w:p>
        <w:p w14:paraId="45C7DEDF" w14:textId="330EEBB4" w:rsidR="008F2A2C" w:rsidRDefault="00791258">
          <w:pPr>
            <w:pStyle w:val="TOC1"/>
            <w:tabs>
              <w:tab w:val="right" w:leader="dot" w:pos="9350"/>
            </w:tabs>
            <w:rPr>
              <w:rFonts w:asciiTheme="minorHAnsi" w:eastAsiaTheme="minorEastAsia" w:hAnsiTheme="minorHAnsi" w:cstheme="minorBidi"/>
              <w:noProof/>
            </w:rPr>
          </w:pPr>
          <w:hyperlink w:anchor="_Toc38211618" w:history="1">
            <w:r w:rsidR="008F2A2C" w:rsidRPr="004176E2">
              <w:rPr>
                <w:rStyle w:val="Hyperlink"/>
                <w:rFonts w:eastAsiaTheme="majorEastAsia"/>
                <w:noProof/>
              </w:rPr>
              <w:t>List of Tables</w:t>
            </w:r>
            <w:r w:rsidR="008F2A2C">
              <w:rPr>
                <w:noProof/>
                <w:webHidden/>
              </w:rPr>
              <w:tab/>
            </w:r>
            <w:r w:rsidR="008F2A2C">
              <w:rPr>
                <w:noProof/>
                <w:webHidden/>
              </w:rPr>
              <w:fldChar w:fldCharType="begin"/>
            </w:r>
            <w:r w:rsidR="008F2A2C">
              <w:rPr>
                <w:noProof/>
                <w:webHidden/>
              </w:rPr>
              <w:instrText xml:space="preserve"> PAGEREF _Toc38211618 \h </w:instrText>
            </w:r>
            <w:r w:rsidR="008F2A2C">
              <w:rPr>
                <w:noProof/>
                <w:webHidden/>
              </w:rPr>
            </w:r>
            <w:r w:rsidR="008F2A2C">
              <w:rPr>
                <w:noProof/>
                <w:webHidden/>
              </w:rPr>
              <w:fldChar w:fldCharType="separate"/>
            </w:r>
            <w:r w:rsidR="008F2A2C">
              <w:rPr>
                <w:noProof/>
                <w:webHidden/>
              </w:rPr>
              <w:t>IV</w:t>
            </w:r>
            <w:r w:rsidR="008F2A2C">
              <w:rPr>
                <w:noProof/>
                <w:webHidden/>
              </w:rPr>
              <w:fldChar w:fldCharType="end"/>
            </w:r>
          </w:hyperlink>
        </w:p>
        <w:p w14:paraId="1FBDFB0A" w14:textId="712C3EB8" w:rsidR="008F2A2C" w:rsidRDefault="00791258">
          <w:pPr>
            <w:pStyle w:val="TOC1"/>
            <w:tabs>
              <w:tab w:val="right" w:leader="dot" w:pos="9350"/>
            </w:tabs>
            <w:rPr>
              <w:rFonts w:asciiTheme="minorHAnsi" w:eastAsiaTheme="minorEastAsia" w:hAnsiTheme="minorHAnsi" w:cstheme="minorBidi"/>
              <w:noProof/>
            </w:rPr>
          </w:pPr>
          <w:hyperlink w:anchor="_Toc38211619" w:history="1">
            <w:r w:rsidR="008F2A2C" w:rsidRPr="004176E2">
              <w:rPr>
                <w:rStyle w:val="Hyperlink"/>
                <w:rFonts w:eastAsiaTheme="majorEastAsia"/>
                <w:noProof/>
              </w:rPr>
              <w:t>Acronyms and Symbols Used</w:t>
            </w:r>
            <w:r w:rsidR="008F2A2C">
              <w:rPr>
                <w:noProof/>
                <w:webHidden/>
              </w:rPr>
              <w:tab/>
            </w:r>
            <w:r w:rsidR="008F2A2C">
              <w:rPr>
                <w:noProof/>
                <w:webHidden/>
              </w:rPr>
              <w:fldChar w:fldCharType="begin"/>
            </w:r>
            <w:r w:rsidR="008F2A2C">
              <w:rPr>
                <w:noProof/>
                <w:webHidden/>
              </w:rPr>
              <w:instrText xml:space="preserve"> PAGEREF _Toc38211619 \h </w:instrText>
            </w:r>
            <w:r w:rsidR="008F2A2C">
              <w:rPr>
                <w:noProof/>
                <w:webHidden/>
              </w:rPr>
            </w:r>
            <w:r w:rsidR="008F2A2C">
              <w:rPr>
                <w:noProof/>
                <w:webHidden/>
              </w:rPr>
              <w:fldChar w:fldCharType="separate"/>
            </w:r>
            <w:r w:rsidR="008F2A2C">
              <w:rPr>
                <w:noProof/>
                <w:webHidden/>
              </w:rPr>
              <w:t>V</w:t>
            </w:r>
            <w:r w:rsidR="008F2A2C">
              <w:rPr>
                <w:noProof/>
                <w:webHidden/>
              </w:rPr>
              <w:fldChar w:fldCharType="end"/>
            </w:r>
          </w:hyperlink>
        </w:p>
        <w:p w14:paraId="56546E65" w14:textId="3E27AF4D" w:rsidR="008F2A2C" w:rsidRDefault="00791258">
          <w:pPr>
            <w:pStyle w:val="TOC1"/>
            <w:tabs>
              <w:tab w:val="right" w:leader="dot" w:pos="9350"/>
            </w:tabs>
            <w:rPr>
              <w:rFonts w:asciiTheme="minorHAnsi" w:eastAsiaTheme="minorEastAsia" w:hAnsiTheme="minorHAnsi" w:cstheme="minorBidi"/>
              <w:noProof/>
            </w:rPr>
          </w:pPr>
          <w:hyperlink w:anchor="_Toc38211620" w:history="1">
            <w:r w:rsidR="008F2A2C" w:rsidRPr="004176E2">
              <w:rPr>
                <w:rStyle w:val="Hyperlink"/>
                <w:rFonts w:eastAsiaTheme="majorEastAsia"/>
                <w:noProof/>
              </w:rPr>
              <w:t>Executive Summary</w:t>
            </w:r>
            <w:r w:rsidR="008F2A2C">
              <w:rPr>
                <w:noProof/>
                <w:webHidden/>
              </w:rPr>
              <w:tab/>
            </w:r>
            <w:r w:rsidR="008F2A2C">
              <w:rPr>
                <w:noProof/>
                <w:webHidden/>
              </w:rPr>
              <w:fldChar w:fldCharType="begin"/>
            </w:r>
            <w:r w:rsidR="008F2A2C">
              <w:rPr>
                <w:noProof/>
                <w:webHidden/>
              </w:rPr>
              <w:instrText xml:space="preserve"> PAGEREF _Toc38211620 \h </w:instrText>
            </w:r>
            <w:r w:rsidR="008F2A2C">
              <w:rPr>
                <w:noProof/>
                <w:webHidden/>
              </w:rPr>
            </w:r>
            <w:r w:rsidR="008F2A2C">
              <w:rPr>
                <w:noProof/>
                <w:webHidden/>
              </w:rPr>
              <w:fldChar w:fldCharType="separate"/>
            </w:r>
            <w:r w:rsidR="008F2A2C">
              <w:rPr>
                <w:noProof/>
                <w:webHidden/>
              </w:rPr>
              <w:t>VI</w:t>
            </w:r>
            <w:r w:rsidR="008F2A2C">
              <w:rPr>
                <w:noProof/>
                <w:webHidden/>
              </w:rPr>
              <w:fldChar w:fldCharType="end"/>
            </w:r>
          </w:hyperlink>
        </w:p>
        <w:p w14:paraId="001C08A3" w14:textId="27B871CE" w:rsidR="008F2A2C" w:rsidRDefault="00791258">
          <w:pPr>
            <w:pStyle w:val="TOC1"/>
            <w:tabs>
              <w:tab w:val="left" w:pos="440"/>
              <w:tab w:val="right" w:leader="dot" w:pos="9350"/>
            </w:tabs>
            <w:rPr>
              <w:rFonts w:asciiTheme="minorHAnsi" w:eastAsiaTheme="minorEastAsia" w:hAnsiTheme="minorHAnsi" w:cstheme="minorBidi"/>
              <w:noProof/>
            </w:rPr>
          </w:pPr>
          <w:hyperlink w:anchor="_Toc38211621" w:history="1">
            <w:r w:rsidR="008F2A2C" w:rsidRPr="004176E2">
              <w:rPr>
                <w:rStyle w:val="Hyperlink"/>
                <w:rFonts w:eastAsiaTheme="majorEastAsia"/>
                <w:noProof/>
              </w:rPr>
              <w:t>1</w:t>
            </w:r>
            <w:r w:rsidR="008F2A2C">
              <w:rPr>
                <w:rFonts w:asciiTheme="minorHAnsi" w:eastAsiaTheme="minorEastAsia" w:hAnsiTheme="minorHAnsi" w:cstheme="minorBidi"/>
                <w:noProof/>
              </w:rPr>
              <w:tab/>
            </w:r>
            <w:r w:rsidR="008F2A2C" w:rsidRPr="004176E2">
              <w:rPr>
                <w:rStyle w:val="Hyperlink"/>
                <w:rFonts w:eastAsiaTheme="majorEastAsia"/>
                <w:noProof/>
              </w:rPr>
              <w:t>Literature Review</w:t>
            </w:r>
            <w:r w:rsidR="008F2A2C">
              <w:rPr>
                <w:noProof/>
                <w:webHidden/>
              </w:rPr>
              <w:tab/>
            </w:r>
            <w:r w:rsidR="008F2A2C">
              <w:rPr>
                <w:noProof/>
                <w:webHidden/>
              </w:rPr>
              <w:fldChar w:fldCharType="begin"/>
            </w:r>
            <w:r w:rsidR="008F2A2C">
              <w:rPr>
                <w:noProof/>
                <w:webHidden/>
              </w:rPr>
              <w:instrText xml:space="preserve"> PAGEREF _Toc38211621 \h </w:instrText>
            </w:r>
            <w:r w:rsidR="008F2A2C">
              <w:rPr>
                <w:noProof/>
                <w:webHidden/>
              </w:rPr>
            </w:r>
            <w:r w:rsidR="008F2A2C">
              <w:rPr>
                <w:noProof/>
                <w:webHidden/>
              </w:rPr>
              <w:fldChar w:fldCharType="separate"/>
            </w:r>
            <w:r w:rsidR="008F2A2C">
              <w:rPr>
                <w:noProof/>
                <w:webHidden/>
              </w:rPr>
              <w:t>1</w:t>
            </w:r>
            <w:r w:rsidR="008F2A2C">
              <w:rPr>
                <w:noProof/>
                <w:webHidden/>
              </w:rPr>
              <w:fldChar w:fldCharType="end"/>
            </w:r>
          </w:hyperlink>
        </w:p>
        <w:p w14:paraId="4E8416ED" w14:textId="6E48E97B" w:rsidR="008F2A2C" w:rsidRDefault="00791258">
          <w:pPr>
            <w:pStyle w:val="TOC2"/>
            <w:tabs>
              <w:tab w:val="left" w:pos="960"/>
              <w:tab w:val="right" w:leader="dot" w:pos="9350"/>
            </w:tabs>
            <w:rPr>
              <w:rFonts w:asciiTheme="minorHAnsi" w:eastAsiaTheme="minorEastAsia" w:hAnsiTheme="minorHAnsi" w:cstheme="minorBidi"/>
              <w:noProof/>
            </w:rPr>
          </w:pPr>
          <w:hyperlink w:anchor="_Toc38211622" w:history="1">
            <w:r w:rsidR="008F2A2C" w:rsidRPr="004176E2">
              <w:rPr>
                <w:rStyle w:val="Hyperlink"/>
                <w:rFonts w:eastAsiaTheme="majorEastAsia"/>
                <w:noProof/>
              </w:rPr>
              <w:t>1.1</w:t>
            </w:r>
            <w:r w:rsidR="008F2A2C">
              <w:rPr>
                <w:rFonts w:asciiTheme="minorHAnsi" w:eastAsiaTheme="minorEastAsia" w:hAnsiTheme="minorHAnsi" w:cstheme="minorBidi"/>
                <w:noProof/>
              </w:rPr>
              <w:tab/>
            </w:r>
            <w:r w:rsidR="008F2A2C" w:rsidRPr="004176E2">
              <w:rPr>
                <w:rStyle w:val="Hyperlink"/>
                <w:rFonts w:eastAsiaTheme="majorEastAsia"/>
                <w:noProof/>
              </w:rPr>
              <w:t>State of Alternative Cements</w:t>
            </w:r>
            <w:r w:rsidR="008F2A2C">
              <w:rPr>
                <w:noProof/>
                <w:webHidden/>
              </w:rPr>
              <w:tab/>
            </w:r>
            <w:r w:rsidR="008F2A2C">
              <w:rPr>
                <w:noProof/>
                <w:webHidden/>
              </w:rPr>
              <w:fldChar w:fldCharType="begin"/>
            </w:r>
            <w:r w:rsidR="008F2A2C">
              <w:rPr>
                <w:noProof/>
                <w:webHidden/>
              </w:rPr>
              <w:instrText xml:space="preserve"> PAGEREF _Toc38211622 \h </w:instrText>
            </w:r>
            <w:r w:rsidR="008F2A2C">
              <w:rPr>
                <w:noProof/>
                <w:webHidden/>
              </w:rPr>
            </w:r>
            <w:r w:rsidR="008F2A2C">
              <w:rPr>
                <w:noProof/>
                <w:webHidden/>
              </w:rPr>
              <w:fldChar w:fldCharType="separate"/>
            </w:r>
            <w:r w:rsidR="008F2A2C">
              <w:rPr>
                <w:noProof/>
                <w:webHidden/>
              </w:rPr>
              <w:t>1</w:t>
            </w:r>
            <w:r w:rsidR="008F2A2C">
              <w:rPr>
                <w:noProof/>
                <w:webHidden/>
              </w:rPr>
              <w:fldChar w:fldCharType="end"/>
            </w:r>
          </w:hyperlink>
        </w:p>
        <w:p w14:paraId="3C706767" w14:textId="134CFF93" w:rsidR="008F2A2C" w:rsidRDefault="00791258">
          <w:pPr>
            <w:pStyle w:val="TOC3"/>
            <w:tabs>
              <w:tab w:val="left" w:pos="1200"/>
              <w:tab w:val="right" w:leader="dot" w:pos="9350"/>
            </w:tabs>
            <w:rPr>
              <w:rFonts w:asciiTheme="minorHAnsi" w:eastAsiaTheme="minorEastAsia" w:hAnsiTheme="minorHAnsi" w:cstheme="minorBidi"/>
              <w:noProof/>
            </w:rPr>
          </w:pPr>
          <w:hyperlink w:anchor="_Toc38211623" w:history="1">
            <w:r w:rsidR="008F2A2C" w:rsidRPr="004176E2">
              <w:rPr>
                <w:rStyle w:val="Hyperlink"/>
                <w:rFonts w:eastAsiaTheme="majorEastAsia"/>
                <w:noProof/>
              </w:rPr>
              <w:t>1.1.1</w:t>
            </w:r>
            <w:r w:rsidR="008F2A2C">
              <w:rPr>
                <w:rFonts w:asciiTheme="minorHAnsi" w:eastAsiaTheme="minorEastAsia" w:hAnsiTheme="minorHAnsi" w:cstheme="minorBidi"/>
                <w:noProof/>
              </w:rPr>
              <w:tab/>
            </w:r>
            <w:r w:rsidR="008F2A2C" w:rsidRPr="004176E2">
              <w:rPr>
                <w:rStyle w:val="Hyperlink"/>
                <w:rFonts w:eastAsiaTheme="majorEastAsia"/>
                <w:noProof/>
              </w:rPr>
              <w:t>Manufacturing Process</w:t>
            </w:r>
            <w:r w:rsidR="008F2A2C">
              <w:rPr>
                <w:noProof/>
                <w:webHidden/>
              </w:rPr>
              <w:tab/>
            </w:r>
            <w:r w:rsidR="008F2A2C">
              <w:rPr>
                <w:noProof/>
                <w:webHidden/>
              </w:rPr>
              <w:fldChar w:fldCharType="begin"/>
            </w:r>
            <w:r w:rsidR="008F2A2C">
              <w:rPr>
                <w:noProof/>
                <w:webHidden/>
              </w:rPr>
              <w:instrText xml:space="preserve"> PAGEREF _Toc38211623 \h </w:instrText>
            </w:r>
            <w:r w:rsidR="008F2A2C">
              <w:rPr>
                <w:noProof/>
                <w:webHidden/>
              </w:rPr>
            </w:r>
            <w:r w:rsidR="008F2A2C">
              <w:rPr>
                <w:noProof/>
                <w:webHidden/>
              </w:rPr>
              <w:fldChar w:fldCharType="separate"/>
            </w:r>
            <w:r w:rsidR="008F2A2C">
              <w:rPr>
                <w:noProof/>
                <w:webHidden/>
              </w:rPr>
              <w:t>1</w:t>
            </w:r>
            <w:r w:rsidR="008F2A2C">
              <w:rPr>
                <w:noProof/>
                <w:webHidden/>
              </w:rPr>
              <w:fldChar w:fldCharType="end"/>
            </w:r>
          </w:hyperlink>
        </w:p>
        <w:p w14:paraId="3F3BB276" w14:textId="7F3E1470" w:rsidR="008F2A2C" w:rsidRDefault="00791258">
          <w:pPr>
            <w:pStyle w:val="TOC3"/>
            <w:tabs>
              <w:tab w:val="left" w:pos="1200"/>
              <w:tab w:val="right" w:leader="dot" w:pos="9350"/>
            </w:tabs>
            <w:rPr>
              <w:rFonts w:asciiTheme="minorHAnsi" w:eastAsiaTheme="minorEastAsia" w:hAnsiTheme="minorHAnsi" w:cstheme="minorBidi"/>
              <w:noProof/>
            </w:rPr>
          </w:pPr>
          <w:hyperlink w:anchor="_Toc38211624" w:history="1">
            <w:r w:rsidR="008F2A2C" w:rsidRPr="004176E2">
              <w:rPr>
                <w:rStyle w:val="Hyperlink"/>
                <w:rFonts w:eastAsiaTheme="majorEastAsia"/>
                <w:noProof/>
              </w:rPr>
              <w:t>1.1.2</w:t>
            </w:r>
            <w:r w:rsidR="008F2A2C">
              <w:rPr>
                <w:rFonts w:asciiTheme="minorHAnsi" w:eastAsiaTheme="minorEastAsia" w:hAnsiTheme="minorHAnsi" w:cstheme="minorBidi"/>
                <w:noProof/>
              </w:rPr>
              <w:tab/>
            </w:r>
            <w:r w:rsidR="008F2A2C" w:rsidRPr="004176E2">
              <w:rPr>
                <w:rStyle w:val="Hyperlink"/>
                <w:rFonts w:eastAsiaTheme="majorEastAsia"/>
                <w:noProof/>
              </w:rPr>
              <w:t>Manufacturing Efficiencies</w:t>
            </w:r>
            <w:r w:rsidR="008F2A2C">
              <w:rPr>
                <w:noProof/>
                <w:webHidden/>
              </w:rPr>
              <w:tab/>
            </w:r>
            <w:r w:rsidR="008F2A2C">
              <w:rPr>
                <w:noProof/>
                <w:webHidden/>
              </w:rPr>
              <w:fldChar w:fldCharType="begin"/>
            </w:r>
            <w:r w:rsidR="008F2A2C">
              <w:rPr>
                <w:noProof/>
                <w:webHidden/>
              </w:rPr>
              <w:instrText xml:space="preserve"> PAGEREF _Toc38211624 \h </w:instrText>
            </w:r>
            <w:r w:rsidR="008F2A2C">
              <w:rPr>
                <w:noProof/>
                <w:webHidden/>
              </w:rPr>
            </w:r>
            <w:r w:rsidR="008F2A2C">
              <w:rPr>
                <w:noProof/>
                <w:webHidden/>
              </w:rPr>
              <w:fldChar w:fldCharType="separate"/>
            </w:r>
            <w:r w:rsidR="008F2A2C">
              <w:rPr>
                <w:noProof/>
                <w:webHidden/>
              </w:rPr>
              <w:t>2</w:t>
            </w:r>
            <w:r w:rsidR="008F2A2C">
              <w:rPr>
                <w:noProof/>
                <w:webHidden/>
              </w:rPr>
              <w:fldChar w:fldCharType="end"/>
            </w:r>
          </w:hyperlink>
        </w:p>
        <w:p w14:paraId="703A1CC0" w14:textId="55546EBB" w:rsidR="008F2A2C" w:rsidRDefault="00791258">
          <w:pPr>
            <w:pStyle w:val="TOC3"/>
            <w:tabs>
              <w:tab w:val="left" w:pos="1200"/>
              <w:tab w:val="right" w:leader="dot" w:pos="9350"/>
            </w:tabs>
            <w:rPr>
              <w:rFonts w:asciiTheme="minorHAnsi" w:eastAsiaTheme="minorEastAsia" w:hAnsiTheme="minorHAnsi" w:cstheme="minorBidi"/>
              <w:noProof/>
            </w:rPr>
          </w:pPr>
          <w:hyperlink w:anchor="_Toc38211625" w:history="1">
            <w:r w:rsidR="008F2A2C" w:rsidRPr="004176E2">
              <w:rPr>
                <w:rStyle w:val="Hyperlink"/>
                <w:rFonts w:eastAsiaTheme="majorEastAsia"/>
                <w:noProof/>
              </w:rPr>
              <w:t>1.1.3</w:t>
            </w:r>
            <w:r w:rsidR="008F2A2C">
              <w:rPr>
                <w:rFonts w:asciiTheme="minorHAnsi" w:eastAsiaTheme="minorEastAsia" w:hAnsiTheme="minorHAnsi" w:cstheme="minorBidi"/>
                <w:noProof/>
              </w:rPr>
              <w:tab/>
            </w:r>
            <w:r w:rsidR="008F2A2C" w:rsidRPr="004176E2">
              <w:rPr>
                <w:rStyle w:val="Hyperlink"/>
                <w:rFonts w:eastAsiaTheme="majorEastAsia"/>
                <w:noProof/>
              </w:rPr>
              <w:t>Clinker Reduction</w:t>
            </w:r>
            <w:r w:rsidR="008F2A2C">
              <w:rPr>
                <w:noProof/>
                <w:webHidden/>
              </w:rPr>
              <w:tab/>
            </w:r>
            <w:r w:rsidR="008F2A2C">
              <w:rPr>
                <w:noProof/>
                <w:webHidden/>
              </w:rPr>
              <w:fldChar w:fldCharType="begin"/>
            </w:r>
            <w:r w:rsidR="008F2A2C">
              <w:rPr>
                <w:noProof/>
                <w:webHidden/>
              </w:rPr>
              <w:instrText xml:space="preserve"> PAGEREF _Toc38211625 \h </w:instrText>
            </w:r>
            <w:r w:rsidR="008F2A2C">
              <w:rPr>
                <w:noProof/>
                <w:webHidden/>
              </w:rPr>
            </w:r>
            <w:r w:rsidR="008F2A2C">
              <w:rPr>
                <w:noProof/>
                <w:webHidden/>
              </w:rPr>
              <w:fldChar w:fldCharType="separate"/>
            </w:r>
            <w:r w:rsidR="008F2A2C">
              <w:rPr>
                <w:noProof/>
                <w:webHidden/>
              </w:rPr>
              <w:t>3</w:t>
            </w:r>
            <w:r w:rsidR="008F2A2C">
              <w:rPr>
                <w:noProof/>
                <w:webHidden/>
              </w:rPr>
              <w:fldChar w:fldCharType="end"/>
            </w:r>
          </w:hyperlink>
        </w:p>
        <w:p w14:paraId="006DE153" w14:textId="370CC9E5" w:rsidR="008F2A2C" w:rsidRDefault="00791258">
          <w:pPr>
            <w:pStyle w:val="TOC3"/>
            <w:tabs>
              <w:tab w:val="left" w:pos="1200"/>
              <w:tab w:val="right" w:leader="dot" w:pos="9350"/>
            </w:tabs>
            <w:rPr>
              <w:rFonts w:asciiTheme="minorHAnsi" w:eastAsiaTheme="minorEastAsia" w:hAnsiTheme="minorHAnsi" w:cstheme="minorBidi"/>
              <w:noProof/>
            </w:rPr>
          </w:pPr>
          <w:hyperlink w:anchor="_Toc38211626" w:history="1">
            <w:r w:rsidR="008F2A2C" w:rsidRPr="004176E2">
              <w:rPr>
                <w:rStyle w:val="Hyperlink"/>
                <w:rFonts w:eastAsiaTheme="majorEastAsia"/>
                <w:noProof/>
              </w:rPr>
              <w:t>1.1.4</w:t>
            </w:r>
            <w:r w:rsidR="008F2A2C">
              <w:rPr>
                <w:rFonts w:asciiTheme="minorHAnsi" w:eastAsiaTheme="minorEastAsia" w:hAnsiTheme="minorHAnsi" w:cstheme="minorBidi"/>
                <w:noProof/>
              </w:rPr>
              <w:tab/>
            </w:r>
            <w:r w:rsidR="008F2A2C" w:rsidRPr="004176E2">
              <w:rPr>
                <w:rStyle w:val="Hyperlink"/>
                <w:rFonts w:eastAsiaTheme="majorEastAsia"/>
                <w:noProof/>
              </w:rPr>
              <w:t>Solution Definition</w:t>
            </w:r>
            <w:r w:rsidR="008F2A2C">
              <w:rPr>
                <w:noProof/>
                <w:webHidden/>
              </w:rPr>
              <w:tab/>
            </w:r>
            <w:r w:rsidR="008F2A2C">
              <w:rPr>
                <w:noProof/>
                <w:webHidden/>
              </w:rPr>
              <w:fldChar w:fldCharType="begin"/>
            </w:r>
            <w:r w:rsidR="008F2A2C">
              <w:rPr>
                <w:noProof/>
                <w:webHidden/>
              </w:rPr>
              <w:instrText xml:space="preserve"> PAGEREF _Toc38211626 \h </w:instrText>
            </w:r>
            <w:r w:rsidR="008F2A2C">
              <w:rPr>
                <w:noProof/>
                <w:webHidden/>
              </w:rPr>
            </w:r>
            <w:r w:rsidR="008F2A2C">
              <w:rPr>
                <w:noProof/>
                <w:webHidden/>
              </w:rPr>
              <w:fldChar w:fldCharType="separate"/>
            </w:r>
            <w:r w:rsidR="008F2A2C">
              <w:rPr>
                <w:noProof/>
                <w:webHidden/>
              </w:rPr>
              <w:t>3</w:t>
            </w:r>
            <w:r w:rsidR="008F2A2C">
              <w:rPr>
                <w:noProof/>
                <w:webHidden/>
              </w:rPr>
              <w:fldChar w:fldCharType="end"/>
            </w:r>
          </w:hyperlink>
        </w:p>
        <w:p w14:paraId="1269CC1A" w14:textId="61BF872D" w:rsidR="008F2A2C" w:rsidRDefault="00791258">
          <w:pPr>
            <w:pStyle w:val="TOC3"/>
            <w:tabs>
              <w:tab w:val="left" w:pos="1200"/>
              <w:tab w:val="right" w:leader="dot" w:pos="9350"/>
            </w:tabs>
            <w:rPr>
              <w:rFonts w:asciiTheme="minorHAnsi" w:eastAsiaTheme="minorEastAsia" w:hAnsiTheme="minorHAnsi" w:cstheme="minorBidi"/>
              <w:noProof/>
            </w:rPr>
          </w:pPr>
          <w:hyperlink w:anchor="_Toc38211627" w:history="1">
            <w:r w:rsidR="008F2A2C" w:rsidRPr="004176E2">
              <w:rPr>
                <w:rStyle w:val="Hyperlink"/>
                <w:rFonts w:eastAsiaTheme="majorEastAsia"/>
                <w:noProof/>
              </w:rPr>
              <w:t>1.1.5</w:t>
            </w:r>
            <w:r w:rsidR="008F2A2C">
              <w:rPr>
                <w:rFonts w:asciiTheme="minorHAnsi" w:eastAsiaTheme="minorEastAsia" w:hAnsiTheme="minorHAnsi" w:cstheme="minorBidi"/>
                <w:noProof/>
              </w:rPr>
              <w:tab/>
            </w:r>
            <w:r w:rsidR="008F2A2C" w:rsidRPr="004176E2">
              <w:rPr>
                <w:rStyle w:val="Hyperlink"/>
                <w:rFonts w:eastAsiaTheme="majorEastAsia"/>
                <w:noProof/>
              </w:rPr>
              <w:t>Effect of Carbonation</w:t>
            </w:r>
            <w:r w:rsidR="008F2A2C">
              <w:rPr>
                <w:noProof/>
                <w:webHidden/>
              </w:rPr>
              <w:tab/>
            </w:r>
            <w:r w:rsidR="008F2A2C">
              <w:rPr>
                <w:noProof/>
                <w:webHidden/>
              </w:rPr>
              <w:fldChar w:fldCharType="begin"/>
            </w:r>
            <w:r w:rsidR="008F2A2C">
              <w:rPr>
                <w:noProof/>
                <w:webHidden/>
              </w:rPr>
              <w:instrText xml:space="preserve"> PAGEREF _Toc38211627 \h </w:instrText>
            </w:r>
            <w:r w:rsidR="008F2A2C">
              <w:rPr>
                <w:noProof/>
                <w:webHidden/>
              </w:rPr>
            </w:r>
            <w:r w:rsidR="008F2A2C">
              <w:rPr>
                <w:noProof/>
                <w:webHidden/>
              </w:rPr>
              <w:fldChar w:fldCharType="separate"/>
            </w:r>
            <w:r w:rsidR="008F2A2C">
              <w:rPr>
                <w:noProof/>
                <w:webHidden/>
              </w:rPr>
              <w:t>4</w:t>
            </w:r>
            <w:r w:rsidR="008F2A2C">
              <w:rPr>
                <w:noProof/>
                <w:webHidden/>
              </w:rPr>
              <w:fldChar w:fldCharType="end"/>
            </w:r>
          </w:hyperlink>
        </w:p>
        <w:p w14:paraId="7FC7B598" w14:textId="4F32867F" w:rsidR="008F2A2C" w:rsidRDefault="00791258">
          <w:pPr>
            <w:pStyle w:val="TOC2"/>
            <w:tabs>
              <w:tab w:val="left" w:pos="960"/>
              <w:tab w:val="right" w:leader="dot" w:pos="9350"/>
            </w:tabs>
            <w:rPr>
              <w:rFonts w:asciiTheme="minorHAnsi" w:eastAsiaTheme="minorEastAsia" w:hAnsiTheme="minorHAnsi" w:cstheme="minorBidi"/>
              <w:noProof/>
            </w:rPr>
          </w:pPr>
          <w:hyperlink w:anchor="_Toc38211628" w:history="1">
            <w:r w:rsidR="008F2A2C" w:rsidRPr="004176E2">
              <w:rPr>
                <w:rStyle w:val="Hyperlink"/>
                <w:rFonts w:eastAsiaTheme="majorEastAsia"/>
                <w:noProof/>
              </w:rPr>
              <w:t>1.2</w:t>
            </w:r>
            <w:r w:rsidR="008F2A2C">
              <w:rPr>
                <w:rFonts w:asciiTheme="minorHAnsi" w:eastAsiaTheme="minorEastAsia" w:hAnsiTheme="minorHAnsi" w:cstheme="minorBidi"/>
                <w:noProof/>
              </w:rPr>
              <w:tab/>
            </w:r>
            <w:r w:rsidR="008F2A2C" w:rsidRPr="004176E2">
              <w:rPr>
                <w:rStyle w:val="Hyperlink"/>
                <w:rFonts w:eastAsiaTheme="majorEastAsia"/>
                <w:noProof/>
              </w:rPr>
              <w:t>Adoption Path</w:t>
            </w:r>
            <w:r w:rsidR="008F2A2C">
              <w:rPr>
                <w:noProof/>
                <w:webHidden/>
              </w:rPr>
              <w:tab/>
            </w:r>
            <w:r w:rsidR="008F2A2C">
              <w:rPr>
                <w:noProof/>
                <w:webHidden/>
              </w:rPr>
              <w:fldChar w:fldCharType="begin"/>
            </w:r>
            <w:r w:rsidR="008F2A2C">
              <w:rPr>
                <w:noProof/>
                <w:webHidden/>
              </w:rPr>
              <w:instrText xml:space="preserve"> PAGEREF _Toc38211628 \h </w:instrText>
            </w:r>
            <w:r w:rsidR="008F2A2C">
              <w:rPr>
                <w:noProof/>
                <w:webHidden/>
              </w:rPr>
            </w:r>
            <w:r w:rsidR="008F2A2C">
              <w:rPr>
                <w:noProof/>
                <w:webHidden/>
              </w:rPr>
              <w:fldChar w:fldCharType="separate"/>
            </w:r>
            <w:r w:rsidR="008F2A2C">
              <w:rPr>
                <w:noProof/>
                <w:webHidden/>
              </w:rPr>
              <w:t>5</w:t>
            </w:r>
            <w:r w:rsidR="008F2A2C">
              <w:rPr>
                <w:noProof/>
                <w:webHidden/>
              </w:rPr>
              <w:fldChar w:fldCharType="end"/>
            </w:r>
          </w:hyperlink>
        </w:p>
        <w:p w14:paraId="2B8E7DBF" w14:textId="16211F09" w:rsidR="008F2A2C" w:rsidRDefault="00791258">
          <w:pPr>
            <w:pStyle w:val="TOC3"/>
            <w:tabs>
              <w:tab w:val="left" w:pos="1200"/>
              <w:tab w:val="right" w:leader="dot" w:pos="9350"/>
            </w:tabs>
            <w:rPr>
              <w:rFonts w:asciiTheme="minorHAnsi" w:eastAsiaTheme="minorEastAsia" w:hAnsiTheme="minorHAnsi" w:cstheme="minorBidi"/>
              <w:noProof/>
            </w:rPr>
          </w:pPr>
          <w:hyperlink w:anchor="_Toc38211629" w:history="1">
            <w:r w:rsidR="008F2A2C" w:rsidRPr="004176E2">
              <w:rPr>
                <w:rStyle w:val="Hyperlink"/>
                <w:rFonts w:eastAsiaTheme="majorEastAsia"/>
                <w:noProof/>
              </w:rPr>
              <w:t>1.2.1</w:t>
            </w:r>
            <w:r w:rsidR="008F2A2C">
              <w:rPr>
                <w:rFonts w:asciiTheme="minorHAnsi" w:eastAsiaTheme="minorEastAsia" w:hAnsiTheme="minorHAnsi" w:cstheme="minorBidi"/>
                <w:noProof/>
              </w:rPr>
              <w:tab/>
            </w:r>
            <w:r w:rsidR="008F2A2C" w:rsidRPr="004176E2">
              <w:rPr>
                <w:rStyle w:val="Hyperlink"/>
                <w:rFonts w:eastAsiaTheme="majorEastAsia"/>
                <w:noProof/>
              </w:rPr>
              <w:t>Current Adoption</w:t>
            </w:r>
            <w:r w:rsidR="008F2A2C">
              <w:rPr>
                <w:noProof/>
                <w:webHidden/>
              </w:rPr>
              <w:tab/>
            </w:r>
            <w:r w:rsidR="008F2A2C">
              <w:rPr>
                <w:noProof/>
                <w:webHidden/>
              </w:rPr>
              <w:fldChar w:fldCharType="begin"/>
            </w:r>
            <w:r w:rsidR="008F2A2C">
              <w:rPr>
                <w:noProof/>
                <w:webHidden/>
              </w:rPr>
              <w:instrText xml:space="preserve"> PAGEREF _Toc38211629 \h </w:instrText>
            </w:r>
            <w:r w:rsidR="008F2A2C">
              <w:rPr>
                <w:noProof/>
                <w:webHidden/>
              </w:rPr>
            </w:r>
            <w:r w:rsidR="008F2A2C">
              <w:rPr>
                <w:noProof/>
                <w:webHidden/>
              </w:rPr>
              <w:fldChar w:fldCharType="separate"/>
            </w:r>
            <w:r w:rsidR="008F2A2C">
              <w:rPr>
                <w:noProof/>
                <w:webHidden/>
              </w:rPr>
              <w:t>5</w:t>
            </w:r>
            <w:r w:rsidR="008F2A2C">
              <w:rPr>
                <w:noProof/>
                <w:webHidden/>
              </w:rPr>
              <w:fldChar w:fldCharType="end"/>
            </w:r>
          </w:hyperlink>
        </w:p>
        <w:p w14:paraId="147ACB73" w14:textId="24EB4EAD" w:rsidR="008F2A2C" w:rsidRDefault="00791258">
          <w:pPr>
            <w:pStyle w:val="TOC3"/>
            <w:tabs>
              <w:tab w:val="left" w:pos="1200"/>
              <w:tab w:val="right" w:leader="dot" w:pos="9350"/>
            </w:tabs>
            <w:rPr>
              <w:rFonts w:asciiTheme="minorHAnsi" w:eastAsiaTheme="minorEastAsia" w:hAnsiTheme="minorHAnsi" w:cstheme="minorBidi"/>
              <w:noProof/>
            </w:rPr>
          </w:pPr>
          <w:hyperlink w:anchor="_Toc38211630" w:history="1">
            <w:r w:rsidR="008F2A2C" w:rsidRPr="004176E2">
              <w:rPr>
                <w:rStyle w:val="Hyperlink"/>
                <w:rFonts w:eastAsiaTheme="majorEastAsia"/>
                <w:noProof/>
              </w:rPr>
              <w:t>1.2.2</w:t>
            </w:r>
            <w:r w:rsidR="008F2A2C">
              <w:rPr>
                <w:rFonts w:asciiTheme="minorHAnsi" w:eastAsiaTheme="minorEastAsia" w:hAnsiTheme="minorHAnsi" w:cstheme="minorBidi"/>
                <w:noProof/>
              </w:rPr>
              <w:tab/>
            </w:r>
            <w:r w:rsidR="008F2A2C" w:rsidRPr="004176E2">
              <w:rPr>
                <w:rStyle w:val="Hyperlink"/>
                <w:rFonts w:eastAsiaTheme="majorEastAsia"/>
                <w:noProof/>
              </w:rPr>
              <w:t>Trends to Accelerate Adoption</w:t>
            </w:r>
            <w:r w:rsidR="008F2A2C">
              <w:rPr>
                <w:noProof/>
                <w:webHidden/>
              </w:rPr>
              <w:tab/>
            </w:r>
            <w:r w:rsidR="008F2A2C">
              <w:rPr>
                <w:noProof/>
                <w:webHidden/>
              </w:rPr>
              <w:fldChar w:fldCharType="begin"/>
            </w:r>
            <w:r w:rsidR="008F2A2C">
              <w:rPr>
                <w:noProof/>
                <w:webHidden/>
              </w:rPr>
              <w:instrText xml:space="preserve"> PAGEREF _Toc38211630 \h </w:instrText>
            </w:r>
            <w:r w:rsidR="008F2A2C">
              <w:rPr>
                <w:noProof/>
                <w:webHidden/>
              </w:rPr>
            </w:r>
            <w:r w:rsidR="008F2A2C">
              <w:rPr>
                <w:noProof/>
                <w:webHidden/>
              </w:rPr>
              <w:fldChar w:fldCharType="separate"/>
            </w:r>
            <w:r w:rsidR="008F2A2C">
              <w:rPr>
                <w:noProof/>
                <w:webHidden/>
              </w:rPr>
              <w:t>5</w:t>
            </w:r>
            <w:r w:rsidR="008F2A2C">
              <w:rPr>
                <w:noProof/>
                <w:webHidden/>
              </w:rPr>
              <w:fldChar w:fldCharType="end"/>
            </w:r>
          </w:hyperlink>
        </w:p>
        <w:p w14:paraId="45DBC40F" w14:textId="04BFD2A4" w:rsidR="008F2A2C" w:rsidRDefault="00791258">
          <w:pPr>
            <w:pStyle w:val="TOC3"/>
            <w:tabs>
              <w:tab w:val="left" w:pos="1200"/>
              <w:tab w:val="right" w:leader="dot" w:pos="9350"/>
            </w:tabs>
            <w:rPr>
              <w:rFonts w:asciiTheme="minorHAnsi" w:eastAsiaTheme="minorEastAsia" w:hAnsiTheme="minorHAnsi" w:cstheme="minorBidi"/>
              <w:noProof/>
            </w:rPr>
          </w:pPr>
          <w:hyperlink w:anchor="_Toc38211631" w:history="1">
            <w:r w:rsidR="008F2A2C" w:rsidRPr="004176E2">
              <w:rPr>
                <w:rStyle w:val="Hyperlink"/>
                <w:rFonts w:eastAsiaTheme="majorEastAsia"/>
                <w:noProof/>
              </w:rPr>
              <w:t>1.2.3</w:t>
            </w:r>
            <w:r w:rsidR="008F2A2C">
              <w:rPr>
                <w:rFonts w:asciiTheme="minorHAnsi" w:eastAsiaTheme="minorEastAsia" w:hAnsiTheme="minorHAnsi" w:cstheme="minorBidi"/>
                <w:noProof/>
              </w:rPr>
              <w:tab/>
            </w:r>
            <w:r w:rsidR="008F2A2C" w:rsidRPr="004176E2">
              <w:rPr>
                <w:rStyle w:val="Hyperlink"/>
                <w:rFonts w:eastAsiaTheme="majorEastAsia"/>
                <w:noProof/>
              </w:rPr>
              <w:t>Barriers to Adoption</w:t>
            </w:r>
            <w:r w:rsidR="008F2A2C">
              <w:rPr>
                <w:noProof/>
                <w:webHidden/>
              </w:rPr>
              <w:tab/>
            </w:r>
            <w:r w:rsidR="008F2A2C">
              <w:rPr>
                <w:noProof/>
                <w:webHidden/>
              </w:rPr>
              <w:fldChar w:fldCharType="begin"/>
            </w:r>
            <w:r w:rsidR="008F2A2C">
              <w:rPr>
                <w:noProof/>
                <w:webHidden/>
              </w:rPr>
              <w:instrText xml:space="preserve"> PAGEREF _Toc38211631 \h </w:instrText>
            </w:r>
            <w:r w:rsidR="008F2A2C">
              <w:rPr>
                <w:noProof/>
                <w:webHidden/>
              </w:rPr>
            </w:r>
            <w:r w:rsidR="008F2A2C">
              <w:rPr>
                <w:noProof/>
                <w:webHidden/>
              </w:rPr>
              <w:fldChar w:fldCharType="separate"/>
            </w:r>
            <w:r w:rsidR="008F2A2C">
              <w:rPr>
                <w:noProof/>
                <w:webHidden/>
              </w:rPr>
              <w:t>6</w:t>
            </w:r>
            <w:r w:rsidR="008F2A2C">
              <w:rPr>
                <w:noProof/>
                <w:webHidden/>
              </w:rPr>
              <w:fldChar w:fldCharType="end"/>
            </w:r>
          </w:hyperlink>
        </w:p>
        <w:p w14:paraId="1AFD3FA7" w14:textId="5310AE38" w:rsidR="008F2A2C" w:rsidRDefault="00791258">
          <w:pPr>
            <w:pStyle w:val="TOC3"/>
            <w:tabs>
              <w:tab w:val="left" w:pos="1200"/>
              <w:tab w:val="right" w:leader="dot" w:pos="9350"/>
            </w:tabs>
            <w:rPr>
              <w:rFonts w:asciiTheme="minorHAnsi" w:eastAsiaTheme="minorEastAsia" w:hAnsiTheme="minorHAnsi" w:cstheme="minorBidi"/>
              <w:noProof/>
            </w:rPr>
          </w:pPr>
          <w:hyperlink w:anchor="_Toc38211632" w:history="1">
            <w:r w:rsidR="008F2A2C" w:rsidRPr="004176E2">
              <w:rPr>
                <w:rStyle w:val="Hyperlink"/>
                <w:rFonts w:eastAsiaTheme="majorEastAsia"/>
                <w:noProof/>
              </w:rPr>
              <w:t>1.2.4</w:t>
            </w:r>
            <w:r w:rsidR="008F2A2C">
              <w:rPr>
                <w:rFonts w:asciiTheme="minorHAnsi" w:eastAsiaTheme="minorEastAsia" w:hAnsiTheme="minorHAnsi" w:cstheme="minorBidi"/>
                <w:noProof/>
              </w:rPr>
              <w:tab/>
            </w:r>
            <w:r w:rsidR="008F2A2C" w:rsidRPr="004176E2">
              <w:rPr>
                <w:rStyle w:val="Hyperlink"/>
                <w:rFonts w:eastAsiaTheme="majorEastAsia"/>
                <w:noProof/>
              </w:rPr>
              <w:t>Adoption Potential</w:t>
            </w:r>
            <w:r w:rsidR="008F2A2C">
              <w:rPr>
                <w:noProof/>
                <w:webHidden/>
              </w:rPr>
              <w:tab/>
            </w:r>
            <w:r w:rsidR="008F2A2C">
              <w:rPr>
                <w:noProof/>
                <w:webHidden/>
              </w:rPr>
              <w:fldChar w:fldCharType="begin"/>
            </w:r>
            <w:r w:rsidR="008F2A2C">
              <w:rPr>
                <w:noProof/>
                <w:webHidden/>
              </w:rPr>
              <w:instrText xml:space="preserve"> PAGEREF _Toc38211632 \h </w:instrText>
            </w:r>
            <w:r w:rsidR="008F2A2C">
              <w:rPr>
                <w:noProof/>
                <w:webHidden/>
              </w:rPr>
            </w:r>
            <w:r w:rsidR="008F2A2C">
              <w:rPr>
                <w:noProof/>
                <w:webHidden/>
              </w:rPr>
              <w:fldChar w:fldCharType="separate"/>
            </w:r>
            <w:r w:rsidR="008F2A2C">
              <w:rPr>
                <w:noProof/>
                <w:webHidden/>
              </w:rPr>
              <w:t>6</w:t>
            </w:r>
            <w:r w:rsidR="008F2A2C">
              <w:rPr>
                <w:noProof/>
                <w:webHidden/>
              </w:rPr>
              <w:fldChar w:fldCharType="end"/>
            </w:r>
          </w:hyperlink>
        </w:p>
        <w:p w14:paraId="007FB919" w14:textId="6C36D084" w:rsidR="008F2A2C" w:rsidRDefault="00791258">
          <w:pPr>
            <w:pStyle w:val="TOC2"/>
            <w:tabs>
              <w:tab w:val="left" w:pos="960"/>
              <w:tab w:val="right" w:leader="dot" w:pos="9350"/>
            </w:tabs>
            <w:rPr>
              <w:rFonts w:asciiTheme="minorHAnsi" w:eastAsiaTheme="minorEastAsia" w:hAnsiTheme="minorHAnsi" w:cstheme="minorBidi"/>
              <w:noProof/>
            </w:rPr>
          </w:pPr>
          <w:hyperlink w:anchor="_Toc38211633" w:history="1">
            <w:r w:rsidR="008F2A2C" w:rsidRPr="004176E2">
              <w:rPr>
                <w:rStyle w:val="Hyperlink"/>
                <w:rFonts w:eastAsiaTheme="majorEastAsia"/>
                <w:noProof/>
              </w:rPr>
              <w:t>1.3</w:t>
            </w:r>
            <w:r w:rsidR="008F2A2C">
              <w:rPr>
                <w:rFonts w:asciiTheme="minorHAnsi" w:eastAsiaTheme="minorEastAsia" w:hAnsiTheme="minorHAnsi" w:cstheme="minorBidi"/>
                <w:noProof/>
              </w:rPr>
              <w:tab/>
            </w:r>
            <w:r w:rsidR="008F2A2C" w:rsidRPr="004176E2">
              <w:rPr>
                <w:rStyle w:val="Hyperlink"/>
                <w:rFonts w:eastAsiaTheme="majorEastAsia"/>
                <w:noProof/>
              </w:rPr>
              <w:t>Advantages  and disadvantages of Alternative Cements</w:t>
            </w:r>
            <w:r w:rsidR="008F2A2C">
              <w:rPr>
                <w:noProof/>
                <w:webHidden/>
              </w:rPr>
              <w:tab/>
            </w:r>
            <w:r w:rsidR="008F2A2C">
              <w:rPr>
                <w:noProof/>
                <w:webHidden/>
              </w:rPr>
              <w:fldChar w:fldCharType="begin"/>
            </w:r>
            <w:r w:rsidR="008F2A2C">
              <w:rPr>
                <w:noProof/>
                <w:webHidden/>
              </w:rPr>
              <w:instrText xml:space="preserve"> PAGEREF _Toc38211633 \h </w:instrText>
            </w:r>
            <w:r w:rsidR="008F2A2C">
              <w:rPr>
                <w:noProof/>
                <w:webHidden/>
              </w:rPr>
            </w:r>
            <w:r w:rsidR="008F2A2C">
              <w:rPr>
                <w:noProof/>
                <w:webHidden/>
              </w:rPr>
              <w:fldChar w:fldCharType="separate"/>
            </w:r>
            <w:r w:rsidR="008F2A2C">
              <w:rPr>
                <w:noProof/>
                <w:webHidden/>
              </w:rPr>
              <w:t>7</w:t>
            </w:r>
            <w:r w:rsidR="008F2A2C">
              <w:rPr>
                <w:noProof/>
                <w:webHidden/>
              </w:rPr>
              <w:fldChar w:fldCharType="end"/>
            </w:r>
          </w:hyperlink>
        </w:p>
        <w:p w14:paraId="3EEC95E0" w14:textId="61A3492D" w:rsidR="008F2A2C" w:rsidRDefault="00791258">
          <w:pPr>
            <w:pStyle w:val="TOC3"/>
            <w:tabs>
              <w:tab w:val="left" w:pos="1200"/>
              <w:tab w:val="right" w:leader="dot" w:pos="9350"/>
            </w:tabs>
            <w:rPr>
              <w:rFonts w:asciiTheme="minorHAnsi" w:eastAsiaTheme="minorEastAsia" w:hAnsiTheme="minorHAnsi" w:cstheme="minorBidi"/>
              <w:noProof/>
            </w:rPr>
          </w:pPr>
          <w:hyperlink w:anchor="_Toc38211634" w:history="1">
            <w:r w:rsidR="008F2A2C" w:rsidRPr="004176E2">
              <w:rPr>
                <w:rStyle w:val="Hyperlink"/>
                <w:rFonts w:eastAsiaTheme="majorEastAsia"/>
                <w:noProof/>
              </w:rPr>
              <w:t>1.3.1</w:t>
            </w:r>
            <w:r w:rsidR="008F2A2C">
              <w:rPr>
                <w:rFonts w:asciiTheme="minorHAnsi" w:eastAsiaTheme="minorEastAsia" w:hAnsiTheme="minorHAnsi" w:cstheme="minorBidi"/>
                <w:noProof/>
              </w:rPr>
              <w:tab/>
            </w:r>
            <w:r w:rsidR="008F2A2C" w:rsidRPr="004176E2">
              <w:rPr>
                <w:rStyle w:val="Hyperlink"/>
                <w:rFonts w:eastAsiaTheme="majorEastAsia"/>
                <w:noProof/>
              </w:rPr>
              <w:t>Similar Solutions</w:t>
            </w:r>
            <w:r w:rsidR="008F2A2C">
              <w:rPr>
                <w:noProof/>
                <w:webHidden/>
              </w:rPr>
              <w:tab/>
            </w:r>
            <w:r w:rsidR="008F2A2C">
              <w:rPr>
                <w:noProof/>
                <w:webHidden/>
              </w:rPr>
              <w:fldChar w:fldCharType="begin"/>
            </w:r>
            <w:r w:rsidR="008F2A2C">
              <w:rPr>
                <w:noProof/>
                <w:webHidden/>
              </w:rPr>
              <w:instrText xml:space="preserve"> PAGEREF _Toc38211634 \h </w:instrText>
            </w:r>
            <w:r w:rsidR="008F2A2C">
              <w:rPr>
                <w:noProof/>
                <w:webHidden/>
              </w:rPr>
            </w:r>
            <w:r w:rsidR="008F2A2C">
              <w:rPr>
                <w:noProof/>
                <w:webHidden/>
              </w:rPr>
              <w:fldChar w:fldCharType="separate"/>
            </w:r>
            <w:r w:rsidR="008F2A2C">
              <w:rPr>
                <w:noProof/>
                <w:webHidden/>
              </w:rPr>
              <w:t>7</w:t>
            </w:r>
            <w:r w:rsidR="008F2A2C">
              <w:rPr>
                <w:noProof/>
                <w:webHidden/>
              </w:rPr>
              <w:fldChar w:fldCharType="end"/>
            </w:r>
          </w:hyperlink>
        </w:p>
        <w:p w14:paraId="153E8925" w14:textId="04213A0E" w:rsidR="008F2A2C" w:rsidRDefault="00791258">
          <w:pPr>
            <w:pStyle w:val="TOC3"/>
            <w:tabs>
              <w:tab w:val="left" w:pos="1200"/>
              <w:tab w:val="right" w:leader="dot" w:pos="9350"/>
            </w:tabs>
            <w:rPr>
              <w:rFonts w:asciiTheme="minorHAnsi" w:eastAsiaTheme="minorEastAsia" w:hAnsiTheme="minorHAnsi" w:cstheme="minorBidi"/>
              <w:noProof/>
            </w:rPr>
          </w:pPr>
          <w:hyperlink w:anchor="_Toc38211635" w:history="1">
            <w:r w:rsidR="008F2A2C" w:rsidRPr="004176E2">
              <w:rPr>
                <w:rStyle w:val="Hyperlink"/>
                <w:rFonts w:eastAsiaTheme="majorEastAsia"/>
                <w:noProof/>
              </w:rPr>
              <w:t>1.3.2</w:t>
            </w:r>
            <w:r w:rsidR="008F2A2C">
              <w:rPr>
                <w:rFonts w:asciiTheme="minorHAnsi" w:eastAsiaTheme="minorEastAsia" w:hAnsiTheme="minorHAnsi" w:cstheme="minorBidi"/>
                <w:noProof/>
              </w:rPr>
              <w:tab/>
            </w:r>
            <w:r w:rsidR="008F2A2C" w:rsidRPr="004176E2">
              <w:rPr>
                <w:rStyle w:val="Hyperlink"/>
                <w:rFonts w:eastAsiaTheme="majorEastAsia"/>
                <w:noProof/>
              </w:rPr>
              <w:t>Arguments for Adoption</w:t>
            </w:r>
            <w:r w:rsidR="008F2A2C">
              <w:rPr>
                <w:noProof/>
                <w:webHidden/>
              </w:rPr>
              <w:tab/>
            </w:r>
            <w:r w:rsidR="008F2A2C">
              <w:rPr>
                <w:noProof/>
                <w:webHidden/>
              </w:rPr>
              <w:fldChar w:fldCharType="begin"/>
            </w:r>
            <w:r w:rsidR="008F2A2C">
              <w:rPr>
                <w:noProof/>
                <w:webHidden/>
              </w:rPr>
              <w:instrText xml:space="preserve"> PAGEREF _Toc38211635 \h </w:instrText>
            </w:r>
            <w:r w:rsidR="008F2A2C">
              <w:rPr>
                <w:noProof/>
                <w:webHidden/>
              </w:rPr>
            </w:r>
            <w:r w:rsidR="008F2A2C">
              <w:rPr>
                <w:noProof/>
                <w:webHidden/>
              </w:rPr>
              <w:fldChar w:fldCharType="separate"/>
            </w:r>
            <w:r w:rsidR="008F2A2C">
              <w:rPr>
                <w:noProof/>
                <w:webHidden/>
              </w:rPr>
              <w:t>7</w:t>
            </w:r>
            <w:r w:rsidR="008F2A2C">
              <w:rPr>
                <w:noProof/>
                <w:webHidden/>
              </w:rPr>
              <w:fldChar w:fldCharType="end"/>
            </w:r>
          </w:hyperlink>
        </w:p>
        <w:p w14:paraId="1B201C6C" w14:textId="3F6543C5" w:rsidR="008F2A2C" w:rsidRDefault="00791258">
          <w:pPr>
            <w:pStyle w:val="TOC3"/>
            <w:tabs>
              <w:tab w:val="left" w:pos="1200"/>
              <w:tab w:val="right" w:leader="dot" w:pos="9350"/>
            </w:tabs>
            <w:rPr>
              <w:rFonts w:asciiTheme="minorHAnsi" w:eastAsiaTheme="minorEastAsia" w:hAnsiTheme="minorHAnsi" w:cstheme="minorBidi"/>
              <w:noProof/>
            </w:rPr>
          </w:pPr>
          <w:hyperlink w:anchor="_Toc38211636" w:history="1">
            <w:r w:rsidR="008F2A2C" w:rsidRPr="004176E2">
              <w:rPr>
                <w:rStyle w:val="Hyperlink"/>
                <w:rFonts w:eastAsiaTheme="majorEastAsia"/>
                <w:noProof/>
              </w:rPr>
              <w:t>1.3.3</w:t>
            </w:r>
            <w:r w:rsidR="008F2A2C">
              <w:rPr>
                <w:rFonts w:asciiTheme="minorHAnsi" w:eastAsiaTheme="minorEastAsia" w:hAnsiTheme="minorHAnsi" w:cstheme="minorBidi"/>
                <w:noProof/>
              </w:rPr>
              <w:tab/>
            </w:r>
            <w:r w:rsidR="008F2A2C" w:rsidRPr="004176E2">
              <w:rPr>
                <w:rStyle w:val="Hyperlink"/>
                <w:rFonts w:eastAsiaTheme="majorEastAsia"/>
                <w:noProof/>
              </w:rPr>
              <w:t>Additional Benefits and Burdens</w:t>
            </w:r>
            <w:r w:rsidR="008F2A2C">
              <w:rPr>
                <w:noProof/>
                <w:webHidden/>
              </w:rPr>
              <w:tab/>
            </w:r>
            <w:r w:rsidR="008F2A2C">
              <w:rPr>
                <w:noProof/>
                <w:webHidden/>
              </w:rPr>
              <w:fldChar w:fldCharType="begin"/>
            </w:r>
            <w:r w:rsidR="008F2A2C">
              <w:rPr>
                <w:noProof/>
                <w:webHidden/>
              </w:rPr>
              <w:instrText xml:space="preserve"> PAGEREF _Toc38211636 \h </w:instrText>
            </w:r>
            <w:r w:rsidR="008F2A2C">
              <w:rPr>
                <w:noProof/>
                <w:webHidden/>
              </w:rPr>
            </w:r>
            <w:r w:rsidR="008F2A2C">
              <w:rPr>
                <w:noProof/>
                <w:webHidden/>
              </w:rPr>
              <w:fldChar w:fldCharType="separate"/>
            </w:r>
            <w:r w:rsidR="008F2A2C">
              <w:rPr>
                <w:noProof/>
                <w:webHidden/>
              </w:rPr>
              <w:t>8</w:t>
            </w:r>
            <w:r w:rsidR="008F2A2C">
              <w:rPr>
                <w:noProof/>
                <w:webHidden/>
              </w:rPr>
              <w:fldChar w:fldCharType="end"/>
            </w:r>
          </w:hyperlink>
        </w:p>
        <w:p w14:paraId="39EF15C1" w14:textId="2B0C39FD" w:rsidR="008F2A2C" w:rsidRDefault="00791258">
          <w:pPr>
            <w:pStyle w:val="TOC1"/>
            <w:tabs>
              <w:tab w:val="left" w:pos="440"/>
              <w:tab w:val="right" w:leader="dot" w:pos="9350"/>
            </w:tabs>
            <w:rPr>
              <w:rFonts w:asciiTheme="minorHAnsi" w:eastAsiaTheme="minorEastAsia" w:hAnsiTheme="minorHAnsi" w:cstheme="minorBidi"/>
              <w:noProof/>
            </w:rPr>
          </w:pPr>
          <w:hyperlink w:anchor="_Toc38211637" w:history="1">
            <w:r w:rsidR="008F2A2C" w:rsidRPr="004176E2">
              <w:rPr>
                <w:rStyle w:val="Hyperlink"/>
                <w:rFonts w:eastAsiaTheme="majorEastAsia"/>
                <w:noProof/>
              </w:rPr>
              <w:t>2</w:t>
            </w:r>
            <w:r w:rsidR="008F2A2C">
              <w:rPr>
                <w:rFonts w:asciiTheme="minorHAnsi" w:eastAsiaTheme="minorEastAsia" w:hAnsiTheme="minorHAnsi" w:cstheme="minorBidi"/>
                <w:noProof/>
              </w:rPr>
              <w:tab/>
            </w:r>
            <w:r w:rsidR="008F2A2C" w:rsidRPr="004176E2">
              <w:rPr>
                <w:rStyle w:val="Hyperlink"/>
                <w:rFonts w:eastAsiaTheme="majorEastAsia"/>
                <w:noProof/>
              </w:rPr>
              <w:t>Methodology</w:t>
            </w:r>
            <w:r w:rsidR="008F2A2C">
              <w:rPr>
                <w:noProof/>
                <w:webHidden/>
              </w:rPr>
              <w:tab/>
            </w:r>
            <w:r w:rsidR="008F2A2C">
              <w:rPr>
                <w:noProof/>
                <w:webHidden/>
              </w:rPr>
              <w:fldChar w:fldCharType="begin"/>
            </w:r>
            <w:r w:rsidR="008F2A2C">
              <w:rPr>
                <w:noProof/>
                <w:webHidden/>
              </w:rPr>
              <w:instrText xml:space="preserve"> PAGEREF _Toc38211637 \h </w:instrText>
            </w:r>
            <w:r w:rsidR="008F2A2C">
              <w:rPr>
                <w:noProof/>
                <w:webHidden/>
              </w:rPr>
            </w:r>
            <w:r w:rsidR="008F2A2C">
              <w:rPr>
                <w:noProof/>
                <w:webHidden/>
              </w:rPr>
              <w:fldChar w:fldCharType="separate"/>
            </w:r>
            <w:r w:rsidR="008F2A2C">
              <w:rPr>
                <w:noProof/>
                <w:webHidden/>
              </w:rPr>
              <w:t>9</w:t>
            </w:r>
            <w:r w:rsidR="008F2A2C">
              <w:rPr>
                <w:noProof/>
                <w:webHidden/>
              </w:rPr>
              <w:fldChar w:fldCharType="end"/>
            </w:r>
          </w:hyperlink>
        </w:p>
        <w:p w14:paraId="242261A2" w14:textId="5A1B0708" w:rsidR="008F2A2C" w:rsidRDefault="00791258">
          <w:pPr>
            <w:pStyle w:val="TOC2"/>
            <w:tabs>
              <w:tab w:val="left" w:pos="960"/>
              <w:tab w:val="right" w:leader="dot" w:pos="9350"/>
            </w:tabs>
            <w:rPr>
              <w:rFonts w:asciiTheme="minorHAnsi" w:eastAsiaTheme="minorEastAsia" w:hAnsiTheme="minorHAnsi" w:cstheme="minorBidi"/>
              <w:noProof/>
            </w:rPr>
          </w:pPr>
          <w:hyperlink w:anchor="_Toc38211638" w:history="1">
            <w:r w:rsidR="008F2A2C" w:rsidRPr="004176E2">
              <w:rPr>
                <w:rStyle w:val="Hyperlink"/>
                <w:rFonts w:eastAsiaTheme="majorEastAsia"/>
                <w:noProof/>
              </w:rPr>
              <w:t>2.1</w:t>
            </w:r>
            <w:r w:rsidR="008F2A2C">
              <w:rPr>
                <w:rFonts w:asciiTheme="minorHAnsi" w:eastAsiaTheme="minorEastAsia" w:hAnsiTheme="minorHAnsi" w:cstheme="minorBidi"/>
                <w:noProof/>
              </w:rPr>
              <w:tab/>
            </w:r>
            <w:r w:rsidR="008F2A2C" w:rsidRPr="004176E2">
              <w:rPr>
                <w:rStyle w:val="Hyperlink"/>
                <w:rFonts w:eastAsiaTheme="majorEastAsia"/>
                <w:noProof/>
              </w:rPr>
              <w:t>Introduction</w:t>
            </w:r>
            <w:r w:rsidR="008F2A2C">
              <w:rPr>
                <w:noProof/>
                <w:webHidden/>
              </w:rPr>
              <w:tab/>
            </w:r>
            <w:r w:rsidR="008F2A2C">
              <w:rPr>
                <w:noProof/>
                <w:webHidden/>
              </w:rPr>
              <w:fldChar w:fldCharType="begin"/>
            </w:r>
            <w:r w:rsidR="008F2A2C">
              <w:rPr>
                <w:noProof/>
                <w:webHidden/>
              </w:rPr>
              <w:instrText xml:space="preserve"> PAGEREF _Toc38211638 \h </w:instrText>
            </w:r>
            <w:r w:rsidR="008F2A2C">
              <w:rPr>
                <w:noProof/>
                <w:webHidden/>
              </w:rPr>
            </w:r>
            <w:r w:rsidR="008F2A2C">
              <w:rPr>
                <w:noProof/>
                <w:webHidden/>
              </w:rPr>
              <w:fldChar w:fldCharType="separate"/>
            </w:r>
            <w:r w:rsidR="008F2A2C">
              <w:rPr>
                <w:noProof/>
                <w:webHidden/>
              </w:rPr>
              <w:t>9</w:t>
            </w:r>
            <w:r w:rsidR="008F2A2C">
              <w:rPr>
                <w:noProof/>
                <w:webHidden/>
              </w:rPr>
              <w:fldChar w:fldCharType="end"/>
            </w:r>
          </w:hyperlink>
        </w:p>
        <w:p w14:paraId="5608597E" w14:textId="2885C1A0" w:rsidR="008F2A2C" w:rsidRDefault="00791258">
          <w:pPr>
            <w:pStyle w:val="TOC2"/>
            <w:tabs>
              <w:tab w:val="left" w:pos="960"/>
              <w:tab w:val="right" w:leader="dot" w:pos="9350"/>
            </w:tabs>
            <w:rPr>
              <w:rFonts w:asciiTheme="minorHAnsi" w:eastAsiaTheme="minorEastAsia" w:hAnsiTheme="minorHAnsi" w:cstheme="minorBidi"/>
              <w:noProof/>
            </w:rPr>
          </w:pPr>
          <w:hyperlink w:anchor="_Toc38211639" w:history="1">
            <w:r w:rsidR="008F2A2C" w:rsidRPr="004176E2">
              <w:rPr>
                <w:rStyle w:val="Hyperlink"/>
                <w:rFonts w:eastAsiaTheme="majorEastAsia"/>
                <w:noProof/>
              </w:rPr>
              <w:t>2.2</w:t>
            </w:r>
            <w:r w:rsidR="008F2A2C">
              <w:rPr>
                <w:rFonts w:asciiTheme="minorHAnsi" w:eastAsiaTheme="minorEastAsia" w:hAnsiTheme="minorHAnsi" w:cstheme="minorBidi"/>
                <w:noProof/>
              </w:rPr>
              <w:tab/>
            </w:r>
            <w:r w:rsidR="008F2A2C" w:rsidRPr="004176E2">
              <w:rPr>
                <w:rStyle w:val="Hyperlink"/>
                <w:rFonts w:eastAsiaTheme="majorEastAsia"/>
                <w:noProof/>
              </w:rPr>
              <w:t>Data Sources</w:t>
            </w:r>
            <w:r w:rsidR="008F2A2C">
              <w:rPr>
                <w:noProof/>
                <w:webHidden/>
              </w:rPr>
              <w:tab/>
            </w:r>
            <w:r w:rsidR="008F2A2C">
              <w:rPr>
                <w:noProof/>
                <w:webHidden/>
              </w:rPr>
              <w:fldChar w:fldCharType="begin"/>
            </w:r>
            <w:r w:rsidR="008F2A2C">
              <w:rPr>
                <w:noProof/>
                <w:webHidden/>
              </w:rPr>
              <w:instrText xml:space="preserve"> PAGEREF _Toc38211639 \h </w:instrText>
            </w:r>
            <w:r w:rsidR="008F2A2C">
              <w:rPr>
                <w:noProof/>
                <w:webHidden/>
              </w:rPr>
            </w:r>
            <w:r w:rsidR="008F2A2C">
              <w:rPr>
                <w:noProof/>
                <w:webHidden/>
              </w:rPr>
              <w:fldChar w:fldCharType="separate"/>
            </w:r>
            <w:r w:rsidR="008F2A2C">
              <w:rPr>
                <w:noProof/>
                <w:webHidden/>
              </w:rPr>
              <w:t>9</w:t>
            </w:r>
            <w:r w:rsidR="008F2A2C">
              <w:rPr>
                <w:noProof/>
                <w:webHidden/>
              </w:rPr>
              <w:fldChar w:fldCharType="end"/>
            </w:r>
          </w:hyperlink>
        </w:p>
        <w:p w14:paraId="195E2838" w14:textId="6E97EF7C" w:rsidR="008F2A2C" w:rsidRDefault="00791258">
          <w:pPr>
            <w:pStyle w:val="TOC2"/>
            <w:tabs>
              <w:tab w:val="left" w:pos="960"/>
              <w:tab w:val="right" w:leader="dot" w:pos="9350"/>
            </w:tabs>
            <w:rPr>
              <w:rFonts w:asciiTheme="minorHAnsi" w:eastAsiaTheme="minorEastAsia" w:hAnsiTheme="minorHAnsi" w:cstheme="minorBidi"/>
              <w:noProof/>
            </w:rPr>
          </w:pPr>
          <w:hyperlink w:anchor="_Toc38211640" w:history="1">
            <w:r w:rsidR="008F2A2C" w:rsidRPr="004176E2">
              <w:rPr>
                <w:rStyle w:val="Hyperlink"/>
                <w:rFonts w:eastAsiaTheme="majorEastAsia"/>
                <w:noProof/>
              </w:rPr>
              <w:t>2.3</w:t>
            </w:r>
            <w:r w:rsidR="008F2A2C">
              <w:rPr>
                <w:rFonts w:asciiTheme="minorHAnsi" w:eastAsiaTheme="minorEastAsia" w:hAnsiTheme="minorHAnsi" w:cstheme="minorBidi"/>
                <w:noProof/>
              </w:rPr>
              <w:tab/>
            </w:r>
            <w:r w:rsidR="008F2A2C" w:rsidRPr="004176E2">
              <w:rPr>
                <w:rStyle w:val="Hyperlink"/>
                <w:rFonts w:eastAsiaTheme="majorEastAsia"/>
                <w:noProof/>
              </w:rPr>
              <w:t>Total Addressable Market</w:t>
            </w:r>
            <w:r w:rsidR="008F2A2C">
              <w:rPr>
                <w:noProof/>
                <w:webHidden/>
              </w:rPr>
              <w:tab/>
            </w:r>
            <w:r w:rsidR="008F2A2C">
              <w:rPr>
                <w:noProof/>
                <w:webHidden/>
              </w:rPr>
              <w:fldChar w:fldCharType="begin"/>
            </w:r>
            <w:r w:rsidR="008F2A2C">
              <w:rPr>
                <w:noProof/>
                <w:webHidden/>
              </w:rPr>
              <w:instrText xml:space="preserve"> PAGEREF _Toc38211640 \h </w:instrText>
            </w:r>
            <w:r w:rsidR="008F2A2C">
              <w:rPr>
                <w:noProof/>
                <w:webHidden/>
              </w:rPr>
            </w:r>
            <w:r w:rsidR="008F2A2C">
              <w:rPr>
                <w:noProof/>
                <w:webHidden/>
              </w:rPr>
              <w:fldChar w:fldCharType="separate"/>
            </w:r>
            <w:r w:rsidR="008F2A2C">
              <w:rPr>
                <w:noProof/>
                <w:webHidden/>
              </w:rPr>
              <w:t>10</w:t>
            </w:r>
            <w:r w:rsidR="008F2A2C">
              <w:rPr>
                <w:noProof/>
                <w:webHidden/>
              </w:rPr>
              <w:fldChar w:fldCharType="end"/>
            </w:r>
          </w:hyperlink>
        </w:p>
        <w:p w14:paraId="4C399FF8" w14:textId="006B04C2" w:rsidR="008F2A2C" w:rsidRDefault="00791258">
          <w:pPr>
            <w:pStyle w:val="TOC2"/>
            <w:tabs>
              <w:tab w:val="left" w:pos="960"/>
              <w:tab w:val="right" w:leader="dot" w:pos="9350"/>
            </w:tabs>
            <w:rPr>
              <w:rFonts w:asciiTheme="minorHAnsi" w:eastAsiaTheme="minorEastAsia" w:hAnsiTheme="minorHAnsi" w:cstheme="minorBidi"/>
              <w:noProof/>
            </w:rPr>
          </w:pPr>
          <w:hyperlink w:anchor="_Toc38211641" w:history="1">
            <w:r w:rsidR="008F2A2C" w:rsidRPr="004176E2">
              <w:rPr>
                <w:rStyle w:val="Hyperlink"/>
                <w:rFonts w:eastAsiaTheme="majorEastAsia"/>
                <w:noProof/>
              </w:rPr>
              <w:t>2.4</w:t>
            </w:r>
            <w:r w:rsidR="008F2A2C">
              <w:rPr>
                <w:rFonts w:asciiTheme="minorHAnsi" w:eastAsiaTheme="minorEastAsia" w:hAnsiTheme="minorHAnsi" w:cstheme="minorBidi"/>
                <w:noProof/>
              </w:rPr>
              <w:tab/>
            </w:r>
            <w:r w:rsidR="008F2A2C" w:rsidRPr="004176E2">
              <w:rPr>
                <w:rStyle w:val="Hyperlink"/>
                <w:rFonts w:eastAsiaTheme="majorEastAsia"/>
                <w:noProof/>
              </w:rPr>
              <w:t>Levels of Adoption</w:t>
            </w:r>
            <w:r w:rsidR="008F2A2C">
              <w:rPr>
                <w:noProof/>
                <w:webHidden/>
              </w:rPr>
              <w:tab/>
            </w:r>
            <w:r w:rsidR="008F2A2C">
              <w:rPr>
                <w:noProof/>
                <w:webHidden/>
              </w:rPr>
              <w:fldChar w:fldCharType="begin"/>
            </w:r>
            <w:r w:rsidR="008F2A2C">
              <w:rPr>
                <w:noProof/>
                <w:webHidden/>
              </w:rPr>
              <w:instrText xml:space="preserve"> PAGEREF _Toc38211641 \h </w:instrText>
            </w:r>
            <w:r w:rsidR="008F2A2C">
              <w:rPr>
                <w:noProof/>
                <w:webHidden/>
              </w:rPr>
            </w:r>
            <w:r w:rsidR="008F2A2C">
              <w:rPr>
                <w:noProof/>
                <w:webHidden/>
              </w:rPr>
              <w:fldChar w:fldCharType="separate"/>
            </w:r>
            <w:r w:rsidR="008F2A2C">
              <w:rPr>
                <w:noProof/>
                <w:webHidden/>
              </w:rPr>
              <w:t>10</w:t>
            </w:r>
            <w:r w:rsidR="008F2A2C">
              <w:rPr>
                <w:noProof/>
                <w:webHidden/>
              </w:rPr>
              <w:fldChar w:fldCharType="end"/>
            </w:r>
          </w:hyperlink>
        </w:p>
        <w:p w14:paraId="59BACCB3" w14:textId="240632FA" w:rsidR="008F2A2C" w:rsidRDefault="00791258">
          <w:pPr>
            <w:pStyle w:val="TOC2"/>
            <w:tabs>
              <w:tab w:val="left" w:pos="960"/>
              <w:tab w:val="right" w:leader="dot" w:pos="9350"/>
            </w:tabs>
            <w:rPr>
              <w:rFonts w:asciiTheme="minorHAnsi" w:eastAsiaTheme="minorEastAsia" w:hAnsiTheme="minorHAnsi" w:cstheme="minorBidi"/>
              <w:noProof/>
            </w:rPr>
          </w:pPr>
          <w:hyperlink w:anchor="_Toc38211642" w:history="1">
            <w:r w:rsidR="008F2A2C" w:rsidRPr="004176E2">
              <w:rPr>
                <w:rStyle w:val="Hyperlink"/>
                <w:rFonts w:eastAsiaTheme="majorEastAsia"/>
                <w:noProof/>
              </w:rPr>
              <w:t>2.5</w:t>
            </w:r>
            <w:r w:rsidR="008F2A2C">
              <w:rPr>
                <w:rFonts w:asciiTheme="minorHAnsi" w:eastAsiaTheme="minorEastAsia" w:hAnsiTheme="minorHAnsi" w:cstheme="minorBidi"/>
                <w:noProof/>
              </w:rPr>
              <w:tab/>
            </w:r>
            <w:r w:rsidR="008F2A2C" w:rsidRPr="004176E2">
              <w:rPr>
                <w:rStyle w:val="Hyperlink"/>
                <w:rFonts w:eastAsiaTheme="majorEastAsia"/>
                <w:noProof/>
              </w:rPr>
              <w:t>Adoption Scenarios</w:t>
            </w:r>
            <w:r w:rsidR="008F2A2C">
              <w:rPr>
                <w:noProof/>
                <w:webHidden/>
              </w:rPr>
              <w:tab/>
            </w:r>
            <w:r w:rsidR="008F2A2C">
              <w:rPr>
                <w:noProof/>
                <w:webHidden/>
              </w:rPr>
              <w:fldChar w:fldCharType="begin"/>
            </w:r>
            <w:r w:rsidR="008F2A2C">
              <w:rPr>
                <w:noProof/>
                <w:webHidden/>
              </w:rPr>
              <w:instrText xml:space="preserve"> PAGEREF _Toc38211642 \h </w:instrText>
            </w:r>
            <w:r w:rsidR="008F2A2C">
              <w:rPr>
                <w:noProof/>
                <w:webHidden/>
              </w:rPr>
            </w:r>
            <w:r w:rsidR="008F2A2C">
              <w:rPr>
                <w:noProof/>
                <w:webHidden/>
              </w:rPr>
              <w:fldChar w:fldCharType="separate"/>
            </w:r>
            <w:r w:rsidR="008F2A2C">
              <w:rPr>
                <w:noProof/>
                <w:webHidden/>
              </w:rPr>
              <w:t>11</w:t>
            </w:r>
            <w:r w:rsidR="008F2A2C">
              <w:rPr>
                <w:noProof/>
                <w:webHidden/>
              </w:rPr>
              <w:fldChar w:fldCharType="end"/>
            </w:r>
          </w:hyperlink>
        </w:p>
        <w:p w14:paraId="6E4BE689" w14:textId="43C15502" w:rsidR="008F2A2C" w:rsidRDefault="00791258">
          <w:pPr>
            <w:pStyle w:val="TOC3"/>
            <w:tabs>
              <w:tab w:val="left" w:pos="1200"/>
              <w:tab w:val="right" w:leader="dot" w:pos="9350"/>
            </w:tabs>
            <w:rPr>
              <w:rFonts w:asciiTheme="minorHAnsi" w:eastAsiaTheme="minorEastAsia" w:hAnsiTheme="minorHAnsi" w:cstheme="minorBidi"/>
              <w:noProof/>
            </w:rPr>
          </w:pPr>
          <w:hyperlink w:anchor="_Toc38211643" w:history="1">
            <w:r w:rsidR="008F2A2C" w:rsidRPr="004176E2">
              <w:rPr>
                <w:rStyle w:val="Hyperlink"/>
                <w:rFonts w:eastAsiaTheme="majorEastAsia"/>
                <w:noProof/>
              </w:rPr>
              <w:t>2.5.1</w:t>
            </w:r>
            <w:r w:rsidR="008F2A2C">
              <w:rPr>
                <w:rFonts w:asciiTheme="minorHAnsi" w:eastAsiaTheme="minorEastAsia" w:hAnsiTheme="minorHAnsi" w:cstheme="minorBidi"/>
                <w:noProof/>
              </w:rPr>
              <w:tab/>
            </w:r>
            <w:r w:rsidR="008F2A2C" w:rsidRPr="004176E2">
              <w:rPr>
                <w:rStyle w:val="Hyperlink"/>
                <w:rFonts w:eastAsiaTheme="majorEastAsia"/>
                <w:noProof/>
              </w:rPr>
              <w:t>Reference Case / Current Adoption</w:t>
            </w:r>
            <w:r w:rsidR="008F2A2C">
              <w:rPr>
                <w:noProof/>
                <w:webHidden/>
              </w:rPr>
              <w:tab/>
            </w:r>
            <w:r w:rsidR="008F2A2C">
              <w:rPr>
                <w:noProof/>
                <w:webHidden/>
              </w:rPr>
              <w:fldChar w:fldCharType="begin"/>
            </w:r>
            <w:r w:rsidR="008F2A2C">
              <w:rPr>
                <w:noProof/>
                <w:webHidden/>
              </w:rPr>
              <w:instrText xml:space="preserve"> PAGEREF _Toc38211643 \h </w:instrText>
            </w:r>
            <w:r w:rsidR="008F2A2C">
              <w:rPr>
                <w:noProof/>
                <w:webHidden/>
              </w:rPr>
            </w:r>
            <w:r w:rsidR="008F2A2C">
              <w:rPr>
                <w:noProof/>
                <w:webHidden/>
              </w:rPr>
              <w:fldChar w:fldCharType="separate"/>
            </w:r>
            <w:r w:rsidR="008F2A2C">
              <w:rPr>
                <w:noProof/>
                <w:webHidden/>
              </w:rPr>
              <w:t>11</w:t>
            </w:r>
            <w:r w:rsidR="008F2A2C">
              <w:rPr>
                <w:noProof/>
                <w:webHidden/>
              </w:rPr>
              <w:fldChar w:fldCharType="end"/>
            </w:r>
          </w:hyperlink>
        </w:p>
        <w:p w14:paraId="70D80B1B" w14:textId="610704D2" w:rsidR="008F2A2C" w:rsidRDefault="00791258">
          <w:pPr>
            <w:pStyle w:val="TOC3"/>
            <w:tabs>
              <w:tab w:val="left" w:pos="1200"/>
              <w:tab w:val="right" w:leader="dot" w:pos="9350"/>
            </w:tabs>
            <w:rPr>
              <w:rFonts w:asciiTheme="minorHAnsi" w:eastAsiaTheme="minorEastAsia" w:hAnsiTheme="minorHAnsi" w:cstheme="minorBidi"/>
              <w:noProof/>
            </w:rPr>
          </w:pPr>
          <w:hyperlink w:anchor="_Toc38211644" w:history="1">
            <w:r w:rsidR="008F2A2C" w:rsidRPr="004176E2">
              <w:rPr>
                <w:rStyle w:val="Hyperlink"/>
                <w:rFonts w:eastAsiaTheme="majorEastAsia"/>
                <w:noProof/>
              </w:rPr>
              <w:t>2.5.2</w:t>
            </w:r>
            <w:r w:rsidR="008F2A2C">
              <w:rPr>
                <w:rFonts w:asciiTheme="minorHAnsi" w:eastAsiaTheme="minorEastAsia" w:hAnsiTheme="minorHAnsi" w:cstheme="minorBidi"/>
                <w:noProof/>
              </w:rPr>
              <w:tab/>
            </w:r>
            <w:r w:rsidR="008F2A2C" w:rsidRPr="004176E2">
              <w:rPr>
                <w:rStyle w:val="Hyperlink"/>
                <w:rFonts w:eastAsiaTheme="majorEastAsia"/>
                <w:noProof/>
              </w:rPr>
              <w:t>Project Drawdown Scenarios</w:t>
            </w:r>
            <w:r w:rsidR="008F2A2C">
              <w:rPr>
                <w:noProof/>
                <w:webHidden/>
              </w:rPr>
              <w:tab/>
            </w:r>
            <w:r w:rsidR="008F2A2C">
              <w:rPr>
                <w:noProof/>
                <w:webHidden/>
              </w:rPr>
              <w:fldChar w:fldCharType="begin"/>
            </w:r>
            <w:r w:rsidR="008F2A2C">
              <w:rPr>
                <w:noProof/>
                <w:webHidden/>
              </w:rPr>
              <w:instrText xml:space="preserve"> PAGEREF _Toc38211644 \h </w:instrText>
            </w:r>
            <w:r w:rsidR="008F2A2C">
              <w:rPr>
                <w:noProof/>
                <w:webHidden/>
              </w:rPr>
            </w:r>
            <w:r w:rsidR="008F2A2C">
              <w:rPr>
                <w:noProof/>
                <w:webHidden/>
              </w:rPr>
              <w:fldChar w:fldCharType="separate"/>
            </w:r>
            <w:r w:rsidR="008F2A2C">
              <w:rPr>
                <w:noProof/>
                <w:webHidden/>
              </w:rPr>
              <w:t>11</w:t>
            </w:r>
            <w:r w:rsidR="008F2A2C">
              <w:rPr>
                <w:noProof/>
                <w:webHidden/>
              </w:rPr>
              <w:fldChar w:fldCharType="end"/>
            </w:r>
          </w:hyperlink>
        </w:p>
        <w:p w14:paraId="2B2EF608" w14:textId="3E4EE17A" w:rsidR="008F2A2C" w:rsidRDefault="00791258">
          <w:pPr>
            <w:pStyle w:val="TOC2"/>
            <w:tabs>
              <w:tab w:val="left" w:pos="960"/>
              <w:tab w:val="right" w:leader="dot" w:pos="9350"/>
            </w:tabs>
            <w:rPr>
              <w:rFonts w:asciiTheme="minorHAnsi" w:eastAsiaTheme="minorEastAsia" w:hAnsiTheme="minorHAnsi" w:cstheme="minorBidi"/>
              <w:noProof/>
            </w:rPr>
          </w:pPr>
          <w:hyperlink w:anchor="_Toc38211645" w:history="1">
            <w:r w:rsidR="008F2A2C" w:rsidRPr="004176E2">
              <w:rPr>
                <w:rStyle w:val="Hyperlink"/>
                <w:rFonts w:eastAsiaTheme="majorEastAsia"/>
                <w:noProof/>
              </w:rPr>
              <w:t>2.6</w:t>
            </w:r>
            <w:r w:rsidR="008F2A2C">
              <w:rPr>
                <w:rFonts w:asciiTheme="minorHAnsi" w:eastAsiaTheme="minorEastAsia" w:hAnsiTheme="minorHAnsi" w:cstheme="minorBidi"/>
                <w:noProof/>
              </w:rPr>
              <w:tab/>
            </w:r>
            <w:r w:rsidR="008F2A2C" w:rsidRPr="004176E2">
              <w:rPr>
                <w:rStyle w:val="Hyperlink"/>
                <w:rFonts w:eastAsiaTheme="majorEastAsia"/>
                <w:noProof/>
              </w:rPr>
              <w:t>Inputs</w:t>
            </w:r>
            <w:r w:rsidR="008F2A2C">
              <w:rPr>
                <w:noProof/>
                <w:webHidden/>
              </w:rPr>
              <w:tab/>
            </w:r>
            <w:r w:rsidR="008F2A2C">
              <w:rPr>
                <w:noProof/>
                <w:webHidden/>
              </w:rPr>
              <w:fldChar w:fldCharType="begin"/>
            </w:r>
            <w:r w:rsidR="008F2A2C">
              <w:rPr>
                <w:noProof/>
                <w:webHidden/>
              </w:rPr>
              <w:instrText xml:space="preserve"> PAGEREF _Toc38211645 \h </w:instrText>
            </w:r>
            <w:r w:rsidR="008F2A2C">
              <w:rPr>
                <w:noProof/>
                <w:webHidden/>
              </w:rPr>
            </w:r>
            <w:r w:rsidR="008F2A2C">
              <w:rPr>
                <w:noProof/>
                <w:webHidden/>
              </w:rPr>
              <w:fldChar w:fldCharType="separate"/>
            </w:r>
            <w:r w:rsidR="008F2A2C">
              <w:rPr>
                <w:noProof/>
                <w:webHidden/>
              </w:rPr>
              <w:t>12</w:t>
            </w:r>
            <w:r w:rsidR="008F2A2C">
              <w:rPr>
                <w:noProof/>
                <w:webHidden/>
              </w:rPr>
              <w:fldChar w:fldCharType="end"/>
            </w:r>
          </w:hyperlink>
        </w:p>
        <w:p w14:paraId="43A1680C" w14:textId="22F6CA78" w:rsidR="008F2A2C" w:rsidRDefault="00791258">
          <w:pPr>
            <w:pStyle w:val="TOC3"/>
            <w:tabs>
              <w:tab w:val="left" w:pos="1200"/>
              <w:tab w:val="right" w:leader="dot" w:pos="9350"/>
            </w:tabs>
            <w:rPr>
              <w:rFonts w:asciiTheme="minorHAnsi" w:eastAsiaTheme="minorEastAsia" w:hAnsiTheme="minorHAnsi" w:cstheme="minorBidi"/>
              <w:noProof/>
            </w:rPr>
          </w:pPr>
          <w:hyperlink w:anchor="_Toc38211646" w:history="1">
            <w:r w:rsidR="008F2A2C" w:rsidRPr="004176E2">
              <w:rPr>
                <w:rStyle w:val="Hyperlink"/>
                <w:rFonts w:eastAsiaTheme="majorEastAsia"/>
                <w:noProof/>
              </w:rPr>
              <w:t>2.6.1</w:t>
            </w:r>
            <w:r w:rsidR="008F2A2C">
              <w:rPr>
                <w:rFonts w:asciiTheme="minorHAnsi" w:eastAsiaTheme="minorEastAsia" w:hAnsiTheme="minorHAnsi" w:cstheme="minorBidi"/>
                <w:noProof/>
              </w:rPr>
              <w:tab/>
            </w:r>
            <w:r w:rsidR="008F2A2C" w:rsidRPr="004176E2">
              <w:rPr>
                <w:rStyle w:val="Hyperlink"/>
                <w:rFonts w:eastAsiaTheme="majorEastAsia"/>
                <w:noProof/>
              </w:rPr>
              <w:t>Climate Inputs</w:t>
            </w:r>
            <w:r w:rsidR="008F2A2C">
              <w:rPr>
                <w:noProof/>
                <w:webHidden/>
              </w:rPr>
              <w:tab/>
            </w:r>
            <w:r w:rsidR="008F2A2C">
              <w:rPr>
                <w:noProof/>
                <w:webHidden/>
              </w:rPr>
              <w:fldChar w:fldCharType="begin"/>
            </w:r>
            <w:r w:rsidR="008F2A2C">
              <w:rPr>
                <w:noProof/>
                <w:webHidden/>
              </w:rPr>
              <w:instrText xml:space="preserve"> PAGEREF _Toc38211646 \h </w:instrText>
            </w:r>
            <w:r w:rsidR="008F2A2C">
              <w:rPr>
                <w:noProof/>
                <w:webHidden/>
              </w:rPr>
            </w:r>
            <w:r w:rsidR="008F2A2C">
              <w:rPr>
                <w:noProof/>
                <w:webHidden/>
              </w:rPr>
              <w:fldChar w:fldCharType="separate"/>
            </w:r>
            <w:r w:rsidR="008F2A2C">
              <w:rPr>
                <w:noProof/>
                <w:webHidden/>
              </w:rPr>
              <w:t>12</w:t>
            </w:r>
            <w:r w:rsidR="008F2A2C">
              <w:rPr>
                <w:noProof/>
                <w:webHidden/>
              </w:rPr>
              <w:fldChar w:fldCharType="end"/>
            </w:r>
          </w:hyperlink>
        </w:p>
        <w:p w14:paraId="222177B7" w14:textId="233F658D" w:rsidR="008F2A2C" w:rsidRDefault="00791258">
          <w:pPr>
            <w:pStyle w:val="TOC3"/>
            <w:tabs>
              <w:tab w:val="left" w:pos="1200"/>
              <w:tab w:val="right" w:leader="dot" w:pos="9350"/>
            </w:tabs>
            <w:rPr>
              <w:rFonts w:asciiTheme="minorHAnsi" w:eastAsiaTheme="minorEastAsia" w:hAnsiTheme="minorHAnsi" w:cstheme="minorBidi"/>
              <w:noProof/>
            </w:rPr>
          </w:pPr>
          <w:hyperlink w:anchor="_Toc38211647" w:history="1">
            <w:r w:rsidR="008F2A2C" w:rsidRPr="004176E2">
              <w:rPr>
                <w:rStyle w:val="Hyperlink"/>
                <w:rFonts w:eastAsiaTheme="majorEastAsia"/>
                <w:noProof/>
              </w:rPr>
              <w:t>2.6.2</w:t>
            </w:r>
            <w:r w:rsidR="008F2A2C">
              <w:rPr>
                <w:rFonts w:asciiTheme="minorHAnsi" w:eastAsiaTheme="minorEastAsia" w:hAnsiTheme="minorHAnsi" w:cstheme="minorBidi"/>
                <w:noProof/>
              </w:rPr>
              <w:tab/>
            </w:r>
            <w:r w:rsidR="008F2A2C" w:rsidRPr="004176E2">
              <w:rPr>
                <w:rStyle w:val="Hyperlink"/>
                <w:rFonts w:eastAsiaTheme="majorEastAsia"/>
                <w:noProof/>
              </w:rPr>
              <w:t>Financial Inputs</w:t>
            </w:r>
            <w:r w:rsidR="008F2A2C">
              <w:rPr>
                <w:noProof/>
                <w:webHidden/>
              </w:rPr>
              <w:tab/>
            </w:r>
            <w:r w:rsidR="008F2A2C">
              <w:rPr>
                <w:noProof/>
                <w:webHidden/>
              </w:rPr>
              <w:fldChar w:fldCharType="begin"/>
            </w:r>
            <w:r w:rsidR="008F2A2C">
              <w:rPr>
                <w:noProof/>
                <w:webHidden/>
              </w:rPr>
              <w:instrText xml:space="preserve"> PAGEREF _Toc38211647 \h </w:instrText>
            </w:r>
            <w:r w:rsidR="008F2A2C">
              <w:rPr>
                <w:noProof/>
                <w:webHidden/>
              </w:rPr>
            </w:r>
            <w:r w:rsidR="008F2A2C">
              <w:rPr>
                <w:noProof/>
                <w:webHidden/>
              </w:rPr>
              <w:fldChar w:fldCharType="separate"/>
            </w:r>
            <w:r w:rsidR="008F2A2C">
              <w:rPr>
                <w:noProof/>
                <w:webHidden/>
              </w:rPr>
              <w:t>15</w:t>
            </w:r>
            <w:r w:rsidR="008F2A2C">
              <w:rPr>
                <w:noProof/>
                <w:webHidden/>
              </w:rPr>
              <w:fldChar w:fldCharType="end"/>
            </w:r>
          </w:hyperlink>
        </w:p>
        <w:p w14:paraId="78FA7BC6" w14:textId="68B6947E" w:rsidR="008F2A2C" w:rsidRDefault="00791258">
          <w:pPr>
            <w:pStyle w:val="TOC3"/>
            <w:tabs>
              <w:tab w:val="left" w:pos="1200"/>
              <w:tab w:val="right" w:leader="dot" w:pos="9350"/>
            </w:tabs>
            <w:rPr>
              <w:rFonts w:asciiTheme="minorHAnsi" w:eastAsiaTheme="minorEastAsia" w:hAnsiTheme="minorHAnsi" w:cstheme="minorBidi"/>
              <w:noProof/>
            </w:rPr>
          </w:pPr>
          <w:hyperlink w:anchor="_Toc38211648" w:history="1">
            <w:r w:rsidR="008F2A2C" w:rsidRPr="004176E2">
              <w:rPr>
                <w:rStyle w:val="Hyperlink"/>
                <w:rFonts w:eastAsiaTheme="majorEastAsia"/>
                <w:noProof/>
              </w:rPr>
              <w:t>2.6.3</w:t>
            </w:r>
            <w:r w:rsidR="008F2A2C">
              <w:rPr>
                <w:rFonts w:asciiTheme="minorHAnsi" w:eastAsiaTheme="minorEastAsia" w:hAnsiTheme="minorHAnsi" w:cstheme="minorBidi"/>
                <w:noProof/>
              </w:rPr>
              <w:tab/>
            </w:r>
            <w:r w:rsidR="008F2A2C" w:rsidRPr="004176E2">
              <w:rPr>
                <w:rStyle w:val="Hyperlink"/>
                <w:rFonts w:eastAsiaTheme="majorEastAsia"/>
                <w:noProof/>
              </w:rPr>
              <w:t>Technical Inputs</w:t>
            </w:r>
            <w:r w:rsidR="008F2A2C">
              <w:rPr>
                <w:noProof/>
                <w:webHidden/>
              </w:rPr>
              <w:tab/>
            </w:r>
            <w:r w:rsidR="008F2A2C">
              <w:rPr>
                <w:noProof/>
                <w:webHidden/>
              </w:rPr>
              <w:fldChar w:fldCharType="begin"/>
            </w:r>
            <w:r w:rsidR="008F2A2C">
              <w:rPr>
                <w:noProof/>
                <w:webHidden/>
              </w:rPr>
              <w:instrText xml:space="preserve"> PAGEREF _Toc38211648 \h </w:instrText>
            </w:r>
            <w:r w:rsidR="008F2A2C">
              <w:rPr>
                <w:noProof/>
                <w:webHidden/>
              </w:rPr>
            </w:r>
            <w:r w:rsidR="008F2A2C">
              <w:rPr>
                <w:noProof/>
                <w:webHidden/>
              </w:rPr>
              <w:fldChar w:fldCharType="separate"/>
            </w:r>
            <w:r w:rsidR="008F2A2C">
              <w:rPr>
                <w:noProof/>
                <w:webHidden/>
              </w:rPr>
              <w:t>16</w:t>
            </w:r>
            <w:r w:rsidR="008F2A2C">
              <w:rPr>
                <w:noProof/>
                <w:webHidden/>
              </w:rPr>
              <w:fldChar w:fldCharType="end"/>
            </w:r>
          </w:hyperlink>
        </w:p>
        <w:p w14:paraId="3C6B4208" w14:textId="70801489" w:rsidR="008F2A2C" w:rsidRDefault="00791258">
          <w:pPr>
            <w:pStyle w:val="TOC2"/>
            <w:tabs>
              <w:tab w:val="left" w:pos="960"/>
              <w:tab w:val="right" w:leader="dot" w:pos="9350"/>
            </w:tabs>
            <w:rPr>
              <w:rFonts w:asciiTheme="minorHAnsi" w:eastAsiaTheme="minorEastAsia" w:hAnsiTheme="minorHAnsi" w:cstheme="minorBidi"/>
              <w:noProof/>
            </w:rPr>
          </w:pPr>
          <w:hyperlink w:anchor="_Toc38211649" w:history="1">
            <w:r w:rsidR="008F2A2C" w:rsidRPr="004176E2">
              <w:rPr>
                <w:rStyle w:val="Hyperlink"/>
                <w:rFonts w:eastAsiaTheme="majorEastAsia"/>
                <w:noProof/>
              </w:rPr>
              <w:t>2.7</w:t>
            </w:r>
            <w:r w:rsidR="008F2A2C">
              <w:rPr>
                <w:rFonts w:asciiTheme="minorHAnsi" w:eastAsiaTheme="minorEastAsia" w:hAnsiTheme="minorHAnsi" w:cstheme="minorBidi"/>
                <w:noProof/>
              </w:rPr>
              <w:tab/>
            </w:r>
            <w:r w:rsidR="008F2A2C" w:rsidRPr="004176E2">
              <w:rPr>
                <w:rStyle w:val="Hyperlink"/>
                <w:rFonts w:eastAsiaTheme="majorEastAsia"/>
                <w:noProof/>
              </w:rPr>
              <w:t>Assumptions</w:t>
            </w:r>
            <w:r w:rsidR="008F2A2C">
              <w:rPr>
                <w:noProof/>
                <w:webHidden/>
              </w:rPr>
              <w:tab/>
            </w:r>
            <w:r w:rsidR="008F2A2C">
              <w:rPr>
                <w:noProof/>
                <w:webHidden/>
              </w:rPr>
              <w:fldChar w:fldCharType="begin"/>
            </w:r>
            <w:r w:rsidR="008F2A2C">
              <w:rPr>
                <w:noProof/>
                <w:webHidden/>
              </w:rPr>
              <w:instrText xml:space="preserve"> PAGEREF _Toc38211649 \h </w:instrText>
            </w:r>
            <w:r w:rsidR="008F2A2C">
              <w:rPr>
                <w:noProof/>
                <w:webHidden/>
              </w:rPr>
            </w:r>
            <w:r w:rsidR="008F2A2C">
              <w:rPr>
                <w:noProof/>
                <w:webHidden/>
              </w:rPr>
              <w:fldChar w:fldCharType="separate"/>
            </w:r>
            <w:r w:rsidR="008F2A2C">
              <w:rPr>
                <w:noProof/>
                <w:webHidden/>
              </w:rPr>
              <w:t>17</w:t>
            </w:r>
            <w:r w:rsidR="008F2A2C">
              <w:rPr>
                <w:noProof/>
                <w:webHidden/>
              </w:rPr>
              <w:fldChar w:fldCharType="end"/>
            </w:r>
          </w:hyperlink>
        </w:p>
        <w:p w14:paraId="79D10458" w14:textId="0D76D297" w:rsidR="008F2A2C" w:rsidRDefault="00791258">
          <w:pPr>
            <w:pStyle w:val="TOC2"/>
            <w:tabs>
              <w:tab w:val="left" w:pos="960"/>
              <w:tab w:val="right" w:leader="dot" w:pos="9350"/>
            </w:tabs>
            <w:rPr>
              <w:rFonts w:asciiTheme="minorHAnsi" w:eastAsiaTheme="minorEastAsia" w:hAnsiTheme="minorHAnsi" w:cstheme="minorBidi"/>
              <w:noProof/>
            </w:rPr>
          </w:pPr>
          <w:hyperlink w:anchor="_Toc38211650" w:history="1">
            <w:r w:rsidR="008F2A2C" w:rsidRPr="004176E2">
              <w:rPr>
                <w:rStyle w:val="Hyperlink"/>
                <w:rFonts w:eastAsiaTheme="majorEastAsia"/>
                <w:noProof/>
              </w:rPr>
              <w:t>2.8</w:t>
            </w:r>
            <w:r w:rsidR="008F2A2C">
              <w:rPr>
                <w:rFonts w:asciiTheme="minorHAnsi" w:eastAsiaTheme="minorEastAsia" w:hAnsiTheme="minorHAnsi" w:cstheme="minorBidi"/>
                <w:noProof/>
              </w:rPr>
              <w:tab/>
            </w:r>
            <w:r w:rsidR="008F2A2C" w:rsidRPr="004176E2">
              <w:rPr>
                <w:rStyle w:val="Hyperlink"/>
                <w:rFonts w:eastAsiaTheme="majorEastAsia"/>
                <w:noProof/>
              </w:rPr>
              <w:t>Integration</w:t>
            </w:r>
            <w:r w:rsidR="008F2A2C">
              <w:rPr>
                <w:noProof/>
                <w:webHidden/>
              </w:rPr>
              <w:tab/>
            </w:r>
            <w:r w:rsidR="008F2A2C">
              <w:rPr>
                <w:noProof/>
                <w:webHidden/>
              </w:rPr>
              <w:fldChar w:fldCharType="begin"/>
            </w:r>
            <w:r w:rsidR="008F2A2C">
              <w:rPr>
                <w:noProof/>
                <w:webHidden/>
              </w:rPr>
              <w:instrText xml:space="preserve"> PAGEREF _Toc38211650 \h </w:instrText>
            </w:r>
            <w:r w:rsidR="008F2A2C">
              <w:rPr>
                <w:noProof/>
                <w:webHidden/>
              </w:rPr>
            </w:r>
            <w:r w:rsidR="008F2A2C">
              <w:rPr>
                <w:noProof/>
                <w:webHidden/>
              </w:rPr>
              <w:fldChar w:fldCharType="separate"/>
            </w:r>
            <w:r w:rsidR="008F2A2C">
              <w:rPr>
                <w:noProof/>
                <w:webHidden/>
              </w:rPr>
              <w:t>18</w:t>
            </w:r>
            <w:r w:rsidR="008F2A2C">
              <w:rPr>
                <w:noProof/>
                <w:webHidden/>
              </w:rPr>
              <w:fldChar w:fldCharType="end"/>
            </w:r>
          </w:hyperlink>
        </w:p>
        <w:p w14:paraId="62A0A332" w14:textId="3FC9543D" w:rsidR="008F2A2C" w:rsidRDefault="00791258">
          <w:pPr>
            <w:pStyle w:val="TOC2"/>
            <w:tabs>
              <w:tab w:val="left" w:pos="960"/>
              <w:tab w:val="right" w:leader="dot" w:pos="9350"/>
            </w:tabs>
            <w:rPr>
              <w:rFonts w:asciiTheme="minorHAnsi" w:eastAsiaTheme="minorEastAsia" w:hAnsiTheme="minorHAnsi" w:cstheme="minorBidi"/>
              <w:noProof/>
            </w:rPr>
          </w:pPr>
          <w:hyperlink w:anchor="_Toc38211651" w:history="1">
            <w:r w:rsidR="008F2A2C" w:rsidRPr="004176E2">
              <w:rPr>
                <w:rStyle w:val="Hyperlink"/>
                <w:rFonts w:eastAsiaTheme="majorEastAsia"/>
                <w:noProof/>
              </w:rPr>
              <w:t>2.9</w:t>
            </w:r>
            <w:r w:rsidR="008F2A2C">
              <w:rPr>
                <w:rFonts w:asciiTheme="minorHAnsi" w:eastAsiaTheme="minorEastAsia" w:hAnsiTheme="minorHAnsi" w:cstheme="minorBidi"/>
                <w:noProof/>
              </w:rPr>
              <w:tab/>
            </w:r>
            <w:r w:rsidR="008F2A2C" w:rsidRPr="004176E2">
              <w:rPr>
                <w:rStyle w:val="Hyperlink"/>
                <w:rFonts w:eastAsiaTheme="majorEastAsia"/>
                <w:noProof/>
              </w:rPr>
              <w:t>Limitations/Further Development</w:t>
            </w:r>
            <w:r w:rsidR="008F2A2C">
              <w:rPr>
                <w:noProof/>
                <w:webHidden/>
              </w:rPr>
              <w:tab/>
            </w:r>
            <w:r w:rsidR="008F2A2C">
              <w:rPr>
                <w:noProof/>
                <w:webHidden/>
              </w:rPr>
              <w:fldChar w:fldCharType="begin"/>
            </w:r>
            <w:r w:rsidR="008F2A2C">
              <w:rPr>
                <w:noProof/>
                <w:webHidden/>
              </w:rPr>
              <w:instrText xml:space="preserve"> PAGEREF _Toc38211651 \h </w:instrText>
            </w:r>
            <w:r w:rsidR="008F2A2C">
              <w:rPr>
                <w:noProof/>
                <w:webHidden/>
              </w:rPr>
            </w:r>
            <w:r w:rsidR="008F2A2C">
              <w:rPr>
                <w:noProof/>
                <w:webHidden/>
              </w:rPr>
              <w:fldChar w:fldCharType="separate"/>
            </w:r>
            <w:r w:rsidR="008F2A2C">
              <w:rPr>
                <w:noProof/>
                <w:webHidden/>
              </w:rPr>
              <w:t>18</w:t>
            </w:r>
            <w:r w:rsidR="008F2A2C">
              <w:rPr>
                <w:noProof/>
                <w:webHidden/>
              </w:rPr>
              <w:fldChar w:fldCharType="end"/>
            </w:r>
          </w:hyperlink>
        </w:p>
        <w:p w14:paraId="47A19F7D" w14:textId="61A0B240" w:rsidR="008F2A2C" w:rsidRDefault="00791258">
          <w:pPr>
            <w:pStyle w:val="TOC1"/>
            <w:tabs>
              <w:tab w:val="left" w:pos="440"/>
              <w:tab w:val="right" w:leader="dot" w:pos="9350"/>
            </w:tabs>
            <w:rPr>
              <w:rFonts w:asciiTheme="minorHAnsi" w:eastAsiaTheme="minorEastAsia" w:hAnsiTheme="minorHAnsi" w:cstheme="minorBidi"/>
              <w:noProof/>
            </w:rPr>
          </w:pPr>
          <w:hyperlink w:anchor="_Toc38211652" w:history="1">
            <w:r w:rsidR="008F2A2C" w:rsidRPr="004176E2">
              <w:rPr>
                <w:rStyle w:val="Hyperlink"/>
                <w:rFonts w:eastAsiaTheme="majorEastAsia"/>
                <w:noProof/>
              </w:rPr>
              <w:t>3</w:t>
            </w:r>
            <w:r w:rsidR="008F2A2C">
              <w:rPr>
                <w:rFonts w:asciiTheme="minorHAnsi" w:eastAsiaTheme="minorEastAsia" w:hAnsiTheme="minorHAnsi" w:cstheme="minorBidi"/>
                <w:noProof/>
              </w:rPr>
              <w:tab/>
            </w:r>
            <w:r w:rsidR="008F2A2C" w:rsidRPr="004176E2">
              <w:rPr>
                <w:rStyle w:val="Hyperlink"/>
                <w:rFonts w:eastAsiaTheme="majorEastAsia"/>
                <w:noProof/>
              </w:rPr>
              <w:t>Results</w:t>
            </w:r>
            <w:r w:rsidR="008F2A2C">
              <w:rPr>
                <w:noProof/>
                <w:webHidden/>
              </w:rPr>
              <w:tab/>
            </w:r>
            <w:r w:rsidR="008F2A2C">
              <w:rPr>
                <w:noProof/>
                <w:webHidden/>
              </w:rPr>
              <w:fldChar w:fldCharType="begin"/>
            </w:r>
            <w:r w:rsidR="008F2A2C">
              <w:rPr>
                <w:noProof/>
                <w:webHidden/>
              </w:rPr>
              <w:instrText xml:space="preserve"> PAGEREF _Toc38211652 \h </w:instrText>
            </w:r>
            <w:r w:rsidR="008F2A2C">
              <w:rPr>
                <w:noProof/>
                <w:webHidden/>
              </w:rPr>
            </w:r>
            <w:r w:rsidR="008F2A2C">
              <w:rPr>
                <w:noProof/>
                <w:webHidden/>
              </w:rPr>
              <w:fldChar w:fldCharType="separate"/>
            </w:r>
            <w:r w:rsidR="008F2A2C">
              <w:rPr>
                <w:noProof/>
                <w:webHidden/>
              </w:rPr>
              <w:t>18</w:t>
            </w:r>
            <w:r w:rsidR="008F2A2C">
              <w:rPr>
                <w:noProof/>
                <w:webHidden/>
              </w:rPr>
              <w:fldChar w:fldCharType="end"/>
            </w:r>
          </w:hyperlink>
        </w:p>
        <w:p w14:paraId="1E704E96" w14:textId="12280F97" w:rsidR="008F2A2C" w:rsidRDefault="00791258">
          <w:pPr>
            <w:pStyle w:val="TOC2"/>
            <w:tabs>
              <w:tab w:val="left" w:pos="960"/>
              <w:tab w:val="right" w:leader="dot" w:pos="9350"/>
            </w:tabs>
            <w:rPr>
              <w:rFonts w:asciiTheme="minorHAnsi" w:eastAsiaTheme="minorEastAsia" w:hAnsiTheme="minorHAnsi" w:cstheme="minorBidi"/>
              <w:noProof/>
            </w:rPr>
          </w:pPr>
          <w:hyperlink w:anchor="_Toc38211653" w:history="1">
            <w:r w:rsidR="008F2A2C" w:rsidRPr="004176E2">
              <w:rPr>
                <w:rStyle w:val="Hyperlink"/>
                <w:rFonts w:eastAsiaTheme="majorEastAsia"/>
                <w:noProof/>
              </w:rPr>
              <w:t>3.1</w:t>
            </w:r>
            <w:r w:rsidR="008F2A2C">
              <w:rPr>
                <w:rFonts w:asciiTheme="minorHAnsi" w:eastAsiaTheme="minorEastAsia" w:hAnsiTheme="minorHAnsi" w:cstheme="minorBidi"/>
                <w:noProof/>
              </w:rPr>
              <w:tab/>
            </w:r>
            <w:r w:rsidR="008F2A2C" w:rsidRPr="004176E2">
              <w:rPr>
                <w:rStyle w:val="Hyperlink"/>
                <w:rFonts w:eastAsiaTheme="majorEastAsia"/>
                <w:noProof/>
              </w:rPr>
              <w:t>Adoption</w:t>
            </w:r>
            <w:r w:rsidR="008F2A2C">
              <w:rPr>
                <w:noProof/>
                <w:webHidden/>
              </w:rPr>
              <w:tab/>
            </w:r>
            <w:r w:rsidR="008F2A2C">
              <w:rPr>
                <w:noProof/>
                <w:webHidden/>
              </w:rPr>
              <w:fldChar w:fldCharType="begin"/>
            </w:r>
            <w:r w:rsidR="008F2A2C">
              <w:rPr>
                <w:noProof/>
                <w:webHidden/>
              </w:rPr>
              <w:instrText xml:space="preserve"> PAGEREF _Toc38211653 \h </w:instrText>
            </w:r>
            <w:r w:rsidR="008F2A2C">
              <w:rPr>
                <w:noProof/>
                <w:webHidden/>
              </w:rPr>
            </w:r>
            <w:r w:rsidR="008F2A2C">
              <w:rPr>
                <w:noProof/>
                <w:webHidden/>
              </w:rPr>
              <w:fldChar w:fldCharType="separate"/>
            </w:r>
            <w:r w:rsidR="008F2A2C">
              <w:rPr>
                <w:noProof/>
                <w:webHidden/>
              </w:rPr>
              <w:t>18</w:t>
            </w:r>
            <w:r w:rsidR="008F2A2C">
              <w:rPr>
                <w:noProof/>
                <w:webHidden/>
              </w:rPr>
              <w:fldChar w:fldCharType="end"/>
            </w:r>
          </w:hyperlink>
        </w:p>
        <w:p w14:paraId="5583919B" w14:textId="4D7EEE10" w:rsidR="008F2A2C" w:rsidRDefault="00791258">
          <w:pPr>
            <w:pStyle w:val="TOC2"/>
            <w:tabs>
              <w:tab w:val="left" w:pos="960"/>
              <w:tab w:val="right" w:leader="dot" w:pos="9350"/>
            </w:tabs>
            <w:rPr>
              <w:rFonts w:asciiTheme="minorHAnsi" w:eastAsiaTheme="minorEastAsia" w:hAnsiTheme="minorHAnsi" w:cstheme="minorBidi"/>
              <w:noProof/>
            </w:rPr>
          </w:pPr>
          <w:hyperlink w:anchor="_Toc38211654" w:history="1">
            <w:r w:rsidR="008F2A2C" w:rsidRPr="004176E2">
              <w:rPr>
                <w:rStyle w:val="Hyperlink"/>
                <w:rFonts w:eastAsiaTheme="majorEastAsia"/>
                <w:noProof/>
              </w:rPr>
              <w:t>3.2</w:t>
            </w:r>
            <w:r w:rsidR="008F2A2C">
              <w:rPr>
                <w:rFonts w:asciiTheme="minorHAnsi" w:eastAsiaTheme="minorEastAsia" w:hAnsiTheme="minorHAnsi" w:cstheme="minorBidi"/>
                <w:noProof/>
              </w:rPr>
              <w:tab/>
            </w:r>
            <w:r w:rsidR="008F2A2C" w:rsidRPr="004176E2">
              <w:rPr>
                <w:rStyle w:val="Hyperlink"/>
                <w:rFonts w:eastAsiaTheme="majorEastAsia"/>
                <w:noProof/>
              </w:rPr>
              <w:t>Climate Impacts</w:t>
            </w:r>
            <w:r w:rsidR="008F2A2C">
              <w:rPr>
                <w:noProof/>
                <w:webHidden/>
              </w:rPr>
              <w:tab/>
            </w:r>
            <w:r w:rsidR="008F2A2C">
              <w:rPr>
                <w:noProof/>
                <w:webHidden/>
              </w:rPr>
              <w:fldChar w:fldCharType="begin"/>
            </w:r>
            <w:r w:rsidR="008F2A2C">
              <w:rPr>
                <w:noProof/>
                <w:webHidden/>
              </w:rPr>
              <w:instrText xml:space="preserve"> PAGEREF _Toc38211654 \h </w:instrText>
            </w:r>
            <w:r w:rsidR="008F2A2C">
              <w:rPr>
                <w:noProof/>
                <w:webHidden/>
              </w:rPr>
            </w:r>
            <w:r w:rsidR="008F2A2C">
              <w:rPr>
                <w:noProof/>
                <w:webHidden/>
              </w:rPr>
              <w:fldChar w:fldCharType="separate"/>
            </w:r>
            <w:r w:rsidR="008F2A2C">
              <w:rPr>
                <w:noProof/>
                <w:webHidden/>
              </w:rPr>
              <w:t>19</w:t>
            </w:r>
            <w:r w:rsidR="008F2A2C">
              <w:rPr>
                <w:noProof/>
                <w:webHidden/>
              </w:rPr>
              <w:fldChar w:fldCharType="end"/>
            </w:r>
          </w:hyperlink>
        </w:p>
        <w:p w14:paraId="3375BB3B" w14:textId="7CAF53E2" w:rsidR="008F2A2C" w:rsidRDefault="00791258">
          <w:pPr>
            <w:pStyle w:val="TOC2"/>
            <w:tabs>
              <w:tab w:val="left" w:pos="960"/>
              <w:tab w:val="right" w:leader="dot" w:pos="9350"/>
            </w:tabs>
            <w:rPr>
              <w:rFonts w:asciiTheme="minorHAnsi" w:eastAsiaTheme="minorEastAsia" w:hAnsiTheme="minorHAnsi" w:cstheme="minorBidi"/>
              <w:noProof/>
            </w:rPr>
          </w:pPr>
          <w:hyperlink w:anchor="_Toc38211655" w:history="1">
            <w:r w:rsidR="008F2A2C" w:rsidRPr="004176E2">
              <w:rPr>
                <w:rStyle w:val="Hyperlink"/>
                <w:rFonts w:eastAsiaTheme="majorEastAsia"/>
                <w:noProof/>
              </w:rPr>
              <w:t>3.3</w:t>
            </w:r>
            <w:r w:rsidR="008F2A2C">
              <w:rPr>
                <w:rFonts w:asciiTheme="minorHAnsi" w:eastAsiaTheme="minorEastAsia" w:hAnsiTheme="minorHAnsi" w:cstheme="minorBidi"/>
                <w:noProof/>
              </w:rPr>
              <w:tab/>
            </w:r>
            <w:r w:rsidR="008F2A2C" w:rsidRPr="004176E2">
              <w:rPr>
                <w:rStyle w:val="Hyperlink"/>
                <w:rFonts w:eastAsiaTheme="majorEastAsia"/>
                <w:noProof/>
              </w:rPr>
              <w:t>Financial Impacts</w:t>
            </w:r>
            <w:r w:rsidR="008F2A2C">
              <w:rPr>
                <w:noProof/>
                <w:webHidden/>
              </w:rPr>
              <w:tab/>
            </w:r>
            <w:r w:rsidR="008F2A2C">
              <w:rPr>
                <w:noProof/>
                <w:webHidden/>
              </w:rPr>
              <w:fldChar w:fldCharType="begin"/>
            </w:r>
            <w:r w:rsidR="008F2A2C">
              <w:rPr>
                <w:noProof/>
                <w:webHidden/>
              </w:rPr>
              <w:instrText xml:space="preserve"> PAGEREF _Toc38211655 \h </w:instrText>
            </w:r>
            <w:r w:rsidR="008F2A2C">
              <w:rPr>
                <w:noProof/>
                <w:webHidden/>
              </w:rPr>
            </w:r>
            <w:r w:rsidR="008F2A2C">
              <w:rPr>
                <w:noProof/>
                <w:webHidden/>
              </w:rPr>
              <w:fldChar w:fldCharType="separate"/>
            </w:r>
            <w:r w:rsidR="008F2A2C">
              <w:rPr>
                <w:noProof/>
                <w:webHidden/>
              </w:rPr>
              <w:t>21</w:t>
            </w:r>
            <w:r w:rsidR="008F2A2C">
              <w:rPr>
                <w:noProof/>
                <w:webHidden/>
              </w:rPr>
              <w:fldChar w:fldCharType="end"/>
            </w:r>
          </w:hyperlink>
        </w:p>
        <w:p w14:paraId="469C8AB1" w14:textId="097A94CC" w:rsidR="008F2A2C" w:rsidRDefault="00791258">
          <w:pPr>
            <w:pStyle w:val="TOC1"/>
            <w:tabs>
              <w:tab w:val="left" w:pos="440"/>
              <w:tab w:val="right" w:leader="dot" w:pos="9350"/>
            </w:tabs>
            <w:rPr>
              <w:rFonts w:asciiTheme="minorHAnsi" w:eastAsiaTheme="minorEastAsia" w:hAnsiTheme="minorHAnsi" w:cstheme="minorBidi"/>
              <w:noProof/>
            </w:rPr>
          </w:pPr>
          <w:hyperlink w:anchor="_Toc38211656" w:history="1">
            <w:r w:rsidR="008F2A2C" w:rsidRPr="004176E2">
              <w:rPr>
                <w:rStyle w:val="Hyperlink"/>
                <w:rFonts w:eastAsiaTheme="majorEastAsia"/>
                <w:noProof/>
              </w:rPr>
              <w:t>4</w:t>
            </w:r>
            <w:r w:rsidR="008F2A2C">
              <w:rPr>
                <w:rFonts w:asciiTheme="minorHAnsi" w:eastAsiaTheme="minorEastAsia" w:hAnsiTheme="minorHAnsi" w:cstheme="minorBidi"/>
                <w:noProof/>
              </w:rPr>
              <w:tab/>
            </w:r>
            <w:r w:rsidR="008F2A2C" w:rsidRPr="004176E2">
              <w:rPr>
                <w:rStyle w:val="Hyperlink"/>
                <w:rFonts w:eastAsiaTheme="majorEastAsia"/>
                <w:noProof/>
              </w:rPr>
              <w:t>Discussion</w:t>
            </w:r>
            <w:r w:rsidR="008F2A2C">
              <w:rPr>
                <w:noProof/>
                <w:webHidden/>
              </w:rPr>
              <w:tab/>
            </w:r>
            <w:r w:rsidR="008F2A2C">
              <w:rPr>
                <w:noProof/>
                <w:webHidden/>
              </w:rPr>
              <w:fldChar w:fldCharType="begin"/>
            </w:r>
            <w:r w:rsidR="008F2A2C">
              <w:rPr>
                <w:noProof/>
                <w:webHidden/>
              </w:rPr>
              <w:instrText xml:space="preserve"> PAGEREF _Toc38211656 \h </w:instrText>
            </w:r>
            <w:r w:rsidR="008F2A2C">
              <w:rPr>
                <w:noProof/>
                <w:webHidden/>
              </w:rPr>
            </w:r>
            <w:r w:rsidR="008F2A2C">
              <w:rPr>
                <w:noProof/>
                <w:webHidden/>
              </w:rPr>
              <w:fldChar w:fldCharType="separate"/>
            </w:r>
            <w:r w:rsidR="008F2A2C">
              <w:rPr>
                <w:noProof/>
                <w:webHidden/>
              </w:rPr>
              <w:t>22</w:t>
            </w:r>
            <w:r w:rsidR="008F2A2C">
              <w:rPr>
                <w:noProof/>
                <w:webHidden/>
              </w:rPr>
              <w:fldChar w:fldCharType="end"/>
            </w:r>
          </w:hyperlink>
        </w:p>
        <w:p w14:paraId="7E819458" w14:textId="608AD1E7" w:rsidR="008F2A2C" w:rsidRDefault="00791258">
          <w:pPr>
            <w:pStyle w:val="TOC2"/>
            <w:tabs>
              <w:tab w:val="left" w:pos="960"/>
              <w:tab w:val="right" w:leader="dot" w:pos="9350"/>
            </w:tabs>
            <w:rPr>
              <w:rFonts w:asciiTheme="minorHAnsi" w:eastAsiaTheme="minorEastAsia" w:hAnsiTheme="minorHAnsi" w:cstheme="minorBidi"/>
              <w:noProof/>
            </w:rPr>
          </w:pPr>
          <w:hyperlink w:anchor="_Toc38211657" w:history="1">
            <w:r w:rsidR="008F2A2C" w:rsidRPr="004176E2">
              <w:rPr>
                <w:rStyle w:val="Hyperlink"/>
                <w:rFonts w:eastAsiaTheme="majorEastAsia"/>
                <w:noProof/>
              </w:rPr>
              <w:t>4.1</w:t>
            </w:r>
            <w:r w:rsidR="008F2A2C">
              <w:rPr>
                <w:rFonts w:asciiTheme="minorHAnsi" w:eastAsiaTheme="minorEastAsia" w:hAnsiTheme="minorHAnsi" w:cstheme="minorBidi"/>
                <w:noProof/>
              </w:rPr>
              <w:tab/>
            </w:r>
            <w:r w:rsidR="008F2A2C" w:rsidRPr="004176E2">
              <w:rPr>
                <w:rStyle w:val="Hyperlink"/>
                <w:rFonts w:eastAsiaTheme="majorEastAsia"/>
                <w:noProof/>
              </w:rPr>
              <w:t>Limitations</w:t>
            </w:r>
            <w:r w:rsidR="008F2A2C">
              <w:rPr>
                <w:noProof/>
                <w:webHidden/>
              </w:rPr>
              <w:tab/>
            </w:r>
            <w:r w:rsidR="008F2A2C">
              <w:rPr>
                <w:noProof/>
                <w:webHidden/>
              </w:rPr>
              <w:fldChar w:fldCharType="begin"/>
            </w:r>
            <w:r w:rsidR="008F2A2C">
              <w:rPr>
                <w:noProof/>
                <w:webHidden/>
              </w:rPr>
              <w:instrText xml:space="preserve"> PAGEREF _Toc38211657 \h </w:instrText>
            </w:r>
            <w:r w:rsidR="008F2A2C">
              <w:rPr>
                <w:noProof/>
                <w:webHidden/>
              </w:rPr>
            </w:r>
            <w:r w:rsidR="008F2A2C">
              <w:rPr>
                <w:noProof/>
                <w:webHidden/>
              </w:rPr>
              <w:fldChar w:fldCharType="separate"/>
            </w:r>
            <w:r w:rsidR="008F2A2C">
              <w:rPr>
                <w:noProof/>
                <w:webHidden/>
              </w:rPr>
              <w:t>22</w:t>
            </w:r>
            <w:r w:rsidR="008F2A2C">
              <w:rPr>
                <w:noProof/>
                <w:webHidden/>
              </w:rPr>
              <w:fldChar w:fldCharType="end"/>
            </w:r>
          </w:hyperlink>
        </w:p>
        <w:p w14:paraId="4C24F153" w14:textId="0A6BF0D7" w:rsidR="008F2A2C" w:rsidRDefault="00791258">
          <w:pPr>
            <w:pStyle w:val="TOC2"/>
            <w:tabs>
              <w:tab w:val="left" w:pos="960"/>
              <w:tab w:val="right" w:leader="dot" w:pos="9350"/>
            </w:tabs>
            <w:rPr>
              <w:rFonts w:asciiTheme="minorHAnsi" w:eastAsiaTheme="minorEastAsia" w:hAnsiTheme="minorHAnsi" w:cstheme="minorBidi"/>
              <w:noProof/>
            </w:rPr>
          </w:pPr>
          <w:hyperlink w:anchor="_Toc38211658" w:history="1">
            <w:r w:rsidR="008F2A2C" w:rsidRPr="004176E2">
              <w:rPr>
                <w:rStyle w:val="Hyperlink"/>
                <w:rFonts w:eastAsiaTheme="majorEastAsia"/>
                <w:noProof/>
              </w:rPr>
              <w:t>4.2</w:t>
            </w:r>
            <w:r w:rsidR="008F2A2C">
              <w:rPr>
                <w:rFonts w:asciiTheme="minorHAnsi" w:eastAsiaTheme="minorEastAsia" w:hAnsiTheme="minorHAnsi" w:cstheme="minorBidi"/>
                <w:noProof/>
              </w:rPr>
              <w:tab/>
            </w:r>
            <w:r w:rsidR="008F2A2C" w:rsidRPr="004176E2">
              <w:rPr>
                <w:rStyle w:val="Hyperlink"/>
                <w:rFonts w:eastAsiaTheme="majorEastAsia"/>
                <w:noProof/>
              </w:rPr>
              <w:t>Benchmarks</w:t>
            </w:r>
            <w:r w:rsidR="008F2A2C">
              <w:rPr>
                <w:noProof/>
                <w:webHidden/>
              </w:rPr>
              <w:tab/>
            </w:r>
            <w:r w:rsidR="008F2A2C">
              <w:rPr>
                <w:noProof/>
                <w:webHidden/>
              </w:rPr>
              <w:fldChar w:fldCharType="begin"/>
            </w:r>
            <w:r w:rsidR="008F2A2C">
              <w:rPr>
                <w:noProof/>
                <w:webHidden/>
              </w:rPr>
              <w:instrText xml:space="preserve"> PAGEREF _Toc38211658 \h </w:instrText>
            </w:r>
            <w:r w:rsidR="008F2A2C">
              <w:rPr>
                <w:noProof/>
                <w:webHidden/>
              </w:rPr>
            </w:r>
            <w:r w:rsidR="008F2A2C">
              <w:rPr>
                <w:noProof/>
                <w:webHidden/>
              </w:rPr>
              <w:fldChar w:fldCharType="separate"/>
            </w:r>
            <w:r w:rsidR="008F2A2C">
              <w:rPr>
                <w:noProof/>
                <w:webHidden/>
              </w:rPr>
              <w:t>23</w:t>
            </w:r>
            <w:r w:rsidR="008F2A2C">
              <w:rPr>
                <w:noProof/>
                <w:webHidden/>
              </w:rPr>
              <w:fldChar w:fldCharType="end"/>
            </w:r>
          </w:hyperlink>
        </w:p>
        <w:p w14:paraId="404AD2A5" w14:textId="2006C25B" w:rsidR="008F2A2C" w:rsidRDefault="00791258">
          <w:pPr>
            <w:pStyle w:val="TOC1"/>
            <w:tabs>
              <w:tab w:val="left" w:pos="440"/>
              <w:tab w:val="right" w:leader="dot" w:pos="9350"/>
            </w:tabs>
            <w:rPr>
              <w:rFonts w:asciiTheme="minorHAnsi" w:eastAsiaTheme="minorEastAsia" w:hAnsiTheme="minorHAnsi" w:cstheme="minorBidi"/>
              <w:noProof/>
            </w:rPr>
          </w:pPr>
          <w:hyperlink w:anchor="_Toc38211659" w:history="1">
            <w:r w:rsidR="008F2A2C" w:rsidRPr="004176E2">
              <w:rPr>
                <w:rStyle w:val="Hyperlink"/>
                <w:rFonts w:eastAsiaTheme="majorEastAsia"/>
                <w:noProof/>
              </w:rPr>
              <w:t>5</w:t>
            </w:r>
            <w:r w:rsidR="008F2A2C">
              <w:rPr>
                <w:rFonts w:asciiTheme="minorHAnsi" w:eastAsiaTheme="minorEastAsia" w:hAnsiTheme="minorHAnsi" w:cstheme="minorBidi"/>
                <w:noProof/>
              </w:rPr>
              <w:tab/>
            </w:r>
            <w:r w:rsidR="008F2A2C" w:rsidRPr="004176E2">
              <w:rPr>
                <w:rStyle w:val="Hyperlink"/>
                <w:rFonts w:eastAsiaTheme="majorEastAsia"/>
                <w:noProof/>
              </w:rPr>
              <w:t>References</w:t>
            </w:r>
            <w:r w:rsidR="008F2A2C">
              <w:rPr>
                <w:noProof/>
                <w:webHidden/>
              </w:rPr>
              <w:tab/>
            </w:r>
            <w:r w:rsidR="008F2A2C">
              <w:rPr>
                <w:noProof/>
                <w:webHidden/>
              </w:rPr>
              <w:fldChar w:fldCharType="begin"/>
            </w:r>
            <w:r w:rsidR="008F2A2C">
              <w:rPr>
                <w:noProof/>
                <w:webHidden/>
              </w:rPr>
              <w:instrText xml:space="preserve"> PAGEREF _Toc38211659 \h </w:instrText>
            </w:r>
            <w:r w:rsidR="008F2A2C">
              <w:rPr>
                <w:noProof/>
                <w:webHidden/>
              </w:rPr>
            </w:r>
            <w:r w:rsidR="008F2A2C">
              <w:rPr>
                <w:noProof/>
                <w:webHidden/>
              </w:rPr>
              <w:fldChar w:fldCharType="separate"/>
            </w:r>
            <w:r w:rsidR="008F2A2C">
              <w:rPr>
                <w:noProof/>
                <w:webHidden/>
              </w:rPr>
              <w:t>24</w:t>
            </w:r>
            <w:r w:rsidR="008F2A2C">
              <w:rPr>
                <w:noProof/>
                <w:webHidden/>
              </w:rPr>
              <w:fldChar w:fldCharType="end"/>
            </w:r>
          </w:hyperlink>
        </w:p>
        <w:p w14:paraId="117FE773" w14:textId="7F7A7175" w:rsidR="008F2A2C" w:rsidRDefault="00791258">
          <w:pPr>
            <w:pStyle w:val="TOC1"/>
            <w:tabs>
              <w:tab w:val="left" w:pos="440"/>
              <w:tab w:val="right" w:leader="dot" w:pos="9350"/>
            </w:tabs>
            <w:rPr>
              <w:rFonts w:asciiTheme="minorHAnsi" w:eastAsiaTheme="minorEastAsia" w:hAnsiTheme="minorHAnsi" w:cstheme="minorBidi"/>
              <w:noProof/>
            </w:rPr>
          </w:pPr>
          <w:hyperlink w:anchor="_Toc38211660" w:history="1">
            <w:r w:rsidR="008F2A2C" w:rsidRPr="004176E2">
              <w:rPr>
                <w:rStyle w:val="Hyperlink"/>
                <w:rFonts w:eastAsiaTheme="majorEastAsia"/>
                <w:noProof/>
              </w:rPr>
              <w:t>6</w:t>
            </w:r>
            <w:r w:rsidR="008F2A2C">
              <w:rPr>
                <w:rFonts w:asciiTheme="minorHAnsi" w:eastAsiaTheme="minorEastAsia" w:hAnsiTheme="minorHAnsi" w:cstheme="minorBidi"/>
                <w:noProof/>
              </w:rPr>
              <w:tab/>
            </w:r>
            <w:r w:rsidR="008F2A2C" w:rsidRPr="004176E2">
              <w:rPr>
                <w:rStyle w:val="Hyperlink"/>
                <w:rFonts w:eastAsiaTheme="majorEastAsia"/>
                <w:noProof/>
              </w:rPr>
              <w:t>Glossary</w:t>
            </w:r>
            <w:r w:rsidR="008F2A2C">
              <w:rPr>
                <w:noProof/>
                <w:webHidden/>
              </w:rPr>
              <w:tab/>
            </w:r>
            <w:r w:rsidR="008F2A2C">
              <w:rPr>
                <w:noProof/>
                <w:webHidden/>
              </w:rPr>
              <w:fldChar w:fldCharType="begin"/>
            </w:r>
            <w:r w:rsidR="008F2A2C">
              <w:rPr>
                <w:noProof/>
                <w:webHidden/>
              </w:rPr>
              <w:instrText xml:space="preserve"> PAGEREF _Toc38211660 \h </w:instrText>
            </w:r>
            <w:r w:rsidR="008F2A2C">
              <w:rPr>
                <w:noProof/>
                <w:webHidden/>
              </w:rPr>
            </w:r>
            <w:r w:rsidR="008F2A2C">
              <w:rPr>
                <w:noProof/>
                <w:webHidden/>
              </w:rPr>
              <w:fldChar w:fldCharType="separate"/>
            </w:r>
            <w:r w:rsidR="008F2A2C">
              <w:rPr>
                <w:noProof/>
                <w:webHidden/>
              </w:rPr>
              <w:t>27</w:t>
            </w:r>
            <w:r w:rsidR="008F2A2C">
              <w:rPr>
                <w:noProof/>
                <w:webHidden/>
              </w:rPr>
              <w:fldChar w:fldCharType="end"/>
            </w:r>
          </w:hyperlink>
        </w:p>
        <w:p w14:paraId="12C7DAF6" w14:textId="72DEE2A4" w:rsidR="00640665" w:rsidRDefault="00640665" w:rsidP="00EB247F">
          <w:r w:rsidRPr="00C44058">
            <w:rPr>
              <w:b/>
              <w:bCs/>
              <w:noProof/>
            </w:rPr>
            <w:fldChar w:fldCharType="end"/>
          </w:r>
        </w:p>
      </w:sdtContent>
    </w:sdt>
    <w:p w14:paraId="1827C10C" w14:textId="3B09BCA5" w:rsidR="00F15AEE" w:rsidRDefault="00F15AEE" w:rsidP="00EB247F">
      <w:r>
        <w:br w:type="page"/>
      </w:r>
    </w:p>
    <w:p w14:paraId="325B3971" w14:textId="4DF0A92F" w:rsidR="2D56E7D4" w:rsidRDefault="00C23CAC" w:rsidP="00EB247F">
      <w:pPr>
        <w:pStyle w:val="Heading1"/>
        <w:numPr>
          <w:ilvl w:val="0"/>
          <w:numId w:val="0"/>
        </w:numPr>
        <w:rPr>
          <w:noProof/>
        </w:rPr>
      </w:pPr>
      <w:bookmarkStart w:id="0" w:name="_Toc38211617"/>
      <w:r>
        <w:rPr>
          <w:noProof/>
        </w:rPr>
        <w:lastRenderedPageBreak/>
        <w:t xml:space="preserve">List of </w:t>
      </w:r>
      <w:r w:rsidR="2D56E7D4" w:rsidRPr="2D56E7D4">
        <w:rPr>
          <w:noProof/>
        </w:rPr>
        <w:t>Figures</w:t>
      </w:r>
      <w:bookmarkEnd w:id="0"/>
    </w:p>
    <w:p w14:paraId="55405539" w14:textId="0B06CA0D" w:rsidR="008F2A2C" w:rsidRDefault="00F15AEE">
      <w:pPr>
        <w:pStyle w:val="TableofFigures"/>
        <w:tabs>
          <w:tab w:val="right" w:leader="dot" w:pos="9350"/>
        </w:tabs>
        <w:rPr>
          <w:rFonts w:asciiTheme="minorHAnsi" w:eastAsiaTheme="minorEastAsia" w:hAnsiTheme="minorHAnsi" w:cstheme="minorBidi"/>
          <w:noProof/>
        </w:rPr>
      </w:pPr>
      <w:r w:rsidRPr="003A0234">
        <w:fldChar w:fldCharType="begin"/>
      </w:r>
      <w:r w:rsidRPr="003A0234">
        <w:instrText xml:space="preserve"> TOC \h \z \c "Figure" </w:instrText>
      </w:r>
      <w:r w:rsidRPr="003A0234">
        <w:fldChar w:fldCharType="separate"/>
      </w:r>
      <w:hyperlink w:anchor="_Toc38211661" w:history="1">
        <w:r w:rsidR="008F2A2C" w:rsidRPr="00D47C4A">
          <w:rPr>
            <w:rStyle w:val="Hyperlink"/>
            <w:rFonts w:eastAsiaTheme="majorEastAsia"/>
            <w:noProof/>
          </w:rPr>
          <w:t>Figure 1.1. Cement manufacturing process overview.</w:t>
        </w:r>
        <w:r w:rsidR="008F2A2C">
          <w:rPr>
            <w:noProof/>
            <w:webHidden/>
          </w:rPr>
          <w:tab/>
        </w:r>
        <w:r w:rsidR="008F2A2C">
          <w:rPr>
            <w:noProof/>
            <w:webHidden/>
          </w:rPr>
          <w:fldChar w:fldCharType="begin"/>
        </w:r>
        <w:r w:rsidR="008F2A2C">
          <w:rPr>
            <w:noProof/>
            <w:webHidden/>
          </w:rPr>
          <w:instrText xml:space="preserve"> PAGEREF _Toc38211661 \h </w:instrText>
        </w:r>
        <w:r w:rsidR="008F2A2C">
          <w:rPr>
            <w:noProof/>
            <w:webHidden/>
          </w:rPr>
        </w:r>
        <w:r w:rsidR="008F2A2C">
          <w:rPr>
            <w:noProof/>
            <w:webHidden/>
          </w:rPr>
          <w:fldChar w:fldCharType="separate"/>
        </w:r>
        <w:r w:rsidR="008F2A2C">
          <w:rPr>
            <w:noProof/>
            <w:webHidden/>
          </w:rPr>
          <w:t>2</w:t>
        </w:r>
        <w:r w:rsidR="008F2A2C">
          <w:rPr>
            <w:noProof/>
            <w:webHidden/>
          </w:rPr>
          <w:fldChar w:fldCharType="end"/>
        </w:r>
      </w:hyperlink>
    </w:p>
    <w:p w14:paraId="2012604C" w14:textId="0983D0B3" w:rsidR="008F2A2C" w:rsidRDefault="00791258">
      <w:pPr>
        <w:pStyle w:val="TableofFigures"/>
        <w:tabs>
          <w:tab w:val="right" w:leader="dot" w:pos="9350"/>
        </w:tabs>
        <w:rPr>
          <w:rFonts w:asciiTheme="minorHAnsi" w:eastAsiaTheme="minorEastAsia" w:hAnsiTheme="minorHAnsi" w:cstheme="minorBidi"/>
          <w:noProof/>
        </w:rPr>
      </w:pPr>
      <w:hyperlink w:anchor="_Toc38211662" w:history="1">
        <w:r w:rsidR="008F2A2C" w:rsidRPr="00D47C4A">
          <w:rPr>
            <w:rStyle w:val="Hyperlink"/>
            <w:rFonts w:eastAsiaTheme="majorEastAsia"/>
            <w:noProof/>
          </w:rPr>
          <w:t>Figure 3.1 World Annual Adoption 2020-2050</w:t>
        </w:r>
        <w:r w:rsidR="008F2A2C">
          <w:rPr>
            <w:noProof/>
            <w:webHidden/>
          </w:rPr>
          <w:tab/>
        </w:r>
        <w:r w:rsidR="008F2A2C">
          <w:rPr>
            <w:noProof/>
            <w:webHidden/>
          </w:rPr>
          <w:fldChar w:fldCharType="begin"/>
        </w:r>
        <w:r w:rsidR="008F2A2C">
          <w:rPr>
            <w:noProof/>
            <w:webHidden/>
          </w:rPr>
          <w:instrText xml:space="preserve"> PAGEREF _Toc38211662 \h </w:instrText>
        </w:r>
        <w:r w:rsidR="008F2A2C">
          <w:rPr>
            <w:noProof/>
            <w:webHidden/>
          </w:rPr>
        </w:r>
        <w:r w:rsidR="008F2A2C">
          <w:rPr>
            <w:noProof/>
            <w:webHidden/>
          </w:rPr>
          <w:fldChar w:fldCharType="separate"/>
        </w:r>
        <w:r w:rsidR="008F2A2C">
          <w:rPr>
            <w:noProof/>
            <w:webHidden/>
          </w:rPr>
          <w:t>19</w:t>
        </w:r>
        <w:r w:rsidR="008F2A2C">
          <w:rPr>
            <w:noProof/>
            <w:webHidden/>
          </w:rPr>
          <w:fldChar w:fldCharType="end"/>
        </w:r>
      </w:hyperlink>
    </w:p>
    <w:p w14:paraId="7C050F5C" w14:textId="2C8BE307" w:rsidR="008F2A2C" w:rsidRDefault="00791258">
      <w:pPr>
        <w:pStyle w:val="TableofFigures"/>
        <w:tabs>
          <w:tab w:val="right" w:leader="dot" w:pos="9350"/>
        </w:tabs>
        <w:rPr>
          <w:rFonts w:asciiTheme="minorHAnsi" w:eastAsiaTheme="minorEastAsia" w:hAnsiTheme="minorHAnsi" w:cstheme="minorBidi"/>
          <w:noProof/>
        </w:rPr>
      </w:pPr>
      <w:hyperlink w:anchor="_Toc38211663" w:history="1">
        <w:r w:rsidR="008F2A2C" w:rsidRPr="00D47C4A">
          <w:rPr>
            <w:rStyle w:val="Hyperlink"/>
            <w:rFonts w:eastAsiaTheme="majorEastAsia"/>
            <w:noProof/>
          </w:rPr>
          <w:t>Figure 3.2 World Annual</w:t>
        </w:r>
        <w:r w:rsidR="008F2A2C" w:rsidRPr="00D47C4A">
          <w:rPr>
            <w:rStyle w:val="Hyperlink"/>
            <w:rFonts w:eastAsiaTheme="majorEastAsia"/>
            <w:noProof/>
            <w:vertAlign w:val="subscript"/>
          </w:rPr>
          <w:t xml:space="preserve"> </w:t>
        </w:r>
        <w:r w:rsidR="008F2A2C" w:rsidRPr="00D47C4A">
          <w:rPr>
            <w:rStyle w:val="Hyperlink"/>
            <w:rFonts w:eastAsiaTheme="majorEastAsia"/>
            <w:noProof/>
          </w:rPr>
          <w:t>Greenhouse Gas Emissions Reduction</w:t>
        </w:r>
        <w:r w:rsidR="008F2A2C">
          <w:rPr>
            <w:noProof/>
            <w:webHidden/>
          </w:rPr>
          <w:tab/>
        </w:r>
        <w:r w:rsidR="008F2A2C">
          <w:rPr>
            <w:noProof/>
            <w:webHidden/>
          </w:rPr>
          <w:fldChar w:fldCharType="begin"/>
        </w:r>
        <w:r w:rsidR="008F2A2C">
          <w:rPr>
            <w:noProof/>
            <w:webHidden/>
          </w:rPr>
          <w:instrText xml:space="preserve"> PAGEREF _Toc38211663 \h </w:instrText>
        </w:r>
        <w:r w:rsidR="008F2A2C">
          <w:rPr>
            <w:noProof/>
            <w:webHidden/>
          </w:rPr>
        </w:r>
        <w:r w:rsidR="008F2A2C">
          <w:rPr>
            <w:noProof/>
            <w:webHidden/>
          </w:rPr>
          <w:fldChar w:fldCharType="separate"/>
        </w:r>
        <w:r w:rsidR="008F2A2C">
          <w:rPr>
            <w:noProof/>
            <w:webHidden/>
          </w:rPr>
          <w:t>21</w:t>
        </w:r>
        <w:r w:rsidR="008F2A2C">
          <w:rPr>
            <w:noProof/>
            <w:webHidden/>
          </w:rPr>
          <w:fldChar w:fldCharType="end"/>
        </w:r>
      </w:hyperlink>
    </w:p>
    <w:p w14:paraId="5AD133BD" w14:textId="692B2EC3" w:rsidR="00640665" w:rsidRPr="003A0234" w:rsidRDefault="00F15AEE" w:rsidP="00483FFA">
      <w:r w:rsidRPr="003A0234">
        <w:fldChar w:fldCharType="end"/>
      </w:r>
    </w:p>
    <w:p w14:paraId="6055DED9" w14:textId="24973E3A" w:rsidR="006A4A08" w:rsidRPr="003A0234" w:rsidRDefault="00C23CAC" w:rsidP="00EB247F">
      <w:pPr>
        <w:pStyle w:val="Heading1"/>
        <w:numPr>
          <w:ilvl w:val="0"/>
          <w:numId w:val="0"/>
        </w:numPr>
      </w:pPr>
      <w:bookmarkStart w:id="1" w:name="_Toc38211618"/>
      <w:r w:rsidRPr="003A0234">
        <w:t xml:space="preserve">List of </w:t>
      </w:r>
      <w:r w:rsidR="2D56E7D4" w:rsidRPr="003A0234">
        <w:t>Tables</w:t>
      </w:r>
      <w:bookmarkEnd w:id="1"/>
    </w:p>
    <w:p w14:paraId="0C67A6FB" w14:textId="5EB530A3" w:rsidR="008F2A2C" w:rsidRDefault="006A4A08">
      <w:pPr>
        <w:pStyle w:val="TableofFigures"/>
        <w:tabs>
          <w:tab w:val="right" w:leader="dot" w:pos="9350"/>
        </w:tabs>
        <w:rPr>
          <w:rFonts w:asciiTheme="minorHAnsi" w:eastAsiaTheme="minorEastAsia" w:hAnsiTheme="minorHAnsi" w:cstheme="minorBidi"/>
          <w:noProof/>
        </w:rPr>
      </w:pPr>
      <w:r w:rsidRPr="003A0234">
        <w:fldChar w:fldCharType="begin"/>
      </w:r>
      <w:r w:rsidRPr="003A0234">
        <w:instrText xml:space="preserve"> TOC \h \z \c "Table" </w:instrText>
      </w:r>
      <w:r w:rsidRPr="003A0234">
        <w:fldChar w:fldCharType="separate"/>
      </w:r>
      <w:hyperlink w:anchor="_Toc38211664" w:history="1">
        <w:r w:rsidR="008F2A2C" w:rsidRPr="003230D9">
          <w:rPr>
            <w:rStyle w:val="Hyperlink"/>
            <w:rFonts w:eastAsiaTheme="majorEastAsia"/>
            <w:noProof/>
          </w:rPr>
          <w:t>Table 1.1. Designations of ASTM and CEM cement standards and common applications.</w:t>
        </w:r>
        <w:r w:rsidR="008F2A2C">
          <w:rPr>
            <w:noProof/>
            <w:webHidden/>
          </w:rPr>
          <w:tab/>
        </w:r>
        <w:r w:rsidR="008F2A2C">
          <w:rPr>
            <w:noProof/>
            <w:webHidden/>
          </w:rPr>
          <w:fldChar w:fldCharType="begin"/>
        </w:r>
        <w:r w:rsidR="008F2A2C">
          <w:rPr>
            <w:noProof/>
            <w:webHidden/>
          </w:rPr>
          <w:instrText xml:space="preserve"> PAGEREF _Toc38211664 \h </w:instrText>
        </w:r>
        <w:r w:rsidR="008F2A2C">
          <w:rPr>
            <w:noProof/>
            <w:webHidden/>
          </w:rPr>
        </w:r>
        <w:r w:rsidR="008F2A2C">
          <w:rPr>
            <w:noProof/>
            <w:webHidden/>
          </w:rPr>
          <w:fldChar w:fldCharType="separate"/>
        </w:r>
        <w:r w:rsidR="008F2A2C">
          <w:rPr>
            <w:noProof/>
            <w:webHidden/>
          </w:rPr>
          <w:t>4</w:t>
        </w:r>
        <w:r w:rsidR="008F2A2C">
          <w:rPr>
            <w:noProof/>
            <w:webHidden/>
          </w:rPr>
          <w:fldChar w:fldCharType="end"/>
        </w:r>
      </w:hyperlink>
    </w:p>
    <w:p w14:paraId="7F7DAA1F" w14:textId="3629A98C" w:rsidR="008F2A2C" w:rsidRDefault="00791258">
      <w:pPr>
        <w:pStyle w:val="TableofFigures"/>
        <w:tabs>
          <w:tab w:val="right" w:leader="dot" w:pos="9350"/>
        </w:tabs>
        <w:rPr>
          <w:rFonts w:asciiTheme="minorHAnsi" w:eastAsiaTheme="minorEastAsia" w:hAnsiTheme="minorHAnsi" w:cstheme="minorBidi"/>
          <w:noProof/>
        </w:rPr>
      </w:pPr>
      <w:hyperlink w:anchor="_Toc38211665" w:history="1">
        <w:r w:rsidR="008F2A2C" w:rsidRPr="003230D9">
          <w:rPr>
            <w:rStyle w:val="Hyperlink"/>
            <w:rFonts w:eastAsiaTheme="majorEastAsia"/>
            <w:noProof/>
          </w:rPr>
          <w:t>Table 1.2. Distribution and application of CEM cement types in Spain in 2010.</w:t>
        </w:r>
        <w:r w:rsidR="008F2A2C">
          <w:rPr>
            <w:noProof/>
            <w:webHidden/>
          </w:rPr>
          <w:tab/>
        </w:r>
        <w:r w:rsidR="008F2A2C">
          <w:rPr>
            <w:noProof/>
            <w:webHidden/>
          </w:rPr>
          <w:fldChar w:fldCharType="begin"/>
        </w:r>
        <w:r w:rsidR="008F2A2C">
          <w:rPr>
            <w:noProof/>
            <w:webHidden/>
          </w:rPr>
          <w:instrText xml:space="preserve"> PAGEREF _Toc38211665 \h </w:instrText>
        </w:r>
        <w:r w:rsidR="008F2A2C">
          <w:rPr>
            <w:noProof/>
            <w:webHidden/>
          </w:rPr>
        </w:r>
        <w:r w:rsidR="008F2A2C">
          <w:rPr>
            <w:noProof/>
            <w:webHidden/>
          </w:rPr>
          <w:fldChar w:fldCharType="separate"/>
        </w:r>
        <w:r w:rsidR="008F2A2C">
          <w:rPr>
            <w:noProof/>
            <w:webHidden/>
          </w:rPr>
          <w:t>5</w:t>
        </w:r>
        <w:r w:rsidR="008F2A2C">
          <w:rPr>
            <w:noProof/>
            <w:webHidden/>
          </w:rPr>
          <w:fldChar w:fldCharType="end"/>
        </w:r>
      </w:hyperlink>
    </w:p>
    <w:p w14:paraId="12F462C9" w14:textId="1B153CF3" w:rsidR="008F2A2C" w:rsidRDefault="00791258">
      <w:pPr>
        <w:pStyle w:val="TableofFigures"/>
        <w:tabs>
          <w:tab w:val="right" w:leader="dot" w:pos="9350"/>
        </w:tabs>
        <w:rPr>
          <w:rFonts w:asciiTheme="minorHAnsi" w:eastAsiaTheme="minorEastAsia" w:hAnsiTheme="minorHAnsi" w:cstheme="minorBidi"/>
          <w:noProof/>
        </w:rPr>
      </w:pPr>
      <w:hyperlink w:anchor="_Toc38211666" w:history="1">
        <w:r w:rsidR="008F2A2C" w:rsidRPr="003230D9">
          <w:rPr>
            <w:rStyle w:val="Hyperlink"/>
            <w:rFonts w:eastAsiaTheme="majorEastAsia"/>
            <w:noProof/>
          </w:rPr>
          <w:t>Table 1.3 Comparison of Technologies Related to Alternative Cements.</w:t>
        </w:r>
        <w:r w:rsidR="008F2A2C">
          <w:rPr>
            <w:noProof/>
            <w:webHidden/>
          </w:rPr>
          <w:tab/>
        </w:r>
        <w:r w:rsidR="008F2A2C">
          <w:rPr>
            <w:noProof/>
            <w:webHidden/>
          </w:rPr>
          <w:fldChar w:fldCharType="begin"/>
        </w:r>
        <w:r w:rsidR="008F2A2C">
          <w:rPr>
            <w:noProof/>
            <w:webHidden/>
          </w:rPr>
          <w:instrText xml:space="preserve"> PAGEREF _Toc38211666 \h </w:instrText>
        </w:r>
        <w:r w:rsidR="008F2A2C">
          <w:rPr>
            <w:noProof/>
            <w:webHidden/>
          </w:rPr>
        </w:r>
        <w:r w:rsidR="008F2A2C">
          <w:rPr>
            <w:noProof/>
            <w:webHidden/>
          </w:rPr>
          <w:fldChar w:fldCharType="separate"/>
        </w:r>
        <w:r w:rsidR="008F2A2C">
          <w:rPr>
            <w:noProof/>
            <w:webHidden/>
          </w:rPr>
          <w:t>8</w:t>
        </w:r>
        <w:r w:rsidR="008F2A2C">
          <w:rPr>
            <w:noProof/>
            <w:webHidden/>
          </w:rPr>
          <w:fldChar w:fldCharType="end"/>
        </w:r>
      </w:hyperlink>
    </w:p>
    <w:p w14:paraId="447E6A19" w14:textId="0BC9B429" w:rsidR="008F2A2C" w:rsidRDefault="00791258">
      <w:pPr>
        <w:pStyle w:val="TableofFigures"/>
        <w:tabs>
          <w:tab w:val="right" w:leader="dot" w:pos="9350"/>
        </w:tabs>
        <w:rPr>
          <w:rFonts w:asciiTheme="minorHAnsi" w:eastAsiaTheme="minorEastAsia" w:hAnsiTheme="minorHAnsi" w:cstheme="minorBidi"/>
          <w:noProof/>
        </w:rPr>
      </w:pPr>
      <w:hyperlink w:anchor="_Toc38211667" w:history="1">
        <w:r w:rsidR="008F2A2C" w:rsidRPr="003230D9">
          <w:rPr>
            <w:rStyle w:val="Hyperlink"/>
            <w:rFonts w:eastAsiaTheme="majorEastAsia"/>
            <w:noProof/>
          </w:rPr>
          <w:t>Table 2.1. Model inputs for market share distribution of cement.</w:t>
        </w:r>
        <w:r w:rsidR="008F2A2C">
          <w:rPr>
            <w:noProof/>
            <w:webHidden/>
          </w:rPr>
          <w:tab/>
        </w:r>
        <w:r w:rsidR="008F2A2C">
          <w:rPr>
            <w:noProof/>
            <w:webHidden/>
          </w:rPr>
          <w:fldChar w:fldCharType="begin"/>
        </w:r>
        <w:r w:rsidR="008F2A2C">
          <w:rPr>
            <w:noProof/>
            <w:webHidden/>
          </w:rPr>
          <w:instrText xml:space="preserve"> PAGEREF _Toc38211667 \h </w:instrText>
        </w:r>
        <w:r w:rsidR="008F2A2C">
          <w:rPr>
            <w:noProof/>
            <w:webHidden/>
          </w:rPr>
        </w:r>
        <w:r w:rsidR="008F2A2C">
          <w:rPr>
            <w:noProof/>
            <w:webHidden/>
          </w:rPr>
          <w:fldChar w:fldCharType="separate"/>
        </w:r>
        <w:r w:rsidR="008F2A2C">
          <w:rPr>
            <w:noProof/>
            <w:webHidden/>
          </w:rPr>
          <w:t>10</w:t>
        </w:r>
        <w:r w:rsidR="008F2A2C">
          <w:rPr>
            <w:noProof/>
            <w:webHidden/>
          </w:rPr>
          <w:fldChar w:fldCharType="end"/>
        </w:r>
      </w:hyperlink>
    </w:p>
    <w:p w14:paraId="40B919F3" w14:textId="00A90F12" w:rsidR="008F2A2C" w:rsidRDefault="00791258">
      <w:pPr>
        <w:pStyle w:val="TableofFigures"/>
        <w:tabs>
          <w:tab w:val="right" w:leader="dot" w:pos="9350"/>
        </w:tabs>
        <w:rPr>
          <w:rFonts w:asciiTheme="minorHAnsi" w:eastAsiaTheme="minorEastAsia" w:hAnsiTheme="minorHAnsi" w:cstheme="minorBidi"/>
          <w:noProof/>
        </w:rPr>
      </w:pPr>
      <w:hyperlink w:anchor="_Toc38211668" w:history="1">
        <w:r w:rsidR="008F2A2C" w:rsidRPr="003230D9">
          <w:rPr>
            <w:rStyle w:val="Hyperlink"/>
            <w:rFonts w:eastAsiaTheme="majorEastAsia"/>
            <w:noProof/>
          </w:rPr>
          <w:t>Table 2.2 Climate Inputs</w:t>
        </w:r>
        <w:r w:rsidR="008F2A2C">
          <w:rPr>
            <w:noProof/>
            <w:webHidden/>
          </w:rPr>
          <w:tab/>
        </w:r>
        <w:r w:rsidR="008F2A2C">
          <w:rPr>
            <w:noProof/>
            <w:webHidden/>
          </w:rPr>
          <w:fldChar w:fldCharType="begin"/>
        </w:r>
        <w:r w:rsidR="008F2A2C">
          <w:rPr>
            <w:noProof/>
            <w:webHidden/>
          </w:rPr>
          <w:instrText xml:space="preserve"> PAGEREF _Toc38211668 \h </w:instrText>
        </w:r>
        <w:r w:rsidR="008F2A2C">
          <w:rPr>
            <w:noProof/>
            <w:webHidden/>
          </w:rPr>
        </w:r>
        <w:r w:rsidR="008F2A2C">
          <w:rPr>
            <w:noProof/>
            <w:webHidden/>
          </w:rPr>
          <w:fldChar w:fldCharType="separate"/>
        </w:r>
        <w:r w:rsidR="008F2A2C">
          <w:rPr>
            <w:noProof/>
            <w:webHidden/>
          </w:rPr>
          <w:t>14</w:t>
        </w:r>
        <w:r w:rsidR="008F2A2C">
          <w:rPr>
            <w:noProof/>
            <w:webHidden/>
          </w:rPr>
          <w:fldChar w:fldCharType="end"/>
        </w:r>
      </w:hyperlink>
    </w:p>
    <w:p w14:paraId="18254317" w14:textId="0D5B8515" w:rsidR="008F2A2C" w:rsidRDefault="00791258">
      <w:pPr>
        <w:pStyle w:val="TableofFigures"/>
        <w:tabs>
          <w:tab w:val="right" w:leader="dot" w:pos="9350"/>
        </w:tabs>
        <w:rPr>
          <w:rFonts w:asciiTheme="minorHAnsi" w:eastAsiaTheme="minorEastAsia" w:hAnsiTheme="minorHAnsi" w:cstheme="minorBidi"/>
          <w:noProof/>
        </w:rPr>
      </w:pPr>
      <w:hyperlink w:anchor="_Toc38211669" w:history="1">
        <w:r w:rsidR="008F2A2C" w:rsidRPr="003230D9">
          <w:rPr>
            <w:rStyle w:val="Hyperlink"/>
            <w:rFonts w:eastAsiaTheme="majorEastAsia"/>
            <w:noProof/>
          </w:rPr>
          <w:t>Table 2.3 Financial Inputs for Conventional Technologies</w:t>
        </w:r>
        <w:r w:rsidR="008F2A2C">
          <w:rPr>
            <w:noProof/>
            <w:webHidden/>
          </w:rPr>
          <w:tab/>
        </w:r>
        <w:r w:rsidR="008F2A2C">
          <w:rPr>
            <w:noProof/>
            <w:webHidden/>
          </w:rPr>
          <w:fldChar w:fldCharType="begin"/>
        </w:r>
        <w:r w:rsidR="008F2A2C">
          <w:rPr>
            <w:noProof/>
            <w:webHidden/>
          </w:rPr>
          <w:instrText xml:space="preserve"> PAGEREF _Toc38211669 \h </w:instrText>
        </w:r>
        <w:r w:rsidR="008F2A2C">
          <w:rPr>
            <w:noProof/>
            <w:webHidden/>
          </w:rPr>
        </w:r>
        <w:r w:rsidR="008F2A2C">
          <w:rPr>
            <w:noProof/>
            <w:webHidden/>
          </w:rPr>
          <w:fldChar w:fldCharType="separate"/>
        </w:r>
        <w:r w:rsidR="008F2A2C">
          <w:rPr>
            <w:noProof/>
            <w:webHidden/>
          </w:rPr>
          <w:t>15</w:t>
        </w:r>
        <w:r w:rsidR="008F2A2C">
          <w:rPr>
            <w:noProof/>
            <w:webHidden/>
          </w:rPr>
          <w:fldChar w:fldCharType="end"/>
        </w:r>
      </w:hyperlink>
    </w:p>
    <w:p w14:paraId="688B8B97" w14:textId="3F421597" w:rsidR="008F2A2C" w:rsidRDefault="00791258">
      <w:pPr>
        <w:pStyle w:val="TableofFigures"/>
        <w:tabs>
          <w:tab w:val="right" w:leader="dot" w:pos="9350"/>
        </w:tabs>
        <w:rPr>
          <w:rFonts w:asciiTheme="minorHAnsi" w:eastAsiaTheme="minorEastAsia" w:hAnsiTheme="minorHAnsi" w:cstheme="minorBidi"/>
          <w:noProof/>
        </w:rPr>
      </w:pPr>
      <w:hyperlink w:anchor="_Toc38211670" w:history="1">
        <w:r w:rsidR="008F2A2C" w:rsidRPr="003230D9">
          <w:rPr>
            <w:rStyle w:val="Hyperlink"/>
            <w:rFonts w:eastAsiaTheme="majorEastAsia"/>
            <w:noProof/>
          </w:rPr>
          <w:t>Table 2.4 Technical  Inputs</w:t>
        </w:r>
        <w:r w:rsidR="008F2A2C">
          <w:rPr>
            <w:noProof/>
            <w:webHidden/>
          </w:rPr>
          <w:tab/>
        </w:r>
        <w:r w:rsidR="008F2A2C">
          <w:rPr>
            <w:noProof/>
            <w:webHidden/>
          </w:rPr>
          <w:fldChar w:fldCharType="begin"/>
        </w:r>
        <w:r w:rsidR="008F2A2C">
          <w:rPr>
            <w:noProof/>
            <w:webHidden/>
          </w:rPr>
          <w:instrText xml:space="preserve"> PAGEREF _Toc38211670 \h </w:instrText>
        </w:r>
        <w:r w:rsidR="008F2A2C">
          <w:rPr>
            <w:noProof/>
            <w:webHidden/>
          </w:rPr>
        </w:r>
        <w:r w:rsidR="008F2A2C">
          <w:rPr>
            <w:noProof/>
            <w:webHidden/>
          </w:rPr>
          <w:fldChar w:fldCharType="separate"/>
        </w:r>
        <w:r w:rsidR="008F2A2C">
          <w:rPr>
            <w:noProof/>
            <w:webHidden/>
          </w:rPr>
          <w:t>16</w:t>
        </w:r>
        <w:r w:rsidR="008F2A2C">
          <w:rPr>
            <w:noProof/>
            <w:webHidden/>
          </w:rPr>
          <w:fldChar w:fldCharType="end"/>
        </w:r>
      </w:hyperlink>
    </w:p>
    <w:p w14:paraId="4C770F93" w14:textId="3A20D24D" w:rsidR="008F2A2C" w:rsidRDefault="00791258">
      <w:pPr>
        <w:pStyle w:val="TableofFigures"/>
        <w:tabs>
          <w:tab w:val="right" w:leader="dot" w:pos="9350"/>
        </w:tabs>
        <w:rPr>
          <w:rFonts w:asciiTheme="minorHAnsi" w:eastAsiaTheme="minorEastAsia" w:hAnsiTheme="minorHAnsi" w:cstheme="minorBidi"/>
          <w:noProof/>
        </w:rPr>
      </w:pPr>
      <w:hyperlink w:anchor="_Toc38211671" w:history="1">
        <w:r w:rsidR="008F2A2C" w:rsidRPr="003230D9">
          <w:rPr>
            <w:rStyle w:val="Hyperlink"/>
            <w:rFonts w:eastAsiaTheme="majorEastAsia"/>
            <w:noProof/>
          </w:rPr>
          <w:t>Table 3.1 World Adoption of the Solution</w:t>
        </w:r>
        <w:r w:rsidR="008F2A2C">
          <w:rPr>
            <w:noProof/>
            <w:webHidden/>
          </w:rPr>
          <w:tab/>
        </w:r>
        <w:r w:rsidR="008F2A2C">
          <w:rPr>
            <w:noProof/>
            <w:webHidden/>
          </w:rPr>
          <w:fldChar w:fldCharType="begin"/>
        </w:r>
        <w:r w:rsidR="008F2A2C">
          <w:rPr>
            <w:noProof/>
            <w:webHidden/>
          </w:rPr>
          <w:instrText xml:space="preserve"> PAGEREF _Toc38211671 \h </w:instrText>
        </w:r>
        <w:r w:rsidR="008F2A2C">
          <w:rPr>
            <w:noProof/>
            <w:webHidden/>
          </w:rPr>
        </w:r>
        <w:r w:rsidR="008F2A2C">
          <w:rPr>
            <w:noProof/>
            <w:webHidden/>
          </w:rPr>
          <w:fldChar w:fldCharType="separate"/>
        </w:r>
        <w:r w:rsidR="008F2A2C">
          <w:rPr>
            <w:noProof/>
            <w:webHidden/>
          </w:rPr>
          <w:t>18</w:t>
        </w:r>
        <w:r w:rsidR="008F2A2C">
          <w:rPr>
            <w:noProof/>
            <w:webHidden/>
          </w:rPr>
          <w:fldChar w:fldCharType="end"/>
        </w:r>
      </w:hyperlink>
    </w:p>
    <w:p w14:paraId="0E9D4D93" w14:textId="1B634BB5" w:rsidR="008F2A2C" w:rsidRDefault="00791258">
      <w:pPr>
        <w:pStyle w:val="TableofFigures"/>
        <w:tabs>
          <w:tab w:val="right" w:leader="dot" w:pos="9350"/>
        </w:tabs>
        <w:rPr>
          <w:rFonts w:asciiTheme="minorHAnsi" w:eastAsiaTheme="minorEastAsia" w:hAnsiTheme="minorHAnsi" w:cstheme="minorBidi"/>
          <w:noProof/>
        </w:rPr>
      </w:pPr>
      <w:hyperlink w:anchor="_Toc38211672" w:history="1">
        <w:r w:rsidR="008F2A2C" w:rsidRPr="003230D9">
          <w:rPr>
            <w:rStyle w:val="Hyperlink"/>
            <w:rFonts w:eastAsiaTheme="majorEastAsia"/>
            <w:noProof/>
          </w:rPr>
          <w:t>Table 3.2 Climate Impacts</w:t>
        </w:r>
        <w:r w:rsidR="008F2A2C">
          <w:rPr>
            <w:noProof/>
            <w:webHidden/>
          </w:rPr>
          <w:tab/>
        </w:r>
        <w:r w:rsidR="008F2A2C">
          <w:rPr>
            <w:noProof/>
            <w:webHidden/>
          </w:rPr>
          <w:fldChar w:fldCharType="begin"/>
        </w:r>
        <w:r w:rsidR="008F2A2C">
          <w:rPr>
            <w:noProof/>
            <w:webHidden/>
          </w:rPr>
          <w:instrText xml:space="preserve"> PAGEREF _Toc38211672 \h </w:instrText>
        </w:r>
        <w:r w:rsidR="008F2A2C">
          <w:rPr>
            <w:noProof/>
            <w:webHidden/>
          </w:rPr>
        </w:r>
        <w:r w:rsidR="008F2A2C">
          <w:rPr>
            <w:noProof/>
            <w:webHidden/>
          </w:rPr>
          <w:fldChar w:fldCharType="separate"/>
        </w:r>
        <w:r w:rsidR="008F2A2C">
          <w:rPr>
            <w:noProof/>
            <w:webHidden/>
          </w:rPr>
          <w:t>19</w:t>
        </w:r>
        <w:r w:rsidR="008F2A2C">
          <w:rPr>
            <w:noProof/>
            <w:webHidden/>
          </w:rPr>
          <w:fldChar w:fldCharType="end"/>
        </w:r>
      </w:hyperlink>
    </w:p>
    <w:p w14:paraId="43B5CBB5" w14:textId="3F1B80ED" w:rsidR="008F2A2C" w:rsidRDefault="00791258">
      <w:pPr>
        <w:pStyle w:val="TableofFigures"/>
        <w:tabs>
          <w:tab w:val="right" w:leader="dot" w:pos="9350"/>
        </w:tabs>
        <w:rPr>
          <w:rFonts w:asciiTheme="minorHAnsi" w:eastAsiaTheme="minorEastAsia" w:hAnsiTheme="minorHAnsi" w:cstheme="minorBidi"/>
          <w:noProof/>
        </w:rPr>
      </w:pPr>
      <w:hyperlink w:anchor="_Toc38211673" w:history="1">
        <w:r w:rsidR="008F2A2C" w:rsidRPr="003230D9">
          <w:rPr>
            <w:rStyle w:val="Hyperlink"/>
            <w:rFonts w:eastAsiaTheme="majorEastAsia"/>
            <w:noProof/>
          </w:rPr>
          <w:t>Table 3.3 Impacts on Atmospheric Concentrations of CO</w:t>
        </w:r>
        <w:r w:rsidR="008F2A2C" w:rsidRPr="003230D9">
          <w:rPr>
            <w:rStyle w:val="Hyperlink"/>
            <w:rFonts w:eastAsiaTheme="majorEastAsia"/>
            <w:noProof/>
            <w:vertAlign w:val="subscript"/>
          </w:rPr>
          <w:t>2</w:t>
        </w:r>
        <w:r w:rsidR="008F2A2C" w:rsidRPr="003230D9">
          <w:rPr>
            <w:rStyle w:val="Hyperlink"/>
            <w:rFonts w:eastAsiaTheme="majorEastAsia"/>
            <w:noProof/>
          </w:rPr>
          <w:t>-eq</w:t>
        </w:r>
        <w:r w:rsidR="008F2A2C">
          <w:rPr>
            <w:noProof/>
            <w:webHidden/>
          </w:rPr>
          <w:tab/>
        </w:r>
        <w:r w:rsidR="008F2A2C">
          <w:rPr>
            <w:noProof/>
            <w:webHidden/>
          </w:rPr>
          <w:fldChar w:fldCharType="begin"/>
        </w:r>
        <w:r w:rsidR="008F2A2C">
          <w:rPr>
            <w:noProof/>
            <w:webHidden/>
          </w:rPr>
          <w:instrText xml:space="preserve"> PAGEREF _Toc38211673 \h </w:instrText>
        </w:r>
        <w:r w:rsidR="008F2A2C">
          <w:rPr>
            <w:noProof/>
            <w:webHidden/>
          </w:rPr>
        </w:r>
        <w:r w:rsidR="008F2A2C">
          <w:rPr>
            <w:noProof/>
            <w:webHidden/>
          </w:rPr>
          <w:fldChar w:fldCharType="separate"/>
        </w:r>
        <w:r w:rsidR="008F2A2C">
          <w:rPr>
            <w:noProof/>
            <w:webHidden/>
          </w:rPr>
          <w:t>20</w:t>
        </w:r>
        <w:r w:rsidR="008F2A2C">
          <w:rPr>
            <w:noProof/>
            <w:webHidden/>
          </w:rPr>
          <w:fldChar w:fldCharType="end"/>
        </w:r>
      </w:hyperlink>
    </w:p>
    <w:p w14:paraId="3054A749" w14:textId="78AF699D" w:rsidR="008F2A2C" w:rsidRDefault="00791258">
      <w:pPr>
        <w:pStyle w:val="TableofFigures"/>
        <w:tabs>
          <w:tab w:val="right" w:leader="dot" w:pos="9350"/>
        </w:tabs>
        <w:rPr>
          <w:rFonts w:asciiTheme="minorHAnsi" w:eastAsiaTheme="minorEastAsia" w:hAnsiTheme="minorHAnsi" w:cstheme="minorBidi"/>
          <w:noProof/>
        </w:rPr>
      </w:pPr>
      <w:hyperlink w:anchor="_Toc38211674" w:history="1">
        <w:r w:rsidR="008F2A2C" w:rsidRPr="003230D9">
          <w:rPr>
            <w:rStyle w:val="Hyperlink"/>
            <w:rFonts w:eastAsiaTheme="majorEastAsia"/>
            <w:noProof/>
          </w:rPr>
          <w:t>Table 3.4 Financial Impacts</w:t>
        </w:r>
        <w:r w:rsidR="008F2A2C">
          <w:rPr>
            <w:noProof/>
            <w:webHidden/>
          </w:rPr>
          <w:tab/>
        </w:r>
        <w:r w:rsidR="008F2A2C">
          <w:rPr>
            <w:noProof/>
            <w:webHidden/>
          </w:rPr>
          <w:fldChar w:fldCharType="begin"/>
        </w:r>
        <w:r w:rsidR="008F2A2C">
          <w:rPr>
            <w:noProof/>
            <w:webHidden/>
          </w:rPr>
          <w:instrText xml:space="preserve"> PAGEREF _Toc38211674 \h </w:instrText>
        </w:r>
        <w:r w:rsidR="008F2A2C">
          <w:rPr>
            <w:noProof/>
            <w:webHidden/>
          </w:rPr>
        </w:r>
        <w:r w:rsidR="008F2A2C">
          <w:rPr>
            <w:noProof/>
            <w:webHidden/>
          </w:rPr>
          <w:fldChar w:fldCharType="separate"/>
        </w:r>
        <w:r w:rsidR="008F2A2C">
          <w:rPr>
            <w:noProof/>
            <w:webHidden/>
          </w:rPr>
          <w:t>21</w:t>
        </w:r>
        <w:r w:rsidR="008F2A2C">
          <w:rPr>
            <w:noProof/>
            <w:webHidden/>
          </w:rPr>
          <w:fldChar w:fldCharType="end"/>
        </w:r>
      </w:hyperlink>
    </w:p>
    <w:p w14:paraId="3AA26EC4" w14:textId="671DCFBD" w:rsidR="008F2A2C" w:rsidRDefault="00791258">
      <w:pPr>
        <w:pStyle w:val="TableofFigures"/>
        <w:tabs>
          <w:tab w:val="right" w:leader="dot" w:pos="9350"/>
        </w:tabs>
        <w:rPr>
          <w:rFonts w:asciiTheme="minorHAnsi" w:eastAsiaTheme="minorEastAsia" w:hAnsiTheme="minorHAnsi" w:cstheme="minorBidi"/>
          <w:noProof/>
        </w:rPr>
      </w:pPr>
      <w:hyperlink w:anchor="_Toc38211675" w:history="1">
        <w:r w:rsidR="008F2A2C" w:rsidRPr="003230D9">
          <w:rPr>
            <w:rStyle w:val="Hyperlink"/>
            <w:rFonts w:eastAsiaTheme="majorEastAsia"/>
            <w:noProof/>
          </w:rPr>
          <w:t>Table 4.1 Benchmarks</w:t>
        </w:r>
        <w:r w:rsidR="008F2A2C">
          <w:rPr>
            <w:noProof/>
            <w:webHidden/>
          </w:rPr>
          <w:tab/>
        </w:r>
        <w:r w:rsidR="008F2A2C">
          <w:rPr>
            <w:noProof/>
            <w:webHidden/>
          </w:rPr>
          <w:fldChar w:fldCharType="begin"/>
        </w:r>
        <w:r w:rsidR="008F2A2C">
          <w:rPr>
            <w:noProof/>
            <w:webHidden/>
          </w:rPr>
          <w:instrText xml:space="preserve"> PAGEREF _Toc38211675 \h </w:instrText>
        </w:r>
        <w:r w:rsidR="008F2A2C">
          <w:rPr>
            <w:noProof/>
            <w:webHidden/>
          </w:rPr>
        </w:r>
        <w:r w:rsidR="008F2A2C">
          <w:rPr>
            <w:noProof/>
            <w:webHidden/>
          </w:rPr>
          <w:fldChar w:fldCharType="separate"/>
        </w:r>
        <w:r w:rsidR="008F2A2C">
          <w:rPr>
            <w:noProof/>
            <w:webHidden/>
          </w:rPr>
          <w:t>23</w:t>
        </w:r>
        <w:r w:rsidR="008F2A2C">
          <w:rPr>
            <w:noProof/>
            <w:webHidden/>
          </w:rPr>
          <w:fldChar w:fldCharType="end"/>
        </w:r>
      </w:hyperlink>
    </w:p>
    <w:p w14:paraId="59531BD3" w14:textId="0480277A" w:rsidR="006A4A08" w:rsidRPr="003A0234" w:rsidRDefault="006A4A08" w:rsidP="003A0234">
      <w:r w:rsidRPr="003A0234">
        <w:fldChar w:fldCharType="end"/>
      </w:r>
    </w:p>
    <w:p w14:paraId="4825AD3F" w14:textId="40954F23" w:rsidR="00640665" w:rsidRDefault="00640665" w:rsidP="00EB247F">
      <w:pPr>
        <w:rPr>
          <w:rFonts w:asciiTheme="majorHAnsi" w:eastAsiaTheme="majorEastAsia" w:hAnsiTheme="majorHAnsi" w:cstheme="majorBidi"/>
          <w:b/>
          <w:bCs/>
          <w:smallCaps/>
          <w:color w:val="000000" w:themeColor="text1"/>
          <w:sz w:val="36"/>
          <w:szCs w:val="36"/>
        </w:rPr>
      </w:pPr>
      <w:r>
        <w:br w:type="page"/>
      </w:r>
    </w:p>
    <w:p w14:paraId="314CD877" w14:textId="0A90708E" w:rsidR="00FA6897" w:rsidRDefault="2D56E7D4" w:rsidP="00EB247F">
      <w:pPr>
        <w:pStyle w:val="Heading1"/>
        <w:numPr>
          <w:ilvl w:val="0"/>
          <w:numId w:val="0"/>
        </w:numPr>
        <w:ind w:left="720" w:hanging="360"/>
      </w:pPr>
      <w:bookmarkStart w:id="2" w:name="_Toc38211619"/>
      <w:r>
        <w:lastRenderedPageBreak/>
        <w:t>Acronyms and Symbols Used</w:t>
      </w:r>
      <w:bookmarkEnd w:id="2"/>
    </w:p>
    <w:p w14:paraId="04ABF638" w14:textId="5618E09E" w:rsidR="004E12B3" w:rsidRDefault="004E12B3" w:rsidP="004E12B3">
      <w:pPr>
        <w:pStyle w:val="ListParagraph"/>
        <w:numPr>
          <w:ilvl w:val="0"/>
          <w:numId w:val="30"/>
        </w:numPr>
        <w:rPr>
          <w:bCs/>
        </w:rPr>
      </w:pPr>
      <w:r w:rsidRPr="00287AED">
        <w:rPr>
          <w:b/>
        </w:rPr>
        <w:t>AAC</w:t>
      </w:r>
      <w:r>
        <w:rPr>
          <w:bCs/>
        </w:rPr>
        <w:t xml:space="preserve"> – al</w:t>
      </w:r>
      <w:r w:rsidRPr="00287AED">
        <w:rPr>
          <w:bCs/>
        </w:rPr>
        <w:t>kali activated cement</w:t>
      </w:r>
    </w:p>
    <w:p w14:paraId="5EB2FB29" w14:textId="130E3FA2" w:rsidR="00B01575" w:rsidRDefault="00B01575" w:rsidP="004E12B3">
      <w:pPr>
        <w:pStyle w:val="ListParagraph"/>
        <w:numPr>
          <w:ilvl w:val="0"/>
          <w:numId w:val="30"/>
        </w:numPr>
        <w:rPr>
          <w:bCs/>
        </w:rPr>
      </w:pPr>
      <w:r>
        <w:rPr>
          <w:b/>
        </w:rPr>
        <w:t xml:space="preserve">BYF </w:t>
      </w:r>
      <w:r>
        <w:rPr>
          <w:bCs/>
        </w:rPr>
        <w:t>– belite clinkers with ye’elimite</w:t>
      </w:r>
    </w:p>
    <w:p w14:paraId="103E7839" w14:textId="0F66A1CE" w:rsidR="004E12B3" w:rsidRPr="00287AED" w:rsidRDefault="004E12B3" w:rsidP="004E12B3">
      <w:pPr>
        <w:pStyle w:val="ListParagraph"/>
        <w:numPr>
          <w:ilvl w:val="0"/>
          <w:numId w:val="30"/>
        </w:numPr>
        <w:rPr>
          <w:bCs/>
        </w:rPr>
      </w:pPr>
      <w:r>
        <w:rPr>
          <w:b/>
        </w:rPr>
        <w:t>IEA</w:t>
      </w:r>
      <w:r>
        <w:rPr>
          <w:bCs/>
        </w:rPr>
        <w:t xml:space="preserve"> – International Energy Agency</w:t>
      </w:r>
    </w:p>
    <w:p w14:paraId="4F450655" w14:textId="1EBDAE7A" w:rsidR="00FC62F5" w:rsidRDefault="00FC62F5" w:rsidP="00FC62F5">
      <w:pPr>
        <w:pStyle w:val="ListParagraph"/>
        <w:numPr>
          <w:ilvl w:val="0"/>
          <w:numId w:val="30"/>
        </w:numPr>
        <w:rPr>
          <w:bCs/>
        </w:rPr>
      </w:pPr>
      <w:r w:rsidRPr="00287AED">
        <w:rPr>
          <w:b/>
        </w:rPr>
        <w:t>CACS</w:t>
      </w:r>
      <w:r>
        <w:rPr>
          <w:bCs/>
        </w:rPr>
        <w:t xml:space="preserve"> – c</w:t>
      </w:r>
      <w:r w:rsidRPr="00287AED">
        <w:rPr>
          <w:bCs/>
        </w:rPr>
        <w:t>arbonation of calcium silicates</w:t>
      </w:r>
    </w:p>
    <w:p w14:paraId="6DDB4D5E" w14:textId="045F0AB0" w:rsidR="00877933" w:rsidRDefault="00877933" w:rsidP="00FC62F5">
      <w:pPr>
        <w:pStyle w:val="ListParagraph"/>
        <w:numPr>
          <w:ilvl w:val="0"/>
          <w:numId w:val="30"/>
        </w:numPr>
        <w:rPr>
          <w:bCs/>
        </w:rPr>
      </w:pPr>
      <w:r>
        <w:rPr>
          <w:b/>
        </w:rPr>
        <w:t xml:space="preserve">CEM </w:t>
      </w:r>
      <w:r>
        <w:rPr>
          <w:bCs/>
        </w:rPr>
        <w:t xml:space="preserve">– cement </w:t>
      </w:r>
    </w:p>
    <w:p w14:paraId="6C745738" w14:textId="247DE0E4" w:rsidR="00FC62F5" w:rsidRDefault="00FC62F5" w:rsidP="00FC62F5">
      <w:pPr>
        <w:pStyle w:val="ListParagraph"/>
        <w:numPr>
          <w:ilvl w:val="0"/>
          <w:numId w:val="30"/>
        </w:numPr>
        <w:rPr>
          <w:bCs/>
        </w:rPr>
      </w:pPr>
      <w:r>
        <w:rPr>
          <w:b/>
        </w:rPr>
        <w:t>CH</w:t>
      </w:r>
      <w:r>
        <w:rPr>
          <w:bCs/>
        </w:rPr>
        <w:t xml:space="preserve"> – calcium hydroxide</w:t>
      </w:r>
    </w:p>
    <w:p w14:paraId="0C293F5B" w14:textId="6501319C" w:rsidR="00FC62F5" w:rsidRPr="00997EB4" w:rsidRDefault="00FC62F5" w:rsidP="00FC62F5">
      <w:pPr>
        <w:pStyle w:val="ListParagraph"/>
        <w:numPr>
          <w:ilvl w:val="0"/>
          <w:numId w:val="30"/>
        </w:numPr>
        <w:rPr>
          <w:bCs/>
          <w:lang w:val="pt-PT"/>
        </w:rPr>
      </w:pPr>
      <w:r w:rsidRPr="00997EB4">
        <w:rPr>
          <w:b/>
          <w:lang w:val="pt-PT"/>
        </w:rPr>
        <w:t>C-S-H</w:t>
      </w:r>
      <w:r w:rsidRPr="00997EB4">
        <w:rPr>
          <w:bCs/>
          <w:lang w:val="pt-PT"/>
        </w:rPr>
        <w:t xml:space="preserve"> – calcium silicate hydrate</w:t>
      </w:r>
    </w:p>
    <w:p w14:paraId="0AFF1691" w14:textId="4D29C6A5" w:rsidR="00287AED" w:rsidRDefault="00287AED" w:rsidP="00287AED">
      <w:pPr>
        <w:pStyle w:val="ListParagraph"/>
        <w:numPr>
          <w:ilvl w:val="0"/>
          <w:numId w:val="30"/>
        </w:numPr>
        <w:rPr>
          <w:bCs/>
        </w:rPr>
      </w:pPr>
      <w:r w:rsidRPr="00287AED">
        <w:rPr>
          <w:b/>
        </w:rPr>
        <w:t>CSAB</w:t>
      </w:r>
      <w:r>
        <w:rPr>
          <w:bCs/>
        </w:rPr>
        <w:t xml:space="preserve"> – </w:t>
      </w:r>
      <w:r w:rsidRPr="00287AED">
        <w:rPr>
          <w:bCs/>
        </w:rPr>
        <w:t xml:space="preserve">calcium sulphoaluminate belite </w:t>
      </w:r>
    </w:p>
    <w:p w14:paraId="56B6976F" w14:textId="4A878590" w:rsidR="00877933" w:rsidRDefault="00877933" w:rsidP="00287AED">
      <w:pPr>
        <w:pStyle w:val="ListParagraph"/>
        <w:numPr>
          <w:ilvl w:val="0"/>
          <w:numId w:val="30"/>
        </w:numPr>
        <w:rPr>
          <w:bCs/>
        </w:rPr>
      </w:pPr>
      <w:r>
        <w:rPr>
          <w:b/>
        </w:rPr>
        <w:t xml:space="preserve">EN </w:t>
      </w:r>
      <w:r>
        <w:rPr>
          <w:bCs/>
        </w:rPr>
        <w:t>– European standard</w:t>
      </w:r>
    </w:p>
    <w:p w14:paraId="4C1BD029" w14:textId="5C34C7FB" w:rsidR="00877933" w:rsidRDefault="00877933" w:rsidP="00287AED">
      <w:pPr>
        <w:pStyle w:val="ListParagraph"/>
        <w:numPr>
          <w:ilvl w:val="0"/>
          <w:numId w:val="30"/>
        </w:numPr>
        <w:rPr>
          <w:bCs/>
        </w:rPr>
      </w:pPr>
      <w:r>
        <w:rPr>
          <w:b/>
        </w:rPr>
        <w:t xml:space="preserve">IEA </w:t>
      </w:r>
      <w:r>
        <w:rPr>
          <w:bCs/>
        </w:rPr>
        <w:t>– International Energy Agency</w:t>
      </w:r>
    </w:p>
    <w:p w14:paraId="1F8E76E8" w14:textId="2ACDA150" w:rsidR="00E82C20" w:rsidRDefault="00E82C20" w:rsidP="00287AED">
      <w:pPr>
        <w:pStyle w:val="ListParagraph"/>
        <w:numPr>
          <w:ilvl w:val="0"/>
          <w:numId w:val="30"/>
        </w:numPr>
        <w:rPr>
          <w:bCs/>
        </w:rPr>
      </w:pPr>
      <w:r>
        <w:rPr>
          <w:b/>
        </w:rPr>
        <w:t xml:space="preserve">GJ </w:t>
      </w:r>
      <w:r>
        <w:rPr>
          <w:bCs/>
        </w:rPr>
        <w:t>– gigajoules</w:t>
      </w:r>
    </w:p>
    <w:p w14:paraId="2DB2352F" w14:textId="709D3AAA" w:rsidR="009B0EFA" w:rsidRPr="00287AED" w:rsidRDefault="009B0EFA" w:rsidP="00287AED">
      <w:pPr>
        <w:pStyle w:val="ListParagraph"/>
        <w:numPr>
          <w:ilvl w:val="0"/>
          <w:numId w:val="30"/>
        </w:numPr>
        <w:rPr>
          <w:bCs/>
        </w:rPr>
      </w:pPr>
      <w:r>
        <w:rPr>
          <w:b/>
        </w:rPr>
        <w:t xml:space="preserve">LC3 </w:t>
      </w:r>
      <w:r>
        <w:rPr>
          <w:bCs/>
        </w:rPr>
        <w:t>– limestone calcined clay cement</w:t>
      </w:r>
    </w:p>
    <w:p w14:paraId="636102D8" w14:textId="1BB6F53C" w:rsidR="003B51EC" w:rsidRPr="003B51EC" w:rsidRDefault="00287AED" w:rsidP="003B51EC">
      <w:pPr>
        <w:pStyle w:val="ListParagraph"/>
        <w:numPr>
          <w:ilvl w:val="0"/>
          <w:numId w:val="30"/>
        </w:numPr>
      </w:pPr>
      <w:r w:rsidRPr="00287AED">
        <w:rPr>
          <w:b/>
        </w:rPr>
        <w:t>MOM</w:t>
      </w:r>
      <w:r w:rsidR="004E12B3">
        <w:rPr>
          <w:b/>
        </w:rPr>
        <w:t>s</w:t>
      </w:r>
      <w:r>
        <w:rPr>
          <w:bCs/>
        </w:rPr>
        <w:t xml:space="preserve"> – m</w:t>
      </w:r>
      <w:r w:rsidRPr="00287AED">
        <w:rPr>
          <w:bCs/>
        </w:rPr>
        <w:t>agnesium oxide derived from magnesium silicate</w:t>
      </w:r>
      <w:r>
        <w:rPr>
          <w:bCs/>
        </w:rPr>
        <w:t>s</w:t>
      </w:r>
    </w:p>
    <w:p w14:paraId="54EAAD54" w14:textId="1BF8C5E6" w:rsidR="003B51EC" w:rsidRPr="00612982" w:rsidRDefault="003B51EC" w:rsidP="003B51EC">
      <w:pPr>
        <w:pStyle w:val="ListParagraph"/>
        <w:numPr>
          <w:ilvl w:val="0"/>
          <w:numId w:val="30"/>
        </w:numPr>
      </w:pPr>
      <w:r>
        <w:rPr>
          <w:b/>
        </w:rPr>
        <w:t>OPC</w:t>
      </w:r>
      <w:r>
        <w:rPr>
          <w:bCs/>
        </w:rPr>
        <w:t xml:space="preserve"> – ordinary portland cement</w:t>
      </w:r>
    </w:p>
    <w:p w14:paraId="31CCB7B0" w14:textId="6FE8C1B8" w:rsidR="00612982" w:rsidRDefault="00612982" w:rsidP="003B51EC">
      <w:pPr>
        <w:pStyle w:val="ListParagraph"/>
        <w:numPr>
          <w:ilvl w:val="0"/>
          <w:numId w:val="30"/>
        </w:numPr>
      </w:pPr>
      <w:r>
        <w:rPr>
          <w:b/>
        </w:rPr>
        <w:t xml:space="preserve">PDS </w:t>
      </w:r>
      <w:r>
        <w:t>– Project Drawdown Scenario</w:t>
      </w:r>
    </w:p>
    <w:p w14:paraId="4F5CB25E" w14:textId="011DC17D" w:rsidR="00877933" w:rsidRPr="00E52E70" w:rsidRDefault="00877933" w:rsidP="003B51EC">
      <w:pPr>
        <w:pStyle w:val="ListParagraph"/>
        <w:numPr>
          <w:ilvl w:val="0"/>
          <w:numId w:val="30"/>
        </w:numPr>
      </w:pPr>
      <w:r>
        <w:rPr>
          <w:b/>
        </w:rPr>
        <w:t xml:space="preserve">REF </w:t>
      </w:r>
      <w:r>
        <w:t>– Reference</w:t>
      </w:r>
    </w:p>
    <w:p w14:paraId="611B3294" w14:textId="63D25208" w:rsidR="00E52E70" w:rsidRPr="003B51EC" w:rsidRDefault="00E52E70" w:rsidP="003B51EC">
      <w:pPr>
        <w:pStyle w:val="ListParagraph"/>
        <w:numPr>
          <w:ilvl w:val="0"/>
          <w:numId w:val="30"/>
        </w:numPr>
      </w:pPr>
      <w:r>
        <w:rPr>
          <w:b/>
        </w:rPr>
        <w:t xml:space="preserve">SCM </w:t>
      </w:r>
      <w:r>
        <w:t>– supplementary cementitious material</w:t>
      </w:r>
    </w:p>
    <w:p w14:paraId="14B8BE12" w14:textId="1111651F" w:rsidR="003B51EC" w:rsidRPr="00287AED" w:rsidRDefault="003B51EC" w:rsidP="003B51EC">
      <w:pPr>
        <w:pStyle w:val="ListParagraph"/>
        <w:numPr>
          <w:ilvl w:val="0"/>
          <w:numId w:val="30"/>
        </w:numPr>
      </w:pPr>
      <w:r w:rsidRPr="00287AED">
        <w:rPr>
          <w:b/>
          <w:bCs/>
        </w:rPr>
        <w:t>TAM</w:t>
      </w:r>
      <w:r w:rsidRPr="00287AED">
        <w:t xml:space="preserve"> – total addressable market</w:t>
      </w:r>
    </w:p>
    <w:p w14:paraId="25BC328C" w14:textId="0E6082B9" w:rsidR="00FB2C53" w:rsidRPr="00287AED" w:rsidRDefault="00FB2C53" w:rsidP="00287AED">
      <w:pPr>
        <w:pStyle w:val="ListParagraph"/>
        <w:numPr>
          <w:ilvl w:val="0"/>
          <w:numId w:val="30"/>
        </w:numPr>
        <w:rPr>
          <w:bCs/>
        </w:rPr>
      </w:pPr>
      <w:r>
        <w:br w:type="page"/>
      </w:r>
    </w:p>
    <w:p w14:paraId="258D1C7E" w14:textId="73E7FC05" w:rsidR="00E844EA" w:rsidRDefault="551A77D0" w:rsidP="00EB247F">
      <w:pPr>
        <w:pStyle w:val="Heading1"/>
        <w:numPr>
          <w:ilvl w:val="0"/>
          <w:numId w:val="0"/>
        </w:numPr>
      </w:pPr>
      <w:bookmarkStart w:id="3" w:name="_Toc38211620"/>
      <w:r>
        <w:t>Executive Summary</w:t>
      </w:r>
      <w:bookmarkEnd w:id="3"/>
    </w:p>
    <w:p w14:paraId="66E29F1A" w14:textId="4854610B" w:rsidR="002E3A2F" w:rsidRDefault="00D3770E" w:rsidP="002E3A2F">
      <w:r>
        <w:t>Alternative cement is a Drawdown Solution that has significant potential to reduce carbon emissions of the cement industry</w:t>
      </w:r>
      <w:r w:rsidR="00767918">
        <w:t>,</w:t>
      </w:r>
      <w:r>
        <w:t xml:space="preserve"> </w:t>
      </w:r>
      <w:r w:rsidRPr="00767918">
        <w:t xml:space="preserve">which </w:t>
      </w:r>
      <w:r w:rsidR="000B36A6" w:rsidRPr="00767918">
        <w:t>is</w:t>
      </w:r>
      <w:r w:rsidRPr="00767918">
        <w:t xml:space="preserve"> responsible</w:t>
      </w:r>
      <w:r>
        <w:t xml:space="preserve"> for 6% of global carbon emissions.</w:t>
      </w:r>
      <w:r w:rsidR="00160791">
        <w:t xml:space="preserve"> Cement is a material ubiquitous </w:t>
      </w:r>
      <w:r w:rsidR="00BA3985">
        <w:t>in</w:t>
      </w:r>
      <w:r w:rsidR="00160791">
        <w:t xml:space="preserve"> the construction industry and is the primary material used in concrete and mortar.</w:t>
      </w:r>
      <w:r>
        <w:t xml:space="preserve"> Alternative cements are a suite of solutions that include </w:t>
      </w:r>
      <w:r w:rsidR="00877933">
        <w:t>reducing</w:t>
      </w:r>
      <w:r>
        <w:t xml:space="preserve"> the electricity and thermal </w:t>
      </w:r>
      <w:r w:rsidRPr="000B36A6">
        <w:t>intensity</w:t>
      </w:r>
      <w:r>
        <w:t xml:space="preserve"> of clinker production, in addition to the reduction of clinker demand through the use of alternative clinker materials. To reduce the electricity and thermal intensity of clinker, manufacturers should adopt more efficient kilns (e.g., dry kilns rather than wet kilns). </w:t>
      </w:r>
      <w:r w:rsidR="00BA3985">
        <w:t>Additionally, m</w:t>
      </w:r>
      <w:r w:rsidR="00160791">
        <w:t>any</w:t>
      </w:r>
      <w:r>
        <w:t xml:space="preserve"> alternative clinker materials exist and have the ability to reduce the carbon emissions of cement. Examples include waste materials such as fly ash and slag which can replace between 20% and 80% of clinker in cement, depending upon the </w:t>
      </w:r>
      <w:r w:rsidR="00160791">
        <w:t xml:space="preserve">intended </w:t>
      </w:r>
      <w:r>
        <w:t>application</w:t>
      </w:r>
      <w:r w:rsidR="00160791">
        <w:t xml:space="preserve">. </w:t>
      </w:r>
    </w:p>
    <w:p w14:paraId="5886F1E9" w14:textId="186164F0" w:rsidR="00160791" w:rsidRDefault="00160791" w:rsidP="00160791">
      <w:pPr>
        <w:rPr>
          <w:color w:val="000000" w:themeColor="text1"/>
        </w:rPr>
      </w:pPr>
      <w:r w:rsidRPr="007F1669">
        <w:rPr>
          <w:color w:val="000000" w:themeColor="text1"/>
        </w:rPr>
        <w:t xml:space="preserve">The Solution is modeled by </w:t>
      </w:r>
      <w:r>
        <w:rPr>
          <w:color w:val="000000" w:themeColor="text1"/>
        </w:rPr>
        <w:t>evaluating the global clinker to cement</w:t>
      </w:r>
      <w:r w:rsidRPr="007F1669">
        <w:rPr>
          <w:color w:val="000000" w:themeColor="text1"/>
        </w:rPr>
        <w:t xml:space="preserve"> </w:t>
      </w:r>
      <w:r>
        <w:rPr>
          <w:color w:val="000000" w:themeColor="text1"/>
        </w:rPr>
        <w:t xml:space="preserve">ratio and </w:t>
      </w:r>
      <w:r w:rsidR="00767918">
        <w:rPr>
          <w:color w:val="000000" w:themeColor="text1"/>
        </w:rPr>
        <w:t>how</w:t>
      </w:r>
      <w:r>
        <w:rPr>
          <w:color w:val="000000" w:themeColor="text1"/>
        </w:rPr>
        <w:t xml:space="preserve"> alternative cements can replace clinker, resulting in a reduction </w:t>
      </w:r>
      <w:r w:rsidR="00767918">
        <w:rPr>
          <w:color w:val="000000" w:themeColor="text1"/>
        </w:rPr>
        <w:t>to</w:t>
      </w:r>
      <w:r>
        <w:rPr>
          <w:color w:val="000000" w:themeColor="text1"/>
        </w:rPr>
        <w:t xml:space="preserve"> the</w:t>
      </w:r>
      <w:r w:rsidR="00767918">
        <w:rPr>
          <w:color w:val="000000" w:themeColor="text1"/>
        </w:rPr>
        <w:t xml:space="preserve"> average</w:t>
      </w:r>
      <w:r>
        <w:rPr>
          <w:color w:val="000000" w:themeColor="text1"/>
        </w:rPr>
        <w:t xml:space="preserve"> clinker to cement ratio. </w:t>
      </w:r>
      <w:r w:rsidRPr="007F1669">
        <w:rPr>
          <w:color w:val="000000" w:themeColor="text1"/>
        </w:rPr>
        <w:t xml:space="preserve">The adoption prognostication model constructs four scenarios for future </w:t>
      </w:r>
      <w:r>
        <w:rPr>
          <w:color w:val="000000" w:themeColor="text1"/>
        </w:rPr>
        <w:t>adoption of alternative cements</w:t>
      </w:r>
      <w:r w:rsidRPr="007F1669">
        <w:rPr>
          <w:color w:val="000000" w:themeColor="text1"/>
        </w:rPr>
        <w:t xml:space="preserve">. A reference (REF) growth scenario is constructed which fixes the </w:t>
      </w:r>
      <w:r>
        <w:rPr>
          <w:color w:val="000000" w:themeColor="text1"/>
        </w:rPr>
        <w:t>current clinker to cement ratio</w:t>
      </w:r>
      <w:r w:rsidRPr="007F1669">
        <w:rPr>
          <w:color w:val="000000" w:themeColor="text1"/>
        </w:rPr>
        <w:t>. Three Project Drawdown Scenario</w:t>
      </w:r>
      <w:r w:rsidR="00767918">
        <w:rPr>
          <w:color w:val="000000" w:themeColor="text1"/>
        </w:rPr>
        <w:t>s</w:t>
      </w:r>
      <w:r w:rsidRPr="007F1669">
        <w:rPr>
          <w:color w:val="000000" w:themeColor="text1"/>
        </w:rPr>
        <w:t xml:space="preserve"> (PDS</w:t>
      </w:r>
      <w:r w:rsidR="00767918">
        <w:rPr>
          <w:color w:val="000000" w:themeColor="text1"/>
        </w:rPr>
        <w:t>s</w:t>
      </w:r>
      <w:r w:rsidRPr="007F1669">
        <w:rPr>
          <w:color w:val="000000" w:themeColor="text1"/>
        </w:rPr>
        <w:t>) were built upon a</w:t>
      </w:r>
      <w:r>
        <w:rPr>
          <w:color w:val="000000" w:themeColor="text1"/>
        </w:rPr>
        <w:t xml:space="preserve"> reduction in the clinker intensity of cement which align to existing </w:t>
      </w:r>
      <w:r w:rsidR="00BA3985">
        <w:rPr>
          <w:color w:val="000000" w:themeColor="text1"/>
        </w:rPr>
        <w:t xml:space="preserve">international </w:t>
      </w:r>
      <w:r>
        <w:rPr>
          <w:color w:val="000000" w:themeColor="text1"/>
        </w:rPr>
        <w:t>cement standards.</w:t>
      </w:r>
    </w:p>
    <w:p w14:paraId="38DBD2DC" w14:textId="6DE79EAF" w:rsidR="00160791" w:rsidRDefault="00160791" w:rsidP="00160791">
      <w:pPr>
        <w:rPr>
          <w:color w:val="000000" w:themeColor="text1"/>
        </w:rPr>
      </w:pPr>
      <w:r>
        <w:rPr>
          <w:color w:val="000000" w:themeColor="text1"/>
        </w:rPr>
        <w:t xml:space="preserve">Comparing each of the PDS scenarios to </w:t>
      </w:r>
      <w:r w:rsidRPr="00767918">
        <w:rPr>
          <w:color w:val="000000" w:themeColor="text1"/>
        </w:rPr>
        <w:t xml:space="preserve">the REF scenario yields the climate and financial impacts of Alternative Cement adoption. The </w:t>
      </w:r>
      <w:r w:rsidR="00767918" w:rsidRPr="00767918">
        <w:rPr>
          <w:color w:val="000000" w:themeColor="text1"/>
        </w:rPr>
        <w:t>least</w:t>
      </w:r>
      <w:r w:rsidRPr="00767918">
        <w:rPr>
          <w:color w:val="000000" w:themeColor="text1"/>
        </w:rPr>
        <w:t xml:space="preserve"> aggressive PDS (the Plausible Scenario) </w:t>
      </w:r>
      <w:r w:rsidR="00767918">
        <w:rPr>
          <w:color w:val="000000" w:themeColor="text1"/>
        </w:rPr>
        <w:t>utilized</w:t>
      </w:r>
      <w:r w:rsidR="00767918" w:rsidRPr="00767918">
        <w:rPr>
          <w:color w:val="000000" w:themeColor="text1"/>
        </w:rPr>
        <w:t xml:space="preserve"> </w:t>
      </w:r>
      <w:r w:rsidRPr="00767918">
        <w:rPr>
          <w:color w:val="000000" w:themeColor="text1"/>
        </w:rPr>
        <w:t>a clinker to cement ratio of 0.60 in 2050, and the most aggressive</w:t>
      </w:r>
      <w:r w:rsidR="00767918" w:rsidRPr="00767918">
        <w:rPr>
          <w:color w:val="000000" w:themeColor="text1"/>
        </w:rPr>
        <w:t xml:space="preserve"> PDS </w:t>
      </w:r>
      <w:r w:rsidRPr="00767918">
        <w:rPr>
          <w:color w:val="000000" w:themeColor="text1"/>
        </w:rPr>
        <w:t xml:space="preserve">(the Optimum Scenario) </w:t>
      </w:r>
      <w:r w:rsidR="00767918">
        <w:rPr>
          <w:color w:val="000000" w:themeColor="text1"/>
        </w:rPr>
        <w:t>utilized</w:t>
      </w:r>
      <w:r w:rsidR="000B36A6" w:rsidRPr="00767918">
        <w:rPr>
          <w:color w:val="000000" w:themeColor="text1"/>
        </w:rPr>
        <w:t xml:space="preserve"> </w:t>
      </w:r>
      <w:r w:rsidRPr="00767918">
        <w:rPr>
          <w:color w:val="000000" w:themeColor="text1"/>
        </w:rPr>
        <w:t>a clinker to cement ratio of 0.27 in 2050.</w:t>
      </w:r>
      <w:r>
        <w:rPr>
          <w:color w:val="000000" w:themeColor="text1"/>
        </w:rPr>
        <w:t xml:space="preserve"> </w:t>
      </w:r>
    </w:p>
    <w:p w14:paraId="2925EAA9" w14:textId="323533B2" w:rsidR="00160791" w:rsidRPr="007F1669" w:rsidRDefault="00160791" w:rsidP="00160791">
      <w:pPr>
        <w:rPr>
          <w:color w:val="000000" w:themeColor="text1"/>
        </w:rPr>
      </w:pPr>
      <w:r w:rsidRPr="007F1669">
        <w:rPr>
          <w:color w:val="000000" w:themeColor="text1"/>
        </w:rPr>
        <w:t xml:space="preserve">The climate and financial impacts for this accelerated adoption of </w:t>
      </w:r>
      <w:r>
        <w:rPr>
          <w:color w:val="000000" w:themeColor="text1"/>
        </w:rPr>
        <w:t>Alternative Cements</w:t>
      </w:r>
      <w:r w:rsidRPr="007F1669">
        <w:rPr>
          <w:color w:val="000000" w:themeColor="text1"/>
        </w:rPr>
        <w:t xml:space="preserve"> is promising. The Plausible Scenario avoids a total of </w:t>
      </w:r>
      <w:r>
        <w:rPr>
          <w:color w:val="000000" w:themeColor="text1"/>
        </w:rPr>
        <w:t>7.95</w:t>
      </w:r>
      <w:r w:rsidRPr="007F1669">
        <w:rPr>
          <w:color w:val="000000" w:themeColor="text1"/>
        </w:rPr>
        <w:t xml:space="preserve"> gigatons (Gt) of CO</w:t>
      </w:r>
      <w:r w:rsidRPr="007F1669">
        <w:rPr>
          <w:color w:val="000000" w:themeColor="text1"/>
          <w:vertAlign w:val="subscript"/>
        </w:rPr>
        <w:t>2</w:t>
      </w:r>
      <w:r w:rsidRPr="007F1669">
        <w:rPr>
          <w:color w:val="000000" w:themeColor="text1"/>
        </w:rPr>
        <w:t xml:space="preserve">-equivalent greenhouse gas (GHG) emissions, the approximate parts per million (PPM) equivalent of which is </w:t>
      </w:r>
      <w:r>
        <w:rPr>
          <w:color w:val="000000" w:themeColor="text1"/>
        </w:rPr>
        <w:t>0.484</w:t>
      </w:r>
      <w:r w:rsidRPr="007F1669">
        <w:rPr>
          <w:color w:val="000000" w:themeColor="text1"/>
        </w:rPr>
        <w:t xml:space="preserve"> (ppm CO</w:t>
      </w:r>
      <w:r w:rsidRPr="007F1669">
        <w:rPr>
          <w:color w:val="000000" w:themeColor="text1"/>
          <w:vertAlign w:val="subscript"/>
        </w:rPr>
        <w:t>2</w:t>
      </w:r>
      <w:r w:rsidRPr="007F1669">
        <w:rPr>
          <w:color w:val="000000" w:themeColor="text1"/>
        </w:rPr>
        <w:t>-eq). The marginal capital cost of PDS adoption compared to the REF scenario is US$</w:t>
      </w:r>
      <w:r>
        <w:rPr>
          <w:color w:val="000000" w:themeColor="text1"/>
        </w:rPr>
        <w:t>63.46</w:t>
      </w:r>
      <w:r w:rsidRPr="007F1669">
        <w:rPr>
          <w:color w:val="000000" w:themeColor="text1"/>
        </w:rPr>
        <w:t xml:space="preserve"> billion. </w:t>
      </w:r>
      <w:r>
        <w:rPr>
          <w:color w:val="000000" w:themeColor="text1"/>
        </w:rPr>
        <w:t>Increased</w:t>
      </w:r>
      <w:r w:rsidRPr="007F1669">
        <w:rPr>
          <w:color w:val="000000" w:themeColor="text1"/>
        </w:rPr>
        <w:t xml:space="preserve"> adoption of </w:t>
      </w:r>
      <w:r>
        <w:rPr>
          <w:color w:val="000000" w:themeColor="text1"/>
        </w:rPr>
        <w:t>Alternative Cements can assist the materials sector contribute to Drawdown.</w:t>
      </w:r>
    </w:p>
    <w:p w14:paraId="6D7F86BD" w14:textId="4C5EAB68" w:rsidR="00160791" w:rsidRPr="002E3A2F" w:rsidRDefault="00160791" w:rsidP="002E3A2F">
      <w:pPr>
        <w:sectPr w:rsidR="00160791" w:rsidRPr="002E3A2F" w:rsidSect="00F26176">
          <w:footerReference w:type="even" r:id="rId15"/>
          <w:footerReference w:type="default" r:id="rId16"/>
          <w:pgSz w:w="12240" w:h="15840"/>
          <w:pgMar w:top="1440" w:right="1440" w:bottom="1440" w:left="1440" w:header="720" w:footer="720" w:gutter="0"/>
          <w:pgNumType w:fmt="upperRoman"/>
          <w:cols w:space="720"/>
        </w:sectPr>
      </w:pPr>
    </w:p>
    <w:p w14:paraId="34916870" w14:textId="0045908A" w:rsidR="00E815C8" w:rsidRDefault="551A77D0" w:rsidP="00EB247F">
      <w:pPr>
        <w:pStyle w:val="Heading1"/>
      </w:pPr>
      <w:bookmarkStart w:id="4" w:name="_Toc38211621"/>
      <w:r w:rsidRPr="00EB247F">
        <w:t>Literature Review</w:t>
      </w:r>
      <w:bookmarkEnd w:id="4"/>
    </w:p>
    <w:p w14:paraId="05406D4C" w14:textId="30EAF620" w:rsidR="006A4A08" w:rsidRPr="00EB247F" w:rsidRDefault="551A77D0" w:rsidP="00EB247F">
      <w:pPr>
        <w:pStyle w:val="Heading2"/>
      </w:pPr>
      <w:bookmarkStart w:id="5" w:name="_Toc38211622"/>
      <w:r w:rsidRPr="00EB247F">
        <w:t xml:space="preserve">State of </w:t>
      </w:r>
      <w:r w:rsidR="00A35FE6">
        <w:t>Alternative Cements</w:t>
      </w:r>
      <w:bookmarkEnd w:id="5"/>
    </w:p>
    <w:p w14:paraId="0EEC2E80" w14:textId="453EFB9C" w:rsidR="004E12B3" w:rsidRDefault="002C391C" w:rsidP="00EB247F">
      <w:pPr>
        <w:rPr>
          <w:bCs/>
        </w:rPr>
      </w:pPr>
      <w:r>
        <w:rPr>
          <w:bCs/>
        </w:rPr>
        <w:t>Today, c</w:t>
      </w:r>
      <w:r w:rsidR="00A954E2">
        <w:rPr>
          <w:bCs/>
        </w:rPr>
        <w:t>ement is the second most consumed material in the world after water.</w:t>
      </w:r>
      <w:r w:rsidR="004E12B3">
        <w:rPr>
          <w:bCs/>
        </w:rPr>
        <w:t xml:space="preserve"> Cement is used u</w:t>
      </w:r>
      <w:r>
        <w:rPr>
          <w:bCs/>
        </w:rPr>
        <w:t>biquitous</w:t>
      </w:r>
      <w:r w:rsidR="004E12B3">
        <w:rPr>
          <w:bCs/>
        </w:rPr>
        <w:t>ly across</w:t>
      </w:r>
      <w:r>
        <w:rPr>
          <w:bCs/>
        </w:rPr>
        <w:t xml:space="preserve"> the construction industry</w:t>
      </w:r>
      <w:r w:rsidR="004E12B3">
        <w:rPr>
          <w:bCs/>
        </w:rPr>
        <w:t xml:space="preserve"> </w:t>
      </w:r>
      <w:r>
        <w:rPr>
          <w:bCs/>
        </w:rPr>
        <w:t>to make mortar and concrete which comprise</w:t>
      </w:r>
      <w:r w:rsidR="004E12B3">
        <w:rPr>
          <w:bCs/>
        </w:rPr>
        <w:t>s</w:t>
      </w:r>
      <w:r>
        <w:rPr>
          <w:bCs/>
        </w:rPr>
        <w:t xml:space="preserve"> the structure of building</w:t>
      </w:r>
      <w:r w:rsidR="00BA3985">
        <w:rPr>
          <w:bCs/>
        </w:rPr>
        <w:t>s</w:t>
      </w:r>
      <w:r>
        <w:rPr>
          <w:bCs/>
        </w:rPr>
        <w:t xml:space="preserve">. In 2016, global emissions </w:t>
      </w:r>
      <w:r w:rsidR="004E12B3">
        <w:rPr>
          <w:bCs/>
        </w:rPr>
        <w:t xml:space="preserve">due to the production of </w:t>
      </w:r>
      <w:r>
        <w:rPr>
          <w:bCs/>
        </w:rPr>
        <w:t xml:space="preserve">cement were estimated to be 1.45 </w:t>
      </w:r>
      <w:r w:rsidRPr="002C391C">
        <w:rPr>
          <w:bCs/>
        </w:rPr>
        <w:t>± 0.20 Gt CO</w:t>
      </w:r>
      <w:r w:rsidRPr="002C391C">
        <w:rPr>
          <w:bCs/>
          <w:vertAlign w:val="subscript"/>
        </w:rPr>
        <w:t>2</w:t>
      </w:r>
      <w:r>
        <w:rPr>
          <w:bCs/>
        </w:rPr>
        <w:t>,</w:t>
      </w:r>
      <w:r w:rsidR="004E12B3">
        <w:rPr>
          <w:bCs/>
        </w:rPr>
        <w:t xml:space="preserve"> or 4-6% of global carbon dioxide emissions</w:t>
      </w:r>
      <w:r>
        <w:rPr>
          <w:bCs/>
        </w:rPr>
        <w:t xml:space="preserve"> </w:t>
      </w:r>
      <w:r w:rsidR="004E12B3">
        <w:rPr>
          <w:bCs/>
        </w:rPr>
        <w:fldChar w:fldCharType="begin"/>
      </w:r>
      <w:r w:rsidR="004E12B3">
        <w:rPr>
          <w:bCs/>
        </w:rPr>
        <w:instrText xml:space="preserve"> ADDIN ZOTERO_ITEM CSL_CITATION {"citationID":"GYeRt0tb","properties":{"formattedCitation":"(Andrew, 2018)","plainCitation":"(Andrew, 2018)","noteIndex":0},"citationItems":[{"id":5730,"uris":["http://zotero.org/groups/2241940/items/HZXTS8AT"],"uri":["http://zotero.org/groups/2241940/items/HZXTS8AT"],"itemData":{"id":5730,"type":"article-journal","abstract":"The global production of cement has grown very rapidly in recent years, and after fossil fuels and land-use change, it is the third-largest source of anthropogenic emissions of carbon dioxide. The required data for estimating emissions from global cement production are poor, and it has been recognised that some global estimates are signiﬁcantly inﬂated. Here we assemble a large variety of available datasets and prioritise ofﬁcial data and emission factors, including estimates submitted to the UNFCCC plus new estimates for China and India, to present a new analysis of global process emissions from cement production. We show that global process emissions in 2016 were 1.45 ± 0.20 Gt CO2, equivalent to about 4 % of emissions from fossil fuels. Cumulative emissions from 1928 to 2016 were 39.3 ± 2.4 Gt CO2, 66 % of which have occurred since 1990. Emissions in 2015 were 30 % lower than those recently reported by the Global Carbon Project. The data associated with this article can be found at https://doi.org/10.5281/zenodo.831455.","language":"en","page":"23","source":"Zotero","title":"Global CO2 emissions from cement production","author":[{"family":"Andrew","given":"Robbie M"}],"issued":{"date-parts":[["2018"]]}}}],"schema":"https://github.com/citation-style-language/schema/raw/master/csl-citation.json"} </w:instrText>
      </w:r>
      <w:r w:rsidR="004E12B3">
        <w:rPr>
          <w:bCs/>
        </w:rPr>
        <w:fldChar w:fldCharType="separate"/>
      </w:r>
      <w:r w:rsidR="004E12B3">
        <w:rPr>
          <w:bCs/>
          <w:noProof/>
        </w:rPr>
        <w:t>(Andrew, 2018)</w:t>
      </w:r>
      <w:r w:rsidR="004E12B3">
        <w:rPr>
          <w:bCs/>
        </w:rPr>
        <w:fldChar w:fldCharType="end"/>
      </w:r>
      <w:r w:rsidR="004E12B3">
        <w:rPr>
          <w:bCs/>
        </w:rPr>
        <w:t xml:space="preserve">. The demand for buildings is expected to double by 2050 </w:t>
      </w:r>
      <w:r w:rsidR="004E12B3">
        <w:rPr>
          <w:bCs/>
        </w:rPr>
        <w:fldChar w:fldCharType="begin"/>
      </w:r>
      <w:r w:rsidR="004E12B3">
        <w:rPr>
          <w:bCs/>
        </w:rPr>
        <w:instrText xml:space="preserve"> ADDIN ZOTERO_ITEM CSL_CITATION {"citationID":"ZrkJs6Pp","properties":{"formattedCitation":"(IEA &amp; UN Environment Programme, 2018)","plainCitation":"(IEA &amp; UN Environment Programme, 2018)","noteIndex":0},"citationItems":[{"id":5989,"uris":["http://zotero.org/groups/2241940/items/QPV2D4K6"],"uri":["http://zotero.org/groups/2241940/items/QPV2D4K6"],"itemData":{"id":5989,"type":"report","title":"2018 Global Status Report: towards a zero-emission, efficient and resilient buildings and construction sector","author":[{"family":"IEA","given":""},{"family":"UN Environment Programme","given":""}],"issued":{"date-parts":[["2018"]]}}}],"schema":"https://github.com/citation-style-language/schema/raw/master/csl-citation.json"} </w:instrText>
      </w:r>
      <w:r w:rsidR="004E12B3">
        <w:rPr>
          <w:bCs/>
        </w:rPr>
        <w:fldChar w:fldCharType="separate"/>
      </w:r>
      <w:r w:rsidR="004E12B3">
        <w:rPr>
          <w:bCs/>
          <w:noProof/>
        </w:rPr>
        <w:t>(IEA &amp; UN Environment Programme, 2018)</w:t>
      </w:r>
      <w:r w:rsidR="004E12B3">
        <w:rPr>
          <w:bCs/>
        </w:rPr>
        <w:fldChar w:fldCharType="end"/>
      </w:r>
      <w:r w:rsidR="004E12B3">
        <w:rPr>
          <w:bCs/>
        </w:rPr>
        <w:t xml:space="preserve"> driven by increases in population, urbanization, and economic development. In turn, the global demand for cement</w:t>
      </w:r>
      <w:r w:rsidR="00C02010">
        <w:rPr>
          <w:bCs/>
        </w:rPr>
        <w:t xml:space="preserve"> is</w:t>
      </w:r>
      <w:r w:rsidR="004E12B3">
        <w:rPr>
          <w:bCs/>
        </w:rPr>
        <w:t xml:space="preserve"> expected to increase between 12% and 23% </w:t>
      </w:r>
      <w:r w:rsidR="00BB6398">
        <w:rPr>
          <w:bCs/>
        </w:rPr>
        <w:t xml:space="preserve">relative to </w:t>
      </w:r>
      <w:r w:rsidR="004E12B3">
        <w:rPr>
          <w:bCs/>
        </w:rPr>
        <w:t xml:space="preserve">consumption in 2014 </w:t>
      </w:r>
      <w:r w:rsidR="004E12B3">
        <w:rPr>
          <w:bCs/>
        </w:rPr>
        <w:fldChar w:fldCharType="begin"/>
      </w:r>
      <w:r w:rsidR="004E12B3">
        <w:rPr>
          <w:bCs/>
        </w:rPr>
        <w:instrText xml:space="preserve"> ADDIN ZOTERO_ITEM CSL_CITATION {"citationID":"UCe1M8XL","properties":{"formattedCitation":"(IEA, 2018)","plainCitation":"(IEA, 2018)","noteIndex":0},"citationItems":[{"id":5714,"uris":["http://zotero.org/groups/2241940/items/LPMWLU93"],"uri":["http://zotero.org/groups/2241940/items/LPMWLU93"],"itemData":{"id":5714,"type":"report","language":"en","page":"66","publisher":"International Energy Agency","source":"Zotero","title":"Technology Roadmap - Low-Carbon Transition in the Cement Industry","URL":"https://webstore.iea.org/technology-roadmap-low-carbon-transition-in-the-cement-industry","author":[{"family":"IEA","given":""}],"issued":{"date-parts":[["2018"]]}}}],"schema":"https://github.com/citation-style-language/schema/raw/master/csl-citation.json"} </w:instrText>
      </w:r>
      <w:r w:rsidR="004E12B3">
        <w:rPr>
          <w:bCs/>
        </w:rPr>
        <w:fldChar w:fldCharType="separate"/>
      </w:r>
      <w:r w:rsidR="004E12B3">
        <w:rPr>
          <w:bCs/>
          <w:noProof/>
        </w:rPr>
        <w:t>(IEA, 2018)</w:t>
      </w:r>
      <w:r w:rsidR="004E12B3">
        <w:rPr>
          <w:bCs/>
        </w:rPr>
        <w:fldChar w:fldCharType="end"/>
      </w:r>
      <w:r w:rsidR="004E12B3">
        <w:rPr>
          <w:bCs/>
        </w:rPr>
        <w:t>.</w:t>
      </w:r>
    </w:p>
    <w:p w14:paraId="2AA8E3A6" w14:textId="4154C1C4" w:rsidR="00C955EB" w:rsidRDefault="00AB4104" w:rsidP="00AB4104">
      <w:pPr>
        <w:pStyle w:val="Heading3"/>
      </w:pPr>
      <w:bookmarkStart w:id="6" w:name="_Toc38211623"/>
      <w:r>
        <w:t>Manufacturing Process</w:t>
      </w:r>
      <w:bookmarkEnd w:id="6"/>
    </w:p>
    <w:p w14:paraId="18587ADF" w14:textId="0A2621EE" w:rsidR="00C955EB" w:rsidRDefault="00C955EB" w:rsidP="00EB247F">
      <w:pPr>
        <w:rPr>
          <w:bCs/>
        </w:rPr>
      </w:pPr>
      <w:r>
        <w:rPr>
          <w:bCs/>
        </w:rPr>
        <w:t>The production of</w:t>
      </w:r>
      <w:r w:rsidR="003B51EC">
        <w:rPr>
          <w:bCs/>
        </w:rPr>
        <w:t xml:space="preserve"> hydraulic</w:t>
      </w:r>
      <w:r>
        <w:rPr>
          <w:bCs/>
        </w:rPr>
        <w:t xml:space="preserve"> cement </w:t>
      </w:r>
      <w:r w:rsidR="003B51EC">
        <w:rPr>
          <w:bCs/>
        </w:rPr>
        <w:t xml:space="preserve">(e.g., ordinary portland cement, OPC) </w:t>
      </w:r>
      <w:r>
        <w:rPr>
          <w:bCs/>
        </w:rPr>
        <w:t>involve</w:t>
      </w:r>
      <w:r w:rsidR="003B51EC">
        <w:rPr>
          <w:bCs/>
        </w:rPr>
        <w:t>s</w:t>
      </w:r>
      <w:r>
        <w:rPr>
          <w:bCs/>
        </w:rPr>
        <w:t xml:space="preserve"> three main stages. First, the raw materials are prepared, next the clinker is produced, and lastly, the clinker is ground and mixed with other components.</w:t>
      </w:r>
      <w:r w:rsidR="006807AA">
        <w:rPr>
          <w:bCs/>
        </w:rPr>
        <w:t xml:space="preserve"> These three stages can be seen in </w:t>
      </w:r>
      <w:r w:rsidR="006807AA">
        <w:rPr>
          <w:bCs/>
        </w:rPr>
        <w:fldChar w:fldCharType="begin"/>
      </w:r>
      <w:r w:rsidR="006807AA">
        <w:rPr>
          <w:bCs/>
        </w:rPr>
        <w:instrText xml:space="preserve"> REF _Ref38191921 \h </w:instrText>
      </w:r>
      <w:r w:rsidR="006807AA">
        <w:rPr>
          <w:bCs/>
        </w:rPr>
      </w:r>
      <w:r w:rsidR="006807AA">
        <w:rPr>
          <w:bCs/>
        </w:rPr>
        <w:fldChar w:fldCharType="separate"/>
      </w:r>
      <w:r w:rsidR="008F2A2C">
        <w:t xml:space="preserve">Figure </w:t>
      </w:r>
      <w:r w:rsidR="008F2A2C">
        <w:rPr>
          <w:noProof/>
        </w:rPr>
        <w:t>1</w:t>
      </w:r>
      <w:r w:rsidR="008F2A2C">
        <w:t>.</w:t>
      </w:r>
      <w:r w:rsidR="008F2A2C">
        <w:rPr>
          <w:noProof/>
        </w:rPr>
        <w:t>1</w:t>
      </w:r>
      <w:r w:rsidR="006807AA">
        <w:rPr>
          <w:bCs/>
        </w:rPr>
        <w:fldChar w:fldCharType="end"/>
      </w:r>
      <w:r w:rsidR="006807AA">
        <w:rPr>
          <w:bCs/>
        </w:rPr>
        <w:t>.</w:t>
      </w:r>
      <w:r>
        <w:rPr>
          <w:bCs/>
        </w:rPr>
        <w:t xml:space="preserve"> </w:t>
      </w:r>
      <w:r w:rsidR="00370123">
        <w:rPr>
          <w:bCs/>
        </w:rPr>
        <w:t>Carbon emissions are associated with each step, yet, the vast majority is associated with the burning of fossil fuels to produce clinker. The production of clinker involves the calcination of limestone (CaCO</w:t>
      </w:r>
      <w:r w:rsidR="00370123" w:rsidRPr="00370123">
        <w:rPr>
          <w:bCs/>
          <w:vertAlign w:val="subscript"/>
        </w:rPr>
        <w:t>3</w:t>
      </w:r>
      <w:r w:rsidR="00370123">
        <w:rPr>
          <w:bCs/>
        </w:rPr>
        <w:t xml:space="preserve">) which results in direct, or process emissions, </w:t>
      </w:r>
      <w:r w:rsidR="004B4F3D">
        <w:rPr>
          <w:bCs/>
        </w:rPr>
        <w:t xml:space="preserve">of </w:t>
      </w:r>
      <w:r w:rsidR="00370123">
        <w:rPr>
          <w:bCs/>
        </w:rPr>
        <w:t xml:space="preserve">about 60-70% of total </w:t>
      </w:r>
      <w:r w:rsidR="004B4F3D">
        <w:rPr>
          <w:bCs/>
        </w:rPr>
        <w:t xml:space="preserve">cement </w:t>
      </w:r>
      <w:r w:rsidR="00370123">
        <w:rPr>
          <w:bCs/>
        </w:rPr>
        <w:t>emissions. For this calcination reaction to occur, the limestone is heated to temperatures of up to 1450°C which requires the combustion of fuels (typically non-renewable)</w:t>
      </w:r>
      <w:r w:rsidR="006807AA">
        <w:rPr>
          <w:bCs/>
        </w:rPr>
        <w:t xml:space="preserve"> and electricity</w:t>
      </w:r>
      <w:r w:rsidR="00370123">
        <w:rPr>
          <w:bCs/>
        </w:rPr>
        <w:t>, accounting for the other 30-40% of emissions. Two primary kiln technologies exist for clinker production, “wet” and “dry”. Wet kilns require more energy and thus release more CO</w:t>
      </w:r>
      <w:r w:rsidR="00370123" w:rsidRPr="00370123">
        <w:rPr>
          <w:bCs/>
          <w:vertAlign w:val="subscript"/>
        </w:rPr>
        <w:t>2</w:t>
      </w:r>
      <w:r w:rsidR="00370123">
        <w:rPr>
          <w:bCs/>
        </w:rPr>
        <w:t xml:space="preserve"> than dry kilns since the raw material used has a higher moisture content. Two types of energy are consumed throughout the </w:t>
      </w:r>
      <w:r w:rsidR="003B51EC">
        <w:rPr>
          <w:bCs/>
        </w:rPr>
        <w:t>clinker</w:t>
      </w:r>
      <w:r w:rsidR="00370123">
        <w:rPr>
          <w:bCs/>
        </w:rPr>
        <w:t xml:space="preserve"> manufacturing process: electricity and thermal energy.  A variety of manufacturing technologies have been developed to improve both the thermal and electricity efficiency of </w:t>
      </w:r>
      <w:r w:rsidR="003B51EC">
        <w:rPr>
          <w:bCs/>
        </w:rPr>
        <w:t>clinker</w:t>
      </w:r>
      <w:r w:rsidR="00370123">
        <w:rPr>
          <w:bCs/>
        </w:rPr>
        <w:t xml:space="preserve"> production, such as the use of preheating and precalcining stages.</w:t>
      </w:r>
      <w:r w:rsidR="003B51EC">
        <w:rPr>
          <w:bCs/>
        </w:rPr>
        <w:t xml:space="preserve"> After the clinker is produced, it is blended with other materials, such as gypsum to form</w:t>
      </w:r>
      <w:r w:rsidR="00BA3985">
        <w:rPr>
          <w:bCs/>
        </w:rPr>
        <w:t xml:space="preserve"> OPC</w:t>
      </w:r>
      <w:r w:rsidR="003B51EC">
        <w:rPr>
          <w:bCs/>
        </w:rPr>
        <w:t xml:space="preserve"> which is</w:t>
      </w:r>
      <w:r w:rsidR="006807AA">
        <w:rPr>
          <w:bCs/>
        </w:rPr>
        <w:t xml:space="preserve"> then</w:t>
      </w:r>
      <w:r w:rsidR="003B51EC">
        <w:rPr>
          <w:bCs/>
        </w:rPr>
        <w:t xml:space="preserve"> </w:t>
      </w:r>
      <w:r w:rsidR="003B51EC" w:rsidRPr="006807AA">
        <w:rPr>
          <w:bCs/>
        </w:rPr>
        <w:t>used to produce concrete</w:t>
      </w:r>
      <w:r w:rsidR="003B51EC">
        <w:rPr>
          <w:bCs/>
        </w:rPr>
        <w:t xml:space="preserve"> or mortar</w:t>
      </w:r>
      <w:r w:rsidR="006807AA">
        <w:rPr>
          <w:bCs/>
        </w:rPr>
        <w:t xml:space="preserve">. </w:t>
      </w:r>
      <w:r w:rsidR="00370123">
        <w:rPr>
          <w:bCs/>
        </w:rPr>
        <w:t xml:space="preserve">For a succinct overview of the details of cement production, the reader is referred to Section 2 of the IEA Technology Roadmap for Cement </w:t>
      </w:r>
      <w:r w:rsidR="00370123">
        <w:rPr>
          <w:bCs/>
        </w:rPr>
        <w:fldChar w:fldCharType="begin"/>
      </w:r>
      <w:r w:rsidR="00370123">
        <w:rPr>
          <w:bCs/>
        </w:rPr>
        <w:instrText xml:space="preserve"> ADDIN ZOTERO_ITEM CSL_CITATION {"citationID":"pskAymKL","properties":{"formattedCitation":"(IEA, 2018, pp. 12\\uc0\\u8211{}14)","plainCitation":"(IEA, 2018, pp. 12–14)","noteIndex":0},"citationItems":[{"id":5714,"uris":["http://zotero.org/groups/2241940/items/LPMWLU93"],"uri":["http://zotero.org/groups/2241940/items/LPMWLU93"],"itemData":{"id":5714,"type":"report","language":"en","page":"66","publisher":"International Energy Agency","source":"Zotero","title":"Technology Roadmap - Low-Carbon Transition in the Cement Industry","URL":"https://webstore.iea.org/technology-roadmap-low-carbon-transition-in-the-cement-industry","author":[{"family":"IEA","given":""}],"issued":{"date-parts":[["2018"]]}},"locator":"12-14"}],"schema":"https://github.com/citation-style-language/schema/raw/master/csl-citation.json"} </w:instrText>
      </w:r>
      <w:r w:rsidR="00370123">
        <w:rPr>
          <w:bCs/>
        </w:rPr>
        <w:fldChar w:fldCharType="separate"/>
      </w:r>
      <w:r w:rsidR="00370123" w:rsidRPr="00370123">
        <w:t>(IEA, 2018, pp. 12–14)</w:t>
      </w:r>
      <w:r w:rsidR="00370123">
        <w:rPr>
          <w:bCs/>
        </w:rPr>
        <w:fldChar w:fldCharType="end"/>
      </w:r>
      <w:r w:rsidR="00FC62F5">
        <w:rPr>
          <w:bCs/>
        </w:rPr>
        <w:t>.</w:t>
      </w:r>
    </w:p>
    <w:p w14:paraId="17F60C52" w14:textId="149E19C4" w:rsidR="006807AA" w:rsidRDefault="006807AA" w:rsidP="006807AA">
      <w:pPr>
        <w:keepNext/>
      </w:pPr>
      <w:r w:rsidRPr="006807AA">
        <w:rPr>
          <w:noProof/>
        </w:rPr>
        <w:drawing>
          <wp:inline distT="0" distB="0" distL="0" distR="0" wp14:anchorId="104F2A3B" wp14:editId="31F2CD7E">
            <wp:extent cx="5943600" cy="2052955"/>
            <wp:effectExtent l="0" t="0" r="0" b="0"/>
            <wp:docPr id="64" name="Picture 63">
              <a:extLst xmlns:a="http://schemas.openxmlformats.org/drawingml/2006/main">
                <a:ext uri="{FF2B5EF4-FFF2-40B4-BE49-F238E27FC236}">
                  <a16:creationId xmlns:a16="http://schemas.microsoft.com/office/drawing/2014/main" id="{6D8FD344-23B5-5A4A-83EA-582025DC81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3">
                      <a:extLst>
                        <a:ext uri="{FF2B5EF4-FFF2-40B4-BE49-F238E27FC236}">
                          <a16:creationId xmlns:a16="http://schemas.microsoft.com/office/drawing/2014/main" id="{6D8FD344-23B5-5A4A-83EA-582025DC81E9}"/>
                        </a:ext>
                      </a:extLst>
                    </pic:cNvPr>
                    <pic:cNvPicPr>
                      <a:picLocks noChangeAspect="1"/>
                    </pic:cNvPicPr>
                  </pic:nvPicPr>
                  <pic:blipFill>
                    <a:blip r:embed="rId17"/>
                    <a:stretch>
                      <a:fillRect/>
                    </a:stretch>
                  </pic:blipFill>
                  <pic:spPr>
                    <a:xfrm>
                      <a:off x="0" y="0"/>
                      <a:ext cx="5943600" cy="2052955"/>
                    </a:xfrm>
                    <a:prstGeom prst="rect">
                      <a:avLst/>
                    </a:prstGeom>
                  </pic:spPr>
                </pic:pic>
              </a:graphicData>
            </a:graphic>
          </wp:inline>
        </w:drawing>
      </w:r>
    </w:p>
    <w:p w14:paraId="32EADB19" w14:textId="679D2712" w:rsidR="006807AA" w:rsidRDefault="006807AA" w:rsidP="006807AA">
      <w:pPr>
        <w:pStyle w:val="Caption"/>
        <w:jc w:val="center"/>
        <w:rPr>
          <w:bCs/>
        </w:rPr>
      </w:pPr>
      <w:bookmarkStart w:id="7" w:name="_Ref38191921"/>
      <w:bookmarkStart w:id="8" w:name="_Toc38211661"/>
      <w:r>
        <w:t xml:space="preserve">Figure </w:t>
      </w:r>
      <w:fldSimple w:instr=" STYLEREF 1 \s ">
        <w:r w:rsidR="008F2A2C">
          <w:rPr>
            <w:noProof/>
          </w:rPr>
          <w:t>1</w:t>
        </w:r>
      </w:fldSimple>
      <w:r>
        <w:t>.</w:t>
      </w:r>
      <w:fldSimple w:instr=" SEQ Figure \* ARABIC \s 1 ">
        <w:r w:rsidR="008F2A2C">
          <w:rPr>
            <w:noProof/>
          </w:rPr>
          <w:t>1</w:t>
        </w:r>
      </w:fldSimple>
      <w:bookmarkEnd w:id="7"/>
      <w:r>
        <w:t>. Cement manufacturing process overview.</w:t>
      </w:r>
      <w:bookmarkEnd w:id="8"/>
    </w:p>
    <w:p w14:paraId="586B9CC9" w14:textId="0C7B5829" w:rsidR="00AB4104" w:rsidRDefault="00AB4104" w:rsidP="00AB4104">
      <w:pPr>
        <w:pStyle w:val="Heading3"/>
      </w:pPr>
      <w:bookmarkStart w:id="9" w:name="_Toc38211624"/>
      <w:r>
        <w:t>Manufacturing Efficiencies</w:t>
      </w:r>
      <w:bookmarkEnd w:id="9"/>
    </w:p>
    <w:p w14:paraId="4BA5C21A" w14:textId="2B7E869C" w:rsidR="00FC62F5" w:rsidRDefault="00FC62F5" w:rsidP="00EB247F">
      <w:pPr>
        <w:rPr>
          <w:bCs/>
        </w:rPr>
      </w:pPr>
      <w:r>
        <w:rPr>
          <w:bCs/>
        </w:rPr>
        <w:t xml:space="preserve">Reducing the thermal and electricity intensity of clinker has been a focus of the cement manufacturing industry for a number of years. A wet kiln uses between 5.85 and 6.28 GJ of thermal energy per ton of clinker </w:t>
      </w:r>
      <w:r w:rsidR="00E82C20">
        <w:rPr>
          <w:bCs/>
        </w:rPr>
        <w:t xml:space="preserve">produced, whereas a 4-stage cyclone preheater with a precalciner consumes only 3.141 GJ/clinker </w:t>
      </w:r>
      <w:r w:rsidR="00E82C20">
        <w:rPr>
          <w:bCs/>
        </w:rPr>
        <w:fldChar w:fldCharType="begin"/>
      </w:r>
      <w:r w:rsidR="00E82C20">
        <w:rPr>
          <w:bCs/>
        </w:rPr>
        <w:instrText xml:space="preserve"> ADDIN ZOTERO_ITEM CSL_CITATION {"citationID":"iFyYD3Pt","properties":{"formattedCitation":"(Damtoft et al., 2008)","plainCitation":"(Damtoft et al., 2008)","noteIndex":0},"citationItems":[{"id":5992,"uris":["http://zotero.org/groups/2241940/items/KDTQ5622"],"uri":["http://zotero.org/groups/2241940/items/KDTQ5622"],"itemData":{"id":5992,"type":"article-journal","abstract":"In the present paper we argue that the cement and concrete industry is contributing positively to the Climate Change Initiative by: ⁎ Continuously reducing the CO2 emission from cement production by increased use of bio-fuels and alternative raw materials as well as introducing modified low-energy clinker types and cements with reduced clinker content. ⁎ Developing concrete compositions with the lowest possible environmental impact by selecting the cement type, the type and dosage of supplementary cementitious materials and the concrete quality to best suit the use in question. ⁎ Exploiting the potential of concrete recycling to increase the rate of CO2 uptake. ⁎ Exploiting the thermal mass of concrete to create energy-optimized solutions for heating and cooling residential and office buildings. © 2007 Elsevier Ltd. All rights reserved.","container-title":"Cement and Concrete Research","DOI":"10.1016/j.cemconres.2007.09.008","ISSN":"00088846","issue":"2","journalAbbreviation":"Cement and Concrete Research","language":"en","page":"115-127","source":"DOI.org (Crossref)","title":"Sustainable development and climate change initiatives","volume":"38","author":[{"family":"Damtoft","given":"J.S."},{"family":"Lukasik","given":"J."},{"family":"Herfort","given":"D."},{"family":"Sorrentino","given":"D."},{"family":"Gartner","given":"E.M."}],"issued":{"date-parts":[["2008",2]]}}}],"schema":"https://github.com/citation-style-language/schema/raw/master/csl-citation.json"} </w:instrText>
      </w:r>
      <w:r w:rsidR="00E82C20">
        <w:rPr>
          <w:bCs/>
        </w:rPr>
        <w:fldChar w:fldCharType="separate"/>
      </w:r>
      <w:r w:rsidR="00E82C20">
        <w:rPr>
          <w:bCs/>
          <w:noProof/>
        </w:rPr>
        <w:t>(Damtoft et al., 2008)</w:t>
      </w:r>
      <w:r w:rsidR="00E82C20">
        <w:rPr>
          <w:bCs/>
        </w:rPr>
        <w:fldChar w:fldCharType="end"/>
      </w:r>
      <w:r w:rsidR="00E82C20">
        <w:rPr>
          <w:bCs/>
        </w:rPr>
        <w:t xml:space="preserve">. The minimum theoretical limit for clinker production from a thermodynamics perspective is between 1.85 and 2.80 GJ/ton of clinker, depending upon the moisture content required for </w:t>
      </w:r>
      <w:r w:rsidR="00BA3985">
        <w:rPr>
          <w:bCs/>
        </w:rPr>
        <w:t xml:space="preserve">the </w:t>
      </w:r>
      <w:r w:rsidR="00E82C20">
        <w:rPr>
          <w:bCs/>
        </w:rPr>
        <w:t xml:space="preserve">drying raw materials. Electricity is </w:t>
      </w:r>
      <w:r w:rsidR="00BA3985">
        <w:rPr>
          <w:bCs/>
        </w:rPr>
        <w:t xml:space="preserve">primarily </w:t>
      </w:r>
      <w:r w:rsidR="00E82C20">
        <w:rPr>
          <w:bCs/>
        </w:rPr>
        <w:t xml:space="preserve">used in cement manufacturing to grind raw materials, produce clinker, and grind cement to the appropriate fineness. Globally, between 2000 and 2012, the </w:t>
      </w:r>
      <w:r w:rsidR="008A17C3">
        <w:rPr>
          <w:bCs/>
        </w:rPr>
        <w:t xml:space="preserve">average </w:t>
      </w:r>
      <w:r w:rsidR="00E82C20">
        <w:rPr>
          <w:bCs/>
        </w:rPr>
        <w:t>electrical efficiency of cement production reduced nearly 10 kWh/ton</w:t>
      </w:r>
      <w:r w:rsidR="0024486F">
        <w:rPr>
          <w:bCs/>
        </w:rPr>
        <w:t xml:space="preserve"> (to an average of 104 kWh/ton)</w:t>
      </w:r>
      <w:r w:rsidR="00E82C20">
        <w:rPr>
          <w:bCs/>
        </w:rPr>
        <w:t xml:space="preserve"> of cement due to the adoption of technological updates of cement plants. The most efficient cement manufacturers in 2014 showed electricity intensities of 85 kWh/ton of cement are achiev</w:t>
      </w:r>
      <w:r w:rsidR="001B7AD7">
        <w:rPr>
          <w:bCs/>
        </w:rPr>
        <w:t xml:space="preserve">able </w:t>
      </w:r>
      <w:r w:rsidR="001B7AD7">
        <w:rPr>
          <w:bCs/>
        </w:rPr>
        <w:fldChar w:fldCharType="begin"/>
      </w:r>
      <w:r w:rsidR="001B7AD7">
        <w:rPr>
          <w:bCs/>
        </w:rPr>
        <w:instrText xml:space="preserve"> ADDIN ZOTERO_ITEM CSL_CITATION {"citationID":"hNOO92pI","properties":{"formattedCitation":"(Cement Sustainability Initiative &amp; European Cement Research Academy, 2017)","plainCitation":"(Cement Sustainability Initiative &amp; European Cement Research Academy, 2017)","noteIndex":0},"citationItems":[{"id":5767,"uris":["http://zotero.org/groups/2241940/items/XU8CK9IP"],"uri":["http://zotero.org/groups/2241940/items/XU8CK9IP"],"itemData":{"id":5767,"type":"report","collection-title":"CSI/ECRA- Technology Papers 2017","event-place":"Duesseldorf, Geneva","language":"en","page":"190","publisher-place":"Duesseldorf, Geneva","source":"Zotero","title":"Development of State of the Art-Techniques in Cement Manufacturing: Trying to Look Ahead","URL":"http://www.wbcsdcement.org/technology","author":[{"family":"Cement Sustainability Initiative","given":""},{"family":"European Cement Research Academy","given":""}],"issued":{"date-parts":[["2017"]]}}}],"schema":"https://github.com/citation-style-language/schema/raw/master/csl-citation.json"} </w:instrText>
      </w:r>
      <w:r w:rsidR="001B7AD7">
        <w:rPr>
          <w:bCs/>
        </w:rPr>
        <w:fldChar w:fldCharType="separate"/>
      </w:r>
      <w:r w:rsidR="001B7AD7">
        <w:rPr>
          <w:bCs/>
          <w:noProof/>
        </w:rPr>
        <w:t>(Cement Sustainability Initiative &amp; European Cement Research Academy, 2017)</w:t>
      </w:r>
      <w:r w:rsidR="001B7AD7">
        <w:rPr>
          <w:bCs/>
        </w:rPr>
        <w:fldChar w:fldCharType="end"/>
      </w:r>
      <w:r w:rsidR="001B7AD7">
        <w:rPr>
          <w:bCs/>
        </w:rPr>
        <w:t>.</w:t>
      </w:r>
      <w:r w:rsidR="008A17C3">
        <w:rPr>
          <w:bCs/>
        </w:rPr>
        <w:t xml:space="preserve"> To adopt more efficient manufacturing methods, the retrofit of existing kilns, a capital-intensive project</w:t>
      </w:r>
      <w:r w:rsidR="00BA3985">
        <w:rPr>
          <w:bCs/>
        </w:rPr>
        <w:t>,</w:t>
      </w:r>
      <w:r w:rsidR="008A17C3">
        <w:rPr>
          <w:bCs/>
        </w:rPr>
        <w:t xml:space="preserve"> must occur. Because cement plants have relatively short lifespans in comparison to other industri</w:t>
      </w:r>
      <w:r w:rsidR="00BA3985">
        <w:rPr>
          <w:bCs/>
        </w:rPr>
        <w:t>al processes</w:t>
      </w:r>
      <w:r w:rsidR="008A17C3">
        <w:rPr>
          <w:bCs/>
        </w:rPr>
        <w:t>, intervention and adoption of thermal and electricity efficient technologies can occur in new cement plants.</w:t>
      </w:r>
    </w:p>
    <w:p w14:paraId="72DBB9D6" w14:textId="494890F0" w:rsidR="003B51EC" w:rsidRPr="00AB4104" w:rsidRDefault="00AB4104" w:rsidP="00EB247F">
      <w:pPr>
        <w:pStyle w:val="Heading3"/>
      </w:pPr>
      <w:bookmarkStart w:id="10" w:name="_Toc38211625"/>
      <w:r>
        <w:t>Clinker Reduction</w:t>
      </w:r>
      <w:bookmarkEnd w:id="10"/>
    </w:p>
    <w:p w14:paraId="582C2CE9" w14:textId="23EA5538" w:rsidR="00FC62F5" w:rsidRDefault="003B51EC" w:rsidP="00EB247F">
      <w:pPr>
        <w:rPr>
          <w:bCs/>
        </w:rPr>
      </w:pPr>
      <w:r>
        <w:rPr>
          <w:bCs/>
        </w:rPr>
        <w:t xml:space="preserve">Two of the primary mineral phases </w:t>
      </w:r>
      <w:r w:rsidR="008C268A">
        <w:rPr>
          <w:bCs/>
        </w:rPr>
        <w:t xml:space="preserve">of </w:t>
      </w:r>
      <w:r>
        <w:rPr>
          <w:bCs/>
        </w:rPr>
        <w:t xml:space="preserve">clinker that </w:t>
      </w:r>
      <w:r w:rsidR="008C268A">
        <w:rPr>
          <w:bCs/>
        </w:rPr>
        <w:t>make cement a useful construction material</w:t>
      </w:r>
      <w:r>
        <w:rPr>
          <w:bCs/>
        </w:rPr>
        <w:t xml:space="preserve"> are alite and belite, composed of silicates and calcium oxides. In the presence of water, alite and belite</w:t>
      </w:r>
      <w:r w:rsidR="00FC62F5">
        <w:rPr>
          <w:bCs/>
        </w:rPr>
        <w:t xml:space="preserve"> hydrate to</w:t>
      </w:r>
      <w:r>
        <w:rPr>
          <w:bCs/>
        </w:rPr>
        <w:t xml:space="preserve"> form </w:t>
      </w:r>
      <w:r w:rsidR="00FC62F5">
        <w:rPr>
          <w:bCs/>
        </w:rPr>
        <w:t>calcium hydroxide (CH) and calcium silicate hydrate (C-S-H), which are the “glue” that holds together aggregates, such as sand and gravel, to form concrete and mortar. Depending upon the</w:t>
      </w:r>
      <w:r w:rsidR="002D6570">
        <w:rPr>
          <w:bCs/>
        </w:rPr>
        <w:t xml:space="preserve"> intended</w:t>
      </w:r>
      <w:r w:rsidR="00FC62F5">
        <w:rPr>
          <w:bCs/>
        </w:rPr>
        <w:t xml:space="preserve"> application</w:t>
      </w:r>
      <w:r w:rsidR="002D6570">
        <w:rPr>
          <w:bCs/>
        </w:rPr>
        <w:t xml:space="preserve"> of cement</w:t>
      </w:r>
      <w:r w:rsidR="00FC62F5">
        <w:rPr>
          <w:bCs/>
        </w:rPr>
        <w:t xml:space="preserve">, </w:t>
      </w:r>
      <w:r w:rsidR="002D6570">
        <w:rPr>
          <w:bCs/>
        </w:rPr>
        <w:t>its</w:t>
      </w:r>
      <w:r w:rsidR="00FC62F5">
        <w:rPr>
          <w:bCs/>
        </w:rPr>
        <w:t xml:space="preserve"> exact </w:t>
      </w:r>
      <w:r w:rsidR="002D6570">
        <w:rPr>
          <w:bCs/>
        </w:rPr>
        <w:t>clinker mineral</w:t>
      </w:r>
      <w:r w:rsidR="00FC62F5">
        <w:rPr>
          <w:bCs/>
        </w:rPr>
        <w:t xml:space="preserve"> composition </w:t>
      </w:r>
      <w:r w:rsidR="002D6570">
        <w:rPr>
          <w:bCs/>
        </w:rPr>
        <w:t>can be modified</w:t>
      </w:r>
      <w:r w:rsidR="00FC62F5">
        <w:rPr>
          <w:bCs/>
        </w:rPr>
        <w:t xml:space="preserve">. </w:t>
      </w:r>
      <w:r w:rsidR="002D6570">
        <w:rPr>
          <w:bCs/>
        </w:rPr>
        <w:t xml:space="preserve">Standard OPC mineral compositions </w:t>
      </w:r>
      <w:r w:rsidR="00FC62F5">
        <w:rPr>
          <w:bCs/>
        </w:rPr>
        <w:t xml:space="preserve">are summarized by national and international standards </w:t>
      </w:r>
      <w:r w:rsidR="00BA3985">
        <w:rPr>
          <w:bCs/>
        </w:rPr>
        <w:t>such as</w:t>
      </w:r>
      <w:r w:rsidR="00FC62F5">
        <w:rPr>
          <w:bCs/>
        </w:rPr>
        <w:t xml:space="preserve"> ASTM C150.</w:t>
      </w:r>
    </w:p>
    <w:p w14:paraId="6123C6E6" w14:textId="6BCBA815" w:rsidR="00301E29" w:rsidRDefault="00FC62F5" w:rsidP="00301E29">
      <w:pPr>
        <w:rPr>
          <w:bCs/>
        </w:rPr>
      </w:pPr>
      <w:r>
        <w:rPr>
          <w:bCs/>
        </w:rPr>
        <w:t xml:space="preserve">Alternative </w:t>
      </w:r>
      <w:r w:rsidR="008E7987">
        <w:rPr>
          <w:bCs/>
        </w:rPr>
        <w:t>methods to pr</w:t>
      </w:r>
      <w:r w:rsidR="00E52E70">
        <w:rPr>
          <w:bCs/>
        </w:rPr>
        <w:t>o</w:t>
      </w:r>
      <w:r w:rsidR="008E7987">
        <w:rPr>
          <w:bCs/>
        </w:rPr>
        <w:t xml:space="preserve">duce CH and C-S-H in hydraulic cements have been </w:t>
      </w:r>
      <w:r w:rsidR="00E52E70">
        <w:rPr>
          <w:bCs/>
        </w:rPr>
        <w:t xml:space="preserve">in existence for many years. Supplementary cementitious materials (SCMs) can replace clinker to form a cement that performs equally, if not better, than traditional </w:t>
      </w:r>
      <w:r w:rsidR="00BA3985">
        <w:rPr>
          <w:bCs/>
        </w:rPr>
        <w:t xml:space="preserve">high clinker content </w:t>
      </w:r>
      <w:r w:rsidR="00E52E70">
        <w:rPr>
          <w:bCs/>
        </w:rPr>
        <w:t xml:space="preserve">OPC. SCMs can be industrial by- or co-products or be found naturally. Examples </w:t>
      </w:r>
      <w:r w:rsidR="00AF53EB">
        <w:rPr>
          <w:bCs/>
        </w:rPr>
        <w:t>include</w:t>
      </w:r>
      <w:r w:rsidR="00E52E70">
        <w:rPr>
          <w:bCs/>
        </w:rPr>
        <w:t xml:space="preserve"> fly ash, a by-product of the combustion of coal; ground granulated blast furnace slag, a by-product of pig iron manufacturing; metakaolin, a naturally occurring clay mineral; agricultural waste products, such as rice husk ash, and limestone. </w:t>
      </w:r>
      <w:r w:rsidR="00306CA8">
        <w:rPr>
          <w:bCs/>
        </w:rPr>
        <w:t>SCMs typically have lower emissions than clinker since they are waste products</w:t>
      </w:r>
      <w:r w:rsidR="009B0EFA">
        <w:rPr>
          <w:bCs/>
        </w:rPr>
        <w:t xml:space="preserve"> or naturally occurring</w:t>
      </w:r>
      <w:r w:rsidR="00306CA8">
        <w:rPr>
          <w:bCs/>
        </w:rPr>
        <w:t xml:space="preserve">, </w:t>
      </w:r>
      <w:r w:rsidR="00DC2A28">
        <w:rPr>
          <w:bCs/>
        </w:rPr>
        <w:t>therefore</w:t>
      </w:r>
      <w:r w:rsidR="00306CA8">
        <w:rPr>
          <w:bCs/>
        </w:rPr>
        <w:t xml:space="preserve"> </w:t>
      </w:r>
      <w:r w:rsidR="009B0EFA">
        <w:rPr>
          <w:bCs/>
        </w:rPr>
        <w:t xml:space="preserve">when they replace carbon-intensive clinker, some of the emissions associated with cement can be avoided. Blended cements are a variety of cement that utilize multiple SCMs. For example, CEM V/A designation cement consists of 52% clinker, 28% ground granulated blast furnace slag, 10% pozzolana (a silica sand), and 10% fly ash </w:t>
      </w:r>
      <w:r w:rsidR="009B0EFA">
        <w:rPr>
          <w:bCs/>
        </w:rPr>
        <w:fldChar w:fldCharType="begin"/>
      </w:r>
      <w:r w:rsidR="009B0EFA">
        <w:rPr>
          <w:bCs/>
        </w:rPr>
        <w:instrText xml:space="preserve"> ADDIN ZOTERO_ITEM CSL_CITATION {"citationID":"rqBvwAdp","properties":{"formattedCitation":"(Garc\\uc0\\u237{}a-Gusano et al., 2015)","plainCitation":"(García-Gusano et al., 2015)","noteIndex":0},"citationItems":[{"id":5748,"uris":["http://zotero.org/groups/2241940/items/QEWJAD3V"],"uri":["http://zotero.org/groups/2241940/items/QEWJAD3V"],"itemData":{"id":5748,"type":"article-journal","container-title":"Clean Technologies and Environmental Policy","DOI":"10.1007/s10098-014-0757-0","ISSN":"1618-954X, 1618-9558","issue":"1","journalAbbreviation":"Clean Techn Environ Policy","language":"en","page":"59-73","source":"DOI.org (Crossref)","title":"Life cycle assessment of the Spanish cement industry: implementation of environmental-friendly solutions","title-short":"Life cycle assessment of the Spanish cement industry","volume":"17","author":[{"family":"García-Gusano","given":"Diego"},{"family":"Herrera","given":"Israel"},{"family":"Garraín","given":"Daniel"},{"family":"Lechón","given":"Yolanda"},{"family":"Cabal","given":"Helena"}],"issued":{"date-parts":[["2015",1]]}}}],"schema":"https://github.com/citation-style-language/schema/raw/master/csl-citation.json"} </w:instrText>
      </w:r>
      <w:r w:rsidR="009B0EFA">
        <w:rPr>
          <w:bCs/>
        </w:rPr>
        <w:fldChar w:fldCharType="separate"/>
      </w:r>
      <w:r w:rsidR="009B0EFA" w:rsidRPr="009B0EFA">
        <w:t>(García-Gusano et al., 2015)</w:t>
      </w:r>
      <w:r w:rsidR="009B0EFA">
        <w:rPr>
          <w:bCs/>
        </w:rPr>
        <w:fldChar w:fldCharType="end"/>
      </w:r>
      <w:r w:rsidR="009B0EFA">
        <w:rPr>
          <w:bCs/>
        </w:rPr>
        <w:t>. Another type of blended cement, limestone calcined clay cement (LC</w:t>
      </w:r>
      <w:r w:rsidR="009B0EFA" w:rsidRPr="009B0EFA">
        <w:rPr>
          <w:bCs/>
          <w:vertAlign w:val="superscript"/>
        </w:rPr>
        <w:t>3</w:t>
      </w:r>
      <w:r w:rsidR="009B0EFA">
        <w:rPr>
          <w:bCs/>
        </w:rPr>
        <w:t xml:space="preserve">), uses a clinker </w:t>
      </w:r>
      <w:r w:rsidR="009B4FFB">
        <w:rPr>
          <w:bCs/>
        </w:rPr>
        <w:t xml:space="preserve">substitution </w:t>
      </w:r>
      <w:r w:rsidR="009B0EFA">
        <w:rPr>
          <w:bCs/>
        </w:rPr>
        <w:t xml:space="preserve">of </w:t>
      </w:r>
      <w:r w:rsidR="00AF53EB">
        <w:rPr>
          <w:bCs/>
        </w:rPr>
        <w:t>45</w:t>
      </w:r>
      <w:r w:rsidR="009B0EFA">
        <w:rPr>
          <w:bCs/>
        </w:rPr>
        <w:t xml:space="preserve">% </w:t>
      </w:r>
      <w:r w:rsidR="009B4FFB">
        <w:rPr>
          <w:bCs/>
        </w:rPr>
        <w:t>composed of</w:t>
      </w:r>
      <w:r w:rsidR="009B0EFA">
        <w:rPr>
          <w:bCs/>
        </w:rPr>
        <w:t xml:space="preserve"> limestone</w:t>
      </w:r>
      <w:r w:rsidR="00AF53EB">
        <w:rPr>
          <w:bCs/>
        </w:rPr>
        <w:t xml:space="preserve"> (15%)</w:t>
      </w:r>
      <w:r w:rsidR="009B0EFA">
        <w:rPr>
          <w:bCs/>
        </w:rPr>
        <w:t xml:space="preserve"> and calcined clays</w:t>
      </w:r>
      <w:r w:rsidR="00AF53EB">
        <w:rPr>
          <w:bCs/>
        </w:rPr>
        <w:t>, such as metakaolin (30%)</w:t>
      </w:r>
      <w:r w:rsidR="009B4FFB">
        <w:rPr>
          <w:bCs/>
        </w:rPr>
        <w:t>,</w:t>
      </w:r>
      <w:r w:rsidR="009B0EFA">
        <w:rPr>
          <w:bCs/>
        </w:rPr>
        <w:t xml:space="preserve"> which has </w:t>
      </w:r>
      <w:r w:rsidR="00AF53EB">
        <w:rPr>
          <w:bCs/>
        </w:rPr>
        <w:t xml:space="preserve">been shown to outperform a 100% clinker counterpart in compressive strength </w:t>
      </w:r>
      <w:r w:rsidR="00AF53EB">
        <w:rPr>
          <w:bCs/>
        </w:rPr>
        <w:fldChar w:fldCharType="begin"/>
      </w:r>
      <w:r w:rsidR="00AF53EB">
        <w:rPr>
          <w:bCs/>
        </w:rPr>
        <w:instrText xml:space="preserve"> ADDIN ZOTERO_ITEM CSL_CITATION {"citationID":"ZCYduPIx","properties":{"formattedCitation":"(Antoni et al., 2012)","plainCitation":"(Antoni et al., 2012)","noteIndex":0},"citationItems":[{"id":5994,"uris":["http://zotero.org/groups/2241940/items/5KBQEKUU"],"uri":["http://zotero.org/groups/2241940/items/5KBQEKUU"],"itemData":{"id":5994,"type":"article-journal","abstract":"This study investigates the coupled substitution of metakaolin and limestone in Portland cement (PC). The mechanical properties were studied in mortars and the microstructural development in pastes by X-ray diffraction, thermogravimetry analysis, mercury intrusion porosimetry and isothermal calorimetry. We show that 45% of substitution by 30% of metakaolin and 15% of limestone gives better mechanical properties at 7 and 28 days than the 100% PC reference. Our results show that calcium carbonate reacts with alumina from the metakaolin, forming supplementary AFm phases and stabilizing ettringite. Using simple mass balance calculations derived from thermogravimetry results, we also present the thermodynamic simulation for the system, which agrees fairly well with the experimental observations.","container-title":"Cement and Concrete Research","DOI":"10.1016/j.cemconres.2012.09.006","ISSN":"00088846","issue":"12","journalAbbreviation":"Cement and Concrete Research","language":"en","page":"1579-1589","source":"DOI.org (Crossref)","title":"Cement substitution by a combination of metakaolin and limestone","volume":"42","author":[{"family":"Antoni","given":"M."},{"family":"Rossen","given":"J."},{"family":"Martirena","given":"F."},{"family":"Scrivener","given":"K."}],"issued":{"date-parts":[["2012",12]]}}}],"schema":"https://github.com/citation-style-language/schema/raw/master/csl-citation.json"} </w:instrText>
      </w:r>
      <w:r w:rsidR="00AF53EB">
        <w:rPr>
          <w:bCs/>
        </w:rPr>
        <w:fldChar w:fldCharType="separate"/>
      </w:r>
      <w:r w:rsidR="00AF53EB">
        <w:rPr>
          <w:bCs/>
          <w:noProof/>
        </w:rPr>
        <w:t>(Antoni et al., 2012)</w:t>
      </w:r>
      <w:r w:rsidR="00AF53EB">
        <w:rPr>
          <w:bCs/>
        </w:rPr>
        <w:fldChar w:fldCharType="end"/>
      </w:r>
      <w:r w:rsidR="006F3D62">
        <w:rPr>
          <w:bCs/>
        </w:rPr>
        <w:t>.</w:t>
      </w:r>
      <w:r w:rsidR="008A17C3">
        <w:rPr>
          <w:bCs/>
        </w:rPr>
        <w:t xml:space="preserve"> The agen</w:t>
      </w:r>
      <w:r w:rsidR="00FC32CC">
        <w:rPr>
          <w:bCs/>
        </w:rPr>
        <w:t>cy</w:t>
      </w:r>
      <w:r w:rsidR="008A17C3">
        <w:rPr>
          <w:bCs/>
        </w:rPr>
        <w:t xml:space="preserve"> level at which alternative cements are typically adopted are at the building designer or contractor. Building designers specify the type of concrete or mortar that is used and have the ability to specify target reductions in clinker</w:t>
      </w:r>
      <w:r w:rsidR="00A07778">
        <w:rPr>
          <w:bCs/>
        </w:rPr>
        <w:t>, yet</w:t>
      </w:r>
      <w:r w:rsidR="008A17C3">
        <w:rPr>
          <w:bCs/>
        </w:rPr>
        <w:t xml:space="preserve"> </w:t>
      </w:r>
      <w:r w:rsidR="00A07778">
        <w:rPr>
          <w:bCs/>
        </w:rPr>
        <w:t>builders</w:t>
      </w:r>
      <w:r w:rsidR="008A17C3">
        <w:rPr>
          <w:bCs/>
        </w:rPr>
        <w:t xml:space="preserve"> </w:t>
      </w:r>
      <w:r w:rsidR="00BA3985">
        <w:rPr>
          <w:bCs/>
        </w:rPr>
        <w:t>often</w:t>
      </w:r>
      <w:r w:rsidR="008A17C3">
        <w:rPr>
          <w:bCs/>
        </w:rPr>
        <w:t xml:space="preserve"> have control over the mix design used.</w:t>
      </w:r>
    </w:p>
    <w:p w14:paraId="23B7AF30" w14:textId="7AF3B48E" w:rsidR="00301E29" w:rsidRPr="00611B61" w:rsidRDefault="00611B61" w:rsidP="00301E29">
      <w:pPr>
        <w:pStyle w:val="Heading3"/>
      </w:pPr>
      <w:bookmarkStart w:id="11" w:name="_Toc38211626"/>
      <w:r>
        <w:t>Solution Definition</w:t>
      </w:r>
      <w:bookmarkEnd w:id="11"/>
    </w:p>
    <w:p w14:paraId="0814D971" w14:textId="5E54E137" w:rsidR="00F36327" w:rsidRDefault="00611B61" w:rsidP="00EB247F">
      <w:pPr>
        <w:rPr>
          <w:bCs/>
        </w:rPr>
      </w:pPr>
      <w:r>
        <w:rPr>
          <w:bCs/>
        </w:rPr>
        <w:t xml:space="preserve">The conventional technology as defined as the use of Type I/CEM I cement (i.e., high clinker cement), while the solution technology of Alternative Cements is defined as the suite of other cement standard designations (see </w:t>
      </w:r>
      <w:r>
        <w:rPr>
          <w:bCs/>
        </w:rPr>
        <w:fldChar w:fldCharType="begin"/>
      </w:r>
      <w:r>
        <w:rPr>
          <w:bCs/>
        </w:rPr>
        <w:instrText xml:space="preserve"> REF _Ref38202204 \h </w:instrText>
      </w:r>
      <w:r>
        <w:rPr>
          <w:bCs/>
        </w:rPr>
      </w:r>
      <w:r>
        <w:rPr>
          <w:bCs/>
        </w:rPr>
        <w:fldChar w:fldCharType="separate"/>
      </w:r>
      <w:r w:rsidR="008F2A2C">
        <w:t xml:space="preserve">Table </w:t>
      </w:r>
      <w:r w:rsidR="008F2A2C">
        <w:rPr>
          <w:noProof/>
        </w:rPr>
        <w:t>1</w:t>
      </w:r>
      <w:r w:rsidR="008F2A2C">
        <w:t>.</w:t>
      </w:r>
      <w:r w:rsidR="008F2A2C">
        <w:rPr>
          <w:noProof/>
        </w:rPr>
        <w:t>1</w:t>
      </w:r>
      <w:r>
        <w:rPr>
          <w:bCs/>
        </w:rPr>
        <w:fldChar w:fldCharType="end"/>
      </w:r>
      <w:r>
        <w:rPr>
          <w:bCs/>
        </w:rPr>
        <w:t xml:space="preserve">) in conjunction with reductions to manufacturing emissions. </w:t>
      </w:r>
      <w:r w:rsidR="00B83E85">
        <w:rPr>
          <w:bCs/>
        </w:rPr>
        <w:t xml:space="preserve">The chemical compositions of both ordinary portland cement and alternative cements are described by various standards (i.e., </w:t>
      </w:r>
      <w:r w:rsidR="00B83E85">
        <w:t xml:space="preserve">ASTM </w:t>
      </w:r>
      <w:r w:rsidR="00B83E85">
        <w:rPr>
          <w:bCs/>
        </w:rPr>
        <w:t xml:space="preserve">C150, ASTM </w:t>
      </w:r>
      <w:r w:rsidR="00B83E85">
        <w:t>C595 and EN 197</w:t>
      </w:r>
      <w:r w:rsidR="00B83E85">
        <w:rPr>
          <w:bCs/>
        </w:rPr>
        <w:t>).</w:t>
      </w:r>
      <w:r w:rsidR="003749C0">
        <w:rPr>
          <w:bCs/>
        </w:rPr>
        <w:t xml:space="preserve"> The ASTM standards are most commonly used in the United States</w:t>
      </w:r>
      <w:r w:rsidR="00AB4104">
        <w:rPr>
          <w:bCs/>
        </w:rPr>
        <w:t xml:space="preserve"> building code</w:t>
      </w:r>
      <w:r w:rsidR="003749C0">
        <w:rPr>
          <w:bCs/>
        </w:rPr>
        <w:t xml:space="preserve">, while the EN standards are referred to by building codes throughout the world. </w:t>
      </w:r>
      <w:r w:rsidR="003749C0">
        <w:rPr>
          <w:bCs/>
        </w:rPr>
        <w:fldChar w:fldCharType="begin"/>
      </w:r>
      <w:r w:rsidR="003749C0">
        <w:rPr>
          <w:bCs/>
        </w:rPr>
        <w:instrText xml:space="preserve"> REF _Ref38202204 \h </w:instrText>
      </w:r>
      <w:r w:rsidR="003749C0">
        <w:rPr>
          <w:bCs/>
        </w:rPr>
      </w:r>
      <w:r w:rsidR="003749C0">
        <w:rPr>
          <w:bCs/>
        </w:rPr>
        <w:fldChar w:fldCharType="separate"/>
      </w:r>
      <w:r w:rsidR="008F2A2C">
        <w:t xml:space="preserve">Table </w:t>
      </w:r>
      <w:r w:rsidR="008F2A2C">
        <w:rPr>
          <w:noProof/>
        </w:rPr>
        <w:t>1</w:t>
      </w:r>
      <w:r w:rsidR="008F2A2C">
        <w:t>.</w:t>
      </w:r>
      <w:r w:rsidR="008F2A2C">
        <w:rPr>
          <w:noProof/>
        </w:rPr>
        <w:t>1</w:t>
      </w:r>
      <w:r w:rsidR="003749C0">
        <w:rPr>
          <w:bCs/>
        </w:rPr>
        <w:fldChar w:fldCharType="end"/>
      </w:r>
      <w:r w:rsidR="003749C0">
        <w:rPr>
          <w:bCs/>
        </w:rPr>
        <w:t xml:space="preserve"> summarizes the CEM and ASTM designations for cement. Note that there are similarities between the two standards</w:t>
      </w:r>
      <w:r w:rsidR="00AB4104">
        <w:rPr>
          <w:bCs/>
        </w:rPr>
        <w:t xml:space="preserve"> and some types of cement are grouped together</w:t>
      </w:r>
      <w:r w:rsidR="003749C0">
        <w:rPr>
          <w:bCs/>
        </w:rPr>
        <w:t xml:space="preserve">. </w:t>
      </w:r>
    </w:p>
    <w:p w14:paraId="4BEEB525" w14:textId="0026D0BC" w:rsidR="003749C0" w:rsidRDefault="003749C0" w:rsidP="003749C0">
      <w:pPr>
        <w:pStyle w:val="Caption"/>
        <w:keepNext/>
        <w:jc w:val="center"/>
      </w:pPr>
      <w:bookmarkStart w:id="12" w:name="_Ref38202204"/>
      <w:bookmarkStart w:id="13" w:name="_Toc38211664"/>
      <w:r>
        <w:t xml:space="preserve">Table </w:t>
      </w:r>
      <w:fldSimple w:instr=" STYLEREF 1 \s ">
        <w:r w:rsidR="008F2A2C">
          <w:rPr>
            <w:noProof/>
          </w:rPr>
          <w:t>1</w:t>
        </w:r>
      </w:fldSimple>
      <w:r w:rsidR="00F36327">
        <w:t>.</w:t>
      </w:r>
      <w:fldSimple w:instr=" SEQ Table \* ARABIC \s 1 ">
        <w:r w:rsidR="008F2A2C">
          <w:rPr>
            <w:noProof/>
          </w:rPr>
          <w:t>1</w:t>
        </w:r>
      </w:fldSimple>
      <w:bookmarkEnd w:id="12"/>
      <w:r>
        <w:t>. Designations of ASTM and CEM cement standards</w:t>
      </w:r>
      <w:r w:rsidR="00AB4104">
        <w:t xml:space="preserve"> and common applications</w:t>
      </w:r>
      <w:r>
        <w:t>.</w:t>
      </w:r>
      <w:bookmarkEnd w:id="13"/>
    </w:p>
    <w:tbl>
      <w:tblPr>
        <w:tblStyle w:val="TableGrid"/>
        <w:tblW w:w="7735" w:type="dxa"/>
        <w:jc w:val="center"/>
        <w:tblLook w:val="04A0" w:firstRow="1" w:lastRow="0" w:firstColumn="1" w:lastColumn="0" w:noHBand="0" w:noVBand="1"/>
      </w:tblPr>
      <w:tblGrid>
        <w:gridCol w:w="1705"/>
        <w:gridCol w:w="2610"/>
        <w:gridCol w:w="1501"/>
        <w:gridCol w:w="1919"/>
      </w:tblGrid>
      <w:tr w:rsidR="00AB4104" w:rsidRPr="00E91BE1" w14:paraId="43F8793E" w14:textId="1219406A" w:rsidTr="00AB4104">
        <w:trPr>
          <w:cantSplit/>
          <w:trHeight w:val="594"/>
          <w:tblHeader/>
          <w:jc w:val="center"/>
        </w:trPr>
        <w:tc>
          <w:tcPr>
            <w:tcW w:w="1705" w:type="dxa"/>
            <w:shd w:val="clear" w:color="auto" w:fill="4F81BD" w:themeFill="accent1"/>
          </w:tcPr>
          <w:p w14:paraId="2DFBAA59" w14:textId="2CBD8FA4" w:rsidR="00AB4104" w:rsidRPr="00E91BE1" w:rsidRDefault="00AB4104" w:rsidP="009F4DD0">
            <w:pPr>
              <w:spacing w:line="240" w:lineRule="auto"/>
              <w:jc w:val="center"/>
              <w:rPr>
                <w:b/>
                <w:color w:val="FFFFFF" w:themeColor="background1"/>
                <w:sz w:val="20"/>
                <w:szCs w:val="20"/>
              </w:rPr>
            </w:pPr>
            <w:r>
              <w:rPr>
                <w:b/>
                <w:color w:val="FFFFFF" w:themeColor="background1"/>
                <w:sz w:val="20"/>
                <w:szCs w:val="20"/>
              </w:rPr>
              <w:t>Designation</w:t>
            </w:r>
          </w:p>
        </w:tc>
        <w:tc>
          <w:tcPr>
            <w:tcW w:w="2610" w:type="dxa"/>
            <w:shd w:val="clear" w:color="auto" w:fill="4F81BD" w:themeFill="accent1"/>
          </w:tcPr>
          <w:p w14:paraId="489E92A5" w14:textId="4C43207D" w:rsidR="00AB4104" w:rsidRDefault="00AB4104" w:rsidP="009F4DD0">
            <w:pPr>
              <w:spacing w:line="240" w:lineRule="auto"/>
              <w:jc w:val="center"/>
              <w:rPr>
                <w:b/>
                <w:color w:val="FFFFFF" w:themeColor="background1"/>
                <w:sz w:val="20"/>
                <w:szCs w:val="20"/>
              </w:rPr>
            </w:pPr>
            <w:r>
              <w:rPr>
                <w:b/>
                <w:color w:val="FFFFFF" w:themeColor="background1"/>
                <w:sz w:val="20"/>
                <w:szCs w:val="20"/>
              </w:rPr>
              <w:t>Description and Purpose</w:t>
            </w:r>
          </w:p>
        </w:tc>
        <w:tc>
          <w:tcPr>
            <w:tcW w:w="1501" w:type="dxa"/>
            <w:shd w:val="clear" w:color="auto" w:fill="4F81BD" w:themeFill="accent1"/>
          </w:tcPr>
          <w:p w14:paraId="2AC2E177" w14:textId="55340B33" w:rsidR="00AB4104" w:rsidRPr="00E91BE1" w:rsidRDefault="00AB4104" w:rsidP="009F4DD0">
            <w:pPr>
              <w:spacing w:line="240" w:lineRule="auto"/>
              <w:jc w:val="center"/>
              <w:rPr>
                <w:b/>
                <w:color w:val="FFFFFF" w:themeColor="background1"/>
                <w:sz w:val="20"/>
                <w:szCs w:val="20"/>
              </w:rPr>
            </w:pPr>
            <w:r>
              <w:rPr>
                <w:b/>
                <w:color w:val="FFFFFF" w:themeColor="background1"/>
                <w:sz w:val="20"/>
                <w:szCs w:val="20"/>
              </w:rPr>
              <w:t>Clinker Content</w:t>
            </w:r>
          </w:p>
        </w:tc>
        <w:tc>
          <w:tcPr>
            <w:tcW w:w="1919" w:type="dxa"/>
            <w:shd w:val="clear" w:color="auto" w:fill="4F81BD" w:themeFill="accent1"/>
          </w:tcPr>
          <w:p w14:paraId="11505080" w14:textId="744E6427" w:rsidR="00AB4104" w:rsidRDefault="00AB4104" w:rsidP="009F4DD0">
            <w:pPr>
              <w:spacing w:line="240" w:lineRule="auto"/>
              <w:jc w:val="center"/>
              <w:rPr>
                <w:b/>
                <w:color w:val="FFFFFF" w:themeColor="background1"/>
                <w:sz w:val="20"/>
                <w:szCs w:val="20"/>
              </w:rPr>
            </w:pPr>
            <w:r>
              <w:rPr>
                <w:b/>
                <w:color w:val="FFFFFF" w:themeColor="background1"/>
                <w:sz w:val="20"/>
                <w:szCs w:val="20"/>
              </w:rPr>
              <w:t>Clinker Substitute</w:t>
            </w:r>
          </w:p>
        </w:tc>
      </w:tr>
      <w:tr w:rsidR="00AB4104" w:rsidRPr="00E91BE1" w14:paraId="1B5A052F" w14:textId="4ED3FE8D" w:rsidTr="00AB4104">
        <w:trPr>
          <w:trHeight w:val="334"/>
          <w:jc w:val="center"/>
        </w:trPr>
        <w:tc>
          <w:tcPr>
            <w:tcW w:w="1705" w:type="dxa"/>
            <w:shd w:val="clear" w:color="auto" w:fill="auto"/>
          </w:tcPr>
          <w:p w14:paraId="2E501D56" w14:textId="471457A6" w:rsidR="00AB4104" w:rsidRPr="00441CF2" w:rsidRDefault="00AB4104" w:rsidP="009F4DD0">
            <w:pPr>
              <w:spacing w:line="240" w:lineRule="auto"/>
              <w:rPr>
                <w:sz w:val="20"/>
                <w:szCs w:val="20"/>
              </w:rPr>
            </w:pPr>
            <w:r>
              <w:rPr>
                <w:sz w:val="20"/>
                <w:szCs w:val="20"/>
              </w:rPr>
              <w:t>EN: CEM II / ASTM: Type I</w:t>
            </w:r>
          </w:p>
        </w:tc>
        <w:tc>
          <w:tcPr>
            <w:tcW w:w="2610" w:type="dxa"/>
          </w:tcPr>
          <w:p w14:paraId="1212DAA1" w14:textId="2091C65F" w:rsidR="00AB4104" w:rsidRPr="00B920BF" w:rsidRDefault="00AB4104" w:rsidP="009F4DD0">
            <w:pPr>
              <w:spacing w:line="240" w:lineRule="auto"/>
              <w:jc w:val="center"/>
              <w:rPr>
                <w:sz w:val="20"/>
                <w:szCs w:val="20"/>
              </w:rPr>
            </w:pPr>
            <w:r>
              <w:rPr>
                <w:sz w:val="20"/>
                <w:szCs w:val="20"/>
              </w:rPr>
              <w:t>General purpose OPC</w:t>
            </w:r>
          </w:p>
        </w:tc>
        <w:tc>
          <w:tcPr>
            <w:tcW w:w="1501" w:type="dxa"/>
          </w:tcPr>
          <w:p w14:paraId="52822F9A" w14:textId="5C749FFB" w:rsidR="00AB4104" w:rsidRPr="00B920BF" w:rsidRDefault="00AB4104" w:rsidP="009F4DD0">
            <w:pPr>
              <w:spacing w:line="240" w:lineRule="auto"/>
              <w:jc w:val="center"/>
              <w:rPr>
                <w:sz w:val="20"/>
                <w:szCs w:val="20"/>
              </w:rPr>
            </w:pPr>
            <w:r>
              <w:rPr>
                <w:sz w:val="20"/>
                <w:szCs w:val="20"/>
              </w:rPr>
              <w:t>&gt;0.95</w:t>
            </w:r>
          </w:p>
        </w:tc>
        <w:tc>
          <w:tcPr>
            <w:tcW w:w="1919" w:type="dxa"/>
          </w:tcPr>
          <w:p w14:paraId="67690C19" w14:textId="5F8AC4E0" w:rsidR="00AB4104" w:rsidRPr="00B920BF" w:rsidRDefault="00AB4104" w:rsidP="009F4DD0">
            <w:pPr>
              <w:spacing w:line="240" w:lineRule="auto"/>
              <w:jc w:val="center"/>
              <w:rPr>
                <w:sz w:val="20"/>
                <w:szCs w:val="20"/>
              </w:rPr>
            </w:pPr>
            <w:r>
              <w:rPr>
                <w:sz w:val="20"/>
                <w:szCs w:val="20"/>
              </w:rPr>
              <w:t>Gypsum</w:t>
            </w:r>
          </w:p>
        </w:tc>
      </w:tr>
      <w:tr w:rsidR="00AB4104" w:rsidRPr="00E91BE1" w14:paraId="188A4449" w14:textId="6C8A7E7F" w:rsidTr="00AB4104">
        <w:trPr>
          <w:trHeight w:val="315"/>
          <w:jc w:val="center"/>
        </w:trPr>
        <w:tc>
          <w:tcPr>
            <w:tcW w:w="1705" w:type="dxa"/>
            <w:shd w:val="clear" w:color="auto" w:fill="auto"/>
          </w:tcPr>
          <w:p w14:paraId="67859624" w14:textId="30B66444" w:rsidR="00AB4104" w:rsidRPr="00441CF2" w:rsidRDefault="00AB4104" w:rsidP="009F4DD0">
            <w:pPr>
              <w:spacing w:line="240" w:lineRule="auto"/>
              <w:rPr>
                <w:sz w:val="20"/>
                <w:szCs w:val="20"/>
              </w:rPr>
            </w:pPr>
            <w:r>
              <w:rPr>
                <w:sz w:val="20"/>
                <w:szCs w:val="20"/>
              </w:rPr>
              <w:t>ASTM: Type II</w:t>
            </w:r>
          </w:p>
        </w:tc>
        <w:tc>
          <w:tcPr>
            <w:tcW w:w="2610" w:type="dxa"/>
          </w:tcPr>
          <w:p w14:paraId="3358673C" w14:textId="5B9ABF21" w:rsidR="00AB4104" w:rsidRPr="00B920BF" w:rsidRDefault="00AB4104" w:rsidP="009F4DD0">
            <w:pPr>
              <w:spacing w:line="240" w:lineRule="auto"/>
              <w:jc w:val="center"/>
              <w:rPr>
                <w:sz w:val="20"/>
                <w:szCs w:val="20"/>
              </w:rPr>
            </w:pPr>
            <w:r>
              <w:rPr>
                <w:sz w:val="20"/>
                <w:szCs w:val="20"/>
              </w:rPr>
              <w:t>Moderate sulfate resistance OPC</w:t>
            </w:r>
          </w:p>
        </w:tc>
        <w:tc>
          <w:tcPr>
            <w:tcW w:w="1501" w:type="dxa"/>
          </w:tcPr>
          <w:p w14:paraId="0ADDDA84" w14:textId="6C31785E" w:rsidR="00AB4104" w:rsidRPr="00B920BF" w:rsidRDefault="00AB4104" w:rsidP="009F4DD0">
            <w:pPr>
              <w:spacing w:line="240" w:lineRule="auto"/>
              <w:jc w:val="center"/>
              <w:rPr>
                <w:sz w:val="20"/>
                <w:szCs w:val="20"/>
              </w:rPr>
            </w:pPr>
            <w:r>
              <w:rPr>
                <w:sz w:val="20"/>
                <w:szCs w:val="20"/>
              </w:rPr>
              <w:t>&gt;0.95</w:t>
            </w:r>
          </w:p>
        </w:tc>
        <w:tc>
          <w:tcPr>
            <w:tcW w:w="1919" w:type="dxa"/>
          </w:tcPr>
          <w:p w14:paraId="7C14C1F5" w14:textId="23841CAA" w:rsidR="00AB4104" w:rsidRPr="00B920BF" w:rsidRDefault="00AB4104" w:rsidP="009F4DD0">
            <w:pPr>
              <w:spacing w:line="240" w:lineRule="auto"/>
              <w:jc w:val="center"/>
              <w:rPr>
                <w:sz w:val="20"/>
                <w:szCs w:val="20"/>
              </w:rPr>
            </w:pPr>
            <w:r>
              <w:rPr>
                <w:sz w:val="20"/>
                <w:szCs w:val="20"/>
              </w:rPr>
              <w:t>Gypsum</w:t>
            </w:r>
          </w:p>
        </w:tc>
      </w:tr>
      <w:tr w:rsidR="00AB4104" w:rsidRPr="00E91BE1" w14:paraId="14EE6E5D" w14:textId="2F1D4376" w:rsidTr="00AB4104">
        <w:trPr>
          <w:trHeight w:val="315"/>
          <w:jc w:val="center"/>
        </w:trPr>
        <w:tc>
          <w:tcPr>
            <w:tcW w:w="1705" w:type="dxa"/>
            <w:shd w:val="clear" w:color="auto" w:fill="auto"/>
          </w:tcPr>
          <w:p w14:paraId="0B6A664F" w14:textId="2EE50CEE" w:rsidR="00AB4104" w:rsidRDefault="00AB4104" w:rsidP="009F4DD0">
            <w:pPr>
              <w:spacing w:line="240" w:lineRule="auto"/>
              <w:rPr>
                <w:sz w:val="20"/>
                <w:szCs w:val="20"/>
              </w:rPr>
            </w:pPr>
            <w:r>
              <w:rPr>
                <w:sz w:val="20"/>
                <w:szCs w:val="20"/>
              </w:rPr>
              <w:t>ASTM: Type III</w:t>
            </w:r>
          </w:p>
        </w:tc>
        <w:tc>
          <w:tcPr>
            <w:tcW w:w="2610" w:type="dxa"/>
          </w:tcPr>
          <w:p w14:paraId="1E07B22A" w14:textId="62A05ABA" w:rsidR="00AB4104" w:rsidRPr="00B920BF" w:rsidRDefault="00AB4104" w:rsidP="009F4DD0">
            <w:pPr>
              <w:spacing w:line="240" w:lineRule="auto"/>
              <w:jc w:val="center"/>
              <w:rPr>
                <w:sz w:val="20"/>
                <w:szCs w:val="20"/>
              </w:rPr>
            </w:pPr>
            <w:r>
              <w:rPr>
                <w:sz w:val="20"/>
                <w:szCs w:val="20"/>
              </w:rPr>
              <w:t>High early strength OPC</w:t>
            </w:r>
          </w:p>
        </w:tc>
        <w:tc>
          <w:tcPr>
            <w:tcW w:w="1501" w:type="dxa"/>
          </w:tcPr>
          <w:p w14:paraId="0BE3AA9C" w14:textId="2E898D2A" w:rsidR="00AB4104" w:rsidRPr="00B920BF" w:rsidRDefault="00AB4104" w:rsidP="009F4DD0">
            <w:pPr>
              <w:spacing w:line="240" w:lineRule="auto"/>
              <w:jc w:val="center"/>
              <w:rPr>
                <w:sz w:val="20"/>
                <w:szCs w:val="20"/>
              </w:rPr>
            </w:pPr>
            <w:r>
              <w:rPr>
                <w:sz w:val="20"/>
                <w:szCs w:val="20"/>
              </w:rPr>
              <w:t>&gt;0.95</w:t>
            </w:r>
          </w:p>
        </w:tc>
        <w:tc>
          <w:tcPr>
            <w:tcW w:w="1919" w:type="dxa"/>
          </w:tcPr>
          <w:p w14:paraId="3814E835" w14:textId="3D7162D9" w:rsidR="00AB4104" w:rsidRPr="00B920BF" w:rsidRDefault="00AB4104" w:rsidP="009F4DD0">
            <w:pPr>
              <w:spacing w:line="240" w:lineRule="auto"/>
              <w:jc w:val="center"/>
              <w:rPr>
                <w:sz w:val="20"/>
                <w:szCs w:val="20"/>
              </w:rPr>
            </w:pPr>
            <w:r>
              <w:rPr>
                <w:sz w:val="20"/>
                <w:szCs w:val="20"/>
              </w:rPr>
              <w:t>Gypsum</w:t>
            </w:r>
          </w:p>
        </w:tc>
      </w:tr>
      <w:tr w:rsidR="00AB4104" w:rsidRPr="00E91BE1" w14:paraId="348022F0" w14:textId="0E53C8CE" w:rsidTr="00AB4104">
        <w:trPr>
          <w:trHeight w:val="315"/>
          <w:jc w:val="center"/>
        </w:trPr>
        <w:tc>
          <w:tcPr>
            <w:tcW w:w="1705" w:type="dxa"/>
            <w:shd w:val="clear" w:color="auto" w:fill="auto"/>
          </w:tcPr>
          <w:p w14:paraId="1A0C9B36" w14:textId="0D3234B9" w:rsidR="00AB4104" w:rsidRPr="00441CF2" w:rsidRDefault="00AB4104" w:rsidP="009F4DD0">
            <w:pPr>
              <w:spacing w:line="240" w:lineRule="auto"/>
              <w:rPr>
                <w:sz w:val="20"/>
                <w:szCs w:val="20"/>
              </w:rPr>
            </w:pPr>
            <w:r>
              <w:rPr>
                <w:sz w:val="20"/>
                <w:szCs w:val="20"/>
              </w:rPr>
              <w:t>ASTM: Type IV</w:t>
            </w:r>
          </w:p>
        </w:tc>
        <w:tc>
          <w:tcPr>
            <w:tcW w:w="2610" w:type="dxa"/>
          </w:tcPr>
          <w:p w14:paraId="55882B54" w14:textId="5AC94CA1" w:rsidR="00AB4104" w:rsidRPr="00B920BF" w:rsidRDefault="00AB4104" w:rsidP="009F4DD0">
            <w:pPr>
              <w:spacing w:line="240" w:lineRule="auto"/>
              <w:jc w:val="center"/>
              <w:rPr>
                <w:sz w:val="20"/>
                <w:szCs w:val="20"/>
              </w:rPr>
            </w:pPr>
            <w:r>
              <w:rPr>
                <w:sz w:val="20"/>
                <w:szCs w:val="20"/>
              </w:rPr>
              <w:t>Low heat portland cement</w:t>
            </w:r>
          </w:p>
        </w:tc>
        <w:tc>
          <w:tcPr>
            <w:tcW w:w="1501" w:type="dxa"/>
          </w:tcPr>
          <w:p w14:paraId="70AB2DA6" w14:textId="66FA55A2" w:rsidR="00AB4104" w:rsidRPr="00B920BF" w:rsidRDefault="00AB4104" w:rsidP="009F4DD0">
            <w:pPr>
              <w:spacing w:line="240" w:lineRule="auto"/>
              <w:jc w:val="center"/>
              <w:rPr>
                <w:sz w:val="20"/>
                <w:szCs w:val="20"/>
              </w:rPr>
            </w:pPr>
            <w:r>
              <w:rPr>
                <w:sz w:val="20"/>
                <w:szCs w:val="20"/>
              </w:rPr>
              <w:t>&gt;0.95</w:t>
            </w:r>
          </w:p>
        </w:tc>
        <w:tc>
          <w:tcPr>
            <w:tcW w:w="1919" w:type="dxa"/>
          </w:tcPr>
          <w:p w14:paraId="72031AA2" w14:textId="032F7ABB" w:rsidR="00AB4104" w:rsidRPr="00B920BF" w:rsidRDefault="00AB4104" w:rsidP="009F4DD0">
            <w:pPr>
              <w:spacing w:line="240" w:lineRule="auto"/>
              <w:jc w:val="center"/>
              <w:rPr>
                <w:sz w:val="20"/>
                <w:szCs w:val="20"/>
              </w:rPr>
            </w:pPr>
            <w:r>
              <w:rPr>
                <w:sz w:val="20"/>
                <w:szCs w:val="20"/>
              </w:rPr>
              <w:t>Gypsum</w:t>
            </w:r>
          </w:p>
        </w:tc>
      </w:tr>
      <w:tr w:rsidR="00AB4104" w:rsidRPr="00E91BE1" w14:paraId="42D4912E" w14:textId="46E02004" w:rsidTr="00AB4104">
        <w:trPr>
          <w:trHeight w:val="315"/>
          <w:jc w:val="center"/>
        </w:trPr>
        <w:tc>
          <w:tcPr>
            <w:tcW w:w="1705" w:type="dxa"/>
            <w:shd w:val="clear" w:color="auto" w:fill="auto"/>
          </w:tcPr>
          <w:p w14:paraId="32C92170" w14:textId="3C066811" w:rsidR="00AB4104" w:rsidRDefault="00AB4104" w:rsidP="009F4DD0">
            <w:pPr>
              <w:spacing w:line="240" w:lineRule="auto"/>
              <w:rPr>
                <w:sz w:val="20"/>
                <w:szCs w:val="20"/>
              </w:rPr>
            </w:pPr>
            <w:r>
              <w:rPr>
                <w:sz w:val="20"/>
                <w:szCs w:val="20"/>
              </w:rPr>
              <w:t>ASTM: Type V</w:t>
            </w:r>
          </w:p>
        </w:tc>
        <w:tc>
          <w:tcPr>
            <w:tcW w:w="2610" w:type="dxa"/>
          </w:tcPr>
          <w:p w14:paraId="7DD1F10A" w14:textId="1252AF88" w:rsidR="00AB4104" w:rsidRPr="00B920BF" w:rsidRDefault="00AB4104" w:rsidP="009F4DD0">
            <w:pPr>
              <w:spacing w:line="240" w:lineRule="auto"/>
              <w:jc w:val="center"/>
              <w:rPr>
                <w:sz w:val="20"/>
                <w:szCs w:val="20"/>
              </w:rPr>
            </w:pPr>
            <w:r>
              <w:rPr>
                <w:sz w:val="20"/>
                <w:szCs w:val="20"/>
              </w:rPr>
              <w:t>Sulfate resistant portland cement</w:t>
            </w:r>
          </w:p>
        </w:tc>
        <w:tc>
          <w:tcPr>
            <w:tcW w:w="1501" w:type="dxa"/>
          </w:tcPr>
          <w:p w14:paraId="69148DC4" w14:textId="674CDDD0" w:rsidR="00AB4104" w:rsidRPr="00B920BF" w:rsidRDefault="00AB4104" w:rsidP="009F4DD0">
            <w:pPr>
              <w:spacing w:line="240" w:lineRule="auto"/>
              <w:jc w:val="center"/>
              <w:rPr>
                <w:sz w:val="20"/>
                <w:szCs w:val="20"/>
              </w:rPr>
            </w:pPr>
            <w:r>
              <w:rPr>
                <w:sz w:val="20"/>
                <w:szCs w:val="20"/>
              </w:rPr>
              <w:t>&gt;0.95</w:t>
            </w:r>
          </w:p>
        </w:tc>
        <w:tc>
          <w:tcPr>
            <w:tcW w:w="1919" w:type="dxa"/>
          </w:tcPr>
          <w:p w14:paraId="548F8E5D" w14:textId="36F0A12F" w:rsidR="00AB4104" w:rsidRPr="00B920BF" w:rsidRDefault="00AB4104" w:rsidP="009F4DD0">
            <w:pPr>
              <w:spacing w:line="240" w:lineRule="auto"/>
              <w:jc w:val="center"/>
              <w:rPr>
                <w:sz w:val="20"/>
                <w:szCs w:val="20"/>
              </w:rPr>
            </w:pPr>
            <w:r>
              <w:rPr>
                <w:sz w:val="20"/>
                <w:szCs w:val="20"/>
              </w:rPr>
              <w:t>Gypsum</w:t>
            </w:r>
          </w:p>
        </w:tc>
      </w:tr>
      <w:tr w:rsidR="00AB4104" w:rsidRPr="00E91BE1" w14:paraId="2CDB73C0" w14:textId="6A8F2276" w:rsidTr="00AB4104">
        <w:trPr>
          <w:trHeight w:val="352"/>
          <w:jc w:val="center"/>
        </w:trPr>
        <w:tc>
          <w:tcPr>
            <w:tcW w:w="1705" w:type="dxa"/>
            <w:shd w:val="clear" w:color="auto" w:fill="auto"/>
          </w:tcPr>
          <w:p w14:paraId="12553175" w14:textId="6BCF11B8" w:rsidR="00AB4104" w:rsidRDefault="00AB4104" w:rsidP="009F4DD0">
            <w:pPr>
              <w:spacing w:line="240" w:lineRule="auto"/>
              <w:rPr>
                <w:sz w:val="20"/>
                <w:szCs w:val="20"/>
              </w:rPr>
            </w:pPr>
            <w:r>
              <w:rPr>
                <w:sz w:val="20"/>
                <w:szCs w:val="20"/>
              </w:rPr>
              <w:t>EN: CEM III / ASTM Type IS</w:t>
            </w:r>
          </w:p>
        </w:tc>
        <w:tc>
          <w:tcPr>
            <w:tcW w:w="2610" w:type="dxa"/>
          </w:tcPr>
          <w:p w14:paraId="695705C1" w14:textId="5F593D99" w:rsidR="00AB4104" w:rsidRPr="00B920BF" w:rsidRDefault="00AB4104" w:rsidP="009F4DD0">
            <w:pPr>
              <w:spacing w:line="240" w:lineRule="auto"/>
              <w:jc w:val="center"/>
              <w:rPr>
                <w:sz w:val="20"/>
                <w:szCs w:val="20"/>
              </w:rPr>
            </w:pPr>
            <w:r>
              <w:rPr>
                <w:sz w:val="20"/>
                <w:szCs w:val="20"/>
              </w:rPr>
              <w:t>Portland blast-furnace slag cement</w:t>
            </w:r>
          </w:p>
        </w:tc>
        <w:tc>
          <w:tcPr>
            <w:tcW w:w="1501" w:type="dxa"/>
          </w:tcPr>
          <w:p w14:paraId="4A84BC6B" w14:textId="7F82B519" w:rsidR="00AB4104" w:rsidRPr="00B920BF" w:rsidRDefault="00AB4104" w:rsidP="009F4DD0">
            <w:pPr>
              <w:spacing w:line="240" w:lineRule="auto"/>
              <w:jc w:val="center"/>
              <w:rPr>
                <w:sz w:val="20"/>
                <w:szCs w:val="20"/>
              </w:rPr>
            </w:pPr>
            <w:r>
              <w:rPr>
                <w:sz w:val="20"/>
                <w:szCs w:val="20"/>
              </w:rPr>
              <w:t>0.05-0.64</w:t>
            </w:r>
          </w:p>
        </w:tc>
        <w:tc>
          <w:tcPr>
            <w:tcW w:w="1919" w:type="dxa"/>
          </w:tcPr>
          <w:p w14:paraId="613D1FA6" w14:textId="6853628E" w:rsidR="00AB4104" w:rsidRPr="00B920BF" w:rsidRDefault="00AB4104" w:rsidP="009F4DD0">
            <w:pPr>
              <w:spacing w:line="240" w:lineRule="auto"/>
              <w:jc w:val="center"/>
              <w:rPr>
                <w:sz w:val="20"/>
                <w:szCs w:val="20"/>
              </w:rPr>
            </w:pPr>
            <w:r>
              <w:rPr>
                <w:sz w:val="20"/>
                <w:szCs w:val="20"/>
              </w:rPr>
              <w:t>Blast-furnace slag</w:t>
            </w:r>
          </w:p>
        </w:tc>
      </w:tr>
      <w:tr w:rsidR="00AB4104" w:rsidRPr="00E91BE1" w14:paraId="0C741E18" w14:textId="3443D066" w:rsidTr="00AB4104">
        <w:trPr>
          <w:trHeight w:val="352"/>
          <w:jc w:val="center"/>
        </w:trPr>
        <w:tc>
          <w:tcPr>
            <w:tcW w:w="1705" w:type="dxa"/>
            <w:shd w:val="clear" w:color="auto" w:fill="auto"/>
          </w:tcPr>
          <w:p w14:paraId="257333D0" w14:textId="2D918CE2" w:rsidR="00AB4104" w:rsidRDefault="00AB4104" w:rsidP="009F4DD0">
            <w:pPr>
              <w:rPr>
                <w:sz w:val="20"/>
                <w:szCs w:val="20"/>
              </w:rPr>
            </w:pPr>
            <w:r>
              <w:rPr>
                <w:sz w:val="20"/>
                <w:szCs w:val="20"/>
              </w:rPr>
              <w:t>ASTM Type IL</w:t>
            </w:r>
          </w:p>
        </w:tc>
        <w:tc>
          <w:tcPr>
            <w:tcW w:w="2610" w:type="dxa"/>
          </w:tcPr>
          <w:p w14:paraId="4F977373" w14:textId="3A498659" w:rsidR="00AB4104" w:rsidRDefault="00AB4104" w:rsidP="009F4DD0">
            <w:pPr>
              <w:jc w:val="center"/>
              <w:rPr>
                <w:sz w:val="20"/>
                <w:szCs w:val="20"/>
              </w:rPr>
            </w:pPr>
            <w:r>
              <w:rPr>
                <w:sz w:val="20"/>
                <w:szCs w:val="20"/>
              </w:rPr>
              <w:t>Limestone cement</w:t>
            </w:r>
          </w:p>
        </w:tc>
        <w:tc>
          <w:tcPr>
            <w:tcW w:w="1501" w:type="dxa"/>
          </w:tcPr>
          <w:p w14:paraId="0034E829" w14:textId="1E495DE9" w:rsidR="00AB4104" w:rsidRDefault="00AB4104" w:rsidP="009F4DD0">
            <w:pPr>
              <w:jc w:val="center"/>
              <w:rPr>
                <w:sz w:val="20"/>
                <w:szCs w:val="20"/>
              </w:rPr>
            </w:pPr>
            <w:r>
              <w:rPr>
                <w:sz w:val="20"/>
                <w:szCs w:val="20"/>
              </w:rPr>
              <w:t>0.85-0.95</w:t>
            </w:r>
          </w:p>
        </w:tc>
        <w:tc>
          <w:tcPr>
            <w:tcW w:w="1919" w:type="dxa"/>
          </w:tcPr>
          <w:p w14:paraId="08BB1728" w14:textId="7CE33F4A" w:rsidR="00AB4104" w:rsidRPr="00B920BF" w:rsidRDefault="00AB4104" w:rsidP="009F4DD0">
            <w:pPr>
              <w:jc w:val="center"/>
              <w:rPr>
                <w:sz w:val="20"/>
                <w:szCs w:val="20"/>
              </w:rPr>
            </w:pPr>
            <w:r>
              <w:rPr>
                <w:sz w:val="20"/>
                <w:szCs w:val="20"/>
              </w:rPr>
              <w:t>Limestone</w:t>
            </w:r>
          </w:p>
        </w:tc>
      </w:tr>
      <w:tr w:rsidR="00AB4104" w:rsidRPr="00E91BE1" w14:paraId="7206BDF1" w14:textId="68988B83" w:rsidTr="00AB4104">
        <w:trPr>
          <w:trHeight w:val="352"/>
          <w:jc w:val="center"/>
        </w:trPr>
        <w:tc>
          <w:tcPr>
            <w:tcW w:w="1705" w:type="dxa"/>
            <w:shd w:val="clear" w:color="auto" w:fill="auto"/>
          </w:tcPr>
          <w:p w14:paraId="1FCD11AA" w14:textId="1B3C52EA" w:rsidR="00AB4104" w:rsidRDefault="00AB4104" w:rsidP="009F4DD0">
            <w:pPr>
              <w:spacing w:line="240" w:lineRule="auto"/>
              <w:rPr>
                <w:sz w:val="20"/>
                <w:szCs w:val="20"/>
              </w:rPr>
            </w:pPr>
            <w:r>
              <w:rPr>
                <w:sz w:val="20"/>
                <w:szCs w:val="20"/>
              </w:rPr>
              <w:t>EN CEM IV / ASTM Type IP</w:t>
            </w:r>
          </w:p>
        </w:tc>
        <w:tc>
          <w:tcPr>
            <w:tcW w:w="2610" w:type="dxa"/>
          </w:tcPr>
          <w:p w14:paraId="192B7C67" w14:textId="4CCD87D8" w:rsidR="00AB4104" w:rsidRPr="00B920BF" w:rsidRDefault="00AB4104" w:rsidP="009F4DD0">
            <w:pPr>
              <w:spacing w:line="240" w:lineRule="auto"/>
              <w:jc w:val="center"/>
              <w:rPr>
                <w:sz w:val="20"/>
                <w:szCs w:val="20"/>
              </w:rPr>
            </w:pPr>
            <w:r>
              <w:rPr>
                <w:sz w:val="20"/>
                <w:szCs w:val="20"/>
              </w:rPr>
              <w:t>Portland pozzolan cement</w:t>
            </w:r>
          </w:p>
        </w:tc>
        <w:tc>
          <w:tcPr>
            <w:tcW w:w="1501" w:type="dxa"/>
          </w:tcPr>
          <w:p w14:paraId="3450467F" w14:textId="18EA723E" w:rsidR="00AB4104" w:rsidRPr="00B920BF" w:rsidRDefault="00AB4104" w:rsidP="009F4DD0">
            <w:pPr>
              <w:spacing w:line="240" w:lineRule="auto"/>
              <w:jc w:val="center"/>
              <w:rPr>
                <w:sz w:val="20"/>
                <w:szCs w:val="20"/>
              </w:rPr>
            </w:pPr>
            <w:r>
              <w:rPr>
                <w:sz w:val="20"/>
                <w:szCs w:val="20"/>
              </w:rPr>
              <w:t xml:space="preserve">0.45-0.89 </w:t>
            </w:r>
          </w:p>
        </w:tc>
        <w:tc>
          <w:tcPr>
            <w:tcW w:w="1919" w:type="dxa"/>
          </w:tcPr>
          <w:p w14:paraId="06AD5021" w14:textId="649E64D7" w:rsidR="00AB4104" w:rsidRPr="00B920BF" w:rsidRDefault="00AB4104" w:rsidP="009F4DD0">
            <w:pPr>
              <w:spacing w:line="240" w:lineRule="auto"/>
              <w:jc w:val="center"/>
              <w:rPr>
                <w:sz w:val="20"/>
                <w:szCs w:val="20"/>
              </w:rPr>
            </w:pPr>
            <w:r>
              <w:rPr>
                <w:sz w:val="20"/>
                <w:szCs w:val="20"/>
              </w:rPr>
              <w:t>Pozzolans</w:t>
            </w:r>
          </w:p>
        </w:tc>
      </w:tr>
      <w:tr w:rsidR="00AB4104" w:rsidRPr="00E91BE1" w14:paraId="1C2A13B2" w14:textId="3E226205" w:rsidTr="00AB4104">
        <w:trPr>
          <w:trHeight w:val="352"/>
          <w:jc w:val="center"/>
        </w:trPr>
        <w:tc>
          <w:tcPr>
            <w:tcW w:w="1705" w:type="dxa"/>
            <w:shd w:val="clear" w:color="auto" w:fill="auto"/>
          </w:tcPr>
          <w:p w14:paraId="7A985B25" w14:textId="6575DE53" w:rsidR="00AB4104" w:rsidRDefault="00AB4104" w:rsidP="00301E29">
            <w:pPr>
              <w:spacing w:line="240" w:lineRule="auto"/>
              <w:rPr>
                <w:sz w:val="20"/>
                <w:szCs w:val="20"/>
              </w:rPr>
            </w:pPr>
            <w:r>
              <w:rPr>
                <w:sz w:val="20"/>
                <w:szCs w:val="20"/>
              </w:rPr>
              <w:t>EN CEM V / ASTM Type IT</w:t>
            </w:r>
          </w:p>
        </w:tc>
        <w:tc>
          <w:tcPr>
            <w:tcW w:w="2610" w:type="dxa"/>
          </w:tcPr>
          <w:p w14:paraId="41ED84B1" w14:textId="14EA5FD5" w:rsidR="00AB4104" w:rsidRPr="00B920BF" w:rsidRDefault="00AB4104" w:rsidP="00301E29">
            <w:pPr>
              <w:spacing w:line="240" w:lineRule="auto"/>
              <w:jc w:val="center"/>
              <w:rPr>
                <w:sz w:val="20"/>
                <w:szCs w:val="20"/>
              </w:rPr>
            </w:pPr>
            <w:r>
              <w:rPr>
                <w:sz w:val="20"/>
                <w:szCs w:val="20"/>
              </w:rPr>
              <w:t>Ternary blended cement</w:t>
            </w:r>
          </w:p>
        </w:tc>
        <w:tc>
          <w:tcPr>
            <w:tcW w:w="1501" w:type="dxa"/>
          </w:tcPr>
          <w:p w14:paraId="500843A8" w14:textId="6BF1336D" w:rsidR="00AB4104" w:rsidRPr="00B920BF" w:rsidRDefault="00AB4104" w:rsidP="00301E29">
            <w:pPr>
              <w:spacing w:line="240" w:lineRule="auto"/>
              <w:jc w:val="center"/>
              <w:rPr>
                <w:sz w:val="20"/>
                <w:szCs w:val="20"/>
              </w:rPr>
            </w:pPr>
            <w:r>
              <w:rPr>
                <w:sz w:val="20"/>
                <w:szCs w:val="20"/>
              </w:rPr>
              <w:t>0.20-0.64</w:t>
            </w:r>
          </w:p>
        </w:tc>
        <w:tc>
          <w:tcPr>
            <w:tcW w:w="1919" w:type="dxa"/>
          </w:tcPr>
          <w:p w14:paraId="68185733" w14:textId="008877F6" w:rsidR="00AB4104" w:rsidRPr="00B920BF" w:rsidRDefault="00AB4104" w:rsidP="00301E29">
            <w:pPr>
              <w:spacing w:line="240" w:lineRule="auto"/>
              <w:jc w:val="center"/>
              <w:rPr>
                <w:sz w:val="20"/>
                <w:szCs w:val="20"/>
              </w:rPr>
            </w:pPr>
            <w:r>
              <w:rPr>
                <w:sz w:val="20"/>
                <w:szCs w:val="20"/>
              </w:rPr>
              <w:t>Slag or fly ash with a pozzolan</w:t>
            </w:r>
          </w:p>
        </w:tc>
      </w:tr>
      <w:tr w:rsidR="00AB4104" w:rsidRPr="00E91BE1" w14:paraId="00D07690" w14:textId="39A1CE2F" w:rsidTr="00AB4104">
        <w:trPr>
          <w:trHeight w:val="352"/>
          <w:jc w:val="center"/>
        </w:trPr>
        <w:tc>
          <w:tcPr>
            <w:tcW w:w="1705" w:type="dxa"/>
            <w:shd w:val="clear" w:color="auto" w:fill="auto"/>
          </w:tcPr>
          <w:p w14:paraId="079DAABB" w14:textId="41FEF2D1" w:rsidR="00AB4104" w:rsidRDefault="00AB4104" w:rsidP="00301E29">
            <w:pPr>
              <w:spacing w:line="240" w:lineRule="auto"/>
              <w:rPr>
                <w:sz w:val="20"/>
                <w:szCs w:val="20"/>
              </w:rPr>
            </w:pPr>
            <w:r>
              <w:rPr>
                <w:sz w:val="20"/>
                <w:szCs w:val="20"/>
              </w:rPr>
              <w:t>EN: CEM II</w:t>
            </w:r>
          </w:p>
        </w:tc>
        <w:tc>
          <w:tcPr>
            <w:tcW w:w="2610" w:type="dxa"/>
          </w:tcPr>
          <w:p w14:paraId="46AB71E5" w14:textId="6CB619CF" w:rsidR="00AB4104" w:rsidRPr="00B920BF" w:rsidRDefault="00AB4104" w:rsidP="00301E29">
            <w:pPr>
              <w:spacing w:line="240" w:lineRule="auto"/>
              <w:jc w:val="center"/>
              <w:rPr>
                <w:sz w:val="20"/>
                <w:szCs w:val="20"/>
              </w:rPr>
            </w:pPr>
            <w:r>
              <w:rPr>
                <w:sz w:val="20"/>
                <w:szCs w:val="20"/>
              </w:rPr>
              <w:t>Portland-composite cement</w:t>
            </w:r>
          </w:p>
        </w:tc>
        <w:tc>
          <w:tcPr>
            <w:tcW w:w="1501" w:type="dxa"/>
          </w:tcPr>
          <w:p w14:paraId="3A3D2D3E" w14:textId="6EAEF8D0" w:rsidR="00AB4104" w:rsidRPr="00B920BF" w:rsidRDefault="00AB4104" w:rsidP="00301E29">
            <w:pPr>
              <w:spacing w:line="240" w:lineRule="auto"/>
              <w:jc w:val="center"/>
              <w:rPr>
                <w:sz w:val="20"/>
                <w:szCs w:val="20"/>
              </w:rPr>
            </w:pPr>
            <w:r>
              <w:rPr>
                <w:sz w:val="20"/>
                <w:szCs w:val="20"/>
              </w:rPr>
              <w:t>0.65-0.94</w:t>
            </w:r>
          </w:p>
        </w:tc>
        <w:tc>
          <w:tcPr>
            <w:tcW w:w="1919" w:type="dxa"/>
          </w:tcPr>
          <w:p w14:paraId="57FD6F33" w14:textId="72F3ADDC" w:rsidR="00AB4104" w:rsidRPr="00B920BF" w:rsidRDefault="00AB4104" w:rsidP="00301E29">
            <w:pPr>
              <w:spacing w:line="240" w:lineRule="auto"/>
              <w:jc w:val="center"/>
              <w:rPr>
                <w:sz w:val="20"/>
                <w:szCs w:val="20"/>
              </w:rPr>
            </w:pPr>
            <w:r>
              <w:rPr>
                <w:sz w:val="20"/>
                <w:szCs w:val="20"/>
              </w:rPr>
              <w:t>Any cementitious constituent</w:t>
            </w:r>
          </w:p>
        </w:tc>
      </w:tr>
    </w:tbl>
    <w:p w14:paraId="0533D8B2" w14:textId="77777777" w:rsidR="00B83E85" w:rsidRDefault="00B83E85" w:rsidP="00EB247F">
      <w:pPr>
        <w:rPr>
          <w:bCs/>
        </w:rPr>
      </w:pPr>
    </w:p>
    <w:p w14:paraId="0DB43BC9" w14:textId="1EFE5F21" w:rsidR="00AB4104" w:rsidRPr="00AB4104" w:rsidRDefault="00AB4104" w:rsidP="00EB247F">
      <w:pPr>
        <w:pStyle w:val="Heading3"/>
      </w:pPr>
      <w:bookmarkStart w:id="14" w:name="_Toc38211627"/>
      <w:r>
        <w:t>Effect of Carbonation</w:t>
      </w:r>
      <w:bookmarkEnd w:id="14"/>
    </w:p>
    <w:p w14:paraId="0EF822A0" w14:textId="767041B5" w:rsidR="001B7C1C" w:rsidRDefault="00AF53EB" w:rsidP="00EB247F">
      <w:pPr>
        <w:rPr>
          <w:bCs/>
        </w:rPr>
      </w:pPr>
      <w:r>
        <w:rPr>
          <w:bCs/>
        </w:rPr>
        <w:t>While cement manufacturing releases direct carbon-dioxide emissions due to the chemical process that occurs, this chemical reaction reverses when the concrete is exposed to carbon-dioxide. Up to 17% of initial carbon dioxide emissions can be recovered through this carbonation reaction</w:t>
      </w:r>
      <w:r w:rsidR="009B4FFB">
        <w:rPr>
          <w:bCs/>
        </w:rPr>
        <w:t xml:space="preserve"> throughout the lifetime of the concrete</w:t>
      </w:r>
      <w:r>
        <w:rPr>
          <w:bCs/>
        </w:rPr>
        <w:t xml:space="preserve"> </w:t>
      </w:r>
      <w:r>
        <w:rPr>
          <w:bCs/>
        </w:rPr>
        <w:fldChar w:fldCharType="begin"/>
      </w:r>
      <w:r>
        <w:rPr>
          <w:bCs/>
        </w:rPr>
        <w:instrText xml:space="preserve"> ADDIN ZOTERO_ITEM CSL_CITATION {"citationID":"RiFcXRfo","properties":{"formattedCitation":"(Souto-Martinez et al., 2017)","plainCitation":"(Souto-Martinez et al., 2017)","noteIndex":0},"citationItems":[{"id":4343,"uris":["http://zotero.org/users/5284806/items/N4AH3EBE"],"uri":["http://zotero.org/users/5284806/items/N4AH3EBE"],"itemData":{"id":4343,"type":"article-journal","abstract":"A simple mathematical model that calculates the theoretical carbon sequestration potential of exposed ordinary portland cement (OPC) concrete is presented, validated, and implemented herein. OPC concrete sequesters non-trivial amounts of carbon dioxide (CO2) via carbonation – a chemical reaction between cement paste and atmospheric CO2. Formulated by the reaction chemistries of cement hydration and carbonation, the model accounts for cement type and content, exposure, time, and type and quantity of supplementary cementitious materials (SCMs). Once validated with data from literature, the model is implemented to investigate the effect of these factors and the inﬂuence of compressive strength and geometry, namely surface-area-to-volume (SA/V) ratio, on total carbon sequestration (kg CO2) of exposed concrete elements. Results demonstrate that (a) low tetracalcium aluminoferrite (C4AF) cements, (b) compressive strength, (c) high CO2 exposure, (d) no SCMs, (e) time, (f) high SA/V ratios, and (g) indoor environments enhance the in situ carbon sequestration of exposed OPC concrete.","container-title":"Construction and Building Materials","DOI":"10.1016/j.conbuildmat.2017.04.133","ISSN":"09500618","journalAbbreviation":"Construction and Building Materials","language":"en","page":"417-427","source":"DOI.org (Crossref)","title":"A mathematical model for predicting the carbon sequestration potential of ordinary portland cement (OPC) concrete","volume":"147","author":[{"family":"Souto-Martinez","given":"Adriana"},{"family":"Delesky","given":"Elizabeth A."},{"family":"Foster","given":"Kyle E.O."},{"family":"Srubar","given":"Wil V."}],"issued":{"date-parts":[["2017",8]]}}}],"schema":"https://github.com/citation-style-language/schema/raw/master/csl-citation.json"} </w:instrText>
      </w:r>
      <w:r>
        <w:rPr>
          <w:bCs/>
        </w:rPr>
        <w:fldChar w:fldCharType="separate"/>
      </w:r>
      <w:r>
        <w:rPr>
          <w:bCs/>
          <w:noProof/>
        </w:rPr>
        <w:t>(Souto-Martinez et al., 2017)</w:t>
      </w:r>
      <w:r>
        <w:rPr>
          <w:bCs/>
        </w:rPr>
        <w:fldChar w:fldCharType="end"/>
      </w:r>
      <w:r w:rsidR="009B4FFB">
        <w:rPr>
          <w:bCs/>
        </w:rPr>
        <w:t xml:space="preserve">. </w:t>
      </w:r>
      <w:r w:rsidR="00FC3F77">
        <w:rPr>
          <w:bCs/>
        </w:rPr>
        <w:t>T</w:t>
      </w:r>
      <w:r>
        <w:rPr>
          <w:bCs/>
        </w:rPr>
        <w:t>he global scale is estimated to be 0.92 Gt CO</w:t>
      </w:r>
      <w:r w:rsidRPr="00AF53EB">
        <w:rPr>
          <w:bCs/>
          <w:vertAlign w:val="subscript"/>
        </w:rPr>
        <w:t>2</w:t>
      </w:r>
      <w:r>
        <w:rPr>
          <w:bCs/>
        </w:rPr>
        <w:t xml:space="preserve"> in 2014 due to the </w:t>
      </w:r>
      <w:r w:rsidR="006F3D62">
        <w:rPr>
          <w:bCs/>
        </w:rPr>
        <w:t xml:space="preserve">historical pervasiveness of concrete construction </w:t>
      </w:r>
      <w:r>
        <w:rPr>
          <w:bCs/>
        </w:rPr>
        <w:fldChar w:fldCharType="begin"/>
      </w:r>
      <w:r>
        <w:rPr>
          <w:bCs/>
        </w:rPr>
        <w:instrText xml:space="preserve"> ADDIN ZOTERO_ITEM CSL_CITATION {"citationID":"QIC7oKmh","properties":{"formattedCitation":"(Xi et al., 2016)","plainCitation":"(Xi et al., 2016)","noteIndex":0},"citationItems":[{"id":5987,"uris":["http://zotero.org/groups/2241940/items/D347W9VK"],"uri":["http://zotero.org/groups/2241940/items/D347W9VK"],"itemData":{"id":5987,"type":"article-journal","container-title":"Nature Geoscience","DOI":"10.1038/ngeo2840","ISSN":"1752-0894, 1752-0908","issue":"12","journalAbbreviation":"Nature Geosci","language":"en","page":"880-883","source":"DOI.org (Crossref)","title":"Substantial global carbon uptake by cement carbonation","volume":"9","author":[{"family":"Xi","given":"Fengming"},{"family":"Davis","given":"Steven J."},{"family":"Ciais","given":"Philippe"},{"family":"Crawford-Brown","given":"Douglas"},{"family":"Guan","given":"Dabo"},{"family":"Pade","given":"Claus"},{"family":"Shi","given":"Tiemao"},{"family":"Syddall","given":"Mark"},{"family":"Lv","given":"Jie"},{"family":"Ji","given":"Lanzhu"},{"family":"Bing","given":"Longfei"},{"family":"Wang","given":"Jiaoyue"},{"family":"Wei","given":"Wei"},{"family":"Yang","given":"Keun-Hyeok"},{"family":"Lagerblad","given":"Björn"},{"family":"Galan","given":"Isabel"},{"family":"Andrade","given":"Carmen"},{"family":"Zhang","given":"Ying"},{"family":"Liu","given":"Zhu"}],"issued":{"date-parts":[["2016",12]]}}}],"schema":"https://github.com/citation-style-language/schema/raw/master/csl-citation.json"} </w:instrText>
      </w:r>
      <w:r>
        <w:rPr>
          <w:bCs/>
        </w:rPr>
        <w:fldChar w:fldCharType="separate"/>
      </w:r>
      <w:r>
        <w:rPr>
          <w:bCs/>
          <w:noProof/>
        </w:rPr>
        <w:t>(Xi et al., 2016)</w:t>
      </w:r>
      <w:r>
        <w:rPr>
          <w:bCs/>
        </w:rPr>
        <w:fldChar w:fldCharType="end"/>
      </w:r>
      <w:r>
        <w:rPr>
          <w:bCs/>
        </w:rPr>
        <w:t>.</w:t>
      </w:r>
      <w:r w:rsidR="001B7C1C">
        <w:rPr>
          <w:bCs/>
        </w:rPr>
        <w:t xml:space="preserve"> Accelerated carbonation is another technology which injects compressed CO</w:t>
      </w:r>
      <w:r w:rsidR="001B7C1C">
        <w:rPr>
          <w:bCs/>
          <w:vertAlign w:val="subscript"/>
        </w:rPr>
        <w:t>2</w:t>
      </w:r>
      <w:r w:rsidR="001B7C1C">
        <w:rPr>
          <w:bCs/>
        </w:rPr>
        <w:t xml:space="preserve"> into fresh state concrete to accelerate the carbonation reaction. Modest reductions of ~5% cement content have been achieved, reducing net carbon emissions, yet this technology has not widely adopted.</w:t>
      </w:r>
    </w:p>
    <w:p w14:paraId="61498413" w14:textId="114D3E53" w:rsidR="00FB2C53" w:rsidRPr="00FB2C53" w:rsidRDefault="551A77D0" w:rsidP="00FB2C53">
      <w:pPr>
        <w:pStyle w:val="Heading2"/>
      </w:pPr>
      <w:bookmarkStart w:id="15" w:name="_Toc38211628"/>
      <w:r>
        <w:t>Adoption Path</w:t>
      </w:r>
      <w:bookmarkEnd w:id="15"/>
    </w:p>
    <w:p w14:paraId="2DE714B4" w14:textId="5B5CA86E" w:rsidR="00112479" w:rsidRDefault="551A77D0" w:rsidP="00C07355">
      <w:pPr>
        <w:pStyle w:val="Heading3"/>
      </w:pPr>
      <w:bookmarkStart w:id="16" w:name="_Toc38211629"/>
      <w:r w:rsidRPr="00483FFA">
        <w:t>Current Adoption</w:t>
      </w:r>
      <w:bookmarkEnd w:id="16"/>
    </w:p>
    <w:p w14:paraId="1C8FED36" w14:textId="10A1C80C" w:rsidR="00603F2A" w:rsidRDefault="00FC32CC" w:rsidP="00FC32CC">
      <w:r>
        <w:t xml:space="preserve">In 2014, the average global clinker content of cement </w:t>
      </w:r>
      <w:r w:rsidR="00F70403">
        <w:t>wa</w:t>
      </w:r>
      <w:r>
        <w:t xml:space="preserve">s 0.65, thermal intensity of clinker production 3.5 GJ/ton clinker, and </w:t>
      </w:r>
      <w:r w:rsidR="00F70403">
        <w:t xml:space="preserve">the </w:t>
      </w:r>
      <w:r>
        <w:t xml:space="preserve">electricity intensity </w:t>
      </w:r>
      <w:r w:rsidR="00F70403">
        <w:t>was</w:t>
      </w:r>
      <w:r>
        <w:t xml:space="preserve"> 91 kWh/ton cement </w:t>
      </w:r>
      <w:r>
        <w:fldChar w:fldCharType="begin"/>
      </w:r>
      <w:r>
        <w:instrText xml:space="preserve"> ADDIN ZOTERO_ITEM CSL_CITATION {"citationID":"0ZHE0Fva","properties":{"formattedCitation":"(IEA, 2018)","plainCitation":"(IEA, 2018)","noteIndex":0},"citationItems":[{"id":5714,"uris":["http://zotero.org/groups/2241940/items/LPMWLU93"],"uri":["http://zotero.org/groups/2241940/items/LPMWLU93"],"itemData":{"id":5714,"type":"report","language":"en","page":"66","publisher":"International Energy Agency","source":"Zotero","title":"Technology Roadmap - Low-Carbon Transition in the Cement Industry","URL":"https://webstore.iea.org/technology-roadmap-low-carbon-transition-in-the-cement-industry","author":[{"family":"IEA","given":""}],"issued":{"date-parts":[["2018"]]}}}],"schema":"https://github.com/citation-style-language/schema/raw/master/csl-citation.json"} </w:instrText>
      </w:r>
      <w:r>
        <w:fldChar w:fldCharType="separate"/>
      </w:r>
      <w:r>
        <w:rPr>
          <w:noProof/>
        </w:rPr>
        <w:t>(IEA, 2018)</w:t>
      </w:r>
      <w:r>
        <w:fldChar w:fldCharType="end"/>
      </w:r>
      <w:r w:rsidR="00441CF2">
        <w:t>. Typical OPC has a clinker content of 0.95. Experts agree that clinker will always be a component of the future cement industry, yet no agreed upon minimum clinker content has been arrived at. Very low clinker cements (e.g., CEM III), which use 0.34 clinker to cement ratios do not have high rates of adoption (</w:t>
      </w:r>
      <w:r w:rsidR="009F4DD0">
        <w:t>3.8</w:t>
      </w:r>
      <w:r w:rsidR="00441CF2">
        <w:t xml:space="preserve">% of the Spanish cement market </w:t>
      </w:r>
      <w:r w:rsidR="00441CF2">
        <w:fldChar w:fldCharType="begin"/>
      </w:r>
      <w:r w:rsidR="00441CF2">
        <w:instrText xml:space="preserve"> ADDIN ZOTERO_ITEM CSL_CITATION {"citationID":"WAhCN8zg","properties":{"formattedCitation":"(Garc\\uc0\\u237{}a-Gusano et al., 2015)","plainCitation":"(García-Gusano et al., 2015)","noteIndex":0},"citationItems":[{"id":5748,"uris":["http://zotero.org/groups/2241940/items/QEWJAD3V"],"uri":["http://zotero.org/groups/2241940/items/QEWJAD3V"],"itemData":{"id":5748,"type":"article-journal","container-title":"Clean Technologies and Environmental Policy","DOI":"10.1007/s10098-014-0757-0","ISSN":"1618-954X, 1618-9558","issue":"1","journalAbbreviation":"Clean Techn Environ Policy","language":"en","page":"59-73","source":"DOI.org (Crossref)","title":"Life cycle assessment of the Spanish cement industry: implementation of environmental-friendly solutions","title-short":"Life cycle assessment of the Spanish cement industry","volume":"17","author":[{"family":"García-Gusano","given":"Diego"},{"family":"Herrera","given":"Israel"},{"family":"Garraín","given":"Daniel"},{"family":"Lechón","given":"Yolanda"},{"family":"Cabal","given":"Helena"}],"issued":{"date-parts":[["2015",1]]}}}],"schema":"https://github.com/citation-style-language/schema/raw/master/csl-citation.json"} </w:instrText>
      </w:r>
      <w:r w:rsidR="00441CF2">
        <w:fldChar w:fldCharType="separate"/>
      </w:r>
      <w:r w:rsidR="00441CF2" w:rsidRPr="00441CF2">
        <w:t>(García-Gusano et al., 2015)</w:t>
      </w:r>
      <w:r w:rsidR="00441CF2">
        <w:fldChar w:fldCharType="end"/>
      </w:r>
      <w:r w:rsidR="00441CF2">
        <w:t>) due to their specialty application</w:t>
      </w:r>
      <w:r w:rsidR="009B4FFB">
        <w:t xml:space="preserve"> to provide resistance to sulfate and chloride attack</w:t>
      </w:r>
      <w:r w:rsidR="00441CF2">
        <w:t xml:space="preserve">. </w:t>
      </w:r>
      <w:r w:rsidR="009F4DD0">
        <w:t xml:space="preserve">The distribution of the Spanish cement market in 2010 and the potential applications of various types of cement can be seen in </w:t>
      </w:r>
      <w:r w:rsidR="009F4DD0">
        <w:fldChar w:fldCharType="begin"/>
      </w:r>
      <w:r w:rsidR="009F4DD0">
        <w:instrText xml:space="preserve"> REF _Ref38204790 \h </w:instrText>
      </w:r>
      <w:r w:rsidR="009F4DD0">
        <w:fldChar w:fldCharType="separate"/>
      </w:r>
      <w:r w:rsidR="008F2A2C">
        <w:t xml:space="preserve">Table </w:t>
      </w:r>
      <w:r w:rsidR="008F2A2C">
        <w:rPr>
          <w:noProof/>
        </w:rPr>
        <w:t>1</w:t>
      </w:r>
      <w:r w:rsidR="008F2A2C">
        <w:t>.</w:t>
      </w:r>
      <w:r w:rsidR="008F2A2C">
        <w:rPr>
          <w:noProof/>
        </w:rPr>
        <w:t>2</w:t>
      </w:r>
      <w:r w:rsidR="009F4DD0">
        <w:fldChar w:fldCharType="end"/>
      </w:r>
      <w:r w:rsidR="009F4DD0">
        <w:t>.</w:t>
      </w:r>
    </w:p>
    <w:p w14:paraId="604A0F92" w14:textId="29C45745" w:rsidR="009F4DD0" w:rsidRDefault="009F4DD0" w:rsidP="009F4DD0">
      <w:pPr>
        <w:pStyle w:val="Caption"/>
        <w:keepNext/>
        <w:jc w:val="center"/>
      </w:pPr>
      <w:bookmarkStart w:id="17" w:name="_Ref38204790"/>
      <w:bookmarkStart w:id="18" w:name="_Toc38211665"/>
      <w:r>
        <w:t xml:space="preserve">Table </w:t>
      </w:r>
      <w:fldSimple w:instr=" STYLEREF 1 \s ">
        <w:r w:rsidR="008F2A2C">
          <w:rPr>
            <w:noProof/>
          </w:rPr>
          <w:t>1</w:t>
        </w:r>
      </w:fldSimple>
      <w:r w:rsidR="00F36327">
        <w:t>.</w:t>
      </w:r>
      <w:fldSimple w:instr=" SEQ Table \* ARABIC \s 1 ">
        <w:r w:rsidR="008F2A2C">
          <w:rPr>
            <w:noProof/>
          </w:rPr>
          <w:t>2</w:t>
        </w:r>
      </w:fldSimple>
      <w:bookmarkEnd w:id="17"/>
      <w:r>
        <w:t>. Distribution and application of CEM cement types in Spain in 2010.</w:t>
      </w:r>
      <w:bookmarkEnd w:id="18"/>
    </w:p>
    <w:tbl>
      <w:tblPr>
        <w:tblStyle w:val="TableGrid"/>
        <w:tblW w:w="7105" w:type="dxa"/>
        <w:jc w:val="center"/>
        <w:tblLook w:val="04A0" w:firstRow="1" w:lastRow="0" w:firstColumn="1" w:lastColumn="0" w:noHBand="0" w:noVBand="1"/>
      </w:tblPr>
      <w:tblGrid>
        <w:gridCol w:w="1705"/>
        <w:gridCol w:w="2610"/>
        <w:gridCol w:w="2790"/>
      </w:tblGrid>
      <w:tr w:rsidR="009F4DD0" w:rsidRPr="00E91BE1" w14:paraId="1CFEB9DE" w14:textId="77777777" w:rsidTr="009F4DD0">
        <w:trPr>
          <w:cantSplit/>
          <w:trHeight w:val="594"/>
          <w:tblHeader/>
          <w:jc w:val="center"/>
        </w:trPr>
        <w:tc>
          <w:tcPr>
            <w:tcW w:w="1705" w:type="dxa"/>
            <w:shd w:val="clear" w:color="auto" w:fill="4F81BD" w:themeFill="accent1"/>
          </w:tcPr>
          <w:p w14:paraId="59F4829C" w14:textId="77777777" w:rsidR="009F4DD0" w:rsidRPr="00E91BE1" w:rsidRDefault="009F4DD0" w:rsidP="009F4DD0">
            <w:pPr>
              <w:spacing w:line="240" w:lineRule="auto"/>
              <w:jc w:val="center"/>
              <w:rPr>
                <w:b/>
                <w:color w:val="FFFFFF" w:themeColor="background1"/>
                <w:sz w:val="20"/>
                <w:szCs w:val="20"/>
              </w:rPr>
            </w:pPr>
            <w:r>
              <w:rPr>
                <w:b/>
                <w:color w:val="FFFFFF" w:themeColor="background1"/>
                <w:sz w:val="20"/>
                <w:szCs w:val="20"/>
              </w:rPr>
              <w:t>Designation</w:t>
            </w:r>
          </w:p>
        </w:tc>
        <w:tc>
          <w:tcPr>
            <w:tcW w:w="2610" w:type="dxa"/>
            <w:shd w:val="clear" w:color="auto" w:fill="4F81BD" w:themeFill="accent1"/>
          </w:tcPr>
          <w:p w14:paraId="14438034" w14:textId="17F0CDC0" w:rsidR="009F4DD0" w:rsidRDefault="009F4DD0" w:rsidP="009F4DD0">
            <w:pPr>
              <w:spacing w:line="240" w:lineRule="auto"/>
              <w:jc w:val="center"/>
              <w:rPr>
                <w:b/>
                <w:color w:val="FFFFFF" w:themeColor="background1"/>
                <w:sz w:val="20"/>
                <w:szCs w:val="20"/>
              </w:rPr>
            </w:pPr>
            <w:r>
              <w:rPr>
                <w:b/>
                <w:color w:val="FFFFFF" w:themeColor="background1"/>
                <w:sz w:val="20"/>
                <w:szCs w:val="20"/>
              </w:rPr>
              <w:t>Typical Application</w:t>
            </w:r>
          </w:p>
        </w:tc>
        <w:tc>
          <w:tcPr>
            <w:tcW w:w="2790" w:type="dxa"/>
            <w:shd w:val="clear" w:color="auto" w:fill="4F81BD" w:themeFill="accent1"/>
          </w:tcPr>
          <w:p w14:paraId="5B8E091E" w14:textId="77777777" w:rsidR="009F4DD0" w:rsidRDefault="009F4DD0" w:rsidP="009F4DD0">
            <w:pPr>
              <w:spacing w:line="240" w:lineRule="auto"/>
              <w:jc w:val="center"/>
              <w:rPr>
                <w:b/>
                <w:color w:val="FFFFFF" w:themeColor="background1"/>
                <w:sz w:val="20"/>
                <w:szCs w:val="20"/>
              </w:rPr>
            </w:pPr>
            <w:r>
              <w:rPr>
                <w:b/>
                <w:color w:val="FFFFFF" w:themeColor="background1"/>
                <w:sz w:val="20"/>
                <w:szCs w:val="20"/>
              </w:rPr>
              <w:t>Share of Spanish cement market in 2010</w:t>
            </w:r>
          </w:p>
          <w:p w14:paraId="3B7545AC" w14:textId="181D9F4B" w:rsidR="009F4DD0" w:rsidRDefault="009F4DD0" w:rsidP="009F4DD0">
            <w:pPr>
              <w:spacing w:line="240" w:lineRule="auto"/>
              <w:jc w:val="center"/>
              <w:rPr>
                <w:b/>
                <w:color w:val="FFFFFF" w:themeColor="background1"/>
                <w:sz w:val="20"/>
                <w:szCs w:val="20"/>
              </w:rPr>
            </w:pPr>
            <w:r>
              <w:rPr>
                <w:b/>
                <w:color w:val="FFFFFF" w:themeColor="background1"/>
                <w:sz w:val="20"/>
                <w:szCs w:val="20"/>
              </w:rPr>
              <w:fldChar w:fldCharType="begin"/>
            </w:r>
            <w:r>
              <w:rPr>
                <w:b/>
                <w:color w:val="FFFFFF" w:themeColor="background1"/>
                <w:sz w:val="20"/>
                <w:szCs w:val="20"/>
              </w:rPr>
              <w:instrText xml:space="preserve"> ADDIN ZOTERO_ITEM CSL_CITATION {"citationID":"P8fPDHQr","properties":{"formattedCitation":"(Garc\\uc0\\u237{}a-Gusano et al., 2015)","plainCitation":"(García-Gusano et al., 2015)","noteIndex":0},"citationItems":[{"id":5748,"uris":["http://zotero.org/groups/2241940/items/QEWJAD3V"],"uri":["http://zotero.org/groups/2241940/items/QEWJAD3V"],"itemData":{"id":5748,"type":"article-journal","container-title":"Clean Technologies and Environmental Policy","DOI":"10.1007/s10098-014-0757-0","ISSN":"1618-954X, 1618-9558","issue":"1","journalAbbreviation":"Clean Techn Environ Policy","language":"en","page":"59-73","source":"DOI.org (Crossref)","title":"Life cycle assessment of the Spanish cement industry: implementation of environmental-friendly solutions","title-short":"Life cycle assessment of the Spanish cement industry","volume":"17","author":[{"family":"García-Gusano","given":"Diego"},{"family":"Herrera","given":"Israel"},{"family":"Garraín","given":"Daniel"},{"family":"Lechón","given":"Yolanda"},{"family":"Cabal","given":"Helena"}],"issued":{"date-parts":[["2015",1]]}}}],"schema":"https://github.com/citation-style-language/schema/raw/master/csl-citation.json"} </w:instrText>
            </w:r>
            <w:r>
              <w:rPr>
                <w:b/>
                <w:color w:val="FFFFFF" w:themeColor="background1"/>
                <w:sz w:val="20"/>
                <w:szCs w:val="20"/>
              </w:rPr>
              <w:fldChar w:fldCharType="separate"/>
            </w:r>
            <w:r w:rsidRPr="009F4DD0">
              <w:rPr>
                <w:color w:val="FFFFFF"/>
                <w:sz w:val="20"/>
              </w:rPr>
              <w:t>(García-Gusano et al., 2015)</w:t>
            </w:r>
            <w:r>
              <w:rPr>
                <w:b/>
                <w:color w:val="FFFFFF" w:themeColor="background1"/>
                <w:sz w:val="20"/>
                <w:szCs w:val="20"/>
              </w:rPr>
              <w:fldChar w:fldCharType="end"/>
            </w:r>
          </w:p>
        </w:tc>
      </w:tr>
      <w:tr w:rsidR="009F4DD0" w:rsidRPr="00E91BE1" w14:paraId="04994813" w14:textId="77777777" w:rsidTr="009F4DD0">
        <w:trPr>
          <w:trHeight w:val="334"/>
          <w:jc w:val="center"/>
        </w:trPr>
        <w:tc>
          <w:tcPr>
            <w:tcW w:w="1705" w:type="dxa"/>
            <w:shd w:val="clear" w:color="auto" w:fill="auto"/>
          </w:tcPr>
          <w:p w14:paraId="732D4014" w14:textId="6F842070" w:rsidR="009F4DD0" w:rsidRPr="00441CF2" w:rsidRDefault="009F4DD0" w:rsidP="009F4DD0">
            <w:pPr>
              <w:spacing w:line="240" w:lineRule="auto"/>
              <w:rPr>
                <w:sz w:val="20"/>
                <w:szCs w:val="20"/>
              </w:rPr>
            </w:pPr>
            <w:r>
              <w:rPr>
                <w:sz w:val="20"/>
                <w:szCs w:val="20"/>
              </w:rPr>
              <w:t>CEM I</w:t>
            </w:r>
          </w:p>
        </w:tc>
        <w:tc>
          <w:tcPr>
            <w:tcW w:w="2610" w:type="dxa"/>
          </w:tcPr>
          <w:p w14:paraId="2A003594" w14:textId="357AFA5D" w:rsidR="009F4DD0" w:rsidRPr="00B920BF" w:rsidRDefault="009F4DD0" w:rsidP="009F4DD0">
            <w:pPr>
              <w:spacing w:line="240" w:lineRule="auto"/>
              <w:jc w:val="center"/>
              <w:rPr>
                <w:sz w:val="20"/>
                <w:szCs w:val="20"/>
              </w:rPr>
            </w:pPr>
            <w:r>
              <w:rPr>
                <w:sz w:val="20"/>
                <w:szCs w:val="20"/>
              </w:rPr>
              <w:t>General purpose</w:t>
            </w:r>
          </w:p>
        </w:tc>
        <w:tc>
          <w:tcPr>
            <w:tcW w:w="2790" w:type="dxa"/>
          </w:tcPr>
          <w:p w14:paraId="551E4065" w14:textId="4AF8F52E" w:rsidR="009F4DD0" w:rsidRPr="00B920BF" w:rsidRDefault="009F4DD0" w:rsidP="009F4DD0">
            <w:pPr>
              <w:spacing w:line="240" w:lineRule="auto"/>
              <w:jc w:val="center"/>
              <w:rPr>
                <w:sz w:val="20"/>
                <w:szCs w:val="20"/>
              </w:rPr>
            </w:pPr>
            <w:r>
              <w:rPr>
                <w:sz w:val="20"/>
                <w:szCs w:val="20"/>
              </w:rPr>
              <w:t>25.4%</w:t>
            </w:r>
          </w:p>
        </w:tc>
      </w:tr>
      <w:tr w:rsidR="009F4DD0" w:rsidRPr="00E91BE1" w14:paraId="61A11E80" w14:textId="77777777" w:rsidTr="009F4DD0">
        <w:trPr>
          <w:trHeight w:val="315"/>
          <w:jc w:val="center"/>
        </w:trPr>
        <w:tc>
          <w:tcPr>
            <w:tcW w:w="1705" w:type="dxa"/>
            <w:shd w:val="clear" w:color="auto" w:fill="auto"/>
          </w:tcPr>
          <w:p w14:paraId="076EAB2A" w14:textId="0D474F12" w:rsidR="009F4DD0" w:rsidRPr="00441CF2" w:rsidRDefault="009F4DD0" w:rsidP="009F4DD0">
            <w:pPr>
              <w:spacing w:line="240" w:lineRule="auto"/>
              <w:rPr>
                <w:sz w:val="20"/>
                <w:szCs w:val="20"/>
              </w:rPr>
            </w:pPr>
            <w:r>
              <w:rPr>
                <w:sz w:val="20"/>
                <w:szCs w:val="20"/>
              </w:rPr>
              <w:t>CEM II</w:t>
            </w:r>
          </w:p>
        </w:tc>
        <w:tc>
          <w:tcPr>
            <w:tcW w:w="2610" w:type="dxa"/>
          </w:tcPr>
          <w:p w14:paraId="3BA92ED1" w14:textId="4A46A35A" w:rsidR="009F4DD0" w:rsidRPr="00B920BF" w:rsidRDefault="009F4DD0" w:rsidP="009F4DD0">
            <w:pPr>
              <w:spacing w:line="240" w:lineRule="auto"/>
              <w:jc w:val="center"/>
              <w:rPr>
                <w:sz w:val="20"/>
                <w:szCs w:val="20"/>
              </w:rPr>
            </w:pPr>
            <w:r>
              <w:rPr>
                <w:sz w:val="20"/>
                <w:szCs w:val="20"/>
              </w:rPr>
              <w:t>General purpose</w:t>
            </w:r>
          </w:p>
        </w:tc>
        <w:tc>
          <w:tcPr>
            <w:tcW w:w="2790" w:type="dxa"/>
          </w:tcPr>
          <w:p w14:paraId="1A8B008F" w14:textId="3A8A9C2F" w:rsidR="009F4DD0" w:rsidRPr="00B920BF" w:rsidRDefault="009F4DD0" w:rsidP="009F4DD0">
            <w:pPr>
              <w:spacing w:line="240" w:lineRule="auto"/>
              <w:jc w:val="center"/>
              <w:rPr>
                <w:sz w:val="20"/>
                <w:szCs w:val="20"/>
              </w:rPr>
            </w:pPr>
            <w:r>
              <w:rPr>
                <w:sz w:val="20"/>
                <w:szCs w:val="20"/>
              </w:rPr>
              <w:t>66.1%</w:t>
            </w:r>
          </w:p>
        </w:tc>
      </w:tr>
      <w:tr w:rsidR="009F4DD0" w:rsidRPr="00E91BE1" w14:paraId="4E229558" w14:textId="77777777" w:rsidTr="009F4DD0">
        <w:trPr>
          <w:trHeight w:val="315"/>
          <w:jc w:val="center"/>
        </w:trPr>
        <w:tc>
          <w:tcPr>
            <w:tcW w:w="1705" w:type="dxa"/>
            <w:shd w:val="clear" w:color="auto" w:fill="auto"/>
          </w:tcPr>
          <w:p w14:paraId="7D1C094F" w14:textId="234327A7" w:rsidR="009F4DD0" w:rsidRDefault="009F4DD0" w:rsidP="009F4DD0">
            <w:pPr>
              <w:spacing w:line="240" w:lineRule="auto"/>
              <w:rPr>
                <w:sz w:val="20"/>
                <w:szCs w:val="20"/>
              </w:rPr>
            </w:pPr>
            <w:r>
              <w:rPr>
                <w:sz w:val="20"/>
                <w:szCs w:val="20"/>
              </w:rPr>
              <w:t>CEM III</w:t>
            </w:r>
          </w:p>
        </w:tc>
        <w:tc>
          <w:tcPr>
            <w:tcW w:w="2610" w:type="dxa"/>
          </w:tcPr>
          <w:p w14:paraId="379E22B9" w14:textId="541C9162" w:rsidR="009F4DD0" w:rsidRPr="00B920BF" w:rsidRDefault="009F4DD0" w:rsidP="009F4DD0">
            <w:pPr>
              <w:spacing w:line="240" w:lineRule="auto"/>
              <w:jc w:val="center"/>
              <w:rPr>
                <w:sz w:val="20"/>
                <w:szCs w:val="20"/>
              </w:rPr>
            </w:pPr>
            <w:r>
              <w:rPr>
                <w:sz w:val="20"/>
                <w:szCs w:val="20"/>
              </w:rPr>
              <w:t>Sulfate and chloride resistance</w:t>
            </w:r>
          </w:p>
        </w:tc>
        <w:tc>
          <w:tcPr>
            <w:tcW w:w="2790" w:type="dxa"/>
          </w:tcPr>
          <w:p w14:paraId="42F86409" w14:textId="4FE1D05F" w:rsidR="009F4DD0" w:rsidRPr="00B920BF" w:rsidRDefault="009F4DD0" w:rsidP="009F4DD0">
            <w:pPr>
              <w:spacing w:line="240" w:lineRule="auto"/>
              <w:jc w:val="center"/>
              <w:rPr>
                <w:sz w:val="20"/>
                <w:szCs w:val="20"/>
              </w:rPr>
            </w:pPr>
            <w:r>
              <w:rPr>
                <w:sz w:val="20"/>
                <w:szCs w:val="20"/>
              </w:rPr>
              <w:t>3.8%</w:t>
            </w:r>
          </w:p>
        </w:tc>
      </w:tr>
      <w:tr w:rsidR="009F4DD0" w:rsidRPr="00E91BE1" w14:paraId="3B79423A" w14:textId="77777777" w:rsidTr="009F4DD0">
        <w:trPr>
          <w:trHeight w:val="315"/>
          <w:jc w:val="center"/>
        </w:trPr>
        <w:tc>
          <w:tcPr>
            <w:tcW w:w="1705" w:type="dxa"/>
            <w:shd w:val="clear" w:color="auto" w:fill="auto"/>
          </w:tcPr>
          <w:p w14:paraId="1FC83646" w14:textId="6C350579" w:rsidR="009F4DD0" w:rsidRPr="00441CF2" w:rsidRDefault="009F4DD0" w:rsidP="009F4DD0">
            <w:pPr>
              <w:spacing w:line="240" w:lineRule="auto"/>
              <w:rPr>
                <w:sz w:val="20"/>
                <w:szCs w:val="20"/>
              </w:rPr>
            </w:pPr>
            <w:r>
              <w:rPr>
                <w:sz w:val="20"/>
                <w:szCs w:val="20"/>
              </w:rPr>
              <w:t>CEM IV</w:t>
            </w:r>
          </w:p>
        </w:tc>
        <w:tc>
          <w:tcPr>
            <w:tcW w:w="2610" w:type="dxa"/>
          </w:tcPr>
          <w:p w14:paraId="5ED6E515" w14:textId="4A7CB613" w:rsidR="009F4DD0" w:rsidRPr="00B920BF" w:rsidRDefault="009F4DD0" w:rsidP="009F4DD0">
            <w:pPr>
              <w:spacing w:line="240" w:lineRule="auto"/>
              <w:jc w:val="center"/>
              <w:rPr>
                <w:sz w:val="20"/>
                <w:szCs w:val="20"/>
              </w:rPr>
            </w:pPr>
            <w:r>
              <w:rPr>
                <w:sz w:val="20"/>
                <w:szCs w:val="20"/>
              </w:rPr>
              <w:t>General purpose</w:t>
            </w:r>
          </w:p>
        </w:tc>
        <w:tc>
          <w:tcPr>
            <w:tcW w:w="2790" w:type="dxa"/>
          </w:tcPr>
          <w:p w14:paraId="4BC0B8AA" w14:textId="6200A0D6" w:rsidR="009F4DD0" w:rsidRPr="00B920BF" w:rsidRDefault="009F4DD0" w:rsidP="009F4DD0">
            <w:pPr>
              <w:spacing w:line="240" w:lineRule="auto"/>
              <w:jc w:val="center"/>
              <w:rPr>
                <w:sz w:val="20"/>
                <w:szCs w:val="20"/>
              </w:rPr>
            </w:pPr>
            <w:r>
              <w:rPr>
                <w:sz w:val="20"/>
                <w:szCs w:val="20"/>
              </w:rPr>
              <w:t>3.3%</w:t>
            </w:r>
          </w:p>
        </w:tc>
      </w:tr>
      <w:tr w:rsidR="009F4DD0" w:rsidRPr="00E91BE1" w14:paraId="4C2E9B65" w14:textId="77777777" w:rsidTr="009F4DD0">
        <w:trPr>
          <w:trHeight w:val="315"/>
          <w:jc w:val="center"/>
        </w:trPr>
        <w:tc>
          <w:tcPr>
            <w:tcW w:w="1705" w:type="dxa"/>
            <w:shd w:val="clear" w:color="auto" w:fill="auto"/>
          </w:tcPr>
          <w:p w14:paraId="35EE7733" w14:textId="69A799BA" w:rsidR="009F4DD0" w:rsidRDefault="009F4DD0" w:rsidP="009F4DD0">
            <w:pPr>
              <w:spacing w:line="240" w:lineRule="auto"/>
              <w:rPr>
                <w:sz w:val="20"/>
                <w:szCs w:val="20"/>
              </w:rPr>
            </w:pPr>
            <w:r>
              <w:rPr>
                <w:sz w:val="20"/>
                <w:szCs w:val="20"/>
              </w:rPr>
              <w:t>CEM V</w:t>
            </w:r>
          </w:p>
        </w:tc>
        <w:tc>
          <w:tcPr>
            <w:tcW w:w="2610" w:type="dxa"/>
          </w:tcPr>
          <w:p w14:paraId="185FA7FC" w14:textId="51E2FD59" w:rsidR="009F4DD0" w:rsidRPr="00B920BF" w:rsidRDefault="009F4DD0" w:rsidP="009F4DD0">
            <w:pPr>
              <w:spacing w:line="240" w:lineRule="auto"/>
              <w:jc w:val="center"/>
              <w:rPr>
                <w:sz w:val="20"/>
                <w:szCs w:val="20"/>
              </w:rPr>
            </w:pPr>
            <w:r>
              <w:rPr>
                <w:sz w:val="20"/>
                <w:szCs w:val="20"/>
              </w:rPr>
              <w:t>General purpose</w:t>
            </w:r>
          </w:p>
        </w:tc>
        <w:tc>
          <w:tcPr>
            <w:tcW w:w="2790" w:type="dxa"/>
          </w:tcPr>
          <w:p w14:paraId="5829870B" w14:textId="0C6ACA8F" w:rsidR="009F4DD0" w:rsidRPr="00B920BF" w:rsidRDefault="009F4DD0" w:rsidP="009F4DD0">
            <w:pPr>
              <w:spacing w:line="240" w:lineRule="auto"/>
              <w:jc w:val="center"/>
              <w:rPr>
                <w:sz w:val="20"/>
                <w:szCs w:val="20"/>
              </w:rPr>
            </w:pPr>
            <w:r>
              <w:rPr>
                <w:sz w:val="20"/>
                <w:szCs w:val="20"/>
              </w:rPr>
              <w:t>0.9%</w:t>
            </w:r>
          </w:p>
        </w:tc>
      </w:tr>
    </w:tbl>
    <w:p w14:paraId="0F7BFB51" w14:textId="77777777" w:rsidR="00603F2A" w:rsidRPr="00FC32CC" w:rsidRDefault="00603F2A" w:rsidP="00FC32CC"/>
    <w:p w14:paraId="4B6E5C96" w14:textId="732801EA" w:rsidR="00D1508C" w:rsidRDefault="551A77D0" w:rsidP="005D49A8">
      <w:pPr>
        <w:pStyle w:val="Heading3"/>
      </w:pPr>
      <w:bookmarkStart w:id="19" w:name="_Toc38211630"/>
      <w:r w:rsidRPr="0026327C">
        <w:t>Trends</w:t>
      </w:r>
      <w:r w:rsidR="000C3205" w:rsidRPr="0026327C">
        <w:t xml:space="preserve"> </w:t>
      </w:r>
      <w:r w:rsidR="00A53CDF" w:rsidRPr="0026327C">
        <w:t>to Accelerate Adoption</w:t>
      </w:r>
      <w:bookmarkEnd w:id="19"/>
    </w:p>
    <w:p w14:paraId="60DE5748" w14:textId="63367A76" w:rsidR="00BD69E3" w:rsidRPr="00BD69E3" w:rsidRDefault="00BD69E3" w:rsidP="00BD69E3">
      <w:r>
        <w:t xml:space="preserve">To encourage adoption, the retrofit of cement plants can be incentivized. </w:t>
      </w:r>
      <w:r w:rsidR="0027155A">
        <w:t>Imposing r</w:t>
      </w:r>
      <w:r>
        <w:t>egulation</w:t>
      </w:r>
      <w:r w:rsidR="0027155A">
        <w:t>s</w:t>
      </w:r>
      <w:r>
        <w:t xml:space="preserve"> </w:t>
      </w:r>
      <w:r w:rsidR="0027155A">
        <w:t xml:space="preserve">on </w:t>
      </w:r>
      <w:r>
        <w:t>the construction of new cement plants to only allow efficient manufacturing technologies will ensure that CO</w:t>
      </w:r>
      <w:r>
        <w:rPr>
          <w:vertAlign w:val="subscript"/>
        </w:rPr>
        <w:t>2</w:t>
      </w:r>
      <w:r>
        <w:t xml:space="preserve"> savings are realized. </w:t>
      </w:r>
      <w:r w:rsidR="00612982">
        <w:t>Likewise, e</w:t>
      </w:r>
      <w:r>
        <w:t xml:space="preserve">ducating building designers on the environmental impacts of the concrete they specify will also accelerate adoption. </w:t>
      </w:r>
      <w:r w:rsidR="00680910">
        <w:t>Furthermore a shift in codes and standards to be performance-based, rather than prescriptive, can help accelerate adoption.</w:t>
      </w:r>
    </w:p>
    <w:p w14:paraId="0B8C3EFB" w14:textId="1ED005BE" w:rsidR="00D1508C" w:rsidRDefault="551A77D0" w:rsidP="005D49A8">
      <w:pPr>
        <w:pStyle w:val="Heading3"/>
      </w:pPr>
      <w:bookmarkStart w:id="20" w:name="_Toc38211631"/>
      <w:r w:rsidRPr="551A77D0">
        <w:t>Barriers to Adoption</w:t>
      </w:r>
      <w:bookmarkEnd w:id="20"/>
    </w:p>
    <w:p w14:paraId="2D791D58" w14:textId="138BDD4D" w:rsidR="005F566D" w:rsidRPr="005F566D" w:rsidRDefault="001E4F4D" w:rsidP="005F566D">
      <w:r>
        <w:t xml:space="preserve">A primary barrier to the adoption of low-clinker cement is that </w:t>
      </w:r>
      <w:r w:rsidR="005E12AD">
        <w:t>its use</w:t>
      </w:r>
      <w:r w:rsidR="005F566D">
        <w:t xml:space="preserve"> is limited to specific applications and not transferable</w:t>
      </w:r>
      <w:r>
        <w:t xml:space="preserve"> to </w:t>
      </w:r>
      <w:r w:rsidR="00612982">
        <w:t>all</w:t>
      </w:r>
      <w:r>
        <w:t xml:space="preserve"> construction</w:t>
      </w:r>
      <w:r w:rsidR="00612982">
        <w:t xml:space="preserve"> applications</w:t>
      </w:r>
      <w:r>
        <w:t>.</w:t>
      </w:r>
      <w:r w:rsidR="009F4DD0">
        <w:t xml:space="preserve"> The type of cement chosen is typically driven upon the constructability requirements (e.g., as high early strength gain) or durability requirements (e.g., high exposure to sulfates). Cement is typically not selected based upon its carbon emissions, but rather its performance which is a barrier to adoption low clinker cements.</w:t>
      </w:r>
      <w:r w:rsidR="00E1527C">
        <w:t xml:space="preserve"> Since codes and designers are comfortable specifying high clinker cement, a key barrier to adoption is education surrounding the potential applications and performance of low-clinker cements. </w:t>
      </w:r>
      <w:r>
        <w:t>A barrier to the adoption of manufacturing efficiency measures is the capital intensity of improving cement plants.</w:t>
      </w:r>
      <w:r w:rsidR="00680910">
        <w:t xml:space="preserve"> </w:t>
      </w:r>
      <w:r w:rsidR="00C852BA">
        <w:t>Due to their short lifespans, cement plant</w:t>
      </w:r>
      <w:r w:rsidR="00E1527C">
        <w:t>s</w:t>
      </w:r>
      <w:r w:rsidR="00C852BA">
        <w:t xml:space="preserve"> are typically not retrofitted, but improvements are made in their design. </w:t>
      </w:r>
      <w:r w:rsidR="00C852BA" w:rsidRPr="00FF155C">
        <w:t xml:space="preserve">As cement plants are decommissioned, and new, efficient, plants built, the manufacturing efficiency measures will become adopted, since they are also </w:t>
      </w:r>
      <w:r w:rsidR="00C852BA" w:rsidRPr="00391ECD">
        <w:t xml:space="preserve">more economical. </w:t>
      </w:r>
      <w:r w:rsidR="0024486F" w:rsidRPr="00391ECD">
        <w:t>The p</w:t>
      </w:r>
      <w:r w:rsidR="00627B12" w:rsidRPr="00391ECD">
        <w:t>rice of cement is closely tied to</w:t>
      </w:r>
      <w:r w:rsidR="0024486F" w:rsidRPr="00391ECD">
        <w:t xml:space="preserve"> the cost of</w:t>
      </w:r>
      <w:r w:rsidR="00627B12" w:rsidRPr="00391ECD">
        <w:t xml:space="preserve"> energy, therefore the more </w:t>
      </w:r>
      <w:r w:rsidR="0024486F" w:rsidRPr="00391ECD">
        <w:t>energy-</w:t>
      </w:r>
      <w:r w:rsidR="00627B12" w:rsidRPr="00391ECD">
        <w:t xml:space="preserve">efficient the production of cement is, the less costly the cement will be. </w:t>
      </w:r>
      <w:r w:rsidR="00BD69E3" w:rsidRPr="00391ECD">
        <w:t>The supply of so</w:t>
      </w:r>
      <w:r w:rsidR="00BD69E3">
        <w:t xml:space="preserve">me SCMs, such as fly ash and slag, will decrease in the future due to the </w:t>
      </w:r>
      <w:r w:rsidR="00F36327">
        <w:t>reduction</w:t>
      </w:r>
      <w:r w:rsidR="000E552E">
        <w:t xml:space="preserve"> </w:t>
      </w:r>
      <w:r w:rsidR="00BD69E3">
        <w:t xml:space="preserve">of coal </w:t>
      </w:r>
      <w:r w:rsidR="00680910">
        <w:t>combustion and steel manufacturing</w:t>
      </w:r>
      <w:r w:rsidR="00BD69E3">
        <w:t>. Other SCMs</w:t>
      </w:r>
      <w:r w:rsidR="00680910">
        <w:t>, such as calcined clays,</w:t>
      </w:r>
      <w:r w:rsidR="00BD69E3">
        <w:t xml:space="preserve"> will need to take the place of fly ash and slag in the future, which may create a barrier for adoption. </w:t>
      </w:r>
      <w:r w:rsidR="00680910">
        <w:t>The availability of SCMs is region dependent and their transport is expensive in terms of both cost and emissions. Thus, region-specific solutions are needed, which may cause a barrier to adoption.</w:t>
      </w:r>
    </w:p>
    <w:p w14:paraId="34222FBE" w14:textId="4EEBECBF" w:rsidR="00D1508C" w:rsidRDefault="551A77D0" w:rsidP="005D49A8">
      <w:pPr>
        <w:pStyle w:val="Heading3"/>
      </w:pPr>
      <w:bookmarkStart w:id="21" w:name="_Toc38211632"/>
      <w:r w:rsidRPr="005D49A8">
        <w:t>Adoption</w:t>
      </w:r>
      <w:r w:rsidR="006E6C65" w:rsidRPr="005D49A8">
        <w:t xml:space="preserve"> </w:t>
      </w:r>
      <w:r w:rsidRPr="005D49A8">
        <w:t>Potential</w:t>
      </w:r>
      <w:bookmarkEnd w:id="21"/>
    </w:p>
    <w:p w14:paraId="672F6CD5" w14:textId="46AA5643" w:rsidR="00FB2C53" w:rsidRPr="00FB2C53" w:rsidRDefault="001E4F4D" w:rsidP="00FB2C53">
      <w:r>
        <w:t xml:space="preserve">The future cement industry will continue to rely, to some extent, on the use of </w:t>
      </w:r>
      <w:r w:rsidR="004C7AB2">
        <w:t xml:space="preserve">clinker. </w:t>
      </w:r>
      <w:r w:rsidR="00CB63EE" w:rsidRPr="00611B61">
        <w:t>However, t</w:t>
      </w:r>
      <w:r w:rsidR="004C7AB2" w:rsidRPr="00611B61">
        <w:t>he</w:t>
      </w:r>
      <w:r w:rsidR="004C7AB2">
        <w:t xml:space="preserve"> potential for every cement application to use less than 95% clinker</w:t>
      </w:r>
      <w:r w:rsidR="00E1527C">
        <w:t xml:space="preserve"> has already been achieved</w:t>
      </w:r>
      <w:r w:rsidR="004C7AB2">
        <w:t>.</w:t>
      </w:r>
      <w:r w:rsidR="00E1527C">
        <w:t xml:space="preserve"> In 2014, the IEA estimated the average clinker intensity of cement to be 0.65 </w:t>
      </w:r>
      <w:r w:rsidR="00E1527C">
        <w:fldChar w:fldCharType="begin"/>
      </w:r>
      <w:r w:rsidR="00E1527C">
        <w:instrText xml:space="preserve"> ADDIN ZOTERO_ITEM CSL_CITATION {"citationID":"6FkdFlQ3","properties":{"formattedCitation":"(IEA, 2018)","plainCitation":"(IEA, 2018)","noteIndex":0},"citationItems":[{"id":5714,"uris":["http://zotero.org/groups/2241940/items/LPMWLU93"],"uri":["http://zotero.org/groups/2241940/items/LPMWLU93"],"itemData":{"id":5714,"type":"report","language":"en","page":"66","publisher":"International Energy Agency","source":"Zotero","title":"Technology Roadmap - Low-Carbon Transition in the Cement Industry","URL":"https://webstore.iea.org/technology-roadmap-low-carbon-transition-in-the-cement-industry","author":[{"family":"IEA","given":""}],"issued":{"date-parts":[["2018"]]}}}],"schema":"https://github.com/citation-style-language/schema/raw/master/csl-citation.json"} </w:instrText>
      </w:r>
      <w:r w:rsidR="00E1527C">
        <w:fldChar w:fldCharType="separate"/>
      </w:r>
      <w:r w:rsidR="00E1527C">
        <w:rPr>
          <w:noProof/>
        </w:rPr>
        <w:t>(IEA, 2018)</w:t>
      </w:r>
      <w:r w:rsidR="00E1527C">
        <w:fldChar w:fldCharType="end"/>
      </w:r>
      <w:r w:rsidR="00E1527C">
        <w:t xml:space="preserve">. In 2050, the IEA estimates only a minor reduction in the clinker-to-cement ratio to 0.64, yet lower clinker intensities </w:t>
      </w:r>
      <w:r w:rsidR="004C7AB2">
        <w:t>can be realized with higher levels of adoption</w:t>
      </w:r>
      <w:r w:rsidR="00E1527C">
        <w:t xml:space="preserve"> of blended cements</w:t>
      </w:r>
      <w:r w:rsidR="004C7AB2">
        <w:t>.</w:t>
      </w:r>
    </w:p>
    <w:p w14:paraId="12A2F24A" w14:textId="0DE295BB" w:rsidR="001C49CB" w:rsidRPr="00483FFA" w:rsidRDefault="551A77D0" w:rsidP="00483FFA">
      <w:pPr>
        <w:pStyle w:val="Heading2"/>
      </w:pPr>
      <w:bookmarkStart w:id="22" w:name="_Toc38211633"/>
      <w:r w:rsidRPr="00483FFA">
        <w:t xml:space="preserve">Advantages  and disadvantages of </w:t>
      </w:r>
      <w:r w:rsidR="001B7C1C">
        <w:t>Alternative Cements</w:t>
      </w:r>
      <w:bookmarkEnd w:id="22"/>
    </w:p>
    <w:p w14:paraId="473285D3" w14:textId="03CD5933" w:rsidR="00202788" w:rsidRDefault="551A77D0" w:rsidP="005D49A8">
      <w:pPr>
        <w:pStyle w:val="Heading3"/>
      </w:pPr>
      <w:bookmarkStart w:id="23" w:name="_Toc38211634"/>
      <w:r w:rsidRPr="00483FFA">
        <w:t>Similar Solutions</w:t>
      </w:r>
      <w:bookmarkEnd w:id="23"/>
    </w:p>
    <w:p w14:paraId="765A49CE" w14:textId="364D304D" w:rsidR="004B1F3A" w:rsidRDefault="00E1527C" w:rsidP="00BD2789">
      <w:pPr>
        <w:rPr>
          <w:bCs/>
        </w:rPr>
      </w:pPr>
      <w:r>
        <w:rPr>
          <w:bCs/>
        </w:rPr>
        <w:t>There are a variety of other cement systems which can also be used to produce concrete and mortar</w:t>
      </w:r>
      <w:r w:rsidR="006F3D62">
        <w:rPr>
          <w:bCs/>
        </w:rPr>
        <w:t xml:space="preserve"> </w:t>
      </w:r>
      <w:r w:rsidR="006F3D62">
        <w:rPr>
          <w:bCs/>
        </w:rPr>
        <w:fldChar w:fldCharType="begin"/>
      </w:r>
      <w:r w:rsidR="006F3D62">
        <w:rPr>
          <w:bCs/>
        </w:rPr>
        <w:instrText xml:space="preserve"> ADDIN ZOTERO_ITEM CSL_CITATION {"citationID":"ku8Kid1F","properties":{"formattedCitation":"(Gevaudan et al., 2019)","plainCitation":"(Gevaudan et al., 2019)","noteIndex":0},"citationItems":[{"id":5717,"uris":["http://zotero.org/groups/2241940/items/QB3UYELV"],"uri":["http://zotero.org/groups/2241940/items/QB3UYELV"],"itemData":{"id":5717,"type":"article-journal","abstract":"Concrete is the most utilized construction material and the second most consumed material on earth after water. As a consequence, its manufacture and use imparts global durability and environmental consequences. The manufacture of conventional ordinary Portland cement (OPC), the main constituent in concrete, for example, alone accounts for 5–8% of global CO2 emissions worldwide. In addition, the main durability challenges of OPC are associated with the chemistry of its binder. In recent years, increased demand for sustainable building materials with lower CO2 emissions and equivalent (or higher) service lifespans have prompted the development of alternative and novel cementitious materials to supplement and/or in some applications replace the use of OPC concrete in a variety of building and infrastructure engineering projects. Many of these alternative and novel cementitious material systems and approaches generally demonstrate lower CO2 emissions during production (up to 50% CO2 reductions) and increased durability when subjected to harsh conditions (e.g., lower shrinkage, higher acid resistance) when compared to OPC. This paper synthesizes and presents the general classification, characteristics, and current applications of four promising alternative cementitious material systems, namely (1) high-aluminate, (2) super-sulfated slag, (3) alkali-activated, and (4) carbonate-based cements (e.g., bio-cements). We will highlight the basics of alternative cement chemistries, their environmental impacts, and relevant material properties (i.e., fresh- and hardened-state properties) compared to OPC concrete. The discussions presented herein are supplemented with specific case-study examples of real-world applications and aim to serve as an inspiring platform for researchers, educators, and engineering professionals to conceptualize how next-generation cementitious materials can (and will) shape our built environment.","language":"en","page":"15","source":"Zotero","title":"Alternative Cements: Recent Developments and Future Directions","author":[{"family":"Gevaudan","given":"Juan Pablo"},{"family":"Osio-Norgaard","given":"Jorge"},{"family":"Srubar III","given":"Wil V."}],"issued":{"date-parts":[["2019"]]}}}],"schema":"https://github.com/citation-style-language/schema/raw/master/csl-citation.json"} </w:instrText>
      </w:r>
      <w:r w:rsidR="006F3D62">
        <w:rPr>
          <w:bCs/>
        </w:rPr>
        <w:fldChar w:fldCharType="separate"/>
      </w:r>
      <w:r w:rsidR="006F3D62">
        <w:rPr>
          <w:bCs/>
          <w:noProof/>
        </w:rPr>
        <w:t>(Gevaudan et al., 2019)</w:t>
      </w:r>
      <w:r w:rsidR="006F3D62">
        <w:rPr>
          <w:bCs/>
        </w:rPr>
        <w:fldChar w:fldCharType="end"/>
      </w:r>
      <w:r w:rsidR="006F3D62">
        <w:rPr>
          <w:bCs/>
        </w:rPr>
        <w:t>. Belite-rich clinkers require a lower temperature to produce and can achieve around a 10% reduction in CO</w:t>
      </w:r>
      <w:r w:rsidR="006F3D62" w:rsidRPr="006F3D62">
        <w:rPr>
          <w:bCs/>
          <w:vertAlign w:val="subscript"/>
        </w:rPr>
        <w:t>2</w:t>
      </w:r>
      <w:r w:rsidR="006F3D62">
        <w:rPr>
          <w:bCs/>
        </w:rPr>
        <w:t xml:space="preserve"> as compared to traditional OPC. Belite-rich clinkers do not gain strength as quickly as traditional OPC, which is why they have not gained widespread use. Similarly, </w:t>
      </w:r>
      <w:r w:rsidR="00B01575">
        <w:rPr>
          <w:bCs/>
        </w:rPr>
        <w:t>belitic clinkers with ye’elimite (BYF) are a lower carbon cement technology that has been used in China since the 1970s</w:t>
      </w:r>
      <w:r w:rsidR="001B7C1C">
        <w:rPr>
          <w:bCs/>
        </w:rPr>
        <w:t xml:space="preserve"> which can achieve CO</w:t>
      </w:r>
      <w:r w:rsidR="001B7C1C">
        <w:rPr>
          <w:bCs/>
          <w:vertAlign w:val="subscript"/>
        </w:rPr>
        <w:t>2</w:t>
      </w:r>
      <w:r w:rsidR="001B7C1C">
        <w:rPr>
          <w:bCs/>
        </w:rPr>
        <w:t xml:space="preserve"> savings of more than 20% </w:t>
      </w:r>
      <w:r w:rsidR="001B7C1C">
        <w:rPr>
          <w:bCs/>
        </w:rPr>
        <w:fldChar w:fldCharType="begin"/>
      </w:r>
      <w:r w:rsidR="001B7C1C">
        <w:rPr>
          <w:bCs/>
        </w:rPr>
        <w:instrText xml:space="preserve"> ADDIN ZOTERO_ITEM CSL_CITATION {"citationID":"fb5xFvV3","properties":{"formattedCitation":"(Scrivener et al., 2018)","plainCitation":"(Scrivener et al., 2018)","noteIndex":0},"citationItems":[{"id":5762,"uris":["http://zotero.org/groups/2241940/items/6HMS9WRK"],"uri":["http://zotero.org/groups/2241940/items/6HMS9WRK"],"itemData":{"id":5762,"type":"article-journal","abstract":"The main conclusions of an analysis of low-CO2, eco-efficient cement-based materials, carried out by a multi-stakeholder working group initiated by the United Nations Environment Program Sustainable Building and Climate Initiative (UNEP-SBCI) are presented, based on the white papers published in this special issue. We believe that Portland-based cement approaches will dominate in the near future due to economies of scale, levels of process optimisation, availability of raw materials and market confidence. Two product-based approaches can deliver substantial additional reductions in their global CO2 emissions, reducing the need for costly investment in carbon capture and storage (CCS) over the next 20–30 years: 1. Increased use of low-CO2 supplements (SCMs) as partial replacements for Portland cement clinker. 2. More efficient use of Portland cement clinker in mortars and concretes. However, other emerging technologies could also play an important role in emissions mitigation in the longer term, and thus merit further investigation.","container-title":"Cement and Concrete Research","DOI":"10.1016/j.cemconres.2018.03.015","ISSN":"00088846","journalAbbreviation":"Cement and Concrete Research","language":"en","page":"2-26","source":"DOI.org (Crossref)","title":"Eco-efficient cements: Potential economically viable solutions for a low-CO2 cement-based materials industry","title-short":"Eco-efficient cements","volume":"114","author":[{"family":"Scrivener","given":"Karen L."},{"family":"John","given":"Vanderley M."},{"family":"Gartner","given":"Ellis M."}],"issued":{"date-parts":[["2018",12]]}}}],"schema":"https://github.com/citation-style-language/schema/raw/master/csl-citation.json"} </w:instrText>
      </w:r>
      <w:r w:rsidR="001B7C1C">
        <w:rPr>
          <w:bCs/>
        </w:rPr>
        <w:fldChar w:fldCharType="separate"/>
      </w:r>
      <w:r w:rsidR="001B7C1C">
        <w:rPr>
          <w:bCs/>
          <w:noProof/>
        </w:rPr>
        <w:t>(Scrivener et al., 2018)</w:t>
      </w:r>
      <w:r w:rsidR="001B7C1C">
        <w:rPr>
          <w:bCs/>
        </w:rPr>
        <w:fldChar w:fldCharType="end"/>
      </w:r>
      <w:r w:rsidR="00B01575">
        <w:rPr>
          <w:bCs/>
        </w:rPr>
        <w:t>.</w:t>
      </w:r>
      <w:r w:rsidR="001B7C1C">
        <w:rPr>
          <w:bCs/>
        </w:rPr>
        <w:t xml:space="preserve"> Alkali activated cements (AACs), or geo-polymers, are another class of low-carbon cement technologies that are considered more durable than traditional OPC. </w:t>
      </w:r>
      <w:r w:rsidR="003277C2">
        <w:rPr>
          <w:bCs/>
        </w:rPr>
        <w:t>AACs are technically feasible as a technology and t</w:t>
      </w:r>
      <w:r w:rsidR="001B7C1C">
        <w:rPr>
          <w:bCs/>
        </w:rPr>
        <w:t>here are commercial scale operations in many developed and developing countries</w:t>
      </w:r>
      <w:r w:rsidR="003277C2">
        <w:rPr>
          <w:bCs/>
        </w:rPr>
        <w:t>. The lack of adoption of AACs is attributed to the lack of supply chains</w:t>
      </w:r>
      <w:r w:rsidR="001B7C1C">
        <w:rPr>
          <w:bCs/>
        </w:rPr>
        <w:t xml:space="preserve"> </w:t>
      </w:r>
      <w:r w:rsidR="001B7C1C">
        <w:rPr>
          <w:bCs/>
        </w:rPr>
        <w:fldChar w:fldCharType="begin"/>
      </w:r>
      <w:r w:rsidR="001B7C1C">
        <w:rPr>
          <w:bCs/>
        </w:rPr>
        <w:instrText xml:space="preserve"> ADDIN ZOTERO_ITEM CSL_CITATION {"citationID":"dy0UVt51","properties":{"formattedCitation":"(Provis, 2018)","plainCitation":"(Provis, 2018)","noteIndex":0},"citationItems":[{"id":5765,"uris":["http://zotero.org/groups/2241940/items/HNW94LF6"],"uri":["http://zotero.org/groups/2241940/items/HNW94LF6"],"itemData":{"id":5765,"type":"article-journal","abstract":"This paper, which forms part of the UNEP White Papers series on Eco-Efﬁcient Cements, provides a brief discussion of the class of cementing materials known as ‘alkali-activated binders’, which are identiﬁed to have potential for utilization as a key component of a sustainable future global construction materials industry. These cements are not expected to offer a like-for-like replacement of Portland cement across its full range of applications, for reasons related to supply chain limitations, practical challenges in some modes of application, and the need for careful control of formulation and curing. However, when produced using locally-available raw materials, with well-formulated mix designs (including in particular consideration of the environmental footprint of the alkaline activator) and production under adequate levels of quality control, alkali-activated binders are potentially an important and cost-effective component of the future toolkit of sustainable construction materials.","container-title":"Cement and Concrete Research","DOI":"10.1016/j.cemconres.2017.02.009","ISSN":"00088846","journalAbbreviation":"Cement and Concrete Research","language":"en","page":"40-48","source":"DOI.org (Crossref)","title":"Alkali-activated materials","volume":"114","author":[{"family":"Provis","given":"John L."}],"issued":{"date-parts":[["2018",12]]}}}],"schema":"https://github.com/citation-style-language/schema/raw/master/csl-citation.json"} </w:instrText>
      </w:r>
      <w:r w:rsidR="001B7C1C">
        <w:rPr>
          <w:bCs/>
        </w:rPr>
        <w:fldChar w:fldCharType="separate"/>
      </w:r>
      <w:r w:rsidR="001B7C1C">
        <w:rPr>
          <w:bCs/>
          <w:noProof/>
        </w:rPr>
        <w:t>(Provis, 2018)</w:t>
      </w:r>
      <w:r w:rsidR="001B7C1C">
        <w:rPr>
          <w:bCs/>
        </w:rPr>
        <w:fldChar w:fldCharType="end"/>
      </w:r>
      <w:r w:rsidR="001B7C1C">
        <w:rPr>
          <w:bCs/>
        </w:rPr>
        <w:t>.</w:t>
      </w:r>
      <w:r w:rsidR="00B01575">
        <w:rPr>
          <w:bCs/>
        </w:rPr>
        <w:t xml:space="preserve"> </w:t>
      </w:r>
      <w:r w:rsidR="001B7C1C">
        <w:rPr>
          <w:bCs/>
        </w:rPr>
        <w:t xml:space="preserve"> Additional cement systems such as carbonation of calcium silicates (CACS), and magnesium oxide derived from magnesium silicates (MOM</w:t>
      </w:r>
      <w:r w:rsidR="00612982">
        <w:rPr>
          <w:bCs/>
        </w:rPr>
        <w:t>S</w:t>
      </w:r>
      <w:r w:rsidR="001B7C1C">
        <w:rPr>
          <w:bCs/>
        </w:rPr>
        <w:t xml:space="preserve">) are in development as low-carbon alternatives, but do not currently have a substantial portion of the global cement market. </w:t>
      </w:r>
    </w:p>
    <w:p w14:paraId="06F51B6C" w14:textId="4C14D98A" w:rsidR="004B1F3A" w:rsidRPr="00BD2789" w:rsidRDefault="004B1F3A" w:rsidP="00BD2789">
      <w:pPr>
        <w:rPr>
          <w:bCs/>
        </w:rPr>
      </w:pPr>
      <w:r>
        <w:rPr>
          <w:bCs/>
        </w:rPr>
        <w:t>Other solutions that are similar to Alternative Cements include the substitution of concrete for other structural materials. For example, the use of steel or mass timber for building construction can reduce the demand (</w:t>
      </w:r>
      <w:r w:rsidR="00612982">
        <w:rPr>
          <w:bCs/>
        </w:rPr>
        <w:t>i.e., the total addressable market</w:t>
      </w:r>
      <w:r>
        <w:rPr>
          <w:bCs/>
        </w:rPr>
        <w:t xml:space="preserve">) for cement, and also reduce the carbon emissions of the construction sector. While the built environment will continue to utilize concrete </w:t>
      </w:r>
      <w:r w:rsidR="00C60041">
        <w:rPr>
          <w:bCs/>
        </w:rPr>
        <w:t>as a structural system to some extent, the partial replacement of concrete structure with mass timber ones (Drawdown coming attraction “Building with Wood”) is a similar solution.</w:t>
      </w:r>
    </w:p>
    <w:p w14:paraId="66FEF337" w14:textId="2CECE969" w:rsidR="000330C6" w:rsidRDefault="551A77D0" w:rsidP="005D49A8">
      <w:pPr>
        <w:pStyle w:val="Heading3"/>
      </w:pPr>
      <w:bookmarkStart w:id="24" w:name="_Toc38211635"/>
      <w:r w:rsidRPr="551A77D0">
        <w:t>Arguments for Adoption</w:t>
      </w:r>
      <w:bookmarkEnd w:id="24"/>
    </w:p>
    <w:p w14:paraId="4FC6418B" w14:textId="198E13D4" w:rsidR="006B1084" w:rsidRPr="006B1084" w:rsidRDefault="004B1F3A" w:rsidP="006B1084">
      <w:r>
        <w:t>In addition to having reduced climate impacts, l</w:t>
      </w:r>
      <w:r w:rsidR="009E5AA9">
        <w:t xml:space="preserve">ow-clinker cements </w:t>
      </w:r>
      <w:r w:rsidR="009E5AA9" w:rsidRPr="00F36327">
        <w:t>are typical</w:t>
      </w:r>
      <w:r w:rsidR="00C42093" w:rsidRPr="00F36327">
        <w:t>ly</w:t>
      </w:r>
      <w:r w:rsidR="009E5AA9" w:rsidRPr="00F36327">
        <w:t xml:space="preserve"> more durable than </w:t>
      </w:r>
      <w:r w:rsidR="00796F39" w:rsidRPr="00F36327">
        <w:t>traditional OPC systems. More durable materials result in lower replacement rates and reduce</w:t>
      </w:r>
      <w:r w:rsidR="00C42093" w:rsidRPr="00F36327">
        <w:t>d</w:t>
      </w:r>
      <w:r w:rsidR="00796F39" w:rsidRPr="00F36327">
        <w:t xml:space="preserve"> lifecycle costs for infrastructure management. This additional benefit</w:t>
      </w:r>
      <w:r w:rsidR="00796F39">
        <w:t xml:space="preserve"> is an argument for adoption of alternative cements. </w:t>
      </w:r>
    </w:p>
    <w:p w14:paraId="631C1215" w14:textId="57C37915" w:rsidR="006D6012" w:rsidRDefault="551A77D0" w:rsidP="005D49A8">
      <w:pPr>
        <w:pStyle w:val="Heading3"/>
      </w:pPr>
      <w:bookmarkStart w:id="25" w:name="_Toc38211636"/>
      <w:r w:rsidRPr="551A77D0">
        <w:t>Additional Benefits and Burdens</w:t>
      </w:r>
      <w:bookmarkEnd w:id="25"/>
    </w:p>
    <w:p w14:paraId="0E6878D3" w14:textId="123D12EA" w:rsidR="005D49A8" w:rsidRPr="00CA2EB1" w:rsidRDefault="00796F39" w:rsidP="00EB247F">
      <w:pPr>
        <w:autoSpaceDE w:val="0"/>
        <w:rPr>
          <w:color w:val="000000"/>
        </w:rPr>
      </w:pPr>
      <w:bookmarkStart w:id="26" w:name="_Toc524993438"/>
      <w:r>
        <w:t xml:space="preserve">Additional benefits and burdens of related technologies of alternative cements are explored in </w:t>
      </w:r>
      <w:r>
        <w:fldChar w:fldCharType="begin"/>
      </w:r>
      <w:r>
        <w:instrText xml:space="preserve"> REF _Ref32840458 \h </w:instrText>
      </w:r>
      <w:r>
        <w:fldChar w:fldCharType="separate"/>
      </w:r>
      <w:r w:rsidR="008F2A2C">
        <w:t xml:space="preserve">Table </w:t>
      </w:r>
      <w:r w:rsidR="008F2A2C">
        <w:rPr>
          <w:noProof/>
        </w:rPr>
        <w:t>1</w:t>
      </w:r>
      <w:r w:rsidR="008F2A2C">
        <w:t>.</w:t>
      </w:r>
      <w:r w:rsidR="008F2A2C">
        <w:rPr>
          <w:noProof/>
        </w:rPr>
        <w:t>3</w:t>
      </w:r>
      <w:r>
        <w:fldChar w:fldCharType="end"/>
      </w:r>
      <w:r>
        <w:t xml:space="preserve">. Each metric is </w:t>
      </w:r>
      <w:r w:rsidR="004B1F3A">
        <w:t>rated on a scale of “high”, “medium”, and “low”.</w:t>
      </w:r>
      <w:r w:rsidR="00611B61">
        <w:t xml:space="preserve"> </w:t>
      </w:r>
      <w:r w:rsidR="00F36327">
        <w:t>Not</w:t>
      </w:r>
      <w:r w:rsidR="0024486F">
        <w:t>e</w:t>
      </w:r>
      <w:r w:rsidR="00F36327">
        <w:t xml:space="preserve"> that t</w:t>
      </w:r>
      <w:r w:rsidR="00611B61">
        <w:t>echnologies with a star (*) are included in the solution definition for Alternative Cements</w:t>
      </w:r>
      <w:r w:rsidR="00F36327">
        <w:t xml:space="preserve"> (see Section 1.1.4)</w:t>
      </w:r>
      <w:r w:rsidR="00611B61">
        <w:t>.</w:t>
      </w:r>
    </w:p>
    <w:p w14:paraId="66C56BBE" w14:textId="45CA03D1" w:rsidR="00695682" w:rsidRDefault="00695682" w:rsidP="00EB247F">
      <w:pPr>
        <w:pStyle w:val="Caption"/>
        <w:jc w:val="center"/>
        <w:rPr>
          <w:b/>
          <w:bCs/>
          <w:color w:val="000000" w:themeColor="text1"/>
        </w:rPr>
      </w:pPr>
      <w:bookmarkStart w:id="27" w:name="_Ref32840458"/>
      <w:bookmarkStart w:id="28" w:name="_Toc38211666"/>
      <w:r>
        <w:t xml:space="preserve">Table </w:t>
      </w:r>
      <w:fldSimple w:instr=" STYLEREF 1 \s ">
        <w:r w:rsidR="008F2A2C">
          <w:rPr>
            <w:noProof/>
          </w:rPr>
          <w:t>1</w:t>
        </w:r>
      </w:fldSimple>
      <w:r w:rsidR="00F36327">
        <w:t>.</w:t>
      </w:r>
      <w:fldSimple w:instr=" SEQ Table \* ARABIC \s 1 ">
        <w:r w:rsidR="008F2A2C">
          <w:rPr>
            <w:noProof/>
          </w:rPr>
          <w:t>3</w:t>
        </w:r>
      </w:fldSimple>
      <w:bookmarkEnd w:id="27"/>
      <w:r>
        <w:t xml:space="preserve"> </w:t>
      </w:r>
      <w:bookmarkEnd w:id="26"/>
      <w:r w:rsidR="00441CF2">
        <w:t>Comparison of Technologies Related to Alternative Cements.</w:t>
      </w:r>
      <w:bookmarkEnd w:id="28"/>
    </w:p>
    <w:tbl>
      <w:tblPr>
        <w:tblStyle w:val="TableGrid"/>
        <w:tblW w:w="7645" w:type="dxa"/>
        <w:jc w:val="center"/>
        <w:tblLook w:val="04A0" w:firstRow="1" w:lastRow="0" w:firstColumn="1" w:lastColumn="0" w:noHBand="0" w:noVBand="1"/>
      </w:tblPr>
      <w:tblGrid>
        <w:gridCol w:w="2814"/>
        <w:gridCol w:w="1501"/>
        <w:gridCol w:w="1530"/>
        <w:gridCol w:w="1800"/>
      </w:tblGrid>
      <w:tr w:rsidR="004B1F3A" w:rsidRPr="00E91BE1" w14:paraId="4CFFCEFC" w14:textId="77777777" w:rsidTr="004B1F3A">
        <w:trPr>
          <w:cantSplit/>
          <w:trHeight w:val="594"/>
          <w:tblHeader/>
          <w:jc w:val="center"/>
        </w:trPr>
        <w:tc>
          <w:tcPr>
            <w:tcW w:w="2814" w:type="dxa"/>
            <w:shd w:val="clear" w:color="auto" w:fill="4F81BD" w:themeFill="accent1"/>
          </w:tcPr>
          <w:p w14:paraId="2A55DC0C" w14:textId="77777777" w:rsidR="004B1F3A" w:rsidRPr="00E91BE1" w:rsidRDefault="004B1F3A" w:rsidP="00AD4CF8">
            <w:pPr>
              <w:spacing w:line="240" w:lineRule="auto"/>
              <w:jc w:val="center"/>
              <w:rPr>
                <w:b/>
                <w:color w:val="FFFFFF" w:themeColor="background1"/>
                <w:sz w:val="20"/>
                <w:szCs w:val="20"/>
              </w:rPr>
            </w:pPr>
          </w:p>
        </w:tc>
        <w:tc>
          <w:tcPr>
            <w:tcW w:w="1501" w:type="dxa"/>
            <w:shd w:val="clear" w:color="auto" w:fill="4F81BD" w:themeFill="accent1"/>
          </w:tcPr>
          <w:p w14:paraId="3AE78C6E" w14:textId="5E213154" w:rsidR="004B1F3A" w:rsidRPr="00E91BE1" w:rsidRDefault="004B1F3A" w:rsidP="00AD4CF8">
            <w:pPr>
              <w:spacing w:line="240" w:lineRule="auto"/>
              <w:jc w:val="center"/>
              <w:rPr>
                <w:b/>
                <w:color w:val="FFFFFF" w:themeColor="background1"/>
                <w:sz w:val="20"/>
                <w:szCs w:val="20"/>
              </w:rPr>
            </w:pPr>
            <w:r>
              <w:rPr>
                <w:b/>
                <w:color w:val="FFFFFF" w:themeColor="background1"/>
                <w:sz w:val="20"/>
                <w:szCs w:val="20"/>
              </w:rPr>
              <w:t>Climate Impacts</w:t>
            </w:r>
          </w:p>
        </w:tc>
        <w:tc>
          <w:tcPr>
            <w:tcW w:w="1530" w:type="dxa"/>
            <w:shd w:val="clear" w:color="auto" w:fill="4F81BD" w:themeFill="accent1"/>
          </w:tcPr>
          <w:p w14:paraId="2793481F" w14:textId="62E2F05F" w:rsidR="004B1F3A" w:rsidRDefault="004B1F3A" w:rsidP="00AD4CF8">
            <w:pPr>
              <w:spacing w:line="240" w:lineRule="auto"/>
              <w:jc w:val="center"/>
              <w:rPr>
                <w:b/>
                <w:color w:val="FFFFFF" w:themeColor="background1"/>
                <w:sz w:val="20"/>
                <w:szCs w:val="20"/>
              </w:rPr>
            </w:pPr>
            <w:r>
              <w:rPr>
                <w:b/>
                <w:color w:val="FFFFFF" w:themeColor="background1"/>
                <w:sz w:val="20"/>
                <w:szCs w:val="20"/>
              </w:rPr>
              <w:t>Durability</w:t>
            </w:r>
          </w:p>
        </w:tc>
        <w:tc>
          <w:tcPr>
            <w:tcW w:w="1800" w:type="dxa"/>
            <w:shd w:val="clear" w:color="auto" w:fill="4F81BD" w:themeFill="accent1"/>
          </w:tcPr>
          <w:p w14:paraId="74752455" w14:textId="08CFD10B" w:rsidR="004B1F3A" w:rsidRPr="00E91BE1" w:rsidRDefault="004B1F3A" w:rsidP="00AD4CF8">
            <w:pPr>
              <w:spacing w:line="240" w:lineRule="auto"/>
              <w:jc w:val="center"/>
              <w:rPr>
                <w:b/>
                <w:color w:val="FFFFFF" w:themeColor="background1"/>
                <w:sz w:val="20"/>
                <w:szCs w:val="20"/>
              </w:rPr>
            </w:pPr>
            <w:r>
              <w:rPr>
                <w:b/>
                <w:color w:val="FFFFFF" w:themeColor="background1"/>
                <w:sz w:val="20"/>
                <w:szCs w:val="20"/>
              </w:rPr>
              <w:t>Adoption Potential</w:t>
            </w:r>
          </w:p>
        </w:tc>
      </w:tr>
      <w:tr w:rsidR="004B1F3A" w:rsidRPr="00E91BE1" w14:paraId="10738518" w14:textId="77777777" w:rsidTr="009B3590">
        <w:trPr>
          <w:trHeight w:val="334"/>
          <w:jc w:val="center"/>
        </w:trPr>
        <w:tc>
          <w:tcPr>
            <w:tcW w:w="2814" w:type="dxa"/>
            <w:shd w:val="clear" w:color="auto" w:fill="auto"/>
          </w:tcPr>
          <w:p w14:paraId="0CB46800" w14:textId="39371A6F" w:rsidR="004B1F3A" w:rsidRPr="009B3590" w:rsidRDefault="004B1F3A" w:rsidP="00441CF2">
            <w:pPr>
              <w:spacing w:line="240" w:lineRule="auto"/>
              <w:rPr>
                <w:sz w:val="20"/>
                <w:szCs w:val="20"/>
              </w:rPr>
            </w:pPr>
            <w:r w:rsidRPr="009B3590">
              <w:rPr>
                <w:sz w:val="20"/>
                <w:szCs w:val="20"/>
              </w:rPr>
              <w:t>Traditional OPC (95% clinker content)</w:t>
            </w:r>
          </w:p>
        </w:tc>
        <w:tc>
          <w:tcPr>
            <w:tcW w:w="1501" w:type="dxa"/>
          </w:tcPr>
          <w:p w14:paraId="0006824C" w14:textId="11896EFD" w:rsidR="004B1F3A" w:rsidRPr="00B920BF" w:rsidRDefault="004B1F3A" w:rsidP="00B920BF">
            <w:pPr>
              <w:spacing w:line="240" w:lineRule="auto"/>
              <w:jc w:val="center"/>
              <w:rPr>
                <w:sz w:val="20"/>
                <w:szCs w:val="20"/>
              </w:rPr>
            </w:pPr>
            <w:r w:rsidRPr="00B920BF">
              <w:rPr>
                <w:sz w:val="20"/>
                <w:szCs w:val="20"/>
              </w:rPr>
              <w:t>High</w:t>
            </w:r>
          </w:p>
        </w:tc>
        <w:tc>
          <w:tcPr>
            <w:tcW w:w="1530" w:type="dxa"/>
          </w:tcPr>
          <w:p w14:paraId="0ED2507A" w14:textId="7D56F843" w:rsidR="004B1F3A" w:rsidRPr="00B920BF" w:rsidRDefault="004B1F3A" w:rsidP="00B920BF">
            <w:pPr>
              <w:spacing w:line="240" w:lineRule="auto"/>
              <w:jc w:val="center"/>
              <w:rPr>
                <w:sz w:val="20"/>
                <w:szCs w:val="20"/>
              </w:rPr>
            </w:pPr>
            <w:r w:rsidRPr="00B920BF">
              <w:rPr>
                <w:sz w:val="20"/>
                <w:szCs w:val="20"/>
              </w:rPr>
              <w:t>Medium</w:t>
            </w:r>
          </w:p>
        </w:tc>
        <w:tc>
          <w:tcPr>
            <w:tcW w:w="1800" w:type="dxa"/>
          </w:tcPr>
          <w:p w14:paraId="592235B7" w14:textId="58429EC8" w:rsidR="004B1F3A" w:rsidRPr="00B920BF" w:rsidRDefault="004B1F3A" w:rsidP="00B920BF">
            <w:pPr>
              <w:spacing w:line="240" w:lineRule="auto"/>
              <w:jc w:val="center"/>
              <w:rPr>
                <w:sz w:val="20"/>
                <w:szCs w:val="20"/>
              </w:rPr>
            </w:pPr>
            <w:r w:rsidRPr="00B920BF">
              <w:rPr>
                <w:sz w:val="20"/>
                <w:szCs w:val="20"/>
              </w:rPr>
              <w:t>High</w:t>
            </w:r>
          </w:p>
        </w:tc>
      </w:tr>
      <w:tr w:rsidR="004B1F3A" w:rsidRPr="00E91BE1" w14:paraId="4FE1F79C" w14:textId="77777777" w:rsidTr="009B3590">
        <w:trPr>
          <w:trHeight w:val="315"/>
          <w:jc w:val="center"/>
        </w:trPr>
        <w:tc>
          <w:tcPr>
            <w:tcW w:w="2814" w:type="dxa"/>
            <w:shd w:val="clear" w:color="auto" w:fill="auto"/>
          </w:tcPr>
          <w:p w14:paraId="3AC5A24A" w14:textId="460676C6" w:rsidR="004B1F3A" w:rsidRPr="009B3590" w:rsidRDefault="004B1F3A" w:rsidP="00441CF2">
            <w:pPr>
              <w:spacing w:line="240" w:lineRule="auto"/>
              <w:rPr>
                <w:sz w:val="20"/>
                <w:szCs w:val="20"/>
              </w:rPr>
            </w:pPr>
            <w:r w:rsidRPr="009B3590">
              <w:rPr>
                <w:sz w:val="20"/>
                <w:szCs w:val="20"/>
              </w:rPr>
              <w:t>Cement manufacturing efficiency (electric and thermal)</w:t>
            </w:r>
            <w:r w:rsidR="003277C2" w:rsidRPr="009B3590">
              <w:rPr>
                <w:sz w:val="20"/>
                <w:szCs w:val="20"/>
              </w:rPr>
              <w:t>*</w:t>
            </w:r>
          </w:p>
        </w:tc>
        <w:tc>
          <w:tcPr>
            <w:tcW w:w="1501" w:type="dxa"/>
          </w:tcPr>
          <w:p w14:paraId="4AEFD00B" w14:textId="7123F9A1" w:rsidR="004B1F3A" w:rsidRPr="00B920BF" w:rsidRDefault="004B1F3A" w:rsidP="00B920BF">
            <w:pPr>
              <w:spacing w:line="240" w:lineRule="auto"/>
              <w:jc w:val="center"/>
              <w:rPr>
                <w:sz w:val="20"/>
                <w:szCs w:val="20"/>
              </w:rPr>
            </w:pPr>
            <w:r w:rsidRPr="00B920BF">
              <w:rPr>
                <w:sz w:val="20"/>
                <w:szCs w:val="20"/>
              </w:rPr>
              <w:t>Low</w:t>
            </w:r>
          </w:p>
        </w:tc>
        <w:tc>
          <w:tcPr>
            <w:tcW w:w="1530" w:type="dxa"/>
          </w:tcPr>
          <w:p w14:paraId="265E089A" w14:textId="71A775F9" w:rsidR="004B1F3A" w:rsidRPr="00B920BF" w:rsidRDefault="004B1F3A" w:rsidP="00B920BF">
            <w:pPr>
              <w:spacing w:line="240" w:lineRule="auto"/>
              <w:jc w:val="center"/>
              <w:rPr>
                <w:sz w:val="20"/>
                <w:szCs w:val="20"/>
              </w:rPr>
            </w:pPr>
            <w:r w:rsidRPr="00B920BF">
              <w:rPr>
                <w:sz w:val="20"/>
                <w:szCs w:val="20"/>
              </w:rPr>
              <w:t>N</w:t>
            </w:r>
            <w:r w:rsidR="00D3770E">
              <w:rPr>
                <w:sz w:val="20"/>
                <w:szCs w:val="20"/>
              </w:rPr>
              <w:t>/</w:t>
            </w:r>
            <w:r w:rsidRPr="00B920BF">
              <w:rPr>
                <w:sz w:val="20"/>
                <w:szCs w:val="20"/>
              </w:rPr>
              <w:t>A</w:t>
            </w:r>
          </w:p>
        </w:tc>
        <w:tc>
          <w:tcPr>
            <w:tcW w:w="1800" w:type="dxa"/>
          </w:tcPr>
          <w:p w14:paraId="2753AB5E" w14:textId="3566086D" w:rsidR="004B1F3A" w:rsidRPr="00B920BF" w:rsidRDefault="004B1F3A" w:rsidP="00B920BF">
            <w:pPr>
              <w:spacing w:line="240" w:lineRule="auto"/>
              <w:jc w:val="center"/>
              <w:rPr>
                <w:sz w:val="20"/>
                <w:szCs w:val="20"/>
              </w:rPr>
            </w:pPr>
            <w:r w:rsidRPr="00B920BF">
              <w:rPr>
                <w:sz w:val="20"/>
                <w:szCs w:val="20"/>
              </w:rPr>
              <w:t>High</w:t>
            </w:r>
          </w:p>
        </w:tc>
      </w:tr>
      <w:tr w:rsidR="004B1F3A" w:rsidRPr="00E91BE1" w14:paraId="1EB5A1C1" w14:textId="77777777" w:rsidTr="009B3590">
        <w:trPr>
          <w:trHeight w:val="315"/>
          <w:jc w:val="center"/>
        </w:trPr>
        <w:tc>
          <w:tcPr>
            <w:tcW w:w="2814" w:type="dxa"/>
            <w:shd w:val="clear" w:color="auto" w:fill="auto"/>
          </w:tcPr>
          <w:p w14:paraId="5ADC8040" w14:textId="619E33B3" w:rsidR="004B1F3A" w:rsidRPr="009B3590" w:rsidRDefault="004B1F3A" w:rsidP="00441CF2">
            <w:pPr>
              <w:spacing w:line="240" w:lineRule="auto"/>
              <w:rPr>
                <w:sz w:val="20"/>
                <w:szCs w:val="20"/>
              </w:rPr>
            </w:pPr>
            <w:r w:rsidRPr="009B3590">
              <w:rPr>
                <w:sz w:val="20"/>
                <w:szCs w:val="20"/>
              </w:rPr>
              <w:t>Low clinker cement</w:t>
            </w:r>
            <w:r w:rsidR="003277C2" w:rsidRPr="009B3590">
              <w:rPr>
                <w:sz w:val="20"/>
                <w:szCs w:val="20"/>
              </w:rPr>
              <w:t>*</w:t>
            </w:r>
          </w:p>
        </w:tc>
        <w:tc>
          <w:tcPr>
            <w:tcW w:w="1501" w:type="dxa"/>
          </w:tcPr>
          <w:p w14:paraId="5830EE64" w14:textId="144BB57C" w:rsidR="004B1F3A" w:rsidRPr="00B920BF" w:rsidRDefault="004B1F3A" w:rsidP="00B920BF">
            <w:pPr>
              <w:spacing w:line="240" w:lineRule="auto"/>
              <w:jc w:val="center"/>
              <w:rPr>
                <w:sz w:val="20"/>
                <w:szCs w:val="20"/>
              </w:rPr>
            </w:pPr>
            <w:r w:rsidRPr="00B920BF">
              <w:rPr>
                <w:sz w:val="20"/>
                <w:szCs w:val="20"/>
              </w:rPr>
              <w:t>Low</w:t>
            </w:r>
          </w:p>
        </w:tc>
        <w:tc>
          <w:tcPr>
            <w:tcW w:w="1530" w:type="dxa"/>
          </w:tcPr>
          <w:p w14:paraId="4F1CBD76" w14:textId="798E54D9" w:rsidR="004B1F3A" w:rsidRPr="00B920BF" w:rsidRDefault="009B06D0" w:rsidP="00B920BF">
            <w:pPr>
              <w:spacing w:line="240" w:lineRule="auto"/>
              <w:jc w:val="center"/>
              <w:rPr>
                <w:sz w:val="20"/>
                <w:szCs w:val="20"/>
              </w:rPr>
            </w:pPr>
            <w:r w:rsidRPr="00B920BF">
              <w:rPr>
                <w:sz w:val="20"/>
                <w:szCs w:val="20"/>
              </w:rPr>
              <w:t>High</w:t>
            </w:r>
          </w:p>
        </w:tc>
        <w:tc>
          <w:tcPr>
            <w:tcW w:w="1800" w:type="dxa"/>
          </w:tcPr>
          <w:p w14:paraId="0781EEDF" w14:textId="007CCEF8" w:rsidR="004B1F3A" w:rsidRPr="00B920BF" w:rsidRDefault="004B1F3A" w:rsidP="00B920BF">
            <w:pPr>
              <w:spacing w:line="240" w:lineRule="auto"/>
              <w:jc w:val="center"/>
              <w:rPr>
                <w:sz w:val="20"/>
                <w:szCs w:val="20"/>
              </w:rPr>
            </w:pPr>
            <w:r w:rsidRPr="00B920BF">
              <w:rPr>
                <w:sz w:val="20"/>
                <w:szCs w:val="20"/>
              </w:rPr>
              <w:t>High</w:t>
            </w:r>
          </w:p>
        </w:tc>
      </w:tr>
      <w:tr w:rsidR="004B1F3A" w:rsidRPr="00E91BE1" w14:paraId="3C9D6EA2" w14:textId="77777777" w:rsidTr="009B3590">
        <w:trPr>
          <w:trHeight w:val="315"/>
          <w:jc w:val="center"/>
        </w:trPr>
        <w:tc>
          <w:tcPr>
            <w:tcW w:w="2814" w:type="dxa"/>
            <w:shd w:val="clear" w:color="auto" w:fill="auto"/>
          </w:tcPr>
          <w:p w14:paraId="4D746887" w14:textId="44C3F0DD" w:rsidR="004B1F3A" w:rsidRPr="009B3590" w:rsidRDefault="004B1F3A" w:rsidP="00441CF2">
            <w:pPr>
              <w:spacing w:line="240" w:lineRule="auto"/>
              <w:rPr>
                <w:sz w:val="20"/>
                <w:szCs w:val="20"/>
              </w:rPr>
            </w:pPr>
            <w:r w:rsidRPr="009B3590">
              <w:rPr>
                <w:sz w:val="20"/>
                <w:szCs w:val="20"/>
              </w:rPr>
              <w:t>Very-low clinker cement</w:t>
            </w:r>
            <w:r w:rsidR="003277C2" w:rsidRPr="009B3590">
              <w:rPr>
                <w:sz w:val="20"/>
                <w:szCs w:val="20"/>
              </w:rPr>
              <w:t>*</w:t>
            </w:r>
          </w:p>
        </w:tc>
        <w:tc>
          <w:tcPr>
            <w:tcW w:w="1501" w:type="dxa"/>
          </w:tcPr>
          <w:p w14:paraId="05DAD7F1" w14:textId="5D58E131" w:rsidR="004B1F3A" w:rsidRPr="00B920BF" w:rsidRDefault="004B1F3A" w:rsidP="00B920BF">
            <w:pPr>
              <w:spacing w:line="240" w:lineRule="auto"/>
              <w:jc w:val="center"/>
              <w:rPr>
                <w:sz w:val="20"/>
                <w:szCs w:val="20"/>
              </w:rPr>
            </w:pPr>
            <w:r w:rsidRPr="00B920BF">
              <w:rPr>
                <w:sz w:val="20"/>
                <w:szCs w:val="20"/>
              </w:rPr>
              <w:t>Very Low</w:t>
            </w:r>
          </w:p>
        </w:tc>
        <w:tc>
          <w:tcPr>
            <w:tcW w:w="1530" w:type="dxa"/>
          </w:tcPr>
          <w:p w14:paraId="542CF98A" w14:textId="668F1F03" w:rsidR="004B1F3A" w:rsidRPr="00B920BF" w:rsidRDefault="004B1F3A" w:rsidP="00B920BF">
            <w:pPr>
              <w:spacing w:line="240" w:lineRule="auto"/>
              <w:jc w:val="center"/>
              <w:rPr>
                <w:sz w:val="20"/>
                <w:szCs w:val="20"/>
              </w:rPr>
            </w:pPr>
            <w:r w:rsidRPr="00B920BF">
              <w:rPr>
                <w:sz w:val="20"/>
                <w:szCs w:val="20"/>
              </w:rPr>
              <w:t>High</w:t>
            </w:r>
          </w:p>
        </w:tc>
        <w:tc>
          <w:tcPr>
            <w:tcW w:w="1800" w:type="dxa"/>
          </w:tcPr>
          <w:p w14:paraId="4C358789" w14:textId="1C9D28A5" w:rsidR="004B1F3A" w:rsidRPr="00B920BF" w:rsidRDefault="004B1F3A" w:rsidP="00B920BF">
            <w:pPr>
              <w:spacing w:line="240" w:lineRule="auto"/>
              <w:jc w:val="center"/>
              <w:rPr>
                <w:sz w:val="20"/>
                <w:szCs w:val="20"/>
              </w:rPr>
            </w:pPr>
            <w:r w:rsidRPr="00B920BF">
              <w:rPr>
                <w:sz w:val="20"/>
                <w:szCs w:val="20"/>
              </w:rPr>
              <w:t>Low</w:t>
            </w:r>
          </w:p>
        </w:tc>
      </w:tr>
      <w:tr w:rsidR="004B1F3A" w:rsidRPr="00E91BE1" w14:paraId="425A3856" w14:textId="77777777" w:rsidTr="009B3590">
        <w:trPr>
          <w:trHeight w:val="315"/>
          <w:jc w:val="center"/>
        </w:trPr>
        <w:tc>
          <w:tcPr>
            <w:tcW w:w="2814" w:type="dxa"/>
            <w:shd w:val="clear" w:color="auto" w:fill="auto"/>
          </w:tcPr>
          <w:p w14:paraId="4EC645C7" w14:textId="77777777" w:rsidR="004B1F3A" w:rsidRPr="009B3590" w:rsidRDefault="004B1F3A" w:rsidP="00441CF2">
            <w:pPr>
              <w:spacing w:line="240" w:lineRule="auto"/>
              <w:rPr>
                <w:sz w:val="20"/>
                <w:szCs w:val="20"/>
              </w:rPr>
            </w:pPr>
            <w:r w:rsidRPr="009B3590">
              <w:rPr>
                <w:sz w:val="20"/>
                <w:szCs w:val="20"/>
              </w:rPr>
              <w:t>Alternative fuel use for clinker production</w:t>
            </w:r>
          </w:p>
          <w:p w14:paraId="09CBE02F" w14:textId="1BC08DFA" w:rsidR="00611B61" w:rsidRPr="009B3590" w:rsidRDefault="00611B61" w:rsidP="00441CF2">
            <w:pPr>
              <w:spacing w:line="240" w:lineRule="auto"/>
              <w:rPr>
                <w:sz w:val="20"/>
                <w:szCs w:val="20"/>
              </w:rPr>
            </w:pPr>
            <w:r w:rsidRPr="009B3590">
              <w:rPr>
                <w:sz w:val="20"/>
                <w:szCs w:val="20"/>
              </w:rPr>
              <w:t>(e.g., biomass)</w:t>
            </w:r>
          </w:p>
        </w:tc>
        <w:tc>
          <w:tcPr>
            <w:tcW w:w="1501" w:type="dxa"/>
          </w:tcPr>
          <w:p w14:paraId="6D6428E3" w14:textId="0779227F" w:rsidR="004B1F3A" w:rsidRPr="00B920BF" w:rsidRDefault="004B1F3A" w:rsidP="00B920BF">
            <w:pPr>
              <w:spacing w:line="240" w:lineRule="auto"/>
              <w:jc w:val="center"/>
              <w:rPr>
                <w:sz w:val="20"/>
                <w:szCs w:val="20"/>
              </w:rPr>
            </w:pPr>
            <w:r w:rsidRPr="00B920BF">
              <w:rPr>
                <w:sz w:val="20"/>
                <w:szCs w:val="20"/>
              </w:rPr>
              <w:t>Low</w:t>
            </w:r>
          </w:p>
        </w:tc>
        <w:tc>
          <w:tcPr>
            <w:tcW w:w="1530" w:type="dxa"/>
          </w:tcPr>
          <w:p w14:paraId="0146FCE0" w14:textId="68BB39DB" w:rsidR="004B1F3A" w:rsidRPr="00B920BF" w:rsidRDefault="004B1F3A" w:rsidP="00B920BF">
            <w:pPr>
              <w:spacing w:line="240" w:lineRule="auto"/>
              <w:jc w:val="center"/>
              <w:rPr>
                <w:sz w:val="20"/>
                <w:szCs w:val="20"/>
              </w:rPr>
            </w:pPr>
            <w:r w:rsidRPr="00B920BF">
              <w:rPr>
                <w:sz w:val="20"/>
                <w:szCs w:val="20"/>
              </w:rPr>
              <w:t>N</w:t>
            </w:r>
            <w:r w:rsidR="00D3770E">
              <w:rPr>
                <w:sz w:val="20"/>
                <w:szCs w:val="20"/>
              </w:rPr>
              <w:t>/</w:t>
            </w:r>
            <w:r w:rsidRPr="00B920BF">
              <w:rPr>
                <w:sz w:val="20"/>
                <w:szCs w:val="20"/>
              </w:rPr>
              <w:t>A</w:t>
            </w:r>
          </w:p>
        </w:tc>
        <w:tc>
          <w:tcPr>
            <w:tcW w:w="1800" w:type="dxa"/>
          </w:tcPr>
          <w:p w14:paraId="2226B77F" w14:textId="5C6DF46E" w:rsidR="004B1F3A" w:rsidRPr="00B920BF" w:rsidRDefault="004B1F3A" w:rsidP="00B920BF">
            <w:pPr>
              <w:spacing w:line="240" w:lineRule="auto"/>
              <w:jc w:val="center"/>
              <w:rPr>
                <w:sz w:val="20"/>
                <w:szCs w:val="20"/>
              </w:rPr>
            </w:pPr>
            <w:r w:rsidRPr="00B920BF">
              <w:rPr>
                <w:sz w:val="20"/>
                <w:szCs w:val="20"/>
              </w:rPr>
              <w:t>Medium</w:t>
            </w:r>
          </w:p>
        </w:tc>
      </w:tr>
      <w:tr w:rsidR="004B1F3A" w:rsidRPr="00E91BE1" w14:paraId="04FA166C" w14:textId="77777777" w:rsidTr="009B3590">
        <w:trPr>
          <w:trHeight w:val="352"/>
          <w:jc w:val="center"/>
        </w:trPr>
        <w:tc>
          <w:tcPr>
            <w:tcW w:w="2814" w:type="dxa"/>
            <w:shd w:val="clear" w:color="auto" w:fill="auto"/>
          </w:tcPr>
          <w:p w14:paraId="2AE4F9EF" w14:textId="144D8AC8" w:rsidR="004B1F3A" w:rsidRPr="009B3590" w:rsidRDefault="004B1F3A" w:rsidP="00EF70DB">
            <w:pPr>
              <w:spacing w:line="240" w:lineRule="auto"/>
              <w:rPr>
                <w:sz w:val="20"/>
                <w:szCs w:val="20"/>
              </w:rPr>
            </w:pPr>
            <w:r w:rsidRPr="009B3590">
              <w:rPr>
                <w:sz w:val="20"/>
                <w:szCs w:val="20"/>
              </w:rPr>
              <w:t>Alternative cement systems (e.g., alkali-activated cements)</w:t>
            </w:r>
          </w:p>
        </w:tc>
        <w:tc>
          <w:tcPr>
            <w:tcW w:w="1501" w:type="dxa"/>
          </w:tcPr>
          <w:p w14:paraId="2D550CA2" w14:textId="3E5053D7" w:rsidR="004B1F3A" w:rsidRPr="00B920BF" w:rsidRDefault="004B1F3A" w:rsidP="00B920BF">
            <w:pPr>
              <w:spacing w:line="240" w:lineRule="auto"/>
              <w:jc w:val="center"/>
              <w:rPr>
                <w:sz w:val="20"/>
                <w:szCs w:val="20"/>
              </w:rPr>
            </w:pPr>
            <w:r w:rsidRPr="00B920BF">
              <w:rPr>
                <w:sz w:val="20"/>
                <w:szCs w:val="20"/>
              </w:rPr>
              <w:t>Very Low</w:t>
            </w:r>
          </w:p>
        </w:tc>
        <w:tc>
          <w:tcPr>
            <w:tcW w:w="1530" w:type="dxa"/>
          </w:tcPr>
          <w:p w14:paraId="4734FD59" w14:textId="1852DF2A" w:rsidR="004B1F3A" w:rsidRPr="00B920BF" w:rsidRDefault="004B1F3A" w:rsidP="00B920BF">
            <w:pPr>
              <w:spacing w:line="240" w:lineRule="auto"/>
              <w:jc w:val="center"/>
              <w:rPr>
                <w:sz w:val="20"/>
                <w:szCs w:val="20"/>
              </w:rPr>
            </w:pPr>
            <w:r w:rsidRPr="00B920BF">
              <w:rPr>
                <w:sz w:val="20"/>
                <w:szCs w:val="20"/>
              </w:rPr>
              <w:t>High</w:t>
            </w:r>
          </w:p>
        </w:tc>
        <w:tc>
          <w:tcPr>
            <w:tcW w:w="1800" w:type="dxa"/>
          </w:tcPr>
          <w:p w14:paraId="4E03DB1F" w14:textId="752A097F" w:rsidR="004B1F3A" w:rsidRPr="00B920BF" w:rsidRDefault="00D3770E" w:rsidP="00B920BF">
            <w:pPr>
              <w:spacing w:line="240" w:lineRule="auto"/>
              <w:jc w:val="center"/>
              <w:rPr>
                <w:sz w:val="20"/>
                <w:szCs w:val="20"/>
              </w:rPr>
            </w:pPr>
            <w:r>
              <w:rPr>
                <w:sz w:val="20"/>
                <w:szCs w:val="20"/>
              </w:rPr>
              <w:t>Medium</w:t>
            </w:r>
          </w:p>
        </w:tc>
      </w:tr>
      <w:tr w:rsidR="004B1F3A" w:rsidRPr="00E91BE1" w14:paraId="2F391DB1" w14:textId="77777777" w:rsidTr="009B3590">
        <w:trPr>
          <w:trHeight w:val="352"/>
          <w:jc w:val="center"/>
        </w:trPr>
        <w:tc>
          <w:tcPr>
            <w:tcW w:w="2814" w:type="dxa"/>
            <w:shd w:val="clear" w:color="auto" w:fill="auto"/>
          </w:tcPr>
          <w:p w14:paraId="20812588" w14:textId="77777777" w:rsidR="004B1F3A" w:rsidRPr="009B3590" w:rsidRDefault="004B1F3A" w:rsidP="00EF70DB">
            <w:pPr>
              <w:spacing w:line="240" w:lineRule="auto"/>
              <w:rPr>
                <w:sz w:val="20"/>
                <w:szCs w:val="20"/>
              </w:rPr>
            </w:pPr>
            <w:r w:rsidRPr="009B3590">
              <w:rPr>
                <w:sz w:val="20"/>
                <w:szCs w:val="20"/>
              </w:rPr>
              <w:t>Alternative structural materials</w:t>
            </w:r>
          </w:p>
          <w:p w14:paraId="093ADEC4" w14:textId="4AAC49DE" w:rsidR="00611B61" w:rsidRPr="009B3590" w:rsidRDefault="00611B61" w:rsidP="00EF70DB">
            <w:pPr>
              <w:spacing w:line="240" w:lineRule="auto"/>
              <w:rPr>
                <w:sz w:val="20"/>
                <w:szCs w:val="20"/>
              </w:rPr>
            </w:pPr>
            <w:r w:rsidRPr="009B3590">
              <w:rPr>
                <w:sz w:val="20"/>
                <w:szCs w:val="20"/>
              </w:rPr>
              <w:t>(e.g., steel or timber)</w:t>
            </w:r>
          </w:p>
        </w:tc>
        <w:tc>
          <w:tcPr>
            <w:tcW w:w="1501" w:type="dxa"/>
          </w:tcPr>
          <w:p w14:paraId="3280BB27" w14:textId="21DE6DF8" w:rsidR="004B1F3A" w:rsidRPr="00B920BF" w:rsidRDefault="00612982" w:rsidP="00B920BF">
            <w:pPr>
              <w:spacing w:line="240" w:lineRule="auto"/>
              <w:jc w:val="center"/>
              <w:rPr>
                <w:sz w:val="20"/>
                <w:szCs w:val="20"/>
              </w:rPr>
            </w:pPr>
            <w:r>
              <w:rPr>
                <w:sz w:val="20"/>
                <w:szCs w:val="20"/>
              </w:rPr>
              <w:t xml:space="preserve">Very Low - </w:t>
            </w:r>
            <w:r w:rsidR="004B1F3A" w:rsidRPr="00B920BF">
              <w:rPr>
                <w:sz w:val="20"/>
                <w:szCs w:val="20"/>
              </w:rPr>
              <w:t>Medium</w:t>
            </w:r>
          </w:p>
        </w:tc>
        <w:tc>
          <w:tcPr>
            <w:tcW w:w="1530" w:type="dxa"/>
          </w:tcPr>
          <w:p w14:paraId="23637461" w14:textId="6EF910F1" w:rsidR="004B1F3A" w:rsidRPr="00B920BF" w:rsidRDefault="004B1F3A" w:rsidP="00B920BF">
            <w:pPr>
              <w:spacing w:line="240" w:lineRule="auto"/>
              <w:jc w:val="center"/>
              <w:rPr>
                <w:sz w:val="20"/>
                <w:szCs w:val="20"/>
              </w:rPr>
            </w:pPr>
            <w:r w:rsidRPr="00B920BF">
              <w:rPr>
                <w:sz w:val="20"/>
                <w:szCs w:val="20"/>
              </w:rPr>
              <w:t>Medium</w:t>
            </w:r>
          </w:p>
        </w:tc>
        <w:tc>
          <w:tcPr>
            <w:tcW w:w="1800" w:type="dxa"/>
          </w:tcPr>
          <w:p w14:paraId="6C23A9E1" w14:textId="56E8286B" w:rsidR="004B1F3A" w:rsidRPr="00B920BF" w:rsidRDefault="004B1F3A" w:rsidP="00B920BF">
            <w:pPr>
              <w:spacing w:line="240" w:lineRule="auto"/>
              <w:jc w:val="center"/>
              <w:rPr>
                <w:sz w:val="20"/>
                <w:szCs w:val="20"/>
              </w:rPr>
            </w:pPr>
            <w:r w:rsidRPr="00B920BF">
              <w:rPr>
                <w:sz w:val="20"/>
                <w:szCs w:val="20"/>
              </w:rPr>
              <w:t>High</w:t>
            </w:r>
          </w:p>
        </w:tc>
      </w:tr>
    </w:tbl>
    <w:p w14:paraId="58D827DE" w14:textId="73571849" w:rsidR="00F52595" w:rsidRPr="000B3EE3" w:rsidRDefault="00F52595" w:rsidP="00EB247F">
      <w:pPr>
        <w:autoSpaceDE w:val="0"/>
        <w:rPr>
          <w:rFonts w:asciiTheme="majorHAnsi" w:eastAsiaTheme="majorEastAsia" w:hAnsiTheme="majorHAnsi" w:cstheme="majorBidi"/>
          <w:b/>
          <w:bCs/>
          <w:smallCaps/>
          <w:color w:val="000000" w:themeColor="text1"/>
          <w:sz w:val="36"/>
          <w:szCs w:val="36"/>
        </w:rPr>
        <w:sectPr w:rsidR="00F52595" w:rsidRPr="000B3EE3" w:rsidSect="00C44058">
          <w:footerReference w:type="default" r:id="rId18"/>
          <w:pgSz w:w="12240" w:h="15840"/>
          <w:pgMar w:top="1440" w:right="1440" w:bottom="1440" w:left="1440" w:header="720" w:footer="720" w:gutter="0"/>
          <w:pgNumType w:start="1"/>
          <w:cols w:space="720"/>
        </w:sectPr>
      </w:pPr>
    </w:p>
    <w:p w14:paraId="756DEC01" w14:textId="2A9B7491" w:rsidR="00966563" w:rsidRDefault="551A77D0" w:rsidP="00AE749D">
      <w:pPr>
        <w:pStyle w:val="Heading1"/>
      </w:pPr>
      <w:bookmarkStart w:id="29" w:name="_Toc38211637"/>
      <w:r>
        <w:t>Methodology</w:t>
      </w:r>
      <w:bookmarkEnd w:id="29"/>
    </w:p>
    <w:p w14:paraId="567926D6" w14:textId="2E842B8D" w:rsidR="00BD136D" w:rsidRDefault="00686965" w:rsidP="00AE749D">
      <w:pPr>
        <w:pStyle w:val="Heading2"/>
        <w:numPr>
          <w:ilvl w:val="1"/>
          <w:numId w:val="28"/>
        </w:numPr>
      </w:pPr>
      <w:bookmarkStart w:id="30" w:name="_Toc38211638"/>
      <w:r>
        <w:t>Introduction</w:t>
      </w:r>
      <w:bookmarkEnd w:id="30"/>
    </w:p>
    <w:p w14:paraId="07B9A60E" w14:textId="77777777" w:rsidR="00ED21C5" w:rsidRDefault="00ED21C5" w:rsidP="00FB2C53">
      <w:r>
        <w:t>To model the potential impact the adoption of alternative cements may have as a carbon emissions reduction strategy, a scenario analysis is performed. Alternative cements as a Drawdown Solution is defined for this model as the reduction of clinker to cement ratio, in addition to the adoption of more efficient clinker production manufacturing processes.</w:t>
      </w:r>
    </w:p>
    <w:p w14:paraId="093833F7" w14:textId="37C7D16A" w:rsidR="00FB2C53" w:rsidRDefault="00FB2C53" w:rsidP="00FB2C53">
      <w:r w:rsidRPr="001850DC">
        <w:t>Project Drawdown’s models are developed in Microsoft Excel using standard templates that allow easier integration since integration is critical to the bottom-up approach used. The template used for this solution was the Reduction and Replacement Solutions (RRS) which accounts for reductions in energy consumption and emissions generation for a solution relative to a conventional technology. These technologies are assumed to compete in markets to supply the final functional demand which is exogenous to the model, but may be shared across several solution models. The adoption and markets are therefore defined in terms of functional units, and for investment costing, adoptions are also converted to implementation units. The adoptions of both conventional and solution were projected for each of several scenarios from 2015 to 20</w:t>
      </w:r>
      <w:r>
        <w:t>6</w:t>
      </w:r>
      <w:r w:rsidRPr="001850DC">
        <w:t xml:space="preserve">0 </w:t>
      </w:r>
      <w:r>
        <w:t xml:space="preserve">(from a base year of 2014) </w:t>
      </w:r>
      <w:r w:rsidRPr="001850DC">
        <w:t>and the comparison of these scenarios (for the 2020-2050 segment</w:t>
      </w:r>
      <w:r w:rsidR="006B1084" w:rsidRPr="00E911FD">
        <w:rPr>
          <w:rStyle w:val="FootnoteReference"/>
        </w:rPr>
        <w:footnoteReference w:id="1"/>
      </w:r>
      <w:r w:rsidRPr="001850DC">
        <w:t>) is what constituted the results.</w:t>
      </w:r>
    </w:p>
    <w:p w14:paraId="298F46AB" w14:textId="782412B1" w:rsidR="00F52595" w:rsidRDefault="00686965" w:rsidP="00C07355">
      <w:pPr>
        <w:pStyle w:val="Heading2"/>
        <w:numPr>
          <w:ilvl w:val="1"/>
          <w:numId w:val="28"/>
        </w:numPr>
      </w:pPr>
      <w:bookmarkStart w:id="31" w:name="_Toc38211639"/>
      <w:r>
        <w:t>Data Sources</w:t>
      </w:r>
      <w:bookmarkEnd w:id="31"/>
    </w:p>
    <w:p w14:paraId="1AEE0591" w14:textId="7CFDE6F4" w:rsidR="00ED21C5" w:rsidRPr="00ED21C5" w:rsidRDefault="00ED21C5" w:rsidP="00ED21C5">
      <w:r>
        <w:t>Key data sources used in the modeling process include ASTM</w:t>
      </w:r>
      <w:r w:rsidR="00A600E5">
        <w:t xml:space="preserve"> C595 and EN 197 standards which specify the mineral content</w:t>
      </w:r>
      <w:r w:rsidR="009400FD">
        <w:t xml:space="preserve"> (and thus clinker content)</w:t>
      </w:r>
      <w:r w:rsidR="00A600E5">
        <w:t xml:space="preserve"> required for different types of alternative cements. These standards are leveraged to define the rate of adoption of the solution technology for each Project Drawdown scenario. Additionally, details on the indirect emissions associated with alternative cements utilized the global scale analysis performed by Miller et al. </w:t>
      </w:r>
      <w:r w:rsidR="00A600E5">
        <w:fldChar w:fldCharType="begin"/>
      </w:r>
      <w:r w:rsidR="00A600E5">
        <w:instrText xml:space="preserve"> ADDIN ZOTERO_ITEM CSL_CITATION {"citationID":"vn8awnJU","properties":{"formattedCitation":"(2018)","plainCitation":"(2018)","noteIndex":0},"citationItems":[{"id":5764,"uris":["http://zotero.org/groups/2241940/items/NMYB8UPK"],"uri":["http://zotero.org/groups/2241940/items/NMYB8UPK"],"itemData":{"id":5764,"type":"article-journal","abstract":"This paper, which is a contribution to the UNEP series on Eco-Eﬃcient Cements, examines the role of materialbased solutions to reducing CO2 emissions from cement production considering factors that could inﬂuence implementation. Global urbanization has led to an increase in demand for cement and cement-based materials. With its growth in consumption, the associated CO2 emissions from its production are raising concern. However, the role of mitigation strategies in a global context that account for regional material availability and degree of market adoption have yet to be considered. This work shows that the 2 °C scenario targets for 2050 can be met through increased use of calcined clay and engineered ﬁller with dispersants. The introduction of new Portland clinker-based cement alternatives, use of alkali-activated materials, and improvement of eﬃciency of cement use could further contribute to reduction goals. There are currently-available technologies for reduction that could be rapidly implemented.","container-title":"Cement and Concrete Research","DOI":"10.1016/j.cemconres.2017.08.026","ISSN":"00088846","journalAbbreviation":"Cement and Concrete Research","language":"en","page":"115-124","source":"DOI.org (Crossref)","title":"Carbon dioxide reduction potential in the global cement industry by 2050","volume":"114","author":[{"family":"Miller","given":"Sabbie A."},{"family":"John","given":"Vanderley M."},{"family":"Pacca","given":"Sergio A."},{"family":"Horvath","given":"Arpad"}],"issued":{"date-parts":[["2018",12]]}},"suppress-author":true}],"schema":"https://github.com/citation-style-language/schema/raw/master/csl-citation.json"} </w:instrText>
      </w:r>
      <w:r w:rsidR="00A600E5">
        <w:fldChar w:fldCharType="separate"/>
      </w:r>
      <w:r w:rsidR="00A600E5">
        <w:rPr>
          <w:noProof/>
        </w:rPr>
        <w:t>(2018)</w:t>
      </w:r>
      <w:r w:rsidR="00A600E5">
        <w:fldChar w:fldCharType="end"/>
      </w:r>
      <w:r w:rsidR="00A600E5">
        <w:t>. To evaluate the supply of non-clinker binder and filler materials,</w:t>
      </w:r>
      <w:r w:rsidR="00A600E5" w:rsidRPr="00A600E5">
        <w:t xml:space="preserve"> </w:t>
      </w:r>
      <w:r w:rsidR="00A600E5">
        <w:t xml:space="preserve">a global estimate of precursor availability is utilized </w:t>
      </w:r>
      <w:r w:rsidR="00A600E5">
        <w:fldChar w:fldCharType="begin"/>
      </w:r>
      <w:r w:rsidR="00A600E5">
        <w:instrText xml:space="preserve"> ADDIN ZOTERO_ITEM CSL_CITATION {"citationID":"l94AM1NN","properties":{"formattedCitation":"(Scrivener et al., 2018)","plainCitation":"(Scrivener et al., 2018)","noteIndex":0},"citationItems":[{"id":5762,"uris":["http://zotero.org/groups/2241940/items/6HMS9WRK"],"uri":["http://zotero.org/groups/2241940/items/6HMS9WRK"],"itemData":{"id":5762,"type":"article-journal","abstract":"The main conclusions of an analysis of low-CO2, eco-efficient cement-based materials, carried out by a multi-stakeholder working group initiated by the United Nations Environment Program Sustainable Building and Climate Initiative (UNEP-SBCI) are presented, based on the white papers published in this special issue. We believe that Portland-based cement approaches will dominate in the near future due to economies of scale, levels of process optimisation, availability of raw materials and market confidence. Two product-based approaches can deliver substantial additional reductions in their global CO2 emissions, reducing the need for costly investment in carbon capture and storage (CCS) over the next 20–30 years: 1. Increased use of low-CO2 supplements (SCMs) as partial replacements for Portland cement clinker. 2. More efficient use of Portland cement clinker in mortars and concretes. However, other emerging technologies could also play an important role in emissions mitigation in the longer term, and thus merit further investigation.","container-title":"Cement and Concrete Research","DOI":"10.1016/j.cemconres.2018.03.015","ISSN":"00088846","journalAbbreviation":"Cement and Concrete Research","language":"en","page":"2-26","source":"DOI.org (Crossref)","title":"Eco-efficient cements: Potential economically viable solutions for a low-CO2 cement-based materials industry","title-short":"Eco-efficient cements","volume":"114","author":[{"family":"Scrivener","given":"Karen L."},{"family":"John","given":"Vanderley M."},{"family":"Gartner","given":"Ellis M."}],"issued":{"date-parts":[["2018",12]]}}}],"schema":"https://github.com/citation-style-language/schema/raw/master/csl-citation.json"} </w:instrText>
      </w:r>
      <w:r w:rsidR="00A600E5">
        <w:fldChar w:fldCharType="separate"/>
      </w:r>
      <w:r w:rsidR="00A600E5">
        <w:rPr>
          <w:noProof/>
        </w:rPr>
        <w:t>(Scrivener et al., 2018)</w:t>
      </w:r>
      <w:r w:rsidR="00A600E5">
        <w:fldChar w:fldCharType="end"/>
      </w:r>
      <w:r w:rsidR="00A600E5">
        <w:t>.</w:t>
      </w:r>
    </w:p>
    <w:p w14:paraId="3F6B79A0" w14:textId="3FB62B16" w:rsidR="00DF4904" w:rsidRDefault="00686965" w:rsidP="00C07355">
      <w:pPr>
        <w:pStyle w:val="Heading2"/>
        <w:numPr>
          <w:ilvl w:val="1"/>
          <w:numId w:val="28"/>
        </w:numPr>
      </w:pPr>
      <w:bookmarkStart w:id="32" w:name="_Toc38211640"/>
      <w:r w:rsidRPr="000C2FF4">
        <w:t>Total Addressable Market</w:t>
      </w:r>
      <w:bookmarkEnd w:id="32"/>
    </w:p>
    <w:p w14:paraId="4A9FB53F" w14:textId="5C7B016B" w:rsidR="002E3A2F" w:rsidRDefault="002E3A2F" w:rsidP="002E3A2F">
      <w:r>
        <w:t xml:space="preserve">The total addressable market (TAM) is derived from both peer-reviewed and </w:t>
      </w:r>
      <w:r w:rsidR="00F36327">
        <w:t>global</w:t>
      </w:r>
      <w:r w:rsidR="006E7F26">
        <w:t xml:space="preserve"> trade organizations to</w:t>
      </w:r>
      <w:r>
        <w:t xml:space="preserve"> predict the future demand for cement in millions of metric tons (MM</w:t>
      </w:r>
      <w:r w:rsidR="006E7F26">
        <w:t>t</w:t>
      </w:r>
      <w:r>
        <w:t>)</w:t>
      </w:r>
      <w:r w:rsidR="006E7F26">
        <w:t xml:space="preserve">. The IEA has a low- and high-variability scenario which provides a global estimate for the cement market through 2050 </w:t>
      </w:r>
      <w:r w:rsidR="006E7F26">
        <w:fldChar w:fldCharType="begin"/>
      </w:r>
      <w:r w:rsidR="006E7F26">
        <w:instrText xml:space="preserve"> ADDIN ZOTERO_ITEM CSL_CITATION {"citationID":"CG1pS7W4","properties":{"formattedCitation":"(IEA, 2018)","plainCitation":"(IEA, 2018)","noteIndex":0},"citationItems":[{"id":5714,"uris":["http://zotero.org/groups/2241940/items/LPMWLU93"],"uri":["http://zotero.org/groups/2241940/items/LPMWLU93"],"itemData":{"id":5714,"type":"report","language":"en","page":"66","publisher":"International Energy Agency","source":"Zotero","title":"Technology Roadmap - Low-Carbon Transition in the Cement Industry","URL":"https://webstore.iea.org/technology-roadmap-low-carbon-transition-in-the-cement-industry","author":[{"family":"IEA","given":""}],"issued":{"date-parts":[["2018"]]}}}],"schema":"https://github.com/citation-style-language/schema/raw/master/csl-citation.json"} </w:instrText>
      </w:r>
      <w:r w:rsidR="006E7F26">
        <w:fldChar w:fldCharType="separate"/>
      </w:r>
      <w:r w:rsidR="006E7F26">
        <w:rPr>
          <w:noProof/>
        </w:rPr>
        <w:t>(IEA, 2018)</w:t>
      </w:r>
      <w:r w:rsidR="006E7F26">
        <w:fldChar w:fldCharType="end"/>
      </w:r>
      <w:r w:rsidR="006E7F26">
        <w:t xml:space="preserve">. Two </w:t>
      </w:r>
      <w:r w:rsidR="001C3957">
        <w:t xml:space="preserve">recent </w:t>
      </w:r>
      <w:r w:rsidR="006E7F26">
        <w:t xml:space="preserve">peer reviewed studies </w:t>
      </w:r>
      <w:r w:rsidR="006E7F26">
        <w:fldChar w:fldCharType="begin"/>
      </w:r>
      <w:r w:rsidR="006E7F26">
        <w:instrText xml:space="preserve"> ADDIN ZOTERO_ITEM CSL_CITATION {"citationID":"VRqHJgB8","properties":{"formattedCitation":"(Farfan et al., 2019; van Ruijven et al., 2016)","plainCitation":"(Farfan et al., 2019; van Ruijven et al., 2016)","noteIndex":0},"citationItems":[{"id":5708,"uris":["http://zotero.org/groups/2241940/items/HF975X8Q"],"uri":["http://zotero.org/groups/2241940/items/HF975X8Q"],"itemData":{"id":5708,"type":"article-journal","abstract":"In order to achieve targets set by the Paris Agreement and limit global average temperature increase to well below 2  C above pre-industrial levels, an assessment and a low carbon transformation is needed for all types of human activities. Cement production is associated with high levels of CO2 emissions, with an average of 866 kg of CO2 emitted per ton of cement produced. This positions the cement industry as one of the main sources of anthropogenic greenhouse gas emissions accounting for about 5% of the total, right after the chemical industry and more relevant than the iron and steel industry. About 50% of the emissions are caused by burnt fuel, related transport and other inputs, which can be currently substituted by other measures. However, the CO2 emissions which originate from input limestone cannot be avoided. These process CO2 emissions present a potential for carbon capture and utilisation. This research proposes a global potential analysis of CCU as a possible solution for the CO2 emissions of cement production. Cement CCU may establish a substantial route to use CO2 for synthetic hydrocarbons production and thus contribute towards mitigating the non-substitutable CO2 content of the limestonebased raw material. The production of renewable electricity based synthetic hydrocarbon fuels by CO2 captured from cement plants, counts for a potential to produce between 3639 TWhth and 7355 TWhth of liquid hydrocarbons, or 6298 TWhth and 12723 TWhth of synthetic natural gas, or a mix of both at the expected global cement peak production in 2040.","container-title":"Journal of Cleaner Production","DOI":"10.1016/j.jclepro.2019.01.226","ISSN":"09596526","journalAbbreviation":"Journal of Cleaner Production","language":"en","page":"821-835","source":"DOI.org (Crossref)","title":"Trends in the global cement industry and opportunities for long-term sustainable CCU potential for Power-to-X","volume":"217","author":[{"family":"Farfan","given":"Javier"},{"family":"Fasihi","given":"Mahdi"},{"family":"Breyer","given":"Christian"}],"issued":{"date-parts":[["2019",4]]}}},{"id":5709,"uris":["http://zotero.org/groups/2241940/items/5KA4PTEF"],"uri":["http://zotero.org/groups/2241940/items/5KA4PTEF"],"itemData":{"id":5709,"type":"article-journal","abstract":"This paper presents a global simulation-model for the steel and cement industries. The model covers the full modelling chain from economic activity, to materials consumption, trade, technology choice, production capacity, energy use and CO2 emissions. Without climate policy, the future projections based on the SSP2 scenario show a rapid increase in the consumption of steel and cement over the next few decades, after which demand levels are projected to stabilize. This implies that over the scenario period, CO2 emissions are projected to peak in the next decades followed by a decrease below 2010 levels in 2050. There is considerable scope to mitigate CO2 emissions from steel and cement industries, leading to resp. 80–90% and 40–80% reduction below 2010 in 2050 for a high carbon tax of 100 $/tCO2 + 4%pa depending on the availability of Carbon Capture and Sequestration (CCS).","container-title":"Resources, Conservation and Recycling","DOI":"10.1016/j.resconrec.2016.04.016","ISSN":"09213449","journalAbbreviation":"Resources, Conservation and Recycling","language":"en","page":"15-36","source":"DOI.org (Crossref)","title":"Long-term model-based projections of energy use and CO2 emissions from the global steel and cement industries","volume":"112","author":[{"family":"Ruijven","given":"Bas J.","non-dropping-particle":"van"},{"family":"Vuuren","given":"Detlef P.","non-dropping-particle":"van"},{"family":"Boskaljon","given":"Willem"},{"family":"Neelis","given":"Maarten L."},{"family":"Saygin","given":"Deger"},{"family":"Patel","given":"Martin K."}],"issued":{"date-parts":[["2016",9]]}}}],"schema":"https://github.com/citation-style-language/schema/raw/master/csl-citation.json"} </w:instrText>
      </w:r>
      <w:r w:rsidR="006E7F26">
        <w:fldChar w:fldCharType="separate"/>
      </w:r>
      <w:r w:rsidR="006E7F26">
        <w:rPr>
          <w:noProof/>
        </w:rPr>
        <w:t>(Farfan et al., 2019; van Ruijven et al., 2016)</w:t>
      </w:r>
      <w:r w:rsidR="006E7F26">
        <w:fldChar w:fldCharType="end"/>
      </w:r>
      <w:r w:rsidR="006E7F26">
        <w:t xml:space="preserve"> use historical data and forecasted economic and population data to develop a TAM. The average of each of the TAMs identified in the literature are used in the present analysis.  </w:t>
      </w:r>
    </w:p>
    <w:p w14:paraId="6B9EBA5F" w14:textId="5A543FBC" w:rsidR="00575848" w:rsidRDefault="00575848" w:rsidP="00575848">
      <w:pPr>
        <w:pStyle w:val="Heading2"/>
      </w:pPr>
      <w:bookmarkStart w:id="33" w:name="_Toc38211641"/>
      <w:r>
        <w:t>Levels of Adoption</w:t>
      </w:r>
      <w:bookmarkEnd w:id="33"/>
    </w:p>
    <w:p w14:paraId="6D1E02AF" w14:textId="1107912F" w:rsidR="00575848" w:rsidRDefault="00575848" w:rsidP="00575848">
      <w:r>
        <w:t>The magnitude of adoption of alternative cements is modeled by using already existing standards for cement (ASTM and CEM). For each type of cement (e.g., CEM II), there is a range of clinker</w:t>
      </w:r>
      <w:r w:rsidR="00421F2E">
        <w:t>-to-cement ratios</w:t>
      </w:r>
      <w:r>
        <w:t xml:space="preserve"> that </w:t>
      </w:r>
      <w:r w:rsidR="00421F2E">
        <w:t>are</w:t>
      </w:r>
      <w:r>
        <w:t xml:space="preserve"> acceptable. The present model considers three different adoption levels (described </w:t>
      </w:r>
      <w:r w:rsidR="004A0863">
        <w:t>by each scenario</w:t>
      </w:r>
      <w:r>
        <w:t>) which are informed by a weighted average of clinker</w:t>
      </w:r>
      <w:r w:rsidR="00421F2E">
        <w:t xml:space="preserve">-to-cement </w:t>
      </w:r>
      <w:r>
        <w:t>ratios and assumed market share of each</w:t>
      </w:r>
      <w:r w:rsidR="00421F2E">
        <w:t xml:space="preserve"> type of cement</w:t>
      </w:r>
      <w:r w:rsidR="00F36327">
        <w:t>, see</w:t>
      </w:r>
      <w:r w:rsidR="00B21312">
        <w:t xml:space="preserve"> </w:t>
      </w:r>
      <w:r w:rsidR="00B21312">
        <w:fldChar w:fldCharType="begin"/>
      </w:r>
      <w:r w:rsidR="00B21312">
        <w:instrText xml:space="preserve"> REF _Ref38207712 \h </w:instrText>
      </w:r>
      <w:r w:rsidR="00B21312">
        <w:fldChar w:fldCharType="separate"/>
      </w:r>
      <w:r w:rsidR="008F2A2C">
        <w:t xml:space="preserve">Table </w:t>
      </w:r>
      <w:r w:rsidR="008F2A2C">
        <w:rPr>
          <w:noProof/>
        </w:rPr>
        <w:t>2</w:t>
      </w:r>
      <w:r w:rsidR="008F2A2C">
        <w:t>.</w:t>
      </w:r>
      <w:r w:rsidR="008F2A2C">
        <w:rPr>
          <w:noProof/>
        </w:rPr>
        <w:t>1</w:t>
      </w:r>
      <w:r w:rsidR="00B21312">
        <w:fldChar w:fldCharType="end"/>
      </w:r>
      <w:r>
        <w:t>.</w:t>
      </w:r>
      <w:r w:rsidR="00B21312">
        <w:t xml:space="preserve"> These market sharers are derived from </w:t>
      </w:r>
      <w:r w:rsidR="0024486F">
        <w:t xml:space="preserve">historical </w:t>
      </w:r>
      <w:r w:rsidR="00B21312">
        <w:t>CEMBUREAU data.</w:t>
      </w:r>
    </w:p>
    <w:p w14:paraId="1F9EB63A" w14:textId="703033B6" w:rsidR="00F36327" w:rsidRDefault="00F36327" w:rsidP="00F36327">
      <w:pPr>
        <w:pStyle w:val="Caption"/>
        <w:keepNext/>
        <w:jc w:val="center"/>
      </w:pPr>
      <w:bookmarkStart w:id="34" w:name="_Ref38207712"/>
      <w:bookmarkStart w:id="35" w:name="_Toc38211667"/>
      <w:r>
        <w:t xml:space="preserve">Table </w:t>
      </w:r>
      <w:fldSimple w:instr=" STYLEREF 1 \s ">
        <w:r w:rsidR="008F2A2C">
          <w:rPr>
            <w:noProof/>
          </w:rPr>
          <w:t>2</w:t>
        </w:r>
      </w:fldSimple>
      <w:r>
        <w:t>.</w:t>
      </w:r>
      <w:fldSimple w:instr=" SEQ Table \* ARABIC \s 1 ">
        <w:r w:rsidR="008F2A2C">
          <w:rPr>
            <w:noProof/>
          </w:rPr>
          <w:t>1</w:t>
        </w:r>
      </w:fldSimple>
      <w:bookmarkEnd w:id="34"/>
      <w:r>
        <w:t>. Model inputs for market share distribution of cement.</w:t>
      </w:r>
      <w:bookmarkEnd w:id="35"/>
    </w:p>
    <w:tbl>
      <w:tblPr>
        <w:tblStyle w:val="TableGrid"/>
        <w:tblW w:w="10075" w:type="dxa"/>
        <w:jc w:val="center"/>
        <w:tblLook w:val="04A0" w:firstRow="1" w:lastRow="0" w:firstColumn="1" w:lastColumn="0" w:noHBand="0" w:noVBand="1"/>
      </w:tblPr>
      <w:tblGrid>
        <w:gridCol w:w="2195"/>
        <w:gridCol w:w="1940"/>
        <w:gridCol w:w="1890"/>
        <w:gridCol w:w="4050"/>
      </w:tblGrid>
      <w:tr w:rsidR="00B21312" w:rsidRPr="003F1AF9" w14:paraId="0501CFED" w14:textId="3B4CA665" w:rsidTr="00B21312">
        <w:trPr>
          <w:jc w:val="center"/>
        </w:trPr>
        <w:tc>
          <w:tcPr>
            <w:tcW w:w="2195" w:type="dxa"/>
            <w:shd w:val="clear" w:color="auto" w:fill="4F81BD" w:themeFill="accent1"/>
            <w:vAlign w:val="center"/>
          </w:tcPr>
          <w:p w14:paraId="0B60568B" w14:textId="69FAAABE" w:rsidR="00B21312" w:rsidRPr="003F1AF9" w:rsidRDefault="00B21312" w:rsidP="00F36327">
            <w:pPr>
              <w:spacing w:line="240" w:lineRule="auto"/>
              <w:jc w:val="center"/>
              <w:rPr>
                <w:b/>
                <w:color w:val="FFFFFF" w:themeColor="background1"/>
              </w:rPr>
            </w:pPr>
            <w:r>
              <w:rPr>
                <w:b/>
                <w:color w:val="FFFFFF" w:themeColor="background1"/>
              </w:rPr>
              <w:t>Cement Type</w:t>
            </w:r>
          </w:p>
        </w:tc>
        <w:tc>
          <w:tcPr>
            <w:tcW w:w="1940" w:type="dxa"/>
            <w:shd w:val="clear" w:color="auto" w:fill="4F81BD" w:themeFill="accent1"/>
            <w:vAlign w:val="center"/>
          </w:tcPr>
          <w:p w14:paraId="09E4C274" w14:textId="54803D64" w:rsidR="00B21312" w:rsidRPr="003F1AF9" w:rsidRDefault="00B21312" w:rsidP="00F36327">
            <w:pPr>
              <w:spacing w:line="240" w:lineRule="auto"/>
              <w:jc w:val="center"/>
              <w:rPr>
                <w:b/>
                <w:color w:val="FFFFFF" w:themeColor="background1"/>
              </w:rPr>
            </w:pPr>
            <w:r>
              <w:rPr>
                <w:b/>
                <w:color w:val="FFFFFF" w:themeColor="background1"/>
              </w:rPr>
              <w:t>Market share in 2020</w:t>
            </w:r>
          </w:p>
        </w:tc>
        <w:tc>
          <w:tcPr>
            <w:tcW w:w="1890" w:type="dxa"/>
            <w:shd w:val="clear" w:color="auto" w:fill="4F81BD" w:themeFill="accent1"/>
            <w:vAlign w:val="center"/>
          </w:tcPr>
          <w:p w14:paraId="28049935" w14:textId="48E69D2F" w:rsidR="00B21312" w:rsidRPr="003F1AF9" w:rsidRDefault="00B21312" w:rsidP="00F36327">
            <w:pPr>
              <w:spacing w:line="240" w:lineRule="auto"/>
              <w:jc w:val="center"/>
              <w:rPr>
                <w:b/>
                <w:color w:val="FFFFFF" w:themeColor="background1"/>
              </w:rPr>
            </w:pPr>
            <w:r>
              <w:rPr>
                <w:b/>
                <w:color w:val="FFFFFF" w:themeColor="background1"/>
              </w:rPr>
              <w:t>Market share in 2050</w:t>
            </w:r>
          </w:p>
        </w:tc>
        <w:tc>
          <w:tcPr>
            <w:tcW w:w="4050" w:type="dxa"/>
            <w:shd w:val="clear" w:color="auto" w:fill="4F81BD" w:themeFill="accent1"/>
          </w:tcPr>
          <w:p w14:paraId="06985121" w14:textId="23412013" w:rsidR="00B21312" w:rsidRDefault="00B21312" w:rsidP="00F36327">
            <w:pPr>
              <w:spacing w:line="240" w:lineRule="auto"/>
              <w:jc w:val="center"/>
              <w:rPr>
                <w:b/>
                <w:color w:val="FFFFFF" w:themeColor="background1"/>
              </w:rPr>
            </w:pPr>
            <w:r>
              <w:rPr>
                <w:b/>
                <w:color w:val="FFFFFF" w:themeColor="background1"/>
              </w:rPr>
              <w:t>Notes on assumed market share in 2050</w:t>
            </w:r>
          </w:p>
        </w:tc>
      </w:tr>
      <w:tr w:rsidR="00B21312" w:rsidRPr="003F1AF9" w14:paraId="147717E0" w14:textId="1C6D09B3" w:rsidTr="00B21312">
        <w:trPr>
          <w:jc w:val="center"/>
        </w:trPr>
        <w:tc>
          <w:tcPr>
            <w:tcW w:w="2195" w:type="dxa"/>
            <w:vAlign w:val="center"/>
          </w:tcPr>
          <w:p w14:paraId="3192664E" w14:textId="54C40C60" w:rsidR="00B21312" w:rsidRPr="003F1AF9" w:rsidRDefault="00B21312" w:rsidP="00B21312">
            <w:pPr>
              <w:jc w:val="center"/>
            </w:pPr>
            <w:r>
              <w:t>CEM I</w:t>
            </w:r>
          </w:p>
        </w:tc>
        <w:tc>
          <w:tcPr>
            <w:tcW w:w="1940" w:type="dxa"/>
            <w:tcMar>
              <w:left w:w="29" w:type="dxa"/>
              <w:right w:w="29" w:type="dxa"/>
            </w:tcMar>
            <w:vAlign w:val="center"/>
          </w:tcPr>
          <w:p w14:paraId="586B8272" w14:textId="4E1BD5C7" w:rsidR="00B21312" w:rsidRPr="003F1AF9" w:rsidRDefault="00B21312" w:rsidP="00B21312">
            <w:pPr>
              <w:jc w:val="center"/>
            </w:pPr>
            <w:r>
              <w:t>29.70%</w:t>
            </w:r>
          </w:p>
        </w:tc>
        <w:tc>
          <w:tcPr>
            <w:tcW w:w="1890" w:type="dxa"/>
            <w:vAlign w:val="center"/>
          </w:tcPr>
          <w:p w14:paraId="2F782D86" w14:textId="3C4A03F7" w:rsidR="00B21312" w:rsidRPr="003F1AF9" w:rsidRDefault="00B21312" w:rsidP="00B21312">
            <w:pPr>
              <w:jc w:val="center"/>
            </w:pPr>
            <w:r>
              <w:t>0.00%</w:t>
            </w:r>
          </w:p>
        </w:tc>
        <w:tc>
          <w:tcPr>
            <w:tcW w:w="4050" w:type="dxa"/>
          </w:tcPr>
          <w:p w14:paraId="1E19E009" w14:textId="6D8E2A40" w:rsidR="00B21312" w:rsidRDefault="00B21312" w:rsidP="00B21312">
            <w:r w:rsidRPr="00572419">
              <w:t>No CEM I is produced in any scenario.</w:t>
            </w:r>
          </w:p>
        </w:tc>
      </w:tr>
      <w:tr w:rsidR="00B21312" w:rsidRPr="003F1AF9" w14:paraId="65555277" w14:textId="61B48219" w:rsidTr="00B21312">
        <w:trPr>
          <w:jc w:val="center"/>
        </w:trPr>
        <w:tc>
          <w:tcPr>
            <w:tcW w:w="2195" w:type="dxa"/>
            <w:vAlign w:val="center"/>
          </w:tcPr>
          <w:p w14:paraId="37DBA7CB" w14:textId="108229EA" w:rsidR="00B21312" w:rsidRPr="003F1AF9" w:rsidRDefault="00B21312" w:rsidP="00B21312">
            <w:pPr>
              <w:jc w:val="center"/>
            </w:pPr>
            <w:r>
              <w:t>CEM II</w:t>
            </w:r>
          </w:p>
        </w:tc>
        <w:tc>
          <w:tcPr>
            <w:tcW w:w="1940" w:type="dxa"/>
            <w:tcMar>
              <w:left w:w="29" w:type="dxa"/>
              <w:right w:w="29" w:type="dxa"/>
            </w:tcMar>
            <w:vAlign w:val="center"/>
          </w:tcPr>
          <w:p w14:paraId="00C0F22A" w14:textId="04699D22" w:rsidR="00B21312" w:rsidRPr="003F1AF9" w:rsidRDefault="00B21312" w:rsidP="00B21312">
            <w:pPr>
              <w:jc w:val="center"/>
            </w:pPr>
            <w:r>
              <w:t>57.20%</w:t>
            </w:r>
          </w:p>
        </w:tc>
        <w:tc>
          <w:tcPr>
            <w:tcW w:w="1890" w:type="dxa"/>
            <w:vAlign w:val="center"/>
          </w:tcPr>
          <w:p w14:paraId="0516D974" w14:textId="3AE73786" w:rsidR="00B21312" w:rsidRPr="003F1AF9" w:rsidRDefault="00B21312" w:rsidP="00B21312">
            <w:pPr>
              <w:jc w:val="center"/>
            </w:pPr>
            <w:r>
              <w:t>44.35%</w:t>
            </w:r>
          </w:p>
        </w:tc>
        <w:tc>
          <w:tcPr>
            <w:tcW w:w="4050" w:type="dxa"/>
          </w:tcPr>
          <w:p w14:paraId="64EFE833" w14:textId="0B2FE8A8" w:rsidR="00B21312" w:rsidRDefault="00B21312" w:rsidP="00B21312">
            <w:r w:rsidRPr="00572419">
              <w:t>50% split of remaining share to CEM II and CEM V</w:t>
            </w:r>
            <w:r>
              <w:t>.</w:t>
            </w:r>
          </w:p>
        </w:tc>
      </w:tr>
      <w:tr w:rsidR="00B21312" w:rsidRPr="003F1AF9" w14:paraId="185743CF" w14:textId="62ABD4AD" w:rsidTr="00B21312">
        <w:trPr>
          <w:jc w:val="center"/>
        </w:trPr>
        <w:tc>
          <w:tcPr>
            <w:tcW w:w="2195" w:type="dxa"/>
            <w:vAlign w:val="center"/>
          </w:tcPr>
          <w:p w14:paraId="15497D58" w14:textId="77CB24B6" w:rsidR="00B21312" w:rsidRPr="003F1AF9" w:rsidRDefault="00B21312" w:rsidP="00B21312">
            <w:pPr>
              <w:jc w:val="center"/>
            </w:pPr>
            <w:r>
              <w:t>CEM III</w:t>
            </w:r>
          </w:p>
        </w:tc>
        <w:tc>
          <w:tcPr>
            <w:tcW w:w="1940" w:type="dxa"/>
            <w:tcMar>
              <w:left w:w="29" w:type="dxa"/>
              <w:right w:w="29" w:type="dxa"/>
            </w:tcMar>
            <w:vAlign w:val="center"/>
          </w:tcPr>
          <w:p w14:paraId="3F5A51D7" w14:textId="50936F94" w:rsidR="00B21312" w:rsidRPr="003F1AF9" w:rsidRDefault="00B21312" w:rsidP="00B21312">
            <w:pPr>
              <w:jc w:val="center"/>
            </w:pPr>
            <w:r>
              <w:t>5.60%</w:t>
            </w:r>
          </w:p>
        </w:tc>
        <w:tc>
          <w:tcPr>
            <w:tcW w:w="1890" w:type="dxa"/>
            <w:vAlign w:val="center"/>
          </w:tcPr>
          <w:p w14:paraId="070279C7" w14:textId="6466D0A6" w:rsidR="00B21312" w:rsidRDefault="00B21312" w:rsidP="00B21312">
            <w:pPr>
              <w:jc w:val="center"/>
            </w:pPr>
            <w:r>
              <w:t>5.60%</w:t>
            </w:r>
          </w:p>
        </w:tc>
        <w:tc>
          <w:tcPr>
            <w:tcW w:w="4050" w:type="dxa"/>
          </w:tcPr>
          <w:p w14:paraId="750ADD1E" w14:textId="306ECC2E" w:rsidR="00B21312" w:rsidRDefault="00B21312" w:rsidP="00B21312">
            <w:r w:rsidRPr="00572419">
              <w:t>Same percentage of CEM III used</w:t>
            </w:r>
            <w:r>
              <w:t>.</w:t>
            </w:r>
          </w:p>
        </w:tc>
      </w:tr>
      <w:tr w:rsidR="00B21312" w:rsidRPr="003F1AF9" w14:paraId="6D975CFB" w14:textId="3CD1B3CC" w:rsidTr="00B21312">
        <w:trPr>
          <w:jc w:val="center"/>
        </w:trPr>
        <w:tc>
          <w:tcPr>
            <w:tcW w:w="2195" w:type="dxa"/>
            <w:vAlign w:val="center"/>
          </w:tcPr>
          <w:p w14:paraId="66D12A80" w14:textId="55E69BD5" w:rsidR="00B21312" w:rsidRDefault="00B21312" w:rsidP="00B21312">
            <w:pPr>
              <w:jc w:val="center"/>
            </w:pPr>
            <w:r>
              <w:t>CEM IV</w:t>
            </w:r>
          </w:p>
        </w:tc>
        <w:tc>
          <w:tcPr>
            <w:tcW w:w="1940" w:type="dxa"/>
            <w:tcMar>
              <w:left w:w="29" w:type="dxa"/>
              <w:right w:w="29" w:type="dxa"/>
            </w:tcMar>
            <w:vAlign w:val="center"/>
          </w:tcPr>
          <w:p w14:paraId="01585A3A" w14:textId="5EEF2BF8" w:rsidR="00B21312" w:rsidRDefault="00B21312" w:rsidP="00B21312">
            <w:pPr>
              <w:jc w:val="center"/>
            </w:pPr>
            <w:r>
              <w:t>5.70%</w:t>
            </w:r>
          </w:p>
        </w:tc>
        <w:tc>
          <w:tcPr>
            <w:tcW w:w="1890" w:type="dxa"/>
            <w:vAlign w:val="center"/>
          </w:tcPr>
          <w:p w14:paraId="358A21DC" w14:textId="682B30A9" w:rsidR="00B21312" w:rsidRDefault="00B21312" w:rsidP="00B21312">
            <w:pPr>
              <w:jc w:val="center"/>
            </w:pPr>
            <w:r>
              <w:t>5.70%</w:t>
            </w:r>
          </w:p>
        </w:tc>
        <w:tc>
          <w:tcPr>
            <w:tcW w:w="4050" w:type="dxa"/>
          </w:tcPr>
          <w:p w14:paraId="53EB622A" w14:textId="420240F1" w:rsidR="00B21312" w:rsidRDefault="00B21312" w:rsidP="00B21312">
            <w:r w:rsidRPr="00572419">
              <w:t>Same percentage of CEM IV use</w:t>
            </w:r>
            <w:r>
              <w:t>d.</w:t>
            </w:r>
          </w:p>
        </w:tc>
      </w:tr>
      <w:tr w:rsidR="00B21312" w:rsidRPr="003F1AF9" w14:paraId="1C7ECB74" w14:textId="0821C2EC" w:rsidTr="00B21312">
        <w:trPr>
          <w:jc w:val="center"/>
        </w:trPr>
        <w:tc>
          <w:tcPr>
            <w:tcW w:w="2195" w:type="dxa"/>
            <w:vAlign w:val="center"/>
          </w:tcPr>
          <w:p w14:paraId="62D70A82" w14:textId="13C19E1E" w:rsidR="00B21312" w:rsidRDefault="00B21312" w:rsidP="00B21312">
            <w:pPr>
              <w:jc w:val="center"/>
            </w:pPr>
            <w:r>
              <w:t>CEM V</w:t>
            </w:r>
          </w:p>
        </w:tc>
        <w:tc>
          <w:tcPr>
            <w:tcW w:w="1940" w:type="dxa"/>
            <w:tcMar>
              <w:left w:w="29" w:type="dxa"/>
              <w:right w:w="29" w:type="dxa"/>
            </w:tcMar>
            <w:vAlign w:val="center"/>
          </w:tcPr>
          <w:p w14:paraId="6EBB0AD8" w14:textId="18A83810" w:rsidR="00B21312" w:rsidRDefault="00B21312" w:rsidP="00B21312">
            <w:pPr>
              <w:jc w:val="center"/>
            </w:pPr>
            <w:r>
              <w:t>1.80%</w:t>
            </w:r>
          </w:p>
        </w:tc>
        <w:tc>
          <w:tcPr>
            <w:tcW w:w="1890" w:type="dxa"/>
            <w:vAlign w:val="center"/>
          </w:tcPr>
          <w:p w14:paraId="189BF6B5" w14:textId="05216037" w:rsidR="00B21312" w:rsidRDefault="00B21312" w:rsidP="00B21312">
            <w:pPr>
              <w:jc w:val="center"/>
            </w:pPr>
            <w:r>
              <w:t>44.35%</w:t>
            </w:r>
          </w:p>
        </w:tc>
        <w:tc>
          <w:tcPr>
            <w:tcW w:w="4050" w:type="dxa"/>
          </w:tcPr>
          <w:p w14:paraId="123F8D29" w14:textId="0D4317BD" w:rsidR="00B21312" w:rsidRDefault="00B21312" w:rsidP="00B21312">
            <w:r w:rsidRPr="00572419">
              <w:t>50% split of remaining share to CEM II and CEM V</w:t>
            </w:r>
            <w:r>
              <w:t>.</w:t>
            </w:r>
          </w:p>
        </w:tc>
      </w:tr>
    </w:tbl>
    <w:p w14:paraId="4303D5C0" w14:textId="73B6CC64" w:rsidR="00B144E5" w:rsidRDefault="00686965" w:rsidP="00C07355">
      <w:pPr>
        <w:pStyle w:val="Heading2"/>
        <w:numPr>
          <w:ilvl w:val="1"/>
          <w:numId w:val="28"/>
        </w:numPr>
      </w:pPr>
      <w:bookmarkStart w:id="36" w:name="_Toc38211642"/>
      <w:r>
        <w:t>Adoption Scenarios</w:t>
      </w:r>
      <w:bookmarkEnd w:id="36"/>
    </w:p>
    <w:p w14:paraId="6F9FC0E5" w14:textId="77777777" w:rsidR="00FB2C53" w:rsidRPr="00FA2CC3" w:rsidRDefault="00FB2C53" w:rsidP="00FB2C53">
      <w:bookmarkStart w:id="37" w:name="_Hlk525033174"/>
      <w:r w:rsidRPr="00FA2CC3">
        <w:t xml:space="preserve">Two different types of adoption scenarios were developed: a Reference (REF) Case which was considered the baseline, where not much changes in the world, and a set of Project Drawdown Scenarios (PDS) with varying levels of ambitious adoption of the solution. </w:t>
      </w:r>
      <w:r>
        <w:t>Published results show the comparison of one PDS to the REF, and therefore focus on the change to the world relative to a baseline.</w:t>
      </w:r>
    </w:p>
    <w:p w14:paraId="5BB095A5" w14:textId="26BF1418" w:rsidR="000875B5" w:rsidRDefault="000875B5" w:rsidP="00C07355">
      <w:pPr>
        <w:pStyle w:val="Heading3"/>
        <w:numPr>
          <w:ilvl w:val="2"/>
          <w:numId w:val="28"/>
        </w:numPr>
      </w:pPr>
      <w:bookmarkStart w:id="38" w:name="_Toc38211643"/>
      <w:bookmarkEnd w:id="37"/>
      <w:r>
        <w:t>Reference Case / Current Adoption</w:t>
      </w:r>
      <w:bookmarkEnd w:id="38"/>
    </w:p>
    <w:p w14:paraId="5AFCB8AE" w14:textId="2C45C893" w:rsidR="00124E4C" w:rsidRPr="006E7F26" w:rsidRDefault="006E7F26" w:rsidP="006E7F26">
      <w:r>
        <w:t xml:space="preserve">The reference case assumes that current adoption of alternative cements remains constant with a clinker to cement ratio of 0.69. No adoption of more efficient kilns is </w:t>
      </w:r>
      <w:r w:rsidR="009F48B6">
        <w:t>included</w:t>
      </w:r>
      <w:r>
        <w:t>, and no further reductions to the clinker to cement ratio is made. The REF case uses the same TAM as each PDS.</w:t>
      </w:r>
    </w:p>
    <w:p w14:paraId="2FE0BC9D" w14:textId="10096525" w:rsidR="000875B5" w:rsidRPr="00D2050B" w:rsidRDefault="00D2050B" w:rsidP="00C07355">
      <w:pPr>
        <w:pStyle w:val="Heading3"/>
        <w:numPr>
          <w:ilvl w:val="2"/>
          <w:numId w:val="28"/>
        </w:numPr>
      </w:pPr>
      <w:bookmarkStart w:id="39" w:name="_Toc38211644"/>
      <w:r w:rsidRPr="00D2050B">
        <w:t>Project Drawdown</w:t>
      </w:r>
      <w:r w:rsidR="000875B5" w:rsidRPr="00D2050B">
        <w:t xml:space="preserve"> Scenarios</w:t>
      </w:r>
      <w:bookmarkEnd w:id="39"/>
    </w:p>
    <w:p w14:paraId="506EE2B0" w14:textId="77777777" w:rsidR="00365B80" w:rsidRDefault="004A0863" w:rsidP="00365B80">
      <w:r w:rsidRPr="00D2050B">
        <w:t>Three Project Drawdown scenarios (PDS) were developed</w:t>
      </w:r>
      <w:r w:rsidRPr="005A6986">
        <w:t xml:space="preserve"> for each solution</w:t>
      </w:r>
      <w:r>
        <w:t>, to compare the impact of an increased adoption of the solution to a reference case scenario. The magnitude of adoption of alternative cements is in each scenario is modeled</w:t>
      </w:r>
      <w:r w:rsidR="0024486F">
        <w:t xml:space="preserve"> through a </w:t>
      </w:r>
      <w:r w:rsidR="00365B80">
        <w:t xml:space="preserve">shift in the clinker to cement ratio from higher use of low-clinker cements. CEM III and CEM IV cements are primarily used for specialty construction applications and are not expected to be used in general construction applications, thus their market share is fixed to the percentage of adoption in 2020. For all PDSs, it is assumed that market share of CEM I is 0% in 2050, with the remaining market share, depending upon the scenario, split evenly between CEM II and CEM V. </w:t>
      </w:r>
      <w:r w:rsidR="00365B80">
        <w:fldChar w:fldCharType="begin"/>
      </w:r>
      <w:r w:rsidR="00365B80">
        <w:instrText xml:space="preserve"> REF _Ref38207712 \h </w:instrText>
      </w:r>
      <w:r w:rsidR="00365B80">
        <w:fldChar w:fldCharType="separate"/>
      </w:r>
      <w:r w:rsidR="00365B80">
        <w:t xml:space="preserve">Table </w:t>
      </w:r>
      <w:r w:rsidR="00365B80">
        <w:rPr>
          <w:noProof/>
        </w:rPr>
        <w:t>2</w:t>
      </w:r>
      <w:r w:rsidR="00365B80">
        <w:t>.</w:t>
      </w:r>
      <w:r w:rsidR="00365B80">
        <w:rPr>
          <w:noProof/>
        </w:rPr>
        <w:t>1</w:t>
      </w:r>
      <w:r w:rsidR="00365B80">
        <w:fldChar w:fldCharType="end"/>
      </w:r>
      <w:r w:rsidR="00365B80">
        <w:t xml:space="preserve"> summarizes the market share of each type of cement in 2020 and 2050.</w:t>
      </w:r>
    </w:p>
    <w:p w14:paraId="2B4D013F" w14:textId="692B60AA" w:rsidR="004A0863" w:rsidRDefault="00365B80">
      <w:r>
        <w:t>Each CEM designation has a range of acceptable clinker to cement ratios</w:t>
      </w:r>
      <w:r w:rsidR="0047724A">
        <w:t>. For example, CEM V can have a clinker to cement ratio between 20% and 64%. Thus, the lower, middle, or upper limit within each CEM designation can inform the total cement market clinker-to-cement ratio.</w:t>
      </w:r>
    </w:p>
    <w:p w14:paraId="2617D0BB" w14:textId="6F39F3A7" w:rsidR="00E5260B" w:rsidRDefault="00E5260B" w:rsidP="00E5260B">
      <w:pPr>
        <w:pStyle w:val="Heading4"/>
        <w:rPr>
          <w:rFonts w:ascii="Times New Roman" w:eastAsiaTheme="minorEastAsia" w:hAnsi="Times New Roman" w:cstheme="minorBidi"/>
          <w:b w:val="0"/>
          <w:bCs w:val="0"/>
          <w:i w:val="0"/>
          <w:iCs w:val="0"/>
          <w:color w:val="auto"/>
          <w:highlight w:val="yellow"/>
        </w:rPr>
      </w:pPr>
      <w:bookmarkStart w:id="40" w:name="_Toc507486009"/>
      <w:r w:rsidRPr="004B4939">
        <w:t>Plausible Scenari</w:t>
      </w:r>
      <w:bookmarkEnd w:id="40"/>
      <w:r>
        <w:t>o</w:t>
      </w:r>
    </w:p>
    <w:p w14:paraId="7AAF6A86" w14:textId="111A3784" w:rsidR="00E5260B" w:rsidRDefault="00E5260B" w:rsidP="00ED6F08">
      <w:bookmarkStart w:id="41" w:name="_Toc507486010"/>
      <w:r w:rsidRPr="006E7F26">
        <w:t xml:space="preserve">In the Plausible Scenario, </w:t>
      </w:r>
      <w:r>
        <w:t>alternative cements</w:t>
      </w:r>
      <w:r w:rsidRPr="006E7F26">
        <w:t xml:space="preserve"> are adopted at a</w:t>
      </w:r>
      <w:r w:rsidR="00B21312">
        <w:t>n aggressive</w:t>
      </w:r>
      <w:r>
        <w:t xml:space="preserve"> rate</w:t>
      </w:r>
      <w:r w:rsidRPr="006E7F26">
        <w:t xml:space="preserve"> </w:t>
      </w:r>
      <w:r>
        <w:t>between</w:t>
      </w:r>
      <w:r w:rsidRPr="006E7F26">
        <w:t xml:space="preserve"> </w:t>
      </w:r>
      <w:r>
        <w:t>2020</w:t>
      </w:r>
      <w:r w:rsidRPr="006E7F26">
        <w:t xml:space="preserve"> </w:t>
      </w:r>
      <w:r>
        <w:t>and</w:t>
      </w:r>
      <w:r w:rsidRPr="006E7F26">
        <w:t xml:space="preserve"> 20</w:t>
      </w:r>
      <w:r>
        <w:t>5</w:t>
      </w:r>
      <w:r w:rsidRPr="006E7F26">
        <w:t>0.</w:t>
      </w:r>
      <w:r>
        <w:t xml:space="preserve"> Clinker to cement ratios decrease from 0.69 in 2020 to 0.60 in 2050 and full adoption of electricity and thermal efficiencies</w:t>
      </w:r>
      <w:r w:rsidR="00B21312">
        <w:t xml:space="preserve"> (to their theoretical minimums)</w:t>
      </w:r>
      <w:r>
        <w:t xml:space="preserve"> are realized by 2050. The </w:t>
      </w:r>
      <w:r w:rsidR="00B21312">
        <w:t>2050</w:t>
      </w:r>
      <w:r>
        <w:t xml:space="preserve"> clinker ratio assumes</w:t>
      </w:r>
      <w:r w:rsidR="00111692">
        <w:t xml:space="preserve"> that </w:t>
      </w:r>
      <w:r w:rsidR="00B21312">
        <w:t xml:space="preserve">the </w:t>
      </w:r>
      <w:r w:rsidR="00111692">
        <w:t>statistically high value of the middle value of the clinker intensities is used</w:t>
      </w:r>
      <w:r>
        <w:t>.</w:t>
      </w:r>
      <w:r w:rsidR="00120CF0">
        <w:t xml:space="preserve"> </w:t>
      </w:r>
      <w:r>
        <w:t>Furthermore, adoption is assumed to be linear.</w:t>
      </w:r>
    </w:p>
    <w:p w14:paraId="369699A8" w14:textId="77777777" w:rsidR="00E5260B" w:rsidRDefault="00E5260B" w:rsidP="00E5260B">
      <w:pPr>
        <w:pStyle w:val="Heading4"/>
        <w:rPr>
          <w:rFonts w:ascii="Times New Roman" w:eastAsiaTheme="minorEastAsia" w:hAnsi="Times New Roman" w:cstheme="minorBidi"/>
          <w:b w:val="0"/>
          <w:bCs w:val="0"/>
          <w:i w:val="0"/>
          <w:iCs w:val="0"/>
          <w:color w:val="auto"/>
          <w:highlight w:val="yellow"/>
        </w:rPr>
      </w:pPr>
      <w:r w:rsidRPr="004B4939">
        <w:t>Drawdown Scenario</w:t>
      </w:r>
      <w:bookmarkEnd w:id="41"/>
    </w:p>
    <w:p w14:paraId="4A9188FD" w14:textId="615F5DB2" w:rsidR="00E5260B" w:rsidRDefault="00E5260B" w:rsidP="004D6C2F">
      <w:r w:rsidRPr="006E7F26">
        <w:t xml:space="preserve">In the </w:t>
      </w:r>
      <w:r>
        <w:t>Drawdown</w:t>
      </w:r>
      <w:r w:rsidRPr="006E7F26">
        <w:t xml:space="preserve"> Scenario, </w:t>
      </w:r>
      <w:r>
        <w:t>alternative cements</w:t>
      </w:r>
      <w:r w:rsidRPr="006E7F26">
        <w:t xml:space="preserve"> are adopted at a </w:t>
      </w:r>
      <w:r>
        <w:t>“realistically vigorous” rate</w:t>
      </w:r>
      <w:r w:rsidRPr="006E7F26">
        <w:t xml:space="preserve"> </w:t>
      </w:r>
      <w:r>
        <w:t>between</w:t>
      </w:r>
      <w:r w:rsidRPr="006E7F26">
        <w:t xml:space="preserve"> </w:t>
      </w:r>
      <w:r>
        <w:t>2020</w:t>
      </w:r>
      <w:r w:rsidRPr="006E7F26">
        <w:t xml:space="preserve"> </w:t>
      </w:r>
      <w:r>
        <w:t>and</w:t>
      </w:r>
      <w:r w:rsidRPr="006E7F26">
        <w:t xml:space="preserve"> 20</w:t>
      </w:r>
      <w:r>
        <w:t>5</w:t>
      </w:r>
      <w:r w:rsidRPr="006E7F26">
        <w:t>0.</w:t>
      </w:r>
      <w:r>
        <w:t xml:space="preserve"> Clinker to cement ratios decrease from 0.69 in 2020 to 0.46 in 2050 and full adoption of electricity and thermal efficiencies </w:t>
      </w:r>
      <w:r w:rsidR="00B21312">
        <w:t xml:space="preserve">(to their theoretical minimums) </w:t>
      </w:r>
      <w:r>
        <w:t xml:space="preserve">are realized by 2050. The </w:t>
      </w:r>
      <w:r w:rsidR="00111692">
        <w:t>2050 clinker ratio assumes that the mean statistical value of the middle range of clinker intensities is used</w:t>
      </w:r>
      <w:r>
        <w:t xml:space="preserve">. </w:t>
      </w:r>
      <w:bookmarkStart w:id="42" w:name="_Toc507486011"/>
      <w:r>
        <w:t>Furthermore, adoption is assumed to be linear.</w:t>
      </w:r>
    </w:p>
    <w:p w14:paraId="4C412C46" w14:textId="77777777" w:rsidR="00E5260B" w:rsidRDefault="00E5260B" w:rsidP="00E5260B">
      <w:pPr>
        <w:pStyle w:val="Heading4"/>
        <w:rPr>
          <w:rFonts w:ascii="Times New Roman" w:eastAsiaTheme="minorEastAsia" w:hAnsi="Times New Roman" w:cstheme="minorBidi"/>
          <w:b w:val="0"/>
          <w:bCs w:val="0"/>
          <w:i w:val="0"/>
          <w:iCs w:val="0"/>
          <w:color w:val="auto"/>
          <w:highlight w:val="yellow"/>
        </w:rPr>
      </w:pPr>
      <w:r w:rsidRPr="004B4939">
        <w:t>Optimum Scenario</w:t>
      </w:r>
      <w:bookmarkEnd w:id="42"/>
    </w:p>
    <w:p w14:paraId="09701115" w14:textId="3268E0E0" w:rsidR="009F48B6" w:rsidRPr="009F48B6" w:rsidRDefault="00E5260B" w:rsidP="004D6C2F">
      <w:r w:rsidRPr="006E7F26">
        <w:t xml:space="preserve">In the </w:t>
      </w:r>
      <w:r>
        <w:t>Optimum</w:t>
      </w:r>
      <w:r w:rsidRPr="006E7F26">
        <w:t xml:space="preserve"> Scenario, </w:t>
      </w:r>
      <w:r>
        <w:t>alternative cements</w:t>
      </w:r>
      <w:r w:rsidRPr="006E7F26">
        <w:t xml:space="preserve"> are adopted at a</w:t>
      </w:r>
      <w:r>
        <w:t>n optimistic, but achievable, rate</w:t>
      </w:r>
      <w:r w:rsidRPr="006E7F26">
        <w:t xml:space="preserve"> </w:t>
      </w:r>
      <w:r>
        <w:t>between</w:t>
      </w:r>
      <w:r w:rsidRPr="006E7F26">
        <w:t xml:space="preserve"> </w:t>
      </w:r>
      <w:r>
        <w:t>2020</w:t>
      </w:r>
      <w:r w:rsidRPr="006E7F26">
        <w:t xml:space="preserve"> </w:t>
      </w:r>
      <w:r>
        <w:t>and</w:t>
      </w:r>
      <w:r w:rsidRPr="006E7F26">
        <w:t xml:space="preserve"> 20</w:t>
      </w:r>
      <w:r>
        <w:t>5</w:t>
      </w:r>
      <w:r w:rsidRPr="006E7F26">
        <w:t>0.</w:t>
      </w:r>
      <w:r>
        <w:t xml:space="preserve"> Clinker to cement ratios decrease from 0.69 in 2020 to 0.27 in 2050 and full adoption of electricity and thermal efficiencies </w:t>
      </w:r>
      <w:r w:rsidR="00B21312">
        <w:t xml:space="preserve">(to their theoretical minimums) </w:t>
      </w:r>
      <w:r>
        <w:t xml:space="preserve">are realized by 2050. The </w:t>
      </w:r>
      <w:r w:rsidR="00111692">
        <w:t>2050</w:t>
      </w:r>
      <w:r>
        <w:t xml:space="preserve"> clinker ratio </w:t>
      </w:r>
      <w:r w:rsidR="00111692">
        <w:t>uses</w:t>
      </w:r>
      <w:r>
        <w:t xml:space="preserve"> </w:t>
      </w:r>
      <w:r w:rsidR="00B21312">
        <w:t xml:space="preserve">the </w:t>
      </w:r>
      <w:r w:rsidR="00111692">
        <w:t>statistical low of the middle range of clinker intensities</w:t>
      </w:r>
      <w:r>
        <w:t>. Furthermore, adoption is assumed to be linear.</w:t>
      </w:r>
    </w:p>
    <w:p w14:paraId="5B61B0F2" w14:textId="13637A35" w:rsidR="00FB2C53" w:rsidRPr="00FB2C53" w:rsidRDefault="00686965" w:rsidP="00FB2C53">
      <w:pPr>
        <w:pStyle w:val="Heading2"/>
        <w:numPr>
          <w:ilvl w:val="1"/>
          <w:numId w:val="28"/>
        </w:numPr>
      </w:pPr>
      <w:bookmarkStart w:id="43" w:name="_Ref32578784"/>
      <w:bookmarkStart w:id="44" w:name="_Toc38211645"/>
      <w:r>
        <w:t>Inputs</w:t>
      </w:r>
      <w:bookmarkEnd w:id="43"/>
      <w:bookmarkEnd w:id="44"/>
    </w:p>
    <w:p w14:paraId="3EBCEF57" w14:textId="463B9347" w:rsidR="00FB3AB3" w:rsidRDefault="00686965" w:rsidP="00C07355">
      <w:pPr>
        <w:pStyle w:val="Heading3"/>
        <w:numPr>
          <w:ilvl w:val="2"/>
          <w:numId w:val="28"/>
        </w:numPr>
      </w:pPr>
      <w:bookmarkStart w:id="45" w:name="_Toc38211646"/>
      <w:r>
        <w:t>Climate Inputs</w:t>
      </w:r>
      <w:bookmarkEnd w:id="45"/>
    </w:p>
    <w:p w14:paraId="2AF5C10E" w14:textId="60903BE0" w:rsidR="00FB2C53" w:rsidRDefault="00FB2C53" w:rsidP="006B1084">
      <w:pPr>
        <w:pStyle w:val="Heading4"/>
      </w:pPr>
      <w:r>
        <w:t xml:space="preserve">Direct </w:t>
      </w:r>
      <w:r w:rsidR="006B1084">
        <w:t xml:space="preserve">Emissions Factor </w:t>
      </w:r>
    </w:p>
    <w:p w14:paraId="0407B9F7" w14:textId="010EBB60" w:rsidR="006D6D55" w:rsidRPr="003F1AF9" w:rsidRDefault="00811288" w:rsidP="006D6D55">
      <w:r>
        <w:t xml:space="preserve">The adoption of alternative cements results in the reduction of direct carbon dioxide emissions. The climate analysis portion of this model separates the emissions associated with cement production into three categories: (1) the reduction of the clinker intensity of cement, (2) reduction in the </w:t>
      </w:r>
      <w:r w:rsidR="001D384E">
        <w:t>fuel required to produce</w:t>
      </w:r>
      <w:r>
        <w:t xml:space="preserve"> </w:t>
      </w:r>
      <w:r w:rsidR="001D384E">
        <w:t>clinker</w:t>
      </w:r>
      <w:r>
        <w:t xml:space="preserve">, and (3) the reduction in electricity </w:t>
      </w:r>
      <w:r w:rsidR="001D384E">
        <w:t>required to produce clinker</w:t>
      </w:r>
      <w:r>
        <w:t>.</w:t>
      </w:r>
      <w:r w:rsidR="00171D7C">
        <w:t xml:space="preserve"> The reduction of fuel and electricity consumption are converted to direct emissions reductions using reported emissions factors, and the clinker related emissions reductions (i.e. from calcination of limestone) are modeled as reductions to direct emissions</w:t>
      </w:r>
      <w:r w:rsidR="006D6D55">
        <w:t>.</w:t>
      </w:r>
    </w:p>
    <w:p w14:paraId="0D589E91" w14:textId="7BA1B54E" w:rsidR="00811288" w:rsidRPr="003F1AF9" w:rsidRDefault="00811288" w:rsidP="00811288">
      <w:r w:rsidRPr="003F1AF9">
        <w:t xml:space="preserve"> Emissions factors for electricity generation are derived from the projected energy generation mix from three AMPERE RefPol scenarios in IPCC AR5 model Database (GEM3, IMAGE, MESSAGE) and the IEA’s ETP 6DS scenario, and direct/indirect emissions factors by generation type taken from the IPCC AR5 Model Database, AMPERE3-MESSAGE Base scenario. The reader should note that since this combined reference projection includes a shift away from coal and oil to natural gas, the reference emissions factors decline slowly over the analysis period. Fuel emissions factors are calculated using the methodology recommended in the 2006 IPCC Guidelines for National Greenhouse Gas Inventories, Volume 2, Annex 1. The values used are shown in </w:t>
      </w:r>
      <w:r w:rsidRPr="003F1AF9">
        <w:fldChar w:fldCharType="begin"/>
      </w:r>
      <w:r w:rsidRPr="003F1AF9">
        <w:instrText xml:space="preserve"> REF _Ref536182638 \h  \* MERGEFORMAT </w:instrText>
      </w:r>
      <w:r w:rsidRPr="003F1AF9">
        <w:fldChar w:fldCharType="separate"/>
      </w:r>
      <w:r w:rsidR="008F2A2C" w:rsidRPr="003F1AF9">
        <w:t xml:space="preserve">Table </w:t>
      </w:r>
      <w:r w:rsidR="008F2A2C">
        <w:rPr>
          <w:noProof/>
        </w:rPr>
        <w:t>2.2</w:t>
      </w:r>
      <w:r w:rsidRPr="003F1AF9">
        <w:fldChar w:fldCharType="end"/>
      </w:r>
      <w:r w:rsidRPr="003F1AF9">
        <w:t xml:space="preserve">.  </w:t>
      </w:r>
    </w:p>
    <w:p w14:paraId="1BC7E2EA" w14:textId="06AE9933" w:rsidR="00811288" w:rsidRPr="003F1AF9" w:rsidRDefault="00811288" w:rsidP="00811288">
      <w:r w:rsidRPr="003F1AF9">
        <w:t xml:space="preserve">To calculate the climate impacts of </w:t>
      </w:r>
      <w:r>
        <w:t>alternative cement</w:t>
      </w:r>
      <w:r w:rsidRPr="003F1AF9">
        <w:t xml:space="preserve"> adoption in the PDS scenarios, estimations were </w:t>
      </w:r>
      <w:r w:rsidRPr="00171D7C">
        <w:t xml:space="preserve">made of the </w:t>
      </w:r>
      <w:r w:rsidR="008F16A7" w:rsidRPr="00171D7C">
        <w:t xml:space="preserve">annual </w:t>
      </w:r>
      <w:r w:rsidRPr="00171D7C">
        <w:t>reduction in both electricity and fuel consumption for clinker production per MMt of cement demanded. Emissions factors for grid electricity and fuel are applied to calculate emissions reductions by applying the following equation for each year:</w:t>
      </w:r>
      <w:r w:rsidRPr="003F1AF9">
        <w:t xml:space="preserve"> </w:t>
      </w:r>
    </w:p>
    <w:p w14:paraId="5E58F45C" w14:textId="77777777" w:rsidR="00811288" w:rsidRPr="003F1AF9" w:rsidRDefault="00811288" w:rsidP="00811288">
      <w:pPr>
        <w:rPr>
          <w:bCs/>
        </w:rPr>
      </w:pPr>
      <m:oMathPara>
        <m:oMath>
          <m:r>
            <w:rPr>
              <w:rFonts w:ascii="Cambria Math" w:hAnsi="Cambria Math"/>
            </w:rPr>
            <m:t>C</m:t>
          </m:r>
          <m:sSub>
            <m:sSubPr>
              <m:ctrlPr>
                <w:rPr>
                  <w:rFonts w:ascii="Cambria Math" w:hAnsi="Cambria Math"/>
                  <w:bCs/>
                </w:rPr>
              </m:ctrlPr>
            </m:sSubPr>
            <m:e>
              <m:r>
                <w:rPr>
                  <w:rFonts w:ascii="Cambria Math" w:hAnsi="Cambria Math"/>
                </w:rPr>
                <m:t>O</m:t>
              </m:r>
            </m:e>
            <m:sub>
              <m:r>
                <m:rPr>
                  <m:sty m:val="p"/>
                </m:rPr>
                <w:rPr>
                  <w:rFonts w:ascii="Cambria Math" w:hAnsi="Cambria Math"/>
                </w:rPr>
                <m:t>2</m:t>
              </m:r>
            </m:sub>
          </m:sSub>
          <m:r>
            <w:rPr>
              <w:rFonts w:ascii="Cambria Math" w:hAnsi="Cambria Math"/>
            </w:rPr>
            <m:t>reduced</m:t>
          </m:r>
          <m:r>
            <m:rPr>
              <m:sty m:val="p"/>
            </m:rPr>
            <w:rPr>
              <w:rFonts w:ascii="Cambria Math" w:hAnsi="Cambria Math"/>
            </w:rPr>
            <m:t>=</m:t>
          </m:r>
          <m:d>
            <m:dPr>
              <m:ctrlPr>
                <w:rPr>
                  <w:rFonts w:ascii="Cambria Math" w:hAnsi="Cambria Math"/>
                  <w:bCs/>
                </w:rPr>
              </m:ctrlPr>
            </m:dPr>
            <m:e>
              <m:r>
                <w:rPr>
                  <w:rFonts w:ascii="Cambria Math" w:hAnsi="Cambria Math"/>
                </w:rPr>
                <m:t>Reduction</m:t>
              </m:r>
              <m:sSub>
                <m:sSubPr>
                  <m:ctrlPr>
                    <w:rPr>
                      <w:rFonts w:ascii="Cambria Math" w:hAnsi="Cambria Math"/>
                      <w:bCs/>
                    </w:rPr>
                  </m:ctrlPr>
                </m:sSubPr>
                <m:e>
                  <m:r>
                    <m:rPr>
                      <m:sty m:val="p"/>
                    </m:rPr>
                    <w:rPr>
                      <w:rFonts w:ascii="Cambria Math" w:hAnsi="Cambria Math"/>
                    </w:rPr>
                    <m:t>θ</m:t>
                  </m:r>
                </m:e>
                <m:sub>
                  <m:r>
                    <w:rPr>
                      <w:rFonts w:ascii="Cambria Math" w:hAnsi="Cambria Math"/>
                    </w:rPr>
                    <m:t>PDS</m:t>
                  </m:r>
                </m:sub>
              </m:sSub>
            </m:e>
          </m:d>
          <m:r>
            <m:rPr>
              <m:sty m:val="p"/>
            </m:rPr>
            <w:rPr>
              <w:rFonts w:ascii="Cambria Math" w:hAnsi="Cambria Math"/>
            </w:rPr>
            <m:t>∙</m:t>
          </m:r>
          <m:d>
            <m:dPr>
              <m:ctrlPr>
                <w:rPr>
                  <w:rFonts w:ascii="Cambria Math" w:hAnsi="Cambria Math"/>
                  <w:bCs/>
                </w:rPr>
              </m:ctrlPr>
            </m:dPr>
            <m:e>
              <m:sSub>
                <m:sSubPr>
                  <m:ctrlPr>
                    <w:rPr>
                      <w:rFonts w:ascii="Cambria Math" w:hAnsi="Cambria Math"/>
                      <w:bCs/>
                    </w:rPr>
                  </m:ctrlPr>
                </m:sSubPr>
                <m:e>
                  <m:r>
                    <w:rPr>
                      <w:rFonts w:ascii="Cambria Math" w:hAnsi="Cambria Math"/>
                    </w:rPr>
                    <m:t>G</m:t>
                  </m:r>
                </m:e>
                <m:sub>
                  <m:r>
                    <w:rPr>
                      <w:rFonts w:ascii="Cambria Math" w:hAnsi="Cambria Math"/>
                    </w:rPr>
                    <m:t>ef</m:t>
                  </m:r>
                </m:sub>
              </m:sSub>
            </m:e>
          </m:d>
          <m:r>
            <m:rPr>
              <m:sty m:val="p"/>
            </m:rPr>
            <w:rPr>
              <w:rFonts w:ascii="Cambria Math" w:hAnsi="Cambria Math"/>
            </w:rPr>
            <m:t>+</m:t>
          </m:r>
          <m:nary>
            <m:naryPr>
              <m:chr m:val="∑"/>
              <m:limLoc m:val="undOvr"/>
              <m:supHide m:val="1"/>
              <m:ctrlPr>
                <w:rPr>
                  <w:rFonts w:ascii="Cambria Math" w:hAnsi="Cambria Math"/>
                  <w:bCs/>
                  <w:i/>
                </w:rPr>
              </m:ctrlPr>
            </m:naryPr>
            <m:sub>
              <m:r>
                <w:rPr>
                  <w:rFonts w:ascii="Cambria Math" w:hAnsi="Cambria Math"/>
                </w:rPr>
                <m:t>each fuel</m:t>
              </m:r>
            </m:sub>
            <m:sup/>
            <m:e>
              <m:d>
                <m:dPr>
                  <m:ctrlPr>
                    <w:rPr>
                      <w:rFonts w:ascii="Cambria Math" w:hAnsi="Cambria Math"/>
                      <w:bCs/>
                    </w:rPr>
                  </m:ctrlPr>
                </m:dPr>
                <m:e>
                  <m:r>
                    <w:rPr>
                      <w:rFonts w:ascii="Cambria Math" w:hAnsi="Cambria Math"/>
                    </w:rPr>
                    <m:t>Reduction</m:t>
                  </m:r>
                  <m:sSub>
                    <m:sSubPr>
                      <m:ctrlPr>
                        <w:rPr>
                          <w:rFonts w:ascii="Cambria Math" w:hAnsi="Cambria Math"/>
                          <w:bCs/>
                        </w:rPr>
                      </m:ctrlPr>
                    </m:sSubPr>
                    <m:e>
                      <m:r>
                        <w:rPr>
                          <w:rFonts w:ascii="Cambria Math" w:hAnsi="Cambria Math"/>
                        </w:rPr>
                        <m:t>δ</m:t>
                      </m:r>
                    </m:e>
                    <m:sub>
                      <m:r>
                        <w:rPr>
                          <w:rFonts w:ascii="Cambria Math" w:hAnsi="Cambria Math"/>
                        </w:rPr>
                        <m:t>PDS</m:t>
                      </m:r>
                    </m:sub>
                  </m:sSub>
                </m:e>
              </m:d>
              <m:r>
                <m:rPr>
                  <m:sty m:val="p"/>
                </m:rPr>
                <w:rPr>
                  <w:rFonts w:ascii="Cambria Math" w:hAnsi="Cambria Math"/>
                </w:rPr>
                <m:t>⋅(</m:t>
              </m:r>
              <m:sSub>
                <m:sSubPr>
                  <m:ctrlPr>
                    <w:rPr>
                      <w:rFonts w:ascii="Cambria Math" w:hAnsi="Cambria Math"/>
                      <w:bCs/>
                    </w:rPr>
                  </m:ctrlPr>
                </m:sSubPr>
                <m:e>
                  <m:r>
                    <m:rPr>
                      <m:sty m:val="p"/>
                    </m:rPr>
                    <w:rPr>
                      <w:rFonts w:ascii="Cambria Math" w:hAnsi="Cambria Math"/>
                    </w:rPr>
                    <m:t>Ϝ</m:t>
                  </m:r>
                </m:e>
                <m:sub>
                  <m:r>
                    <w:rPr>
                      <w:rFonts w:ascii="Cambria Math" w:hAnsi="Cambria Math"/>
                    </w:rPr>
                    <m:t>ef</m:t>
                  </m:r>
                </m:sub>
              </m:sSub>
              <m:r>
                <m:rPr>
                  <m:sty m:val="p"/>
                </m:rPr>
                <w:rPr>
                  <w:rFonts w:ascii="Cambria Math" w:hAnsi="Cambria Math"/>
                </w:rPr>
                <m:t>)</m:t>
              </m:r>
            </m:e>
          </m:nary>
        </m:oMath>
      </m:oMathPara>
    </w:p>
    <w:p w14:paraId="15A366F5" w14:textId="77777777" w:rsidR="00811288" w:rsidRPr="003F1AF9" w:rsidRDefault="00811288" w:rsidP="00811288">
      <w:r w:rsidRPr="003F1AF9">
        <w:t xml:space="preserve">where: </w:t>
      </w:r>
    </w:p>
    <w:p w14:paraId="38B1904F" w14:textId="77777777" w:rsidR="00811288" w:rsidRPr="003F1AF9" w:rsidRDefault="00811288" w:rsidP="00811288">
      <w:pPr>
        <w:pStyle w:val="ListParagraph"/>
        <w:numPr>
          <w:ilvl w:val="0"/>
          <w:numId w:val="40"/>
        </w:numPr>
        <w:spacing w:after="240" w:line="276" w:lineRule="auto"/>
      </w:pP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reduced</m:t>
        </m:r>
      </m:oMath>
      <w:r w:rsidRPr="003F1AF9">
        <w:t xml:space="preserve"> is the CO</w:t>
      </w:r>
      <w:r w:rsidRPr="003F1AF9">
        <w:rPr>
          <w:vertAlign w:val="subscript"/>
        </w:rPr>
        <w:t>2</w:t>
      </w:r>
      <w:r w:rsidRPr="003F1AF9">
        <w:t>-eq emissions reduction associated with the reduction in energy consumption in each PDS scenario.</w:t>
      </w:r>
    </w:p>
    <w:p w14:paraId="0EF9EF3C" w14:textId="2CED7716" w:rsidR="00811288" w:rsidRPr="003F1AF9" w:rsidRDefault="00811288" w:rsidP="00811288">
      <w:pPr>
        <w:pStyle w:val="ListParagraph"/>
        <w:numPr>
          <w:ilvl w:val="0"/>
          <w:numId w:val="40"/>
        </w:numPr>
        <w:spacing w:after="240" w:line="276" w:lineRule="auto"/>
      </w:pPr>
      <m:oMath>
        <m:r>
          <w:rPr>
            <w:rFonts w:ascii="Cambria Math" w:hAnsi="Cambria Math"/>
          </w:rPr>
          <m:t>Reduction</m:t>
        </m:r>
        <m:sSub>
          <m:sSubPr>
            <m:ctrlPr>
              <w:rPr>
                <w:rFonts w:ascii="Cambria Math" w:hAnsi="Cambria Math"/>
                <w:i/>
              </w:rPr>
            </m:ctrlPr>
          </m:sSubPr>
          <m:e>
            <m:r>
              <m:rPr>
                <m:sty m:val="p"/>
              </m:rPr>
              <w:rPr>
                <w:rFonts w:ascii="Cambria Math" w:hAnsi="Cambria Math"/>
              </w:rPr>
              <m:t>θ</m:t>
            </m:r>
          </m:e>
          <m:sub>
            <m:r>
              <w:rPr>
                <w:rFonts w:ascii="Cambria Math" w:hAnsi="Cambria Math"/>
              </w:rPr>
              <m:t>PDS</m:t>
            </m:r>
          </m:sub>
        </m:sSub>
      </m:oMath>
      <w:r w:rsidRPr="003F1AF9">
        <w:t xml:space="preserve"> is the </w:t>
      </w:r>
      <w:r w:rsidRPr="00171D7C">
        <w:t xml:space="preserve">reduction in </w:t>
      </w:r>
      <w:r w:rsidR="008F16A7" w:rsidRPr="00171D7C">
        <w:t xml:space="preserve">electricity </w:t>
      </w:r>
      <w:r w:rsidRPr="00171D7C">
        <w:t>consumption</w:t>
      </w:r>
      <w:r w:rsidRPr="003F1AF9">
        <w:t xml:space="preserve"> (TWh). </w:t>
      </w:r>
    </w:p>
    <w:p w14:paraId="255B7DAE" w14:textId="77777777" w:rsidR="00811288" w:rsidRPr="003F1AF9" w:rsidRDefault="00791258" w:rsidP="00811288">
      <w:pPr>
        <w:pStyle w:val="ListParagraph"/>
        <w:numPr>
          <w:ilvl w:val="0"/>
          <w:numId w:val="40"/>
        </w:numPr>
        <w:spacing w:after="240" w:line="276" w:lineRule="auto"/>
      </w:pPr>
      <m:oMath>
        <m:sSub>
          <m:sSubPr>
            <m:ctrlPr>
              <w:rPr>
                <w:rFonts w:ascii="Cambria Math" w:hAnsi="Cambria Math"/>
                <w:i/>
              </w:rPr>
            </m:ctrlPr>
          </m:sSubPr>
          <m:e>
            <m:r>
              <w:rPr>
                <w:rFonts w:ascii="Cambria Math" w:hAnsi="Cambria Math"/>
              </w:rPr>
              <m:t>G</m:t>
            </m:r>
          </m:e>
          <m:sub>
            <m:r>
              <w:rPr>
                <w:rFonts w:ascii="Cambria Math" w:hAnsi="Cambria Math"/>
              </w:rPr>
              <m:t>ef</m:t>
            </m:r>
          </m:sub>
        </m:sSub>
      </m:oMath>
      <w:r w:rsidR="00811288" w:rsidRPr="003F1AF9">
        <w:t xml:space="preserve"> is the emissions factor (in </w:t>
      </w:r>
      <w:r w:rsidR="00811288" w:rsidRPr="003F1AF9">
        <w:rPr>
          <w:i/>
        </w:rPr>
        <w:t>t</w:t>
      </w:r>
      <w:r w:rsidR="00811288" w:rsidRPr="003F1AF9">
        <w:t>CO</w:t>
      </w:r>
      <w:r w:rsidR="00811288" w:rsidRPr="003F1AF9">
        <w:rPr>
          <w:vertAlign w:val="subscript"/>
        </w:rPr>
        <w:t>2</w:t>
      </w:r>
      <w:r w:rsidR="00811288" w:rsidRPr="003F1AF9">
        <w:t>-eq / TWh) of grid electricity globally for each year.</w:t>
      </w:r>
    </w:p>
    <w:p w14:paraId="41F14E7B" w14:textId="050FC7DE" w:rsidR="00811288" w:rsidRPr="003F1AF9" w:rsidRDefault="00811288" w:rsidP="00811288">
      <w:pPr>
        <w:pStyle w:val="ListParagraph"/>
        <w:numPr>
          <w:ilvl w:val="0"/>
          <w:numId w:val="40"/>
        </w:numPr>
        <w:spacing w:after="240" w:line="276" w:lineRule="auto"/>
      </w:pPr>
      <m:oMath>
        <m:r>
          <w:rPr>
            <w:rFonts w:ascii="Cambria Math" w:hAnsi="Cambria Math"/>
          </w:rPr>
          <m:t>Reduction</m:t>
        </m:r>
        <m:sSub>
          <m:sSubPr>
            <m:ctrlPr>
              <w:rPr>
                <w:rFonts w:ascii="Cambria Math" w:hAnsi="Cambria Math"/>
                <w:i/>
              </w:rPr>
            </m:ctrlPr>
          </m:sSubPr>
          <m:e>
            <m:r>
              <w:rPr>
                <w:rFonts w:ascii="Cambria Math" w:hAnsi="Cambria Math"/>
              </w:rPr>
              <m:t>δ</m:t>
            </m:r>
          </m:e>
          <m:sub>
            <m:r>
              <w:rPr>
                <w:rFonts w:ascii="Cambria Math" w:hAnsi="Cambria Math"/>
              </w:rPr>
              <m:t>PDS</m:t>
            </m:r>
          </m:sub>
        </m:sSub>
      </m:oMath>
      <w:r w:rsidRPr="003F1AF9">
        <w:t xml:space="preserve"> is the reduction in fuel consumption (TJ) in each PDS scenario for each fuel. </w:t>
      </w:r>
    </w:p>
    <w:p w14:paraId="615CAF74" w14:textId="77777777" w:rsidR="00811288" w:rsidRPr="003F1AF9" w:rsidRDefault="00791258" w:rsidP="00811288">
      <w:pPr>
        <w:pStyle w:val="ListParagraph"/>
        <w:numPr>
          <w:ilvl w:val="0"/>
          <w:numId w:val="40"/>
        </w:numPr>
        <w:spacing w:after="240" w:line="276" w:lineRule="auto"/>
      </w:pPr>
      <m:oMath>
        <m:sSub>
          <m:sSubPr>
            <m:ctrlPr>
              <w:rPr>
                <w:rFonts w:ascii="Cambria Math" w:hAnsi="Cambria Math"/>
                <w:i/>
              </w:rPr>
            </m:ctrlPr>
          </m:sSubPr>
          <m:e>
            <m:r>
              <w:rPr>
                <w:rFonts w:ascii="Cambria Math" w:hAnsi="Cambria Math"/>
              </w:rPr>
              <m:t>Ϝ</m:t>
            </m:r>
          </m:e>
          <m:sub>
            <m:r>
              <w:rPr>
                <w:rFonts w:ascii="Cambria Math" w:hAnsi="Cambria Math"/>
              </w:rPr>
              <m:t>ef</m:t>
            </m:r>
          </m:sub>
        </m:sSub>
      </m:oMath>
      <w:r w:rsidR="00811288" w:rsidRPr="003F1AF9">
        <w:t xml:space="preserve"> is the fuel emissions factor (in </w:t>
      </w:r>
      <w:r w:rsidR="00811288" w:rsidRPr="003F1AF9">
        <w:rPr>
          <w:i/>
        </w:rPr>
        <w:t>t</w:t>
      </w:r>
      <w:r w:rsidR="00811288" w:rsidRPr="003F1AF9">
        <w:t>CO</w:t>
      </w:r>
      <w:r w:rsidR="00811288" w:rsidRPr="003F1AF9">
        <w:rPr>
          <w:vertAlign w:val="subscript"/>
        </w:rPr>
        <w:t>2</w:t>
      </w:r>
      <w:r w:rsidR="00811288" w:rsidRPr="003F1AF9">
        <w:t xml:space="preserve">-eq / TJ) for each fuel. </w:t>
      </w:r>
      <w:bookmarkStart w:id="46" w:name="_Ref526607748"/>
    </w:p>
    <w:p w14:paraId="3BC3EF20" w14:textId="77777777" w:rsidR="00811288" w:rsidRPr="003F1AF9" w:rsidRDefault="00811288" w:rsidP="00811288">
      <w:pPr>
        <w:pStyle w:val="Heading4"/>
      </w:pPr>
      <w:r w:rsidRPr="003F1AF9">
        <w:t>Updating of Grid Emissions Factors</w:t>
      </w:r>
    </w:p>
    <w:p w14:paraId="0593B70E" w14:textId="59A58834" w:rsidR="00E629B7" w:rsidRDefault="00811288" w:rsidP="00811288">
      <w:r w:rsidRPr="003F1AF9">
        <w:t xml:space="preserve">As electricity sector Drawdown solutions are adopted, the grid becomes cleaner, and the high emissions factor shown in </w:t>
      </w:r>
      <w:r w:rsidRPr="003F1AF9">
        <w:fldChar w:fldCharType="begin"/>
      </w:r>
      <w:r w:rsidRPr="003F1AF9">
        <w:instrText xml:space="preserve"> REF _Ref536182638 \h  \* MERGEFORMAT </w:instrText>
      </w:r>
      <w:r w:rsidRPr="003F1AF9">
        <w:fldChar w:fldCharType="separate"/>
      </w:r>
      <w:r w:rsidR="008F2A2C" w:rsidRPr="003F1AF9">
        <w:t xml:space="preserve">Table </w:t>
      </w:r>
      <w:r w:rsidR="008F2A2C">
        <w:rPr>
          <w:noProof/>
        </w:rPr>
        <w:t>2.2</w:t>
      </w:r>
      <w:r w:rsidRPr="003F1AF9">
        <w:fldChar w:fldCharType="end"/>
      </w:r>
      <w:r w:rsidRPr="003F1AF9">
        <w:t xml:space="preserve"> will decline. This is not calculated directly in the model as </w:t>
      </w:r>
      <w:r>
        <w:t xml:space="preserve">it </w:t>
      </w:r>
      <w:r w:rsidRPr="003F1AF9">
        <w:t>is considered an integration issue</w:t>
      </w:r>
      <w:r>
        <w:t xml:space="preserve"> and covered in separate Project Drawdown reports</w:t>
      </w:r>
      <w:r w:rsidRPr="003F1AF9">
        <w:t>.</w:t>
      </w:r>
      <w:r w:rsidR="001D384E">
        <w:t xml:space="preserve"> </w:t>
      </w:r>
      <w:r w:rsidR="001D384E" w:rsidRPr="003F1AF9">
        <w:t xml:space="preserve">This is </w:t>
      </w:r>
      <w:r w:rsidR="001D384E">
        <w:t xml:space="preserve">discussed further in the </w:t>
      </w:r>
      <w:r w:rsidR="001D384E">
        <w:fldChar w:fldCharType="begin"/>
      </w:r>
      <w:r w:rsidR="001D384E">
        <w:instrText xml:space="preserve"> REF _Ref32579763 \h </w:instrText>
      </w:r>
      <w:r w:rsidR="001D384E">
        <w:fldChar w:fldCharType="separate"/>
      </w:r>
      <w:r w:rsidR="008F2A2C">
        <w:t>Integration</w:t>
      </w:r>
      <w:r w:rsidR="001D384E">
        <w:fldChar w:fldCharType="end"/>
      </w:r>
      <w:r w:rsidR="001D384E">
        <w:t xml:space="preserve"> section of the report</w:t>
      </w:r>
      <w:r w:rsidR="001D384E" w:rsidRPr="003F1AF9">
        <w:t>.</w:t>
      </w:r>
    </w:p>
    <w:p w14:paraId="095A27A7" w14:textId="77777777" w:rsidR="00E629B7" w:rsidRDefault="00E629B7" w:rsidP="00E629B7">
      <w:pPr>
        <w:pStyle w:val="Heading4"/>
      </w:pPr>
      <w:r>
        <w:t>Indirect Emissions Factor</w:t>
      </w:r>
    </w:p>
    <w:p w14:paraId="62AFDC9A" w14:textId="48851609" w:rsidR="00E629B7" w:rsidRDefault="00171D7C" w:rsidP="00E629B7">
      <w:r>
        <w:t xml:space="preserve">The model defines indirect emissions with those emissions associated with the production of clinker-alternatives (i.e., embodied emissions). Note that this definition differs from how indirect emissions are modeled in other Drawdown solutions and other modeling efforts. </w:t>
      </w:r>
      <w:r w:rsidR="00E629B7">
        <w:t>The reduction of cement clinker intensity requires other cementitious, pozzolanic, or filler materials to be used in place to produce a unit of cement. The production of these clinker-alternatives is not emission-free and are captured as indirect emissions</w:t>
      </w:r>
      <w:r w:rsidR="00612982">
        <w:t xml:space="preserve"> inputs to</w:t>
      </w:r>
      <w:r w:rsidR="00E629B7">
        <w:t xml:space="preserve"> the model.</w:t>
      </w:r>
      <w:r w:rsidR="00111692">
        <w:t xml:space="preserve"> </w:t>
      </w:r>
    </w:p>
    <w:p w14:paraId="6D71E032" w14:textId="77777777" w:rsidR="008E1C1A" w:rsidRDefault="008E1C1A" w:rsidP="008E1C1A">
      <w:pPr>
        <w:pStyle w:val="Heading4"/>
      </w:pPr>
      <w:r>
        <w:t>Other Factors</w:t>
      </w:r>
    </w:p>
    <w:p w14:paraId="5E77C57D" w14:textId="1E838D22" w:rsidR="00811288" w:rsidRPr="003F1AF9" w:rsidRDefault="008E1C1A" w:rsidP="00811288">
      <w:r>
        <w:t xml:space="preserve">Other factors that contribute to reductions in greenhouse gas emission are the thermal and electricity intensities of clinker production which depend upon the manufacturing technology used. The climate impacts of these variables are captured in the direct emissions reduction factor but are informed by efficiency factors presented in </w:t>
      </w:r>
      <w:r>
        <w:fldChar w:fldCharType="begin"/>
      </w:r>
      <w:r>
        <w:instrText xml:space="preserve"> REF _Ref536182638 \h </w:instrText>
      </w:r>
      <w:r>
        <w:fldChar w:fldCharType="separate"/>
      </w:r>
      <w:r w:rsidR="008F2A2C" w:rsidRPr="003F1AF9">
        <w:t xml:space="preserve">Table </w:t>
      </w:r>
      <w:r w:rsidR="008F2A2C">
        <w:rPr>
          <w:noProof/>
        </w:rPr>
        <w:t>2</w:t>
      </w:r>
      <w:r w:rsidR="008F2A2C">
        <w:t>.</w:t>
      </w:r>
      <w:r w:rsidR="008F2A2C">
        <w:rPr>
          <w:noProof/>
        </w:rPr>
        <w:t>2</w:t>
      </w:r>
      <w:r>
        <w:fldChar w:fldCharType="end"/>
      </w:r>
      <w:r>
        <w:t>.</w:t>
      </w:r>
    </w:p>
    <w:p w14:paraId="33E02FFE" w14:textId="0552924E" w:rsidR="00811288" w:rsidRPr="003F1AF9" w:rsidRDefault="00811288" w:rsidP="00811288">
      <w:pPr>
        <w:pStyle w:val="Caption"/>
        <w:keepNext/>
        <w:jc w:val="center"/>
      </w:pPr>
      <w:bookmarkStart w:id="47" w:name="_Ref536182638"/>
      <w:bookmarkStart w:id="48" w:name="_Toc19177266"/>
      <w:bookmarkStart w:id="49" w:name="_Toc38211668"/>
      <w:bookmarkEnd w:id="46"/>
      <w:r w:rsidRPr="003F1AF9">
        <w:t xml:space="preserve">Table </w:t>
      </w:r>
      <w:fldSimple w:instr=" STYLEREF 1 \s ">
        <w:r w:rsidR="008F2A2C">
          <w:rPr>
            <w:noProof/>
          </w:rPr>
          <w:t>2</w:t>
        </w:r>
      </w:fldSimple>
      <w:r w:rsidR="00F36327">
        <w:t>.</w:t>
      </w:r>
      <w:fldSimple w:instr=" SEQ Table \* ARABIC \s 1 ">
        <w:r w:rsidR="008F2A2C">
          <w:rPr>
            <w:noProof/>
          </w:rPr>
          <w:t>2</w:t>
        </w:r>
      </w:fldSimple>
      <w:bookmarkEnd w:id="47"/>
      <w:r w:rsidRPr="003F1AF9">
        <w:t xml:space="preserve"> Climate Inputs</w:t>
      </w:r>
      <w:bookmarkEnd w:id="48"/>
      <w:bookmarkEnd w:id="49"/>
    </w:p>
    <w:tbl>
      <w:tblPr>
        <w:tblStyle w:val="TableGrid"/>
        <w:tblW w:w="0" w:type="auto"/>
        <w:jc w:val="center"/>
        <w:tblLook w:val="04A0" w:firstRow="1" w:lastRow="0" w:firstColumn="1" w:lastColumn="0" w:noHBand="0" w:noVBand="1"/>
      </w:tblPr>
      <w:tblGrid>
        <w:gridCol w:w="2045"/>
        <w:gridCol w:w="1236"/>
        <w:gridCol w:w="1350"/>
        <w:gridCol w:w="1890"/>
        <w:gridCol w:w="1795"/>
        <w:gridCol w:w="1034"/>
      </w:tblGrid>
      <w:tr w:rsidR="00811288" w:rsidRPr="003F1AF9" w14:paraId="4516E0A9" w14:textId="77777777" w:rsidTr="0000036D">
        <w:trPr>
          <w:jc w:val="center"/>
        </w:trPr>
        <w:tc>
          <w:tcPr>
            <w:tcW w:w="2213" w:type="dxa"/>
            <w:shd w:val="clear" w:color="auto" w:fill="4F81BD" w:themeFill="accent1"/>
            <w:vAlign w:val="center"/>
          </w:tcPr>
          <w:p w14:paraId="3A9DE61C" w14:textId="77777777" w:rsidR="00811288" w:rsidRPr="003F1AF9" w:rsidRDefault="00811288" w:rsidP="0000036D">
            <w:pPr>
              <w:spacing w:line="240" w:lineRule="auto"/>
              <w:rPr>
                <w:b/>
                <w:color w:val="FFFFFF" w:themeColor="background1"/>
              </w:rPr>
            </w:pPr>
            <w:r w:rsidRPr="003F1AF9">
              <w:rPr>
                <w:b/>
                <w:color w:val="FFFFFF" w:themeColor="background1"/>
              </w:rPr>
              <w:t>Variable</w:t>
            </w:r>
          </w:p>
        </w:tc>
        <w:tc>
          <w:tcPr>
            <w:tcW w:w="1292" w:type="dxa"/>
            <w:shd w:val="clear" w:color="auto" w:fill="4F81BD" w:themeFill="accent1"/>
            <w:vAlign w:val="center"/>
          </w:tcPr>
          <w:p w14:paraId="56919AE9" w14:textId="77777777" w:rsidR="00811288" w:rsidRPr="003F1AF9" w:rsidRDefault="00811288" w:rsidP="0000036D">
            <w:pPr>
              <w:spacing w:line="240" w:lineRule="auto"/>
              <w:rPr>
                <w:b/>
                <w:color w:val="FFFFFF" w:themeColor="background1"/>
              </w:rPr>
            </w:pPr>
            <w:r w:rsidRPr="003F1AF9">
              <w:rPr>
                <w:b/>
                <w:color w:val="FFFFFF" w:themeColor="background1"/>
              </w:rPr>
              <w:t>Unit</w:t>
            </w:r>
          </w:p>
        </w:tc>
        <w:tc>
          <w:tcPr>
            <w:tcW w:w="936" w:type="dxa"/>
            <w:shd w:val="clear" w:color="auto" w:fill="4F81BD" w:themeFill="accent1"/>
            <w:vAlign w:val="center"/>
          </w:tcPr>
          <w:p w14:paraId="2AF0B536" w14:textId="77777777" w:rsidR="00811288" w:rsidRPr="003F1AF9" w:rsidRDefault="00811288" w:rsidP="0000036D">
            <w:pPr>
              <w:spacing w:line="240" w:lineRule="auto"/>
              <w:rPr>
                <w:b/>
                <w:color w:val="FFFFFF" w:themeColor="background1"/>
              </w:rPr>
            </w:pPr>
            <w:r w:rsidRPr="003F1AF9">
              <w:rPr>
                <w:b/>
                <w:color w:val="FFFFFF" w:themeColor="background1"/>
              </w:rPr>
              <w:t xml:space="preserve">Project Drawdown Data Set Range </w:t>
            </w:r>
          </w:p>
        </w:tc>
        <w:tc>
          <w:tcPr>
            <w:tcW w:w="1954" w:type="dxa"/>
            <w:shd w:val="clear" w:color="auto" w:fill="4F81BD" w:themeFill="accent1"/>
            <w:vAlign w:val="center"/>
          </w:tcPr>
          <w:p w14:paraId="6F64A6EA" w14:textId="77777777" w:rsidR="00811288" w:rsidRPr="003F1AF9" w:rsidRDefault="00811288" w:rsidP="0000036D">
            <w:pPr>
              <w:spacing w:line="240" w:lineRule="auto"/>
              <w:rPr>
                <w:b/>
                <w:color w:val="FFFFFF" w:themeColor="background1"/>
              </w:rPr>
            </w:pPr>
            <w:r w:rsidRPr="003F1AF9">
              <w:rPr>
                <w:b/>
                <w:color w:val="FFFFFF" w:themeColor="background1"/>
              </w:rPr>
              <w:t xml:space="preserve">Model Input </w:t>
            </w:r>
          </w:p>
        </w:tc>
        <w:tc>
          <w:tcPr>
            <w:tcW w:w="1911" w:type="dxa"/>
            <w:shd w:val="clear" w:color="auto" w:fill="4F81BD" w:themeFill="accent1"/>
            <w:vAlign w:val="center"/>
          </w:tcPr>
          <w:p w14:paraId="03645819" w14:textId="77777777" w:rsidR="00811288" w:rsidRPr="003F1AF9" w:rsidRDefault="00811288" w:rsidP="0000036D">
            <w:pPr>
              <w:spacing w:line="240" w:lineRule="auto"/>
              <w:rPr>
                <w:b/>
                <w:color w:val="FFFFFF" w:themeColor="background1"/>
              </w:rPr>
            </w:pPr>
            <w:r w:rsidRPr="003F1AF9">
              <w:rPr>
                <w:b/>
                <w:color w:val="FFFFFF" w:themeColor="background1"/>
              </w:rPr>
              <w:t>Data Points (#)</w:t>
            </w:r>
          </w:p>
        </w:tc>
        <w:tc>
          <w:tcPr>
            <w:tcW w:w="1044" w:type="dxa"/>
            <w:shd w:val="clear" w:color="auto" w:fill="4F81BD" w:themeFill="accent1"/>
            <w:vAlign w:val="center"/>
          </w:tcPr>
          <w:p w14:paraId="3B945893" w14:textId="77777777" w:rsidR="00811288" w:rsidRPr="003F1AF9" w:rsidRDefault="00811288" w:rsidP="0000036D">
            <w:pPr>
              <w:spacing w:line="240" w:lineRule="auto"/>
              <w:rPr>
                <w:b/>
                <w:color w:val="FFFFFF" w:themeColor="background1"/>
              </w:rPr>
            </w:pPr>
            <w:r w:rsidRPr="003F1AF9">
              <w:rPr>
                <w:b/>
                <w:color w:val="FFFFFF" w:themeColor="background1"/>
              </w:rPr>
              <w:t>Sources (#)</w:t>
            </w:r>
          </w:p>
        </w:tc>
      </w:tr>
      <w:tr w:rsidR="00811288" w:rsidRPr="003F1AF9" w14:paraId="25EA00E2" w14:textId="77777777" w:rsidTr="0000036D">
        <w:trPr>
          <w:jc w:val="center"/>
        </w:trPr>
        <w:tc>
          <w:tcPr>
            <w:tcW w:w="2213" w:type="dxa"/>
            <w:vAlign w:val="center"/>
          </w:tcPr>
          <w:p w14:paraId="19B58465" w14:textId="77777777" w:rsidR="00811288" w:rsidRPr="003F1AF9" w:rsidRDefault="00811288" w:rsidP="006D6D55">
            <w:pPr>
              <w:spacing w:line="240" w:lineRule="auto"/>
            </w:pPr>
            <w:r w:rsidRPr="003F1AF9">
              <w:t>Global average REF Grid Emissions Factor</w:t>
            </w:r>
          </w:p>
        </w:tc>
        <w:tc>
          <w:tcPr>
            <w:tcW w:w="1292" w:type="dxa"/>
            <w:tcMar>
              <w:left w:w="29" w:type="dxa"/>
              <w:right w:w="29" w:type="dxa"/>
            </w:tcMar>
            <w:vAlign w:val="center"/>
          </w:tcPr>
          <w:p w14:paraId="63A4D7BA" w14:textId="77777777" w:rsidR="00811288" w:rsidRPr="003F1AF9" w:rsidRDefault="00811288" w:rsidP="006D6D55">
            <w:pPr>
              <w:spacing w:line="240" w:lineRule="auto"/>
              <w:jc w:val="center"/>
            </w:pPr>
            <w:r w:rsidRPr="003F1AF9">
              <w:t>g CO</w:t>
            </w:r>
            <w:r w:rsidRPr="003F1AF9">
              <w:rPr>
                <w:vertAlign w:val="subscript"/>
              </w:rPr>
              <w:t>2</w:t>
            </w:r>
            <w:r w:rsidRPr="003F1AF9">
              <w:t>e/kWh</w:t>
            </w:r>
          </w:p>
        </w:tc>
        <w:tc>
          <w:tcPr>
            <w:tcW w:w="936" w:type="dxa"/>
            <w:vAlign w:val="center"/>
          </w:tcPr>
          <w:p w14:paraId="45F4EDE3" w14:textId="77777777" w:rsidR="00811288" w:rsidRPr="003F1AF9" w:rsidRDefault="00811288" w:rsidP="006D6D55">
            <w:pPr>
              <w:spacing w:line="240" w:lineRule="auto"/>
              <w:jc w:val="center"/>
            </w:pPr>
            <w:r>
              <w:t>503</w:t>
            </w:r>
            <w:r w:rsidRPr="000A20C1">
              <w:t>-</w:t>
            </w:r>
            <w:r>
              <w:t>593</w:t>
            </w:r>
          </w:p>
        </w:tc>
        <w:tc>
          <w:tcPr>
            <w:tcW w:w="1954" w:type="dxa"/>
            <w:vAlign w:val="center"/>
          </w:tcPr>
          <w:p w14:paraId="6056E5D8" w14:textId="77777777" w:rsidR="00811288" w:rsidRPr="003F1AF9" w:rsidRDefault="00811288" w:rsidP="006D6D55">
            <w:pPr>
              <w:spacing w:line="240" w:lineRule="auto"/>
              <w:jc w:val="center"/>
            </w:pPr>
            <w:r w:rsidRPr="000A20C1">
              <w:t>Depends on year. Starts at High Input in 2020 declines to Low Input in 2050</w:t>
            </w:r>
            <w:r>
              <w:t xml:space="preserve"> to represent the decarbonization of the grid in the reference.</w:t>
            </w:r>
          </w:p>
        </w:tc>
        <w:tc>
          <w:tcPr>
            <w:tcW w:w="1911" w:type="dxa"/>
            <w:vAlign w:val="center"/>
          </w:tcPr>
          <w:p w14:paraId="00BC7B25" w14:textId="77777777" w:rsidR="00811288" w:rsidRPr="003F1AF9" w:rsidRDefault="00811288" w:rsidP="006D6D55">
            <w:pPr>
              <w:spacing w:line="240" w:lineRule="auto"/>
              <w:jc w:val="center"/>
            </w:pPr>
            <w:r w:rsidRPr="003F1AF9">
              <w:t>12 each year</w:t>
            </w:r>
          </w:p>
        </w:tc>
        <w:tc>
          <w:tcPr>
            <w:tcW w:w="1044" w:type="dxa"/>
            <w:vAlign w:val="center"/>
          </w:tcPr>
          <w:p w14:paraId="59CCEE97" w14:textId="77777777" w:rsidR="00811288" w:rsidRPr="003F1AF9" w:rsidRDefault="00811288" w:rsidP="006D6D55">
            <w:pPr>
              <w:spacing w:line="240" w:lineRule="auto"/>
              <w:jc w:val="center"/>
            </w:pPr>
            <w:r w:rsidRPr="003F1AF9">
              <w:t>4</w:t>
            </w:r>
          </w:p>
        </w:tc>
      </w:tr>
      <w:tr w:rsidR="00811288" w:rsidRPr="003F1AF9" w14:paraId="6A54E93B" w14:textId="77777777" w:rsidTr="0000036D">
        <w:trPr>
          <w:jc w:val="center"/>
        </w:trPr>
        <w:tc>
          <w:tcPr>
            <w:tcW w:w="2213" w:type="dxa"/>
            <w:vAlign w:val="center"/>
          </w:tcPr>
          <w:p w14:paraId="1D309DDE" w14:textId="09B898C3" w:rsidR="00811288" w:rsidRPr="003F1AF9" w:rsidRDefault="00811288" w:rsidP="006D6D55">
            <w:pPr>
              <w:spacing w:line="240" w:lineRule="auto"/>
            </w:pPr>
            <w:r w:rsidRPr="003F1AF9">
              <w:t xml:space="preserve">Combined REF </w:t>
            </w:r>
            <w:r w:rsidR="00E629B7">
              <w:t>Coal</w:t>
            </w:r>
            <w:r w:rsidRPr="003F1AF9">
              <w:t xml:space="preserve"> Fuel Emissions Factor</w:t>
            </w:r>
          </w:p>
        </w:tc>
        <w:tc>
          <w:tcPr>
            <w:tcW w:w="1292" w:type="dxa"/>
            <w:tcMar>
              <w:left w:w="29" w:type="dxa"/>
              <w:right w:w="29" w:type="dxa"/>
            </w:tcMar>
            <w:vAlign w:val="center"/>
          </w:tcPr>
          <w:p w14:paraId="6D25173A" w14:textId="77777777" w:rsidR="00811288" w:rsidRPr="003F1AF9" w:rsidRDefault="00811288" w:rsidP="006D6D55">
            <w:pPr>
              <w:spacing w:line="240" w:lineRule="auto"/>
              <w:jc w:val="center"/>
            </w:pPr>
            <w:r w:rsidRPr="003F1AF9">
              <w:t>t CO</w:t>
            </w:r>
            <w:r w:rsidRPr="003F1AF9">
              <w:rPr>
                <w:vertAlign w:val="subscript"/>
              </w:rPr>
              <w:t>2</w:t>
            </w:r>
            <w:r w:rsidRPr="003F1AF9">
              <w:t>e/TJ of fuel</w:t>
            </w:r>
          </w:p>
        </w:tc>
        <w:tc>
          <w:tcPr>
            <w:tcW w:w="936" w:type="dxa"/>
            <w:vAlign w:val="center"/>
          </w:tcPr>
          <w:p w14:paraId="42F8F425" w14:textId="77777777" w:rsidR="00811288" w:rsidRPr="003F1AF9" w:rsidRDefault="00811288" w:rsidP="006D6D55">
            <w:pPr>
              <w:spacing w:line="240" w:lineRule="auto"/>
              <w:jc w:val="center"/>
            </w:pPr>
            <w:r>
              <w:t>N/A</w:t>
            </w:r>
          </w:p>
        </w:tc>
        <w:tc>
          <w:tcPr>
            <w:tcW w:w="1954" w:type="dxa"/>
            <w:vAlign w:val="center"/>
          </w:tcPr>
          <w:p w14:paraId="63BB14D1" w14:textId="62377E3D" w:rsidR="00811288" w:rsidRPr="003F1AF9" w:rsidRDefault="00E629B7" w:rsidP="006D6D55">
            <w:pPr>
              <w:spacing w:line="240" w:lineRule="auto"/>
              <w:jc w:val="center"/>
            </w:pPr>
            <w:r>
              <w:t>95</w:t>
            </w:r>
          </w:p>
        </w:tc>
        <w:tc>
          <w:tcPr>
            <w:tcW w:w="1911" w:type="dxa"/>
            <w:vAlign w:val="center"/>
          </w:tcPr>
          <w:p w14:paraId="1B1A8CEA" w14:textId="10013157" w:rsidR="00811288" w:rsidRPr="003F1AF9" w:rsidRDefault="000E604A" w:rsidP="006D6D55">
            <w:pPr>
              <w:spacing w:line="240" w:lineRule="auto"/>
              <w:jc w:val="center"/>
            </w:pPr>
            <w:r>
              <w:t>1</w:t>
            </w:r>
          </w:p>
        </w:tc>
        <w:tc>
          <w:tcPr>
            <w:tcW w:w="1044" w:type="dxa"/>
            <w:vAlign w:val="center"/>
          </w:tcPr>
          <w:p w14:paraId="649CB191" w14:textId="674055A3" w:rsidR="00811288" w:rsidRPr="003F1AF9" w:rsidRDefault="000E604A" w:rsidP="006D6D55">
            <w:pPr>
              <w:spacing w:line="240" w:lineRule="auto"/>
              <w:jc w:val="center"/>
            </w:pPr>
            <w:r>
              <w:t>1</w:t>
            </w:r>
          </w:p>
        </w:tc>
      </w:tr>
      <w:tr w:rsidR="006D6D55" w:rsidRPr="003F1AF9" w14:paraId="00333D99" w14:textId="77777777" w:rsidTr="0000036D">
        <w:trPr>
          <w:jc w:val="center"/>
        </w:trPr>
        <w:tc>
          <w:tcPr>
            <w:tcW w:w="2213" w:type="dxa"/>
            <w:vAlign w:val="center"/>
          </w:tcPr>
          <w:p w14:paraId="13EB6A75" w14:textId="18C4E9A3" w:rsidR="006D6D55" w:rsidRPr="003F1AF9" w:rsidRDefault="006D6D55" w:rsidP="006D6D55">
            <w:pPr>
              <w:spacing w:line="240" w:lineRule="auto"/>
            </w:pPr>
            <w:r>
              <w:t>Direct Emissions Factor</w:t>
            </w:r>
          </w:p>
        </w:tc>
        <w:tc>
          <w:tcPr>
            <w:tcW w:w="1292" w:type="dxa"/>
            <w:tcMar>
              <w:left w:w="29" w:type="dxa"/>
              <w:right w:w="29" w:type="dxa"/>
            </w:tcMar>
            <w:vAlign w:val="center"/>
          </w:tcPr>
          <w:p w14:paraId="495FC6EF" w14:textId="1A37E707" w:rsidR="006D6D55" w:rsidRPr="003F1AF9" w:rsidRDefault="006D6D55" w:rsidP="006D6D55">
            <w:pPr>
              <w:spacing w:line="240" w:lineRule="auto"/>
              <w:jc w:val="center"/>
            </w:pPr>
            <w:r>
              <w:t>t CO</w:t>
            </w:r>
            <w:r w:rsidRPr="006D6D55">
              <w:rPr>
                <w:vertAlign w:val="subscript"/>
              </w:rPr>
              <w:t>2</w:t>
            </w:r>
            <w:r>
              <w:t>/tonne clinker</w:t>
            </w:r>
          </w:p>
        </w:tc>
        <w:tc>
          <w:tcPr>
            <w:tcW w:w="936" w:type="dxa"/>
            <w:vAlign w:val="center"/>
          </w:tcPr>
          <w:p w14:paraId="7A5F9866" w14:textId="38910482" w:rsidR="006D6D55" w:rsidRDefault="006D6D55" w:rsidP="006D6D55">
            <w:pPr>
              <w:spacing w:line="240" w:lineRule="auto"/>
              <w:jc w:val="center"/>
            </w:pPr>
            <w:r>
              <w:t>N/A</w:t>
            </w:r>
          </w:p>
        </w:tc>
        <w:tc>
          <w:tcPr>
            <w:tcW w:w="1954" w:type="dxa"/>
            <w:vAlign w:val="center"/>
          </w:tcPr>
          <w:p w14:paraId="406673D8" w14:textId="2956BEBD" w:rsidR="006D6D55" w:rsidRDefault="006D6D55" w:rsidP="006D6D55">
            <w:pPr>
              <w:spacing w:line="240" w:lineRule="auto"/>
              <w:jc w:val="center"/>
            </w:pPr>
            <w:r>
              <w:t>0.507</w:t>
            </w:r>
          </w:p>
        </w:tc>
        <w:tc>
          <w:tcPr>
            <w:tcW w:w="1911" w:type="dxa"/>
            <w:vAlign w:val="center"/>
          </w:tcPr>
          <w:p w14:paraId="357709CC" w14:textId="28D9CCF0" w:rsidR="006D6D55" w:rsidRPr="003F1AF9" w:rsidRDefault="006D6D55" w:rsidP="006D6D55">
            <w:pPr>
              <w:spacing w:line="240" w:lineRule="auto"/>
              <w:jc w:val="center"/>
            </w:pPr>
            <w:r>
              <w:t>1 (derived from stoichiometry of chemical reaction)</w:t>
            </w:r>
          </w:p>
        </w:tc>
        <w:tc>
          <w:tcPr>
            <w:tcW w:w="1044" w:type="dxa"/>
            <w:vAlign w:val="center"/>
          </w:tcPr>
          <w:p w14:paraId="32BFB944" w14:textId="57010A0B" w:rsidR="006D6D55" w:rsidRPr="003F1AF9" w:rsidRDefault="006D6D55" w:rsidP="006D6D55">
            <w:pPr>
              <w:spacing w:line="240" w:lineRule="auto"/>
              <w:jc w:val="center"/>
            </w:pPr>
            <w:r>
              <w:t>1</w:t>
            </w:r>
          </w:p>
        </w:tc>
      </w:tr>
      <w:tr w:rsidR="00E629B7" w:rsidRPr="003F1AF9" w14:paraId="3C77D34B" w14:textId="77777777" w:rsidTr="0000036D">
        <w:trPr>
          <w:jc w:val="center"/>
        </w:trPr>
        <w:tc>
          <w:tcPr>
            <w:tcW w:w="2213" w:type="dxa"/>
            <w:vAlign w:val="center"/>
          </w:tcPr>
          <w:p w14:paraId="3A1116B9" w14:textId="685A7DCA" w:rsidR="00E629B7" w:rsidRDefault="00E629B7" w:rsidP="006D6D55">
            <w:pPr>
              <w:spacing w:line="240" w:lineRule="auto"/>
            </w:pPr>
            <w:r>
              <w:t xml:space="preserve">Indirect Emissions Factor </w:t>
            </w:r>
          </w:p>
        </w:tc>
        <w:tc>
          <w:tcPr>
            <w:tcW w:w="1292" w:type="dxa"/>
            <w:tcMar>
              <w:left w:w="29" w:type="dxa"/>
              <w:right w:w="29" w:type="dxa"/>
            </w:tcMar>
            <w:vAlign w:val="center"/>
          </w:tcPr>
          <w:p w14:paraId="3CA188F4" w14:textId="467CBC4E" w:rsidR="00E629B7" w:rsidRDefault="00E629B7" w:rsidP="006D6D55">
            <w:pPr>
              <w:spacing w:line="240" w:lineRule="auto"/>
              <w:jc w:val="center"/>
            </w:pPr>
            <w:r>
              <w:t>kg CO</w:t>
            </w:r>
            <w:r w:rsidRPr="00E629B7">
              <w:rPr>
                <w:vertAlign w:val="subscript"/>
              </w:rPr>
              <w:t>2</w:t>
            </w:r>
            <w:r>
              <w:t>e/kg material</w:t>
            </w:r>
          </w:p>
        </w:tc>
        <w:tc>
          <w:tcPr>
            <w:tcW w:w="936" w:type="dxa"/>
            <w:vAlign w:val="center"/>
          </w:tcPr>
          <w:p w14:paraId="1C0FD900" w14:textId="359A7E60" w:rsidR="00E629B7" w:rsidRDefault="00E629B7" w:rsidP="006D6D55">
            <w:pPr>
              <w:spacing w:line="240" w:lineRule="auto"/>
              <w:jc w:val="center"/>
            </w:pPr>
            <w:r>
              <w:t>2,156 – 30,025</w:t>
            </w:r>
          </w:p>
        </w:tc>
        <w:tc>
          <w:tcPr>
            <w:tcW w:w="1954" w:type="dxa"/>
            <w:vAlign w:val="center"/>
          </w:tcPr>
          <w:p w14:paraId="27049F1B" w14:textId="4EE9A375" w:rsidR="00E629B7" w:rsidRDefault="00E629B7" w:rsidP="006D6D55">
            <w:pPr>
              <w:spacing w:line="240" w:lineRule="auto"/>
              <w:jc w:val="center"/>
            </w:pPr>
            <w:r>
              <w:t>30,025</w:t>
            </w:r>
          </w:p>
        </w:tc>
        <w:tc>
          <w:tcPr>
            <w:tcW w:w="1911" w:type="dxa"/>
            <w:vAlign w:val="center"/>
          </w:tcPr>
          <w:p w14:paraId="77589AEF" w14:textId="02EEFA2D" w:rsidR="00E629B7" w:rsidRDefault="00E629B7" w:rsidP="006D6D55">
            <w:pPr>
              <w:spacing w:line="240" w:lineRule="auto"/>
              <w:jc w:val="center"/>
            </w:pPr>
            <w:r>
              <w:t>5</w:t>
            </w:r>
          </w:p>
        </w:tc>
        <w:tc>
          <w:tcPr>
            <w:tcW w:w="1044" w:type="dxa"/>
            <w:vAlign w:val="center"/>
          </w:tcPr>
          <w:p w14:paraId="1D3CB1A5" w14:textId="250046E6" w:rsidR="00E629B7" w:rsidRDefault="00E629B7" w:rsidP="006D6D55">
            <w:pPr>
              <w:spacing w:line="240" w:lineRule="auto"/>
              <w:jc w:val="center"/>
            </w:pPr>
            <w:r>
              <w:t>2</w:t>
            </w:r>
          </w:p>
        </w:tc>
      </w:tr>
      <w:tr w:rsidR="008E1C1A" w:rsidRPr="003F1AF9" w14:paraId="6FADD675" w14:textId="77777777" w:rsidTr="0000036D">
        <w:trPr>
          <w:jc w:val="center"/>
        </w:trPr>
        <w:tc>
          <w:tcPr>
            <w:tcW w:w="2213" w:type="dxa"/>
            <w:vAlign w:val="center"/>
          </w:tcPr>
          <w:p w14:paraId="6E845246" w14:textId="0F4F93F4" w:rsidR="008E1C1A" w:rsidRDefault="008E1C1A" w:rsidP="008E1C1A">
            <w:pPr>
              <w:spacing w:line="240" w:lineRule="auto"/>
            </w:pPr>
            <w:r>
              <w:t xml:space="preserve">Electricity Consumed </w:t>
            </w:r>
            <w:r w:rsidR="0000036D">
              <w:t>(</w:t>
            </w:r>
            <w:r>
              <w:t>Conventional</w:t>
            </w:r>
            <w:r w:rsidR="0000036D">
              <w:t>)</w:t>
            </w:r>
          </w:p>
        </w:tc>
        <w:tc>
          <w:tcPr>
            <w:tcW w:w="1292" w:type="dxa"/>
            <w:tcMar>
              <w:left w:w="29" w:type="dxa"/>
              <w:right w:w="29" w:type="dxa"/>
            </w:tcMar>
            <w:vAlign w:val="center"/>
          </w:tcPr>
          <w:p w14:paraId="6555284F" w14:textId="3A587BA9" w:rsidR="008E1C1A" w:rsidRDefault="008E1C1A" w:rsidP="008E1C1A">
            <w:pPr>
              <w:spacing w:line="240" w:lineRule="auto"/>
              <w:jc w:val="center"/>
            </w:pPr>
            <w:r>
              <w:t>kWh/t cement</w:t>
            </w:r>
          </w:p>
        </w:tc>
        <w:tc>
          <w:tcPr>
            <w:tcW w:w="936" w:type="dxa"/>
            <w:vAlign w:val="center"/>
          </w:tcPr>
          <w:p w14:paraId="0EF859A9" w14:textId="3395E6FF" w:rsidR="008E1C1A" w:rsidRDefault="008E1C1A" w:rsidP="008E1C1A">
            <w:pPr>
              <w:spacing w:line="240" w:lineRule="auto"/>
              <w:jc w:val="center"/>
            </w:pPr>
            <w:r>
              <w:t>91-103</w:t>
            </w:r>
          </w:p>
        </w:tc>
        <w:tc>
          <w:tcPr>
            <w:tcW w:w="1954" w:type="dxa"/>
            <w:vAlign w:val="center"/>
          </w:tcPr>
          <w:p w14:paraId="68945EA4" w14:textId="38FFB55B" w:rsidR="008E1C1A" w:rsidRDefault="008E1C1A" w:rsidP="008E1C1A">
            <w:pPr>
              <w:spacing w:line="240" w:lineRule="auto"/>
              <w:jc w:val="center"/>
            </w:pPr>
            <w:r>
              <w:t>97.0</w:t>
            </w:r>
          </w:p>
        </w:tc>
        <w:tc>
          <w:tcPr>
            <w:tcW w:w="1911" w:type="dxa"/>
            <w:vAlign w:val="center"/>
          </w:tcPr>
          <w:p w14:paraId="1EFFA6E7" w14:textId="6EFA7863" w:rsidR="008E1C1A" w:rsidRDefault="008E1C1A" w:rsidP="008E1C1A">
            <w:pPr>
              <w:spacing w:line="240" w:lineRule="auto"/>
              <w:jc w:val="center"/>
            </w:pPr>
            <w:r>
              <w:t>2</w:t>
            </w:r>
          </w:p>
        </w:tc>
        <w:tc>
          <w:tcPr>
            <w:tcW w:w="1044" w:type="dxa"/>
            <w:vAlign w:val="center"/>
          </w:tcPr>
          <w:p w14:paraId="50B29FEB" w14:textId="265D5109" w:rsidR="008E1C1A" w:rsidRDefault="008E1C1A" w:rsidP="008E1C1A">
            <w:pPr>
              <w:spacing w:line="240" w:lineRule="auto"/>
              <w:jc w:val="center"/>
            </w:pPr>
            <w:r>
              <w:t>1</w:t>
            </w:r>
          </w:p>
        </w:tc>
      </w:tr>
      <w:tr w:rsidR="008E1C1A" w:rsidRPr="003F1AF9" w14:paraId="1DEAC8B5" w14:textId="77777777" w:rsidTr="0000036D">
        <w:trPr>
          <w:jc w:val="center"/>
        </w:trPr>
        <w:tc>
          <w:tcPr>
            <w:tcW w:w="2213" w:type="dxa"/>
            <w:vAlign w:val="center"/>
          </w:tcPr>
          <w:p w14:paraId="3B265AE6" w14:textId="40BC90CA" w:rsidR="008E1C1A" w:rsidRDefault="008E1C1A" w:rsidP="006D6D55">
            <w:pPr>
              <w:spacing w:line="240" w:lineRule="auto"/>
            </w:pPr>
            <w:r>
              <w:t xml:space="preserve">Electricity Consumed </w:t>
            </w:r>
            <w:r w:rsidR="0000036D">
              <w:t>(</w:t>
            </w:r>
            <w:r>
              <w:t>Solution</w:t>
            </w:r>
            <w:r w:rsidR="0000036D">
              <w:t>)</w:t>
            </w:r>
          </w:p>
        </w:tc>
        <w:tc>
          <w:tcPr>
            <w:tcW w:w="1292" w:type="dxa"/>
            <w:tcMar>
              <w:left w:w="29" w:type="dxa"/>
              <w:right w:w="29" w:type="dxa"/>
            </w:tcMar>
            <w:vAlign w:val="center"/>
          </w:tcPr>
          <w:p w14:paraId="4979FB3A" w14:textId="3E003A32" w:rsidR="008E1C1A" w:rsidRDefault="008E1C1A" w:rsidP="006D6D55">
            <w:pPr>
              <w:spacing w:line="240" w:lineRule="auto"/>
              <w:jc w:val="center"/>
            </w:pPr>
            <w:r>
              <w:t>kWh/t cement</w:t>
            </w:r>
          </w:p>
        </w:tc>
        <w:tc>
          <w:tcPr>
            <w:tcW w:w="936" w:type="dxa"/>
            <w:vAlign w:val="center"/>
          </w:tcPr>
          <w:p w14:paraId="67A7B975" w14:textId="610A5699" w:rsidR="008E1C1A" w:rsidRDefault="008E1C1A" w:rsidP="006D6D55">
            <w:pPr>
              <w:spacing w:line="240" w:lineRule="auto"/>
              <w:jc w:val="center"/>
            </w:pPr>
            <w:r>
              <w:t>79-95</w:t>
            </w:r>
          </w:p>
        </w:tc>
        <w:tc>
          <w:tcPr>
            <w:tcW w:w="1954" w:type="dxa"/>
            <w:vAlign w:val="center"/>
          </w:tcPr>
          <w:p w14:paraId="2882B218" w14:textId="25C6DBBC" w:rsidR="008E1C1A" w:rsidRDefault="008E1C1A" w:rsidP="006D6D55">
            <w:pPr>
              <w:spacing w:line="240" w:lineRule="auto"/>
              <w:jc w:val="center"/>
            </w:pPr>
            <w:r>
              <w:t>88.0</w:t>
            </w:r>
          </w:p>
        </w:tc>
        <w:tc>
          <w:tcPr>
            <w:tcW w:w="1911" w:type="dxa"/>
            <w:vAlign w:val="center"/>
          </w:tcPr>
          <w:p w14:paraId="38F70E79" w14:textId="1E6D7189" w:rsidR="008E1C1A" w:rsidRDefault="008E1C1A" w:rsidP="006D6D55">
            <w:pPr>
              <w:spacing w:line="240" w:lineRule="auto"/>
              <w:jc w:val="center"/>
            </w:pPr>
            <w:r>
              <w:t>3</w:t>
            </w:r>
          </w:p>
        </w:tc>
        <w:tc>
          <w:tcPr>
            <w:tcW w:w="1044" w:type="dxa"/>
            <w:vAlign w:val="center"/>
          </w:tcPr>
          <w:p w14:paraId="78F303EE" w14:textId="6CFF6FB5" w:rsidR="008E1C1A" w:rsidRDefault="008E1C1A" w:rsidP="006D6D55">
            <w:pPr>
              <w:spacing w:line="240" w:lineRule="auto"/>
              <w:jc w:val="center"/>
            </w:pPr>
            <w:r>
              <w:t>2</w:t>
            </w:r>
          </w:p>
        </w:tc>
      </w:tr>
      <w:tr w:rsidR="008E1C1A" w:rsidRPr="003F1AF9" w14:paraId="72C4209A" w14:textId="77777777" w:rsidTr="0000036D">
        <w:trPr>
          <w:jc w:val="center"/>
        </w:trPr>
        <w:tc>
          <w:tcPr>
            <w:tcW w:w="2213" w:type="dxa"/>
            <w:vAlign w:val="center"/>
          </w:tcPr>
          <w:p w14:paraId="3B8C8BE6" w14:textId="4565AAE9" w:rsidR="008E1C1A" w:rsidRDefault="008E1C1A" w:rsidP="006D6D55">
            <w:pPr>
              <w:spacing w:line="240" w:lineRule="auto"/>
            </w:pPr>
            <w:r>
              <w:t>Fuel Use Efficiency Factor</w:t>
            </w:r>
          </w:p>
        </w:tc>
        <w:tc>
          <w:tcPr>
            <w:tcW w:w="1292" w:type="dxa"/>
            <w:tcMar>
              <w:left w:w="29" w:type="dxa"/>
              <w:right w:w="29" w:type="dxa"/>
            </w:tcMar>
            <w:vAlign w:val="center"/>
          </w:tcPr>
          <w:p w14:paraId="19DFC05D" w14:textId="351DA5DD" w:rsidR="008E1C1A" w:rsidRDefault="008E1C1A" w:rsidP="006D6D55">
            <w:pPr>
              <w:spacing w:line="240" w:lineRule="auto"/>
              <w:jc w:val="center"/>
            </w:pPr>
            <w:r>
              <w:t>--</w:t>
            </w:r>
          </w:p>
        </w:tc>
        <w:tc>
          <w:tcPr>
            <w:tcW w:w="936" w:type="dxa"/>
            <w:vAlign w:val="center"/>
          </w:tcPr>
          <w:p w14:paraId="37E3600A" w14:textId="71F573BF" w:rsidR="008E1C1A" w:rsidRDefault="008E1C1A" w:rsidP="006D6D55">
            <w:pPr>
              <w:spacing w:line="240" w:lineRule="auto"/>
              <w:jc w:val="center"/>
            </w:pPr>
            <w:r>
              <w:t>0.646 – 0.656</w:t>
            </w:r>
          </w:p>
        </w:tc>
        <w:tc>
          <w:tcPr>
            <w:tcW w:w="1954" w:type="dxa"/>
            <w:vAlign w:val="center"/>
          </w:tcPr>
          <w:p w14:paraId="28E83893" w14:textId="1B39E367" w:rsidR="008E1C1A" w:rsidRDefault="008E1C1A" w:rsidP="006D6D55">
            <w:pPr>
              <w:spacing w:line="240" w:lineRule="auto"/>
              <w:jc w:val="center"/>
            </w:pPr>
            <w:r>
              <w:t>0.651</w:t>
            </w:r>
          </w:p>
        </w:tc>
        <w:tc>
          <w:tcPr>
            <w:tcW w:w="1911" w:type="dxa"/>
            <w:vAlign w:val="center"/>
          </w:tcPr>
          <w:p w14:paraId="6FCF2A2E" w14:textId="706666F6" w:rsidR="008E1C1A" w:rsidRDefault="008E1C1A" w:rsidP="006D6D55">
            <w:pPr>
              <w:spacing w:line="240" w:lineRule="auto"/>
              <w:jc w:val="center"/>
            </w:pPr>
            <w:r>
              <w:t>2</w:t>
            </w:r>
          </w:p>
        </w:tc>
        <w:tc>
          <w:tcPr>
            <w:tcW w:w="1044" w:type="dxa"/>
            <w:vAlign w:val="center"/>
          </w:tcPr>
          <w:p w14:paraId="79920B30" w14:textId="2388DFE2" w:rsidR="008E1C1A" w:rsidRDefault="008E1C1A" w:rsidP="006D6D55">
            <w:pPr>
              <w:spacing w:line="240" w:lineRule="auto"/>
              <w:jc w:val="center"/>
            </w:pPr>
            <w:r>
              <w:t>2</w:t>
            </w:r>
          </w:p>
        </w:tc>
      </w:tr>
    </w:tbl>
    <w:p w14:paraId="25A69D42" w14:textId="55BD81EC" w:rsidR="006B1084" w:rsidRPr="00770090" w:rsidRDefault="00811288" w:rsidP="006B1084">
      <w:pPr>
        <w:rPr>
          <w:sz w:val="20"/>
          <w:szCs w:val="20"/>
        </w:rPr>
      </w:pPr>
      <w:r w:rsidRPr="00E629B7">
        <w:rPr>
          <w:sz w:val="20"/>
          <w:szCs w:val="20"/>
        </w:rPr>
        <w:t>Sources: IEA (2016) ETP, AMPERE Public Database (Version 1.0.0) https://secure.iiasa.ac.at/web-apps/ene/AMPEREDB for Models: GEM-E3, IMAGE and MESSAGE</w:t>
      </w:r>
      <w:r w:rsidR="00E629B7" w:rsidRPr="00E629B7">
        <w:rPr>
          <w:sz w:val="20"/>
          <w:szCs w:val="20"/>
        </w:rPr>
        <w:t>. Note: Project Drawdown data set range is defined by the low and high boundaries which are respectively 1 standard deviation below and above the mean of the collected data points</w:t>
      </w:r>
      <w:r w:rsidR="00E629B7" w:rsidRPr="00E911FD">
        <w:rPr>
          <w:rStyle w:val="FootnoteReference"/>
        </w:rPr>
        <w:footnoteReference w:id="2"/>
      </w:r>
      <w:r w:rsidR="00E629B7" w:rsidRPr="00E629B7">
        <w:rPr>
          <w:sz w:val="20"/>
          <w:szCs w:val="20"/>
        </w:rPr>
        <w:t>.</w:t>
      </w:r>
    </w:p>
    <w:p w14:paraId="24C491B8" w14:textId="7AAF8200" w:rsidR="00F52595" w:rsidRDefault="00686965" w:rsidP="00C07355">
      <w:pPr>
        <w:pStyle w:val="Heading3"/>
        <w:numPr>
          <w:ilvl w:val="2"/>
          <w:numId w:val="28"/>
        </w:numPr>
      </w:pPr>
      <w:bookmarkStart w:id="50" w:name="_Toc38211647"/>
      <w:r>
        <w:t>Financial Inputs</w:t>
      </w:r>
      <w:bookmarkEnd w:id="50"/>
    </w:p>
    <w:p w14:paraId="55C59906" w14:textId="5C3C6EF2" w:rsidR="0032353F" w:rsidRDefault="0032353F" w:rsidP="006B1084">
      <w:pPr>
        <w:pStyle w:val="Heading4"/>
      </w:pPr>
      <w:r>
        <w:t xml:space="preserve">First </w:t>
      </w:r>
      <w:r w:rsidR="006B1084">
        <w:t>Cost Factor</w:t>
      </w:r>
    </w:p>
    <w:p w14:paraId="3C572844" w14:textId="086FB551" w:rsidR="006B1084" w:rsidRDefault="007A0B05" w:rsidP="006B1084">
      <w:r>
        <w:t xml:space="preserve">The conventional first cost is estimated using data </w:t>
      </w:r>
      <w:r w:rsidR="00222344">
        <w:t xml:space="preserve">about the average price of cement before the start of the base year. The solution first cost </w:t>
      </w:r>
      <w:r w:rsidR="00612982">
        <w:t>includes</w:t>
      </w:r>
      <w:r w:rsidR="00222344">
        <w:t xml:space="preserve"> data in the form of both cost reduction (in percent form) and the cost of alternative cement technologies with low clinker ratios. Data for the price of CEM II – CEM V (solution technology) is difficult to find for the world, so data for the US is used for the price reduction of cement with SCMs relative to the price of CEM I/Type I OPC (conventional technology). No learning rate factor is applied to cost data since the price of clinker and clinker alternatives is highly variable in today’s market.</w:t>
      </w:r>
      <w:r w:rsidR="00BF0F11">
        <w:t xml:space="preserve"> A summary of all cost variables used in the model are included in </w:t>
      </w:r>
      <w:r w:rsidR="00BF0F11">
        <w:fldChar w:fldCharType="begin"/>
      </w:r>
      <w:r w:rsidR="00BF0F11">
        <w:instrText xml:space="preserve"> REF _Ref32584030 \h </w:instrText>
      </w:r>
      <w:r w:rsidR="00BF0F11">
        <w:fldChar w:fldCharType="separate"/>
      </w:r>
      <w:r w:rsidR="008F2A2C">
        <w:t xml:space="preserve">Table </w:t>
      </w:r>
      <w:r w:rsidR="008F2A2C">
        <w:rPr>
          <w:noProof/>
        </w:rPr>
        <w:t>2</w:t>
      </w:r>
      <w:r w:rsidR="008F2A2C">
        <w:t>.</w:t>
      </w:r>
      <w:r w:rsidR="008F2A2C">
        <w:rPr>
          <w:noProof/>
        </w:rPr>
        <w:t>3</w:t>
      </w:r>
      <w:r w:rsidR="00BF0F11">
        <w:fldChar w:fldCharType="end"/>
      </w:r>
      <w:r w:rsidR="00BF0F11">
        <w:t>.</w:t>
      </w:r>
    </w:p>
    <w:p w14:paraId="377A4619" w14:textId="6D72A4CB" w:rsidR="006B1084" w:rsidRDefault="006B1084" w:rsidP="006B1084">
      <w:pPr>
        <w:pStyle w:val="Heading4"/>
      </w:pPr>
      <w:r>
        <w:t>Operational Cost</w:t>
      </w:r>
    </w:p>
    <w:p w14:paraId="0962EC30" w14:textId="4A99D7FF" w:rsidR="0032353F" w:rsidRPr="00F52595" w:rsidRDefault="00222344" w:rsidP="00BF0F11">
      <w:r>
        <w:t>There is no operational cost associated with cement or alternative cements. Repair and maintenance costs are ignore</w:t>
      </w:r>
      <w:r w:rsidR="00BF0F11">
        <w:t>d</w:t>
      </w:r>
      <w:r>
        <w:t xml:space="preserve"> in this analysis since they are expected to be equivalent between the conventional and solution technologies.</w:t>
      </w:r>
    </w:p>
    <w:p w14:paraId="1521B01D" w14:textId="1422B706" w:rsidR="00D25FC7" w:rsidRPr="0021082B" w:rsidRDefault="00D25FC7" w:rsidP="00D25FC7">
      <w:pPr>
        <w:pStyle w:val="Caption"/>
        <w:jc w:val="center"/>
        <w:rPr>
          <w:rFonts w:asciiTheme="majorHAnsi" w:eastAsiaTheme="majorEastAsia" w:hAnsiTheme="majorHAnsi" w:cstheme="majorBidi"/>
          <w:b/>
          <w:bCs/>
          <w:color w:val="000000" w:themeColor="text1"/>
          <w:sz w:val="23"/>
          <w:szCs w:val="23"/>
          <w:lang w:eastAsia="zh-CN"/>
        </w:rPr>
      </w:pPr>
      <w:bookmarkStart w:id="51" w:name="_Ref32584030"/>
      <w:bookmarkStart w:id="52" w:name="_Toc38211669"/>
      <w:r>
        <w:t xml:space="preserve">Table </w:t>
      </w:r>
      <w:fldSimple w:instr=" STYLEREF 1 \s ">
        <w:r w:rsidR="008F2A2C">
          <w:rPr>
            <w:noProof/>
          </w:rPr>
          <w:t>2</w:t>
        </w:r>
      </w:fldSimple>
      <w:r w:rsidR="00F36327">
        <w:t>.</w:t>
      </w:r>
      <w:fldSimple w:instr=" SEQ Table \* ARABIC \s 1 ">
        <w:r w:rsidR="008F2A2C">
          <w:rPr>
            <w:noProof/>
          </w:rPr>
          <w:t>3</w:t>
        </w:r>
      </w:fldSimple>
      <w:bookmarkEnd w:id="51"/>
      <w:r>
        <w:t xml:space="preserve"> Financial Inputs </w:t>
      </w:r>
      <w:r w:rsidR="009C0F77">
        <w:t xml:space="preserve">for </w:t>
      </w:r>
      <w:r>
        <w:t>Conventional Technologies</w:t>
      </w:r>
      <w:bookmarkEnd w:id="52"/>
    </w:p>
    <w:tbl>
      <w:tblPr>
        <w:tblStyle w:val="TableGrid"/>
        <w:tblW w:w="5043" w:type="pct"/>
        <w:jc w:val="center"/>
        <w:tblLook w:val="04A0" w:firstRow="1" w:lastRow="0" w:firstColumn="1" w:lastColumn="0" w:noHBand="0" w:noVBand="1"/>
      </w:tblPr>
      <w:tblGrid>
        <w:gridCol w:w="2302"/>
        <w:gridCol w:w="1624"/>
        <w:gridCol w:w="1624"/>
        <w:gridCol w:w="1624"/>
        <w:gridCol w:w="1164"/>
        <w:gridCol w:w="1092"/>
      </w:tblGrid>
      <w:tr w:rsidR="00910DE0" w:rsidRPr="00057050" w14:paraId="5EBC0DC9" w14:textId="77777777" w:rsidTr="00DA57F1">
        <w:trPr>
          <w:cantSplit/>
          <w:trHeight w:val="1154"/>
          <w:tblHeader/>
          <w:jc w:val="center"/>
        </w:trPr>
        <w:tc>
          <w:tcPr>
            <w:tcW w:w="1221" w:type="pct"/>
            <w:shd w:val="clear" w:color="auto" w:fill="4F81BD" w:themeFill="accent1"/>
            <w:vAlign w:val="center"/>
          </w:tcPr>
          <w:p w14:paraId="74E672A4" w14:textId="77777777" w:rsidR="00910DE0" w:rsidRPr="00057050" w:rsidRDefault="00910DE0" w:rsidP="00AD4CF8">
            <w:pPr>
              <w:spacing w:after="180" w:line="240" w:lineRule="auto"/>
              <w:jc w:val="center"/>
              <w:rPr>
                <w:rFonts w:eastAsia="Helvetica,Times New Roman" w:cstheme="minorHAnsi"/>
                <w:b/>
                <w:color w:val="000000" w:themeColor="text1"/>
                <w:sz w:val="20"/>
                <w:szCs w:val="20"/>
              </w:rPr>
            </w:pPr>
          </w:p>
        </w:tc>
        <w:tc>
          <w:tcPr>
            <w:tcW w:w="861" w:type="pct"/>
            <w:shd w:val="clear" w:color="auto" w:fill="4F81BD" w:themeFill="accent1"/>
            <w:vAlign w:val="center"/>
          </w:tcPr>
          <w:p w14:paraId="47C8F982" w14:textId="77777777" w:rsidR="00910DE0" w:rsidRPr="00D25FC7" w:rsidRDefault="00910DE0" w:rsidP="00AD4CF8">
            <w:pPr>
              <w:spacing w:after="180" w:line="240" w:lineRule="auto"/>
              <w:jc w:val="center"/>
              <w:rPr>
                <w:b/>
                <w:bCs/>
                <w:sz w:val="20"/>
                <w:szCs w:val="20"/>
              </w:rPr>
            </w:pPr>
            <w:r w:rsidRPr="00910DE0">
              <w:rPr>
                <w:b/>
                <w:bCs/>
                <w:color w:val="FFFFFF" w:themeColor="background1"/>
                <w:sz w:val="20"/>
                <w:szCs w:val="20"/>
              </w:rPr>
              <w:t>Units</w:t>
            </w:r>
          </w:p>
        </w:tc>
        <w:tc>
          <w:tcPr>
            <w:tcW w:w="861" w:type="pct"/>
            <w:shd w:val="clear" w:color="auto" w:fill="4F81BD" w:themeFill="accent1"/>
            <w:vAlign w:val="center"/>
          </w:tcPr>
          <w:p w14:paraId="0418DADA" w14:textId="42CB0C28" w:rsidR="00910DE0" w:rsidRPr="005C6EC2" w:rsidRDefault="00910DE0" w:rsidP="00AD4CF8">
            <w:pPr>
              <w:spacing w:after="180" w:line="240" w:lineRule="auto"/>
              <w:jc w:val="center"/>
              <w:rPr>
                <w:b/>
                <w:bCs/>
                <w:color w:val="FFFFFF" w:themeColor="background1"/>
                <w:sz w:val="20"/>
                <w:szCs w:val="20"/>
              </w:rPr>
            </w:pPr>
            <w:r>
              <w:rPr>
                <w:b/>
                <w:bCs/>
                <w:color w:val="FFFFFF" w:themeColor="background1"/>
                <w:sz w:val="20"/>
                <w:szCs w:val="20"/>
              </w:rPr>
              <w:t>Project Drawdown Data Set Range</w:t>
            </w:r>
          </w:p>
        </w:tc>
        <w:tc>
          <w:tcPr>
            <w:tcW w:w="861" w:type="pct"/>
            <w:shd w:val="clear" w:color="auto" w:fill="4F81BD" w:themeFill="accent1"/>
            <w:vAlign w:val="center"/>
          </w:tcPr>
          <w:p w14:paraId="6FC568BA" w14:textId="77777777" w:rsidR="00910DE0" w:rsidRPr="005C6EC2" w:rsidRDefault="00910DE0" w:rsidP="00AD4CF8">
            <w:pPr>
              <w:spacing w:after="180" w:line="240" w:lineRule="auto"/>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034FA35B" w14:textId="77777777" w:rsidR="00910DE0" w:rsidRPr="005C6EC2" w:rsidRDefault="00910DE0" w:rsidP="00AD4CF8">
            <w:pPr>
              <w:spacing w:after="180" w:line="240" w:lineRule="auto"/>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9" w:type="pct"/>
            <w:shd w:val="clear" w:color="auto" w:fill="4F81BD" w:themeFill="accent1"/>
            <w:vAlign w:val="center"/>
          </w:tcPr>
          <w:p w14:paraId="213A903C" w14:textId="77777777" w:rsidR="00910DE0" w:rsidRPr="005C6EC2" w:rsidRDefault="00910DE0" w:rsidP="00AD4CF8">
            <w:pPr>
              <w:spacing w:after="180" w:line="240" w:lineRule="auto"/>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910DE0" w:rsidRPr="00057050" w14:paraId="224D399B" w14:textId="77777777" w:rsidTr="00E978D4">
        <w:trPr>
          <w:trHeight w:val="149"/>
          <w:jc w:val="center"/>
        </w:trPr>
        <w:tc>
          <w:tcPr>
            <w:tcW w:w="1221" w:type="pct"/>
            <w:vAlign w:val="center"/>
          </w:tcPr>
          <w:p w14:paraId="400D3B56" w14:textId="77777777" w:rsidR="00910DE0" w:rsidRPr="00057050" w:rsidRDefault="00910DE0" w:rsidP="00AD4CF8">
            <w:pPr>
              <w:spacing w:after="180" w:line="240" w:lineRule="auto"/>
              <w:jc w:val="center"/>
              <w:rPr>
                <w:color w:val="000000" w:themeColor="text1"/>
                <w:sz w:val="20"/>
                <w:szCs w:val="20"/>
              </w:rPr>
            </w:pPr>
            <w:r w:rsidRPr="00057050">
              <w:rPr>
                <w:color w:val="000000" w:themeColor="text1"/>
                <w:sz w:val="20"/>
                <w:szCs w:val="20"/>
              </w:rPr>
              <w:t>First costs (Conventional)</w:t>
            </w:r>
          </w:p>
        </w:tc>
        <w:tc>
          <w:tcPr>
            <w:tcW w:w="861" w:type="pct"/>
            <w:vAlign w:val="center"/>
          </w:tcPr>
          <w:p w14:paraId="56AA3572" w14:textId="13B6C5A8" w:rsidR="00910DE0" w:rsidRPr="00D25FC7" w:rsidRDefault="00D2040E" w:rsidP="00AD4CF8">
            <w:pPr>
              <w:spacing w:after="180" w:line="240" w:lineRule="auto"/>
              <w:jc w:val="center"/>
              <w:rPr>
                <w:rFonts w:eastAsia="Helvetica,Times New Roman" w:cstheme="minorHAnsi"/>
                <w:sz w:val="20"/>
                <w:szCs w:val="20"/>
              </w:rPr>
            </w:pPr>
            <w:r>
              <w:rPr>
                <w:bCs/>
                <w:i/>
                <w:sz w:val="20"/>
                <w:szCs w:val="20"/>
              </w:rPr>
              <w:t>U</w:t>
            </w:r>
            <w:r w:rsidR="00910DE0" w:rsidRPr="00D25FC7">
              <w:rPr>
                <w:bCs/>
                <w:i/>
                <w:sz w:val="20"/>
                <w:szCs w:val="20"/>
              </w:rPr>
              <w:t>S$2014/</w:t>
            </w:r>
            <w:r>
              <w:rPr>
                <w:bCs/>
                <w:i/>
                <w:sz w:val="20"/>
                <w:szCs w:val="20"/>
              </w:rPr>
              <w:t>MMt</w:t>
            </w:r>
          </w:p>
        </w:tc>
        <w:tc>
          <w:tcPr>
            <w:tcW w:w="861" w:type="pct"/>
            <w:vAlign w:val="center"/>
          </w:tcPr>
          <w:p w14:paraId="5AD14322" w14:textId="2DFE2EEC" w:rsidR="00910DE0" w:rsidRPr="00057050" w:rsidRDefault="00BF0F11" w:rsidP="00AD4CF8">
            <w:pPr>
              <w:spacing w:after="180" w:line="240" w:lineRule="auto"/>
              <w:jc w:val="center"/>
              <w:rPr>
                <w:rFonts w:eastAsia="Helvetica,Times New Roman" w:cstheme="minorHAnsi"/>
                <w:color w:val="000000" w:themeColor="text1"/>
                <w:sz w:val="20"/>
                <w:szCs w:val="20"/>
              </w:rPr>
            </w:pPr>
            <w:r w:rsidRPr="00D2040E">
              <w:rPr>
                <w:rFonts w:eastAsia="Helvetica,Times New Roman" w:cstheme="minorHAnsi"/>
                <w:color w:val="000000" w:themeColor="text1"/>
                <w:sz w:val="20"/>
                <w:szCs w:val="20"/>
              </w:rPr>
              <w:t>$47,525,165</w:t>
            </w:r>
            <w:r>
              <w:rPr>
                <w:rFonts w:eastAsia="Helvetica,Times New Roman" w:cstheme="minorHAnsi"/>
                <w:color w:val="000000" w:themeColor="text1"/>
                <w:sz w:val="20"/>
                <w:szCs w:val="20"/>
              </w:rPr>
              <w:t xml:space="preserve"> - </w:t>
            </w:r>
            <w:r w:rsidRPr="00D2040E">
              <w:rPr>
                <w:rFonts w:eastAsia="Helvetica,Times New Roman" w:cstheme="minorHAnsi"/>
                <w:color w:val="000000" w:themeColor="text1"/>
                <w:sz w:val="20"/>
                <w:szCs w:val="20"/>
              </w:rPr>
              <w:t>$102,056,834</w:t>
            </w:r>
          </w:p>
        </w:tc>
        <w:tc>
          <w:tcPr>
            <w:tcW w:w="861" w:type="pct"/>
            <w:vAlign w:val="center"/>
          </w:tcPr>
          <w:p w14:paraId="6782A95B" w14:textId="168B6DB6" w:rsidR="00910DE0" w:rsidRPr="00057050" w:rsidRDefault="00BF0F11"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r w:rsidRPr="00BF0F11">
              <w:rPr>
                <w:rFonts w:eastAsia="Helvetica,Times New Roman" w:cstheme="minorHAnsi"/>
                <w:color w:val="000000" w:themeColor="text1"/>
                <w:sz w:val="20"/>
                <w:szCs w:val="20"/>
              </w:rPr>
              <w:t>74,790,999</w:t>
            </w:r>
          </w:p>
        </w:tc>
        <w:tc>
          <w:tcPr>
            <w:tcW w:w="617" w:type="pct"/>
            <w:vAlign w:val="center"/>
          </w:tcPr>
          <w:p w14:paraId="1AA7E7F8" w14:textId="4F661FD1" w:rsidR="00910DE0" w:rsidRPr="00057050" w:rsidRDefault="00D2040E"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w:t>
            </w:r>
          </w:p>
        </w:tc>
        <w:tc>
          <w:tcPr>
            <w:tcW w:w="579" w:type="pct"/>
            <w:vAlign w:val="center"/>
          </w:tcPr>
          <w:p w14:paraId="367ADBC1" w14:textId="298614E8" w:rsidR="00910DE0" w:rsidRPr="00057050" w:rsidRDefault="00BF0F11"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w:t>
            </w:r>
          </w:p>
        </w:tc>
      </w:tr>
      <w:tr w:rsidR="00910DE0" w:rsidRPr="00057050" w14:paraId="29BBD18C" w14:textId="77777777" w:rsidTr="00E978D4">
        <w:trPr>
          <w:trHeight w:val="583"/>
          <w:jc w:val="center"/>
        </w:trPr>
        <w:tc>
          <w:tcPr>
            <w:tcW w:w="1221" w:type="pct"/>
            <w:vAlign w:val="center"/>
          </w:tcPr>
          <w:p w14:paraId="696E0629" w14:textId="01954891" w:rsidR="00910DE0" w:rsidRPr="00057050" w:rsidRDefault="00BF0F11" w:rsidP="00AD4CF8">
            <w:pPr>
              <w:spacing w:after="180" w:line="240" w:lineRule="auto"/>
              <w:jc w:val="center"/>
              <w:rPr>
                <w:color w:val="000000" w:themeColor="text1"/>
                <w:sz w:val="20"/>
                <w:szCs w:val="20"/>
              </w:rPr>
            </w:pPr>
            <w:r>
              <w:rPr>
                <w:color w:val="000000" w:themeColor="text1"/>
                <w:sz w:val="20"/>
                <w:szCs w:val="20"/>
              </w:rPr>
              <w:t>First costs (Solution)</w:t>
            </w:r>
          </w:p>
        </w:tc>
        <w:tc>
          <w:tcPr>
            <w:tcW w:w="861" w:type="pct"/>
            <w:vAlign w:val="center"/>
          </w:tcPr>
          <w:p w14:paraId="3CEF4190" w14:textId="04DDC812" w:rsidR="00910DE0" w:rsidRPr="00D25FC7" w:rsidRDefault="00BF0F11" w:rsidP="00AD4CF8">
            <w:pPr>
              <w:spacing w:after="180" w:line="240" w:lineRule="auto"/>
              <w:jc w:val="center"/>
              <w:rPr>
                <w:rFonts w:eastAsia="Helvetica,Times New Roman" w:cstheme="minorHAnsi"/>
                <w:sz w:val="20"/>
                <w:szCs w:val="20"/>
              </w:rPr>
            </w:pPr>
            <w:r>
              <w:rPr>
                <w:rFonts w:eastAsia="Helvetica,Times New Roman" w:cstheme="minorHAnsi"/>
                <w:sz w:val="20"/>
                <w:szCs w:val="20"/>
              </w:rPr>
              <w:t>US$2014/MMt</w:t>
            </w:r>
          </w:p>
        </w:tc>
        <w:tc>
          <w:tcPr>
            <w:tcW w:w="861" w:type="pct"/>
            <w:vAlign w:val="center"/>
          </w:tcPr>
          <w:p w14:paraId="41B31604" w14:textId="00A24F42" w:rsidR="00910DE0" w:rsidRPr="00057050" w:rsidRDefault="00BF0F11"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r w:rsidRPr="00BF0F11">
              <w:rPr>
                <w:rFonts w:eastAsia="Helvetica,Times New Roman" w:cstheme="minorHAnsi"/>
                <w:color w:val="000000" w:themeColor="text1"/>
                <w:sz w:val="20"/>
                <w:szCs w:val="20"/>
              </w:rPr>
              <w:t>69,527,880</w:t>
            </w:r>
            <w:r>
              <w:rPr>
                <w:rFonts w:eastAsia="Helvetica,Times New Roman" w:cstheme="minorHAnsi"/>
                <w:color w:val="000000" w:themeColor="text1"/>
                <w:sz w:val="20"/>
                <w:szCs w:val="20"/>
              </w:rPr>
              <w:t xml:space="preserve"> - </w:t>
            </w:r>
            <w:r w:rsidRPr="00BF0F11">
              <w:rPr>
                <w:rFonts w:eastAsia="Helvetica,Times New Roman" w:cstheme="minorHAnsi"/>
                <w:color w:val="000000" w:themeColor="text1"/>
                <w:sz w:val="20"/>
                <w:szCs w:val="20"/>
              </w:rPr>
              <w:t xml:space="preserve"> </w:t>
            </w:r>
            <w:r>
              <w:rPr>
                <w:rFonts w:eastAsia="Helvetica,Times New Roman" w:cstheme="minorHAnsi"/>
                <w:color w:val="000000" w:themeColor="text1"/>
                <w:sz w:val="20"/>
                <w:szCs w:val="20"/>
              </w:rPr>
              <w:t>$</w:t>
            </w:r>
            <w:r w:rsidRPr="00BF0F11">
              <w:rPr>
                <w:rFonts w:eastAsia="Helvetica,Times New Roman" w:cstheme="minorHAnsi"/>
                <w:color w:val="000000" w:themeColor="text1"/>
                <w:sz w:val="20"/>
                <w:szCs w:val="20"/>
              </w:rPr>
              <w:t>78,199,302</w:t>
            </w:r>
          </w:p>
        </w:tc>
        <w:tc>
          <w:tcPr>
            <w:tcW w:w="861" w:type="pct"/>
            <w:vAlign w:val="center"/>
          </w:tcPr>
          <w:p w14:paraId="259F13A5" w14:textId="139C4F0B" w:rsidR="00910DE0" w:rsidRPr="00057050" w:rsidRDefault="00BF0F11"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r w:rsidRPr="00BF0F11">
              <w:rPr>
                <w:rFonts w:eastAsia="Helvetica,Times New Roman" w:cstheme="minorHAnsi"/>
                <w:color w:val="000000" w:themeColor="text1"/>
                <w:sz w:val="20"/>
                <w:szCs w:val="20"/>
              </w:rPr>
              <w:t>73,863,591</w:t>
            </w:r>
          </w:p>
        </w:tc>
        <w:tc>
          <w:tcPr>
            <w:tcW w:w="617" w:type="pct"/>
            <w:vAlign w:val="center"/>
          </w:tcPr>
          <w:p w14:paraId="62C158C3" w14:textId="1E5454E2" w:rsidR="00910DE0" w:rsidRPr="00057050" w:rsidRDefault="00BF0F11"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5</w:t>
            </w:r>
          </w:p>
        </w:tc>
        <w:tc>
          <w:tcPr>
            <w:tcW w:w="579" w:type="pct"/>
            <w:vAlign w:val="center"/>
          </w:tcPr>
          <w:p w14:paraId="2E77170B" w14:textId="2229C7D0" w:rsidR="00910DE0" w:rsidRPr="00057050" w:rsidRDefault="00BF0F11"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w:t>
            </w:r>
          </w:p>
        </w:tc>
      </w:tr>
    </w:tbl>
    <w:p w14:paraId="56260956" w14:textId="77777777" w:rsidR="001D17E8" w:rsidRPr="001D17E8" w:rsidRDefault="001D17E8" w:rsidP="00EB247F"/>
    <w:p w14:paraId="56F5BC32" w14:textId="65C13C64" w:rsidR="001D17E8" w:rsidRDefault="00686965" w:rsidP="00C07355">
      <w:pPr>
        <w:pStyle w:val="Heading3"/>
        <w:numPr>
          <w:ilvl w:val="2"/>
          <w:numId w:val="28"/>
        </w:numPr>
      </w:pPr>
      <w:bookmarkStart w:id="53" w:name="_Toc38211648"/>
      <w:r>
        <w:t>Technical Inputs</w:t>
      </w:r>
      <w:bookmarkEnd w:id="53"/>
    </w:p>
    <w:p w14:paraId="4136AB75" w14:textId="790A1C44" w:rsidR="006B1084" w:rsidRDefault="006B1084" w:rsidP="006B1084">
      <w:r>
        <w:t xml:space="preserve">Besides only climate- and financial-oriented variables, </w:t>
      </w:r>
      <w:r w:rsidR="00E55F46">
        <w:t>some</w:t>
      </w:r>
      <w:r>
        <w:t xml:space="preserve"> variables have been defined which apply to both climate and financial results. These are called Technical </w:t>
      </w:r>
      <w:r w:rsidR="00612982">
        <w:t>inputs and</w:t>
      </w:r>
      <w:r>
        <w:t xml:space="preserve"> are described below.</w:t>
      </w:r>
    </w:p>
    <w:p w14:paraId="46246FCA" w14:textId="77777777" w:rsidR="00993552" w:rsidRDefault="00993552" w:rsidP="00993552">
      <w:pPr>
        <w:pStyle w:val="Heading4"/>
      </w:pPr>
      <w:r>
        <w:t xml:space="preserve">Lifetime Capacity </w:t>
      </w:r>
    </w:p>
    <w:p w14:paraId="7EE184BA" w14:textId="0947D0AD" w:rsidR="00993552" w:rsidRDefault="00993552" w:rsidP="00993552">
      <w:r>
        <w:t xml:space="preserve">The lifetime of cement, when used in concrete, is highly dependent upon the application. For example, cement used to make reinforced concrete use in a building may last 50-100 years, depending upon the lifespan of the building. Yet if the cement is used to make concrete used for a road, the lifespan may be less than 40 years. The lifetime capacity </w:t>
      </w:r>
      <w:r w:rsidRPr="0047724A">
        <w:t>o</w:t>
      </w:r>
      <w:r w:rsidRPr="00391ECD">
        <w:t>f both</w:t>
      </w:r>
      <w:r w:rsidRPr="0047724A">
        <w:t xml:space="preserve"> the</w:t>
      </w:r>
      <w:r>
        <w:t xml:space="preserve"> conventional and solution technologies are assumed to be the same, since the type of cement typically does not have a significant impact on the design length of concrete. </w:t>
      </w:r>
    </w:p>
    <w:p w14:paraId="2CADC670" w14:textId="77777777" w:rsidR="00993552" w:rsidRDefault="00993552" w:rsidP="00993552">
      <w:pPr>
        <w:pStyle w:val="Heading4"/>
      </w:pPr>
      <w:r>
        <w:t>Average Annual Use</w:t>
      </w:r>
      <w:r w:rsidRPr="006B1084">
        <w:t xml:space="preserve"> </w:t>
      </w:r>
    </w:p>
    <w:p w14:paraId="21A27BB3" w14:textId="77777777" w:rsidR="00993552" w:rsidRDefault="00993552" w:rsidP="00993552">
      <w:r w:rsidRPr="00BF0F11">
        <w:t xml:space="preserve">The </w:t>
      </w:r>
      <w:r>
        <w:t>conventional and solution technologies have a ratio of 1 between the functional unit (1MMt cement) and implementation unit (1 MMt cement), thus the average annual use variable is set to 1 for the analysis.</w:t>
      </w:r>
    </w:p>
    <w:p w14:paraId="13EB54E4" w14:textId="77777777" w:rsidR="00993552" w:rsidRPr="006B1084" w:rsidRDefault="00993552" w:rsidP="006B1084"/>
    <w:p w14:paraId="3CE5966B" w14:textId="716AA5CE" w:rsidR="000875B5" w:rsidRPr="0021082B" w:rsidRDefault="000875B5" w:rsidP="00EB247F">
      <w:pPr>
        <w:pStyle w:val="Caption"/>
        <w:jc w:val="center"/>
        <w:rPr>
          <w:rFonts w:asciiTheme="majorHAnsi" w:eastAsiaTheme="majorEastAsia" w:hAnsiTheme="majorHAnsi" w:cstheme="majorBidi"/>
          <w:b/>
          <w:bCs/>
          <w:color w:val="000000" w:themeColor="text1"/>
          <w:sz w:val="23"/>
          <w:szCs w:val="23"/>
          <w:lang w:eastAsia="zh-CN"/>
        </w:rPr>
      </w:pPr>
      <w:bookmarkStart w:id="54" w:name="_Toc38211670"/>
      <w:r>
        <w:t xml:space="preserve">Table </w:t>
      </w:r>
      <w:fldSimple w:instr=" STYLEREF 1 \s ">
        <w:r w:rsidR="008F2A2C">
          <w:rPr>
            <w:noProof/>
          </w:rPr>
          <w:t>2</w:t>
        </w:r>
      </w:fldSimple>
      <w:r w:rsidR="00F36327">
        <w:t>.</w:t>
      </w:r>
      <w:fldSimple w:instr=" SEQ Table \* ARABIC \s 1 ">
        <w:r w:rsidR="008F2A2C">
          <w:rPr>
            <w:noProof/>
          </w:rPr>
          <w:t>4</w:t>
        </w:r>
      </w:fldSimple>
      <w:r>
        <w:t xml:space="preserve"> Technical  Inputs</w:t>
      </w:r>
      <w:bookmarkEnd w:id="54"/>
    </w:p>
    <w:tbl>
      <w:tblPr>
        <w:tblStyle w:val="TableGrid"/>
        <w:tblW w:w="9561" w:type="dxa"/>
        <w:jc w:val="center"/>
        <w:tblLook w:val="04A0" w:firstRow="1" w:lastRow="0" w:firstColumn="1" w:lastColumn="0" w:noHBand="0" w:noVBand="1"/>
      </w:tblPr>
      <w:tblGrid>
        <w:gridCol w:w="1992"/>
        <w:gridCol w:w="1311"/>
        <w:gridCol w:w="1795"/>
        <w:gridCol w:w="1590"/>
        <w:gridCol w:w="1493"/>
        <w:gridCol w:w="1380"/>
      </w:tblGrid>
      <w:tr w:rsidR="00E978D4" w:rsidRPr="00807D37" w14:paraId="6018AB22" w14:textId="77777777" w:rsidTr="00DA57F1">
        <w:trPr>
          <w:cantSplit/>
          <w:trHeight w:val="868"/>
          <w:tblHeader/>
          <w:jc w:val="center"/>
        </w:trPr>
        <w:tc>
          <w:tcPr>
            <w:tcW w:w="1992" w:type="dxa"/>
            <w:shd w:val="clear" w:color="auto" w:fill="4F81BD" w:themeFill="accent1"/>
            <w:vAlign w:val="center"/>
          </w:tcPr>
          <w:p w14:paraId="4EC8594B" w14:textId="77777777" w:rsidR="00E978D4" w:rsidRPr="00FB649C" w:rsidRDefault="00E978D4" w:rsidP="00AD4CF8">
            <w:pPr>
              <w:spacing w:after="180" w:line="240" w:lineRule="auto"/>
              <w:jc w:val="center"/>
              <w:rPr>
                <w:rFonts w:eastAsia="Helvetica,Times New Roman" w:cstheme="minorHAnsi"/>
                <w:b/>
                <w:color w:val="FFFFFF" w:themeColor="background1"/>
                <w:sz w:val="20"/>
                <w:szCs w:val="20"/>
              </w:rPr>
            </w:pPr>
          </w:p>
        </w:tc>
        <w:tc>
          <w:tcPr>
            <w:tcW w:w="1311" w:type="dxa"/>
            <w:shd w:val="clear" w:color="auto" w:fill="4F81BD" w:themeFill="accent1"/>
            <w:vAlign w:val="center"/>
          </w:tcPr>
          <w:p w14:paraId="2319849B" w14:textId="56E33788" w:rsidR="00E978D4" w:rsidRPr="00FB649C" w:rsidRDefault="00E978D4" w:rsidP="00AD4CF8">
            <w:pPr>
              <w:spacing w:after="180" w:line="240" w:lineRule="auto"/>
              <w:jc w:val="center"/>
              <w:rPr>
                <w:b/>
                <w:bCs/>
                <w:color w:val="FFFFFF" w:themeColor="background1"/>
                <w:sz w:val="20"/>
                <w:szCs w:val="20"/>
              </w:rPr>
            </w:pPr>
            <w:r>
              <w:rPr>
                <w:b/>
                <w:bCs/>
                <w:color w:val="FFFFFF" w:themeColor="background1"/>
                <w:sz w:val="20"/>
                <w:szCs w:val="20"/>
              </w:rPr>
              <w:t>Units</w:t>
            </w:r>
          </w:p>
        </w:tc>
        <w:tc>
          <w:tcPr>
            <w:tcW w:w="1795" w:type="dxa"/>
            <w:shd w:val="clear" w:color="auto" w:fill="4F81BD" w:themeFill="accent1"/>
            <w:vAlign w:val="center"/>
          </w:tcPr>
          <w:p w14:paraId="311DE699" w14:textId="661DD11D" w:rsidR="00E978D4" w:rsidRPr="00FB649C" w:rsidRDefault="00E978D4" w:rsidP="00AD4CF8">
            <w:pPr>
              <w:spacing w:after="180" w:line="240" w:lineRule="auto"/>
              <w:jc w:val="center"/>
              <w:rPr>
                <w:b/>
                <w:bCs/>
                <w:color w:val="FFFFFF" w:themeColor="background1"/>
                <w:sz w:val="20"/>
                <w:szCs w:val="20"/>
              </w:rPr>
            </w:pPr>
            <w:r>
              <w:rPr>
                <w:b/>
                <w:bCs/>
                <w:color w:val="FFFFFF" w:themeColor="background1"/>
                <w:sz w:val="20"/>
                <w:szCs w:val="20"/>
              </w:rPr>
              <w:t>Project Drawdown Data Set Range</w:t>
            </w:r>
          </w:p>
        </w:tc>
        <w:tc>
          <w:tcPr>
            <w:tcW w:w="1590" w:type="dxa"/>
            <w:shd w:val="clear" w:color="auto" w:fill="4F81BD" w:themeFill="accent1"/>
            <w:vAlign w:val="center"/>
          </w:tcPr>
          <w:p w14:paraId="63244B3B" w14:textId="3199A5F9" w:rsidR="00E978D4" w:rsidRPr="00FB649C" w:rsidRDefault="00E978D4" w:rsidP="00AD4CF8">
            <w:pPr>
              <w:spacing w:after="180" w:line="240" w:lineRule="auto"/>
              <w:jc w:val="center"/>
              <w:rPr>
                <w:b/>
                <w:bCs/>
                <w:color w:val="FFFFFF" w:themeColor="background1"/>
                <w:sz w:val="20"/>
                <w:szCs w:val="20"/>
              </w:rPr>
            </w:pPr>
            <w:r w:rsidRPr="00FB649C">
              <w:rPr>
                <w:b/>
                <w:bCs/>
                <w:color w:val="FFFFFF" w:themeColor="background1"/>
                <w:sz w:val="20"/>
                <w:szCs w:val="20"/>
              </w:rPr>
              <w:t>Model Input</w:t>
            </w:r>
          </w:p>
        </w:tc>
        <w:tc>
          <w:tcPr>
            <w:tcW w:w="1493" w:type="dxa"/>
            <w:shd w:val="clear" w:color="auto" w:fill="4F81BD" w:themeFill="accent1"/>
            <w:vAlign w:val="center"/>
          </w:tcPr>
          <w:p w14:paraId="0266F380" w14:textId="6CDC42DD" w:rsidR="00E978D4" w:rsidRPr="00FB649C" w:rsidRDefault="00E978D4" w:rsidP="00AD4CF8">
            <w:pPr>
              <w:spacing w:after="180" w:line="240" w:lineRule="auto"/>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1380" w:type="dxa"/>
            <w:shd w:val="clear" w:color="auto" w:fill="4F81BD" w:themeFill="accent1"/>
            <w:vAlign w:val="center"/>
          </w:tcPr>
          <w:p w14:paraId="4298198A" w14:textId="22583AB3" w:rsidR="00E978D4" w:rsidRPr="00FB649C" w:rsidRDefault="00E978D4" w:rsidP="00AD4CF8">
            <w:pPr>
              <w:spacing w:after="180" w:line="240" w:lineRule="auto"/>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E978D4" w:rsidRPr="00807D37" w14:paraId="63867CFF" w14:textId="77777777" w:rsidTr="005C77F5">
        <w:trPr>
          <w:trHeight w:val="642"/>
          <w:jc w:val="center"/>
        </w:trPr>
        <w:tc>
          <w:tcPr>
            <w:tcW w:w="1992" w:type="dxa"/>
            <w:vAlign w:val="center"/>
          </w:tcPr>
          <w:p w14:paraId="5BEA9C34" w14:textId="094ACDDF" w:rsidR="00E978D4" w:rsidRPr="00807D37" w:rsidRDefault="00E978D4" w:rsidP="00AD4CF8">
            <w:pPr>
              <w:spacing w:line="240" w:lineRule="auto"/>
              <w:jc w:val="center"/>
              <w:rPr>
                <w:color w:val="000000" w:themeColor="text1"/>
                <w:sz w:val="20"/>
                <w:szCs w:val="20"/>
              </w:rPr>
            </w:pPr>
            <w:r w:rsidRPr="00807D37">
              <w:rPr>
                <w:bCs/>
                <w:sz w:val="20"/>
                <w:szCs w:val="20"/>
              </w:rPr>
              <w:t>Lifetime Capacity (Conventional)</w:t>
            </w:r>
          </w:p>
        </w:tc>
        <w:tc>
          <w:tcPr>
            <w:tcW w:w="1311" w:type="dxa"/>
            <w:vAlign w:val="center"/>
          </w:tcPr>
          <w:p w14:paraId="78FC6EF1" w14:textId="0B56BD91" w:rsidR="00E978D4" w:rsidRPr="00E978D4" w:rsidRDefault="0032353F" w:rsidP="00AD4CF8">
            <w:pPr>
              <w:spacing w:after="180" w:line="240" w:lineRule="auto"/>
              <w:jc w:val="center"/>
              <w:rPr>
                <w:rFonts w:eastAsia="Helvetica,Times New Roman" w:cstheme="minorHAnsi"/>
                <w:color w:val="000000" w:themeColor="text1"/>
                <w:sz w:val="20"/>
                <w:szCs w:val="20"/>
              </w:rPr>
            </w:pPr>
            <w:r>
              <w:rPr>
                <w:bCs/>
                <w:i/>
                <w:color w:val="000000" w:themeColor="text1"/>
                <w:sz w:val="20"/>
                <w:szCs w:val="20"/>
              </w:rPr>
              <w:t>years</w:t>
            </w:r>
          </w:p>
        </w:tc>
        <w:tc>
          <w:tcPr>
            <w:tcW w:w="1795" w:type="dxa"/>
            <w:vAlign w:val="center"/>
          </w:tcPr>
          <w:p w14:paraId="4812F414" w14:textId="4EA38712" w:rsidR="00E978D4" w:rsidRPr="00807D37" w:rsidRDefault="00BF0F11"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30</w:t>
            </w:r>
            <w:r w:rsidR="0032353F">
              <w:rPr>
                <w:rFonts w:eastAsia="Helvetica,Times New Roman" w:cstheme="minorHAnsi"/>
                <w:color w:val="000000" w:themeColor="text1"/>
                <w:sz w:val="20"/>
                <w:szCs w:val="20"/>
              </w:rPr>
              <w:t xml:space="preserve"> – </w:t>
            </w:r>
            <w:r>
              <w:rPr>
                <w:rFonts w:eastAsia="Helvetica,Times New Roman" w:cstheme="minorHAnsi"/>
                <w:color w:val="000000" w:themeColor="text1"/>
                <w:sz w:val="20"/>
                <w:szCs w:val="20"/>
              </w:rPr>
              <w:t>60</w:t>
            </w:r>
          </w:p>
        </w:tc>
        <w:tc>
          <w:tcPr>
            <w:tcW w:w="1590" w:type="dxa"/>
            <w:vAlign w:val="center"/>
          </w:tcPr>
          <w:p w14:paraId="1A2A7431" w14:textId="4F230105" w:rsidR="00E978D4" w:rsidRPr="00807D37" w:rsidRDefault="00BF0F11"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30</w:t>
            </w:r>
          </w:p>
        </w:tc>
        <w:tc>
          <w:tcPr>
            <w:tcW w:w="1493" w:type="dxa"/>
            <w:vAlign w:val="center"/>
          </w:tcPr>
          <w:p w14:paraId="69B835DE" w14:textId="2A4FAA10" w:rsidR="00E978D4" w:rsidRPr="00807D37" w:rsidRDefault="00BF0F11"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w:t>
            </w:r>
          </w:p>
        </w:tc>
        <w:tc>
          <w:tcPr>
            <w:tcW w:w="1380" w:type="dxa"/>
            <w:vAlign w:val="center"/>
          </w:tcPr>
          <w:p w14:paraId="5AF77D15" w14:textId="4D3BF4D7" w:rsidR="00E978D4" w:rsidRPr="00807D37" w:rsidRDefault="00BF0F11" w:rsidP="00AD4CF8">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p>
        </w:tc>
      </w:tr>
      <w:tr w:rsidR="00BF0F11" w:rsidRPr="00807D37" w14:paraId="1D67C409" w14:textId="77777777" w:rsidTr="005C77F5">
        <w:trPr>
          <w:trHeight w:val="642"/>
          <w:jc w:val="center"/>
        </w:trPr>
        <w:tc>
          <w:tcPr>
            <w:tcW w:w="1992" w:type="dxa"/>
            <w:vAlign w:val="center"/>
          </w:tcPr>
          <w:p w14:paraId="5ADDAC7F" w14:textId="46973D64" w:rsidR="00BF0F11" w:rsidRPr="00807D37" w:rsidRDefault="00BF0F11" w:rsidP="00BF0F11">
            <w:pPr>
              <w:spacing w:line="240" w:lineRule="auto"/>
              <w:jc w:val="center"/>
              <w:rPr>
                <w:color w:val="000000" w:themeColor="text1"/>
                <w:sz w:val="20"/>
                <w:szCs w:val="20"/>
              </w:rPr>
            </w:pPr>
            <w:r w:rsidRPr="00807D37">
              <w:rPr>
                <w:bCs/>
                <w:sz w:val="20"/>
                <w:szCs w:val="20"/>
              </w:rPr>
              <w:t>Lifetime Capacity (</w:t>
            </w:r>
            <w:r>
              <w:rPr>
                <w:bCs/>
                <w:sz w:val="20"/>
                <w:szCs w:val="20"/>
              </w:rPr>
              <w:t>Solution</w:t>
            </w:r>
            <w:r w:rsidRPr="00807D37">
              <w:rPr>
                <w:bCs/>
                <w:sz w:val="20"/>
                <w:szCs w:val="20"/>
              </w:rPr>
              <w:t>)</w:t>
            </w:r>
          </w:p>
        </w:tc>
        <w:tc>
          <w:tcPr>
            <w:tcW w:w="1311" w:type="dxa"/>
            <w:vAlign w:val="center"/>
          </w:tcPr>
          <w:p w14:paraId="3731A45E" w14:textId="7C030E3D" w:rsidR="00BF0F11" w:rsidRPr="00E978D4" w:rsidRDefault="00BF0F11" w:rsidP="00BF0F11">
            <w:pPr>
              <w:spacing w:after="180" w:line="240" w:lineRule="auto"/>
              <w:jc w:val="center"/>
              <w:rPr>
                <w:rFonts w:eastAsia="Helvetica,Times New Roman" w:cstheme="minorHAnsi"/>
                <w:color w:val="000000" w:themeColor="text1"/>
                <w:sz w:val="20"/>
                <w:szCs w:val="20"/>
              </w:rPr>
            </w:pPr>
            <w:r>
              <w:rPr>
                <w:bCs/>
                <w:i/>
                <w:color w:val="000000" w:themeColor="text1"/>
                <w:sz w:val="20"/>
                <w:szCs w:val="20"/>
              </w:rPr>
              <w:t>years</w:t>
            </w:r>
          </w:p>
        </w:tc>
        <w:tc>
          <w:tcPr>
            <w:tcW w:w="1795" w:type="dxa"/>
            <w:vAlign w:val="center"/>
          </w:tcPr>
          <w:p w14:paraId="08234FBE" w14:textId="2D769319" w:rsidR="00BF0F11" w:rsidRPr="00807D37" w:rsidRDefault="00BF0F11" w:rsidP="00BF0F11">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30 – 60</w:t>
            </w:r>
          </w:p>
        </w:tc>
        <w:tc>
          <w:tcPr>
            <w:tcW w:w="1590" w:type="dxa"/>
            <w:vAlign w:val="center"/>
          </w:tcPr>
          <w:p w14:paraId="4DB6DDA0" w14:textId="2DC0344C" w:rsidR="00BF0F11" w:rsidRPr="00807D37" w:rsidRDefault="00BF0F11" w:rsidP="00BF0F11">
            <w:pPr>
              <w:spacing w:line="240" w:lineRule="auto"/>
              <w:jc w:val="center"/>
              <w:rPr>
                <w:bCs/>
                <w:sz w:val="20"/>
                <w:szCs w:val="20"/>
              </w:rPr>
            </w:pPr>
            <w:r>
              <w:rPr>
                <w:bCs/>
                <w:sz w:val="20"/>
                <w:szCs w:val="20"/>
              </w:rPr>
              <w:t>30</w:t>
            </w:r>
          </w:p>
        </w:tc>
        <w:tc>
          <w:tcPr>
            <w:tcW w:w="1493" w:type="dxa"/>
            <w:vAlign w:val="center"/>
          </w:tcPr>
          <w:p w14:paraId="7B612667" w14:textId="41A321AC" w:rsidR="00BF0F11" w:rsidRPr="00807D37" w:rsidRDefault="00BF0F11" w:rsidP="00BF0F11">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w:t>
            </w:r>
          </w:p>
        </w:tc>
        <w:tc>
          <w:tcPr>
            <w:tcW w:w="1380" w:type="dxa"/>
            <w:vAlign w:val="center"/>
          </w:tcPr>
          <w:p w14:paraId="590B311B" w14:textId="102CAB75" w:rsidR="00BF0F11" w:rsidRPr="00807D37" w:rsidRDefault="00BF0F11" w:rsidP="00BF0F11">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p>
        </w:tc>
      </w:tr>
      <w:tr w:rsidR="00BF0F11" w:rsidRPr="00807D37" w14:paraId="13DBCD22" w14:textId="77777777" w:rsidTr="005C77F5">
        <w:trPr>
          <w:trHeight w:val="642"/>
          <w:jc w:val="center"/>
        </w:trPr>
        <w:tc>
          <w:tcPr>
            <w:tcW w:w="1992" w:type="dxa"/>
            <w:vAlign w:val="center"/>
          </w:tcPr>
          <w:p w14:paraId="01E604F0" w14:textId="06BFBE5E" w:rsidR="00BF0F11" w:rsidRDefault="00BF0F11" w:rsidP="00BF0F11">
            <w:pPr>
              <w:spacing w:line="240" w:lineRule="auto"/>
              <w:jc w:val="center"/>
              <w:rPr>
                <w:bCs/>
                <w:sz w:val="20"/>
                <w:szCs w:val="20"/>
              </w:rPr>
            </w:pPr>
            <w:r>
              <w:rPr>
                <w:bCs/>
                <w:sz w:val="20"/>
                <w:szCs w:val="20"/>
              </w:rPr>
              <w:t>Clinker to Cement Ratio</w:t>
            </w:r>
          </w:p>
          <w:p w14:paraId="2CAD0949" w14:textId="19DAB4FB" w:rsidR="00BF0F11" w:rsidRPr="00807D37" w:rsidRDefault="00BF0F11" w:rsidP="00BF0F11">
            <w:pPr>
              <w:spacing w:line="240" w:lineRule="auto"/>
              <w:jc w:val="center"/>
              <w:rPr>
                <w:bCs/>
                <w:sz w:val="20"/>
                <w:szCs w:val="20"/>
              </w:rPr>
            </w:pPr>
            <w:r>
              <w:rPr>
                <w:bCs/>
                <w:sz w:val="20"/>
                <w:szCs w:val="20"/>
              </w:rPr>
              <w:t>(Conventional)</w:t>
            </w:r>
          </w:p>
        </w:tc>
        <w:tc>
          <w:tcPr>
            <w:tcW w:w="1311" w:type="dxa"/>
            <w:vAlign w:val="center"/>
          </w:tcPr>
          <w:p w14:paraId="0549F43D" w14:textId="2504A12C" w:rsidR="00BF0F11" w:rsidRDefault="00BF0F11" w:rsidP="00BF0F11">
            <w:pPr>
              <w:spacing w:after="180" w:line="240" w:lineRule="auto"/>
              <w:jc w:val="center"/>
              <w:rPr>
                <w:bCs/>
                <w:i/>
                <w:color w:val="000000" w:themeColor="text1"/>
                <w:sz w:val="20"/>
                <w:szCs w:val="20"/>
              </w:rPr>
            </w:pPr>
            <w:r>
              <w:rPr>
                <w:bCs/>
                <w:i/>
                <w:color w:val="000000" w:themeColor="text1"/>
                <w:sz w:val="20"/>
                <w:szCs w:val="20"/>
              </w:rPr>
              <w:t>--</w:t>
            </w:r>
          </w:p>
        </w:tc>
        <w:tc>
          <w:tcPr>
            <w:tcW w:w="1795" w:type="dxa"/>
            <w:vAlign w:val="center"/>
          </w:tcPr>
          <w:p w14:paraId="012B7CEA" w14:textId="4BAABA40" w:rsidR="00BF0F11" w:rsidRDefault="00E41D26" w:rsidP="00BF0F11">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0.62 – 0.76</w:t>
            </w:r>
          </w:p>
        </w:tc>
        <w:tc>
          <w:tcPr>
            <w:tcW w:w="1590" w:type="dxa"/>
            <w:vAlign w:val="center"/>
          </w:tcPr>
          <w:p w14:paraId="7C63CBAF" w14:textId="2C232990" w:rsidR="00BF0F11" w:rsidRDefault="00BF0F11" w:rsidP="00BF0F11">
            <w:pPr>
              <w:spacing w:line="240" w:lineRule="auto"/>
              <w:jc w:val="center"/>
              <w:rPr>
                <w:bCs/>
                <w:sz w:val="20"/>
                <w:szCs w:val="20"/>
              </w:rPr>
            </w:pPr>
            <w:r>
              <w:rPr>
                <w:bCs/>
                <w:sz w:val="20"/>
                <w:szCs w:val="20"/>
              </w:rPr>
              <w:t>Variable based upon scenario</w:t>
            </w:r>
          </w:p>
        </w:tc>
        <w:tc>
          <w:tcPr>
            <w:tcW w:w="1493" w:type="dxa"/>
            <w:vAlign w:val="center"/>
          </w:tcPr>
          <w:p w14:paraId="1B89FF00" w14:textId="67AD65DE" w:rsidR="00BF0F11" w:rsidRDefault="00E41D26" w:rsidP="00BF0F11">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13</w:t>
            </w:r>
          </w:p>
        </w:tc>
        <w:tc>
          <w:tcPr>
            <w:tcW w:w="1380" w:type="dxa"/>
            <w:vAlign w:val="center"/>
          </w:tcPr>
          <w:p w14:paraId="18085CC6" w14:textId="6FB8069C" w:rsidR="00BF0F11" w:rsidRDefault="00E41D26" w:rsidP="00BF0F11">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w:t>
            </w:r>
          </w:p>
        </w:tc>
      </w:tr>
      <w:tr w:rsidR="00BF0F11" w:rsidRPr="00807D37" w14:paraId="5C0B3E5A" w14:textId="77777777" w:rsidTr="005C77F5">
        <w:trPr>
          <w:trHeight w:val="642"/>
          <w:jc w:val="center"/>
        </w:trPr>
        <w:tc>
          <w:tcPr>
            <w:tcW w:w="1992" w:type="dxa"/>
            <w:vAlign w:val="center"/>
          </w:tcPr>
          <w:p w14:paraId="751590E0" w14:textId="77777777" w:rsidR="00BF0F11" w:rsidRDefault="00BF0F11" w:rsidP="00BF0F11">
            <w:pPr>
              <w:spacing w:line="240" w:lineRule="auto"/>
              <w:jc w:val="center"/>
              <w:rPr>
                <w:bCs/>
                <w:sz w:val="20"/>
                <w:szCs w:val="20"/>
              </w:rPr>
            </w:pPr>
            <w:r>
              <w:rPr>
                <w:bCs/>
                <w:sz w:val="20"/>
                <w:szCs w:val="20"/>
              </w:rPr>
              <w:t>Clinker to Cement Ratio</w:t>
            </w:r>
          </w:p>
          <w:p w14:paraId="69257E2B" w14:textId="4B6EE510" w:rsidR="00BF0F11" w:rsidRPr="00807D37" w:rsidRDefault="00BF0F11" w:rsidP="00BF0F11">
            <w:pPr>
              <w:spacing w:line="240" w:lineRule="auto"/>
              <w:jc w:val="center"/>
              <w:rPr>
                <w:bCs/>
                <w:sz w:val="20"/>
                <w:szCs w:val="20"/>
              </w:rPr>
            </w:pPr>
            <w:r>
              <w:rPr>
                <w:bCs/>
                <w:sz w:val="20"/>
                <w:szCs w:val="20"/>
              </w:rPr>
              <w:t>(Solution)</w:t>
            </w:r>
          </w:p>
        </w:tc>
        <w:tc>
          <w:tcPr>
            <w:tcW w:w="1311" w:type="dxa"/>
            <w:vAlign w:val="center"/>
          </w:tcPr>
          <w:p w14:paraId="5E66162E" w14:textId="6C4E7FAB" w:rsidR="00BF0F11" w:rsidRDefault="00BF0F11" w:rsidP="00BF0F11">
            <w:pPr>
              <w:spacing w:after="180" w:line="240" w:lineRule="auto"/>
              <w:jc w:val="center"/>
              <w:rPr>
                <w:bCs/>
                <w:i/>
                <w:color w:val="000000" w:themeColor="text1"/>
                <w:sz w:val="20"/>
                <w:szCs w:val="20"/>
              </w:rPr>
            </w:pPr>
            <w:r>
              <w:rPr>
                <w:bCs/>
                <w:i/>
                <w:color w:val="000000" w:themeColor="text1"/>
                <w:sz w:val="20"/>
                <w:szCs w:val="20"/>
              </w:rPr>
              <w:t>--</w:t>
            </w:r>
          </w:p>
        </w:tc>
        <w:tc>
          <w:tcPr>
            <w:tcW w:w="1795" w:type="dxa"/>
            <w:vAlign w:val="center"/>
          </w:tcPr>
          <w:p w14:paraId="0D6DC565" w14:textId="7B33A0BC" w:rsidR="00BF0F11" w:rsidRDefault="00E41D26" w:rsidP="00BF0F11">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0.27 – 0.71</w:t>
            </w:r>
          </w:p>
        </w:tc>
        <w:tc>
          <w:tcPr>
            <w:tcW w:w="1590" w:type="dxa"/>
            <w:vAlign w:val="center"/>
          </w:tcPr>
          <w:p w14:paraId="473A6FA2" w14:textId="75F1E505" w:rsidR="00BF0F11" w:rsidRDefault="00BF0F11" w:rsidP="00BF0F11">
            <w:pPr>
              <w:spacing w:line="240" w:lineRule="auto"/>
              <w:jc w:val="center"/>
              <w:rPr>
                <w:bCs/>
                <w:sz w:val="20"/>
                <w:szCs w:val="20"/>
              </w:rPr>
            </w:pPr>
            <w:r>
              <w:rPr>
                <w:bCs/>
                <w:sz w:val="20"/>
                <w:szCs w:val="20"/>
              </w:rPr>
              <w:t>Variable based upon scenario</w:t>
            </w:r>
          </w:p>
        </w:tc>
        <w:tc>
          <w:tcPr>
            <w:tcW w:w="1493" w:type="dxa"/>
            <w:vAlign w:val="center"/>
          </w:tcPr>
          <w:p w14:paraId="27D97FAE" w14:textId="1AFB20B7" w:rsidR="00BF0F11" w:rsidRDefault="00E41D26" w:rsidP="00BF0F11">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27</w:t>
            </w:r>
          </w:p>
        </w:tc>
        <w:tc>
          <w:tcPr>
            <w:tcW w:w="1380" w:type="dxa"/>
            <w:vAlign w:val="center"/>
          </w:tcPr>
          <w:p w14:paraId="5E040A47" w14:textId="6422378E" w:rsidR="00BF0F11" w:rsidRDefault="00E41D26" w:rsidP="00BF0F11">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10</w:t>
            </w:r>
          </w:p>
        </w:tc>
      </w:tr>
      <w:tr w:rsidR="000E604A" w:rsidRPr="00807D37" w14:paraId="669E3AC7" w14:textId="77777777" w:rsidTr="005C77F5">
        <w:trPr>
          <w:trHeight w:val="642"/>
          <w:jc w:val="center"/>
        </w:trPr>
        <w:tc>
          <w:tcPr>
            <w:tcW w:w="1992" w:type="dxa"/>
            <w:vAlign w:val="center"/>
          </w:tcPr>
          <w:p w14:paraId="1403C842" w14:textId="74F60FE8" w:rsidR="000E604A" w:rsidRDefault="000E604A" w:rsidP="00BF0F11">
            <w:pPr>
              <w:spacing w:line="240" w:lineRule="auto"/>
              <w:jc w:val="center"/>
              <w:rPr>
                <w:bCs/>
                <w:sz w:val="20"/>
                <w:szCs w:val="20"/>
              </w:rPr>
            </w:pPr>
            <w:r>
              <w:rPr>
                <w:bCs/>
                <w:sz w:val="20"/>
                <w:szCs w:val="20"/>
              </w:rPr>
              <w:t>Average Annual Use</w:t>
            </w:r>
          </w:p>
        </w:tc>
        <w:tc>
          <w:tcPr>
            <w:tcW w:w="1311" w:type="dxa"/>
            <w:vAlign w:val="center"/>
          </w:tcPr>
          <w:p w14:paraId="70263E67" w14:textId="256EAA96" w:rsidR="000E604A" w:rsidRDefault="000E604A" w:rsidP="00BF0F11">
            <w:pPr>
              <w:spacing w:after="180" w:line="240" w:lineRule="auto"/>
              <w:jc w:val="center"/>
              <w:rPr>
                <w:bCs/>
                <w:i/>
                <w:color w:val="000000" w:themeColor="text1"/>
                <w:sz w:val="20"/>
                <w:szCs w:val="20"/>
              </w:rPr>
            </w:pPr>
            <w:r>
              <w:rPr>
                <w:bCs/>
                <w:i/>
                <w:color w:val="000000" w:themeColor="text1"/>
                <w:sz w:val="20"/>
                <w:szCs w:val="20"/>
              </w:rPr>
              <w:t>MMt cement</w:t>
            </w:r>
          </w:p>
        </w:tc>
        <w:tc>
          <w:tcPr>
            <w:tcW w:w="1795" w:type="dxa"/>
            <w:vAlign w:val="center"/>
          </w:tcPr>
          <w:p w14:paraId="0634D8A0" w14:textId="7C811D36" w:rsidR="000E604A" w:rsidRDefault="000E604A" w:rsidP="00BF0F11">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p>
        </w:tc>
        <w:tc>
          <w:tcPr>
            <w:tcW w:w="1590" w:type="dxa"/>
            <w:vAlign w:val="center"/>
          </w:tcPr>
          <w:p w14:paraId="3467387C" w14:textId="2F26A6F3" w:rsidR="000E604A" w:rsidRDefault="000E604A" w:rsidP="00BF0F11">
            <w:pPr>
              <w:spacing w:line="240" w:lineRule="auto"/>
              <w:jc w:val="center"/>
              <w:rPr>
                <w:bCs/>
                <w:sz w:val="20"/>
                <w:szCs w:val="20"/>
              </w:rPr>
            </w:pPr>
            <w:r>
              <w:rPr>
                <w:bCs/>
                <w:sz w:val="20"/>
                <w:szCs w:val="20"/>
              </w:rPr>
              <w:t>1</w:t>
            </w:r>
          </w:p>
        </w:tc>
        <w:tc>
          <w:tcPr>
            <w:tcW w:w="1493" w:type="dxa"/>
            <w:vAlign w:val="center"/>
          </w:tcPr>
          <w:p w14:paraId="76EEB606" w14:textId="7436BEC4" w:rsidR="000E604A" w:rsidRDefault="000E604A" w:rsidP="00BF0F11">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p>
        </w:tc>
        <w:tc>
          <w:tcPr>
            <w:tcW w:w="1380" w:type="dxa"/>
            <w:vAlign w:val="center"/>
          </w:tcPr>
          <w:p w14:paraId="3ECA013C" w14:textId="27ADD493" w:rsidR="000E604A" w:rsidRDefault="000E604A" w:rsidP="00BF0F11">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p>
        </w:tc>
      </w:tr>
    </w:tbl>
    <w:p w14:paraId="4E32D218" w14:textId="12B11079" w:rsidR="00B144E5" w:rsidRDefault="00686965" w:rsidP="00C07355">
      <w:pPr>
        <w:pStyle w:val="Heading2"/>
        <w:numPr>
          <w:ilvl w:val="1"/>
          <w:numId w:val="28"/>
        </w:numPr>
      </w:pPr>
      <w:bookmarkStart w:id="55" w:name="_Toc38211649"/>
      <w:r>
        <w:t>Assumptions</w:t>
      </w:r>
      <w:bookmarkEnd w:id="55"/>
    </w:p>
    <w:p w14:paraId="1C71D5EB" w14:textId="2367BBBC" w:rsidR="00E33621" w:rsidRPr="00D8238F" w:rsidRDefault="00E33621" w:rsidP="00EB247F">
      <w:pPr>
        <w:spacing w:after="240"/>
      </w:pPr>
      <w:r w:rsidRPr="00D8238F">
        <w:t>Six overarching assumptions have been made for Project Drawdown models</w:t>
      </w:r>
      <w:r>
        <w:t xml:space="preserve"> to enable the development and integration of individual model solutions. These are that infrastructure required for solution is available and in-place, policies required are already in-place, no carbon price is modeled, all costs accrue at the level of agency </w:t>
      </w:r>
      <w:r w:rsidRPr="005C77F5">
        <w:t xml:space="preserve">modeled, improvements in technology are not modeled, and that first costs may change according to learning. Full details of core assumptions and methodology will be available at </w:t>
      </w:r>
      <w:hyperlink r:id="rId19" w:history="1">
        <w:r w:rsidRPr="005C77F5">
          <w:rPr>
            <w:rStyle w:val="Hyperlink"/>
          </w:rPr>
          <w:t>www.drawdown.org</w:t>
        </w:r>
      </w:hyperlink>
      <w:r w:rsidRPr="005C77F5">
        <w:t>. Beyond these core assumptions, there are other important assumptions made for the modeling of this specific solution. These are detailed below</w:t>
      </w:r>
      <w:r w:rsidR="00612982">
        <w:t>:</w:t>
      </w:r>
    </w:p>
    <w:p w14:paraId="25892B66" w14:textId="6733AC88" w:rsidR="00147A36" w:rsidRDefault="00147A36" w:rsidP="00147A36">
      <w:pPr>
        <w:pStyle w:val="ListParagraph"/>
        <w:numPr>
          <w:ilvl w:val="0"/>
          <w:numId w:val="10"/>
        </w:numPr>
        <w:ind w:left="426" w:hanging="426"/>
      </w:pPr>
      <w:r>
        <w:t xml:space="preserve">This model does not specify the exact type of non-clinker material that is used to produce cement. Global supplies of many commonly used supplementary cementitious materials (e.g., fly ash and slag) </w:t>
      </w:r>
      <w:r w:rsidR="00612982">
        <w:t>may</w:t>
      </w:r>
      <w:r>
        <w:t xml:space="preserve"> not be readily available in the future. Additional low-CO</w:t>
      </w:r>
      <w:r w:rsidRPr="00147A36">
        <w:rPr>
          <w:vertAlign w:val="subscript"/>
        </w:rPr>
        <w:t>2</w:t>
      </w:r>
      <w:r>
        <w:t xml:space="preserve"> technology, such as limestone-calcined clay cement systems exist, although they are not currently adopted widely. This model assumes that there is sufficient supply of non-clinker materials in all regions of the world, and only models a reduction of clinker content.</w:t>
      </w:r>
    </w:p>
    <w:p w14:paraId="0E51B896" w14:textId="217ADDB3" w:rsidR="0032353F" w:rsidRPr="00B9196D" w:rsidRDefault="00147A36" w:rsidP="0032353F">
      <w:pPr>
        <w:pStyle w:val="ListParagraph"/>
        <w:numPr>
          <w:ilvl w:val="0"/>
          <w:numId w:val="10"/>
        </w:numPr>
        <w:ind w:left="426" w:hanging="426"/>
      </w:pPr>
      <w:r>
        <w:t xml:space="preserve"> Carbonation is a well-studied phenomenon in cement sustainability </w:t>
      </w:r>
      <w:r>
        <w:fldChar w:fldCharType="begin"/>
      </w:r>
      <w:r>
        <w:instrText xml:space="preserve"> ADDIN ZOTERO_ITEM CSL_CITATION {"citationID":"mxTvAe1R","properties":{"formattedCitation":"(Souto-Martinez et al., 2017)","plainCitation":"(Souto-Martinez et al., 2017)","noteIndex":0},"citationItems":[{"id":4343,"uris":["http://zotero.org/users/5284806/items/N4AH3EBE"],"uri":["http://zotero.org/users/5284806/items/N4AH3EBE"],"itemData":{"id":4343,"type":"article-journal","abstract":"A simple mathematical model that calculates the theoretical carbon sequestration potential of exposed ordinary portland cement (OPC) concrete is presented, validated, and implemented herein. OPC concrete sequesters non-trivial amounts of carbon dioxide (CO2) via carbonation – a chemical reaction between cement paste and atmospheric CO2. Formulated by the reaction chemistries of cement hydration and carbonation, the model accounts for cement type and content, exposure, time, and type and quantity of supplementary cementitious materials (SCMs). Once validated with data from literature, the model is implemented to investigate the effect of these factors and the inﬂuence of compressive strength and geometry, namely surface-area-to-volume (SA/V) ratio, on total carbon sequestration (kg CO2) of exposed concrete elements. Results demonstrate that (a) low tetracalcium aluminoferrite (C4AF) cements, (b) compressive strength, (c) high CO2 exposure, (d) no SCMs, (e) time, (f) high SA/V ratios, and (g) indoor environments enhance the in situ carbon sequestration of exposed OPC concrete.","container-title":"Construction and Building Materials","DOI":"10.1016/j.conbuildmat.2017.04.133","ISSN":"09500618","journalAbbreviation":"Construction and Building Materials","language":"en","page":"417-427","source":"DOI.org (Crossref)","title":"A mathematical model for predicting the carbon sequestration potential of ordinary portland cement (OPC) concrete","volume":"147","author":[{"family":"Souto-Martinez","given":"Adriana"},{"family":"Delesky","given":"Elizabeth A."},{"family":"Foster","given":"Kyle E.O."},{"family":"Srubar","given":"Wil V."}],"issued":{"date-parts":[["2017",8]]}}}],"schema":"https://github.com/citation-style-language/schema/raw/master/csl-citation.json"} </w:instrText>
      </w:r>
      <w:r>
        <w:fldChar w:fldCharType="separate"/>
      </w:r>
      <w:r>
        <w:rPr>
          <w:noProof/>
        </w:rPr>
        <w:t>(Souto-Martinez et al., 2017)</w:t>
      </w:r>
      <w:r>
        <w:fldChar w:fldCharType="end"/>
      </w:r>
      <w:r>
        <w:t xml:space="preserve"> and has been shown to sequester a non-</w:t>
      </w:r>
      <w:r w:rsidR="00612982">
        <w:t>trivial</w:t>
      </w:r>
      <w:r>
        <w:t xml:space="preserve"> amount of carbon dioxide at the global scale </w:t>
      </w:r>
      <w:r>
        <w:fldChar w:fldCharType="begin"/>
      </w:r>
      <w:r w:rsidR="00AF53EB">
        <w:instrText xml:space="preserve"> ADDIN ZOTERO_ITEM CSL_CITATION {"citationID":"UTVlAgx0","properties":{"formattedCitation":"(Xi et al., 2016)","plainCitation":"(Xi et al., 2016)","noteIndex":0},"citationItems":[{"id":5987,"uris":["http://zotero.org/groups/2241940/items/D347W9VK"],"uri":["http://zotero.org/groups/2241940/items/D347W9VK"],"itemData":{"id":5987,"type":"article-journal","container-title":"Nature Geoscience","DOI":"10.1038/ngeo2840","ISSN":"1752-0894, 1752-0908","issue":"12","journalAbbreviation":"Nature Geosci","language":"en","page":"880-883","source":"DOI.org (Crossref)","title":"Substantial global carbon uptake by cement carbonation","volume":"9","author":[{"family":"Xi","given":"Fengming"},{"family":"Davis","given":"Steven J."},{"family":"Ciais","given":"Philippe"},{"family":"Crawford-Brown","given":"Douglas"},{"family":"Guan","given":"Dabo"},{"family":"Pade","given":"Claus"},{"family":"Shi","given":"Tiemao"},{"family":"Syddall","given":"Mark"},{"family":"Lv","given":"Jie"},{"family":"Ji","given":"Lanzhu"},{"family":"Bing","given":"Longfei"},{"family":"Wang","given":"Jiaoyue"},{"family":"Wei","given":"Wei"},{"family":"Yang","given":"Keun-Hyeok"},{"family":"Lagerblad","given":"Björn"},{"family":"Galan","given":"Isabel"},{"family":"Andrade","given":"Carmen"},{"family":"Zhang","given":"Ying"},{"family":"Liu","given":"Zhu"}],"issued":{"date-parts":[["2016",12]]}}}],"schema":"https://github.com/citation-style-language/schema/raw/master/csl-citation.json"} </w:instrText>
      </w:r>
      <w:r>
        <w:fldChar w:fldCharType="separate"/>
      </w:r>
      <w:r w:rsidR="00AF53EB">
        <w:rPr>
          <w:noProof/>
        </w:rPr>
        <w:t>(Xi et al., 2016)</w:t>
      </w:r>
      <w:r>
        <w:fldChar w:fldCharType="end"/>
      </w:r>
      <w:r>
        <w:t xml:space="preserve">. This analysis </w:t>
      </w:r>
      <w:r w:rsidR="00506737">
        <w:t>excludes carbonation from its scope since the extent of concrete carbonation is difficult to model at the global</w:t>
      </w:r>
      <w:r w:rsidR="00CA1F10">
        <w:t xml:space="preserve"> scal</w:t>
      </w:r>
      <w:r w:rsidR="000E604A">
        <w:t>e</w:t>
      </w:r>
      <w:r w:rsidR="00506737">
        <w:t>.</w:t>
      </w:r>
    </w:p>
    <w:p w14:paraId="7022FC4D" w14:textId="57356160" w:rsidR="0032353F" w:rsidRDefault="00767429" w:rsidP="0032353F">
      <w:pPr>
        <w:pStyle w:val="ListParagraph"/>
        <w:numPr>
          <w:ilvl w:val="0"/>
          <w:numId w:val="10"/>
        </w:numPr>
        <w:ind w:left="426" w:hanging="426"/>
      </w:pPr>
      <w:r>
        <w:t>Alternative fuels, such as biomass, are not considered by the model. The model assumes that coal will continue to be the primary fuel type used by the cement industry because of the high temperatures required to calcine limestone.</w:t>
      </w:r>
    </w:p>
    <w:p w14:paraId="35E57F09" w14:textId="096F268D" w:rsidR="00767429" w:rsidRPr="00B9196D" w:rsidRDefault="00767429" w:rsidP="0032353F">
      <w:pPr>
        <w:pStyle w:val="ListParagraph"/>
        <w:numPr>
          <w:ilvl w:val="0"/>
          <w:numId w:val="10"/>
        </w:numPr>
        <w:ind w:left="426" w:hanging="426"/>
      </w:pPr>
      <w:r>
        <w:t xml:space="preserve">Only low-clinker cements are considered in the analysis; alternative cement systems (e.g., belite cements and alkali-activated cements) are ignored. </w:t>
      </w:r>
      <w:r w:rsidR="00DF70A4">
        <w:t xml:space="preserve">Although </w:t>
      </w:r>
      <w:r>
        <w:t xml:space="preserve">alternative cement systems have been shown to be viable as a technology, they do not have large market shares and </w:t>
      </w:r>
      <w:r w:rsidR="00DF70A4">
        <w:t xml:space="preserve">therefore </w:t>
      </w:r>
      <w:r>
        <w:t>are not included in the analysis</w:t>
      </w:r>
      <w:r w:rsidR="00DF70A4">
        <w:t xml:space="preserve">. However, </w:t>
      </w:r>
      <w:r>
        <w:t>they do have significant potential to reduce carbon dioxide emissions.</w:t>
      </w:r>
    </w:p>
    <w:p w14:paraId="04FBF2E3" w14:textId="6267BB18" w:rsidR="009D118F" w:rsidRDefault="00686965" w:rsidP="00C07355">
      <w:pPr>
        <w:pStyle w:val="Heading2"/>
        <w:numPr>
          <w:ilvl w:val="1"/>
          <w:numId w:val="28"/>
        </w:numPr>
      </w:pPr>
      <w:bookmarkStart w:id="56" w:name="_Ref32579763"/>
      <w:bookmarkStart w:id="57" w:name="_Toc38211650"/>
      <w:r>
        <w:t>Integration</w:t>
      </w:r>
      <w:bookmarkEnd w:id="56"/>
      <w:bookmarkEnd w:id="57"/>
    </w:p>
    <w:p w14:paraId="4F1C20E8" w14:textId="5D99E45A" w:rsidR="0032353F" w:rsidRPr="00DC3559" w:rsidRDefault="0032353F" w:rsidP="0032353F">
      <w:r w:rsidRPr="00DC3559">
        <w:t xml:space="preserve">The </w:t>
      </w:r>
      <w:r>
        <w:t xml:space="preserve">complete Project Drawdown integration documentation (will be available at </w:t>
      </w:r>
      <w:hyperlink r:id="rId20" w:history="1">
        <w:r w:rsidRPr="00835538">
          <w:rPr>
            <w:rStyle w:val="Hyperlink"/>
          </w:rPr>
          <w:t>www.drawdown.org</w:t>
        </w:r>
      </w:hyperlink>
      <w:r>
        <w:t xml:space="preserve">) details how all solution models in each sector are integrated, and how sectors are integrated to form a complete system. Those general notes are excluded from this document but should be referenced for a </w:t>
      </w:r>
      <w:r w:rsidR="001D384E" w:rsidRPr="000829DC">
        <w:rPr>
          <w:rStyle w:val="Hyperlink"/>
          <w:noProof/>
        </w:rPr>
        <mc:AlternateContent>
          <mc:Choice Requires="wps">
            <w:drawing>
              <wp:anchor distT="0" distB="0" distL="114300" distR="114300" simplePos="0" relativeHeight="251659264" behindDoc="0" locked="0" layoutInCell="1" allowOverlap="1" wp14:anchorId="77771319" wp14:editId="7AB6F2A1">
                <wp:simplePos x="0" y="0"/>
                <wp:positionH relativeFrom="page">
                  <wp:posOffset>1031875</wp:posOffset>
                </wp:positionH>
                <wp:positionV relativeFrom="page">
                  <wp:posOffset>-141700885</wp:posOffset>
                </wp:positionV>
                <wp:extent cx="6248400" cy="8201025"/>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24486F" w:rsidRPr="00E91BE1" w:rsidRDefault="0024486F" w:rsidP="00FB2C53">
                            <w:pPr>
                              <w:spacing w:line="240" w:lineRule="auto"/>
                              <w:jc w:val="center"/>
                              <w:rPr>
                                <w:b/>
                                <w:smallCaps/>
                                <w:color w:val="404040" w:themeColor="text1" w:themeTint="BF"/>
                                <w:sz w:val="48"/>
                                <w:szCs w:val="48"/>
                              </w:rPr>
                            </w:pPr>
                            <w:r w:rsidRPr="00E91BE1">
                              <w:rPr>
                                <w:b/>
                                <w:smallCaps/>
                                <w:color w:val="404040" w:themeColor="text1" w:themeTint="BF"/>
                                <w:sz w:val="48"/>
                                <w:szCs w:val="48"/>
                              </w:rPr>
                              <w:t>Technical assessment for</w:t>
                            </w:r>
                          </w:p>
                          <w:p w14:paraId="01CDCF1D" w14:textId="6E1EEEEB" w:rsidR="0024486F" w:rsidRPr="00E91BE1" w:rsidRDefault="0024486F" w:rsidP="00FB2C53">
                            <w:pPr>
                              <w:spacing w:line="240" w:lineRule="auto"/>
                              <w:jc w:val="center"/>
                              <w:rPr>
                                <w:b/>
                                <w:smallCaps/>
                                <w:color w:val="404040" w:themeColor="text1" w:themeTint="BF"/>
                                <w:sz w:val="48"/>
                                <w:szCs w:val="48"/>
                              </w:rPr>
                            </w:pPr>
                            <w:r>
                              <w:rPr>
                                <w:b/>
                                <w:smallCaps/>
                                <w:color w:val="404040" w:themeColor="text1" w:themeTint="BF"/>
                                <w:sz w:val="48"/>
                                <w:szCs w:val="48"/>
                              </w:rPr>
                              <w:t>Alternative Cements</w:t>
                            </w:r>
                          </w:p>
                          <w:p w14:paraId="6774E85B" w14:textId="77777777" w:rsidR="0024486F" w:rsidRPr="00EB247F" w:rsidRDefault="0024486F" w:rsidP="00EB247F">
                            <w:pPr>
                              <w:spacing w:line="240" w:lineRule="auto"/>
                              <w:jc w:val="center"/>
                              <w:rPr>
                                <w:smallCaps/>
                                <w:color w:val="404040" w:themeColor="text1" w:themeTint="BF"/>
                                <w:sz w:val="36"/>
                                <w:szCs w:val="36"/>
                              </w:rPr>
                            </w:pPr>
                          </w:p>
                          <w:p w14:paraId="4699D449" w14:textId="7DFB3D42" w:rsidR="0024486F" w:rsidRPr="00E91BE1" w:rsidRDefault="0024486F" w:rsidP="00FB2C53">
                            <w:pPr>
                              <w:spacing w:line="240" w:lineRule="auto"/>
                              <w:jc w:val="center"/>
                              <w:rPr>
                                <w:smallCaps/>
                                <w:color w:val="404040" w:themeColor="text1" w:themeTint="BF"/>
                                <w:sz w:val="36"/>
                                <w:szCs w:val="36"/>
                              </w:rPr>
                            </w:pPr>
                            <w:r w:rsidRPr="00E91BE1">
                              <w:rPr>
                                <w:smallCaps/>
                                <w:color w:val="404040" w:themeColor="text1" w:themeTint="BF"/>
                                <w:sz w:val="36"/>
                                <w:szCs w:val="36"/>
                              </w:rPr>
                              <w:t>Sector:</w:t>
                            </w:r>
                            <w:r>
                              <w:rPr>
                                <w:smallCaps/>
                                <w:color w:val="404040" w:themeColor="text1" w:themeTint="BF"/>
                                <w:sz w:val="36"/>
                                <w:szCs w:val="36"/>
                              </w:rPr>
                              <w:t xml:space="preserve"> Materials</w:t>
                            </w:r>
                          </w:p>
                          <w:p w14:paraId="1671E118" w14:textId="4199AEAF" w:rsidR="0024486F" w:rsidRPr="00E91BE1" w:rsidRDefault="0024486F" w:rsidP="00FB2C53">
                            <w:pPr>
                              <w:spacing w:line="240" w:lineRule="auto"/>
                              <w:jc w:val="center"/>
                              <w:rPr>
                                <w:smallCaps/>
                                <w:color w:val="404040" w:themeColor="text1" w:themeTint="BF"/>
                                <w:sz w:val="36"/>
                                <w:szCs w:val="36"/>
                              </w:rPr>
                            </w:pPr>
                            <w:r w:rsidRPr="00E91BE1">
                              <w:rPr>
                                <w:smallCaps/>
                                <w:color w:val="404040" w:themeColor="text1" w:themeTint="BF"/>
                                <w:sz w:val="36"/>
                                <w:szCs w:val="36"/>
                              </w:rPr>
                              <w:t>Agency Level:</w:t>
                            </w:r>
                          </w:p>
                          <w:p w14:paraId="6DF0E7C6" w14:textId="3BBC0996" w:rsidR="0024486F" w:rsidRDefault="0024486F" w:rsidP="002E3A2F">
                            <w:pPr>
                              <w:spacing w:line="240" w:lineRule="auto"/>
                              <w:jc w:val="center"/>
                            </w:pPr>
                            <w:r w:rsidRPr="00E91BE1">
                              <w:rPr>
                                <w:smallCaps/>
                                <w:color w:val="404040" w:themeColor="text1" w:themeTint="BF"/>
                                <w:sz w:val="36"/>
                                <w:szCs w:val="36"/>
                              </w:rPr>
                              <w:t>Keywords:</w:t>
                            </w:r>
                            <w:r>
                              <w:rPr>
                                <w:smallCaps/>
                                <w:color w:val="404040" w:themeColor="text1" w:themeTint="BF"/>
                                <w:sz w:val="36"/>
                                <w:szCs w:val="36"/>
                              </w:rPr>
                              <w:t xml:space="preserve"> sustainable concrete, fly ash, clinker, cement production</w:t>
                            </w:r>
                          </w:p>
                          <w:p w14:paraId="4DF87617" w14:textId="77777777" w:rsidR="0024486F" w:rsidRDefault="0024486F" w:rsidP="00FB2C53"/>
                          <w:p w14:paraId="4FD71E35" w14:textId="77777777" w:rsidR="0024486F" w:rsidRDefault="0024486F" w:rsidP="00FB2C53"/>
                          <w:p w14:paraId="0AAEA688" w14:textId="77777777" w:rsidR="0024486F" w:rsidRDefault="0024486F" w:rsidP="00FB2C53"/>
                          <w:p w14:paraId="693769A0" w14:textId="77777777" w:rsidR="0024486F" w:rsidRPr="00E91BE1" w:rsidRDefault="0024486F" w:rsidP="00FB2C53">
                            <w:pPr>
                              <w:spacing w:line="240" w:lineRule="auto"/>
                              <w:jc w:val="center"/>
                              <w:rPr>
                                <w:smallCaps/>
                                <w:color w:val="404040" w:themeColor="text1" w:themeTint="BF"/>
                                <w:sz w:val="36"/>
                                <w:szCs w:val="36"/>
                              </w:rPr>
                            </w:pPr>
                            <w:r w:rsidRPr="00E91BE1">
                              <w:rPr>
                                <w:smallCaps/>
                                <w:color w:val="404040" w:themeColor="text1" w:themeTint="BF"/>
                                <w:sz w:val="36"/>
                                <w:szCs w:val="36"/>
                              </w:rPr>
                              <w:t>Book Edition 1</w:t>
                            </w:r>
                          </w:p>
                          <w:p w14:paraId="0DDBFE23" w14:textId="77777777" w:rsidR="0024486F" w:rsidRPr="000829DC" w:rsidRDefault="0024486F" w:rsidP="00FB2C53"/>
                          <w:p w14:paraId="4BB1447A" w14:textId="77777777" w:rsidR="0024486F" w:rsidRDefault="0024486F" w:rsidP="00FB2C53"/>
                          <w:p w14:paraId="6A9CEC43" w14:textId="77777777" w:rsidR="0024486F" w:rsidRDefault="0024486F" w:rsidP="00FB2C53"/>
                          <w:p w14:paraId="2120AE6B" w14:textId="77777777" w:rsidR="0024486F" w:rsidRDefault="0024486F" w:rsidP="00FB2C53"/>
                          <w:p w14:paraId="7DCFFDCF" w14:textId="77777777" w:rsidR="0024486F" w:rsidRDefault="0024486F" w:rsidP="00FB2C53"/>
                          <w:p w14:paraId="2F48DE38" w14:textId="77777777" w:rsidR="0024486F" w:rsidRPr="000829DC" w:rsidRDefault="0024486F" w:rsidP="00FB2C53"/>
                          <w:p w14:paraId="1981D31A" w14:textId="77777777" w:rsidR="0024486F" w:rsidRPr="00E91BE1" w:rsidRDefault="0024486F" w:rsidP="00FB2C53">
                            <w:pPr>
                              <w:spacing w:line="240" w:lineRule="auto"/>
                              <w:rPr>
                                <w:b/>
                                <w:smallCaps/>
                                <w:color w:val="404040" w:themeColor="text1" w:themeTint="BF"/>
                                <w:sz w:val="28"/>
                                <w:szCs w:val="28"/>
                              </w:rPr>
                            </w:pPr>
                            <w:r w:rsidRPr="00E91BE1">
                              <w:rPr>
                                <w:b/>
                                <w:smallCaps/>
                                <w:color w:val="404040" w:themeColor="text1" w:themeTint="BF"/>
                                <w:sz w:val="28"/>
                                <w:szCs w:val="28"/>
                              </w:rPr>
                              <w:t>Prepared by:</w:t>
                            </w:r>
                          </w:p>
                          <w:p w14:paraId="248C4E3C" w14:textId="0FB15309" w:rsidR="0024486F" w:rsidRDefault="0024486F" w:rsidP="00FB2C53">
                            <w:pPr>
                              <w:spacing w:line="240" w:lineRule="auto"/>
                              <w:rPr>
                                <w:smallCaps/>
                                <w:color w:val="404040" w:themeColor="text1" w:themeTint="BF"/>
                                <w:sz w:val="28"/>
                                <w:szCs w:val="28"/>
                              </w:rPr>
                            </w:pPr>
                            <w:r>
                              <w:rPr>
                                <w:smallCaps/>
                                <w:color w:val="404040" w:themeColor="text1" w:themeTint="BF"/>
                                <w:sz w:val="28"/>
                                <w:szCs w:val="28"/>
                              </w:rPr>
                              <w:t>Jay H. Arehart, Research Fellow</w:t>
                            </w:r>
                          </w:p>
                          <w:p w14:paraId="2535DC57" w14:textId="6771B172" w:rsidR="0024486F" w:rsidRPr="00E91BE1" w:rsidRDefault="0024486F" w:rsidP="00FB2C53">
                            <w:pPr>
                              <w:spacing w:line="240" w:lineRule="auto"/>
                              <w:rPr>
                                <w:smallCaps/>
                                <w:color w:val="404040" w:themeColor="text1" w:themeTint="BF"/>
                                <w:sz w:val="28"/>
                                <w:szCs w:val="28"/>
                              </w:rPr>
                            </w:pPr>
                            <w:r>
                              <w:rPr>
                                <w:smallCaps/>
                                <w:color w:val="404040" w:themeColor="text1" w:themeTint="BF"/>
                                <w:sz w:val="28"/>
                                <w:szCs w:val="28"/>
                              </w:rPr>
                              <w:t>Ryan Allard, Senior Research Fellow</w:t>
                            </w:r>
                          </w:p>
                          <w:p w14:paraId="6C4588F0" w14:textId="77777777" w:rsidR="0024486F" w:rsidRPr="00EB247F" w:rsidRDefault="0024486F" w:rsidP="000829DC">
                            <w:pPr>
                              <w:rPr>
                                <w:smallCaps/>
                                <w:color w:val="404040" w:themeColor="text1" w:themeTint="BF"/>
                              </w:rPr>
                            </w:pPr>
                          </w:p>
                          <w:p w14:paraId="1C3CFB47" w14:textId="77777777" w:rsidR="0024486F" w:rsidRPr="00EB247F" w:rsidRDefault="0024486F" w:rsidP="007864AB">
                            <w:pPr>
                              <w:rPr>
                                <w:smallCaps/>
                                <w:color w:val="404040" w:themeColor="text1" w:themeTint="BF"/>
                              </w:rPr>
                            </w:pPr>
                          </w:p>
                          <w:p w14:paraId="4481356F" w14:textId="6C098178" w:rsidR="0024486F" w:rsidRPr="00EB247F" w:rsidRDefault="0024486F" w:rsidP="007864AB">
                            <w:pPr>
                              <w:rPr>
                                <w:smallCaps/>
                                <w:color w:val="404040" w:themeColor="text1" w:themeTint="BF"/>
                              </w:rPr>
                            </w:pPr>
                            <w:r w:rsidRPr="00EB247F">
                              <w:rPr>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24486F" w:rsidRPr="00E6531F" w:rsidRDefault="0024486F"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21"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22"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24486F" w:rsidRPr="00E6531F" w:rsidRDefault="0024486F" w:rsidP="00C81D94">
                            <w:pPr>
                              <w:rPr>
                                <w:smallCaps/>
                                <w:color w:val="404040" w:themeColor="text1" w:themeTint="BF"/>
                                <w:sz w:val="36"/>
                                <w:szCs w:val="36"/>
                                <w:lang w:val="pt-PT"/>
                              </w:rPr>
                            </w:pPr>
                          </w:p>
                          <w:p w14:paraId="3D97FBF6" w14:textId="77777777" w:rsidR="0024486F" w:rsidRPr="00E6531F" w:rsidRDefault="0024486F" w:rsidP="00C81D94">
                            <w:pPr>
                              <w:rPr>
                                <w:smallCaps/>
                                <w:color w:val="404040" w:themeColor="text1" w:themeTint="BF"/>
                                <w:sz w:val="36"/>
                                <w:szCs w:val="36"/>
                                <w:lang w:val="pt-PT"/>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771319" id="Text Box 154" o:spid="_x0000_s1027" type="#_x0000_t202" style="position:absolute;margin-left:81.25pt;margin-top:-11157.55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9bqgQIAAGcFAAAOAAAAZHJzL2Uyb0RvYy54bWysVE1v2zAMvQ/YfxB0X51kSZEFcYqsRYcB&#13;&#10;RVusHXpWZCkxJomapMTOfv1I2U6LbpcOu8g0+UTx45HLi9YadlAh1uBKPj4bcaachKp225J/f7z+&#13;&#10;MOcsJuEqYcCpkh9V5Ber9++WjV+oCezAVCowdOLiovEl36XkF0UR5U5ZEc/AK4dGDcGKhL9hW1RB&#13;&#10;NOjdmmIyGp0XDYTKB5AqRtRedUa+yv61VjLdaR1VYqbkGFvKZ8jnhs5itRSLbRB+V8s+DPEPUVhR&#13;&#10;O3z05OpKJMH2of7Dla1lgAg6nUmwBWhdS5VzwGzGo1fZPOyEVzkXLE70pzLF/+dW3h7uA6sr7N1s&#13;&#10;ypkTFpv0qNrEPkPLSIcVanxcIPDBIzS1aED0oI+opMRbHSx9MSWGdqz18VRfcidReT6ZzqcjNEm0&#13;&#10;zSnhyYz8FM/XfYjpiwLLSCh5wAbmuorDTUwddIDQaw6ua2NyE41jDT7xcTbKF04WdG4cYVWmQ++G&#13;&#10;UupCz1I6GkUY474pjeXIGZAiE1FdmsAOAikkpFQu5eSzX0QTSmMQb7nY45+jesvlLo/hZXDpdNnW&#13;&#10;DkLO/lXY1Y8hZN3hseYv8iYxtZu248HQ2Q1UR2x4gG5oopfXNTblRsR0LwJOCTYSJz/d4aENYPGh&#13;&#10;lzjbQfj1Nz3hkbxo5azBqSt5/LkXQXFmvjqk9afxdEpjmn9QCFk4n8/mRJvNoHZ7ewnYjjEuFy+z&#13;&#10;SOBkBlEHsE+4Gdb0HJqEk/hoyTeDeJm6JYCbRar1OoNwIr1IN+7BS3JN3SGuPbZPIviekAm5fAvD&#13;&#10;YIrFK152WLrpYL1PoOtMWipwV86+8DjNmfb95qF18fI/o5734+o3AAAA//8DAFBLAwQUAAYACAAA&#13;&#10;ACEA3BFPAOgAAAAXAQAADwAAAGRycy9kb3ducmV2LnhtbExPy07DMBC8I/EP1iJxax2nNEAap6pA&#13;&#10;iBtSA6rUmxu7TqgfUewm4e/ZnOCy0szOzs4U28kaMqg+tN5xYMsEiHK1l63THL4+3xZPQEIUTgrj&#13;&#10;neLwowJsy9ubQuTSj26vhipqgiYu5IJDE2OXUxrqRlkRlr5TDndn31sREfaayl6MaG4NTZMko1a0&#13;&#10;Dj80olMvjaov1dVyaJ/fq0EfzscPo024fE+7x06PnN/fTa8bHLsNkKim+HcBcwfMDyUGO/mrk4EY&#13;&#10;xFm6RimHRZqu2JoBmUXsIUP2NLMsSVcZ0LKg//uUvwAAAP//AwBQSwECLQAUAAYACAAAACEAtoM4&#13;&#10;kv4AAADhAQAAEwAAAAAAAAAAAAAAAAAAAAAAW0NvbnRlbnRfVHlwZXNdLnhtbFBLAQItABQABgAI&#13;&#10;AAAAIQA4/SH/1gAAAJQBAAALAAAAAAAAAAAAAAAAAC8BAABfcmVscy8ucmVsc1BLAQItABQABgAI&#13;&#10;AAAAIQBg49bqgQIAAGcFAAAOAAAAAAAAAAAAAAAAAC4CAABkcnMvZTJvRG9jLnhtbFBLAQItABQA&#13;&#10;BgAIAAAAIQDcEU8A6AAAABcBAAAPAAAAAAAAAAAAAAAAANsEAABkcnMvZG93bnJldi54bWxQSwUG&#13;&#10;AAAAAAQABADzAAAA8AUAAAAA&#13;&#10;" filled="f" stroked="f" strokeweight=".5pt">
                <v:textbox inset=",0,54pt,0">
                  <w:txbxContent>
                    <w:p w14:paraId="3A69A438" w14:textId="77777777" w:rsidR="0024486F" w:rsidRPr="00E91BE1" w:rsidRDefault="0024486F" w:rsidP="00FB2C53">
                      <w:pPr>
                        <w:spacing w:line="240" w:lineRule="auto"/>
                        <w:jc w:val="center"/>
                        <w:rPr>
                          <w:b/>
                          <w:smallCaps/>
                          <w:color w:val="404040" w:themeColor="text1" w:themeTint="BF"/>
                          <w:sz w:val="48"/>
                          <w:szCs w:val="48"/>
                        </w:rPr>
                      </w:pPr>
                      <w:r w:rsidRPr="00E91BE1">
                        <w:rPr>
                          <w:b/>
                          <w:smallCaps/>
                          <w:color w:val="404040" w:themeColor="text1" w:themeTint="BF"/>
                          <w:sz w:val="48"/>
                          <w:szCs w:val="48"/>
                        </w:rPr>
                        <w:t>Technical assessment for</w:t>
                      </w:r>
                    </w:p>
                    <w:p w14:paraId="01CDCF1D" w14:textId="6E1EEEEB" w:rsidR="0024486F" w:rsidRPr="00E91BE1" w:rsidRDefault="0024486F" w:rsidP="00FB2C53">
                      <w:pPr>
                        <w:spacing w:line="240" w:lineRule="auto"/>
                        <w:jc w:val="center"/>
                        <w:rPr>
                          <w:b/>
                          <w:smallCaps/>
                          <w:color w:val="404040" w:themeColor="text1" w:themeTint="BF"/>
                          <w:sz w:val="48"/>
                          <w:szCs w:val="48"/>
                        </w:rPr>
                      </w:pPr>
                      <w:r>
                        <w:rPr>
                          <w:b/>
                          <w:smallCaps/>
                          <w:color w:val="404040" w:themeColor="text1" w:themeTint="BF"/>
                          <w:sz w:val="48"/>
                          <w:szCs w:val="48"/>
                        </w:rPr>
                        <w:t>Alternative Cements</w:t>
                      </w:r>
                    </w:p>
                    <w:p w14:paraId="6774E85B" w14:textId="77777777" w:rsidR="0024486F" w:rsidRPr="00EB247F" w:rsidRDefault="0024486F" w:rsidP="00EB247F">
                      <w:pPr>
                        <w:spacing w:line="240" w:lineRule="auto"/>
                        <w:jc w:val="center"/>
                        <w:rPr>
                          <w:smallCaps/>
                          <w:color w:val="404040" w:themeColor="text1" w:themeTint="BF"/>
                          <w:sz w:val="36"/>
                          <w:szCs w:val="36"/>
                        </w:rPr>
                      </w:pPr>
                    </w:p>
                    <w:p w14:paraId="4699D449" w14:textId="7DFB3D42" w:rsidR="0024486F" w:rsidRPr="00E91BE1" w:rsidRDefault="0024486F" w:rsidP="00FB2C53">
                      <w:pPr>
                        <w:spacing w:line="240" w:lineRule="auto"/>
                        <w:jc w:val="center"/>
                        <w:rPr>
                          <w:smallCaps/>
                          <w:color w:val="404040" w:themeColor="text1" w:themeTint="BF"/>
                          <w:sz w:val="36"/>
                          <w:szCs w:val="36"/>
                        </w:rPr>
                      </w:pPr>
                      <w:r w:rsidRPr="00E91BE1">
                        <w:rPr>
                          <w:smallCaps/>
                          <w:color w:val="404040" w:themeColor="text1" w:themeTint="BF"/>
                          <w:sz w:val="36"/>
                          <w:szCs w:val="36"/>
                        </w:rPr>
                        <w:t>Sector:</w:t>
                      </w:r>
                      <w:r>
                        <w:rPr>
                          <w:smallCaps/>
                          <w:color w:val="404040" w:themeColor="text1" w:themeTint="BF"/>
                          <w:sz w:val="36"/>
                          <w:szCs w:val="36"/>
                        </w:rPr>
                        <w:t xml:space="preserve"> Materials</w:t>
                      </w:r>
                    </w:p>
                    <w:p w14:paraId="1671E118" w14:textId="4199AEAF" w:rsidR="0024486F" w:rsidRPr="00E91BE1" w:rsidRDefault="0024486F" w:rsidP="00FB2C53">
                      <w:pPr>
                        <w:spacing w:line="240" w:lineRule="auto"/>
                        <w:jc w:val="center"/>
                        <w:rPr>
                          <w:smallCaps/>
                          <w:color w:val="404040" w:themeColor="text1" w:themeTint="BF"/>
                          <w:sz w:val="36"/>
                          <w:szCs w:val="36"/>
                        </w:rPr>
                      </w:pPr>
                      <w:r w:rsidRPr="00E91BE1">
                        <w:rPr>
                          <w:smallCaps/>
                          <w:color w:val="404040" w:themeColor="text1" w:themeTint="BF"/>
                          <w:sz w:val="36"/>
                          <w:szCs w:val="36"/>
                        </w:rPr>
                        <w:t>Agency Level:</w:t>
                      </w:r>
                    </w:p>
                    <w:p w14:paraId="6DF0E7C6" w14:textId="3BBC0996" w:rsidR="0024486F" w:rsidRDefault="0024486F" w:rsidP="002E3A2F">
                      <w:pPr>
                        <w:spacing w:line="240" w:lineRule="auto"/>
                        <w:jc w:val="center"/>
                      </w:pPr>
                      <w:r w:rsidRPr="00E91BE1">
                        <w:rPr>
                          <w:smallCaps/>
                          <w:color w:val="404040" w:themeColor="text1" w:themeTint="BF"/>
                          <w:sz w:val="36"/>
                          <w:szCs w:val="36"/>
                        </w:rPr>
                        <w:t>Keywords:</w:t>
                      </w:r>
                      <w:r>
                        <w:rPr>
                          <w:smallCaps/>
                          <w:color w:val="404040" w:themeColor="text1" w:themeTint="BF"/>
                          <w:sz w:val="36"/>
                          <w:szCs w:val="36"/>
                        </w:rPr>
                        <w:t xml:space="preserve"> sustainable concrete, fly ash, clinker, cement production</w:t>
                      </w:r>
                    </w:p>
                    <w:p w14:paraId="4DF87617" w14:textId="77777777" w:rsidR="0024486F" w:rsidRDefault="0024486F" w:rsidP="00FB2C53"/>
                    <w:p w14:paraId="4FD71E35" w14:textId="77777777" w:rsidR="0024486F" w:rsidRDefault="0024486F" w:rsidP="00FB2C53"/>
                    <w:p w14:paraId="0AAEA688" w14:textId="77777777" w:rsidR="0024486F" w:rsidRDefault="0024486F" w:rsidP="00FB2C53"/>
                    <w:p w14:paraId="693769A0" w14:textId="77777777" w:rsidR="0024486F" w:rsidRPr="00E91BE1" w:rsidRDefault="0024486F" w:rsidP="00FB2C53">
                      <w:pPr>
                        <w:spacing w:line="240" w:lineRule="auto"/>
                        <w:jc w:val="center"/>
                        <w:rPr>
                          <w:smallCaps/>
                          <w:color w:val="404040" w:themeColor="text1" w:themeTint="BF"/>
                          <w:sz w:val="36"/>
                          <w:szCs w:val="36"/>
                        </w:rPr>
                      </w:pPr>
                      <w:r w:rsidRPr="00E91BE1">
                        <w:rPr>
                          <w:smallCaps/>
                          <w:color w:val="404040" w:themeColor="text1" w:themeTint="BF"/>
                          <w:sz w:val="36"/>
                          <w:szCs w:val="36"/>
                        </w:rPr>
                        <w:t>Book Edition 1</w:t>
                      </w:r>
                    </w:p>
                    <w:p w14:paraId="0DDBFE23" w14:textId="77777777" w:rsidR="0024486F" w:rsidRPr="000829DC" w:rsidRDefault="0024486F" w:rsidP="00FB2C53"/>
                    <w:p w14:paraId="4BB1447A" w14:textId="77777777" w:rsidR="0024486F" w:rsidRDefault="0024486F" w:rsidP="00FB2C53"/>
                    <w:p w14:paraId="6A9CEC43" w14:textId="77777777" w:rsidR="0024486F" w:rsidRDefault="0024486F" w:rsidP="00FB2C53"/>
                    <w:p w14:paraId="2120AE6B" w14:textId="77777777" w:rsidR="0024486F" w:rsidRDefault="0024486F" w:rsidP="00FB2C53"/>
                    <w:p w14:paraId="7DCFFDCF" w14:textId="77777777" w:rsidR="0024486F" w:rsidRDefault="0024486F" w:rsidP="00FB2C53"/>
                    <w:p w14:paraId="2F48DE38" w14:textId="77777777" w:rsidR="0024486F" w:rsidRPr="000829DC" w:rsidRDefault="0024486F" w:rsidP="00FB2C53"/>
                    <w:p w14:paraId="1981D31A" w14:textId="77777777" w:rsidR="0024486F" w:rsidRPr="00E91BE1" w:rsidRDefault="0024486F" w:rsidP="00FB2C53">
                      <w:pPr>
                        <w:spacing w:line="240" w:lineRule="auto"/>
                        <w:rPr>
                          <w:b/>
                          <w:smallCaps/>
                          <w:color w:val="404040" w:themeColor="text1" w:themeTint="BF"/>
                          <w:sz w:val="28"/>
                          <w:szCs w:val="28"/>
                        </w:rPr>
                      </w:pPr>
                      <w:r w:rsidRPr="00E91BE1">
                        <w:rPr>
                          <w:b/>
                          <w:smallCaps/>
                          <w:color w:val="404040" w:themeColor="text1" w:themeTint="BF"/>
                          <w:sz w:val="28"/>
                          <w:szCs w:val="28"/>
                        </w:rPr>
                        <w:t>Prepared by:</w:t>
                      </w:r>
                    </w:p>
                    <w:p w14:paraId="248C4E3C" w14:textId="0FB15309" w:rsidR="0024486F" w:rsidRDefault="0024486F" w:rsidP="00FB2C53">
                      <w:pPr>
                        <w:spacing w:line="240" w:lineRule="auto"/>
                        <w:rPr>
                          <w:smallCaps/>
                          <w:color w:val="404040" w:themeColor="text1" w:themeTint="BF"/>
                          <w:sz w:val="28"/>
                          <w:szCs w:val="28"/>
                        </w:rPr>
                      </w:pPr>
                      <w:r>
                        <w:rPr>
                          <w:smallCaps/>
                          <w:color w:val="404040" w:themeColor="text1" w:themeTint="BF"/>
                          <w:sz w:val="28"/>
                          <w:szCs w:val="28"/>
                        </w:rPr>
                        <w:t>Jay H. Arehart, Research Fellow</w:t>
                      </w:r>
                    </w:p>
                    <w:p w14:paraId="2535DC57" w14:textId="6771B172" w:rsidR="0024486F" w:rsidRPr="00E91BE1" w:rsidRDefault="0024486F" w:rsidP="00FB2C53">
                      <w:pPr>
                        <w:spacing w:line="240" w:lineRule="auto"/>
                        <w:rPr>
                          <w:smallCaps/>
                          <w:color w:val="404040" w:themeColor="text1" w:themeTint="BF"/>
                          <w:sz w:val="28"/>
                          <w:szCs w:val="28"/>
                        </w:rPr>
                      </w:pPr>
                      <w:r>
                        <w:rPr>
                          <w:smallCaps/>
                          <w:color w:val="404040" w:themeColor="text1" w:themeTint="BF"/>
                          <w:sz w:val="28"/>
                          <w:szCs w:val="28"/>
                        </w:rPr>
                        <w:t>Ryan Allard, Senior Research Fellow</w:t>
                      </w:r>
                    </w:p>
                    <w:p w14:paraId="6C4588F0" w14:textId="77777777" w:rsidR="0024486F" w:rsidRPr="00EB247F" w:rsidRDefault="0024486F" w:rsidP="000829DC">
                      <w:pPr>
                        <w:rPr>
                          <w:smallCaps/>
                          <w:color w:val="404040" w:themeColor="text1" w:themeTint="BF"/>
                        </w:rPr>
                      </w:pPr>
                    </w:p>
                    <w:p w14:paraId="1C3CFB47" w14:textId="77777777" w:rsidR="0024486F" w:rsidRPr="00EB247F" w:rsidRDefault="0024486F" w:rsidP="007864AB">
                      <w:pPr>
                        <w:rPr>
                          <w:smallCaps/>
                          <w:color w:val="404040" w:themeColor="text1" w:themeTint="BF"/>
                        </w:rPr>
                      </w:pPr>
                    </w:p>
                    <w:p w14:paraId="4481356F" w14:textId="6C098178" w:rsidR="0024486F" w:rsidRPr="00EB247F" w:rsidRDefault="0024486F" w:rsidP="007864AB">
                      <w:pPr>
                        <w:rPr>
                          <w:smallCaps/>
                          <w:color w:val="404040" w:themeColor="text1" w:themeTint="BF"/>
                        </w:rPr>
                      </w:pPr>
                      <w:r w:rsidRPr="00EB247F">
                        <w:rPr>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12">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24486F" w:rsidRPr="00E6531F" w:rsidRDefault="0024486F"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26"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27"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24486F" w:rsidRPr="00E6531F" w:rsidRDefault="0024486F" w:rsidP="00C81D94">
                      <w:pPr>
                        <w:rPr>
                          <w:smallCaps/>
                          <w:color w:val="404040" w:themeColor="text1" w:themeTint="BF"/>
                          <w:sz w:val="36"/>
                          <w:szCs w:val="36"/>
                          <w:lang w:val="pt-PT"/>
                        </w:rPr>
                      </w:pPr>
                    </w:p>
                    <w:p w14:paraId="3D97FBF6" w14:textId="77777777" w:rsidR="0024486F" w:rsidRPr="00E6531F" w:rsidRDefault="0024486F" w:rsidP="00C81D94">
                      <w:pPr>
                        <w:rPr>
                          <w:smallCaps/>
                          <w:color w:val="404040" w:themeColor="text1" w:themeTint="BF"/>
                          <w:sz w:val="36"/>
                          <w:szCs w:val="36"/>
                          <w:lang w:val="pt-PT"/>
                        </w:rPr>
                      </w:pPr>
                    </w:p>
                  </w:txbxContent>
                </v:textbox>
                <w10:wrap type="square" anchorx="page" anchory="page"/>
              </v:shape>
            </w:pict>
          </mc:Fallback>
        </mc:AlternateContent>
      </w:r>
      <w:r>
        <w:t>complete understanding of the integration process. Only key elements of the integration process that are needed to understand how this solution fits into the entire system are described here.</w:t>
      </w:r>
    </w:p>
    <w:p w14:paraId="0ED84BEA" w14:textId="1C46BFF4" w:rsidR="009D118F" w:rsidRDefault="00686965" w:rsidP="00C07355">
      <w:pPr>
        <w:pStyle w:val="Heading2"/>
        <w:numPr>
          <w:ilvl w:val="1"/>
          <w:numId w:val="28"/>
        </w:numPr>
      </w:pPr>
      <w:bookmarkStart w:id="58" w:name="_Toc38211651"/>
      <w:r>
        <w:t>Limitations/Further Development</w:t>
      </w:r>
      <w:bookmarkEnd w:id="58"/>
    </w:p>
    <w:p w14:paraId="613EABD6" w14:textId="35A04C2E" w:rsidR="00C31AD9" w:rsidRPr="00C31AD9" w:rsidRDefault="00C31AD9" w:rsidP="00C31AD9">
      <w:r>
        <w:t xml:space="preserve">This analysis does not robustly evaluate the </w:t>
      </w:r>
      <w:r w:rsidR="00996073">
        <w:t xml:space="preserve">potential limitations of the </w:t>
      </w:r>
      <w:r>
        <w:t>supply of non-clinker materials used in cement. Regionally, certain precursor materials may have larger supplies than others, and thus different indirect emissions. This model averages across all indirect emissions for the solution technology and does not take into account the increased adoption of any particular clinker alternative. This limitation serves as an opportunity to develop regional models to evaluate the potential to use local clinker-alternatives to create cement. Additionally, no end-of-life climate impacts from cement were modeled. It is assumed that only the “cradle-to-gate” emissions profiles of the conventional and solution technologies vary. Inclusion of end-of-life impacts may change the extent to which alternative cements can reduce carbon dioxide emissions but due to a lack of data, these life cycle stages were ignored.</w:t>
      </w:r>
    </w:p>
    <w:p w14:paraId="7CAFC693" w14:textId="4A2F7BD1" w:rsidR="007C645A" w:rsidRPr="005C77F5" w:rsidRDefault="551A77D0" w:rsidP="00C07355">
      <w:pPr>
        <w:pStyle w:val="Heading1"/>
        <w:numPr>
          <w:ilvl w:val="0"/>
          <w:numId w:val="28"/>
        </w:numPr>
      </w:pPr>
      <w:bookmarkStart w:id="59" w:name="_Toc38211652"/>
      <w:r>
        <w:t>Results</w:t>
      </w:r>
      <w:bookmarkEnd w:id="59"/>
    </w:p>
    <w:p w14:paraId="7E39F2AB" w14:textId="79101C06" w:rsidR="00B261E0" w:rsidRDefault="007C645A" w:rsidP="00C07355">
      <w:pPr>
        <w:pStyle w:val="Heading2"/>
        <w:numPr>
          <w:ilvl w:val="1"/>
          <w:numId w:val="28"/>
        </w:numPr>
      </w:pPr>
      <w:bookmarkStart w:id="60" w:name="_Toc38211653"/>
      <w:r>
        <w:t>Adoption</w:t>
      </w:r>
      <w:bookmarkEnd w:id="60"/>
    </w:p>
    <w:p w14:paraId="6D4E98ED" w14:textId="40285ADC" w:rsidR="00EA0157" w:rsidRPr="00EA0157" w:rsidRDefault="0032353F" w:rsidP="0032353F">
      <w:pPr>
        <w:rPr>
          <w:lang w:eastAsia="zh-CN"/>
        </w:rPr>
      </w:pPr>
      <w:r w:rsidRPr="00DC3559">
        <w:rPr>
          <w:lang w:eastAsia="zh-CN"/>
        </w:rPr>
        <w:t xml:space="preserve">Below are shown the </w:t>
      </w:r>
      <w:r>
        <w:rPr>
          <w:lang w:eastAsia="zh-CN"/>
        </w:rPr>
        <w:t xml:space="preserve">world </w:t>
      </w:r>
      <w:r w:rsidRPr="00DC3559">
        <w:rPr>
          <w:lang w:eastAsia="zh-CN"/>
        </w:rPr>
        <w:t>adoptions of the solution in some key years of analysis in functional units and percent</w:t>
      </w:r>
      <w:r>
        <w:rPr>
          <w:lang w:eastAsia="zh-CN"/>
        </w:rPr>
        <w:t xml:space="preserve"> for the three Project Drawdown scenarios</w:t>
      </w:r>
      <w:r w:rsidRPr="00DC3559">
        <w:rPr>
          <w:lang w:eastAsia="zh-CN"/>
        </w:rPr>
        <w:t xml:space="preserve">. </w:t>
      </w:r>
      <w:r w:rsidR="00EA0157">
        <w:rPr>
          <w:lang w:eastAsia="zh-CN"/>
        </w:rPr>
        <w:t>Adoption</w:t>
      </w:r>
      <w:r w:rsidR="0047724A">
        <w:rPr>
          <w:lang w:eastAsia="zh-CN"/>
        </w:rPr>
        <w:t xml:space="preserve"> of Alternative Cements</w:t>
      </w:r>
      <w:r w:rsidR="00EA0157">
        <w:rPr>
          <w:lang w:eastAsia="zh-CN"/>
        </w:rPr>
        <w:t xml:space="preserve"> is modeled through the clinker-to-cement ratio</w:t>
      </w:r>
      <w:r w:rsidR="0047724A">
        <w:rPr>
          <w:lang w:eastAsia="zh-CN"/>
        </w:rPr>
        <w:t>. Thus, the total adoption of the TAM is 100%, with the clinker-to-cement ratio in 2050 being variable for each PDS. Furthermore, the adoption is assumed to be linear between 2020 and 2050</w:t>
      </w:r>
      <w:r w:rsidR="00EA0157">
        <w:rPr>
          <w:lang w:eastAsia="zh-CN"/>
        </w:rPr>
        <w:t xml:space="preserve">. </w:t>
      </w:r>
    </w:p>
    <w:p w14:paraId="21183A78" w14:textId="775B9644" w:rsidR="008D1491" w:rsidRDefault="008D1491" w:rsidP="00EB247F">
      <w:pPr>
        <w:pStyle w:val="Caption"/>
        <w:jc w:val="center"/>
      </w:pPr>
      <w:bookmarkStart w:id="61" w:name="_Toc38211671"/>
      <w:r>
        <w:t xml:space="preserve">Table </w:t>
      </w:r>
      <w:fldSimple w:instr=" STYLEREF 1 \s ">
        <w:r w:rsidR="008F2A2C">
          <w:rPr>
            <w:noProof/>
          </w:rPr>
          <w:t>3</w:t>
        </w:r>
      </w:fldSimple>
      <w:r w:rsidR="00F36327">
        <w:t>.</w:t>
      </w:r>
      <w:fldSimple w:instr=" SEQ Table \* ARABIC \s 1 ">
        <w:r w:rsidR="008F2A2C">
          <w:rPr>
            <w:noProof/>
          </w:rPr>
          <w:t>1</w:t>
        </w:r>
      </w:fldSimple>
      <w:r>
        <w:t xml:space="preserve"> </w:t>
      </w:r>
      <w:r w:rsidR="005C77F5">
        <w:t xml:space="preserve">World </w:t>
      </w:r>
      <w:r>
        <w:t>Adoption</w:t>
      </w:r>
      <w:r w:rsidR="005C77F5">
        <w:t xml:space="preserve"> of the Solution</w:t>
      </w:r>
      <w:bookmarkEnd w:id="61"/>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32353F" w:rsidRPr="008D1491" w14:paraId="3FFD2090" w14:textId="77777777" w:rsidTr="00DA57F1">
        <w:trPr>
          <w:cantSplit/>
          <w:trHeight w:val="48"/>
          <w:tblHeader/>
        </w:trPr>
        <w:tc>
          <w:tcPr>
            <w:tcW w:w="1951" w:type="dxa"/>
            <w:vMerge w:val="restart"/>
            <w:shd w:val="clear" w:color="auto" w:fill="4F81BD" w:themeFill="accent1"/>
            <w:vAlign w:val="center"/>
          </w:tcPr>
          <w:p w14:paraId="71879AD5" w14:textId="3CA30AF5" w:rsidR="0032353F" w:rsidRPr="005C77F5" w:rsidRDefault="0032353F" w:rsidP="00AD4CF8">
            <w:pPr>
              <w:spacing w:line="240" w:lineRule="auto"/>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730" w:type="dxa"/>
            <w:vMerge w:val="restart"/>
            <w:shd w:val="clear" w:color="auto" w:fill="4F81BD" w:themeFill="accent1"/>
            <w:vAlign w:val="center"/>
          </w:tcPr>
          <w:p w14:paraId="736EA4CB" w14:textId="55E81B77" w:rsidR="0032353F" w:rsidRPr="005C77F5" w:rsidRDefault="0032353F" w:rsidP="00AD4CF8">
            <w:pPr>
              <w:spacing w:line="240" w:lineRule="auto"/>
              <w:jc w:val="center"/>
              <w:rPr>
                <w:b/>
                <w:bCs/>
                <w:iCs/>
                <w:color w:val="FFFFFF" w:themeColor="background1"/>
                <w:sz w:val="20"/>
                <w:szCs w:val="20"/>
              </w:rPr>
            </w:pPr>
            <w:r>
              <w:rPr>
                <w:b/>
                <w:bCs/>
                <w:iCs/>
                <w:color w:val="FFFFFF" w:themeColor="background1"/>
                <w:sz w:val="20"/>
                <w:szCs w:val="20"/>
              </w:rPr>
              <w:t>Units</w:t>
            </w:r>
          </w:p>
        </w:tc>
        <w:tc>
          <w:tcPr>
            <w:tcW w:w="1276" w:type="dxa"/>
            <w:vMerge w:val="restart"/>
            <w:shd w:val="clear" w:color="auto" w:fill="4F81BD" w:themeFill="accent1"/>
            <w:vAlign w:val="center"/>
          </w:tcPr>
          <w:p w14:paraId="7A4BC7EC" w14:textId="17C4C3B7" w:rsidR="0032353F" w:rsidRPr="005C77F5" w:rsidRDefault="0032353F" w:rsidP="00AD4CF8">
            <w:pPr>
              <w:spacing w:line="240" w:lineRule="auto"/>
              <w:jc w:val="center"/>
              <w:rPr>
                <w:b/>
                <w:bCs/>
                <w:color w:val="FFFFFF" w:themeColor="background1"/>
                <w:sz w:val="20"/>
                <w:szCs w:val="20"/>
              </w:rPr>
            </w:pPr>
            <w:r w:rsidRPr="005C77F5">
              <w:rPr>
                <w:b/>
                <w:bCs/>
                <w:iCs/>
                <w:color w:val="FFFFFF" w:themeColor="background1"/>
                <w:sz w:val="20"/>
                <w:szCs w:val="20"/>
              </w:rPr>
              <w:t xml:space="preserve">Base Year </w:t>
            </w:r>
            <w:r w:rsidRPr="005C77F5">
              <w:rPr>
                <w:b/>
                <w:bCs/>
                <w:color w:val="FFFFFF" w:themeColor="background1"/>
                <w:sz w:val="20"/>
                <w:szCs w:val="20"/>
              </w:rPr>
              <w:t xml:space="preserve"> (20</w:t>
            </w:r>
            <w:r w:rsidR="0047724A">
              <w:rPr>
                <w:b/>
                <w:bCs/>
                <w:color w:val="FFFFFF" w:themeColor="background1"/>
                <w:sz w:val="20"/>
                <w:szCs w:val="20"/>
              </w:rPr>
              <w:t>20</w:t>
            </w:r>
            <w:r w:rsidRPr="005C77F5">
              <w:rPr>
                <w:b/>
                <w:bCs/>
                <w:color w:val="FFFFFF" w:themeColor="background1"/>
                <w:sz w:val="20"/>
                <w:szCs w:val="20"/>
              </w:rPr>
              <w:t>)</w:t>
            </w:r>
          </w:p>
        </w:tc>
        <w:tc>
          <w:tcPr>
            <w:tcW w:w="4260" w:type="dxa"/>
            <w:gridSpan w:val="3"/>
            <w:shd w:val="clear" w:color="auto" w:fill="4F81BD" w:themeFill="accent1"/>
            <w:vAlign w:val="center"/>
          </w:tcPr>
          <w:p w14:paraId="1BAFBD47" w14:textId="1AD40332" w:rsidR="0032353F" w:rsidRPr="005C77F5" w:rsidRDefault="0032353F" w:rsidP="00AD4CF8">
            <w:pPr>
              <w:spacing w:line="240" w:lineRule="auto"/>
              <w:jc w:val="center"/>
              <w:rPr>
                <w:b/>
                <w:bCs/>
                <w:iCs/>
                <w:color w:val="FFFFFF" w:themeColor="background1"/>
                <w:sz w:val="20"/>
                <w:szCs w:val="20"/>
              </w:rPr>
            </w:pPr>
            <w:r>
              <w:rPr>
                <w:b/>
                <w:bCs/>
                <w:iCs/>
                <w:color w:val="FFFFFF" w:themeColor="background1"/>
                <w:sz w:val="20"/>
                <w:szCs w:val="20"/>
              </w:rPr>
              <w:t xml:space="preserve">World </w:t>
            </w:r>
            <w:r w:rsidRPr="005C77F5">
              <w:rPr>
                <w:b/>
                <w:bCs/>
                <w:iCs/>
                <w:color w:val="FFFFFF" w:themeColor="background1"/>
                <w:sz w:val="20"/>
                <w:szCs w:val="20"/>
              </w:rPr>
              <w:t>Adoption by 2050</w:t>
            </w:r>
          </w:p>
        </w:tc>
      </w:tr>
      <w:tr w:rsidR="0032353F" w:rsidRPr="008D1491" w14:paraId="4801E75B" w14:textId="77777777" w:rsidTr="00DA57F1">
        <w:trPr>
          <w:cantSplit/>
          <w:trHeight w:val="184"/>
          <w:tblHeader/>
        </w:trPr>
        <w:tc>
          <w:tcPr>
            <w:tcW w:w="1951" w:type="dxa"/>
            <w:vMerge/>
            <w:shd w:val="clear" w:color="auto" w:fill="4F81BD" w:themeFill="accent1"/>
            <w:vAlign w:val="center"/>
          </w:tcPr>
          <w:p w14:paraId="6CD710FF" w14:textId="77777777" w:rsidR="0032353F" w:rsidRPr="00FB649C" w:rsidRDefault="0032353F" w:rsidP="00AD4CF8">
            <w:pPr>
              <w:spacing w:line="240" w:lineRule="auto"/>
              <w:jc w:val="center"/>
              <w:rPr>
                <w:rFonts w:cstheme="minorHAnsi"/>
                <w:b/>
                <w:bCs/>
                <w:i/>
                <w:color w:val="FFFFFF" w:themeColor="background1"/>
                <w:sz w:val="20"/>
                <w:szCs w:val="20"/>
              </w:rPr>
            </w:pPr>
          </w:p>
        </w:tc>
        <w:tc>
          <w:tcPr>
            <w:tcW w:w="1730" w:type="dxa"/>
            <w:vMerge/>
            <w:shd w:val="clear" w:color="auto" w:fill="4F81BD" w:themeFill="accent1"/>
            <w:vAlign w:val="center"/>
          </w:tcPr>
          <w:p w14:paraId="173F30E0" w14:textId="77777777" w:rsidR="0032353F" w:rsidRPr="00FB649C" w:rsidRDefault="0032353F" w:rsidP="00AD4CF8">
            <w:pPr>
              <w:spacing w:line="240" w:lineRule="auto"/>
              <w:jc w:val="center"/>
              <w:rPr>
                <w:bCs/>
                <w:i/>
                <w:color w:val="FFFFFF" w:themeColor="background1"/>
                <w:sz w:val="20"/>
                <w:szCs w:val="20"/>
              </w:rPr>
            </w:pPr>
          </w:p>
        </w:tc>
        <w:tc>
          <w:tcPr>
            <w:tcW w:w="1276" w:type="dxa"/>
            <w:vMerge/>
            <w:shd w:val="clear" w:color="auto" w:fill="4F81BD" w:themeFill="accent1"/>
            <w:vAlign w:val="center"/>
          </w:tcPr>
          <w:p w14:paraId="74E7E210" w14:textId="29C848AE" w:rsidR="0032353F" w:rsidRPr="00FB649C" w:rsidRDefault="0032353F" w:rsidP="00AD4CF8">
            <w:pPr>
              <w:spacing w:line="240" w:lineRule="auto"/>
              <w:jc w:val="center"/>
              <w:rPr>
                <w:bCs/>
                <w:i/>
                <w:color w:val="FFFFFF" w:themeColor="background1"/>
                <w:sz w:val="20"/>
                <w:szCs w:val="20"/>
              </w:rPr>
            </w:pPr>
          </w:p>
        </w:tc>
        <w:tc>
          <w:tcPr>
            <w:tcW w:w="1417" w:type="dxa"/>
            <w:shd w:val="clear" w:color="auto" w:fill="4F81BD" w:themeFill="accent1"/>
            <w:vAlign w:val="center"/>
          </w:tcPr>
          <w:p w14:paraId="3BAD7FDF" w14:textId="77777777" w:rsidR="0032353F" w:rsidRPr="005C77F5" w:rsidRDefault="0032353F" w:rsidP="00AD4CF8">
            <w:pPr>
              <w:spacing w:line="240" w:lineRule="auto"/>
              <w:jc w:val="center"/>
              <w:rPr>
                <w:b/>
                <w:bCs/>
                <w:iCs/>
                <w:color w:val="FFFFFF" w:themeColor="background1"/>
                <w:sz w:val="20"/>
                <w:szCs w:val="20"/>
              </w:rPr>
            </w:pPr>
            <w:r w:rsidRPr="005C77F5">
              <w:rPr>
                <w:b/>
                <w:bCs/>
                <w:iCs/>
                <w:color w:val="FFFFFF" w:themeColor="background1"/>
                <w:sz w:val="20"/>
                <w:szCs w:val="20"/>
              </w:rPr>
              <w:t>Plausible</w:t>
            </w:r>
          </w:p>
        </w:tc>
        <w:tc>
          <w:tcPr>
            <w:tcW w:w="1559" w:type="dxa"/>
            <w:shd w:val="clear" w:color="auto" w:fill="4F81BD" w:themeFill="accent1"/>
            <w:vAlign w:val="center"/>
          </w:tcPr>
          <w:p w14:paraId="0A0F5473" w14:textId="77777777" w:rsidR="0032353F" w:rsidRPr="005C77F5" w:rsidRDefault="0032353F" w:rsidP="00AD4CF8">
            <w:pPr>
              <w:spacing w:line="240" w:lineRule="auto"/>
              <w:jc w:val="center"/>
              <w:rPr>
                <w:b/>
                <w:bCs/>
                <w:iCs/>
                <w:color w:val="FFFFFF" w:themeColor="background1"/>
                <w:sz w:val="20"/>
                <w:szCs w:val="20"/>
              </w:rPr>
            </w:pPr>
            <w:r w:rsidRPr="005C77F5">
              <w:rPr>
                <w:b/>
                <w:bCs/>
                <w:iCs/>
                <w:color w:val="FFFFFF" w:themeColor="background1"/>
                <w:sz w:val="20"/>
                <w:szCs w:val="20"/>
              </w:rPr>
              <w:t>Drawdown</w:t>
            </w:r>
          </w:p>
        </w:tc>
        <w:tc>
          <w:tcPr>
            <w:tcW w:w="1284" w:type="dxa"/>
            <w:shd w:val="clear" w:color="auto" w:fill="4F81BD" w:themeFill="accent1"/>
            <w:vAlign w:val="center"/>
          </w:tcPr>
          <w:p w14:paraId="0927695E" w14:textId="77777777" w:rsidR="0032353F" w:rsidRPr="005C77F5" w:rsidRDefault="0032353F" w:rsidP="00AD4CF8">
            <w:pPr>
              <w:spacing w:line="240" w:lineRule="auto"/>
              <w:jc w:val="center"/>
              <w:rPr>
                <w:b/>
                <w:bCs/>
                <w:iCs/>
                <w:color w:val="FFFFFF" w:themeColor="background1"/>
                <w:sz w:val="20"/>
                <w:szCs w:val="20"/>
              </w:rPr>
            </w:pPr>
            <w:r w:rsidRPr="005C77F5">
              <w:rPr>
                <w:b/>
                <w:bCs/>
                <w:iCs/>
                <w:color w:val="FFFFFF" w:themeColor="background1"/>
                <w:sz w:val="20"/>
                <w:szCs w:val="20"/>
              </w:rPr>
              <w:t>Optimum</w:t>
            </w:r>
          </w:p>
        </w:tc>
      </w:tr>
      <w:tr w:rsidR="00EA0157" w:rsidRPr="008D1491" w14:paraId="305C72A7" w14:textId="77777777" w:rsidTr="0032353F">
        <w:trPr>
          <w:trHeight w:val="840"/>
        </w:trPr>
        <w:tc>
          <w:tcPr>
            <w:tcW w:w="1951" w:type="dxa"/>
            <w:vMerge w:val="restart"/>
            <w:vAlign w:val="center"/>
          </w:tcPr>
          <w:p w14:paraId="2B8FFE1B" w14:textId="32FF4C66" w:rsidR="00EA0157" w:rsidRPr="008D1491" w:rsidRDefault="00EA0157" w:rsidP="00AD4CF8">
            <w:pPr>
              <w:spacing w:line="240" w:lineRule="auto"/>
              <w:jc w:val="center"/>
              <w:rPr>
                <w:sz w:val="20"/>
                <w:szCs w:val="20"/>
              </w:rPr>
            </w:pPr>
            <w:r>
              <w:rPr>
                <w:sz w:val="20"/>
                <w:szCs w:val="20"/>
              </w:rPr>
              <w:t>Alternative Cements</w:t>
            </w:r>
          </w:p>
        </w:tc>
        <w:tc>
          <w:tcPr>
            <w:tcW w:w="1730" w:type="dxa"/>
            <w:vAlign w:val="center"/>
          </w:tcPr>
          <w:p w14:paraId="5BDA7373" w14:textId="379B170B" w:rsidR="00EA0157" w:rsidRPr="005C77F5" w:rsidRDefault="00EA0157" w:rsidP="00AD4CF8">
            <w:pPr>
              <w:spacing w:line="240" w:lineRule="auto"/>
              <w:jc w:val="center"/>
              <w:rPr>
                <w:rFonts w:cstheme="minorHAnsi"/>
                <w:bCs/>
                <w:color w:val="000000" w:themeColor="text1"/>
                <w:sz w:val="20"/>
                <w:szCs w:val="20"/>
              </w:rPr>
            </w:pPr>
            <w:r>
              <w:rPr>
                <w:bCs/>
                <w:i/>
                <w:color w:val="000000" w:themeColor="text1"/>
                <w:sz w:val="20"/>
                <w:szCs w:val="20"/>
              </w:rPr>
              <w:t>clinker-to-cement ratio</w:t>
            </w:r>
          </w:p>
        </w:tc>
        <w:tc>
          <w:tcPr>
            <w:tcW w:w="1276" w:type="dxa"/>
            <w:vAlign w:val="center"/>
          </w:tcPr>
          <w:p w14:paraId="72C0B03E" w14:textId="57C90832" w:rsidR="00EA0157" w:rsidRPr="008006D0" w:rsidRDefault="00EA0157" w:rsidP="00AD4CF8">
            <w:pPr>
              <w:spacing w:line="240" w:lineRule="auto"/>
              <w:jc w:val="center"/>
              <w:rPr>
                <w:rFonts w:cstheme="minorHAnsi"/>
                <w:bCs/>
                <w:sz w:val="20"/>
                <w:szCs w:val="20"/>
              </w:rPr>
            </w:pPr>
            <w:r>
              <w:rPr>
                <w:rFonts w:cstheme="minorHAnsi"/>
                <w:bCs/>
                <w:sz w:val="20"/>
                <w:szCs w:val="20"/>
              </w:rPr>
              <w:t>0.69</w:t>
            </w:r>
          </w:p>
        </w:tc>
        <w:tc>
          <w:tcPr>
            <w:tcW w:w="1417" w:type="dxa"/>
            <w:vAlign w:val="center"/>
          </w:tcPr>
          <w:p w14:paraId="2A8FE7A2" w14:textId="26494F03" w:rsidR="00EA0157" w:rsidRPr="008006D0" w:rsidRDefault="00EA0157" w:rsidP="00AD4CF8">
            <w:pPr>
              <w:spacing w:line="240" w:lineRule="auto"/>
              <w:jc w:val="center"/>
              <w:rPr>
                <w:rFonts w:cstheme="minorHAnsi"/>
                <w:bCs/>
                <w:sz w:val="20"/>
                <w:szCs w:val="20"/>
              </w:rPr>
            </w:pPr>
            <w:r>
              <w:rPr>
                <w:rFonts w:cstheme="minorHAnsi"/>
                <w:bCs/>
                <w:sz w:val="20"/>
                <w:szCs w:val="20"/>
              </w:rPr>
              <w:t>0.60</w:t>
            </w:r>
          </w:p>
        </w:tc>
        <w:tc>
          <w:tcPr>
            <w:tcW w:w="1559" w:type="dxa"/>
            <w:vAlign w:val="center"/>
          </w:tcPr>
          <w:p w14:paraId="79EE8DDC" w14:textId="5E8C4A08" w:rsidR="00EA0157" w:rsidRPr="008006D0" w:rsidRDefault="00EA0157" w:rsidP="00AD4CF8">
            <w:pPr>
              <w:spacing w:line="240" w:lineRule="auto"/>
              <w:jc w:val="center"/>
              <w:rPr>
                <w:rFonts w:cstheme="minorHAnsi"/>
                <w:bCs/>
                <w:sz w:val="20"/>
                <w:szCs w:val="20"/>
              </w:rPr>
            </w:pPr>
            <w:r>
              <w:rPr>
                <w:rFonts w:cstheme="minorHAnsi"/>
                <w:bCs/>
                <w:sz w:val="20"/>
                <w:szCs w:val="20"/>
              </w:rPr>
              <w:t>0.46</w:t>
            </w:r>
          </w:p>
        </w:tc>
        <w:tc>
          <w:tcPr>
            <w:tcW w:w="1284" w:type="dxa"/>
            <w:vAlign w:val="center"/>
          </w:tcPr>
          <w:p w14:paraId="5B002A1D" w14:textId="6BC230CB" w:rsidR="00EA0157" w:rsidRPr="008006D0" w:rsidRDefault="00EA0157" w:rsidP="00AD4CF8">
            <w:pPr>
              <w:spacing w:line="240" w:lineRule="auto"/>
              <w:jc w:val="center"/>
              <w:rPr>
                <w:rFonts w:cstheme="minorHAnsi"/>
                <w:bCs/>
                <w:sz w:val="20"/>
                <w:szCs w:val="20"/>
              </w:rPr>
            </w:pPr>
            <w:r>
              <w:rPr>
                <w:rFonts w:cstheme="minorHAnsi"/>
                <w:bCs/>
                <w:sz w:val="20"/>
                <w:szCs w:val="20"/>
              </w:rPr>
              <w:t>0.27</w:t>
            </w:r>
          </w:p>
        </w:tc>
      </w:tr>
      <w:tr w:rsidR="00EA0157" w:rsidRPr="008D1491" w14:paraId="305EA58F" w14:textId="77777777" w:rsidTr="00EA0157">
        <w:trPr>
          <w:trHeight w:val="89"/>
        </w:trPr>
        <w:tc>
          <w:tcPr>
            <w:tcW w:w="1951" w:type="dxa"/>
            <w:vMerge/>
            <w:vAlign w:val="center"/>
          </w:tcPr>
          <w:p w14:paraId="0505F575" w14:textId="77777777" w:rsidR="00EA0157" w:rsidRDefault="00EA0157" w:rsidP="00AD4CF8">
            <w:pPr>
              <w:spacing w:line="240" w:lineRule="auto"/>
              <w:jc w:val="center"/>
              <w:rPr>
                <w:sz w:val="20"/>
                <w:szCs w:val="20"/>
              </w:rPr>
            </w:pPr>
          </w:p>
        </w:tc>
        <w:tc>
          <w:tcPr>
            <w:tcW w:w="1730" w:type="dxa"/>
            <w:vAlign w:val="center"/>
          </w:tcPr>
          <w:p w14:paraId="50A648BE" w14:textId="21187ADD" w:rsidR="00EA0157" w:rsidRDefault="00EA0157" w:rsidP="00AD4CF8">
            <w:pPr>
              <w:spacing w:line="240" w:lineRule="auto"/>
              <w:jc w:val="center"/>
              <w:rPr>
                <w:bCs/>
                <w:i/>
                <w:color w:val="000000" w:themeColor="text1"/>
                <w:sz w:val="20"/>
                <w:szCs w:val="20"/>
              </w:rPr>
            </w:pPr>
            <w:r>
              <w:rPr>
                <w:bCs/>
                <w:i/>
                <w:color w:val="000000" w:themeColor="text1"/>
                <w:sz w:val="20"/>
                <w:szCs w:val="20"/>
              </w:rPr>
              <w:t>% of TAM</w:t>
            </w:r>
          </w:p>
        </w:tc>
        <w:tc>
          <w:tcPr>
            <w:tcW w:w="1276" w:type="dxa"/>
            <w:vAlign w:val="center"/>
          </w:tcPr>
          <w:p w14:paraId="1641868E" w14:textId="6F6D60F7" w:rsidR="00EA0157" w:rsidRDefault="00EA0157" w:rsidP="00AD4CF8">
            <w:pPr>
              <w:spacing w:line="240" w:lineRule="auto"/>
              <w:jc w:val="center"/>
              <w:rPr>
                <w:rFonts w:cstheme="minorHAnsi"/>
                <w:bCs/>
                <w:sz w:val="20"/>
                <w:szCs w:val="20"/>
              </w:rPr>
            </w:pPr>
            <w:r>
              <w:rPr>
                <w:rFonts w:cstheme="minorHAnsi"/>
                <w:bCs/>
                <w:sz w:val="20"/>
                <w:szCs w:val="20"/>
              </w:rPr>
              <w:t>100%</w:t>
            </w:r>
          </w:p>
        </w:tc>
        <w:tc>
          <w:tcPr>
            <w:tcW w:w="1417" w:type="dxa"/>
            <w:vAlign w:val="center"/>
          </w:tcPr>
          <w:p w14:paraId="6AD3ADC8" w14:textId="55EB8E3E" w:rsidR="00EA0157" w:rsidRDefault="00EA0157" w:rsidP="00AD4CF8">
            <w:pPr>
              <w:spacing w:line="240" w:lineRule="auto"/>
              <w:jc w:val="center"/>
              <w:rPr>
                <w:rFonts w:cstheme="minorHAnsi"/>
                <w:bCs/>
                <w:sz w:val="20"/>
                <w:szCs w:val="20"/>
              </w:rPr>
            </w:pPr>
            <w:r>
              <w:rPr>
                <w:rFonts w:cstheme="minorHAnsi"/>
                <w:bCs/>
                <w:sz w:val="20"/>
                <w:szCs w:val="20"/>
              </w:rPr>
              <w:t>100%</w:t>
            </w:r>
          </w:p>
        </w:tc>
        <w:tc>
          <w:tcPr>
            <w:tcW w:w="1559" w:type="dxa"/>
            <w:vAlign w:val="center"/>
          </w:tcPr>
          <w:p w14:paraId="55BEB456" w14:textId="48BCB8DD" w:rsidR="00EA0157" w:rsidRDefault="00EA0157" w:rsidP="00AD4CF8">
            <w:pPr>
              <w:spacing w:line="240" w:lineRule="auto"/>
              <w:jc w:val="center"/>
              <w:rPr>
                <w:rFonts w:cstheme="minorHAnsi"/>
                <w:bCs/>
                <w:sz w:val="20"/>
                <w:szCs w:val="20"/>
              </w:rPr>
            </w:pPr>
            <w:r>
              <w:rPr>
                <w:rFonts w:cstheme="minorHAnsi"/>
                <w:bCs/>
                <w:sz w:val="20"/>
                <w:szCs w:val="20"/>
              </w:rPr>
              <w:t>100%</w:t>
            </w:r>
          </w:p>
        </w:tc>
        <w:tc>
          <w:tcPr>
            <w:tcW w:w="1284" w:type="dxa"/>
            <w:vAlign w:val="center"/>
          </w:tcPr>
          <w:p w14:paraId="101929A0" w14:textId="0B0CD60C" w:rsidR="00EA0157" w:rsidRDefault="00EA0157" w:rsidP="00AD4CF8">
            <w:pPr>
              <w:spacing w:line="240" w:lineRule="auto"/>
              <w:jc w:val="center"/>
              <w:rPr>
                <w:rFonts w:cstheme="minorHAnsi"/>
                <w:bCs/>
                <w:sz w:val="20"/>
                <w:szCs w:val="20"/>
              </w:rPr>
            </w:pPr>
            <w:r>
              <w:rPr>
                <w:rFonts w:cstheme="minorHAnsi"/>
                <w:bCs/>
                <w:sz w:val="20"/>
                <w:szCs w:val="20"/>
              </w:rPr>
              <w:t>100%</w:t>
            </w:r>
          </w:p>
        </w:tc>
      </w:tr>
    </w:tbl>
    <w:p w14:paraId="2AB38D2C" w14:textId="77777777" w:rsidR="00762877" w:rsidRDefault="00762877" w:rsidP="00EB247F">
      <w:pPr>
        <w:jc w:val="center"/>
        <w:rPr>
          <w:rFonts w:cstheme="minorHAnsi"/>
          <w:b/>
          <w:bCs/>
          <w:i/>
        </w:rPr>
      </w:pPr>
    </w:p>
    <w:p w14:paraId="0D817E1E" w14:textId="77777777" w:rsidR="0032353F" w:rsidRDefault="0032353F" w:rsidP="00EB247F">
      <w:pPr>
        <w:pStyle w:val="Caption"/>
        <w:jc w:val="center"/>
      </w:pPr>
    </w:p>
    <w:p w14:paraId="7A2926D4" w14:textId="187C970A" w:rsidR="003A7929" w:rsidRPr="0032353F" w:rsidRDefault="002E3A2F" w:rsidP="00EB247F">
      <w:pPr>
        <w:pStyle w:val="Caption"/>
        <w:jc w:val="center"/>
      </w:pPr>
      <w:r>
        <w:rPr>
          <w:noProof/>
        </w:rPr>
        <w:drawing>
          <wp:inline distT="0" distB="0" distL="0" distR="0" wp14:anchorId="7EBB0B55" wp14:editId="68AEBEA0">
            <wp:extent cx="508000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80000" cy="3543300"/>
                    </a:xfrm>
                    <a:prstGeom prst="rect">
                      <a:avLst/>
                    </a:prstGeom>
                  </pic:spPr>
                </pic:pic>
              </a:graphicData>
            </a:graphic>
          </wp:inline>
        </w:drawing>
      </w:r>
    </w:p>
    <w:p w14:paraId="567E303A" w14:textId="20652B2E" w:rsidR="00762877" w:rsidRPr="005C77F5" w:rsidRDefault="00977F6D" w:rsidP="005C77F5">
      <w:pPr>
        <w:pStyle w:val="Caption"/>
        <w:jc w:val="center"/>
        <w:rPr>
          <w:b/>
          <w:bCs/>
          <w:i w:val="0"/>
          <w:iCs w:val="0"/>
        </w:rPr>
      </w:pPr>
      <w:bookmarkStart w:id="62" w:name="_Toc38211662"/>
      <w:r w:rsidRPr="0032353F">
        <w:t xml:space="preserve">Figure </w:t>
      </w:r>
      <w:fldSimple w:instr=" STYLEREF 1 \s ">
        <w:r w:rsidR="008F2A2C">
          <w:rPr>
            <w:noProof/>
          </w:rPr>
          <w:t>3</w:t>
        </w:r>
      </w:fldSimple>
      <w:r w:rsidR="006807AA">
        <w:t>.</w:t>
      </w:r>
      <w:fldSimple w:instr=" SEQ Figure \* ARABIC \s 1 ">
        <w:r w:rsidR="008F2A2C">
          <w:rPr>
            <w:noProof/>
          </w:rPr>
          <w:t>1</w:t>
        </w:r>
      </w:fldSimple>
      <w:r w:rsidRPr="0032353F">
        <w:t xml:space="preserve"> </w:t>
      </w:r>
      <w:r w:rsidR="00807D37" w:rsidRPr="0032353F">
        <w:t xml:space="preserve">World Annual </w:t>
      </w:r>
      <w:r w:rsidRPr="0032353F">
        <w:t>Adoption 2020-2050</w:t>
      </w:r>
      <w:bookmarkEnd w:id="62"/>
    </w:p>
    <w:p w14:paraId="6B6F22E7" w14:textId="19002B27" w:rsidR="003A7929" w:rsidRDefault="551A77D0" w:rsidP="00C07355">
      <w:pPr>
        <w:pStyle w:val="Heading2"/>
        <w:numPr>
          <w:ilvl w:val="1"/>
          <w:numId w:val="28"/>
        </w:numPr>
      </w:pPr>
      <w:bookmarkStart w:id="63" w:name="_Toc38211654"/>
      <w:r w:rsidRPr="551A77D0">
        <w:t>Climate Impacts</w:t>
      </w:r>
      <w:bookmarkEnd w:id="63"/>
    </w:p>
    <w:p w14:paraId="61041E32" w14:textId="370CB1FE" w:rsidR="0032353F" w:rsidRPr="00B9196D" w:rsidRDefault="0032353F" w:rsidP="0032353F">
      <w:r w:rsidRPr="00B9196D">
        <w:t xml:space="preserve">Below are the emissions results of the analysis for each scenario which include total emissions reduction, atmospheric concentration changes, and sequestration where relevant. For a detailed explanation of each result, please see the </w:t>
      </w:r>
      <w:r w:rsidR="00CE265A">
        <w:fldChar w:fldCharType="begin"/>
      </w:r>
      <w:r w:rsidR="00CE265A">
        <w:instrText xml:space="preserve"> REF _Ref345080 \h </w:instrText>
      </w:r>
      <w:r w:rsidR="00CE265A">
        <w:fldChar w:fldCharType="separate"/>
      </w:r>
      <w:r w:rsidR="008F2A2C" w:rsidRPr="00BB79D6">
        <w:t>Glossary</w:t>
      </w:r>
      <w:r w:rsidR="00CE265A">
        <w:fldChar w:fldCharType="end"/>
      </w:r>
      <w:r w:rsidR="00CE265A">
        <w:t xml:space="preserve"> </w:t>
      </w:r>
      <w:r w:rsidRPr="00B9196D">
        <w:t xml:space="preserve">(Section </w:t>
      </w:r>
      <w:r w:rsidR="00135196">
        <w:fldChar w:fldCharType="begin"/>
      </w:r>
      <w:r w:rsidR="00135196">
        <w:instrText xml:space="preserve"> REF _Ref345080 \r \h </w:instrText>
      </w:r>
      <w:r w:rsidR="00135196">
        <w:fldChar w:fldCharType="separate"/>
      </w:r>
      <w:r w:rsidR="008F2A2C">
        <w:t>6</w:t>
      </w:r>
      <w:r w:rsidR="00135196">
        <w:fldChar w:fldCharType="end"/>
      </w:r>
      <w:r w:rsidRPr="00B9196D">
        <w:t>).</w:t>
      </w:r>
    </w:p>
    <w:p w14:paraId="52E48BE0" w14:textId="77777777" w:rsidR="00B261E0" w:rsidRDefault="00B261E0" w:rsidP="00EB247F">
      <w:pPr>
        <w:rPr>
          <w:rFonts w:cstheme="minorHAnsi"/>
          <w:b/>
          <w:bCs/>
          <w:i/>
        </w:rPr>
      </w:pPr>
    </w:p>
    <w:p w14:paraId="4DA2B4CB" w14:textId="440D0289" w:rsidR="00762877" w:rsidRPr="00762877" w:rsidRDefault="0066753A" w:rsidP="00EB247F">
      <w:pPr>
        <w:pStyle w:val="Caption"/>
        <w:jc w:val="center"/>
        <w:rPr>
          <w:sz w:val="24"/>
          <w:szCs w:val="24"/>
          <w:lang w:eastAsia="zh-CN"/>
        </w:rPr>
      </w:pPr>
      <w:bookmarkStart w:id="64" w:name="_Toc38211672"/>
      <w:r>
        <w:t xml:space="preserve">Table </w:t>
      </w:r>
      <w:fldSimple w:instr=" STYLEREF 1 \s ">
        <w:r w:rsidR="008F2A2C">
          <w:rPr>
            <w:noProof/>
          </w:rPr>
          <w:t>3</w:t>
        </w:r>
      </w:fldSimple>
      <w:r w:rsidR="00F36327">
        <w:t>.</w:t>
      </w:r>
      <w:fldSimple w:instr=" SEQ Table \* ARABIC \s 1 ">
        <w:r w:rsidR="008F2A2C">
          <w:rPr>
            <w:noProof/>
          </w:rPr>
          <w:t>2</w:t>
        </w:r>
      </w:fldSimple>
      <w:r>
        <w:t xml:space="preserve"> Climate Impacts</w:t>
      </w:r>
      <w:bookmarkEnd w:id="64"/>
    </w:p>
    <w:tbl>
      <w:tblPr>
        <w:tblW w:w="4645"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1101"/>
        <w:gridCol w:w="1210"/>
        <w:gridCol w:w="1210"/>
      </w:tblGrid>
      <w:tr w:rsidR="000E604A" w:rsidRPr="006B675D" w14:paraId="0150056F" w14:textId="1D8EC1D7" w:rsidTr="000E604A">
        <w:trPr>
          <w:cantSplit/>
          <w:trHeight w:val="124"/>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0E604A" w:rsidRPr="00F26176" w:rsidRDefault="000E604A" w:rsidP="00AD4CF8">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Scenario</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77777777" w:rsidR="000E604A" w:rsidRPr="00F26176" w:rsidRDefault="000E604A" w:rsidP="00AD4CF8">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Maximum Annual Emissions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2798DD0" w14:textId="5CEC6034" w:rsidR="000E604A" w:rsidRPr="00F26176" w:rsidRDefault="000E604A" w:rsidP="00AD4CF8">
            <w:pPr>
              <w:spacing w:line="240" w:lineRule="auto"/>
              <w:jc w:val="center"/>
              <w:rPr>
                <w:rFonts w:cstheme="minorHAnsi"/>
                <w:b/>
                <w:bCs/>
                <w:color w:val="FFFFFF" w:themeColor="background1"/>
                <w:sz w:val="20"/>
                <w:szCs w:val="20"/>
                <w:lang w:eastAsia="zh-CN"/>
              </w:rPr>
            </w:pPr>
            <w:r w:rsidRPr="00F26176">
              <w:rPr>
                <w:b/>
                <w:color w:val="FFFFFF" w:themeColor="background1"/>
                <w:sz w:val="20"/>
                <w:szCs w:val="20"/>
                <w:lang w:eastAsia="zh-CN"/>
              </w:rPr>
              <w:t>Total Atmospheric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-eq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8D8D42A" w14:textId="3F1DC378" w:rsidR="000E604A" w:rsidRPr="00F26176" w:rsidRDefault="000E604A" w:rsidP="00AD4CF8">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Emissions Reduction in 2050</w:t>
            </w:r>
          </w:p>
        </w:tc>
      </w:tr>
      <w:tr w:rsidR="000E604A" w:rsidRPr="006B675D" w14:paraId="6B5C6387" w14:textId="411C48F1" w:rsidTr="000E604A">
        <w:trPr>
          <w:cantSplit/>
          <w:trHeight w:val="97"/>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0E604A" w:rsidRPr="006B675D" w:rsidRDefault="000E604A" w:rsidP="00AD4CF8">
            <w:pPr>
              <w:spacing w:line="240" w:lineRule="auto"/>
              <w:jc w:val="center"/>
              <w:rPr>
                <w:rFonts w:cstheme="minorHAnsi"/>
                <w:b/>
                <w:bCs/>
                <w:i/>
                <w:color w:val="FFFFFF" w:themeColor="background1"/>
                <w:sz w:val="20"/>
                <w:szCs w:val="20"/>
                <w:lang w:eastAsia="zh-CN"/>
              </w:rPr>
            </w:pP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77777777" w:rsidR="000E604A" w:rsidRPr="006B675D" w:rsidRDefault="000E604A" w:rsidP="00AD4CF8">
            <w:pPr>
              <w:spacing w:line="240" w:lineRule="auto"/>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D4AF8B2" w14:textId="1AF2BF4D" w:rsidR="000E604A" w:rsidRPr="006B675D" w:rsidRDefault="000E604A" w:rsidP="00AD4CF8">
            <w:pPr>
              <w:spacing w:line="240" w:lineRule="auto"/>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01EFE1" w14:textId="0B0509DD" w:rsidR="000E604A" w:rsidRPr="006B675D" w:rsidRDefault="000E604A" w:rsidP="00AD4CF8">
            <w:pPr>
              <w:spacing w:line="240" w:lineRule="auto"/>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-eq/year)</w:t>
            </w:r>
          </w:p>
        </w:tc>
      </w:tr>
      <w:tr w:rsidR="000E604A" w:rsidRPr="006B675D" w14:paraId="354A2249" w14:textId="7B11184C" w:rsidTr="000E604A">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77777777" w:rsidR="000E604A" w:rsidRPr="006B675D" w:rsidRDefault="000E604A" w:rsidP="00AD4CF8">
            <w:pPr>
              <w:shd w:val="clear" w:color="auto" w:fill="FFFFFF" w:themeFill="background1"/>
              <w:spacing w:line="240" w:lineRule="auto"/>
              <w:jc w:val="center"/>
              <w:rPr>
                <w:i/>
                <w:iCs/>
                <w:color w:val="000000" w:themeColor="text1"/>
                <w:sz w:val="20"/>
                <w:szCs w:val="20"/>
                <w:lang w:eastAsia="zh-CN"/>
              </w:rPr>
            </w:pPr>
            <w:r w:rsidRPr="006B675D">
              <w:rPr>
                <w:b/>
                <w:bCs/>
                <w:i/>
                <w:iCs/>
                <w:color w:val="000000" w:themeColor="text1"/>
                <w:sz w:val="20"/>
                <w:szCs w:val="20"/>
                <w:lang w:eastAsia="zh-CN"/>
              </w:rPr>
              <w:t>Plausible</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E32FE9C" w14:textId="6E1213CA" w:rsidR="000E604A" w:rsidRPr="006B675D" w:rsidRDefault="000E604A" w:rsidP="00AD4CF8">
            <w:pPr>
              <w:shd w:val="clear" w:color="auto" w:fill="FFFFFF"/>
              <w:spacing w:line="240" w:lineRule="auto"/>
              <w:jc w:val="center"/>
              <w:rPr>
                <w:rFonts w:cstheme="minorHAnsi"/>
                <w:color w:val="000000" w:themeColor="text1"/>
                <w:sz w:val="20"/>
                <w:szCs w:val="20"/>
                <w:lang w:eastAsia="zh-CN"/>
              </w:rPr>
            </w:pPr>
            <w:r>
              <w:rPr>
                <w:rFonts w:cstheme="minorHAnsi"/>
                <w:color w:val="000000" w:themeColor="text1"/>
                <w:sz w:val="20"/>
                <w:szCs w:val="20"/>
                <w:lang w:eastAsia="zh-CN"/>
              </w:rPr>
              <w:t>0.484</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7657F3" w14:textId="5B80918E" w:rsidR="000E604A" w:rsidRPr="006B675D" w:rsidRDefault="000E604A" w:rsidP="00AD4CF8">
            <w:pPr>
              <w:shd w:val="clear" w:color="auto" w:fill="FFFFFF"/>
              <w:spacing w:line="240" w:lineRule="auto"/>
              <w:jc w:val="center"/>
              <w:rPr>
                <w:rFonts w:cstheme="minorHAnsi"/>
                <w:color w:val="000000" w:themeColor="text1"/>
                <w:sz w:val="20"/>
                <w:szCs w:val="20"/>
                <w:lang w:eastAsia="zh-CN"/>
              </w:rPr>
            </w:pPr>
            <w:r>
              <w:rPr>
                <w:rFonts w:cstheme="minorHAnsi"/>
                <w:color w:val="000000" w:themeColor="text1"/>
                <w:sz w:val="20"/>
                <w:szCs w:val="20"/>
                <w:lang w:eastAsia="zh-CN"/>
              </w:rPr>
              <w:t>7.98</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76625454" w14:textId="0740952A" w:rsidR="000E604A" w:rsidRPr="006B675D" w:rsidRDefault="000E604A" w:rsidP="00AD4CF8">
            <w:pPr>
              <w:shd w:val="clear" w:color="auto" w:fill="FFFFFF"/>
              <w:spacing w:line="240" w:lineRule="auto"/>
              <w:jc w:val="center"/>
              <w:rPr>
                <w:rFonts w:cstheme="minorHAnsi"/>
                <w:color w:val="000000" w:themeColor="text1"/>
                <w:sz w:val="20"/>
                <w:szCs w:val="20"/>
                <w:lang w:eastAsia="zh-CN"/>
              </w:rPr>
            </w:pPr>
            <w:r>
              <w:rPr>
                <w:rFonts w:cstheme="minorHAnsi"/>
                <w:color w:val="000000" w:themeColor="text1"/>
                <w:sz w:val="20"/>
                <w:szCs w:val="20"/>
                <w:lang w:eastAsia="zh-CN"/>
              </w:rPr>
              <w:t>0.484</w:t>
            </w:r>
          </w:p>
        </w:tc>
      </w:tr>
      <w:tr w:rsidR="000E604A" w:rsidRPr="006B675D" w14:paraId="7DCB0C2E" w14:textId="35D5AF3A" w:rsidTr="000E604A">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77777777" w:rsidR="000E604A" w:rsidRPr="006B675D" w:rsidRDefault="000E604A" w:rsidP="00AD4CF8">
            <w:pPr>
              <w:shd w:val="clear" w:color="auto" w:fill="FFFFFF" w:themeFill="background1"/>
              <w:spacing w:line="240" w:lineRule="auto"/>
              <w:jc w:val="center"/>
              <w:rPr>
                <w:i/>
                <w:iCs/>
                <w:color w:val="000000" w:themeColor="text1"/>
                <w:sz w:val="20"/>
                <w:szCs w:val="20"/>
                <w:lang w:eastAsia="zh-CN"/>
              </w:rPr>
            </w:pPr>
            <w:r w:rsidRPr="006B675D">
              <w:rPr>
                <w:b/>
                <w:bCs/>
                <w:i/>
                <w:iCs/>
                <w:color w:val="000000" w:themeColor="text1"/>
                <w:sz w:val="20"/>
                <w:szCs w:val="20"/>
                <w:lang w:eastAsia="zh-CN"/>
              </w:rPr>
              <w:t>Drawdown</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BCD264C" w14:textId="34237038" w:rsidR="000E604A" w:rsidRPr="006B675D" w:rsidRDefault="000E604A" w:rsidP="00AD4CF8">
            <w:pPr>
              <w:shd w:val="clear" w:color="auto" w:fill="FFFFFF"/>
              <w:spacing w:line="240" w:lineRule="auto"/>
              <w:jc w:val="center"/>
              <w:rPr>
                <w:rFonts w:cstheme="minorHAnsi"/>
                <w:color w:val="000000" w:themeColor="text1"/>
                <w:sz w:val="20"/>
                <w:szCs w:val="20"/>
                <w:lang w:eastAsia="zh-CN"/>
              </w:rPr>
            </w:pPr>
            <w:r>
              <w:rPr>
                <w:rFonts w:cstheme="minorHAnsi"/>
                <w:color w:val="000000" w:themeColor="text1"/>
                <w:sz w:val="20"/>
                <w:szCs w:val="20"/>
                <w:lang w:eastAsia="zh-CN"/>
              </w:rPr>
              <w:t>0.978</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36B0FC" w14:textId="03ACD5A9" w:rsidR="000E604A" w:rsidRPr="006B675D" w:rsidRDefault="000E604A" w:rsidP="00AD4CF8">
            <w:pPr>
              <w:shd w:val="clear" w:color="auto" w:fill="FFFFFF"/>
              <w:spacing w:line="240" w:lineRule="auto"/>
              <w:jc w:val="center"/>
              <w:rPr>
                <w:rFonts w:cstheme="minorHAnsi"/>
                <w:color w:val="000000" w:themeColor="text1"/>
                <w:sz w:val="20"/>
                <w:szCs w:val="20"/>
                <w:lang w:eastAsia="zh-CN"/>
              </w:rPr>
            </w:pPr>
            <w:r>
              <w:rPr>
                <w:rFonts w:cstheme="minorHAnsi"/>
                <w:color w:val="000000" w:themeColor="text1"/>
                <w:sz w:val="20"/>
                <w:szCs w:val="20"/>
                <w:lang w:eastAsia="zh-CN"/>
              </w:rPr>
              <w:t>16.10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41AF5134" w14:textId="001381D4" w:rsidR="000E604A" w:rsidRPr="006B675D" w:rsidRDefault="000E604A" w:rsidP="00AD4CF8">
            <w:pPr>
              <w:shd w:val="clear" w:color="auto" w:fill="FFFFFF"/>
              <w:spacing w:line="240" w:lineRule="auto"/>
              <w:jc w:val="center"/>
              <w:rPr>
                <w:rFonts w:cstheme="minorHAnsi"/>
                <w:color w:val="000000" w:themeColor="text1"/>
                <w:sz w:val="20"/>
                <w:szCs w:val="20"/>
                <w:lang w:eastAsia="zh-CN"/>
              </w:rPr>
            </w:pPr>
            <w:r>
              <w:rPr>
                <w:rFonts w:cstheme="minorHAnsi"/>
                <w:color w:val="000000" w:themeColor="text1"/>
                <w:sz w:val="20"/>
                <w:szCs w:val="20"/>
                <w:lang w:eastAsia="zh-CN"/>
              </w:rPr>
              <w:t>0.978</w:t>
            </w:r>
          </w:p>
        </w:tc>
      </w:tr>
      <w:tr w:rsidR="000E604A" w:rsidRPr="006B675D" w14:paraId="7CA1AA1B" w14:textId="3D7819CF" w:rsidTr="000E604A">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77777777" w:rsidR="000E604A" w:rsidRPr="006B675D" w:rsidRDefault="000E604A" w:rsidP="00AD4CF8">
            <w:pPr>
              <w:shd w:val="clear" w:color="auto" w:fill="FFFFFF" w:themeFill="background1"/>
              <w:spacing w:line="240" w:lineRule="auto"/>
              <w:jc w:val="center"/>
              <w:rPr>
                <w:i/>
                <w:iCs/>
                <w:color w:val="000000" w:themeColor="text1"/>
                <w:sz w:val="20"/>
                <w:szCs w:val="20"/>
                <w:lang w:eastAsia="zh-CN"/>
              </w:rPr>
            </w:pPr>
            <w:r w:rsidRPr="006B675D">
              <w:rPr>
                <w:b/>
                <w:bCs/>
                <w:i/>
                <w:iCs/>
                <w:color w:val="000000" w:themeColor="text1"/>
                <w:sz w:val="20"/>
                <w:szCs w:val="20"/>
                <w:lang w:eastAsia="zh-CN"/>
              </w:rPr>
              <w:t>Optimum</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786EBCB" w14:textId="0C8B0CB5" w:rsidR="000E604A" w:rsidRPr="006B675D" w:rsidRDefault="000E604A" w:rsidP="00AD4CF8">
            <w:pPr>
              <w:shd w:val="clear" w:color="auto" w:fill="FFFFFF"/>
              <w:spacing w:line="240" w:lineRule="auto"/>
              <w:jc w:val="center"/>
              <w:rPr>
                <w:rFonts w:cstheme="minorHAnsi"/>
                <w:color w:val="000000" w:themeColor="text1"/>
                <w:sz w:val="20"/>
                <w:szCs w:val="20"/>
                <w:lang w:eastAsia="zh-CN"/>
              </w:rPr>
            </w:pPr>
            <w:r>
              <w:rPr>
                <w:rFonts w:cstheme="minorHAnsi"/>
                <w:color w:val="000000" w:themeColor="text1"/>
                <w:sz w:val="20"/>
                <w:szCs w:val="20"/>
                <w:lang w:eastAsia="zh-CN"/>
              </w:rPr>
              <w:t>1.654</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DD6791" w14:textId="13BFC3FF" w:rsidR="000E604A" w:rsidRPr="006B675D" w:rsidRDefault="000E604A" w:rsidP="00AD4CF8">
            <w:pPr>
              <w:shd w:val="clear" w:color="auto" w:fill="FFFFFF"/>
              <w:spacing w:line="240" w:lineRule="auto"/>
              <w:jc w:val="center"/>
              <w:rPr>
                <w:rFonts w:cstheme="minorHAnsi"/>
                <w:color w:val="000000" w:themeColor="text1"/>
                <w:sz w:val="20"/>
                <w:szCs w:val="20"/>
                <w:lang w:eastAsia="zh-CN"/>
              </w:rPr>
            </w:pPr>
            <w:r>
              <w:rPr>
                <w:rFonts w:cstheme="minorHAnsi"/>
                <w:color w:val="000000" w:themeColor="text1"/>
                <w:sz w:val="20"/>
                <w:szCs w:val="20"/>
                <w:lang w:eastAsia="zh-CN"/>
              </w:rPr>
              <w:t>27.09</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hideMark/>
          </w:tcPr>
          <w:p w14:paraId="6E4588E5" w14:textId="17C6C347" w:rsidR="000E604A" w:rsidRPr="006B675D" w:rsidRDefault="000E604A" w:rsidP="00AD4CF8">
            <w:pPr>
              <w:shd w:val="clear" w:color="auto" w:fill="FFFFFF"/>
              <w:spacing w:line="240" w:lineRule="auto"/>
              <w:jc w:val="center"/>
              <w:rPr>
                <w:rFonts w:cstheme="minorHAnsi"/>
                <w:color w:val="000000" w:themeColor="text1"/>
                <w:sz w:val="20"/>
                <w:szCs w:val="20"/>
                <w:lang w:eastAsia="zh-CN"/>
              </w:rPr>
            </w:pPr>
            <w:r>
              <w:rPr>
                <w:rFonts w:cstheme="minorHAnsi"/>
                <w:color w:val="000000" w:themeColor="text1"/>
                <w:sz w:val="20"/>
                <w:szCs w:val="20"/>
                <w:lang w:eastAsia="zh-CN"/>
              </w:rPr>
              <w:t>1.654</w:t>
            </w:r>
          </w:p>
        </w:tc>
      </w:tr>
    </w:tbl>
    <w:p w14:paraId="43965544" w14:textId="77777777" w:rsidR="00BB79D6" w:rsidRDefault="00BB79D6" w:rsidP="00EB247F">
      <w:pPr>
        <w:pStyle w:val="Caption"/>
      </w:pPr>
      <w:bookmarkStart w:id="65" w:name="_Toc524993443"/>
    </w:p>
    <w:p w14:paraId="30AFEE0B" w14:textId="2D6FAFB3" w:rsidR="005C77F5" w:rsidRDefault="00087D3B" w:rsidP="005C77F5">
      <w:r>
        <w:t>T</w:t>
      </w:r>
      <w:r w:rsidR="0032353F">
        <w:t>he solution was</w:t>
      </w:r>
      <w:r w:rsidR="005C77F5">
        <w:t xml:space="preserve"> </w:t>
      </w:r>
      <w:r w:rsidR="0032353F">
        <w:t xml:space="preserve">integrated with all other </w:t>
      </w:r>
      <w:r w:rsidR="00B251A2">
        <w:t xml:space="preserve">Project Drawdown </w:t>
      </w:r>
      <w:r w:rsidR="0032353F">
        <w:t>solutions and</w:t>
      </w:r>
      <w:r w:rsidR="0069014F">
        <w:t xml:space="preserve"> may have different emissions results</w:t>
      </w:r>
      <w:r w:rsidR="00B251A2">
        <w:t xml:space="preserve"> </w:t>
      </w:r>
      <w:r w:rsidR="00926C81">
        <w:t>from the models</w:t>
      </w:r>
      <w:r w:rsidR="0069014F">
        <w:t xml:space="preserve">. This is due to adjustments caused by interactions among solutions that limit full adoption (such as by feedstock or demand limits) or </w:t>
      </w:r>
      <w:r w:rsidR="00B251A2">
        <w:t xml:space="preserve">that </w:t>
      </w:r>
      <w:r w:rsidR="0069014F">
        <w:t>limit</w:t>
      </w:r>
      <w:r w:rsidR="00B251A2">
        <w:t xml:space="preserve"> </w:t>
      </w:r>
      <w:r w:rsidR="0069014F">
        <w:t>the full benefit of some solutions</w:t>
      </w:r>
      <w:r w:rsidR="00B251A2">
        <w:t xml:space="preserve"> (such as reduced individual </w:t>
      </w:r>
      <w:r>
        <w:t xml:space="preserve">solution </w:t>
      </w:r>
      <w:r w:rsidR="00B251A2">
        <w:t xml:space="preserve">impact </w:t>
      </w:r>
      <w:r>
        <w:t>when technologies are</w:t>
      </w:r>
      <w:r w:rsidR="00B251A2">
        <w:t xml:space="preserve"> combined)</w:t>
      </w:r>
      <w:r w:rsidR="0032353F">
        <w:t>.</w:t>
      </w:r>
    </w:p>
    <w:p w14:paraId="54B5EBE5" w14:textId="77777777" w:rsidR="006B675D" w:rsidRPr="005C77F5" w:rsidRDefault="006B675D" w:rsidP="005C77F5"/>
    <w:p w14:paraId="524B77BF" w14:textId="2C8DD5A1" w:rsidR="00762877" w:rsidRPr="00762877" w:rsidRDefault="003A7929" w:rsidP="00EB247F">
      <w:pPr>
        <w:pStyle w:val="Caption"/>
        <w:jc w:val="center"/>
        <w:rPr>
          <w:sz w:val="24"/>
          <w:szCs w:val="24"/>
          <w:lang w:eastAsia="zh-CN"/>
        </w:rPr>
      </w:pPr>
      <w:bookmarkStart w:id="66" w:name="_Toc38211673"/>
      <w:r>
        <w:t xml:space="preserve">Table </w:t>
      </w:r>
      <w:fldSimple w:instr=" STYLEREF 1 \s ">
        <w:r w:rsidR="008F2A2C">
          <w:rPr>
            <w:noProof/>
          </w:rPr>
          <w:t>3</w:t>
        </w:r>
      </w:fldSimple>
      <w:r w:rsidR="00F36327">
        <w:t>.</w:t>
      </w:r>
      <w:fldSimple w:instr=" SEQ Table \* ARABIC \s 1 ">
        <w:r w:rsidR="008F2A2C">
          <w:rPr>
            <w:noProof/>
          </w:rPr>
          <w:t>3</w:t>
        </w:r>
      </w:fldSimple>
      <w:r>
        <w:t xml:space="preserve"> Impacts on Atmospheric Concentrations of CO</w:t>
      </w:r>
      <w:r w:rsidRPr="00AF1BB4">
        <w:rPr>
          <w:vertAlign w:val="subscript"/>
        </w:rPr>
        <w:t>2</w:t>
      </w:r>
      <w:r>
        <w:t>-eq</w:t>
      </w:r>
      <w:bookmarkEnd w:id="65"/>
      <w:bookmarkEnd w:id="66"/>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66753A" w14:paraId="6867F03C" w14:textId="77777777" w:rsidTr="00D3523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5C77F5" w:rsidRDefault="003A7929" w:rsidP="00AD4CF8">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5C77F5" w:rsidRDefault="003A7929" w:rsidP="00AD4CF8">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5C77F5" w:rsidRDefault="003A7929" w:rsidP="00AD4CF8">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Rate of Change in 2050</w:t>
            </w:r>
          </w:p>
        </w:tc>
      </w:tr>
      <w:tr w:rsidR="003A7929" w:rsidRPr="0066753A" w14:paraId="143693A2" w14:textId="77777777" w:rsidTr="00D3523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FB649C" w:rsidRDefault="003A7929" w:rsidP="00AD4CF8">
            <w:pPr>
              <w:spacing w:line="240" w:lineRule="auto"/>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FB649C" w:rsidRDefault="003A7929" w:rsidP="00AD4CF8">
            <w:pPr>
              <w:spacing w:line="240" w:lineRule="auto"/>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FB649C" w:rsidRDefault="003A7929" w:rsidP="00AD4CF8">
            <w:pPr>
              <w:spacing w:line="240" w:lineRule="auto"/>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change from 2049-2050</w:t>
            </w:r>
          </w:p>
        </w:tc>
      </w:tr>
      <w:tr w:rsidR="003A7929" w:rsidRPr="0066753A" w14:paraId="4F4161D1"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1E0A80CE" w:rsidR="003A7929" w:rsidRPr="0066753A" w:rsidRDefault="003A7929" w:rsidP="00AD4CF8">
            <w:pPr>
              <w:shd w:val="clear" w:color="auto" w:fill="FFFFFF" w:themeFill="background1"/>
              <w:spacing w:line="240" w:lineRule="auto"/>
              <w:jc w:val="center"/>
              <w:rPr>
                <w:color w:val="000000" w:themeColor="text1"/>
                <w:sz w:val="20"/>
                <w:szCs w:val="20"/>
                <w:lang w:eastAsia="zh-CN"/>
              </w:rPr>
            </w:pPr>
            <w:r w:rsidRPr="551A77D0">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1BCFAA" w14:textId="3E1E0C0A" w:rsidR="003A7929" w:rsidRPr="0066753A" w:rsidRDefault="00EA0157" w:rsidP="00AD4CF8">
            <w:pPr>
              <w:shd w:val="clear" w:color="auto" w:fill="FFFFFF"/>
              <w:spacing w:line="240" w:lineRule="auto"/>
              <w:jc w:val="center"/>
              <w:rPr>
                <w:rFonts w:cstheme="minorHAnsi"/>
                <w:color w:val="000000" w:themeColor="text1"/>
                <w:sz w:val="20"/>
                <w:szCs w:val="20"/>
                <w:lang w:eastAsia="zh-CN"/>
              </w:rPr>
            </w:pPr>
            <w:r>
              <w:rPr>
                <w:rFonts w:cstheme="minorHAnsi"/>
                <w:color w:val="000000" w:themeColor="text1"/>
                <w:sz w:val="20"/>
                <w:szCs w:val="20"/>
                <w:lang w:eastAsia="zh-CN"/>
              </w:rPr>
              <w:t>0.671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FA7AAF" w14:textId="243F9EE2" w:rsidR="003A7929" w:rsidRPr="0066753A" w:rsidRDefault="00EA0157" w:rsidP="00AD4CF8">
            <w:pPr>
              <w:shd w:val="clear" w:color="auto" w:fill="FFFFFF"/>
              <w:spacing w:line="240" w:lineRule="auto"/>
              <w:jc w:val="center"/>
              <w:rPr>
                <w:rFonts w:cstheme="minorHAnsi"/>
                <w:color w:val="000000" w:themeColor="text1"/>
                <w:sz w:val="20"/>
                <w:szCs w:val="20"/>
                <w:lang w:eastAsia="zh-CN"/>
              </w:rPr>
            </w:pPr>
            <w:r>
              <w:rPr>
                <w:rFonts w:cstheme="minorHAnsi"/>
                <w:color w:val="000000" w:themeColor="text1"/>
                <w:sz w:val="20"/>
                <w:szCs w:val="20"/>
                <w:lang w:eastAsia="zh-CN"/>
              </w:rPr>
              <w:t>0.038</w:t>
            </w:r>
          </w:p>
        </w:tc>
      </w:tr>
      <w:tr w:rsidR="0030099E" w:rsidRPr="0066753A" w14:paraId="389D5E87"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30099E" w:rsidRPr="0066753A" w:rsidRDefault="0030099E" w:rsidP="00AD4CF8">
            <w:pPr>
              <w:shd w:val="clear" w:color="auto" w:fill="FFFFFF" w:themeFill="background1"/>
              <w:spacing w:line="240" w:lineRule="auto"/>
              <w:jc w:val="center"/>
              <w:rPr>
                <w:color w:val="000000" w:themeColor="text1"/>
                <w:sz w:val="20"/>
                <w:szCs w:val="20"/>
                <w:lang w:eastAsia="zh-CN"/>
              </w:rPr>
            </w:pPr>
            <w:r w:rsidRPr="551A77D0">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EE9459" w14:textId="76CE7252" w:rsidR="0030099E" w:rsidRPr="0066753A" w:rsidRDefault="00EA0157" w:rsidP="00AD4CF8">
            <w:pPr>
              <w:shd w:val="clear" w:color="auto" w:fill="FFFFFF"/>
              <w:spacing w:line="240" w:lineRule="auto"/>
              <w:jc w:val="center"/>
              <w:rPr>
                <w:rFonts w:cstheme="minorHAnsi"/>
                <w:color w:val="000000" w:themeColor="text1"/>
                <w:sz w:val="20"/>
                <w:szCs w:val="20"/>
                <w:lang w:eastAsia="zh-CN"/>
              </w:rPr>
            </w:pPr>
            <w:r>
              <w:rPr>
                <w:rFonts w:cstheme="minorHAnsi"/>
                <w:color w:val="000000" w:themeColor="text1"/>
                <w:sz w:val="20"/>
                <w:szCs w:val="20"/>
                <w:lang w:eastAsia="zh-CN"/>
              </w:rPr>
              <w:t>1.355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FCEF" w14:textId="336C769F" w:rsidR="0030099E" w:rsidRPr="0066753A" w:rsidRDefault="00EA0157" w:rsidP="00AD4CF8">
            <w:pPr>
              <w:shd w:val="clear" w:color="auto" w:fill="FFFFFF"/>
              <w:spacing w:line="240" w:lineRule="auto"/>
              <w:jc w:val="center"/>
              <w:rPr>
                <w:rFonts w:cstheme="minorHAnsi"/>
                <w:color w:val="000000" w:themeColor="text1"/>
                <w:sz w:val="20"/>
                <w:szCs w:val="20"/>
                <w:lang w:eastAsia="zh-CN"/>
              </w:rPr>
            </w:pPr>
            <w:r>
              <w:rPr>
                <w:rFonts w:cstheme="minorHAnsi"/>
                <w:color w:val="000000" w:themeColor="text1"/>
                <w:sz w:val="20"/>
                <w:szCs w:val="20"/>
                <w:lang w:eastAsia="zh-CN"/>
              </w:rPr>
              <w:t>0.076</w:t>
            </w:r>
          </w:p>
        </w:tc>
      </w:tr>
      <w:tr w:rsidR="0030099E" w:rsidRPr="0066753A" w14:paraId="7A2BE5CA"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30099E" w:rsidRPr="0066753A" w:rsidRDefault="0030099E" w:rsidP="00AD4CF8">
            <w:pPr>
              <w:shd w:val="clear" w:color="auto" w:fill="FFFFFF" w:themeFill="background1"/>
              <w:spacing w:line="240" w:lineRule="auto"/>
              <w:jc w:val="center"/>
              <w:rPr>
                <w:color w:val="000000" w:themeColor="text1"/>
                <w:sz w:val="20"/>
                <w:szCs w:val="20"/>
                <w:lang w:eastAsia="zh-CN"/>
              </w:rPr>
            </w:pPr>
            <w:r w:rsidRPr="551A77D0">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CA082F" w14:textId="28ED7CC9" w:rsidR="0030099E" w:rsidRPr="0066753A" w:rsidRDefault="00EA0157" w:rsidP="00AD4CF8">
            <w:pPr>
              <w:shd w:val="clear" w:color="auto" w:fill="FFFFFF"/>
              <w:spacing w:line="240" w:lineRule="auto"/>
              <w:jc w:val="center"/>
              <w:rPr>
                <w:rFonts w:cstheme="minorHAnsi"/>
                <w:color w:val="000000" w:themeColor="text1"/>
                <w:sz w:val="20"/>
                <w:szCs w:val="20"/>
                <w:lang w:eastAsia="zh-CN"/>
              </w:rPr>
            </w:pPr>
            <w:r>
              <w:rPr>
                <w:rFonts w:cstheme="minorHAnsi"/>
                <w:color w:val="000000" w:themeColor="text1"/>
                <w:sz w:val="20"/>
                <w:szCs w:val="20"/>
                <w:lang w:eastAsia="zh-CN"/>
              </w:rPr>
              <w:t>2.279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8C8CB" w14:textId="30BC05A7" w:rsidR="0030099E" w:rsidRPr="0066753A" w:rsidRDefault="00EA0157" w:rsidP="00AD4CF8">
            <w:pPr>
              <w:shd w:val="clear" w:color="auto" w:fill="FFFFFF"/>
              <w:spacing w:line="240" w:lineRule="auto"/>
              <w:jc w:val="center"/>
              <w:rPr>
                <w:rFonts w:cstheme="minorHAnsi"/>
                <w:color w:val="000000" w:themeColor="text1"/>
                <w:sz w:val="20"/>
                <w:szCs w:val="20"/>
                <w:lang w:eastAsia="zh-CN"/>
              </w:rPr>
            </w:pPr>
            <w:r>
              <w:rPr>
                <w:rFonts w:cstheme="minorHAnsi"/>
                <w:color w:val="000000" w:themeColor="text1"/>
                <w:sz w:val="20"/>
                <w:szCs w:val="20"/>
                <w:lang w:eastAsia="zh-CN"/>
              </w:rPr>
              <w:t>0.127</w:t>
            </w:r>
          </w:p>
        </w:tc>
      </w:tr>
    </w:tbl>
    <w:p w14:paraId="52077D33" w14:textId="77777777" w:rsidR="003A7FE2" w:rsidRDefault="003A7FE2" w:rsidP="00EB247F">
      <w:pPr>
        <w:pStyle w:val="Caption"/>
      </w:pPr>
    </w:p>
    <w:p w14:paraId="6DD4F749" w14:textId="77777777" w:rsidR="006B675D" w:rsidRPr="006B675D" w:rsidRDefault="006B675D" w:rsidP="006B675D"/>
    <w:p w14:paraId="61997373" w14:textId="79EBE6F3" w:rsidR="003A7929" w:rsidRPr="00996E91" w:rsidRDefault="002E3A2F" w:rsidP="00EB247F">
      <w:pPr>
        <w:jc w:val="center"/>
        <w:rPr>
          <w:highlight w:val="red"/>
        </w:rPr>
      </w:pPr>
      <w:r>
        <w:rPr>
          <w:noProof/>
        </w:rPr>
        <w:drawing>
          <wp:inline distT="0" distB="0" distL="0" distR="0" wp14:anchorId="6A07EC7D" wp14:editId="4D086D1F">
            <wp:extent cx="5016500" cy="345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16500" cy="3454400"/>
                    </a:xfrm>
                    <a:prstGeom prst="rect">
                      <a:avLst/>
                    </a:prstGeom>
                  </pic:spPr>
                </pic:pic>
              </a:graphicData>
            </a:graphic>
          </wp:inline>
        </w:drawing>
      </w:r>
    </w:p>
    <w:p w14:paraId="5DAEFCF6" w14:textId="632E781F" w:rsidR="00762877" w:rsidRPr="00996E91" w:rsidRDefault="003A7929" w:rsidP="00996E91">
      <w:pPr>
        <w:pStyle w:val="Caption"/>
        <w:jc w:val="center"/>
        <w:rPr>
          <w:sz w:val="24"/>
          <w:szCs w:val="24"/>
          <w:lang w:eastAsia="zh-CN"/>
        </w:rPr>
      </w:pPr>
      <w:bookmarkStart w:id="67" w:name="_Toc524993433"/>
      <w:bookmarkStart w:id="68" w:name="_Toc38211663"/>
      <w:r w:rsidRPr="006B675D">
        <w:t xml:space="preserve">Figure </w:t>
      </w:r>
      <w:fldSimple w:instr=" STYLEREF 1 \s ">
        <w:r w:rsidR="008F2A2C">
          <w:rPr>
            <w:noProof/>
          </w:rPr>
          <w:t>3</w:t>
        </w:r>
      </w:fldSimple>
      <w:r w:rsidR="006807AA">
        <w:t>.</w:t>
      </w:r>
      <w:fldSimple w:instr=" SEQ Figure \* ARABIC \s 1 ">
        <w:r w:rsidR="008F2A2C">
          <w:rPr>
            <w:noProof/>
          </w:rPr>
          <w:t>2</w:t>
        </w:r>
      </w:fldSimple>
      <w:r w:rsidRPr="006B675D">
        <w:t xml:space="preserve"> World Annual</w:t>
      </w:r>
      <w:r w:rsidRPr="006B675D">
        <w:rPr>
          <w:vertAlign w:val="subscript"/>
        </w:rPr>
        <w:t xml:space="preserve"> </w:t>
      </w:r>
      <w:r w:rsidRPr="006B675D">
        <w:t>Greenhouse Gas Emissions Reduction</w:t>
      </w:r>
      <w:bookmarkEnd w:id="67"/>
      <w:bookmarkEnd w:id="68"/>
    </w:p>
    <w:p w14:paraId="66EC2EBB" w14:textId="500D3397" w:rsidR="00B261E0" w:rsidRDefault="551A77D0" w:rsidP="00C07355">
      <w:pPr>
        <w:pStyle w:val="Heading2"/>
        <w:numPr>
          <w:ilvl w:val="1"/>
          <w:numId w:val="28"/>
        </w:numPr>
      </w:pPr>
      <w:bookmarkStart w:id="69" w:name="_Toc38211655"/>
      <w:r w:rsidRPr="551A77D0">
        <w:t>Financial Impacts</w:t>
      </w:r>
      <w:bookmarkEnd w:id="69"/>
    </w:p>
    <w:p w14:paraId="306213A7" w14:textId="0154483D" w:rsidR="006B675D" w:rsidRPr="00EC12A1" w:rsidRDefault="006B675D" w:rsidP="006B675D">
      <w:r w:rsidRPr="00EC12A1">
        <w:t>Below are the financial results of the analysis for each scenario. For a detailed explanation of each result, please see the glossary.</w:t>
      </w:r>
    </w:p>
    <w:p w14:paraId="4F6C2C45" w14:textId="77777777" w:rsidR="00E14F94" w:rsidRDefault="00E14F94" w:rsidP="00EB247F">
      <w:pPr>
        <w:rPr>
          <w:bCs/>
          <w:i/>
        </w:rPr>
      </w:pPr>
    </w:p>
    <w:p w14:paraId="09347CCA" w14:textId="546134C7" w:rsidR="00492F5E" w:rsidRPr="00492F5E" w:rsidRDefault="00492F5E" w:rsidP="00EB247F">
      <w:pPr>
        <w:pStyle w:val="Caption"/>
        <w:jc w:val="center"/>
        <w:rPr>
          <w:i w:val="0"/>
          <w:iCs w:val="0"/>
        </w:rPr>
      </w:pPr>
      <w:bookmarkStart w:id="70" w:name="_Toc38211674"/>
      <w:r>
        <w:t xml:space="preserve">Table </w:t>
      </w:r>
      <w:fldSimple w:instr=" STYLEREF 1 \s ">
        <w:r w:rsidR="008F2A2C">
          <w:rPr>
            <w:noProof/>
          </w:rPr>
          <w:t>3</w:t>
        </w:r>
      </w:fldSimple>
      <w:r w:rsidR="00F36327">
        <w:t>.</w:t>
      </w:r>
      <w:fldSimple w:instr=" SEQ Table \* ARABIC \s 1 ">
        <w:r w:rsidR="008F2A2C">
          <w:rPr>
            <w:noProof/>
          </w:rPr>
          <w:t>4</w:t>
        </w:r>
      </w:fldSimple>
      <w:r>
        <w:t xml:space="preserve"> Financial Impacts</w:t>
      </w:r>
      <w:bookmarkEnd w:id="70"/>
    </w:p>
    <w:tbl>
      <w:tblPr>
        <w:tblW w:w="0" w:type="auto"/>
        <w:jc w:val="center"/>
        <w:tblCellMar>
          <w:top w:w="15" w:type="dxa"/>
          <w:left w:w="15" w:type="dxa"/>
          <w:bottom w:w="15" w:type="dxa"/>
          <w:right w:w="15" w:type="dxa"/>
        </w:tblCellMar>
        <w:tblLook w:val="04A0" w:firstRow="1" w:lastRow="0" w:firstColumn="1" w:lastColumn="0" w:noHBand="0" w:noVBand="1"/>
      </w:tblPr>
      <w:tblGrid>
        <w:gridCol w:w="1434"/>
        <w:gridCol w:w="1200"/>
        <w:gridCol w:w="1000"/>
        <w:gridCol w:w="1078"/>
        <w:gridCol w:w="2036"/>
      </w:tblGrid>
      <w:tr w:rsidR="000C3A85" w:rsidRPr="006B675D" w14:paraId="02CA9FB7" w14:textId="77777777" w:rsidTr="000C3A85">
        <w:trPr>
          <w:cantSplit/>
          <w:trHeight w:val="820"/>
          <w:tblHeader/>
          <w:jc w:val="center"/>
        </w:trPr>
        <w:tc>
          <w:tcPr>
            <w:tcW w:w="143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73B5F21" w14:textId="77777777" w:rsidR="000C3A85" w:rsidRPr="006B675D" w:rsidRDefault="000C3A85" w:rsidP="00AD4CF8">
            <w:pPr>
              <w:spacing w:line="240" w:lineRule="auto"/>
              <w:jc w:val="center"/>
              <w:rPr>
                <w:b/>
                <w:color w:val="FFFFFF" w:themeColor="background1"/>
                <w:sz w:val="20"/>
                <w:szCs w:val="20"/>
                <w:lang w:eastAsia="zh-CN"/>
              </w:rPr>
            </w:pPr>
            <w:r w:rsidRPr="006B675D">
              <w:rPr>
                <w:b/>
                <w:bCs/>
                <w:color w:val="FFFFFF" w:themeColor="background1"/>
                <w:sz w:val="20"/>
                <w:szCs w:val="20"/>
                <w:lang w:eastAsia="zh-CN"/>
              </w:rPr>
              <w:t>Scenario</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BBD60AA" w14:textId="77777777" w:rsidR="000C3A85" w:rsidRPr="006B675D" w:rsidRDefault="000C3A85" w:rsidP="00AD4CF8">
            <w:pPr>
              <w:spacing w:line="240" w:lineRule="auto"/>
              <w:jc w:val="center"/>
              <w:rPr>
                <w:b/>
                <w:color w:val="FFFFFF" w:themeColor="background1"/>
                <w:sz w:val="20"/>
                <w:szCs w:val="20"/>
                <w:lang w:eastAsia="zh-CN"/>
              </w:rPr>
            </w:pPr>
            <w:r w:rsidRPr="006B675D">
              <w:rPr>
                <w:b/>
                <w:bCs/>
                <w:color w:val="FFFFFF" w:themeColor="background1"/>
                <w:sz w:val="20"/>
                <w:szCs w:val="20"/>
                <w:lang w:eastAsia="zh-CN"/>
              </w:rPr>
              <w:t>Cumulative First Cost</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B320DE8" w14:textId="77777777" w:rsidR="000C3A85" w:rsidRPr="006B675D" w:rsidRDefault="000C3A85" w:rsidP="00AD4CF8">
            <w:pPr>
              <w:spacing w:line="240" w:lineRule="auto"/>
              <w:jc w:val="center"/>
              <w:rPr>
                <w:b/>
                <w:color w:val="FFFFFF" w:themeColor="background1"/>
                <w:sz w:val="20"/>
                <w:szCs w:val="20"/>
                <w:lang w:eastAsia="zh-CN"/>
              </w:rPr>
            </w:pPr>
            <w:r w:rsidRPr="006B675D">
              <w:rPr>
                <w:b/>
                <w:bCs/>
                <w:color w:val="FFFFFF" w:themeColor="background1"/>
                <w:sz w:val="20"/>
                <w:szCs w:val="20"/>
                <w:lang w:eastAsia="zh-CN"/>
              </w:rPr>
              <w:t>Marginal First Cost</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A4C674E" w14:textId="77777777" w:rsidR="000C3A85" w:rsidRPr="006B675D" w:rsidRDefault="000C3A85" w:rsidP="00AD4CF8">
            <w:pPr>
              <w:spacing w:line="240" w:lineRule="auto"/>
              <w:jc w:val="center"/>
              <w:rPr>
                <w:b/>
                <w:color w:val="FFFFFF" w:themeColor="background1"/>
                <w:sz w:val="20"/>
                <w:szCs w:val="20"/>
                <w:lang w:eastAsia="zh-CN"/>
              </w:rPr>
            </w:pPr>
            <w:r w:rsidRPr="006B675D">
              <w:rPr>
                <w:b/>
                <w:bCs/>
                <w:color w:val="FFFFFF" w:themeColor="background1"/>
                <w:sz w:val="20"/>
                <w:szCs w:val="20"/>
                <w:lang w:eastAsia="zh-CN"/>
              </w:rPr>
              <w:t>Net Operating Savings</w:t>
            </w:r>
          </w:p>
        </w:tc>
        <w:tc>
          <w:tcPr>
            <w:tcW w:w="203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8ABD301" w14:textId="00F57FF7" w:rsidR="000C3A85" w:rsidRPr="006B675D" w:rsidRDefault="000C3A85" w:rsidP="00AD4CF8">
            <w:pPr>
              <w:spacing w:line="240" w:lineRule="auto"/>
              <w:jc w:val="center"/>
              <w:rPr>
                <w:b/>
                <w:color w:val="FFFFFF" w:themeColor="background1"/>
                <w:sz w:val="20"/>
                <w:szCs w:val="20"/>
                <w:lang w:eastAsia="zh-CN"/>
              </w:rPr>
            </w:pPr>
            <w:r w:rsidRPr="006B675D">
              <w:rPr>
                <w:b/>
                <w:bCs/>
                <w:color w:val="FFFFFF" w:themeColor="background1"/>
                <w:sz w:val="20"/>
                <w:szCs w:val="20"/>
                <w:lang w:eastAsia="zh-CN"/>
              </w:rPr>
              <w:t>Lifetime Cashflow Savings NPV (of All Implementation Units)</w:t>
            </w:r>
          </w:p>
        </w:tc>
      </w:tr>
      <w:tr w:rsidR="000C3A85" w:rsidRPr="006B675D" w14:paraId="67FE449F" w14:textId="77777777" w:rsidTr="000C3A85">
        <w:trPr>
          <w:cantSplit/>
          <w:trHeight w:val="640"/>
          <w:tblHeader/>
          <w:jc w:val="center"/>
        </w:trPr>
        <w:tc>
          <w:tcPr>
            <w:tcW w:w="143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0C3A85" w:rsidRPr="006B675D" w:rsidRDefault="000C3A85" w:rsidP="00AD4CF8">
            <w:pPr>
              <w:spacing w:line="240" w:lineRule="auto"/>
              <w:jc w:val="center"/>
              <w:rPr>
                <w:rFonts w:cstheme="minorHAnsi"/>
                <w:b/>
                <w:color w:val="FFFFFF" w:themeColor="background1"/>
                <w:sz w:val="20"/>
                <w:szCs w:val="20"/>
                <w:lang w:eastAsia="zh-CN"/>
              </w:rPr>
            </w:pP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4ADDBA3" w14:textId="77777777" w:rsidR="000C3A85" w:rsidRPr="006B675D" w:rsidRDefault="000C3A85" w:rsidP="00AD4CF8">
            <w:pPr>
              <w:spacing w:line="240" w:lineRule="auto"/>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CFE258" w14:textId="77777777" w:rsidR="000C3A85" w:rsidRPr="006B675D" w:rsidRDefault="000C3A85" w:rsidP="00AD4CF8">
            <w:pPr>
              <w:spacing w:line="240" w:lineRule="auto"/>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2B138C" w14:textId="77777777" w:rsidR="000C3A85" w:rsidRPr="006B675D" w:rsidRDefault="000C3A85" w:rsidP="00AD4CF8">
            <w:pPr>
              <w:spacing w:line="240" w:lineRule="auto"/>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203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EBAAA5" w14:textId="1C0BC95D" w:rsidR="000C3A85" w:rsidRPr="006B675D" w:rsidRDefault="000C3A85" w:rsidP="00AD4CF8">
            <w:pPr>
              <w:spacing w:line="240" w:lineRule="auto"/>
              <w:jc w:val="center"/>
              <w:rPr>
                <w:i/>
                <w:color w:val="FFFFFF" w:themeColor="background1"/>
                <w:sz w:val="20"/>
                <w:szCs w:val="20"/>
                <w:lang w:eastAsia="zh-CN"/>
              </w:rPr>
            </w:pPr>
            <w:r w:rsidRPr="006B675D">
              <w:rPr>
                <w:i/>
                <w:color w:val="FFFFFF" w:themeColor="background1"/>
                <w:sz w:val="20"/>
                <w:szCs w:val="20"/>
                <w:lang w:eastAsia="zh-CN"/>
              </w:rPr>
              <w:t>Billion USD</w:t>
            </w:r>
          </w:p>
        </w:tc>
      </w:tr>
      <w:tr w:rsidR="000C3A85" w:rsidRPr="006B675D" w14:paraId="2CCDE781" w14:textId="77777777" w:rsidTr="000C3A85">
        <w:trPr>
          <w:trHeight w:val="440"/>
          <w:jc w:val="center"/>
        </w:trPr>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09B68F2" w14:textId="77777777" w:rsidR="000C3A85" w:rsidRPr="006B675D" w:rsidRDefault="000C3A85" w:rsidP="00AD4CF8">
            <w:pPr>
              <w:spacing w:line="240" w:lineRule="auto"/>
              <w:jc w:val="center"/>
              <w:rPr>
                <w:sz w:val="20"/>
                <w:szCs w:val="20"/>
                <w:lang w:eastAsia="zh-CN"/>
              </w:rPr>
            </w:pPr>
            <w:r w:rsidRPr="006B675D">
              <w:rPr>
                <w:b/>
                <w:bCs/>
                <w:color w:val="000000" w:themeColor="text1"/>
                <w:sz w:val="20"/>
                <w:szCs w:val="20"/>
                <w:lang w:eastAsia="zh-CN"/>
              </w:rPr>
              <w:t>Plausible</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515D5F2" w14:textId="0E4F90F1" w:rsidR="000C3A85" w:rsidRPr="006B675D" w:rsidRDefault="00EA0157" w:rsidP="00AD4CF8">
            <w:pPr>
              <w:spacing w:line="240" w:lineRule="auto"/>
              <w:jc w:val="center"/>
              <w:rPr>
                <w:rFonts w:cstheme="minorHAnsi"/>
                <w:sz w:val="20"/>
                <w:szCs w:val="20"/>
                <w:lang w:eastAsia="zh-CN"/>
              </w:rPr>
            </w:pPr>
            <w:r>
              <w:rPr>
                <w:rFonts w:cstheme="minorHAnsi"/>
                <w:sz w:val="20"/>
                <w:szCs w:val="20"/>
                <w:lang w:eastAsia="zh-CN"/>
              </w:rPr>
              <w:t>5045.66</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1BD6A13" w14:textId="1D38C8A6" w:rsidR="000C3A85" w:rsidRPr="006B675D" w:rsidRDefault="00EA0157" w:rsidP="00AD4CF8">
            <w:pPr>
              <w:spacing w:line="240" w:lineRule="auto"/>
              <w:jc w:val="center"/>
              <w:rPr>
                <w:rFonts w:cstheme="minorHAnsi"/>
                <w:sz w:val="20"/>
                <w:szCs w:val="20"/>
                <w:lang w:eastAsia="zh-CN"/>
              </w:rPr>
            </w:pPr>
            <w:r>
              <w:rPr>
                <w:rFonts w:cstheme="minorHAnsi"/>
                <w:sz w:val="20"/>
                <w:szCs w:val="20"/>
                <w:lang w:eastAsia="zh-CN"/>
              </w:rPr>
              <w:t>63.46</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A9B277B" w14:textId="236F9BD8" w:rsidR="000C3A85" w:rsidRPr="006B675D" w:rsidRDefault="00EA0157" w:rsidP="00AD4CF8">
            <w:pPr>
              <w:spacing w:line="240" w:lineRule="auto"/>
              <w:jc w:val="center"/>
              <w:rPr>
                <w:rFonts w:cstheme="minorHAnsi"/>
                <w:sz w:val="20"/>
                <w:szCs w:val="20"/>
                <w:lang w:eastAsia="zh-CN"/>
              </w:rPr>
            </w:pPr>
            <w:r>
              <w:rPr>
                <w:rFonts w:cstheme="minorHAnsi"/>
                <w:sz w:val="20"/>
                <w:szCs w:val="20"/>
                <w:lang w:eastAsia="zh-CN"/>
              </w:rPr>
              <w:t>--</w:t>
            </w:r>
          </w:p>
        </w:tc>
        <w:tc>
          <w:tcPr>
            <w:tcW w:w="203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5403F6C" w14:textId="67AA3B98" w:rsidR="000C3A85" w:rsidRPr="006B675D" w:rsidRDefault="00EA0157" w:rsidP="00AD4CF8">
            <w:pPr>
              <w:spacing w:line="240" w:lineRule="auto"/>
              <w:jc w:val="center"/>
              <w:rPr>
                <w:rFonts w:cstheme="minorHAnsi"/>
                <w:sz w:val="20"/>
                <w:szCs w:val="20"/>
                <w:lang w:eastAsia="zh-CN"/>
              </w:rPr>
            </w:pPr>
            <w:r>
              <w:rPr>
                <w:rFonts w:cstheme="minorHAnsi"/>
                <w:sz w:val="20"/>
                <w:szCs w:val="20"/>
                <w:lang w:eastAsia="zh-CN"/>
              </w:rPr>
              <w:t>8.46</w:t>
            </w:r>
          </w:p>
        </w:tc>
      </w:tr>
      <w:tr w:rsidR="000C3A85" w:rsidRPr="006B675D" w14:paraId="6C3482B4" w14:textId="77777777" w:rsidTr="000C3A85">
        <w:trPr>
          <w:trHeight w:val="440"/>
          <w:jc w:val="center"/>
        </w:trPr>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2370E76" w14:textId="77777777" w:rsidR="000C3A85" w:rsidRPr="006B675D" w:rsidRDefault="000C3A85" w:rsidP="00AD4CF8">
            <w:pPr>
              <w:spacing w:line="240" w:lineRule="auto"/>
              <w:jc w:val="center"/>
              <w:rPr>
                <w:sz w:val="20"/>
                <w:szCs w:val="20"/>
                <w:lang w:eastAsia="zh-CN"/>
              </w:rPr>
            </w:pPr>
            <w:r w:rsidRPr="006B675D">
              <w:rPr>
                <w:b/>
                <w:bCs/>
                <w:color w:val="000000" w:themeColor="text1"/>
                <w:sz w:val="20"/>
                <w:szCs w:val="20"/>
                <w:lang w:eastAsia="zh-CN"/>
              </w:rPr>
              <w:t>Drawdown</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532B376" w14:textId="6FBB40CB" w:rsidR="000C3A85" w:rsidRPr="006B675D" w:rsidRDefault="00EA0157" w:rsidP="00AD4CF8">
            <w:pPr>
              <w:spacing w:line="240" w:lineRule="auto"/>
              <w:jc w:val="center"/>
              <w:rPr>
                <w:rFonts w:cstheme="minorHAnsi"/>
                <w:sz w:val="20"/>
                <w:szCs w:val="20"/>
                <w:lang w:eastAsia="zh-CN"/>
              </w:rPr>
            </w:pPr>
            <w:r>
              <w:rPr>
                <w:rFonts w:cstheme="minorHAnsi"/>
                <w:sz w:val="20"/>
                <w:szCs w:val="20"/>
                <w:lang w:eastAsia="zh-CN"/>
              </w:rPr>
              <w:t>5045.66</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51B939A" w14:textId="02A78D06" w:rsidR="000C3A85" w:rsidRPr="006B675D" w:rsidRDefault="00EA0157" w:rsidP="00AD4CF8">
            <w:pPr>
              <w:spacing w:line="240" w:lineRule="auto"/>
              <w:jc w:val="center"/>
              <w:rPr>
                <w:rFonts w:cstheme="minorHAnsi"/>
                <w:sz w:val="20"/>
                <w:szCs w:val="20"/>
                <w:lang w:eastAsia="zh-CN"/>
              </w:rPr>
            </w:pPr>
            <w:r>
              <w:rPr>
                <w:rFonts w:cstheme="minorHAnsi"/>
                <w:sz w:val="20"/>
                <w:szCs w:val="20"/>
                <w:lang w:eastAsia="zh-CN"/>
              </w:rPr>
              <w:t>63.46</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DFA5DB3" w14:textId="26D7431D" w:rsidR="000C3A85" w:rsidRPr="006B675D" w:rsidRDefault="00EA0157" w:rsidP="00AD4CF8">
            <w:pPr>
              <w:spacing w:line="240" w:lineRule="auto"/>
              <w:jc w:val="center"/>
              <w:rPr>
                <w:rFonts w:cstheme="minorHAnsi"/>
                <w:sz w:val="20"/>
                <w:szCs w:val="20"/>
                <w:lang w:eastAsia="zh-CN"/>
              </w:rPr>
            </w:pPr>
            <w:r>
              <w:rPr>
                <w:rFonts w:cstheme="minorHAnsi"/>
                <w:sz w:val="20"/>
                <w:szCs w:val="20"/>
                <w:lang w:eastAsia="zh-CN"/>
              </w:rPr>
              <w:t>--</w:t>
            </w:r>
          </w:p>
        </w:tc>
        <w:tc>
          <w:tcPr>
            <w:tcW w:w="203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47233A8" w14:textId="35DDB7DC" w:rsidR="000C3A85" w:rsidRPr="006B675D" w:rsidRDefault="00EA0157" w:rsidP="00AD4CF8">
            <w:pPr>
              <w:spacing w:line="240" w:lineRule="auto"/>
              <w:jc w:val="center"/>
              <w:rPr>
                <w:rFonts w:cstheme="minorHAnsi"/>
                <w:sz w:val="20"/>
                <w:szCs w:val="20"/>
                <w:lang w:eastAsia="zh-CN"/>
              </w:rPr>
            </w:pPr>
            <w:r>
              <w:rPr>
                <w:rFonts w:cstheme="minorHAnsi"/>
                <w:sz w:val="20"/>
                <w:szCs w:val="20"/>
                <w:lang w:eastAsia="zh-CN"/>
              </w:rPr>
              <w:t>8.46</w:t>
            </w:r>
          </w:p>
        </w:tc>
      </w:tr>
      <w:tr w:rsidR="00EA0157" w:rsidRPr="006B675D" w14:paraId="76A27626" w14:textId="77777777" w:rsidTr="000C3A85">
        <w:trPr>
          <w:trHeight w:val="440"/>
          <w:jc w:val="center"/>
        </w:trPr>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58728F4" w14:textId="77777777" w:rsidR="00EA0157" w:rsidRPr="006B675D" w:rsidRDefault="00EA0157" w:rsidP="00EA0157">
            <w:pPr>
              <w:spacing w:line="240" w:lineRule="auto"/>
              <w:jc w:val="center"/>
              <w:rPr>
                <w:sz w:val="20"/>
                <w:szCs w:val="20"/>
                <w:lang w:eastAsia="zh-CN"/>
              </w:rPr>
            </w:pPr>
            <w:r w:rsidRPr="006B675D">
              <w:rPr>
                <w:b/>
                <w:bCs/>
                <w:color w:val="000000" w:themeColor="text1"/>
                <w:sz w:val="20"/>
                <w:szCs w:val="20"/>
                <w:lang w:eastAsia="zh-CN"/>
              </w:rPr>
              <w:t>Optimum</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D3AF255" w14:textId="7DB1A906" w:rsidR="00EA0157" w:rsidRPr="006B675D" w:rsidRDefault="00EA0157" w:rsidP="00EA0157">
            <w:pPr>
              <w:spacing w:line="240" w:lineRule="auto"/>
              <w:jc w:val="center"/>
              <w:rPr>
                <w:rFonts w:cstheme="minorHAnsi"/>
                <w:sz w:val="20"/>
                <w:szCs w:val="20"/>
                <w:lang w:eastAsia="zh-CN"/>
              </w:rPr>
            </w:pPr>
            <w:r>
              <w:rPr>
                <w:rFonts w:cstheme="minorHAnsi"/>
                <w:sz w:val="20"/>
                <w:szCs w:val="20"/>
                <w:lang w:eastAsia="zh-CN"/>
              </w:rPr>
              <w:t>5045.66</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96F6A9C" w14:textId="66089E85" w:rsidR="00EA0157" w:rsidRPr="006B675D" w:rsidRDefault="00EA0157" w:rsidP="00EA0157">
            <w:pPr>
              <w:spacing w:line="240" w:lineRule="auto"/>
              <w:jc w:val="center"/>
              <w:rPr>
                <w:rFonts w:cstheme="minorHAnsi"/>
                <w:sz w:val="20"/>
                <w:szCs w:val="20"/>
                <w:lang w:eastAsia="zh-CN"/>
              </w:rPr>
            </w:pPr>
            <w:r>
              <w:rPr>
                <w:rFonts w:cstheme="minorHAnsi"/>
                <w:sz w:val="20"/>
                <w:szCs w:val="20"/>
                <w:lang w:eastAsia="zh-CN"/>
              </w:rPr>
              <w:t>63.46</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259EAAB" w14:textId="64163281" w:rsidR="00EA0157" w:rsidRPr="006B675D" w:rsidRDefault="00EA0157" w:rsidP="00EA0157">
            <w:pPr>
              <w:spacing w:line="240" w:lineRule="auto"/>
              <w:jc w:val="center"/>
              <w:rPr>
                <w:rFonts w:cstheme="minorHAnsi"/>
                <w:sz w:val="20"/>
                <w:szCs w:val="20"/>
                <w:lang w:eastAsia="zh-CN"/>
              </w:rPr>
            </w:pPr>
            <w:r>
              <w:rPr>
                <w:rFonts w:cstheme="minorHAnsi"/>
                <w:sz w:val="20"/>
                <w:szCs w:val="20"/>
                <w:lang w:eastAsia="zh-CN"/>
              </w:rPr>
              <w:t>--</w:t>
            </w:r>
          </w:p>
        </w:tc>
        <w:tc>
          <w:tcPr>
            <w:tcW w:w="203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F14A8F5" w14:textId="15E331F1" w:rsidR="00EA0157" w:rsidRPr="006B675D" w:rsidRDefault="00EA0157" w:rsidP="00EA0157">
            <w:pPr>
              <w:spacing w:line="240" w:lineRule="auto"/>
              <w:jc w:val="center"/>
              <w:rPr>
                <w:rFonts w:cstheme="minorHAnsi"/>
                <w:sz w:val="20"/>
                <w:szCs w:val="20"/>
                <w:lang w:eastAsia="zh-CN"/>
              </w:rPr>
            </w:pPr>
            <w:r>
              <w:rPr>
                <w:rFonts w:cstheme="minorHAnsi"/>
                <w:sz w:val="20"/>
                <w:szCs w:val="20"/>
                <w:lang w:eastAsia="zh-CN"/>
              </w:rPr>
              <w:t>8.46</w:t>
            </w:r>
          </w:p>
        </w:tc>
      </w:tr>
    </w:tbl>
    <w:p w14:paraId="638C27B6" w14:textId="65FE991D" w:rsidR="00F52595" w:rsidRDefault="551A77D0" w:rsidP="00C07355">
      <w:pPr>
        <w:pStyle w:val="Heading1"/>
        <w:numPr>
          <w:ilvl w:val="0"/>
          <w:numId w:val="28"/>
        </w:numPr>
      </w:pPr>
      <w:bookmarkStart w:id="71" w:name="_Toc38211656"/>
      <w:r>
        <w:t>Discussion</w:t>
      </w:r>
      <w:bookmarkEnd w:id="71"/>
    </w:p>
    <w:p w14:paraId="7344DA1A" w14:textId="2A0EB296" w:rsidR="00A43E15" w:rsidRPr="00A43E15" w:rsidRDefault="00A43E15" w:rsidP="00A43E15">
      <w:r>
        <w:t xml:space="preserve">By adopting alternative cements, significant reductions in global carbon dioxide emissions can be achieved between </w:t>
      </w:r>
      <w:r w:rsidR="00CA1F10">
        <w:t>2020</w:t>
      </w:r>
      <w:r>
        <w:t xml:space="preserve"> and 2050.</w:t>
      </w:r>
      <w:r w:rsidR="00B2612F">
        <w:t xml:space="preserve"> B</w:t>
      </w:r>
      <w:r>
        <w:t>oth PDS1 and PDS2 highlight pathways for the global cement community to achieve a low-carbon future.</w:t>
      </w:r>
      <w:r w:rsidR="00B2612F">
        <w:t xml:space="preserve"> Since the cement manufacturing industry in present day is relatively efficient, the opportunities for emissions reductions primarily lie in reducing the quantity of clinker produced. Manufacturing efficiencies only account for about 10% of potential carbon savings, whereas reduction in the average clinker to cement ratio account for upwards of 90% of the potential carbon savings. Data for the market share of each cement type is limited, or out of date, thus the inclusion of more up to date details of the market can inform a more precise level of future adoption. Additionally, th</w:t>
      </w:r>
      <w:r>
        <w:t xml:space="preserve">e model can be improved through the inclusion of additional financial data for both the conventional and solution technologies. </w:t>
      </w:r>
      <w:r w:rsidR="001B5A5D">
        <w:t>D</w:t>
      </w:r>
      <w:r>
        <w:t xml:space="preserve">ue to the high variability of </w:t>
      </w:r>
      <w:r w:rsidR="00CA1F10">
        <w:t>cement cost</w:t>
      </w:r>
      <w:r>
        <w:t xml:space="preserve"> data, it may be difficult </w:t>
      </w:r>
      <w:r w:rsidRPr="000E604A">
        <w:t xml:space="preserve">to come by </w:t>
      </w:r>
      <w:r w:rsidR="00ED6DDA" w:rsidRPr="000E604A">
        <w:t xml:space="preserve">at </w:t>
      </w:r>
      <w:r w:rsidRPr="000E604A">
        <w:t>the</w:t>
      </w:r>
      <w:r>
        <w:t xml:space="preserve"> global scale.</w:t>
      </w:r>
    </w:p>
    <w:p w14:paraId="319DCBD8" w14:textId="1D52DA14" w:rsidR="006745FF" w:rsidRDefault="006745FF" w:rsidP="00C07355">
      <w:pPr>
        <w:pStyle w:val="Heading2"/>
        <w:numPr>
          <w:ilvl w:val="1"/>
          <w:numId w:val="28"/>
        </w:numPr>
      </w:pPr>
      <w:bookmarkStart w:id="72" w:name="_Toc38211657"/>
      <w:r w:rsidRPr="551A77D0">
        <w:t>Limitations</w:t>
      </w:r>
      <w:bookmarkEnd w:id="72"/>
    </w:p>
    <w:p w14:paraId="0C5B9D2D" w14:textId="31A98829" w:rsidR="00A43E15" w:rsidRDefault="00EE10F1" w:rsidP="00A43E15">
      <w:r>
        <w:t xml:space="preserve">The results of this model show that </w:t>
      </w:r>
      <w:r w:rsidR="00F2164C">
        <w:t xml:space="preserve">significant reductions in carbon emissions can be achieved through the adoption of alternative cement technologies, yet, the interpretation of these results requires a discussion of the limitations. This model does not account </w:t>
      </w:r>
      <w:r w:rsidR="00C2685E">
        <w:t xml:space="preserve">for any differences in the end-of-life emissions profiles for either the conventional or solution technology. </w:t>
      </w:r>
      <w:r w:rsidR="00A43E15">
        <w:t>The technologies each have different potentials for carbon sequestration at end-of-life based upon each’s carbonation mechanics. Due to the complexity and uncertainty associated with modeling the end-of-life carbonation, it was not included in this analysis.</w:t>
      </w:r>
    </w:p>
    <w:p w14:paraId="201346BD" w14:textId="1963F3E0" w:rsidR="00F2164C" w:rsidRDefault="00A43E15" w:rsidP="00A43E15">
      <w:r>
        <w:t xml:space="preserve">Additionally, the supply of clinker alternative materials was not modeled, and thus adoption of alternative cements was not bounded by any </w:t>
      </w:r>
      <w:r w:rsidR="00CA1F10">
        <w:t xml:space="preserve">constraints to </w:t>
      </w:r>
      <w:r>
        <w:t>supply. In reality, not all regions of the world may have access to the appropriate precursor materials required to produce alternative cements. For example, if a region does not have high steel production, it will not have large quantities of slag. These differences, and additional climate impacts associated with further transportation of materials were not considered.</w:t>
      </w:r>
    </w:p>
    <w:p w14:paraId="2A8F9632" w14:textId="66DC549D" w:rsidR="001B5A5D" w:rsidRPr="00EE10F1" w:rsidRDefault="001B5A5D" w:rsidP="00A43E15">
      <w:r>
        <w:t xml:space="preserve">Finally, the model currently uses a single cost for all low clinker cements, therefore the financial analysis does not differ for each scenario. As more data is collected in future on clinker material, the costs for the different clinker ratios and the costs associated with different CEM standards locational variability can be </w:t>
      </w:r>
      <w:r w:rsidR="002A11C4">
        <w:t>incorporated</w:t>
      </w:r>
      <w:r>
        <w:t xml:space="preserve"> into the model.</w:t>
      </w:r>
    </w:p>
    <w:p w14:paraId="2139E8E7" w14:textId="2E4F9753" w:rsidR="006745FF" w:rsidRDefault="006745FF" w:rsidP="00C07355">
      <w:pPr>
        <w:pStyle w:val="Heading2"/>
        <w:numPr>
          <w:ilvl w:val="1"/>
          <w:numId w:val="28"/>
        </w:numPr>
      </w:pPr>
      <w:bookmarkStart w:id="73" w:name="_Toc38211658"/>
      <w:r w:rsidRPr="551A77D0">
        <w:t>Benchmarks</w:t>
      </w:r>
      <w:bookmarkEnd w:id="73"/>
    </w:p>
    <w:p w14:paraId="3E6D05AC" w14:textId="59FED97F" w:rsidR="00A43E15" w:rsidRPr="00A43E15" w:rsidRDefault="00A43E15" w:rsidP="00A43E15">
      <w:r>
        <w:t xml:space="preserve">The results of the Project Drawdown analysis were compared against two other studies which have modeled emissions reductions as a result of the adoption of alternative cements. Miller et al. </w:t>
      </w:r>
      <w:r>
        <w:fldChar w:fldCharType="begin"/>
      </w:r>
      <w:r>
        <w:instrText xml:space="preserve"> ADDIN ZOTERO_ITEM CSL_CITATION {"citationID":"72CwqmrV","properties":{"formattedCitation":"(2018)","plainCitation":"(2018)","noteIndex":0},"citationItems":[{"id":5764,"uris":["http://zotero.org/groups/2241940/items/NMYB8UPK"],"uri":["http://zotero.org/groups/2241940/items/NMYB8UPK"],"itemData":{"id":5764,"type":"article-journal","abstract":"This paper, which is a contribution to the UNEP series on Eco-Eﬃcient Cements, examines the role of materialbased solutions to reducing CO2 emissions from cement production considering factors that could inﬂuence implementation. Global urbanization has led to an increase in demand for cement and cement-based materials. With its growth in consumption, the associated CO2 emissions from its production are raising concern. However, the role of mitigation strategies in a global context that account for regional material availability and degree of market adoption have yet to be considered. This work shows that the 2 °C scenario targets for 2050 can be met through increased use of calcined clay and engineered ﬁller with dispersants. The introduction of new Portland clinker-based cement alternatives, use of alkali-activated materials, and improvement of eﬃciency of cement use could further contribute to reduction goals. There are currently-available technologies for reduction that could be rapidly implemented.","container-title":"Cement and Concrete Research","DOI":"10.1016/j.cemconres.2017.08.026","ISSN":"00088846","journalAbbreviation":"Cement and Concrete Research","language":"en","page":"115-124","source":"DOI.org (Crossref)","title":"Carbon dioxide reduction potential in the global cement industry by 2050","volume":"114","author":[{"family":"Miller","given":"Sabbie A."},{"family":"John","given":"Vanderley M."},{"family":"Pacca","given":"Sergio A."},{"family":"Horvath","given":"Arpad"}],"issued":{"date-parts":[["2018",12]]}},"suppress-author":true}],"schema":"https://github.com/citation-style-language/schema/raw/master/csl-citation.json"} </w:instrText>
      </w:r>
      <w:r>
        <w:fldChar w:fldCharType="separate"/>
      </w:r>
      <w:r>
        <w:rPr>
          <w:noProof/>
        </w:rPr>
        <w:t>(2018)</w:t>
      </w:r>
      <w:r>
        <w:fldChar w:fldCharType="end"/>
      </w:r>
      <w:r>
        <w:t xml:space="preserve"> modeled LC3 cements to have a global clinker-to-cement ratio of 0.5. With 100% adoption of LC3, about 10.4 Gt CO</w:t>
      </w:r>
      <w:r w:rsidRPr="00A43E15">
        <w:rPr>
          <w:vertAlign w:val="subscript"/>
        </w:rPr>
        <w:t>2</w:t>
      </w:r>
      <w:r>
        <w:t xml:space="preserve">e could be avoided between 2014 and 2050. This scenario, in contrast to the PDS scenarios, does not take into account the adoption of more efficient manufacturing processes. Additionally, the IEA 2DS Low Variability </w:t>
      </w:r>
      <w:r w:rsidR="00B2612F">
        <w:t>scenario</w:t>
      </w:r>
      <w:r>
        <w:t xml:space="preserve"> estimates that with modest </w:t>
      </w:r>
      <w:r w:rsidR="00B2612F">
        <w:t>reductions</w:t>
      </w:r>
      <w:r>
        <w:t xml:space="preserve"> to the clinker to cement ratio and adoption of efficient manufacturing technologies, 7.7 Gt CO</w:t>
      </w:r>
      <w:r>
        <w:softHyphen/>
      </w:r>
      <w:r>
        <w:rPr>
          <w:vertAlign w:val="subscript"/>
        </w:rPr>
        <w:t>2</w:t>
      </w:r>
      <w:r>
        <w:t xml:space="preserve">e </w:t>
      </w:r>
      <w:r w:rsidR="00B2612F">
        <w:t>could be avoided between 2014 and 2050. The PDS1 scenario aligns closely with the IEA 2DS Low Variability scenario, with the difference attributed to different TAMs being used. The PDS2 scenario tracks higher, closer to Miller and colleague’s (2018) estimates as a result of increased adoption (lower clinker to cement ratios). The PDS 3 is the optimum scenario where the cement community transitions significantly away from clinker to produce cements, which accounts for it being ambitious when compared to other benchmarks.</w:t>
      </w:r>
    </w:p>
    <w:p w14:paraId="79DB6E21" w14:textId="5488E15C" w:rsidR="006745FF" w:rsidRPr="00584ECC" w:rsidRDefault="006745FF" w:rsidP="00EB247F">
      <w:pPr>
        <w:pStyle w:val="Caption"/>
        <w:jc w:val="center"/>
        <w:rPr>
          <w:b/>
          <w:bCs/>
        </w:rPr>
      </w:pPr>
      <w:bookmarkStart w:id="74" w:name="_Toc524993445"/>
      <w:bookmarkStart w:id="75" w:name="_Toc38211675"/>
      <w:r>
        <w:t xml:space="preserve">Table </w:t>
      </w:r>
      <w:fldSimple w:instr=" STYLEREF 1 \s ">
        <w:r w:rsidR="008F2A2C">
          <w:rPr>
            <w:noProof/>
          </w:rPr>
          <w:t>4</w:t>
        </w:r>
      </w:fldSimple>
      <w:r w:rsidR="00F36327">
        <w:t>.</w:t>
      </w:r>
      <w:fldSimple w:instr=" SEQ Table \* ARABIC \s 1 ">
        <w:r w:rsidR="008F2A2C">
          <w:rPr>
            <w:noProof/>
          </w:rPr>
          <w:t>1</w:t>
        </w:r>
      </w:fldSimple>
      <w:r>
        <w:t xml:space="preserve"> Benchmarks</w:t>
      </w:r>
      <w:bookmarkEnd w:id="74"/>
      <w:bookmarkEnd w:id="75"/>
    </w:p>
    <w:tbl>
      <w:tblPr>
        <w:tblStyle w:val="TableGrid"/>
        <w:tblW w:w="4236" w:type="pct"/>
        <w:jc w:val="center"/>
        <w:tblLook w:val="04A0" w:firstRow="1" w:lastRow="0" w:firstColumn="1" w:lastColumn="0" w:noHBand="0" w:noVBand="1"/>
      </w:tblPr>
      <w:tblGrid>
        <w:gridCol w:w="4856"/>
        <w:gridCol w:w="1619"/>
        <w:gridCol w:w="1446"/>
      </w:tblGrid>
      <w:tr w:rsidR="000C3A85" w:rsidRPr="006B675D" w14:paraId="70C8E283" w14:textId="01BC42F6" w:rsidTr="009E12B4">
        <w:trPr>
          <w:cantSplit/>
          <w:trHeight w:val="329"/>
          <w:tblHeader/>
          <w:jc w:val="center"/>
        </w:trPr>
        <w:tc>
          <w:tcPr>
            <w:tcW w:w="3065" w:type="pct"/>
            <w:shd w:val="clear" w:color="auto" w:fill="4F81BD" w:themeFill="accent1"/>
            <w:vAlign w:val="center"/>
          </w:tcPr>
          <w:p w14:paraId="721CED95" w14:textId="594D904F" w:rsidR="000C3A85" w:rsidRPr="006B675D" w:rsidRDefault="000C3A85" w:rsidP="00AD4CF8">
            <w:pPr>
              <w:spacing w:line="240" w:lineRule="auto"/>
              <w:jc w:val="center"/>
              <w:rPr>
                <w:b/>
                <w:bCs/>
                <w:color w:val="FFFFFF" w:themeColor="background1"/>
                <w:sz w:val="20"/>
                <w:szCs w:val="20"/>
              </w:rPr>
            </w:pPr>
            <w:r w:rsidRPr="006B675D">
              <w:rPr>
                <w:b/>
                <w:bCs/>
                <w:color w:val="FFFFFF" w:themeColor="background1"/>
                <w:sz w:val="20"/>
                <w:szCs w:val="20"/>
              </w:rPr>
              <w:t>Source and Scenario</w:t>
            </w:r>
          </w:p>
        </w:tc>
        <w:tc>
          <w:tcPr>
            <w:tcW w:w="1022" w:type="pct"/>
            <w:shd w:val="clear" w:color="auto" w:fill="4F81BD" w:themeFill="accent1"/>
            <w:vAlign w:val="center"/>
          </w:tcPr>
          <w:p w14:paraId="2C9D3A78" w14:textId="40F4608D" w:rsidR="000C3A85" w:rsidRPr="006B675D" w:rsidRDefault="000C3A85" w:rsidP="00AD4CF8">
            <w:pPr>
              <w:spacing w:line="240" w:lineRule="auto"/>
              <w:jc w:val="center"/>
              <w:rPr>
                <w:b/>
                <w:color w:val="FFFFFF" w:themeColor="background1"/>
                <w:sz w:val="20"/>
                <w:szCs w:val="20"/>
              </w:rPr>
            </w:pPr>
            <w:r>
              <w:rPr>
                <w:b/>
                <w:color w:val="FFFFFF" w:themeColor="background1"/>
                <w:sz w:val="20"/>
                <w:szCs w:val="20"/>
              </w:rPr>
              <w:t xml:space="preserve">Emissions reduction in </w:t>
            </w:r>
            <w:r w:rsidRPr="006B675D">
              <w:rPr>
                <w:b/>
                <w:color w:val="FFFFFF" w:themeColor="background1"/>
                <w:sz w:val="20"/>
                <w:szCs w:val="20"/>
              </w:rPr>
              <w:t>2050 (</w:t>
            </w:r>
            <w:r>
              <w:rPr>
                <w:b/>
                <w:color w:val="FFFFFF" w:themeColor="background1"/>
                <w:sz w:val="20"/>
                <w:szCs w:val="20"/>
              </w:rPr>
              <w:t>Gt CO</w:t>
            </w:r>
            <w:r w:rsidRPr="000C3A85">
              <w:rPr>
                <w:b/>
                <w:color w:val="FFFFFF" w:themeColor="background1"/>
                <w:sz w:val="20"/>
                <w:szCs w:val="20"/>
                <w:vertAlign w:val="subscript"/>
              </w:rPr>
              <w:t>2</w:t>
            </w:r>
            <w:r>
              <w:rPr>
                <w:b/>
                <w:color w:val="FFFFFF" w:themeColor="background1"/>
                <w:sz w:val="20"/>
                <w:szCs w:val="20"/>
              </w:rPr>
              <w:t>e</w:t>
            </w:r>
            <w:r w:rsidRPr="006B675D">
              <w:rPr>
                <w:b/>
                <w:color w:val="FFFFFF" w:themeColor="background1"/>
                <w:sz w:val="20"/>
                <w:szCs w:val="20"/>
              </w:rPr>
              <w:t>)</w:t>
            </w:r>
          </w:p>
        </w:tc>
        <w:tc>
          <w:tcPr>
            <w:tcW w:w="913" w:type="pct"/>
            <w:shd w:val="clear" w:color="auto" w:fill="4F81BD" w:themeFill="accent1"/>
            <w:vAlign w:val="center"/>
          </w:tcPr>
          <w:p w14:paraId="54169280" w14:textId="19965367" w:rsidR="000C3A85" w:rsidRPr="006B675D" w:rsidRDefault="009E12B4" w:rsidP="00AD4CF8">
            <w:pPr>
              <w:spacing w:line="240" w:lineRule="auto"/>
              <w:jc w:val="center"/>
              <w:rPr>
                <w:b/>
                <w:color w:val="FFFFFF" w:themeColor="background1"/>
                <w:sz w:val="20"/>
                <w:szCs w:val="20"/>
              </w:rPr>
            </w:pPr>
            <w:r>
              <w:rPr>
                <w:b/>
                <w:color w:val="FFFFFF" w:themeColor="background1"/>
                <w:sz w:val="20"/>
                <w:szCs w:val="20"/>
              </w:rPr>
              <w:t xml:space="preserve">Clinker-to-cement </w:t>
            </w:r>
            <w:r w:rsidR="00B2612F">
              <w:rPr>
                <w:b/>
                <w:color w:val="FFFFFF" w:themeColor="background1"/>
                <w:sz w:val="20"/>
                <w:szCs w:val="20"/>
              </w:rPr>
              <w:t>r</w:t>
            </w:r>
            <w:r>
              <w:rPr>
                <w:b/>
                <w:color w:val="FFFFFF" w:themeColor="background1"/>
                <w:sz w:val="20"/>
                <w:szCs w:val="20"/>
              </w:rPr>
              <w:t>atio</w:t>
            </w:r>
          </w:p>
        </w:tc>
      </w:tr>
      <w:tr w:rsidR="000C3A85" w:rsidRPr="006B675D" w14:paraId="289707D9" w14:textId="70E15D94" w:rsidTr="009E12B4">
        <w:trPr>
          <w:trHeight w:val="432"/>
          <w:jc w:val="center"/>
        </w:trPr>
        <w:tc>
          <w:tcPr>
            <w:tcW w:w="3065" w:type="pct"/>
            <w:vAlign w:val="center"/>
          </w:tcPr>
          <w:p w14:paraId="65A69EF1" w14:textId="0DA84DBD" w:rsidR="000C3A85" w:rsidRPr="00F2164C" w:rsidRDefault="009E12B4" w:rsidP="00AD4CF8">
            <w:pPr>
              <w:spacing w:line="240" w:lineRule="auto"/>
              <w:jc w:val="center"/>
              <w:rPr>
                <w:bCs/>
                <w:sz w:val="20"/>
                <w:szCs w:val="20"/>
              </w:rPr>
            </w:pPr>
            <w:r w:rsidRPr="00F2164C">
              <w:rPr>
                <w:sz w:val="20"/>
                <w:szCs w:val="20"/>
              </w:rPr>
              <w:t>Miller et al. 2018 (LC3)</w:t>
            </w:r>
          </w:p>
        </w:tc>
        <w:tc>
          <w:tcPr>
            <w:tcW w:w="1022" w:type="pct"/>
            <w:vAlign w:val="center"/>
          </w:tcPr>
          <w:p w14:paraId="693F09FD" w14:textId="0E109210" w:rsidR="000C3A85" w:rsidRPr="006B675D" w:rsidRDefault="009E12B4" w:rsidP="00AD4CF8">
            <w:pPr>
              <w:spacing w:line="240" w:lineRule="auto"/>
              <w:jc w:val="center"/>
              <w:rPr>
                <w:bCs/>
                <w:sz w:val="20"/>
                <w:szCs w:val="20"/>
              </w:rPr>
            </w:pPr>
            <w:r>
              <w:rPr>
                <w:bCs/>
                <w:sz w:val="20"/>
                <w:szCs w:val="20"/>
              </w:rPr>
              <w:t>10.4</w:t>
            </w:r>
          </w:p>
        </w:tc>
        <w:tc>
          <w:tcPr>
            <w:tcW w:w="913" w:type="pct"/>
            <w:vAlign w:val="center"/>
          </w:tcPr>
          <w:p w14:paraId="5718A6A0" w14:textId="523BE440" w:rsidR="000C3A85" w:rsidRPr="006B675D" w:rsidRDefault="009E12B4" w:rsidP="00AD4CF8">
            <w:pPr>
              <w:spacing w:line="240" w:lineRule="auto"/>
              <w:jc w:val="center"/>
              <w:rPr>
                <w:bCs/>
                <w:sz w:val="20"/>
                <w:szCs w:val="20"/>
              </w:rPr>
            </w:pPr>
            <w:r>
              <w:rPr>
                <w:bCs/>
                <w:sz w:val="20"/>
                <w:szCs w:val="20"/>
              </w:rPr>
              <w:t>0.5</w:t>
            </w:r>
          </w:p>
        </w:tc>
      </w:tr>
      <w:tr w:rsidR="000C3A85" w:rsidRPr="006B675D" w14:paraId="050ACC57" w14:textId="126DFA6F" w:rsidTr="009E12B4">
        <w:trPr>
          <w:trHeight w:val="427"/>
          <w:jc w:val="center"/>
        </w:trPr>
        <w:tc>
          <w:tcPr>
            <w:tcW w:w="3065" w:type="pct"/>
            <w:vAlign w:val="center"/>
          </w:tcPr>
          <w:p w14:paraId="0584602D" w14:textId="6BE68346" w:rsidR="000C3A85" w:rsidRPr="00F2164C" w:rsidRDefault="009E12B4" w:rsidP="00AD4CF8">
            <w:pPr>
              <w:spacing w:line="240" w:lineRule="auto"/>
              <w:jc w:val="center"/>
              <w:rPr>
                <w:sz w:val="20"/>
                <w:szCs w:val="20"/>
              </w:rPr>
            </w:pPr>
            <w:r w:rsidRPr="00F2164C">
              <w:rPr>
                <w:sz w:val="20"/>
                <w:szCs w:val="20"/>
              </w:rPr>
              <w:t>IEA 2DS Low Variability</w:t>
            </w:r>
          </w:p>
        </w:tc>
        <w:tc>
          <w:tcPr>
            <w:tcW w:w="1022" w:type="pct"/>
            <w:vAlign w:val="center"/>
          </w:tcPr>
          <w:p w14:paraId="695ED788" w14:textId="4F6D435C" w:rsidR="000C3A85" w:rsidRPr="006B675D" w:rsidRDefault="009E12B4" w:rsidP="00AD4CF8">
            <w:pPr>
              <w:spacing w:line="240" w:lineRule="auto"/>
              <w:jc w:val="center"/>
              <w:rPr>
                <w:bCs/>
                <w:sz w:val="20"/>
                <w:szCs w:val="20"/>
              </w:rPr>
            </w:pPr>
            <w:r>
              <w:rPr>
                <w:bCs/>
                <w:sz w:val="20"/>
                <w:szCs w:val="20"/>
              </w:rPr>
              <w:t>7.7</w:t>
            </w:r>
          </w:p>
        </w:tc>
        <w:tc>
          <w:tcPr>
            <w:tcW w:w="913" w:type="pct"/>
            <w:vAlign w:val="center"/>
          </w:tcPr>
          <w:p w14:paraId="60D7DAD1" w14:textId="001BC3E9" w:rsidR="000C3A85" w:rsidRPr="006B675D" w:rsidRDefault="009E12B4" w:rsidP="00AD4CF8">
            <w:pPr>
              <w:spacing w:line="240" w:lineRule="auto"/>
              <w:jc w:val="center"/>
              <w:rPr>
                <w:bCs/>
                <w:sz w:val="20"/>
                <w:szCs w:val="20"/>
              </w:rPr>
            </w:pPr>
            <w:r>
              <w:rPr>
                <w:bCs/>
                <w:sz w:val="20"/>
                <w:szCs w:val="20"/>
              </w:rPr>
              <w:t>0.6</w:t>
            </w:r>
            <w:r w:rsidR="00F2164C">
              <w:rPr>
                <w:bCs/>
                <w:sz w:val="20"/>
                <w:szCs w:val="20"/>
              </w:rPr>
              <w:t>4</w:t>
            </w:r>
          </w:p>
        </w:tc>
      </w:tr>
      <w:tr w:rsidR="009E12B4" w:rsidRPr="006B675D" w14:paraId="1C7A3D9F" w14:textId="08F76CB5" w:rsidTr="009E12B4">
        <w:trPr>
          <w:trHeight w:val="329"/>
          <w:jc w:val="center"/>
        </w:trPr>
        <w:tc>
          <w:tcPr>
            <w:tcW w:w="3065" w:type="pct"/>
            <w:vAlign w:val="center"/>
          </w:tcPr>
          <w:p w14:paraId="3E637FD7" w14:textId="0FA6148C" w:rsidR="009E12B4" w:rsidRPr="006B675D" w:rsidRDefault="009E12B4" w:rsidP="009E12B4">
            <w:pPr>
              <w:spacing w:line="240" w:lineRule="auto"/>
              <w:jc w:val="center"/>
              <w:rPr>
                <w:bCs/>
                <w:sz w:val="20"/>
                <w:szCs w:val="20"/>
              </w:rPr>
            </w:pPr>
            <w:r w:rsidRPr="006B675D">
              <w:rPr>
                <w:sz w:val="20"/>
                <w:szCs w:val="20"/>
              </w:rPr>
              <w:t>Project Drawdown – Plausible Scenario (PDS1)</w:t>
            </w:r>
          </w:p>
        </w:tc>
        <w:tc>
          <w:tcPr>
            <w:tcW w:w="1022" w:type="pct"/>
            <w:vAlign w:val="center"/>
          </w:tcPr>
          <w:p w14:paraId="17FCA461" w14:textId="738381FA" w:rsidR="009E12B4" w:rsidRPr="006B675D" w:rsidRDefault="009E12B4" w:rsidP="009E12B4">
            <w:pPr>
              <w:spacing w:line="240" w:lineRule="auto"/>
              <w:jc w:val="center"/>
              <w:rPr>
                <w:bCs/>
                <w:sz w:val="20"/>
                <w:szCs w:val="20"/>
              </w:rPr>
            </w:pPr>
            <w:r>
              <w:rPr>
                <w:rFonts w:cstheme="minorHAnsi"/>
                <w:color w:val="000000" w:themeColor="text1"/>
                <w:sz w:val="20"/>
                <w:szCs w:val="20"/>
              </w:rPr>
              <w:t>7.98</w:t>
            </w:r>
          </w:p>
        </w:tc>
        <w:tc>
          <w:tcPr>
            <w:tcW w:w="913" w:type="pct"/>
            <w:vAlign w:val="center"/>
          </w:tcPr>
          <w:p w14:paraId="37A2A467" w14:textId="51AC4353" w:rsidR="009E12B4" w:rsidRPr="006B675D" w:rsidRDefault="009E12B4" w:rsidP="009E12B4">
            <w:pPr>
              <w:spacing w:line="240" w:lineRule="auto"/>
              <w:jc w:val="center"/>
              <w:rPr>
                <w:bCs/>
                <w:sz w:val="20"/>
                <w:szCs w:val="20"/>
              </w:rPr>
            </w:pPr>
            <w:r>
              <w:rPr>
                <w:bCs/>
                <w:sz w:val="20"/>
                <w:szCs w:val="20"/>
              </w:rPr>
              <w:t>0.60</w:t>
            </w:r>
          </w:p>
        </w:tc>
      </w:tr>
      <w:tr w:rsidR="009E12B4" w:rsidRPr="006B675D" w14:paraId="2861B45D" w14:textId="2AD39CA0" w:rsidTr="009E12B4">
        <w:trPr>
          <w:trHeight w:val="329"/>
          <w:jc w:val="center"/>
        </w:trPr>
        <w:tc>
          <w:tcPr>
            <w:tcW w:w="3065" w:type="pct"/>
            <w:vAlign w:val="center"/>
          </w:tcPr>
          <w:p w14:paraId="5782CA7E" w14:textId="716EFD46" w:rsidR="009E12B4" w:rsidRPr="006B675D" w:rsidRDefault="009E12B4" w:rsidP="009E12B4">
            <w:pPr>
              <w:spacing w:line="240" w:lineRule="auto"/>
              <w:jc w:val="center"/>
              <w:rPr>
                <w:sz w:val="20"/>
                <w:szCs w:val="20"/>
              </w:rPr>
            </w:pPr>
            <w:r w:rsidRPr="006B675D">
              <w:rPr>
                <w:sz w:val="20"/>
                <w:szCs w:val="20"/>
              </w:rPr>
              <w:t>Project Drawdown – Drawdown Scenario (PDS2)</w:t>
            </w:r>
          </w:p>
        </w:tc>
        <w:tc>
          <w:tcPr>
            <w:tcW w:w="1022" w:type="pct"/>
            <w:vAlign w:val="center"/>
          </w:tcPr>
          <w:p w14:paraId="4F9F1598" w14:textId="171E541A" w:rsidR="009E12B4" w:rsidRPr="006B675D" w:rsidRDefault="009E12B4" w:rsidP="009E12B4">
            <w:pPr>
              <w:spacing w:line="240" w:lineRule="auto"/>
              <w:jc w:val="center"/>
              <w:rPr>
                <w:bCs/>
                <w:sz w:val="20"/>
                <w:szCs w:val="20"/>
              </w:rPr>
            </w:pPr>
            <w:r>
              <w:rPr>
                <w:rFonts w:cstheme="minorHAnsi"/>
                <w:color w:val="000000" w:themeColor="text1"/>
                <w:sz w:val="20"/>
                <w:szCs w:val="20"/>
              </w:rPr>
              <w:t>16.10</w:t>
            </w:r>
          </w:p>
        </w:tc>
        <w:tc>
          <w:tcPr>
            <w:tcW w:w="913" w:type="pct"/>
            <w:vAlign w:val="center"/>
          </w:tcPr>
          <w:p w14:paraId="250C4F8C" w14:textId="33F4DCC9" w:rsidR="009E12B4" w:rsidRPr="006B675D" w:rsidRDefault="009E12B4" w:rsidP="009E12B4">
            <w:pPr>
              <w:spacing w:line="240" w:lineRule="auto"/>
              <w:jc w:val="center"/>
              <w:rPr>
                <w:bCs/>
                <w:sz w:val="20"/>
                <w:szCs w:val="20"/>
              </w:rPr>
            </w:pPr>
            <w:r>
              <w:rPr>
                <w:bCs/>
                <w:sz w:val="20"/>
                <w:szCs w:val="20"/>
              </w:rPr>
              <w:t>0.46</w:t>
            </w:r>
          </w:p>
        </w:tc>
      </w:tr>
      <w:tr w:rsidR="009E12B4" w:rsidRPr="006B675D" w14:paraId="0C6E4035" w14:textId="29DD5EF1" w:rsidTr="009E12B4">
        <w:trPr>
          <w:trHeight w:val="329"/>
          <w:jc w:val="center"/>
        </w:trPr>
        <w:tc>
          <w:tcPr>
            <w:tcW w:w="3065" w:type="pct"/>
            <w:vAlign w:val="center"/>
          </w:tcPr>
          <w:p w14:paraId="2392672B" w14:textId="49F74C08" w:rsidR="009E12B4" w:rsidRPr="006B675D" w:rsidRDefault="009E12B4" w:rsidP="009E12B4">
            <w:pPr>
              <w:spacing w:line="240" w:lineRule="auto"/>
              <w:jc w:val="center"/>
              <w:rPr>
                <w:sz w:val="20"/>
                <w:szCs w:val="20"/>
              </w:rPr>
            </w:pPr>
            <w:r w:rsidRPr="006B675D">
              <w:rPr>
                <w:sz w:val="20"/>
                <w:szCs w:val="20"/>
              </w:rPr>
              <w:t>Project Drawdown – Optimum Scenario (PDS3)</w:t>
            </w:r>
          </w:p>
        </w:tc>
        <w:tc>
          <w:tcPr>
            <w:tcW w:w="1022" w:type="pct"/>
            <w:vAlign w:val="center"/>
          </w:tcPr>
          <w:p w14:paraId="428CA8E7" w14:textId="018D1BBA" w:rsidR="009E12B4" w:rsidRPr="006B675D" w:rsidRDefault="009E12B4" w:rsidP="009E12B4">
            <w:pPr>
              <w:spacing w:line="240" w:lineRule="auto"/>
              <w:jc w:val="center"/>
              <w:rPr>
                <w:bCs/>
                <w:sz w:val="20"/>
                <w:szCs w:val="20"/>
              </w:rPr>
            </w:pPr>
            <w:r>
              <w:rPr>
                <w:rFonts w:cstheme="minorHAnsi"/>
                <w:color w:val="000000" w:themeColor="text1"/>
                <w:sz w:val="20"/>
                <w:szCs w:val="20"/>
              </w:rPr>
              <w:t>27.09</w:t>
            </w:r>
          </w:p>
        </w:tc>
        <w:tc>
          <w:tcPr>
            <w:tcW w:w="913" w:type="pct"/>
            <w:vAlign w:val="center"/>
          </w:tcPr>
          <w:p w14:paraId="29386CF4" w14:textId="186A90A8" w:rsidR="009E12B4" w:rsidRPr="006B675D" w:rsidRDefault="009E12B4" w:rsidP="009E12B4">
            <w:pPr>
              <w:spacing w:line="240" w:lineRule="auto"/>
              <w:jc w:val="center"/>
              <w:rPr>
                <w:bCs/>
                <w:sz w:val="20"/>
                <w:szCs w:val="20"/>
              </w:rPr>
            </w:pPr>
            <w:r>
              <w:rPr>
                <w:bCs/>
                <w:sz w:val="20"/>
                <w:szCs w:val="20"/>
              </w:rPr>
              <w:t>0.27</w:t>
            </w:r>
          </w:p>
        </w:tc>
      </w:tr>
    </w:tbl>
    <w:p w14:paraId="105A5AA0" w14:textId="7DA7057F" w:rsidR="000D30DE" w:rsidRDefault="000D30DE" w:rsidP="00EB247F">
      <w:pPr>
        <w:rPr>
          <w:rFonts w:asciiTheme="majorHAnsi" w:eastAsiaTheme="majorEastAsia" w:hAnsiTheme="majorHAnsi" w:cstheme="majorBidi"/>
          <w:b/>
          <w:bCs/>
          <w:smallCaps/>
          <w:color w:val="000000" w:themeColor="text1"/>
          <w:sz w:val="36"/>
          <w:szCs w:val="36"/>
        </w:rPr>
      </w:pPr>
    </w:p>
    <w:p w14:paraId="7454D80C" w14:textId="4B14AA56" w:rsidR="00434F61" w:rsidRDefault="551A77D0" w:rsidP="00C07355">
      <w:pPr>
        <w:pStyle w:val="Heading1"/>
        <w:numPr>
          <w:ilvl w:val="0"/>
          <w:numId w:val="28"/>
        </w:numPr>
      </w:pPr>
      <w:bookmarkStart w:id="76" w:name="_Toc38211659"/>
      <w:r>
        <w:t>References</w:t>
      </w:r>
      <w:bookmarkEnd w:id="76"/>
    </w:p>
    <w:p w14:paraId="7A5D3789" w14:textId="223A723F" w:rsidR="00B07EA0" w:rsidRDefault="00B07EA0" w:rsidP="008F2A2C">
      <w:pPr>
        <w:spacing w:line="276" w:lineRule="auto"/>
        <w:ind w:hanging="475"/>
      </w:pPr>
      <w:r>
        <w:t xml:space="preserve">Alibaba. (2019). </w:t>
      </w:r>
      <w:r>
        <w:rPr>
          <w:i/>
          <w:iCs/>
        </w:rPr>
        <w:t>International Cement Prices, Wholesale &amp; Suppliers—Alibaba</w:t>
      </w:r>
      <w:r>
        <w:t xml:space="preserve">. </w:t>
      </w:r>
      <w:hyperlink r:id="rId30" w:history="1">
        <w:r>
          <w:rPr>
            <w:rStyle w:val="Hyperlink"/>
          </w:rPr>
          <w:t>https://www.alibaba.com/showroom/international-cement-prices.html</w:t>
        </w:r>
      </w:hyperlink>
    </w:p>
    <w:p w14:paraId="65287F73" w14:textId="77777777" w:rsidR="00B07EA0" w:rsidRDefault="00B07EA0" w:rsidP="008F2A2C">
      <w:pPr>
        <w:spacing w:line="276" w:lineRule="auto"/>
        <w:ind w:hanging="475"/>
      </w:pPr>
      <w:r>
        <w:t xml:space="preserve">Andrew, R. M. (2018). </w:t>
      </w:r>
      <w:r>
        <w:rPr>
          <w:i/>
          <w:iCs/>
        </w:rPr>
        <w:t>Global CO2 emissions from cement production</w:t>
      </w:r>
      <w:r>
        <w:t>. 23.</w:t>
      </w:r>
    </w:p>
    <w:p w14:paraId="5DAE5098" w14:textId="373D9CF9" w:rsidR="00B07EA0" w:rsidRDefault="00B07EA0" w:rsidP="008F2A2C">
      <w:pPr>
        <w:spacing w:line="276" w:lineRule="auto"/>
        <w:ind w:hanging="475"/>
      </w:pPr>
      <w:r>
        <w:t xml:space="preserve">Antoni, M., Rossen, J., Martirena, F., &amp; Scrivener, K. (2012). Cement substitution by a combination of metakaolin and limestone. </w:t>
      </w:r>
      <w:r>
        <w:rPr>
          <w:i/>
          <w:iCs/>
        </w:rPr>
        <w:t>Cement and Concrete Research</w:t>
      </w:r>
      <w:r>
        <w:t xml:space="preserve">, </w:t>
      </w:r>
      <w:r>
        <w:rPr>
          <w:i/>
          <w:iCs/>
        </w:rPr>
        <w:t>42</w:t>
      </w:r>
      <w:r>
        <w:t xml:space="preserve">(12), 1579–1589. </w:t>
      </w:r>
      <w:hyperlink r:id="rId31" w:history="1">
        <w:r>
          <w:rPr>
            <w:rStyle w:val="Hyperlink"/>
          </w:rPr>
          <w:t>https://doi.org/10.1016/j.cemconres.2012.09.006</w:t>
        </w:r>
      </w:hyperlink>
    </w:p>
    <w:p w14:paraId="0356ADB1" w14:textId="51BBDE3D" w:rsidR="00B07EA0" w:rsidRDefault="00B07EA0" w:rsidP="008F2A2C">
      <w:pPr>
        <w:spacing w:line="276" w:lineRule="auto"/>
        <w:ind w:hanging="475"/>
      </w:pPr>
      <w:r>
        <w:t xml:space="preserve">Bentz, D. P., Ferraris, C. F., &amp; Snyder, K. A. (2013). </w:t>
      </w:r>
      <w:r>
        <w:rPr>
          <w:i/>
          <w:iCs/>
        </w:rPr>
        <w:t>Best Practices Guide for High-Volume Fly Ash Concretes: Assuring Properties and Performance</w:t>
      </w:r>
      <w:r>
        <w:t xml:space="preserve"> (NIST TN 1812; p. NIST TN 1812). National Institute of Standards and Technology. </w:t>
      </w:r>
      <w:hyperlink r:id="rId32" w:history="1">
        <w:r>
          <w:rPr>
            <w:rStyle w:val="Hyperlink"/>
          </w:rPr>
          <w:t>https://doi.org/10.6028/NIST.TN.1812</w:t>
        </w:r>
      </w:hyperlink>
    </w:p>
    <w:p w14:paraId="2F5203F1" w14:textId="77777777" w:rsidR="00B07EA0" w:rsidRDefault="00B07EA0" w:rsidP="008F2A2C">
      <w:pPr>
        <w:spacing w:line="276" w:lineRule="auto"/>
        <w:ind w:hanging="475"/>
      </w:pPr>
      <w:r>
        <w:t xml:space="preserve">Black, A. P., Crane, S., &amp; Candela, N. (2011). </w:t>
      </w:r>
      <w:r>
        <w:rPr>
          <w:i/>
          <w:iCs/>
        </w:rPr>
        <w:t>The Economic Impacts of Prohibiting Coal Fly Ash Use in Transportation Infrastructure Construction</w:t>
      </w:r>
      <w:r>
        <w:t>.</w:t>
      </w:r>
    </w:p>
    <w:p w14:paraId="786E0791" w14:textId="2F49A593" w:rsidR="00B07EA0" w:rsidRDefault="00B07EA0" w:rsidP="008F2A2C">
      <w:pPr>
        <w:spacing w:line="276" w:lineRule="auto"/>
        <w:ind w:hanging="475"/>
      </w:pPr>
      <w:r>
        <w:t xml:space="preserve">C01 Committee. (2019). </w:t>
      </w:r>
      <w:r>
        <w:rPr>
          <w:i/>
          <w:iCs/>
        </w:rPr>
        <w:t>ASTM C595: Specification for Blended Hydraulic Cements</w:t>
      </w:r>
      <w:r>
        <w:t xml:space="preserve">. ASTM International. </w:t>
      </w:r>
      <w:hyperlink r:id="rId33" w:history="1">
        <w:r>
          <w:rPr>
            <w:rStyle w:val="Hyperlink"/>
          </w:rPr>
          <w:t>https://doi.org/10.1520/C0595_C0595M-19</w:t>
        </w:r>
      </w:hyperlink>
    </w:p>
    <w:p w14:paraId="30254FC5" w14:textId="77777777" w:rsidR="00B07EA0" w:rsidRDefault="00B07EA0" w:rsidP="008F2A2C">
      <w:pPr>
        <w:spacing w:line="276" w:lineRule="auto"/>
        <w:ind w:hanging="475"/>
      </w:pPr>
      <w:r>
        <w:t xml:space="preserve">Cal Portland Cement. (2019, October 15). </w:t>
      </w:r>
      <w:r>
        <w:rPr>
          <w:i/>
          <w:iCs/>
        </w:rPr>
        <w:t>Price of SCMs in California</w:t>
      </w:r>
      <w:r>
        <w:t xml:space="preserve"> [Email].</w:t>
      </w:r>
    </w:p>
    <w:p w14:paraId="2272096B" w14:textId="3761C2F5" w:rsidR="00B07EA0" w:rsidRDefault="00B07EA0" w:rsidP="008F2A2C">
      <w:pPr>
        <w:spacing w:line="276" w:lineRule="auto"/>
        <w:ind w:hanging="475"/>
      </w:pPr>
      <w:r>
        <w:t xml:space="preserve">Cement Sustainability Initiative, &amp; European Cement Research Academy. (2017). </w:t>
      </w:r>
      <w:r>
        <w:rPr>
          <w:i/>
          <w:iCs/>
        </w:rPr>
        <w:t>Development of State of the Art-Techniques in Cement Manufacturing: Trying to Look Ahead</w:t>
      </w:r>
      <w:r>
        <w:t xml:space="preserve"> (CSI/ECRA- Technology Papers 2017, p. 190). </w:t>
      </w:r>
      <w:hyperlink r:id="rId34" w:history="1">
        <w:r>
          <w:rPr>
            <w:rStyle w:val="Hyperlink"/>
          </w:rPr>
          <w:t>http://www.wbcsdcement.org/technology</w:t>
        </w:r>
      </w:hyperlink>
    </w:p>
    <w:p w14:paraId="0BE000FA" w14:textId="3C810094" w:rsidR="00B07EA0" w:rsidRDefault="00B07EA0" w:rsidP="008F2A2C">
      <w:pPr>
        <w:spacing w:line="276" w:lineRule="auto"/>
        <w:ind w:hanging="475"/>
      </w:pPr>
      <w:r>
        <w:t xml:space="preserve">Cemex Mortars. (2018). </w:t>
      </w:r>
      <w:r>
        <w:rPr>
          <w:i/>
          <w:iCs/>
        </w:rPr>
        <w:t>Educational Guide to Cementitious Materials</w:t>
      </w:r>
      <w:r>
        <w:t xml:space="preserve">. </w:t>
      </w:r>
      <w:hyperlink r:id="rId35" w:history="1">
        <w:r>
          <w:rPr>
            <w:rStyle w:val="Hyperlink"/>
          </w:rPr>
          <w:t>https://www.cemex.co.uk/documents/45807659/45840198/mortar-cementitious.pdf/46571b2a-3efd-4743-20c8-d33feb1aed9d</w:t>
        </w:r>
      </w:hyperlink>
    </w:p>
    <w:p w14:paraId="2B9225A7" w14:textId="3C0003DC" w:rsidR="00B07EA0" w:rsidRDefault="00B07EA0" w:rsidP="008F2A2C">
      <w:pPr>
        <w:spacing w:line="276" w:lineRule="auto"/>
        <w:ind w:hanging="475"/>
      </w:pPr>
      <w:r>
        <w:t xml:space="preserve">CemWeek. (2018, February 18). </w:t>
      </w:r>
      <w:r>
        <w:rPr>
          <w:i/>
          <w:iCs/>
        </w:rPr>
        <w:t>World cement prices to stabilize in 1Q 2018</w:t>
      </w:r>
      <w:r>
        <w:t xml:space="preserve">. CemWeek. </w:t>
      </w:r>
      <w:hyperlink r:id="rId36" w:history="1">
        <w:r>
          <w:rPr>
            <w:rStyle w:val="Hyperlink"/>
          </w:rPr>
          <w:t>https://www.cwgrp.com/cemweek-features/497297-cement-prices-to-stabilize-in-1q-2018</w:t>
        </w:r>
      </w:hyperlink>
    </w:p>
    <w:p w14:paraId="20BB3F4D" w14:textId="67A0DD72" w:rsidR="00B07EA0" w:rsidRDefault="00B07EA0" w:rsidP="008F2A2C">
      <w:pPr>
        <w:spacing w:line="276" w:lineRule="auto"/>
        <w:ind w:hanging="475"/>
      </w:pPr>
      <w:r w:rsidRPr="00997EB4">
        <w:rPr>
          <w:lang w:val="de-DE"/>
        </w:rPr>
        <w:t xml:space="preserve">Damtoft, J. S., Lukasik, J., Herfort, D., Sorrentino, D., &amp; Gartner, E. M. (2008). </w:t>
      </w:r>
      <w:r>
        <w:t xml:space="preserve">Sustainable development and climate change initiatives. </w:t>
      </w:r>
      <w:r>
        <w:rPr>
          <w:i/>
          <w:iCs/>
        </w:rPr>
        <w:t>Cement and Concrete Research</w:t>
      </w:r>
      <w:r>
        <w:t xml:space="preserve">, </w:t>
      </w:r>
      <w:r>
        <w:rPr>
          <w:i/>
          <w:iCs/>
        </w:rPr>
        <w:t>38</w:t>
      </w:r>
      <w:r>
        <w:t xml:space="preserve">(2), 115–127. </w:t>
      </w:r>
      <w:hyperlink r:id="rId37" w:history="1">
        <w:r>
          <w:rPr>
            <w:rStyle w:val="Hyperlink"/>
          </w:rPr>
          <w:t>https://doi.org/10.1016/j.cemconres.2007.09.008</w:t>
        </w:r>
      </w:hyperlink>
    </w:p>
    <w:p w14:paraId="4A783953" w14:textId="215C460B" w:rsidR="00B07EA0" w:rsidRDefault="00B07EA0" w:rsidP="008F2A2C">
      <w:pPr>
        <w:spacing w:line="276" w:lineRule="auto"/>
        <w:ind w:hanging="475"/>
      </w:pPr>
      <w:r>
        <w:t xml:space="preserve">Farfan, J., Fasihi, M., &amp; Breyer, C. (2019). Trends in the global cement industry and opportunities for long-term sustainable CCU potential for Power-to-X. </w:t>
      </w:r>
      <w:r>
        <w:rPr>
          <w:i/>
          <w:iCs/>
        </w:rPr>
        <w:t>Journal of Cleaner Production</w:t>
      </w:r>
      <w:r>
        <w:t xml:space="preserve">, </w:t>
      </w:r>
      <w:r>
        <w:rPr>
          <w:i/>
          <w:iCs/>
        </w:rPr>
        <w:t>217</w:t>
      </w:r>
      <w:r>
        <w:t xml:space="preserve">, 821–835. </w:t>
      </w:r>
      <w:hyperlink r:id="rId38" w:history="1">
        <w:r>
          <w:rPr>
            <w:rStyle w:val="Hyperlink"/>
          </w:rPr>
          <w:t>https://doi.org/10.1016/j.jclepro.2019.01.226</w:t>
        </w:r>
      </w:hyperlink>
    </w:p>
    <w:p w14:paraId="013C0284" w14:textId="6BF7CF7D" w:rsidR="00B07EA0" w:rsidRDefault="00B07EA0" w:rsidP="008F2A2C">
      <w:pPr>
        <w:spacing w:line="276" w:lineRule="auto"/>
        <w:ind w:hanging="475"/>
      </w:pPr>
      <w:r>
        <w:t xml:space="preserve">García-Gusano, D., Herrera, I., Garraín, D., Lechón, Y., &amp; Cabal, H. (2015). Life cycle assessment of the Spanish cement industry: Implementation of environmental-friendly solutions. </w:t>
      </w:r>
      <w:r>
        <w:rPr>
          <w:i/>
          <w:iCs/>
        </w:rPr>
        <w:t>Clean Technologies and Environmental Policy</w:t>
      </w:r>
      <w:r>
        <w:t xml:space="preserve">, </w:t>
      </w:r>
      <w:r>
        <w:rPr>
          <w:i/>
          <w:iCs/>
        </w:rPr>
        <w:t>17</w:t>
      </w:r>
      <w:r>
        <w:t xml:space="preserve">(1), 59–73. </w:t>
      </w:r>
      <w:hyperlink r:id="rId39" w:history="1">
        <w:r>
          <w:rPr>
            <w:rStyle w:val="Hyperlink"/>
          </w:rPr>
          <w:t>https://doi.org/10.1007/s10098-014-0757-0</w:t>
        </w:r>
      </w:hyperlink>
    </w:p>
    <w:p w14:paraId="763941DD" w14:textId="77777777" w:rsidR="00B07EA0" w:rsidRDefault="00B07EA0" w:rsidP="008F2A2C">
      <w:pPr>
        <w:spacing w:line="276" w:lineRule="auto"/>
        <w:ind w:hanging="475"/>
      </w:pPr>
      <w:r>
        <w:t xml:space="preserve">Gevaudan, J. P., Osio-Norgaard, J., &amp; Srubar III, W. V. (2019). </w:t>
      </w:r>
      <w:r>
        <w:rPr>
          <w:i/>
          <w:iCs/>
        </w:rPr>
        <w:t>Alternative Cements: Recent Developments and Future Directions</w:t>
      </w:r>
      <w:r>
        <w:t>. 15.</w:t>
      </w:r>
    </w:p>
    <w:p w14:paraId="0DA0B92B" w14:textId="1CDFD0CB" w:rsidR="00B07EA0" w:rsidRDefault="00B07EA0" w:rsidP="008F2A2C">
      <w:pPr>
        <w:spacing w:line="276" w:lineRule="auto"/>
        <w:ind w:hanging="475"/>
      </w:pPr>
      <w:r>
        <w:t xml:space="preserve">Gibbs, M. J., Soyka, P., &amp; Conneely, D. (2001). </w:t>
      </w:r>
      <w:r>
        <w:rPr>
          <w:i/>
          <w:iCs/>
        </w:rPr>
        <w:t>CO2 Emissions from Cement Production</w:t>
      </w:r>
      <w:r>
        <w:t xml:space="preserve"> (Good Practice Guidance and Uncertainty Management, National Greenhouse Gas Inventories). Intergovernmental Panel on Climate Change. </w:t>
      </w:r>
      <w:hyperlink r:id="rId40" w:history="1">
        <w:r>
          <w:rPr>
            <w:rStyle w:val="Hyperlink"/>
          </w:rPr>
          <w:t>http://www.ipcc-nggip.iges.or.jp/public/gp/bgp/3_1_Cement_Production.pdf</w:t>
        </w:r>
      </w:hyperlink>
    </w:p>
    <w:p w14:paraId="69EC6BA1" w14:textId="5159C241" w:rsidR="00B07EA0" w:rsidRDefault="00B07EA0" w:rsidP="008F2A2C">
      <w:pPr>
        <w:spacing w:line="276" w:lineRule="auto"/>
        <w:ind w:hanging="475"/>
      </w:pPr>
      <w:r>
        <w:t xml:space="preserve">IEA. (2018). </w:t>
      </w:r>
      <w:r>
        <w:rPr>
          <w:i/>
          <w:iCs/>
        </w:rPr>
        <w:t>Technology Roadmap—Low-Carbon Transition in the Cement Industry</w:t>
      </w:r>
      <w:r>
        <w:t xml:space="preserve"> (p. 66). International Energy Agency. </w:t>
      </w:r>
      <w:hyperlink r:id="rId41" w:history="1">
        <w:r>
          <w:rPr>
            <w:rStyle w:val="Hyperlink"/>
          </w:rPr>
          <w:t>https://webstore.iea.org/technology-roadmap-low-carbon-transition-in-the-cement-industry</w:t>
        </w:r>
      </w:hyperlink>
    </w:p>
    <w:p w14:paraId="2DE9E47E" w14:textId="77777777" w:rsidR="00B07EA0" w:rsidRDefault="00B07EA0" w:rsidP="008F2A2C">
      <w:pPr>
        <w:spacing w:line="276" w:lineRule="auto"/>
        <w:ind w:hanging="475"/>
      </w:pPr>
      <w:r>
        <w:t xml:space="preserve">IEA, &amp; UN Environment Programme. (2018). </w:t>
      </w:r>
      <w:r>
        <w:rPr>
          <w:i/>
          <w:iCs/>
        </w:rPr>
        <w:t>2018 Global Status Report: Towards a zero-emission, efficient and resilient buildings and construction sector</w:t>
      </w:r>
      <w:r>
        <w:t>.</w:t>
      </w:r>
    </w:p>
    <w:p w14:paraId="00EF89EC" w14:textId="7B7E0E87" w:rsidR="00B07EA0" w:rsidRDefault="00B07EA0" w:rsidP="008F2A2C">
      <w:pPr>
        <w:spacing w:line="276" w:lineRule="auto"/>
        <w:ind w:hanging="475"/>
      </w:pPr>
      <w:r>
        <w:t xml:space="preserve">Indiamart. (2019). </w:t>
      </w:r>
      <w:r>
        <w:rPr>
          <w:i/>
          <w:iCs/>
        </w:rPr>
        <w:t>Ambuja Cement—Ambuja Cement Latest Price, Dealers &amp; Retailers in India</w:t>
      </w:r>
      <w:r>
        <w:t xml:space="preserve">. </w:t>
      </w:r>
      <w:hyperlink r:id="rId42" w:history="1">
        <w:r>
          <w:rPr>
            <w:rStyle w:val="Hyperlink"/>
          </w:rPr>
          <w:t>https://dir.indiamart.com/impcat/ambuja-cement.html</w:t>
        </w:r>
      </w:hyperlink>
    </w:p>
    <w:p w14:paraId="008AD58A" w14:textId="77777777" w:rsidR="00B07EA0" w:rsidRDefault="00B07EA0" w:rsidP="008F2A2C">
      <w:pPr>
        <w:spacing w:line="276" w:lineRule="auto"/>
        <w:ind w:hanging="475"/>
      </w:pPr>
      <w:r>
        <w:t xml:space="preserve">IPCC. (2014). 2014: Technical Summary. In </w:t>
      </w:r>
      <w:r>
        <w:rPr>
          <w:i/>
          <w:iCs/>
        </w:rPr>
        <w:t>Climate Change 2014: Mitigation of Climate Change. Contribution of Working Group III to the Fifth Assessment Report of the Intergovernmental Panel on Climate Change</w:t>
      </w:r>
      <w:r>
        <w:t>. Cambridge University Press.</w:t>
      </w:r>
    </w:p>
    <w:p w14:paraId="692EC874" w14:textId="2E0045DC" w:rsidR="00B07EA0" w:rsidRDefault="00B07EA0" w:rsidP="008F2A2C">
      <w:pPr>
        <w:spacing w:line="276" w:lineRule="auto"/>
        <w:ind w:hanging="475"/>
      </w:pPr>
      <w:r>
        <w:t xml:space="preserve">Kim, T. (2016). Assessment of Construction Cost Saving by Concrete Mixing the Activator Material. </w:t>
      </w:r>
      <w:r>
        <w:rPr>
          <w:i/>
          <w:iCs/>
        </w:rPr>
        <w:t>Sustainability</w:t>
      </w:r>
      <w:r>
        <w:t xml:space="preserve">, </w:t>
      </w:r>
      <w:r>
        <w:rPr>
          <w:i/>
          <w:iCs/>
        </w:rPr>
        <w:t>8</w:t>
      </w:r>
      <w:r>
        <w:t xml:space="preserve">(4), 403. </w:t>
      </w:r>
      <w:hyperlink r:id="rId43" w:history="1">
        <w:r>
          <w:rPr>
            <w:rStyle w:val="Hyperlink"/>
          </w:rPr>
          <w:t>https://doi.org/10.3390/su8040403</w:t>
        </w:r>
      </w:hyperlink>
    </w:p>
    <w:p w14:paraId="42CCEDC1" w14:textId="5B84C34A" w:rsidR="00B07EA0" w:rsidRDefault="00B07EA0" w:rsidP="008F2A2C">
      <w:pPr>
        <w:spacing w:line="276" w:lineRule="auto"/>
        <w:ind w:hanging="475"/>
      </w:pPr>
      <w:r>
        <w:t xml:space="preserve">Levy, S. M. (2012). Section 5—Calculations Relating to Concrete and Masonry. In S. M. Levy (Ed.), </w:t>
      </w:r>
      <w:r>
        <w:rPr>
          <w:i/>
          <w:iCs/>
        </w:rPr>
        <w:t>Construction Calculations Manual</w:t>
      </w:r>
      <w:r>
        <w:t xml:space="preserve"> (pp. 211–264). Butterworth-Heinemann. </w:t>
      </w:r>
      <w:hyperlink r:id="rId44" w:history="1">
        <w:r>
          <w:rPr>
            <w:rStyle w:val="Hyperlink"/>
          </w:rPr>
          <w:t>https://doi.org/10.1016/B978-0-12-382243-7.00005-X</w:t>
        </w:r>
      </w:hyperlink>
    </w:p>
    <w:p w14:paraId="4AC9EE03" w14:textId="0F44DAD5" w:rsidR="00B07EA0" w:rsidRDefault="00B07EA0" w:rsidP="008F2A2C">
      <w:pPr>
        <w:spacing w:line="276" w:lineRule="auto"/>
        <w:ind w:hanging="475"/>
      </w:pPr>
      <w:r>
        <w:t xml:space="preserve">Marceau, M., &amp; VanGeem, M. (2006). Comparison of the Life Cycle Assessments of an Insulating Concrete Form House and a Wood Frame House. </w:t>
      </w:r>
      <w:r>
        <w:rPr>
          <w:i/>
          <w:iCs/>
        </w:rPr>
        <w:t>Journal of ASTM International</w:t>
      </w:r>
      <w:r>
        <w:t xml:space="preserve">, </w:t>
      </w:r>
      <w:r>
        <w:rPr>
          <w:i/>
          <w:iCs/>
        </w:rPr>
        <w:t>3</w:t>
      </w:r>
      <w:r>
        <w:t xml:space="preserve">(9), 13637. </w:t>
      </w:r>
      <w:hyperlink r:id="rId45" w:history="1">
        <w:r>
          <w:rPr>
            <w:rStyle w:val="Hyperlink"/>
          </w:rPr>
          <w:t>https://doi.org/10.1520/JAI13637</w:t>
        </w:r>
      </w:hyperlink>
    </w:p>
    <w:p w14:paraId="3FBCCE51" w14:textId="77777777" w:rsidR="00B07EA0" w:rsidRDefault="00B07EA0" w:rsidP="008F2A2C">
      <w:pPr>
        <w:spacing w:line="276" w:lineRule="auto"/>
        <w:ind w:hanging="475"/>
      </w:pPr>
      <w:r>
        <w:t xml:space="preserve">Mehta, P. K., &amp; Langley, W. S. (2000). Monolith foundation: Built to last a “1000 years.” </w:t>
      </w:r>
      <w:r>
        <w:rPr>
          <w:i/>
          <w:iCs/>
        </w:rPr>
        <w:t>Concrete International</w:t>
      </w:r>
      <w:r>
        <w:t>, 27–32.</w:t>
      </w:r>
    </w:p>
    <w:p w14:paraId="4943E27A" w14:textId="5F8BD4E6" w:rsidR="00B07EA0" w:rsidRDefault="00B07EA0" w:rsidP="008F2A2C">
      <w:pPr>
        <w:spacing w:line="276" w:lineRule="auto"/>
        <w:ind w:hanging="475"/>
      </w:pPr>
      <w:r>
        <w:t xml:space="preserve">Miller, S. A., John, V. M., Pacca, S. A., &amp; Horvath, A. (2018). Carbon dioxide reduction potential in the global cement industry by 2050. </w:t>
      </w:r>
      <w:r>
        <w:rPr>
          <w:i/>
          <w:iCs/>
        </w:rPr>
        <w:t>Cement and Concrete Research</w:t>
      </w:r>
      <w:r>
        <w:t xml:space="preserve">, </w:t>
      </w:r>
      <w:r>
        <w:rPr>
          <w:i/>
          <w:iCs/>
        </w:rPr>
        <w:t>114</w:t>
      </w:r>
      <w:r>
        <w:t xml:space="preserve">, 115–124. </w:t>
      </w:r>
      <w:hyperlink r:id="rId46" w:history="1">
        <w:r>
          <w:rPr>
            <w:rStyle w:val="Hyperlink"/>
          </w:rPr>
          <w:t>https://doi.org/10.1016/j.cemconres.2017.08.026</w:t>
        </w:r>
      </w:hyperlink>
    </w:p>
    <w:p w14:paraId="4C542F1F" w14:textId="12736C40" w:rsidR="00B07EA0" w:rsidRDefault="00B07EA0" w:rsidP="008F2A2C">
      <w:pPr>
        <w:spacing w:line="276" w:lineRule="auto"/>
        <w:ind w:hanging="475"/>
      </w:pPr>
      <w:r>
        <w:t xml:space="preserve">Nigerian Price. (2019, December). </w:t>
      </w:r>
      <w:r>
        <w:rPr>
          <w:i/>
          <w:iCs/>
        </w:rPr>
        <w:t>Current Price of Cement in Nigeria Today (December 2019)</w:t>
      </w:r>
      <w:r>
        <w:t xml:space="preserve">. </w:t>
      </w:r>
      <w:hyperlink r:id="rId47" w:history="1">
        <w:r>
          <w:rPr>
            <w:rStyle w:val="Hyperlink"/>
          </w:rPr>
          <w:t>https://nigerianprice.com/current-price-of-cement-in-nigeria-today/</w:t>
        </w:r>
      </w:hyperlink>
    </w:p>
    <w:p w14:paraId="54A09911" w14:textId="710C8DEB" w:rsidR="00B07EA0" w:rsidRDefault="00B07EA0" w:rsidP="008F2A2C">
      <w:pPr>
        <w:spacing w:line="276" w:lineRule="auto"/>
        <w:ind w:hanging="475"/>
      </w:pPr>
      <w:r>
        <w:t xml:space="preserve">Provis, J. L. (2018). Alkali-activated materials. </w:t>
      </w:r>
      <w:r>
        <w:rPr>
          <w:i/>
          <w:iCs/>
        </w:rPr>
        <w:t>Cement and Concrete Research</w:t>
      </w:r>
      <w:r>
        <w:t xml:space="preserve">, </w:t>
      </w:r>
      <w:r>
        <w:rPr>
          <w:i/>
          <w:iCs/>
        </w:rPr>
        <w:t>114</w:t>
      </w:r>
      <w:r>
        <w:t xml:space="preserve">, 40–48. </w:t>
      </w:r>
      <w:hyperlink r:id="rId48" w:history="1">
        <w:r>
          <w:rPr>
            <w:rStyle w:val="Hyperlink"/>
          </w:rPr>
          <w:t>https://doi.org/10.1016/j.cemconres.2017.02.009</w:t>
        </w:r>
      </w:hyperlink>
    </w:p>
    <w:p w14:paraId="301D1517" w14:textId="09AD52D5" w:rsidR="00B07EA0" w:rsidRDefault="00B07EA0" w:rsidP="008F2A2C">
      <w:pPr>
        <w:spacing w:line="276" w:lineRule="auto"/>
        <w:ind w:hanging="475"/>
      </w:pPr>
      <w:r>
        <w:t xml:space="preserve">Scrivener, K. L., John, V. M., &amp; Gartner, E. M. (2018). Eco-efficient cements: Potential economically viable solutions for a low-CO2 cement-based materials industry. </w:t>
      </w:r>
      <w:r>
        <w:rPr>
          <w:i/>
          <w:iCs/>
        </w:rPr>
        <w:t>Cement and Concrete Research</w:t>
      </w:r>
      <w:r>
        <w:t xml:space="preserve">, </w:t>
      </w:r>
      <w:r>
        <w:rPr>
          <w:i/>
          <w:iCs/>
        </w:rPr>
        <w:t>114</w:t>
      </w:r>
      <w:r>
        <w:t xml:space="preserve">, 2–26. </w:t>
      </w:r>
      <w:hyperlink r:id="rId49" w:history="1">
        <w:r>
          <w:rPr>
            <w:rStyle w:val="Hyperlink"/>
          </w:rPr>
          <w:t>https://doi.org/10.1016/j.cemconres.2018.03.015</w:t>
        </w:r>
      </w:hyperlink>
    </w:p>
    <w:p w14:paraId="66BEED1E" w14:textId="77777777" w:rsidR="00B07EA0" w:rsidRDefault="00B07EA0" w:rsidP="008F2A2C">
      <w:pPr>
        <w:spacing w:line="276" w:lineRule="auto"/>
        <w:ind w:hanging="475"/>
      </w:pPr>
      <w:r>
        <w:t xml:space="preserve">Solanki, J. V., Patel, R. P., &amp; Pitroda, J. (2013). </w:t>
      </w:r>
      <w:r>
        <w:rPr>
          <w:i/>
          <w:iCs/>
        </w:rPr>
        <w:t>A study on low quality fly ash as an opportunity for sustainable and economical concrete</w:t>
      </w:r>
      <w:r>
        <w:t xml:space="preserve">. </w:t>
      </w:r>
      <w:r>
        <w:rPr>
          <w:i/>
          <w:iCs/>
        </w:rPr>
        <w:t>2</w:t>
      </w:r>
      <w:r>
        <w:t>(2), 116–118.</w:t>
      </w:r>
    </w:p>
    <w:p w14:paraId="459B88F7" w14:textId="594F5C91" w:rsidR="00B07EA0" w:rsidRDefault="00B07EA0" w:rsidP="008F2A2C">
      <w:pPr>
        <w:spacing w:line="276" w:lineRule="auto"/>
        <w:ind w:hanging="475"/>
      </w:pPr>
      <w:r>
        <w:t xml:space="preserve">Souto-Martinez, A., Arehart, J. H., &amp; Srubar, W. V. (2018). Cradle-to-gate CO2e emissions vs. In situ CO2 sequestration of structural concrete elements. </w:t>
      </w:r>
      <w:r>
        <w:rPr>
          <w:i/>
          <w:iCs/>
        </w:rPr>
        <w:t>Energy and Buildings</w:t>
      </w:r>
      <w:r>
        <w:t xml:space="preserve">, </w:t>
      </w:r>
      <w:r>
        <w:rPr>
          <w:i/>
          <w:iCs/>
        </w:rPr>
        <w:t>167</w:t>
      </w:r>
      <w:r>
        <w:t xml:space="preserve">, 301–311. </w:t>
      </w:r>
      <w:hyperlink r:id="rId50" w:history="1">
        <w:r>
          <w:rPr>
            <w:rStyle w:val="Hyperlink"/>
          </w:rPr>
          <w:t>https://doi.org/10.1016/j.enbuild.2018.02.042</w:t>
        </w:r>
      </w:hyperlink>
    </w:p>
    <w:p w14:paraId="7AE2493D" w14:textId="549F0070" w:rsidR="00B07EA0" w:rsidRDefault="00B07EA0" w:rsidP="008F2A2C">
      <w:pPr>
        <w:spacing w:line="276" w:lineRule="auto"/>
        <w:ind w:hanging="475"/>
      </w:pPr>
      <w:r>
        <w:t xml:space="preserve">Thomas, M. (2007). </w:t>
      </w:r>
      <w:r>
        <w:rPr>
          <w:i/>
          <w:iCs/>
        </w:rPr>
        <w:t>Optimizing the use of fly ash in concrete</w:t>
      </w:r>
      <w:r>
        <w:t xml:space="preserve"> (No. 5420; p. 24). Portland Cement Association. </w:t>
      </w:r>
      <w:hyperlink r:id="rId51" w:history="1">
        <w:r>
          <w:rPr>
            <w:rStyle w:val="Hyperlink"/>
          </w:rPr>
          <w:t>http://www.cement.org/docs/default-source/fc_concrete_technology/is548-optimizing-the-use-of-fly-ash-concrete.pdf</w:t>
        </w:r>
      </w:hyperlink>
    </w:p>
    <w:p w14:paraId="56209D5F" w14:textId="72E0B9C0" w:rsidR="00B07EA0" w:rsidRDefault="00B07EA0" w:rsidP="008F2A2C">
      <w:pPr>
        <w:spacing w:line="276" w:lineRule="auto"/>
        <w:ind w:hanging="475"/>
      </w:pPr>
      <w:r>
        <w:t xml:space="preserve">U.S. Geological Survey. (2015). </w:t>
      </w:r>
      <w:r>
        <w:rPr>
          <w:i/>
          <w:iCs/>
        </w:rPr>
        <w:t>Mineral Commodities Summaries 2015: U.S. Geological Survey</w:t>
      </w:r>
      <w:r>
        <w:t xml:space="preserve">. </w:t>
      </w:r>
      <w:hyperlink r:id="rId52" w:history="1">
        <w:r>
          <w:rPr>
            <w:rStyle w:val="Hyperlink"/>
          </w:rPr>
          <w:t>http://dx.doi.org/10.3133/70140094</w:t>
        </w:r>
      </w:hyperlink>
    </w:p>
    <w:p w14:paraId="3C423B3A" w14:textId="3242FEA0" w:rsidR="00B07EA0" w:rsidRDefault="00B07EA0" w:rsidP="008F2A2C">
      <w:pPr>
        <w:spacing w:line="276" w:lineRule="auto"/>
        <w:ind w:hanging="475"/>
      </w:pPr>
      <w:r>
        <w:t xml:space="preserve">van Ruijven, B. J., van Vuuren, D. P., Boskaljon, W., Neelis, M. L., Saygin, D., &amp; Patel, M. K. (2016). Long-term model-based projections of energy use and CO2 emissions from the global steel and cement industries. </w:t>
      </w:r>
      <w:r>
        <w:rPr>
          <w:i/>
          <w:iCs/>
        </w:rPr>
        <w:t>Resources, Conservation and Recycling</w:t>
      </w:r>
      <w:r>
        <w:t xml:space="preserve">, </w:t>
      </w:r>
      <w:r>
        <w:rPr>
          <w:i/>
          <w:iCs/>
        </w:rPr>
        <w:t>112</w:t>
      </w:r>
      <w:r>
        <w:t xml:space="preserve">, 15–36. </w:t>
      </w:r>
      <w:hyperlink r:id="rId53" w:history="1">
        <w:r>
          <w:rPr>
            <w:rStyle w:val="Hyperlink"/>
          </w:rPr>
          <w:t>https://doi.org/10.1016/j.resconrec.2016.04.016</w:t>
        </w:r>
      </w:hyperlink>
    </w:p>
    <w:p w14:paraId="53E6E142" w14:textId="4F2F0DFA" w:rsidR="00B07EA0" w:rsidRDefault="00B07EA0" w:rsidP="008F2A2C">
      <w:pPr>
        <w:spacing w:line="276" w:lineRule="auto"/>
        <w:ind w:hanging="475"/>
      </w:pPr>
      <w:r>
        <w:t xml:space="preserve">WBCSD. (2016). </w:t>
      </w:r>
      <w:r>
        <w:rPr>
          <w:i/>
          <w:iCs/>
        </w:rPr>
        <w:t>Getting the Numbers Right Project Emissions Report</w:t>
      </w:r>
      <w:r>
        <w:t xml:space="preserve">. </w:t>
      </w:r>
      <w:hyperlink r:id="rId54" w:history="1">
        <w:r>
          <w:rPr>
            <w:rStyle w:val="Hyperlink"/>
          </w:rPr>
          <w:t>https://www.wbcsdcement.org/GNR-2016/</w:t>
        </w:r>
      </w:hyperlink>
    </w:p>
    <w:p w14:paraId="5B5C7BDD" w14:textId="5B37FF18" w:rsidR="00B07EA0" w:rsidRDefault="00B07EA0" w:rsidP="008F2A2C">
      <w:pPr>
        <w:spacing w:line="276" w:lineRule="auto"/>
        <w:ind w:hanging="475"/>
      </w:pPr>
      <w:r>
        <w:t xml:space="preserve">Worrell, E., Galitsky, C., &amp; Galitsky, C. (2008). </w:t>
      </w:r>
      <w:r>
        <w:rPr>
          <w:i/>
          <w:iCs/>
        </w:rPr>
        <w:t>Energy Efficiency Improvement and Cost Saving Opportunities for Cement Making. An ENERGY STAR Guide for Energy and Plant Managers</w:t>
      </w:r>
      <w:r>
        <w:t xml:space="preserve"> (LBNL-54036-Revision, 927882; p. LBNL-54036-Revision, 927882). </w:t>
      </w:r>
      <w:hyperlink r:id="rId55" w:history="1">
        <w:r>
          <w:rPr>
            <w:rStyle w:val="Hyperlink"/>
          </w:rPr>
          <w:t>https://doi.org/10.2172/927882</w:t>
        </w:r>
      </w:hyperlink>
    </w:p>
    <w:p w14:paraId="0608B3CA" w14:textId="0E421C4E" w:rsidR="00B07EA0" w:rsidRDefault="00B07EA0" w:rsidP="008F2A2C">
      <w:pPr>
        <w:spacing w:line="276" w:lineRule="auto"/>
        <w:ind w:hanging="475"/>
      </w:pPr>
      <w:r>
        <w:t xml:space="preserve">Xi, F., Davis, S. J., Ciais, P., Crawford-Brown, D., Guan, D., Pade, C., Shi, T., Syddall, M., Lv, J., Ji, L., Bing, L., Wang, J., Wei, W., Yang, K.-H., Lagerblad, B., Galan, I., Andrade, C., Zhang, Y., &amp; Liu, Z. (2016). Substantial global carbon uptake by cement carbonation. </w:t>
      </w:r>
      <w:r>
        <w:rPr>
          <w:i/>
          <w:iCs/>
        </w:rPr>
        <w:t>Nature Geoscience</w:t>
      </w:r>
      <w:r>
        <w:t xml:space="preserve">, </w:t>
      </w:r>
      <w:r>
        <w:rPr>
          <w:i/>
          <w:iCs/>
        </w:rPr>
        <w:t>9</w:t>
      </w:r>
      <w:r>
        <w:t xml:space="preserve">(12), 880–883. </w:t>
      </w:r>
      <w:hyperlink r:id="rId56" w:history="1">
        <w:r>
          <w:rPr>
            <w:rStyle w:val="Hyperlink"/>
          </w:rPr>
          <w:t>https://doi.org/10.1038/ngeo2840</w:t>
        </w:r>
      </w:hyperlink>
    </w:p>
    <w:p w14:paraId="72D78BAB" w14:textId="4694138E" w:rsidR="00D2040E" w:rsidRPr="00D2040E" w:rsidRDefault="00D2040E" w:rsidP="00D2040E"/>
    <w:p w14:paraId="02EABFF3" w14:textId="6F23F628" w:rsidR="006745FF" w:rsidRPr="003A0234" w:rsidRDefault="006745FF" w:rsidP="00C07355">
      <w:pPr>
        <w:pStyle w:val="Heading1"/>
        <w:numPr>
          <w:ilvl w:val="0"/>
          <w:numId w:val="28"/>
        </w:numPr>
      </w:pPr>
      <w:bookmarkStart w:id="77" w:name="_Ref345080"/>
      <w:bookmarkStart w:id="78" w:name="_Toc38211660"/>
      <w:r w:rsidRPr="00BB79D6">
        <w:t>Glossary</w:t>
      </w:r>
      <w:bookmarkEnd w:id="77"/>
      <w:bookmarkEnd w:id="78"/>
    </w:p>
    <w:p w14:paraId="02D27B4A" w14:textId="77777777" w:rsidR="006745FF" w:rsidRPr="00BB79D6" w:rsidRDefault="006745FF" w:rsidP="009B3590">
      <w:r w:rsidRPr="00BB79D6">
        <w:rPr>
          <w:b/>
        </w:rPr>
        <w:t>Adoption Scenario</w:t>
      </w:r>
      <w:r w:rsidRPr="00BB79D6">
        <w:t xml:space="preserve"> – the predicted annual adoption over the period 2015 to 2060, which is usually measured in </w:t>
      </w:r>
      <w:r w:rsidRPr="00BB79D6">
        <w:rPr>
          <w:b/>
        </w:rPr>
        <w:t>Functional Units</w:t>
      </w:r>
      <w:r w:rsidRPr="00BB79D6">
        <w:t xml:space="preserve">. 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BB79D6">
        <w:rPr>
          <w:b/>
        </w:rPr>
        <w:t>Reference (REF)</w:t>
      </w:r>
      <w:r w:rsidRPr="00BB79D6">
        <w:t xml:space="preserve"> where global adoption remains mostly constant, and </w:t>
      </w:r>
      <w:r w:rsidRPr="00BB79D6">
        <w:rPr>
          <w:b/>
        </w:rPr>
        <w:t>Project Drawdown Scenarios (PDS)</w:t>
      </w:r>
      <w:r w:rsidRPr="00BB79D6">
        <w:t xml:space="preserve"> which illustrate high growth of the solution.</w:t>
      </w:r>
    </w:p>
    <w:p w14:paraId="5FD0673A" w14:textId="77777777" w:rsidR="006745FF" w:rsidRPr="00BB79D6" w:rsidRDefault="006745FF" w:rsidP="009B3590">
      <w:r w:rsidRPr="00BB79D6">
        <w:rPr>
          <w:b/>
        </w:rPr>
        <w:t>Approximate PPM Equivalent</w:t>
      </w:r>
      <w:r w:rsidRPr="00BB79D6">
        <w:t xml:space="preserve"> – the reduction in atmospheric concentration of CO</w:t>
      </w:r>
      <w:r w:rsidRPr="00BB79D6">
        <w:rPr>
          <w:vertAlign w:val="subscript"/>
        </w:rPr>
        <w:t>2</w:t>
      </w:r>
      <w:r w:rsidRPr="00BB79D6">
        <w:t xml:space="preserve"> (in </w:t>
      </w:r>
      <w:r w:rsidRPr="00BB79D6">
        <w:rPr>
          <w:b/>
        </w:rPr>
        <w:t>PPM</w:t>
      </w:r>
      <w:r w:rsidRPr="00BB79D6">
        <w:t xml:space="preserve">) that is expected to result if the </w:t>
      </w:r>
      <w:r w:rsidRPr="00BB79D6">
        <w:rPr>
          <w:b/>
        </w:rPr>
        <w:t>PDS Scenario</w:t>
      </w:r>
      <w:r w:rsidRPr="00BB79D6">
        <w:t xml:space="preserve"> occurs. This assumes a discrete avoided pulse model based on the Bern Carbon Cycle model.</w:t>
      </w:r>
    </w:p>
    <w:p w14:paraId="59150663" w14:textId="77777777" w:rsidR="006745FF" w:rsidRPr="00BB79D6" w:rsidRDefault="006745FF" w:rsidP="009B3590">
      <w:r w:rsidRPr="00BB79D6">
        <w:rPr>
          <w:b/>
        </w:rPr>
        <w:t>Average Abatement Cost</w:t>
      </w:r>
      <w:r w:rsidRPr="00BB79D6">
        <w:t xml:space="preserve"> – the ratio of the present value of the solution (</w:t>
      </w:r>
      <w:r w:rsidRPr="00BB79D6">
        <w:rPr>
          <w:b/>
        </w:rPr>
        <w:t>Net</w:t>
      </w:r>
      <w:r w:rsidRPr="00BB79D6">
        <w:t xml:space="preserve"> </w:t>
      </w:r>
      <w:r w:rsidRPr="00BB79D6">
        <w:rPr>
          <w:b/>
        </w:rPr>
        <w:t xml:space="preserve">Operating Savings </w:t>
      </w:r>
      <w:r w:rsidRPr="00BB79D6">
        <w:t>minus</w:t>
      </w:r>
      <w:r w:rsidRPr="00BB79D6">
        <w:rPr>
          <w:b/>
        </w:rPr>
        <w:t xml:space="preserve"> Marginal First Costs</w:t>
      </w:r>
      <w:r w:rsidRPr="00BB79D6">
        <w:t xml:space="preserve">) and the </w:t>
      </w:r>
      <w:r w:rsidRPr="00BB79D6">
        <w:rPr>
          <w:b/>
        </w:rPr>
        <w:t>Total Emissions Reduction</w:t>
      </w:r>
      <w:r w:rsidRPr="00BB79D6">
        <w:t xml:space="preserve">. This is a single value for each solution for each </w:t>
      </w:r>
      <w:r w:rsidRPr="00BB79D6">
        <w:rPr>
          <w:b/>
        </w:rPr>
        <w:t>PDS Scenario</w:t>
      </w:r>
      <w:r w:rsidRPr="00BB79D6">
        <w:t>, and is used to build the characteristic “</w:t>
      </w:r>
      <w:r w:rsidRPr="00BB79D6">
        <w:rPr>
          <w:i/>
        </w:rPr>
        <w:t>Marginal Abatement Cost</w:t>
      </w:r>
      <w:r w:rsidRPr="00BB79D6">
        <w:t>” curves when Average Abatement Cost values for each solution are ordered and graphed.</w:t>
      </w:r>
    </w:p>
    <w:p w14:paraId="16A2F2DD" w14:textId="4A42C9EC" w:rsidR="006745FF" w:rsidRDefault="006745FF" w:rsidP="009B3590">
      <w:r w:rsidRPr="00BB79D6">
        <w:rPr>
          <w:b/>
        </w:rPr>
        <w:t>Average Annual Use</w:t>
      </w:r>
      <w:r w:rsidRPr="00BB79D6">
        <w:t xml:space="preserve"> – the average number of functional units that a single implementation unit typically provides in one year. This is usually a weighted average for all users according to the data available. For instance, total number of passenger-km driven by a hybrid vehicle in a year depends on country and typical number of occupants. </w:t>
      </w:r>
      <w:r w:rsidR="000C3A85">
        <w:t>G</w:t>
      </w:r>
      <w:r w:rsidRPr="00BB79D6">
        <w:t xml:space="preserve">lobal weighted averages </w:t>
      </w:r>
      <w:r w:rsidR="000C3A85">
        <w:t xml:space="preserve">are taken </w:t>
      </w:r>
      <w:r w:rsidRPr="00BB79D6">
        <w:t xml:space="preserve">for this input. This is used to estimate the </w:t>
      </w:r>
      <w:r w:rsidRPr="00BB79D6">
        <w:rPr>
          <w:b/>
        </w:rPr>
        <w:t>Replacement Time</w:t>
      </w:r>
      <w:r w:rsidRPr="00BB79D6">
        <w:t>.</w:t>
      </w:r>
    </w:p>
    <w:p w14:paraId="0FCF3AAE" w14:textId="44C0507C" w:rsidR="00593CDC" w:rsidRPr="00593CDC" w:rsidRDefault="00593CDC" w:rsidP="009B3590">
      <w:r>
        <w:rPr>
          <w:b/>
          <w:bCs/>
        </w:rPr>
        <w:t>Carbonation</w:t>
      </w:r>
      <w:r>
        <w:t xml:space="preserve"> – a chemical process in which carbon dioxide reacts with the calcium oxide present in concrete to form calcium carbonate. This process takes decades to occur and decreases the pH of concrete. If not controlled for, carbonation can induce the corrosion of reinforcing stel.</w:t>
      </w:r>
    </w:p>
    <w:p w14:paraId="7F49354D" w14:textId="36B9C534" w:rsidR="009B3590" w:rsidRDefault="009B3590" w:rsidP="009B3590">
      <w:r w:rsidRPr="009B3590">
        <w:rPr>
          <w:b/>
          <w:bCs/>
        </w:rPr>
        <w:t>Cement</w:t>
      </w:r>
      <w:r>
        <w:t xml:space="preserve"> – a substance, in the form of a powder, that is produces from the calcining of lime and clay. It is used mixed with water and aggregate (such as sand and/or gravel) to produce </w:t>
      </w:r>
      <w:r w:rsidRPr="009B3590">
        <w:rPr>
          <w:b/>
          <w:bCs/>
        </w:rPr>
        <w:t>mortar</w:t>
      </w:r>
      <w:r>
        <w:t xml:space="preserve"> and </w:t>
      </w:r>
      <w:r w:rsidRPr="009B3590">
        <w:rPr>
          <w:b/>
          <w:bCs/>
        </w:rPr>
        <w:t>concrete</w:t>
      </w:r>
      <w:r>
        <w:t>.</w:t>
      </w:r>
      <w:r w:rsidR="00593CDC">
        <w:t xml:space="preserve"> Ordinary portland cement (OPC) is the most common type of cement produces from portland limestone.</w:t>
      </w:r>
    </w:p>
    <w:p w14:paraId="4A349816" w14:textId="51153C5E" w:rsidR="00593CDC" w:rsidRDefault="00593CDC" w:rsidP="009B3590">
      <w:r w:rsidRPr="00593CDC">
        <w:rPr>
          <w:b/>
          <w:bCs/>
        </w:rPr>
        <w:t>Clinker</w:t>
      </w:r>
      <w:r>
        <w:t xml:space="preserve"> – a solid material produced from the heating of limestone, iron, silica, and alumina during the manufacturing of ordinary portland cement. It is an intermediary product that contains the necessary minerals for cement hydration.</w:t>
      </w:r>
    </w:p>
    <w:p w14:paraId="23303FD2" w14:textId="742823D7" w:rsidR="009B3590" w:rsidRPr="00BB79D6" w:rsidRDefault="009B3590" w:rsidP="009B3590">
      <w:r w:rsidRPr="00593CDC">
        <w:rPr>
          <w:b/>
          <w:bCs/>
        </w:rPr>
        <w:t>Concrete</w:t>
      </w:r>
      <w:r>
        <w:t xml:space="preserve"> – a construction material consisting of gravel, sand, </w:t>
      </w:r>
      <w:r w:rsidRPr="009B3590">
        <w:rPr>
          <w:b/>
          <w:bCs/>
        </w:rPr>
        <w:t>cement</w:t>
      </w:r>
      <w:r>
        <w:t xml:space="preserve">, and water, which are mixed together and placed into forms. In a building, concrete elements can include columns, beams, floors, roofs, and foundations. Concrete is also used in infrastructure </w:t>
      </w:r>
      <w:r w:rsidR="00593CDC">
        <w:t xml:space="preserve">applications </w:t>
      </w:r>
      <w:r>
        <w:t xml:space="preserve">such as </w:t>
      </w:r>
      <w:r w:rsidR="00593CDC">
        <w:t>dams, bridges, and roads.</w:t>
      </w:r>
    </w:p>
    <w:p w14:paraId="044BB52C" w14:textId="77777777" w:rsidR="006745FF" w:rsidRPr="00BB79D6" w:rsidRDefault="006745FF" w:rsidP="009B3590">
      <w:r w:rsidRPr="00BB79D6">
        <w:rPr>
          <w:b/>
        </w:rPr>
        <w:t>Cumulative First Cost</w:t>
      </w:r>
      <w:r w:rsidRPr="00BB79D6">
        <w:t xml:space="preserve"> – the total </w:t>
      </w:r>
      <w:r w:rsidRPr="00BB79D6">
        <w:rPr>
          <w:b/>
        </w:rPr>
        <w:t>First Cost</w:t>
      </w:r>
      <w:r w:rsidRPr="00BB79D6">
        <w:t xml:space="preserve"> of solution </w:t>
      </w:r>
      <w:r w:rsidRPr="00BB79D6">
        <w:rPr>
          <w:b/>
        </w:rPr>
        <w:t>Implementation Units</w:t>
      </w:r>
      <w:r w:rsidRPr="00BB79D6">
        <w:t xml:space="preserve"> purchased in the </w:t>
      </w:r>
      <w:r w:rsidRPr="00BB79D6">
        <w:rPr>
          <w:b/>
        </w:rPr>
        <w:t>PDS Scenario</w:t>
      </w:r>
      <w:r w:rsidRPr="00BB79D6">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BB79D6" w:rsidRDefault="006745FF" w:rsidP="009B3590">
      <w:r w:rsidRPr="00BB79D6">
        <w:rPr>
          <w:b/>
        </w:rPr>
        <w:t>Direct Emissions</w:t>
      </w:r>
      <w:r w:rsidRPr="00BB79D6">
        <w:t xml:space="preserve"> – emissions caused by the operation of the solution, which are typically caused over the lifetime of the solution. They should be entered into the model normalized per functional unit.</w:t>
      </w:r>
    </w:p>
    <w:p w14:paraId="1C32899A" w14:textId="77777777" w:rsidR="006745FF" w:rsidRPr="00BB79D6" w:rsidRDefault="006745FF" w:rsidP="009B3590">
      <w:r w:rsidRPr="00BB79D6">
        <w:rPr>
          <w:b/>
        </w:rPr>
        <w:t>Discount Rate</w:t>
      </w:r>
      <w:r w:rsidRPr="00BB79D6">
        <w:t xml:space="preserve">- the interest rate used in discounted cash flow (DCF) analysis to determine the present value of future cash flows. The discount rate in DCF analysis takes into account not just the time value of money, but also the risk or uncertainty of future cash flows; the greater the uncertainty of future cash flows, the higher the discount rate.   Most importantly, the greater the discount rate, the more the future savings are devalued (which impacts the financial but not the climate impacts of the solution).  </w:t>
      </w:r>
    </w:p>
    <w:p w14:paraId="59D5AC90" w14:textId="77777777" w:rsidR="006745FF" w:rsidRPr="00BB79D6" w:rsidRDefault="006745FF" w:rsidP="009B3590">
      <w:r w:rsidRPr="00BB79D6">
        <w:rPr>
          <w:b/>
        </w:rPr>
        <w:t>Emissions</w:t>
      </w:r>
      <w:r w:rsidRPr="00BB79D6">
        <w:t xml:space="preserve"> </w:t>
      </w:r>
      <w:r w:rsidRPr="00BB79D6">
        <w:rPr>
          <w:b/>
        </w:rPr>
        <w:t>Factor</w:t>
      </w:r>
      <w:r w:rsidRPr="00BB79D6">
        <w:t>– the average normalized emissions resulting from consumption of a unit of electricity across the global grid. Typical units are kg CO</w:t>
      </w:r>
      <w:r w:rsidRPr="00BB79D6">
        <w:rPr>
          <w:vertAlign w:val="subscript"/>
        </w:rPr>
        <w:t>2</w:t>
      </w:r>
      <w:r w:rsidRPr="00BB79D6">
        <w:t>e/kWh.</w:t>
      </w:r>
    </w:p>
    <w:p w14:paraId="754A056C" w14:textId="77777777" w:rsidR="006745FF" w:rsidRPr="00BB79D6" w:rsidRDefault="006745FF" w:rsidP="009B3590">
      <w:r w:rsidRPr="00BB79D6">
        <w:rPr>
          <w:b/>
        </w:rPr>
        <w:t>First Cost</w:t>
      </w:r>
      <w:r w:rsidRPr="00BB79D6">
        <w:t xml:space="preserve">- the investment cost per </w:t>
      </w:r>
      <w:r w:rsidRPr="00BB79D6">
        <w:rPr>
          <w:b/>
        </w:rPr>
        <w:t>Implementation Unit</w:t>
      </w:r>
      <w:r w:rsidRPr="00BB79D6">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7777777" w:rsidR="006745FF" w:rsidRPr="00BB79D6" w:rsidRDefault="006745FF" w:rsidP="009B3590">
      <w:r w:rsidRPr="00BB79D6">
        <w:rPr>
          <w:b/>
        </w:rPr>
        <w:t>Functional Unit</w:t>
      </w:r>
      <w:r w:rsidRPr="00BB79D6">
        <w:t xml:space="preserve"> – a measurement unit that represents the value, provided to the world, of the function that the solution performs. This depends on the solution. Therefore, LED Lighting provides petalumen-hours of light, Biomass provides tera-watt-hours of electricity and high speed rail provides billions of passenger-km of mobility.</w:t>
      </w:r>
    </w:p>
    <w:p w14:paraId="40F3C0D9" w14:textId="20DC7B24" w:rsidR="006745FF" w:rsidRDefault="006745FF" w:rsidP="009B3590">
      <w:r w:rsidRPr="00BB79D6">
        <w:rPr>
          <w:b/>
        </w:rPr>
        <w:t>Grid Emissions</w:t>
      </w:r>
      <w:r w:rsidRPr="00BB79D6">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456CE29A" w14:textId="13203E08" w:rsidR="00593CDC" w:rsidRPr="00BB79D6" w:rsidRDefault="00593CDC" w:rsidP="009B3590">
      <w:r w:rsidRPr="00593CDC">
        <w:rPr>
          <w:b/>
          <w:bCs/>
        </w:rPr>
        <w:t>Ground Granulated Blast-Furnace Slag</w:t>
      </w:r>
      <w:r>
        <w:t xml:space="preserve"> (GGBFS) – a byproduct of iron and steel making. It is produced from the quenching of molten iron in water. The slag is then ground into a fine powder and used as a cementitious material due to its chemical properties.</w:t>
      </w:r>
    </w:p>
    <w:p w14:paraId="623A0FE9" w14:textId="77777777" w:rsidR="006745FF" w:rsidRPr="00BB79D6" w:rsidRDefault="006745FF" w:rsidP="009B3590">
      <w:r w:rsidRPr="00BB79D6">
        <w:rPr>
          <w:b/>
        </w:rPr>
        <w:t>Implementation Unit</w:t>
      </w:r>
      <w:r w:rsidRPr="00BB79D6">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63B776D0" w:rsidR="006745FF" w:rsidRDefault="006745FF" w:rsidP="009B3590">
      <w:r w:rsidRPr="00BB79D6">
        <w:rPr>
          <w:b/>
        </w:rPr>
        <w:t>Indirect Emissions</w:t>
      </w:r>
      <w:r w:rsidRPr="00BB79D6">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1055E26E" w14:textId="35E92732" w:rsidR="00593CDC" w:rsidRPr="00BB79D6" w:rsidRDefault="00593CDC" w:rsidP="009B3590">
      <w:r w:rsidRPr="00593CDC">
        <w:rPr>
          <w:b/>
          <w:bCs/>
        </w:rPr>
        <w:t>Kiln</w:t>
      </w:r>
      <w:r>
        <w:t xml:space="preserve"> – a high temperature furnace used to calcinate limestone and clay. Common types of cement kilns include wet-kilns and dry-kilns. </w:t>
      </w:r>
    </w:p>
    <w:p w14:paraId="40402176" w14:textId="77777777" w:rsidR="006745FF" w:rsidRPr="00BB79D6" w:rsidRDefault="006745FF" w:rsidP="009B3590">
      <w:r w:rsidRPr="00BB79D6">
        <w:rPr>
          <w:b/>
        </w:rPr>
        <w:t>Learning Rate/Learning Curve</w:t>
      </w:r>
      <w:r w:rsidRPr="00BB79D6">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BB79D6">
        <w:rPr>
          <w:i/>
        </w:rPr>
        <w:t>good</w:t>
      </w:r>
      <w:r w:rsidRPr="00BB79D6">
        <w:t xml:space="preserve"> drops by 2% every time total production doubles.</w:t>
      </w:r>
    </w:p>
    <w:p w14:paraId="77507D03" w14:textId="77777777" w:rsidR="006745FF" w:rsidRPr="00BB79D6" w:rsidRDefault="006745FF" w:rsidP="009B3590">
      <w:r w:rsidRPr="00BB79D6">
        <w:rPr>
          <w:b/>
        </w:rPr>
        <w:t>Lifetime Capacity</w:t>
      </w:r>
      <w:r w:rsidRPr="00BB79D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B79D6">
        <w:rPr>
          <w:b/>
        </w:rPr>
        <w:t>Replacement Time</w:t>
      </w:r>
      <w:r w:rsidRPr="00BB79D6">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5D8D16D" w14:textId="77777777" w:rsidR="006745FF" w:rsidRPr="00BB79D6" w:rsidRDefault="006745FF" w:rsidP="009B3590">
      <w:r w:rsidRPr="00BB79D6">
        <w:rPr>
          <w:b/>
        </w:rPr>
        <w:t>Lifetime Operating Savings</w:t>
      </w:r>
      <w:r w:rsidRPr="00BB79D6">
        <w:t>–the operating cost in the PDS versus the REF scenarios over the lifetime of the implementation units purchased during the model period regardless of when their useful life ends.</w:t>
      </w:r>
    </w:p>
    <w:p w14:paraId="49E72DD2" w14:textId="77777777" w:rsidR="006745FF" w:rsidRPr="00BB79D6" w:rsidRDefault="006745FF" w:rsidP="009B3590">
      <w:r w:rsidRPr="00BB79D6">
        <w:rPr>
          <w:b/>
        </w:rPr>
        <w:t>Lifetime Cashflow NPV</w:t>
      </w:r>
      <w:r w:rsidRPr="00BB79D6">
        <w:t xml:space="preserve">-the present value (PV) of the net cash flows (PDS versus REF) in each year of the model period (2015-2060). The net cash flows include net operating costs and first costs. There are two results in the model: Lifetime Cashflow NPV for a Single </w:t>
      </w:r>
      <w:r w:rsidRPr="00BB79D6">
        <w:rPr>
          <w:b/>
        </w:rPr>
        <w:t>Implementation Unit</w:t>
      </w:r>
      <w:r w:rsidRPr="00BB79D6">
        <w:t xml:space="preserve">, which refers to the installation of one </w:t>
      </w:r>
      <w:r w:rsidRPr="00BB79D6">
        <w:rPr>
          <w:b/>
        </w:rPr>
        <w:t>Implementation Unit</w:t>
      </w:r>
      <w:r w:rsidRPr="00BB79D6">
        <w:t xml:space="preserve">, and Lifetime Cashflow NPV of All Units, which refers to all </w:t>
      </w:r>
      <w:r w:rsidRPr="00BB79D6">
        <w:rPr>
          <w:b/>
        </w:rPr>
        <w:t>Implementation Units</w:t>
      </w:r>
      <w:r w:rsidRPr="00BB79D6">
        <w:t xml:space="preserve"> installed in a particular scenario. These calculations are also available using profit inputs instead of operating costs.</w:t>
      </w:r>
    </w:p>
    <w:p w14:paraId="44D5A85B" w14:textId="77777777" w:rsidR="006745FF" w:rsidRPr="00BB79D6" w:rsidRDefault="006745FF" w:rsidP="009B3590">
      <w:r w:rsidRPr="00BB79D6">
        <w:rPr>
          <w:b/>
        </w:rPr>
        <w:t>Marginal First Cost</w:t>
      </w:r>
      <w:r w:rsidRPr="00BB79D6">
        <w:t xml:space="preserve"> – the difference between the </w:t>
      </w:r>
      <w:r w:rsidRPr="00BB79D6">
        <w:rPr>
          <w:b/>
        </w:rPr>
        <w:t>First Cost</w:t>
      </w:r>
      <w:r w:rsidRPr="00BB79D6">
        <w:t xml:space="preserve"> of all units (solution and conventional) installed in the </w:t>
      </w:r>
      <w:r w:rsidRPr="00BB79D6">
        <w:rPr>
          <w:b/>
        </w:rPr>
        <w:t>PDS Scenario</w:t>
      </w:r>
      <w:r w:rsidRPr="00BB79D6">
        <w:t xml:space="preserve"> and the </w:t>
      </w:r>
      <w:r w:rsidRPr="00BB79D6">
        <w:rPr>
          <w:b/>
        </w:rPr>
        <w:t>First Cost</w:t>
      </w:r>
      <w:r w:rsidRPr="00BB79D6">
        <w:t xml:space="preserve"> of all units installed in the </w:t>
      </w:r>
      <w:r w:rsidRPr="00BB79D6">
        <w:rPr>
          <w:b/>
        </w:rPr>
        <w:t>REF Scenario</w:t>
      </w:r>
      <w:r w:rsidRPr="00BB79D6">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21EE89EF" w14:textId="365E88EB" w:rsidR="00593CDC" w:rsidRDefault="00593CDC" w:rsidP="009B3590">
      <w:pPr>
        <w:rPr>
          <w:b/>
        </w:rPr>
      </w:pPr>
      <w:r>
        <w:rPr>
          <w:b/>
        </w:rPr>
        <w:t xml:space="preserve">Mortar – </w:t>
      </w:r>
      <w:r>
        <w:rPr>
          <w:bCs/>
        </w:rPr>
        <w:t xml:space="preserve">a mixture of </w:t>
      </w:r>
      <w:r w:rsidRPr="00593CDC">
        <w:rPr>
          <w:b/>
        </w:rPr>
        <w:t>cement</w:t>
      </w:r>
      <w:r>
        <w:rPr>
          <w:bCs/>
        </w:rPr>
        <w:t xml:space="preserve">, lime, sand, and water used to secure masonry units (i.e., bricks or stones) to one another. </w:t>
      </w:r>
      <w:r>
        <w:rPr>
          <w:b/>
        </w:rPr>
        <w:t xml:space="preserve"> </w:t>
      </w:r>
    </w:p>
    <w:p w14:paraId="53A88772" w14:textId="42F3E6EA" w:rsidR="006745FF" w:rsidRPr="00BB79D6" w:rsidRDefault="006745FF" w:rsidP="009B3590">
      <w:r w:rsidRPr="00BB79D6">
        <w:rPr>
          <w:b/>
        </w:rPr>
        <w:t>Net Annual Functional Units (NAFU)</w:t>
      </w:r>
      <w:r w:rsidRPr="00BB79D6">
        <w:t xml:space="preserve"> – the adoption in the PDS minus the adoption in the REF in each year of analysis. In the model, this represents the additional annual functional demand captured either by the solution in the </w:t>
      </w:r>
      <w:r w:rsidRPr="00BB79D6">
        <w:rPr>
          <w:b/>
        </w:rPr>
        <w:t>PDS Scenario</w:t>
      </w:r>
      <w:r w:rsidRPr="00BB79D6">
        <w:t xml:space="preserve"> or the conventional in the </w:t>
      </w:r>
      <w:r w:rsidRPr="00BB79D6">
        <w:rPr>
          <w:b/>
        </w:rPr>
        <w:t>REF Scenario</w:t>
      </w:r>
      <w:r w:rsidRPr="00BB79D6">
        <w:t>.</w:t>
      </w:r>
    </w:p>
    <w:p w14:paraId="0360F8D5" w14:textId="77777777" w:rsidR="006745FF" w:rsidRPr="00BB79D6" w:rsidRDefault="006745FF" w:rsidP="009B3590">
      <w:r w:rsidRPr="00BB79D6">
        <w:rPr>
          <w:b/>
        </w:rPr>
        <w:t>Net Annual Implementation Units (NAIU)</w:t>
      </w:r>
      <w:r w:rsidRPr="00BB79D6">
        <w:t xml:space="preserve"> – the number of </w:t>
      </w:r>
      <w:r w:rsidRPr="00BB79D6">
        <w:rPr>
          <w:b/>
        </w:rPr>
        <w:t>Implementation Units</w:t>
      </w:r>
      <w:r w:rsidRPr="00BB79D6">
        <w:t xml:space="preserve"> of the solution that are needed in the PDS to supply the </w:t>
      </w:r>
      <w:r w:rsidRPr="00BB79D6">
        <w:rPr>
          <w:b/>
        </w:rPr>
        <w:t>Net Annual Functional Units (NAFU).</w:t>
      </w:r>
      <w:r w:rsidRPr="00BB79D6">
        <w:t xml:space="preserve"> This equals the adoption in the PDS minus the adoption in the REF in each year of analysis divided by the average annual use.</w:t>
      </w:r>
    </w:p>
    <w:p w14:paraId="3A36C3BE" w14:textId="77777777" w:rsidR="006745FF" w:rsidRPr="00BB79D6" w:rsidRDefault="006745FF" w:rsidP="009B3590">
      <w:r w:rsidRPr="00BB79D6">
        <w:rPr>
          <w:b/>
        </w:rPr>
        <w:t>Net Operating Savings</w:t>
      </w:r>
      <w:r w:rsidRPr="00BB79D6">
        <w:t xml:space="preserve"> – The undiscounted difference between the operating cost of all units (solution and conventional) in the </w:t>
      </w:r>
      <w:r w:rsidRPr="00BB79D6">
        <w:rPr>
          <w:b/>
        </w:rPr>
        <w:t>PDS Scenario</w:t>
      </w:r>
      <w:r w:rsidRPr="00BB79D6">
        <w:t xml:space="preserve"> minus that of all units in the </w:t>
      </w:r>
      <w:r w:rsidRPr="00BB79D6">
        <w:rPr>
          <w:b/>
        </w:rPr>
        <w:t>REF Scenario</w:t>
      </w:r>
      <w:r w:rsidRPr="00BB79D6">
        <w:t>.</w:t>
      </w:r>
    </w:p>
    <w:p w14:paraId="62002AFC" w14:textId="77777777" w:rsidR="006745FF" w:rsidRPr="00BB79D6" w:rsidRDefault="006745FF" w:rsidP="009B3590">
      <w:r w:rsidRPr="00BB79D6">
        <w:rPr>
          <w:b/>
        </w:rPr>
        <w:t xml:space="preserve">Operating Costs </w:t>
      </w:r>
      <w:r w:rsidRPr="00BB79D6">
        <w:t>– the average cost to ensure operation of an activity (conventional or solution) which is measured in 2014$US/</w:t>
      </w:r>
      <w:r w:rsidRPr="00BB79D6">
        <w:rPr>
          <w:b/>
        </w:rPr>
        <w:t>Functional Unit</w:t>
      </w:r>
      <w:r w:rsidRPr="00BB79D6">
        <w:t xml:space="preserve">.  This is needed to estimate how much it would cost to achieve the adoption projected when compared to the </w:t>
      </w:r>
      <w:r w:rsidRPr="00BB79D6">
        <w:rPr>
          <w:b/>
        </w:rPr>
        <w:t>REF Case</w:t>
      </w:r>
      <w:r w:rsidRPr="00BB79D6">
        <w:t xml:space="preserve">. Note that this excludes </w:t>
      </w:r>
      <w:r w:rsidRPr="00BB79D6">
        <w:rPr>
          <w:b/>
        </w:rPr>
        <w:t>First Costs</w:t>
      </w:r>
      <w:r w:rsidRPr="00BB79D6">
        <w:t xml:space="preserve"> for implementing the solution.</w:t>
      </w:r>
    </w:p>
    <w:p w14:paraId="3B7DF305" w14:textId="77777777" w:rsidR="006745FF" w:rsidRPr="00BB79D6" w:rsidRDefault="006745FF" w:rsidP="009B3590">
      <w:r w:rsidRPr="00BB79D6">
        <w:rPr>
          <w:b/>
        </w:rPr>
        <w:t>Payback Period</w:t>
      </w:r>
      <w:r w:rsidRPr="00BB79D6">
        <w:t xml:space="preserve"> – the number of years required to pay all the </w:t>
      </w:r>
      <w:r w:rsidRPr="00BB79D6">
        <w:rPr>
          <w:b/>
        </w:rPr>
        <w:t>First Costs</w:t>
      </w:r>
      <w:r w:rsidRPr="00BB79D6">
        <w:t xml:space="preserve"> of the solution using </w:t>
      </w:r>
      <w:r w:rsidRPr="00BB79D6">
        <w:rPr>
          <w:b/>
        </w:rPr>
        <w:t>Net Operating Savings</w:t>
      </w:r>
      <w:r w:rsidRPr="00BB79D6">
        <w:t xml:space="preserve">. There are four specific metrics each with one of </w:t>
      </w:r>
      <w:r w:rsidRPr="00BB79D6">
        <w:rPr>
          <w:b/>
        </w:rPr>
        <w:t>Marginal First Costs</w:t>
      </w:r>
      <w:r w:rsidRPr="00BB79D6">
        <w:t xml:space="preserve"> or </w:t>
      </w:r>
      <w:r w:rsidRPr="00BB79D6">
        <w:rPr>
          <w:b/>
        </w:rPr>
        <w:t>First Costs</w:t>
      </w:r>
      <w:r w:rsidRPr="00BB79D6">
        <w:t xml:space="preserve"> of the solution only combined with either discounted or non-discounted values. All four are in the model. Additionally, the four outputs are calculated using the increased profit estimation instead of </w:t>
      </w:r>
      <w:r w:rsidRPr="00BB79D6">
        <w:rPr>
          <w:b/>
        </w:rPr>
        <w:t>Net Operating Savings</w:t>
      </w:r>
      <w:r w:rsidRPr="00BB79D6">
        <w:t>.</w:t>
      </w:r>
    </w:p>
    <w:p w14:paraId="69E0C8C0" w14:textId="56F871C7" w:rsidR="006745FF" w:rsidRDefault="006745FF" w:rsidP="009B3590">
      <w:r w:rsidRPr="00BB79D6">
        <w:rPr>
          <w:b/>
        </w:rPr>
        <w:t>PDS/ Project Drawdown Scenario</w:t>
      </w:r>
      <w:r w:rsidRPr="00BB79D6">
        <w:t xml:space="preserve"> – this is the high growth scenario for adoption of the solution</w:t>
      </w:r>
    </w:p>
    <w:p w14:paraId="1431B3F7" w14:textId="14BDC807" w:rsidR="00593CDC" w:rsidRPr="00BB79D6" w:rsidRDefault="00593CDC" w:rsidP="009B3590">
      <w:r w:rsidRPr="008F2A2C">
        <w:rPr>
          <w:b/>
          <w:bCs/>
        </w:rPr>
        <w:t>Pozzolan</w:t>
      </w:r>
      <w:r>
        <w:t xml:space="preserve"> – a class of siliceous and aluminous </w:t>
      </w:r>
      <w:r w:rsidR="008F2A2C">
        <w:t>materials that react with calcium hydroxide (a hydration product of cement hydration) which form cementitious compounds. Pozzolans can occur naturally, such as many clays, can be industrial by-products such as fly ash or silica fume, or be agricultural by-products such as rice husk ash.</w:t>
      </w:r>
    </w:p>
    <w:p w14:paraId="6F8267F5" w14:textId="77777777" w:rsidR="006745FF" w:rsidRPr="00BB79D6" w:rsidRDefault="006745FF" w:rsidP="009B3590">
      <w:r w:rsidRPr="00BB79D6">
        <w:rPr>
          <w:b/>
        </w:rPr>
        <w:t>PPB/ Parts per Billion</w:t>
      </w:r>
      <w:r w:rsidRPr="00BB79D6">
        <w:t xml:space="preserve"> – a measure of concentration for atmospheric gases. 10 million PPB = 1%.</w:t>
      </w:r>
    </w:p>
    <w:p w14:paraId="78DB05A8" w14:textId="77777777" w:rsidR="006745FF" w:rsidRPr="00BB79D6" w:rsidRDefault="006745FF" w:rsidP="009B3590">
      <w:r w:rsidRPr="00BB79D6">
        <w:rPr>
          <w:b/>
        </w:rPr>
        <w:t>PPM/ Parts per Million</w:t>
      </w:r>
      <w:r w:rsidRPr="00BB79D6">
        <w:t xml:space="preserve"> – a measure of concentration for atmospheric gases. 10 thousand PPM = 1%.</w:t>
      </w:r>
    </w:p>
    <w:p w14:paraId="0574EE5A" w14:textId="77777777" w:rsidR="006745FF" w:rsidRPr="00BB79D6" w:rsidRDefault="006745FF" w:rsidP="009B3590">
      <w:r w:rsidRPr="00BB79D6">
        <w:rPr>
          <w:b/>
        </w:rPr>
        <w:t>REF/ Reference Scenario</w:t>
      </w:r>
      <w:r w:rsidRPr="00BB79D6">
        <w:t xml:space="preserve"> – this is the low growth scenario for adoption of the solution against which all </w:t>
      </w:r>
      <w:r w:rsidRPr="00BB79D6">
        <w:rPr>
          <w:b/>
        </w:rPr>
        <w:t>PDS scenarios</w:t>
      </w:r>
      <w:r w:rsidRPr="00BB79D6">
        <w:t xml:space="preserve"> are compared.</w:t>
      </w:r>
    </w:p>
    <w:p w14:paraId="333AF401" w14:textId="7C332B53" w:rsidR="001759D2" w:rsidRPr="00BB79D6" w:rsidRDefault="001759D2" w:rsidP="009B3590">
      <w:pPr>
        <w:rPr>
          <w:rFonts w:cstheme="minorHAnsi"/>
        </w:rPr>
      </w:pPr>
      <w:r w:rsidRPr="00BB79D6">
        <w:rPr>
          <w:rFonts w:cstheme="minorHAnsi"/>
          <w:b/>
        </w:rPr>
        <w:t>Regrets solution</w:t>
      </w:r>
      <w:r w:rsidRPr="00BB79D6">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BB79D6" w:rsidRDefault="006745FF" w:rsidP="009B3590">
      <w:r w:rsidRPr="00BB79D6">
        <w:rPr>
          <w:b/>
        </w:rPr>
        <w:t>Replacement Time</w:t>
      </w:r>
      <w:r w:rsidRPr="00BB79D6">
        <w:t xml:space="preserve">- the length of time in years, from installation/acquisition/setup of the solution through usage until a new installation/acquisition/setup is required to replace the earlier one.  This is calculated as the ratio of </w:t>
      </w:r>
      <w:r w:rsidRPr="00BB79D6">
        <w:rPr>
          <w:b/>
        </w:rPr>
        <w:t>Lifetime Capacity</w:t>
      </w:r>
      <w:r w:rsidRPr="00BB79D6">
        <w:t xml:space="preserve"> and the </w:t>
      </w:r>
      <w:r w:rsidRPr="00BB79D6">
        <w:rPr>
          <w:b/>
        </w:rPr>
        <w:t>Average Annual Use</w:t>
      </w:r>
      <w:r w:rsidRPr="00BB79D6">
        <w:t>.</w:t>
      </w:r>
    </w:p>
    <w:p w14:paraId="013DD235" w14:textId="2F78DF20" w:rsidR="00D25FC7" w:rsidRPr="00D25FC7" w:rsidRDefault="001759D2" w:rsidP="009B3590">
      <w:r w:rsidRPr="00BB79D6">
        <w:rPr>
          <w:b/>
        </w:rPr>
        <w:t xml:space="preserve">TAM/ Total Addressable Market </w:t>
      </w:r>
      <w:r w:rsidRPr="00D25FC7">
        <w:t>–</w:t>
      </w:r>
      <w:r w:rsidR="00D25FC7" w:rsidRPr="00D25FC7">
        <w:t xml:space="preserve"> represents the total potential market of functional demand provided by the technologies and practices under investigation, adjusting for estimated economic and population growth. For this solutions sector</w:t>
      </w:r>
      <w:r w:rsidR="00D25FC7">
        <w:t>,</w:t>
      </w:r>
      <w:r w:rsidR="00D25FC7" w:rsidRPr="00D25FC7">
        <w:t xml:space="preserve"> it represents </w:t>
      </w:r>
      <w:r w:rsidRPr="00D25FC7">
        <w:t>world and regional total addressable markets for electricity generation technologies in which the solutions are considered.</w:t>
      </w:r>
    </w:p>
    <w:p w14:paraId="06D9A50A" w14:textId="7CBFC779" w:rsidR="006745FF" w:rsidRPr="00BB79D6" w:rsidRDefault="006745FF" w:rsidP="009B3590">
      <w:r w:rsidRPr="00BB79D6">
        <w:rPr>
          <w:b/>
        </w:rPr>
        <w:t>Total Emissions Reduction</w:t>
      </w:r>
      <w:r w:rsidRPr="00BB79D6">
        <w:t xml:space="preserve"> – the sum of grid, fuel, indirect, and other direct emissions reductions over the analysis period. The emissions reduction of each of these is the difference between the emissions that would have resulted in the </w:t>
      </w:r>
      <w:r w:rsidRPr="00BB79D6">
        <w:rPr>
          <w:b/>
        </w:rPr>
        <w:t>REF Scenario</w:t>
      </w:r>
      <w:r w:rsidRPr="00BB79D6">
        <w:t xml:space="preserve"> (from both solution and conventional) and the emissions that would result in the </w:t>
      </w:r>
      <w:r w:rsidRPr="00BB79D6">
        <w:rPr>
          <w:b/>
        </w:rPr>
        <w:t>PDS Scenario</w:t>
      </w:r>
      <w:r w:rsidRPr="00BB79D6">
        <w:t>. These may also be considered as “emissions avoided” as they may have occurred in the REF Scenario, but not in the PDS Scenario.</w:t>
      </w:r>
    </w:p>
    <w:p w14:paraId="512C529B" w14:textId="7D1A7CD0" w:rsidR="001759D2" w:rsidRPr="00BB79D6" w:rsidRDefault="001759D2" w:rsidP="009B3590">
      <w:pPr>
        <w:rPr>
          <w:rFonts w:cstheme="minorHAnsi"/>
          <w:highlight w:val="green"/>
        </w:rPr>
      </w:pPr>
      <w:r w:rsidRPr="00BB79D6">
        <w:rPr>
          <w:rFonts w:cstheme="minorHAnsi"/>
          <w:b/>
        </w:rPr>
        <w:t>Transition solutions</w:t>
      </w:r>
      <w:r w:rsidRPr="00BB79D6">
        <w:rPr>
          <w:rFonts w:cstheme="minorHAnsi"/>
        </w:rPr>
        <w:t xml:space="preserve"> are considered till better technologies and less impactful are more cost effective and mature. </w:t>
      </w:r>
    </w:p>
    <w:p w14:paraId="57B3845F" w14:textId="34BA5614" w:rsidR="006745FF" w:rsidRPr="00996E91" w:rsidRDefault="006745FF" w:rsidP="009B3590">
      <w:r w:rsidRPr="00BB79D6">
        <w:rPr>
          <w:b/>
        </w:rPr>
        <w:t>TWh/ Terawatt-hour</w:t>
      </w:r>
      <w:r w:rsidRPr="00BB79D6">
        <w:t xml:space="preserve"> – A unit of energy equal to 1 billion kilowatt-hours</w:t>
      </w:r>
    </w:p>
    <w:sectPr w:rsidR="006745FF" w:rsidRPr="00996E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4FE9B" w14:textId="77777777" w:rsidR="00791258" w:rsidRDefault="00791258" w:rsidP="00D26F59">
      <w:r>
        <w:separator/>
      </w:r>
    </w:p>
  </w:endnote>
  <w:endnote w:type="continuationSeparator" w:id="0">
    <w:p w14:paraId="1EB6B4D9" w14:textId="77777777" w:rsidR="00791258" w:rsidRDefault="00791258" w:rsidP="00D26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ZWSCJY+AGaramondPro-Regular">
    <w:altName w:val="Cambria"/>
    <w:panose1 w:val="020B0604020202020204"/>
    <w:charset w:val="00"/>
    <w:family w:val="roman"/>
    <w:notTrueType/>
    <w:pitch w:val="default"/>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Times New Roman">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3409" w14:textId="77777777" w:rsidR="0024486F" w:rsidRDefault="0024486F"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24486F" w:rsidRDefault="0024486F"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AE7D4" w14:textId="087E5F1B" w:rsidR="0024486F" w:rsidRPr="00F26176" w:rsidRDefault="0024486F"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95FF" w14:textId="77777777" w:rsidR="0024486F" w:rsidRPr="00F26176" w:rsidRDefault="0024486F"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40C13" w14:textId="77777777" w:rsidR="00791258" w:rsidRDefault="00791258" w:rsidP="00D26F59">
      <w:r>
        <w:separator/>
      </w:r>
    </w:p>
  </w:footnote>
  <w:footnote w:type="continuationSeparator" w:id="0">
    <w:p w14:paraId="341607AA" w14:textId="77777777" w:rsidR="00791258" w:rsidRDefault="00791258" w:rsidP="00D26F59">
      <w:r>
        <w:continuationSeparator/>
      </w:r>
    </w:p>
  </w:footnote>
  <w:footnote w:id="1">
    <w:p w14:paraId="1294D54F" w14:textId="77777777" w:rsidR="0024486F" w:rsidRDefault="0024486F" w:rsidP="006B1084">
      <w:pPr>
        <w:pStyle w:val="FootnoteText"/>
      </w:pPr>
      <w:r w:rsidRPr="00E911FD">
        <w:rPr>
          <w:rStyle w:val="FootnoteReference"/>
        </w:rPr>
        <w:footnoteRef/>
      </w:r>
      <w:r>
        <w:t xml:space="preserve"> For most results, only the differences between scenarios, summed over 2020-2050 were presented, but for the net first cost, the position was taken that to achieve the adoptions in 2020, growth must first happen from 2015 to 2020, and that growth comes at a cost which should be accounted for, hence net first cost results represent the period 2015-2050.</w:t>
      </w:r>
    </w:p>
  </w:footnote>
  <w:footnote w:id="2">
    <w:p w14:paraId="6DAB2578" w14:textId="77777777" w:rsidR="0024486F" w:rsidRDefault="0024486F" w:rsidP="00E629B7">
      <w:pPr>
        <w:pStyle w:val="FootnoteText"/>
      </w:pPr>
      <w:r w:rsidRPr="00E911FD">
        <w:rPr>
          <w:rStyle w:val="FootnoteReference"/>
        </w:rPr>
        <w:footnoteRef/>
      </w:r>
      <w:r>
        <w:t xml:space="preserve"> In some cases, the low boundary is negative for a variable that can only be positive, and in these cases the lowest collected data point is used as the “low” boundary.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383AFB"/>
    <w:multiLevelType w:val="multilevel"/>
    <w:tmpl w:val="E386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1656F"/>
    <w:multiLevelType w:val="hybridMultilevel"/>
    <w:tmpl w:val="649ABCF8"/>
    <w:lvl w:ilvl="0" w:tplc="EC38CDF8">
      <w:start w:val="1"/>
      <w:numFmt w:val="bullet"/>
      <w:lvlText w:val=""/>
      <w:lvlJc w:val="left"/>
      <w:pPr>
        <w:ind w:left="720" w:hanging="360"/>
      </w:pPr>
      <w:rPr>
        <w:rFonts w:ascii="Symbol" w:hAnsi="Symbol" w:hint="default"/>
      </w:rPr>
    </w:lvl>
    <w:lvl w:ilvl="1" w:tplc="4404C376">
      <w:start w:val="1"/>
      <w:numFmt w:val="bullet"/>
      <w:lvlText w:val="o"/>
      <w:lvlJc w:val="left"/>
      <w:pPr>
        <w:ind w:left="1440" w:hanging="360"/>
      </w:pPr>
      <w:rPr>
        <w:rFonts w:ascii="Courier New" w:hAnsi="Courier New" w:hint="default"/>
      </w:rPr>
    </w:lvl>
    <w:lvl w:ilvl="2" w:tplc="13863B7E">
      <w:start w:val="1"/>
      <w:numFmt w:val="bullet"/>
      <w:lvlText w:val=""/>
      <w:lvlJc w:val="left"/>
      <w:pPr>
        <w:ind w:left="2160" w:hanging="360"/>
      </w:pPr>
      <w:rPr>
        <w:rFonts w:ascii="Wingdings" w:hAnsi="Wingdings" w:hint="default"/>
      </w:rPr>
    </w:lvl>
    <w:lvl w:ilvl="3" w:tplc="A6B29914">
      <w:start w:val="1"/>
      <w:numFmt w:val="bullet"/>
      <w:lvlText w:val=""/>
      <w:lvlJc w:val="left"/>
      <w:pPr>
        <w:ind w:left="2880" w:hanging="360"/>
      </w:pPr>
      <w:rPr>
        <w:rFonts w:ascii="Symbol" w:hAnsi="Symbol" w:hint="default"/>
      </w:rPr>
    </w:lvl>
    <w:lvl w:ilvl="4" w:tplc="2D208322">
      <w:start w:val="1"/>
      <w:numFmt w:val="bullet"/>
      <w:lvlText w:val="o"/>
      <w:lvlJc w:val="left"/>
      <w:pPr>
        <w:ind w:left="3600" w:hanging="360"/>
      </w:pPr>
      <w:rPr>
        <w:rFonts w:ascii="Courier New" w:hAnsi="Courier New" w:hint="default"/>
      </w:rPr>
    </w:lvl>
    <w:lvl w:ilvl="5" w:tplc="3D72CD8C">
      <w:start w:val="1"/>
      <w:numFmt w:val="bullet"/>
      <w:lvlText w:val=""/>
      <w:lvlJc w:val="left"/>
      <w:pPr>
        <w:ind w:left="4320" w:hanging="360"/>
      </w:pPr>
      <w:rPr>
        <w:rFonts w:ascii="Wingdings" w:hAnsi="Wingdings" w:hint="default"/>
      </w:rPr>
    </w:lvl>
    <w:lvl w:ilvl="6" w:tplc="07EC2CC2">
      <w:start w:val="1"/>
      <w:numFmt w:val="bullet"/>
      <w:lvlText w:val=""/>
      <w:lvlJc w:val="left"/>
      <w:pPr>
        <w:ind w:left="5040" w:hanging="360"/>
      </w:pPr>
      <w:rPr>
        <w:rFonts w:ascii="Symbol" w:hAnsi="Symbol" w:hint="default"/>
      </w:rPr>
    </w:lvl>
    <w:lvl w:ilvl="7" w:tplc="9198F974">
      <w:start w:val="1"/>
      <w:numFmt w:val="bullet"/>
      <w:lvlText w:val="o"/>
      <w:lvlJc w:val="left"/>
      <w:pPr>
        <w:ind w:left="5760" w:hanging="360"/>
      </w:pPr>
      <w:rPr>
        <w:rFonts w:ascii="Courier New" w:hAnsi="Courier New" w:hint="default"/>
      </w:rPr>
    </w:lvl>
    <w:lvl w:ilvl="8" w:tplc="A46EA470">
      <w:start w:val="1"/>
      <w:numFmt w:val="bullet"/>
      <w:lvlText w:val=""/>
      <w:lvlJc w:val="left"/>
      <w:pPr>
        <w:ind w:left="6480" w:hanging="360"/>
      </w:pPr>
      <w:rPr>
        <w:rFonts w:ascii="Wingdings" w:hAnsi="Wingdings" w:hint="default"/>
      </w:rPr>
    </w:lvl>
  </w:abstractNum>
  <w:abstractNum w:abstractNumId="4" w15:restartNumberingAfterBreak="0">
    <w:nsid w:val="06DD06E3"/>
    <w:multiLevelType w:val="hybridMultilevel"/>
    <w:tmpl w:val="D2DE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D6788"/>
    <w:multiLevelType w:val="hybridMultilevel"/>
    <w:tmpl w:val="39F242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B655D8"/>
    <w:multiLevelType w:val="hybridMultilevel"/>
    <w:tmpl w:val="13AAC8B0"/>
    <w:lvl w:ilvl="0" w:tplc="9CE8DC82">
      <w:start w:val="1"/>
      <w:numFmt w:val="bullet"/>
      <w:lvlText w:val=""/>
      <w:lvlJc w:val="left"/>
      <w:pPr>
        <w:ind w:left="720" w:hanging="360"/>
      </w:pPr>
      <w:rPr>
        <w:rFonts w:ascii="Symbol" w:hAnsi="Symbol" w:hint="default"/>
      </w:rPr>
    </w:lvl>
    <w:lvl w:ilvl="1" w:tplc="078281A8">
      <w:start w:val="1"/>
      <w:numFmt w:val="bullet"/>
      <w:lvlText w:val="o"/>
      <w:lvlJc w:val="left"/>
      <w:pPr>
        <w:ind w:left="1440" w:hanging="360"/>
      </w:pPr>
      <w:rPr>
        <w:rFonts w:ascii="Courier New" w:hAnsi="Courier New" w:hint="default"/>
      </w:rPr>
    </w:lvl>
    <w:lvl w:ilvl="2" w:tplc="6A6AF512">
      <w:start w:val="1"/>
      <w:numFmt w:val="bullet"/>
      <w:lvlText w:val=""/>
      <w:lvlJc w:val="left"/>
      <w:pPr>
        <w:ind w:left="2160" w:hanging="360"/>
      </w:pPr>
      <w:rPr>
        <w:rFonts w:ascii="Wingdings" w:hAnsi="Wingdings" w:hint="default"/>
      </w:rPr>
    </w:lvl>
    <w:lvl w:ilvl="3" w:tplc="3F44A104">
      <w:start w:val="1"/>
      <w:numFmt w:val="bullet"/>
      <w:lvlText w:val=""/>
      <w:lvlJc w:val="left"/>
      <w:pPr>
        <w:ind w:left="2880" w:hanging="360"/>
      </w:pPr>
      <w:rPr>
        <w:rFonts w:ascii="Symbol" w:hAnsi="Symbol" w:hint="default"/>
      </w:rPr>
    </w:lvl>
    <w:lvl w:ilvl="4" w:tplc="A24485C4">
      <w:start w:val="1"/>
      <w:numFmt w:val="bullet"/>
      <w:lvlText w:val="o"/>
      <w:lvlJc w:val="left"/>
      <w:pPr>
        <w:ind w:left="3600" w:hanging="360"/>
      </w:pPr>
      <w:rPr>
        <w:rFonts w:ascii="Courier New" w:hAnsi="Courier New" w:hint="default"/>
      </w:rPr>
    </w:lvl>
    <w:lvl w:ilvl="5" w:tplc="4968B286">
      <w:start w:val="1"/>
      <w:numFmt w:val="bullet"/>
      <w:lvlText w:val=""/>
      <w:lvlJc w:val="left"/>
      <w:pPr>
        <w:ind w:left="4320" w:hanging="360"/>
      </w:pPr>
      <w:rPr>
        <w:rFonts w:ascii="Wingdings" w:hAnsi="Wingdings" w:hint="default"/>
      </w:rPr>
    </w:lvl>
    <w:lvl w:ilvl="6" w:tplc="44A0FD54">
      <w:start w:val="1"/>
      <w:numFmt w:val="bullet"/>
      <w:lvlText w:val=""/>
      <w:lvlJc w:val="left"/>
      <w:pPr>
        <w:ind w:left="5040" w:hanging="360"/>
      </w:pPr>
      <w:rPr>
        <w:rFonts w:ascii="Symbol" w:hAnsi="Symbol" w:hint="default"/>
      </w:rPr>
    </w:lvl>
    <w:lvl w:ilvl="7" w:tplc="026AD38C">
      <w:start w:val="1"/>
      <w:numFmt w:val="bullet"/>
      <w:lvlText w:val="o"/>
      <w:lvlJc w:val="left"/>
      <w:pPr>
        <w:ind w:left="5760" w:hanging="360"/>
      </w:pPr>
      <w:rPr>
        <w:rFonts w:ascii="Courier New" w:hAnsi="Courier New" w:hint="default"/>
      </w:rPr>
    </w:lvl>
    <w:lvl w:ilvl="8" w:tplc="45E0006E">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CC3801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50A5B4D"/>
    <w:multiLevelType w:val="hybridMultilevel"/>
    <w:tmpl w:val="D902A3D2"/>
    <w:lvl w:ilvl="0" w:tplc="311C8422">
      <w:start w:val="1"/>
      <w:numFmt w:val="bullet"/>
      <w:lvlText w:val=""/>
      <w:lvlJc w:val="left"/>
      <w:pPr>
        <w:ind w:left="720" w:hanging="360"/>
      </w:pPr>
      <w:rPr>
        <w:rFonts w:ascii="Symbol" w:hAnsi="Symbol" w:hint="default"/>
      </w:rPr>
    </w:lvl>
    <w:lvl w:ilvl="1" w:tplc="B4EC684E">
      <w:start w:val="1"/>
      <w:numFmt w:val="bullet"/>
      <w:lvlText w:val="o"/>
      <w:lvlJc w:val="left"/>
      <w:pPr>
        <w:ind w:left="1440" w:hanging="360"/>
      </w:pPr>
      <w:rPr>
        <w:rFonts w:ascii="Courier New" w:hAnsi="Courier New" w:hint="default"/>
      </w:rPr>
    </w:lvl>
    <w:lvl w:ilvl="2" w:tplc="D8945778">
      <w:start w:val="1"/>
      <w:numFmt w:val="bullet"/>
      <w:lvlText w:val=""/>
      <w:lvlJc w:val="left"/>
      <w:pPr>
        <w:ind w:left="2160" w:hanging="360"/>
      </w:pPr>
      <w:rPr>
        <w:rFonts w:ascii="Wingdings" w:hAnsi="Wingdings" w:hint="default"/>
      </w:rPr>
    </w:lvl>
    <w:lvl w:ilvl="3" w:tplc="31782504">
      <w:start w:val="1"/>
      <w:numFmt w:val="bullet"/>
      <w:lvlText w:val=""/>
      <w:lvlJc w:val="left"/>
      <w:pPr>
        <w:ind w:left="2880" w:hanging="360"/>
      </w:pPr>
      <w:rPr>
        <w:rFonts w:ascii="Symbol" w:hAnsi="Symbol" w:hint="default"/>
      </w:rPr>
    </w:lvl>
    <w:lvl w:ilvl="4" w:tplc="97CAB7C8">
      <w:start w:val="1"/>
      <w:numFmt w:val="bullet"/>
      <w:lvlText w:val="o"/>
      <w:lvlJc w:val="left"/>
      <w:pPr>
        <w:ind w:left="3600" w:hanging="360"/>
      </w:pPr>
      <w:rPr>
        <w:rFonts w:ascii="Courier New" w:hAnsi="Courier New" w:hint="default"/>
      </w:rPr>
    </w:lvl>
    <w:lvl w:ilvl="5" w:tplc="2CF881D2">
      <w:start w:val="1"/>
      <w:numFmt w:val="bullet"/>
      <w:lvlText w:val=""/>
      <w:lvlJc w:val="left"/>
      <w:pPr>
        <w:ind w:left="4320" w:hanging="360"/>
      </w:pPr>
      <w:rPr>
        <w:rFonts w:ascii="Wingdings" w:hAnsi="Wingdings" w:hint="default"/>
      </w:rPr>
    </w:lvl>
    <w:lvl w:ilvl="6" w:tplc="E5882D82">
      <w:start w:val="1"/>
      <w:numFmt w:val="bullet"/>
      <w:lvlText w:val=""/>
      <w:lvlJc w:val="left"/>
      <w:pPr>
        <w:ind w:left="5040" w:hanging="360"/>
      </w:pPr>
      <w:rPr>
        <w:rFonts w:ascii="Symbol" w:hAnsi="Symbol" w:hint="default"/>
      </w:rPr>
    </w:lvl>
    <w:lvl w:ilvl="7" w:tplc="5B66DA9C">
      <w:start w:val="1"/>
      <w:numFmt w:val="bullet"/>
      <w:lvlText w:val="o"/>
      <w:lvlJc w:val="left"/>
      <w:pPr>
        <w:ind w:left="5760" w:hanging="360"/>
      </w:pPr>
      <w:rPr>
        <w:rFonts w:ascii="Courier New" w:hAnsi="Courier New" w:hint="default"/>
      </w:rPr>
    </w:lvl>
    <w:lvl w:ilvl="8" w:tplc="27DECCC0">
      <w:start w:val="1"/>
      <w:numFmt w:val="bullet"/>
      <w:lvlText w:val=""/>
      <w:lvlJc w:val="left"/>
      <w:pPr>
        <w:ind w:left="6480" w:hanging="360"/>
      </w:pPr>
      <w:rPr>
        <w:rFonts w:ascii="Wingdings" w:hAnsi="Wingdings" w:hint="default"/>
      </w:rPr>
    </w:lvl>
  </w:abstractNum>
  <w:abstractNum w:abstractNumId="9" w15:restartNumberingAfterBreak="0">
    <w:nsid w:val="19086A97"/>
    <w:multiLevelType w:val="hybridMultilevel"/>
    <w:tmpl w:val="D4D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02B9E"/>
    <w:multiLevelType w:val="hybridMultilevel"/>
    <w:tmpl w:val="D1822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956B59"/>
    <w:multiLevelType w:val="hybridMultilevel"/>
    <w:tmpl w:val="CB109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B13F27"/>
    <w:multiLevelType w:val="hybridMultilevel"/>
    <w:tmpl w:val="F58A34B0"/>
    <w:lvl w:ilvl="0" w:tplc="A52C208C">
      <w:start w:val="1"/>
      <w:numFmt w:val="bullet"/>
      <w:lvlText w:val=""/>
      <w:lvlJc w:val="left"/>
      <w:pPr>
        <w:ind w:left="720" w:hanging="360"/>
      </w:pPr>
      <w:rPr>
        <w:rFonts w:ascii="Symbol" w:hAnsi="Symbol" w:hint="default"/>
      </w:rPr>
    </w:lvl>
    <w:lvl w:ilvl="1" w:tplc="06AEAFE8">
      <w:start w:val="1"/>
      <w:numFmt w:val="bullet"/>
      <w:lvlText w:val="o"/>
      <w:lvlJc w:val="left"/>
      <w:pPr>
        <w:ind w:left="1440" w:hanging="360"/>
      </w:pPr>
      <w:rPr>
        <w:rFonts w:ascii="Courier New" w:hAnsi="Courier New" w:hint="default"/>
      </w:rPr>
    </w:lvl>
    <w:lvl w:ilvl="2" w:tplc="0BA63EA0">
      <w:start w:val="1"/>
      <w:numFmt w:val="bullet"/>
      <w:lvlText w:val=""/>
      <w:lvlJc w:val="left"/>
      <w:pPr>
        <w:ind w:left="2160" w:hanging="360"/>
      </w:pPr>
      <w:rPr>
        <w:rFonts w:ascii="Wingdings" w:hAnsi="Wingdings" w:hint="default"/>
      </w:rPr>
    </w:lvl>
    <w:lvl w:ilvl="3" w:tplc="0E648DB8">
      <w:start w:val="1"/>
      <w:numFmt w:val="bullet"/>
      <w:lvlText w:val=""/>
      <w:lvlJc w:val="left"/>
      <w:pPr>
        <w:ind w:left="2880" w:hanging="360"/>
      </w:pPr>
      <w:rPr>
        <w:rFonts w:ascii="Symbol" w:hAnsi="Symbol" w:hint="default"/>
      </w:rPr>
    </w:lvl>
    <w:lvl w:ilvl="4" w:tplc="4A9805C4">
      <w:start w:val="1"/>
      <w:numFmt w:val="bullet"/>
      <w:lvlText w:val="o"/>
      <w:lvlJc w:val="left"/>
      <w:pPr>
        <w:ind w:left="3600" w:hanging="360"/>
      </w:pPr>
      <w:rPr>
        <w:rFonts w:ascii="Courier New" w:hAnsi="Courier New" w:hint="default"/>
      </w:rPr>
    </w:lvl>
    <w:lvl w:ilvl="5" w:tplc="76FE5D1A">
      <w:start w:val="1"/>
      <w:numFmt w:val="bullet"/>
      <w:lvlText w:val=""/>
      <w:lvlJc w:val="left"/>
      <w:pPr>
        <w:ind w:left="4320" w:hanging="360"/>
      </w:pPr>
      <w:rPr>
        <w:rFonts w:ascii="Wingdings" w:hAnsi="Wingdings" w:hint="default"/>
      </w:rPr>
    </w:lvl>
    <w:lvl w:ilvl="6" w:tplc="269462FC">
      <w:start w:val="1"/>
      <w:numFmt w:val="bullet"/>
      <w:lvlText w:val=""/>
      <w:lvlJc w:val="left"/>
      <w:pPr>
        <w:ind w:left="5040" w:hanging="360"/>
      </w:pPr>
      <w:rPr>
        <w:rFonts w:ascii="Symbol" w:hAnsi="Symbol" w:hint="default"/>
      </w:rPr>
    </w:lvl>
    <w:lvl w:ilvl="7" w:tplc="E1EEFEEE">
      <w:start w:val="1"/>
      <w:numFmt w:val="bullet"/>
      <w:lvlText w:val="o"/>
      <w:lvlJc w:val="left"/>
      <w:pPr>
        <w:ind w:left="5760" w:hanging="360"/>
      </w:pPr>
      <w:rPr>
        <w:rFonts w:ascii="Courier New" w:hAnsi="Courier New" w:hint="default"/>
      </w:rPr>
    </w:lvl>
    <w:lvl w:ilvl="8" w:tplc="8C2A96BC">
      <w:start w:val="1"/>
      <w:numFmt w:val="bullet"/>
      <w:lvlText w:val=""/>
      <w:lvlJc w:val="left"/>
      <w:pPr>
        <w:ind w:left="6480" w:hanging="360"/>
      </w:pPr>
      <w:rPr>
        <w:rFonts w:ascii="Wingdings" w:hAnsi="Wingdings" w:hint="default"/>
      </w:rPr>
    </w:lvl>
  </w:abstractNum>
  <w:abstractNum w:abstractNumId="13" w15:restartNumberingAfterBreak="0">
    <w:nsid w:val="221373D0"/>
    <w:multiLevelType w:val="hybridMultilevel"/>
    <w:tmpl w:val="67603802"/>
    <w:lvl w:ilvl="0" w:tplc="FAC28EDA">
      <w:start w:val="1"/>
      <w:numFmt w:val="bullet"/>
      <w:lvlText w:val=""/>
      <w:lvlJc w:val="left"/>
      <w:pPr>
        <w:ind w:left="720" w:hanging="360"/>
      </w:pPr>
      <w:rPr>
        <w:rFonts w:ascii="Symbol" w:hAnsi="Symbol" w:hint="default"/>
      </w:rPr>
    </w:lvl>
    <w:lvl w:ilvl="1" w:tplc="D59AF804">
      <w:start w:val="1"/>
      <w:numFmt w:val="bullet"/>
      <w:lvlText w:val="o"/>
      <w:lvlJc w:val="left"/>
      <w:pPr>
        <w:ind w:left="1440" w:hanging="360"/>
      </w:pPr>
      <w:rPr>
        <w:rFonts w:ascii="Courier New" w:hAnsi="Courier New" w:hint="default"/>
      </w:rPr>
    </w:lvl>
    <w:lvl w:ilvl="2" w:tplc="5256FCB0">
      <w:start w:val="1"/>
      <w:numFmt w:val="bullet"/>
      <w:lvlText w:val=""/>
      <w:lvlJc w:val="left"/>
      <w:pPr>
        <w:ind w:left="2160" w:hanging="360"/>
      </w:pPr>
      <w:rPr>
        <w:rFonts w:ascii="Wingdings" w:hAnsi="Wingdings" w:hint="default"/>
      </w:rPr>
    </w:lvl>
    <w:lvl w:ilvl="3" w:tplc="9FC6D752">
      <w:start w:val="1"/>
      <w:numFmt w:val="bullet"/>
      <w:lvlText w:val=""/>
      <w:lvlJc w:val="left"/>
      <w:pPr>
        <w:ind w:left="2880" w:hanging="360"/>
      </w:pPr>
      <w:rPr>
        <w:rFonts w:ascii="Symbol" w:hAnsi="Symbol" w:hint="default"/>
      </w:rPr>
    </w:lvl>
    <w:lvl w:ilvl="4" w:tplc="E2E28EF8">
      <w:start w:val="1"/>
      <w:numFmt w:val="bullet"/>
      <w:lvlText w:val="o"/>
      <w:lvlJc w:val="left"/>
      <w:pPr>
        <w:ind w:left="3600" w:hanging="360"/>
      </w:pPr>
      <w:rPr>
        <w:rFonts w:ascii="Courier New" w:hAnsi="Courier New" w:hint="default"/>
      </w:rPr>
    </w:lvl>
    <w:lvl w:ilvl="5" w:tplc="6A664024">
      <w:start w:val="1"/>
      <w:numFmt w:val="bullet"/>
      <w:lvlText w:val=""/>
      <w:lvlJc w:val="left"/>
      <w:pPr>
        <w:ind w:left="4320" w:hanging="360"/>
      </w:pPr>
      <w:rPr>
        <w:rFonts w:ascii="Wingdings" w:hAnsi="Wingdings" w:hint="default"/>
      </w:rPr>
    </w:lvl>
    <w:lvl w:ilvl="6" w:tplc="3A6EF3B0">
      <w:start w:val="1"/>
      <w:numFmt w:val="bullet"/>
      <w:lvlText w:val=""/>
      <w:lvlJc w:val="left"/>
      <w:pPr>
        <w:ind w:left="5040" w:hanging="360"/>
      </w:pPr>
      <w:rPr>
        <w:rFonts w:ascii="Symbol" w:hAnsi="Symbol" w:hint="default"/>
      </w:rPr>
    </w:lvl>
    <w:lvl w:ilvl="7" w:tplc="4CC8E248">
      <w:start w:val="1"/>
      <w:numFmt w:val="bullet"/>
      <w:lvlText w:val="o"/>
      <w:lvlJc w:val="left"/>
      <w:pPr>
        <w:ind w:left="5760" w:hanging="360"/>
      </w:pPr>
      <w:rPr>
        <w:rFonts w:ascii="Courier New" w:hAnsi="Courier New" w:hint="default"/>
      </w:rPr>
    </w:lvl>
    <w:lvl w:ilvl="8" w:tplc="743CAD92">
      <w:start w:val="1"/>
      <w:numFmt w:val="bullet"/>
      <w:lvlText w:val=""/>
      <w:lvlJc w:val="left"/>
      <w:pPr>
        <w:ind w:left="6480" w:hanging="360"/>
      </w:pPr>
      <w:rPr>
        <w:rFonts w:ascii="Wingdings" w:hAnsi="Wingdings" w:hint="default"/>
      </w:rPr>
    </w:lvl>
  </w:abstractNum>
  <w:abstractNum w:abstractNumId="14" w15:restartNumberingAfterBreak="0">
    <w:nsid w:val="2CBE3CF7"/>
    <w:multiLevelType w:val="hybridMultilevel"/>
    <w:tmpl w:val="2D0A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E60167"/>
    <w:multiLevelType w:val="hybridMultilevel"/>
    <w:tmpl w:val="14EC235E"/>
    <w:lvl w:ilvl="0" w:tplc="558AF5DC">
      <w:start w:val="1"/>
      <w:numFmt w:val="bullet"/>
      <w:lvlText w:val=""/>
      <w:lvlJc w:val="left"/>
      <w:pPr>
        <w:ind w:left="720" w:hanging="360"/>
      </w:pPr>
      <w:rPr>
        <w:rFonts w:ascii="Symbol" w:hAnsi="Symbol" w:hint="default"/>
      </w:rPr>
    </w:lvl>
    <w:lvl w:ilvl="1" w:tplc="9294D4BC">
      <w:start w:val="1"/>
      <w:numFmt w:val="bullet"/>
      <w:lvlText w:val="o"/>
      <w:lvlJc w:val="left"/>
      <w:pPr>
        <w:ind w:left="1440" w:hanging="360"/>
      </w:pPr>
      <w:rPr>
        <w:rFonts w:ascii="Courier New" w:hAnsi="Courier New" w:hint="default"/>
      </w:rPr>
    </w:lvl>
    <w:lvl w:ilvl="2" w:tplc="A9C2071E">
      <w:start w:val="1"/>
      <w:numFmt w:val="bullet"/>
      <w:lvlText w:val=""/>
      <w:lvlJc w:val="left"/>
      <w:pPr>
        <w:ind w:left="2160" w:hanging="360"/>
      </w:pPr>
      <w:rPr>
        <w:rFonts w:ascii="Wingdings" w:hAnsi="Wingdings" w:hint="default"/>
      </w:rPr>
    </w:lvl>
    <w:lvl w:ilvl="3" w:tplc="8842EA06">
      <w:start w:val="1"/>
      <w:numFmt w:val="bullet"/>
      <w:lvlText w:val=""/>
      <w:lvlJc w:val="left"/>
      <w:pPr>
        <w:ind w:left="2880" w:hanging="360"/>
      </w:pPr>
      <w:rPr>
        <w:rFonts w:ascii="Symbol" w:hAnsi="Symbol" w:hint="default"/>
      </w:rPr>
    </w:lvl>
    <w:lvl w:ilvl="4" w:tplc="77F2000E">
      <w:start w:val="1"/>
      <w:numFmt w:val="bullet"/>
      <w:lvlText w:val="o"/>
      <w:lvlJc w:val="left"/>
      <w:pPr>
        <w:ind w:left="3600" w:hanging="360"/>
      </w:pPr>
      <w:rPr>
        <w:rFonts w:ascii="Courier New" w:hAnsi="Courier New" w:hint="default"/>
      </w:rPr>
    </w:lvl>
    <w:lvl w:ilvl="5" w:tplc="53240288">
      <w:start w:val="1"/>
      <w:numFmt w:val="bullet"/>
      <w:lvlText w:val=""/>
      <w:lvlJc w:val="left"/>
      <w:pPr>
        <w:ind w:left="4320" w:hanging="360"/>
      </w:pPr>
      <w:rPr>
        <w:rFonts w:ascii="Wingdings" w:hAnsi="Wingdings" w:hint="default"/>
      </w:rPr>
    </w:lvl>
    <w:lvl w:ilvl="6" w:tplc="995AA9B8">
      <w:start w:val="1"/>
      <w:numFmt w:val="bullet"/>
      <w:lvlText w:val=""/>
      <w:lvlJc w:val="left"/>
      <w:pPr>
        <w:ind w:left="5040" w:hanging="360"/>
      </w:pPr>
      <w:rPr>
        <w:rFonts w:ascii="Symbol" w:hAnsi="Symbol" w:hint="default"/>
      </w:rPr>
    </w:lvl>
    <w:lvl w:ilvl="7" w:tplc="904C3BC8">
      <w:start w:val="1"/>
      <w:numFmt w:val="bullet"/>
      <w:lvlText w:val="o"/>
      <w:lvlJc w:val="left"/>
      <w:pPr>
        <w:ind w:left="5760" w:hanging="360"/>
      </w:pPr>
      <w:rPr>
        <w:rFonts w:ascii="Courier New" w:hAnsi="Courier New" w:hint="default"/>
      </w:rPr>
    </w:lvl>
    <w:lvl w:ilvl="8" w:tplc="E7846F22">
      <w:start w:val="1"/>
      <w:numFmt w:val="bullet"/>
      <w:lvlText w:val=""/>
      <w:lvlJc w:val="left"/>
      <w:pPr>
        <w:ind w:left="6480" w:hanging="360"/>
      </w:pPr>
      <w:rPr>
        <w:rFonts w:ascii="Wingdings" w:hAnsi="Wingdings" w:hint="default"/>
      </w:rPr>
    </w:lvl>
  </w:abstractNum>
  <w:abstractNum w:abstractNumId="16" w15:restartNumberingAfterBreak="0">
    <w:nsid w:val="310E2E2A"/>
    <w:multiLevelType w:val="hybridMultilevel"/>
    <w:tmpl w:val="D0FC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0C42CD"/>
    <w:multiLevelType w:val="hybridMultilevel"/>
    <w:tmpl w:val="06D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7E426E"/>
    <w:multiLevelType w:val="hybridMultilevel"/>
    <w:tmpl w:val="6F7EB872"/>
    <w:lvl w:ilvl="0" w:tplc="85302C3C">
      <w:start w:val="1"/>
      <w:numFmt w:val="bullet"/>
      <w:lvlText w:val=""/>
      <w:lvlJc w:val="left"/>
      <w:pPr>
        <w:ind w:left="720" w:hanging="360"/>
      </w:pPr>
      <w:rPr>
        <w:rFonts w:ascii="Symbol" w:hAnsi="Symbol" w:hint="default"/>
      </w:rPr>
    </w:lvl>
    <w:lvl w:ilvl="1" w:tplc="68CCF554">
      <w:start w:val="1"/>
      <w:numFmt w:val="bullet"/>
      <w:lvlText w:val="o"/>
      <w:lvlJc w:val="left"/>
      <w:pPr>
        <w:ind w:left="1440" w:hanging="360"/>
      </w:pPr>
      <w:rPr>
        <w:rFonts w:ascii="Courier New" w:hAnsi="Courier New" w:hint="default"/>
      </w:rPr>
    </w:lvl>
    <w:lvl w:ilvl="2" w:tplc="56E04FB8">
      <w:start w:val="1"/>
      <w:numFmt w:val="bullet"/>
      <w:lvlText w:val=""/>
      <w:lvlJc w:val="left"/>
      <w:pPr>
        <w:ind w:left="2160" w:hanging="360"/>
      </w:pPr>
      <w:rPr>
        <w:rFonts w:ascii="Wingdings" w:hAnsi="Wingdings" w:hint="default"/>
      </w:rPr>
    </w:lvl>
    <w:lvl w:ilvl="3" w:tplc="A6A465D8">
      <w:start w:val="1"/>
      <w:numFmt w:val="bullet"/>
      <w:lvlText w:val=""/>
      <w:lvlJc w:val="left"/>
      <w:pPr>
        <w:ind w:left="2880" w:hanging="360"/>
      </w:pPr>
      <w:rPr>
        <w:rFonts w:ascii="Symbol" w:hAnsi="Symbol" w:hint="default"/>
      </w:rPr>
    </w:lvl>
    <w:lvl w:ilvl="4" w:tplc="656AF4D2">
      <w:start w:val="1"/>
      <w:numFmt w:val="bullet"/>
      <w:lvlText w:val="o"/>
      <w:lvlJc w:val="left"/>
      <w:pPr>
        <w:ind w:left="3600" w:hanging="360"/>
      </w:pPr>
      <w:rPr>
        <w:rFonts w:ascii="Courier New" w:hAnsi="Courier New" w:hint="default"/>
      </w:rPr>
    </w:lvl>
    <w:lvl w:ilvl="5" w:tplc="BAA24B62">
      <w:start w:val="1"/>
      <w:numFmt w:val="bullet"/>
      <w:lvlText w:val=""/>
      <w:lvlJc w:val="left"/>
      <w:pPr>
        <w:ind w:left="4320" w:hanging="360"/>
      </w:pPr>
      <w:rPr>
        <w:rFonts w:ascii="Wingdings" w:hAnsi="Wingdings" w:hint="default"/>
      </w:rPr>
    </w:lvl>
    <w:lvl w:ilvl="6" w:tplc="6B8C587C">
      <w:start w:val="1"/>
      <w:numFmt w:val="bullet"/>
      <w:lvlText w:val=""/>
      <w:lvlJc w:val="left"/>
      <w:pPr>
        <w:ind w:left="5040" w:hanging="360"/>
      </w:pPr>
      <w:rPr>
        <w:rFonts w:ascii="Symbol" w:hAnsi="Symbol" w:hint="default"/>
      </w:rPr>
    </w:lvl>
    <w:lvl w:ilvl="7" w:tplc="FF0CF9E8">
      <w:start w:val="1"/>
      <w:numFmt w:val="bullet"/>
      <w:lvlText w:val="o"/>
      <w:lvlJc w:val="left"/>
      <w:pPr>
        <w:ind w:left="5760" w:hanging="360"/>
      </w:pPr>
      <w:rPr>
        <w:rFonts w:ascii="Courier New" w:hAnsi="Courier New" w:hint="default"/>
      </w:rPr>
    </w:lvl>
    <w:lvl w:ilvl="8" w:tplc="D968E95A">
      <w:start w:val="1"/>
      <w:numFmt w:val="bullet"/>
      <w:lvlText w:val=""/>
      <w:lvlJc w:val="left"/>
      <w:pPr>
        <w:ind w:left="6480" w:hanging="360"/>
      </w:pPr>
      <w:rPr>
        <w:rFonts w:ascii="Wingdings" w:hAnsi="Wingdings" w:hint="default"/>
      </w:rPr>
    </w:lvl>
  </w:abstractNum>
  <w:abstractNum w:abstractNumId="19" w15:restartNumberingAfterBreak="0">
    <w:nsid w:val="3B5E4AB3"/>
    <w:multiLevelType w:val="multilevel"/>
    <w:tmpl w:val="A680E7FA"/>
    <w:lvl w:ilvl="0">
      <w:start w:val="1"/>
      <w:numFmt w:val="decimal"/>
      <w:pStyle w:val="TOCHeading"/>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CF9607D"/>
    <w:multiLevelType w:val="hybridMultilevel"/>
    <w:tmpl w:val="DDD6E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94073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3" w15:restartNumberingAfterBreak="0">
    <w:nsid w:val="44DB4723"/>
    <w:multiLevelType w:val="hybridMultilevel"/>
    <w:tmpl w:val="A7948BF0"/>
    <w:lvl w:ilvl="0" w:tplc="FA5A0CCA">
      <w:start w:val="1"/>
      <w:numFmt w:val="bullet"/>
      <w:lvlText w:val=""/>
      <w:lvlJc w:val="left"/>
      <w:pPr>
        <w:ind w:left="720" w:hanging="360"/>
      </w:pPr>
      <w:rPr>
        <w:rFonts w:ascii="Symbol" w:hAnsi="Symbol" w:hint="default"/>
      </w:rPr>
    </w:lvl>
    <w:lvl w:ilvl="1" w:tplc="1D2C922C">
      <w:start w:val="1"/>
      <w:numFmt w:val="bullet"/>
      <w:lvlText w:val="o"/>
      <w:lvlJc w:val="left"/>
      <w:pPr>
        <w:ind w:left="1440" w:hanging="360"/>
      </w:pPr>
      <w:rPr>
        <w:rFonts w:ascii="Courier New" w:hAnsi="Courier New" w:hint="default"/>
      </w:rPr>
    </w:lvl>
    <w:lvl w:ilvl="2" w:tplc="43E659CE">
      <w:start w:val="1"/>
      <w:numFmt w:val="bullet"/>
      <w:lvlText w:val=""/>
      <w:lvlJc w:val="left"/>
      <w:pPr>
        <w:ind w:left="2160" w:hanging="360"/>
      </w:pPr>
      <w:rPr>
        <w:rFonts w:ascii="Wingdings" w:hAnsi="Wingdings" w:hint="default"/>
      </w:rPr>
    </w:lvl>
    <w:lvl w:ilvl="3" w:tplc="A08EF4D8">
      <w:start w:val="1"/>
      <w:numFmt w:val="bullet"/>
      <w:lvlText w:val=""/>
      <w:lvlJc w:val="left"/>
      <w:pPr>
        <w:ind w:left="2880" w:hanging="360"/>
      </w:pPr>
      <w:rPr>
        <w:rFonts w:ascii="Symbol" w:hAnsi="Symbol" w:hint="default"/>
      </w:rPr>
    </w:lvl>
    <w:lvl w:ilvl="4" w:tplc="BC6E7656">
      <w:start w:val="1"/>
      <w:numFmt w:val="bullet"/>
      <w:lvlText w:val="o"/>
      <w:lvlJc w:val="left"/>
      <w:pPr>
        <w:ind w:left="3600" w:hanging="360"/>
      </w:pPr>
      <w:rPr>
        <w:rFonts w:ascii="Courier New" w:hAnsi="Courier New" w:hint="default"/>
      </w:rPr>
    </w:lvl>
    <w:lvl w:ilvl="5" w:tplc="3560EEA6">
      <w:start w:val="1"/>
      <w:numFmt w:val="bullet"/>
      <w:lvlText w:val=""/>
      <w:lvlJc w:val="left"/>
      <w:pPr>
        <w:ind w:left="4320" w:hanging="360"/>
      </w:pPr>
      <w:rPr>
        <w:rFonts w:ascii="Wingdings" w:hAnsi="Wingdings" w:hint="default"/>
      </w:rPr>
    </w:lvl>
    <w:lvl w:ilvl="6" w:tplc="E252F5AC">
      <w:start w:val="1"/>
      <w:numFmt w:val="bullet"/>
      <w:lvlText w:val=""/>
      <w:lvlJc w:val="left"/>
      <w:pPr>
        <w:ind w:left="5040" w:hanging="360"/>
      </w:pPr>
      <w:rPr>
        <w:rFonts w:ascii="Symbol" w:hAnsi="Symbol" w:hint="default"/>
      </w:rPr>
    </w:lvl>
    <w:lvl w:ilvl="7" w:tplc="8F960A12">
      <w:start w:val="1"/>
      <w:numFmt w:val="bullet"/>
      <w:lvlText w:val="o"/>
      <w:lvlJc w:val="left"/>
      <w:pPr>
        <w:ind w:left="5760" w:hanging="360"/>
      </w:pPr>
      <w:rPr>
        <w:rFonts w:ascii="Courier New" w:hAnsi="Courier New" w:hint="default"/>
      </w:rPr>
    </w:lvl>
    <w:lvl w:ilvl="8" w:tplc="A9E414E4">
      <w:start w:val="1"/>
      <w:numFmt w:val="bullet"/>
      <w:lvlText w:val=""/>
      <w:lvlJc w:val="left"/>
      <w:pPr>
        <w:ind w:left="6480" w:hanging="360"/>
      </w:pPr>
      <w:rPr>
        <w:rFonts w:ascii="Wingdings" w:hAnsi="Wingdings" w:hint="default"/>
      </w:rPr>
    </w:lvl>
  </w:abstractNum>
  <w:abstractNum w:abstractNumId="24" w15:restartNumberingAfterBreak="0">
    <w:nsid w:val="45F03AED"/>
    <w:multiLevelType w:val="hybridMultilevel"/>
    <w:tmpl w:val="350EC872"/>
    <w:lvl w:ilvl="0" w:tplc="88186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0A2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EE8646B"/>
    <w:multiLevelType w:val="hybridMultilevel"/>
    <w:tmpl w:val="5EC6659C"/>
    <w:lvl w:ilvl="0" w:tplc="92960416">
      <w:start w:val="1"/>
      <w:numFmt w:val="bullet"/>
      <w:lvlText w:val=""/>
      <w:lvlJc w:val="left"/>
      <w:pPr>
        <w:ind w:left="720" w:hanging="360"/>
      </w:pPr>
      <w:rPr>
        <w:rFonts w:ascii="Symbol" w:hAnsi="Symbol" w:hint="default"/>
      </w:rPr>
    </w:lvl>
    <w:lvl w:ilvl="1" w:tplc="18E2D71E">
      <w:start w:val="1"/>
      <w:numFmt w:val="bullet"/>
      <w:lvlText w:val="o"/>
      <w:lvlJc w:val="left"/>
      <w:pPr>
        <w:ind w:left="1440" w:hanging="360"/>
      </w:pPr>
      <w:rPr>
        <w:rFonts w:ascii="Courier New" w:hAnsi="Courier New" w:hint="default"/>
      </w:rPr>
    </w:lvl>
    <w:lvl w:ilvl="2" w:tplc="13E804A4">
      <w:start w:val="1"/>
      <w:numFmt w:val="bullet"/>
      <w:lvlText w:val=""/>
      <w:lvlJc w:val="left"/>
      <w:pPr>
        <w:ind w:left="2160" w:hanging="360"/>
      </w:pPr>
      <w:rPr>
        <w:rFonts w:ascii="Wingdings" w:hAnsi="Wingdings" w:hint="default"/>
      </w:rPr>
    </w:lvl>
    <w:lvl w:ilvl="3" w:tplc="7F9643DA">
      <w:start w:val="1"/>
      <w:numFmt w:val="bullet"/>
      <w:lvlText w:val=""/>
      <w:lvlJc w:val="left"/>
      <w:pPr>
        <w:ind w:left="2880" w:hanging="360"/>
      </w:pPr>
      <w:rPr>
        <w:rFonts w:ascii="Symbol" w:hAnsi="Symbol" w:hint="default"/>
      </w:rPr>
    </w:lvl>
    <w:lvl w:ilvl="4" w:tplc="82683C44">
      <w:start w:val="1"/>
      <w:numFmt w:val="bullet"/>
      <w:lvlText w:val="o"/>
      <w:lvlJc w:val="left"/>
      <w:pPr>
        <w:ind w:left="3600" w:hanging="360"/>
      </w:pPr>
      <w:rPr>
        <w:rFonts w:ascii="Courier New" w:hAnsi="Courier New" w:hint="default"/>
      </w:rPr>
    </w:lvl>
    <w:lvl w:ilvl="5" w:tplc="4D7E4930">
      <w:start w:val="1"/>
      <w:numFmt w:val="bullet"/>
      <w:lvlText w:val=""/>
      <w:lvlJc w:val="left"/>
      <w:pPr>
        <w:ind w:left="4320" w:hanging="360"/>
      </w:pPr>
      <w:rPr>
        <w:rFonts w:ascii="Wingdings" w:hAnsi="Wingdings" w:hint="default"/>
      </w:rPr>
    </w:lvl>
    <w:lvl w:ilvl="6" w:tplc="2D72BBCC">
      <w:start w:val="1"/>
      <w:numFmt w:val="bullet"/>
      <w:lvlText w:val=""/>
      <w:lvlJc w:val="left"/>
      <w:pPr>
        <w:ind w:left="5040" w:hanging="360"/>
      </w:pPr>
      <w:rPr>
        <w:rFonts w:ascii="Symbol" w:hAnsi="Symbol" w:hint="default"/>
      </w:rPr>
    </w:lvl>
    <w:lvl w:ilvl="7" w:tplc="F2461F6C">
      <w:start w:val="1"/>
      <w:numFmt w:val="bullet"/>
      <w:lvlText w:val="o"/>
      <w:lvlJc w:val="left"/>
      <w:pPr>
        <w:ind w:left="5760" w:hanging="360"/>
      </w:pPr>
      <w:rPr>
        <w:rFonts w:ascii="Courier New" w:hAnsi="Courier New" w:hint="default"/>
      </w:rPr>
    </w:lvl>
    <w:lvl w:ilvl="8" w:tplc="B516BA42">
      <w:start w:val="1"/>
      <w:numFmt w:val="bullet"/>
      <w:lvlText w:val=""/>
      <w:lvlJc w:val="left"/>
      <w:pPr>
        <w:ind w:left="6480" w:hanging="360"/>
      </w:pPr>
      <w:rPr>
        <w:rFonts w:ascii="Wingdings" w:hAnsi="Wingdings" w:hint="default"/>
      </w:rPr>
    </w:lvl>
  </w:abstractNum>
  <w:abstractNum w:abstractNumId="27" w15:restartNumberingAfterBreak="0">
    <w:nsid w:val="524577BB"/>
    <w:multiLevelType w:val="hybridMultilevel"/>
    <w:tmpl w:val="03147364"/>
    <w:lvl w:ilvl="0" w:tplc="2AA68AF6">
      <w:start w:val="1"/>
      <w:numFmt w:val="bullet"/>
      <w:lvlText w:val=""/>
      <w:lvlJc w:val="left"/>
      <w:pPr>
        <w:ind w:left="720" w:hanging="360"/>
      </w:pPr>
      <w:rPr>
        <w:rFonts w:ascii="Symbol" w:hAnsi="Symbol" w:hint="default"/>
      </w:rPr>
    </w:lvl>
    <w:lvl w:ilvl="1" w:tplc="7894608C">
      <w:start w:val="1"/>
      <w:numFmt w:val="bullet"/>
      <w:lvlText w:val="o"/>
      <w:lvlJc w:val="left"/>
      <w:pPr>
        <w:ind w:left="1440" w:hanging="360"/>
      </w:pPr>
      <w:rPr>
        <w:rFonts w:ascii="Courier New" w:hAnsi="Courier New" w:hint="default"/>
      </w:rPr>
    </w:lvl>
    <w:lvl w:ilvl="2" w:tplc="748CBC36">
      <w:start w:val="1"/>
      <w:numFmt w:val="bullet"/>
      <w:lvlText w:val=""/>
      <w:lvlJc w:val="left"/>
      <w:pPr>
        <w:ind w:left="2160" w:hanging="360"/>
      </w:pPr>
      <w:rPr>
        <w:rFonts w:ascii="Wingdings" w:hAnsi="Wingdings" w:hint="default"/>
      </w:rPr>
    </w:lvl>
    <w:lvl w:ilvl="3" w:tplc="E890959A">
      <w:start w:val="1"/>
      <w:numFmt w:val="bullet"/>
      <w:lvlText w:val=""/>
      <w:lvlJc w:val="left"/>
      <w:pPr>
        <w:ind w:left="2880" w:hanging="360"/>
      </w:pPr>
      <w:rPr>
        <w:rFonts w:ascii="Symbol" w:hAnsi="Symbol" w:hint="default"/>
      </w:rPr>
    </w:lvl>
    <w:lvl w:ilvl="4" w:tplc="9E36FA8E">
      <w:start w:val="1"/>
      <w:numFmt w:val="bullet"/>
      <w:lvlText w:val="o"/>
      <w:lvlJc w:val="left"/>
      <w:pPr>
        <w:ind w:left="3600" w:hanging="360"/>
      </w:pPr>
      <w:rPr>
        <w:rFonts w:ascii="Courier New" w:hAnsi="Courier New" w:hint="default"/>
      </w:rPr>
    </w:lvl>
    <w:lvl w:ilvl="5" w:tplc="E744D666">
      <w:start w:val="1"/>
      <w:numFmt w:val="bullet"/>
      <w:lvlText w:val=""/>
      <w:lvlJc w:val="left"/>
      <w:pPr>
        <w:ind w:left="4320" w:hanging="360"/>
      </w:pPr>
      <w:rPr>
        <w:rFonts w:ascii="Wingdings" w:hAnsi="Wingdings" w:hint="default"/>
      </w:rPr>
    </w:lvl>
    <w:lvl w:ilvl="6" w:tplc="930476EE">
      <w:start w:val="1"/>
      <w:numFmt w:val="bullet"/>
      <w:lvlText w:val=""/>
      <w:lvlJc w:val="left"/>
      <w:pPr>
        <w:ind w:left="5040" w:hanging="360"/>
      </w:pPr>
      <w:rPr>
        <w:rFonts w:ascii="Symbol" w:hAnsi="Symbol" w:hint="default"/>
      </w:rPr>
    </w:lvl>
    <w:lvl w:ilvl="7" w:tplc="F648F09E">
      <w:start w:val="1"/>
      <w:numFmt w:val="bullet"/>
      <w:lvlText w:val="o"/>
      <w:lvlJc w:val="left"/>
      <w:pPr>
        <w:ind w:left="5760" w:hanging="360"/>
      </w:pPr>
      <w:rPr>
        <w:rFonts w:ascii="Courier New" w:hAnsi="Courier New" w:hint="default"/>
      </w:rPr>
    </w:lvl>
    <w:lvl w:ilvl="8" w:tplc="A502C3E2">
      <w:start w:val="1"/>
      <w:numFmt w:val="bullet"/>
      <w:lvlText w:val=""/>
      <w:lvlJc w:val="left"/>
      <w:pPr>
        <w:ind w:left="6480" w:hanging="360"/>
      </w:pPr>
      <w:rPr>
        <w:rFonts w:ascii="Wingdings" w:hAnsi="Wingdings" w:hint="default"/>
      </w:rPr>
    </w:lvl>
  </w:abstractNum>
  <w:abstractNum w:abstractNumId="28" w15:restartNumberingAfterBreak="0">
    <w:nsid w:val="5C36457D"/>
    <w:multiLevelType w:val="hybridMultilevel"/>
    <w:tmpl w:val="116C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D25A7"/>
    <w:multiLevelType w:val="hybridMultilevel"/>
    <w:tmpl w:val="7BF03AB0"/>
    <w:lvl w:ilvl="0" w:tplc="BCAE0DEA">
      <w:start w:val="1"/>
      <w:numFmt w:val="bullet"/>
      <w:lvlText w:val=""/>
      <w:lvlJc w:val="left"/>
      <w:pPr>
        <w:ind w:left="720" w:hanging="360"/>
      </w:pPr>
      <w:rPr>
        <w:rFonts w:ascii="Symbol" w:hAnsi="Symbol" w:hint="default"/>
      </w:rPr>
    </w:lvl>
    <w:lvl w:ilvl="1" w:tplc="2BDABEC0">
      <w:start w:val="1"/>
      <w:numFmt w:val="bullet"/>
      <w:lvlText w:val="o"/>
      <w:lvlJc w:val="left"/>
      <w:pPr>
        <w:ind w:left="1440" w:hanging="360"/>
      </w:pPr>
      <w:rPr>
        <w:rFonts w:ascii="Courier New" w:hAnsi="Courier New" w:hint="default"/>
      </w:rPr>
    </w:lvl>
    <w:lvl w:ilvl="2" w:tplc="43D6D078">
      <w:start w:val="1"/>
      <w:numFmt w:val="bullet"/>
      <w:lvlText w:val=""/>
      <w:lvlJc w:val="left"/>
      <w:pPr>
        <w:ind w:left="2160" w:hanging="360"/>
      </w:pPr>
      <w:rPr>
        <w:rFonts w:ascii="Wingdings" w:hAnsi="Wingdings" w:hint="default"/>
      </w:rPr>
    </w:lvl>
    <w:lvl w:ilvl="3" w:tplc="0DA6E31E">
      <w:start w:val="1"/>
      <w:numFmt w:val="bullet"/>
      <w:lvlText w:val=""/>
      <w:lvlJc w:val="left"/>
      <w:pPr>
        <w:ind w:left="2880" w:hanging="360"/>
      </w:pPr>
      <w:rPr>
        <w:rFonts w:ascii="Symbol" w:hAnsi="Symbol" w:hint="default"/>
      </w:rPr>
    </w:lvl>
    <w:lvl w:ilvl="4" w:tplc="7C02C880">
      <w:start w:val="1"/>
      <w:numFmt w:val="bullet"/>
      <w:lvlText w:val="o"/>
      <w:lvlJc w:val="left"/>
      <w:pPr>
        <w:ind w:left="3600" w:hanging="360"/>
      </w:pPr>
      <w:rPr>
        <w:rFonts w:ascii="Courier New" w:hAnsi="Courier New" w:hint="default"/>
      </w:rPr>
    </w:lvl>
    <w:lvl w:ilvl="5" w:tplc="64A69742">
      <w:start w:val="1"/>
      <w:numFmt w:val="bullet"/>
      <w:lvlText w:val=""/>
      <w:lvlJc w:val="left"/>
      <w:pPr>
        <w:ind w:left="4320" w:hanging="360"/>
      </w:pPr>
      <w:rPr>
        <w:rFonts w:ascii="Wingdings" w:hAnsi="Wingdings" w:hint="default"/>
      </w:rPr>
    </w:lvl>
    <w:lvl w:ilvl="6" w:tplc="690A2C72">
      <w:start w:val="1"/>
      <w:numFmt w:val="bullet"/>
      <w:lvlText w:val=""/>
      <w:lvlJc w:val="left"/>
      <w:pPr>
        <w:ind w:left="5040" w:hanging="360"/>
      </w:pPr>
      <w:rPr>
        <w:rFonts w:ascii="Symbol" w:hAnsi="Symbol" w:hint="default"/>
      </w:rPr>
    </w:lvl>
    <w:lvl w:ilvl="7" w:tplc="6A20EF10">
      <w:start w:val="1"/>
      <w:numFmt w:val="bullet"/>
      <w:lvlText w:val="o"/>
      <w:lvlJc w:val="left"/>
      <w:pPr>
        <w:ind w:left="5760" w:hanging="360"/>
      </w:pPr>
      <w:rPr>
        <w:rFonts w:ascii="Courier New" w:hAnsi="Courier New" w:hint="default"/>
      </w:rPr>
    </w:lvl>
    <w:lvl w:ilvl="8" w:tplc="DB62D288">
      <w:start w:val="1"/>
      <w:numFmt w:val="bullet"/>
      <w:lvlText w:val=""/>
      <w:lvlJc w:val="left"/>
      <w:pPr>
        <w:ind w:left="6480" w:hanging="360"/>
      </w:pPr>
      <w:rPr>
        <w:rFonts w:ascii="Wingdings" w:hAnsi="Wingdings" w:hint="default"/>
      </w:rPr>
    </w:lvl>
  </w:abstractNum>
  <w:abstractNum w:abstractNumId="30" w15:restartNumberingAfterBreak="0">
    <w:nsid w:val="61F37964"/>
    <w:multiLevelType w:val="hybridMultilevel"/>
    <w:tmpl w:val="A2760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E31603"/>
    <w:multiLevelType w:val="hybridMultilevel"/>
    <w:tmpl w:val="49860896"/>
    <w:lvl w:ilvl="0" w:tplc="BFD4BF68">
      <w:start w:val="1"/>
      <w:numFmt w:val="bullet"/>
      <w:lvlText w:val=""/>
      <w:lvlJc w:val="left"/>
      <w:pPr>
        <w:ind w:left="720" w:hanging="360"/>
      </w:pPr>
      <w:rPr>
        <w:rFonts w:ascii="Symbol" w:hAnsi="Symbol" w:hint="default"/>
      </w:rPr>
    </w:lvl>
    <w:lvl w:ilvl="1" w:tplc="968052C6">
      <w:start w:val="1"/>
      <w:numFmt w:val="bullet"/>
      <w:lvlText w:val="o"/>
      <w:lvlJc w:val="left"/>
      <w:pPr>
        <w:ind w:left="1440" w:hanging="360"/>
      </w:pPr>
      <w:rPr>
        <w:rFonts w:ascii="Courier New" w:hAnsi="Courier New" w:hint="default"/>
      </w:rPr>
    </w:lvl>
    <w:lvl w:ilvl="2" w:tplc="EC5C0DFE">
      <w:start w:val="1"/>
      <w:numFmt w:val="bullet"/>
      <w:lvlText w:val=""/>
      <w:lvlJc w:val="left"/>
      <w:pPr>
        <w:ind w:left="2160" w:hanging="360"/>
      </w:pPr>
      <w:rPr>
        <w:rFonts w:ascii="Wingdings" w:hAnsi="Wingdings" w:hint="default"/>
      </w:rPr>
    </w:lvl>
    <w:lvl w:ilvl="3" w:tplc="1568BA6E">
      <w:start w:val="1"/>
      <w:numFmt w:val="bullet"/>
      <w:lvlText w:val=""/>
      <w:lvlJc w:val="left"/>
      <w:pPr>
        <w:ind w:left="2880" w:hanging="360"/>
      </w:pPr>
      <w:rPr>
        <w:rFonts w:ascii="Symbol" w:hAnsi="Symbol" w:hint="default"/>
      </w:rPr>
    </w:lvl>
    <w:lvl w:ilvl="4" w:tplc="BBDA3512">
      <w:start w:val="1"/>
      <w:numFmt w:val="bullet"/>
      <w:lvlText w:val="o"/>
      <w:lvlJc w:val="left"/>
      <w:pPr>
        <w:ind w:left="3600" w:hanging="360"/>
      </w:pPr>
      <w:rPr>
        <w:rFonts w:ascii="Courier New" w:hAnsi="Courier New" w:hint="default"/>
      </w:rPr>
    </w:lvl>
    <w:lvl w:ilvl="5" w:tplc="4912A0D2">
      <w:start w:val="1"/>
      <w:numFmt w:val="bullet"/>
      <w:lvlText w:val=""/>
      <w:lvlJc w:val="left"/>
      <w:pPr>
        <w:ind w:left="4320" w:hanging="360"/>
      </w:pPr>
      <w:rPr>
        <w:rFonts w:ascii="Wingdings" w:hAnsi="Wingdings" w:hint="default"/>
      </w:rPr>
    </w:lvl>
    <w:lvl w:ilvl="6" w:tplc="30C42DEE">
      <w:start w:val="1"/>
      <w:numFmt w:val="bullet"/>
      <w:lvlText w:val=""/>
      <w:lvlJc w:val="left"/>
      <w:pPr>
        <w:ind w:left="5040" w:hanging="360"/>
      </w:pPr>
      <w:rPr>
        <w:rFonts w:ascii="Symbol" w:hAnsi="Symbol" w:hint="default"/>
      </w:rPr>
    </w:lvl>
    <w:lvl w:ilvl="7" w:tplc="4A202BCE">
      <w:start w:val="1"/>
      <w:numFmt w:val="bullet"/>
      <w:lvlText w:val="o"/>
      <w:lvlJc w:val="left"/>
      <w:pPr>
        <w:ind w:left="5760" w:hanging="360"/>
      </w:pPr>
      <w:rPr>
        <w:rFonts w:ascii="Courier New" w:hAnsi="Courier New" w:hint="default"/>
      </w:rPr>
    </w:lvl>
    <w:lvl w:ilvl="8" w:tplc="F78A2072">
      <w:start w:val="1"/>
      <w:numFmt w:val="bullet"/>
      <w:lvlText w:val=""/>
      <w:lvlJc w:val="left"/>
      <w:pPr>
        <w:ind w:left="6480" w:hanging="360"/>
      </w:pPr>
      <w:rPr>
        <w:rFonts w:ascii="Wingdings" w:hAnsi="Wingdings" w:hint="default"/>
      </w:rPr>
    </w:lvl>
  </w:abstractNum>
  <w:abstractNum w:abstractNumId="32" w15:restartNumberingAfterBreak="0">
    <w:nsid w:val="66FA5A01"/>
    <w:multiLevelType w:val="hybridMultilevel"/>
    <w:tmpl w:val="1D5C9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293284"/>
    <w:multiLevelType w:val="hybridMultilevel"/>
    <w:tmpl w:val="6356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1E326D"/>
    <w:multiLevelType w:val="hybridMultilevel"/>
    <w:tmpl w:val="6F324392"/>
    <w:lvl w:ilvl="0" w:tplc="8D348CEE">
      <w:start w:val="1"/>
      <w:numFmt w:val="bullet"/>
      <w:lvlText w:val=""/>
      <w:lvlJc w:val="left"/>
      <w:pPr>
        <w:ind w:left="720" w:hanging="360"/>
      </w:pPr>
      <w:rPr>
        <w:rFonts w:ascii="Symbol" w:hAnsi="Symbol" w:hint="default"/>
      </w:rPr>
    </w:lvl>
    <w:lvl w:ilvl="1" w:tplc="2B02620A">
      <w:start w:val="1"/>
      <w:numFmt w:val="bullet"/>
      <w:lvlText w:val="o"/>
      <w:lvlJc w:val="left"/>
      <w:pPr>
        <w:ind w:left="1440" w:hanging="360"/>
      </w:pPr>
      <w:rPr>
        <w:rFonts w:ascii="Courier New" w:hAnsi="Courier New" w:hint="default"/>
      </w:rPr>
    </w:lvl>
    <w:lvl w:ilvl="2" w:tplc="8B00FDE8">
      <w:start w:val="1"/>
      <w:numFmt w:val="bullet"/>
      <w:lvlText w:val=""/>
      <w:lvlJc w:val="left"/>
      <w:pPr>
        <w:ind w:left="2160" w:hanging="360"/>
      </w:pPr>
      <w:rPr>
        <w:rFonts w:ascii="Wingdings" w:hAnsi="Wingdings" w:hint="default"/>
      </w:rPr>
    </w:lvl>
    <w:lvl w:ilvl="3" w:tplc="48FEC6BA">
      <w:start w:val="1"/>
      <w:numFmt w:val="bullet"/>
      <w:lvlText w:val=""/>
      <w:lvlJc w:val="left"/>
      <w:pPr>
        <w:ind w:left="2880" w:hanging="360"/>
      </w:pPr>
      <w:rPr>
        <w:rFonts w:ascii="Symbol" w:hAnsi="Symbol" w:hint="default"/>
      </w:rPr>
    </w:lvl>
    <w:lvl w:ilvl="4" w:tplc="436281A2">
      <w:start w:val="1"/>
      <w:numFmt w:val="bullet"/>
      <w:lvlText w:val="o"/>
      <w:lvlJc w:val="left"/>
      <w:pPr>
        <w:ind w:left="3600" w:hanging="360"/>
      </w:pPr>
      <w:rPr>
        <w:rFonts w:ascii="Courier New" w:hAnsi="Courier New" w:hint="default"/>
      </w:rPr>
    </w:lvl>
    <w:lvl w:ilvl="5" w:tplc="B5A864D2">
      <w:start w:val="1"/>
      <w:numFmt w:val="bullet"/>
      <w:lvlText w:val=""/>
      <w:lvlJc w:val="left"/>
      <w:pPr>
        <w:ind w:left="4320" w:hanging="360"/>
      </w:pPr>
      <w:rPr>
        <w:rFonts w:ascii="Wingdings" w:hAnsi="Wingdings" w:hint="default"/>
      </w:rPr>
    </w:lvl>
    <w:lvl w:ilvl="6" w:tplc="3FBC6B1C">
      <w:start w:val="1"/>
      <w:numFmt w:val="bullet"/>
      <w:lvlText w:val=""/>
      <w:lvlJc w:val="left"/>
      <w:pPr>
        <w:ind w:left="5040" w:hanging="360"/>
      </w:pPr>
      <w:rPr>
        <w:rFonts w:ascii="Symbol" w:hAnsi="Symbol" w:hint="default"/>
      </w:rPr>
    </w:lvl>
    <w:lvl w:ilvl="7" w:tplc="B0B22810">
      <w:start w:val="1"/>
      <w:numFmt w:val="bullet"/>
      <w:lvlText w:val="o"/>
      <w:lvlJc w:val="left"/>
      <w:pPr>
        <w:ind w:left="5760" w:hanging="360"/>
      </w:pPr>
      <w:rPr>
        <w:rFonts w:ascii="Courier New" w:hAnsi="Courier New" w:hint="default"/>
      </w:rPr>
    </w:lvl>
    <w:lvl w:ilvl="8" w:tplc="6FBA8E4C">
      <w:start w:val="1"/>
      <w:numFmt w:val="bullet"/>
      <w:lvlText w:val=""/>
      <w:lvlJc w:val="left"/>
      <w:pPr>
        <w:ind w:left="6480" w:hanging="360"/>
      </w:pPr>
      <w:rPr>
        <w:rFonts w:ascii="Wingdings" w:hAnsi="Wingdings" w:hint="default"/>
      </w:rPr>
    </w:lvl>
  </w:abstractNum>
  <w:abstractNum w:abstractNumId="35" w15:restartNumberingAfterBreak="0">
    <w:nsid w:val="76AB5190"/>
    <w:multiLevelType w:val="hybridMultilevel"/>
    <w:tmpl w:val="6F00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DA7597"/>
    <w:multiLevelType w:val="hybridMultilevel"/>
    <w:tmpl w:val="E724025A"/>
    <w:lvl w:ilvl="0" w:tplc="7F508DF0">
      <w:start w:val="1"/>
      <w:numFmt w:val="bullet"/>
      <w:lvlText w:val=""/>
      <w:lvlJc w:val="left"/>
      <w:pPr>
        <w:ind w:left="720" w:hanging="360"/>
      </w:pPr>
      <w:rPr>
        <w:rFonts w:ascii="Symbol" w:hAnsi="Symbol" w:hint="default"/>
      </w:rPr>
    </w:lvl>
    <w:lvl w:ilvl="1" w:tplc="9FC4AD62">
      <w:start w:val="1"/>
      <w:numFmt w:val="bullet"/>
      <w:lvlText w:val="o"/>
      <w:lvlJc w:val="left"/>
      <w:pPr>
        <w:ind w:left="1440" w:hanging="360"/>
      </w:pPr>
      <w:rPr>
        <w:rFonts w:ascii="Courier New" w:hAnsi="Courier New" w:hint="default"/>
      </w:rPr>
    </w:lvl>
    <w:lvl w:ilvl="2" w:tplc="18F4916E">
      <w:start w:val="1"/>
      <w:numFmt w:val="bullet"/>
      <w:lvlText w:val=""/>
      <w:lvlJc w:val="left"/>
      <w:pPr>
        <w:ind w:left="2160" w:hanging="360"/>
      </w:pPr>
      <w:rPr>
        <w:rFonts w:ascii="Wingdings" w:hAnsi="Wingdings" w:hint="default"/>
      </w:rPr>
    </w:lvl>
    <w:lvl w:ilvl="3" w:tplc="A1C46170">
      <w:start w:val="1"/>
      <w:numFmt w:val="bullet"/>
      <w:lvlText w:val=""/>
      <w:lvlJc w:val="left"/>
      <w:pPr>
        <w:ind w:left="2880" w:hanging="360"/>
      </w:pPr>
      <w:rPr>
        <w:rFonts w:ascii="Symbol" w:hAnsi="Symbol" w:hint="default"/>
      </w:rPr>
    </w:lvl>
    <w:lvl w:ilvl="4" w:tplc="5B38D394">
      <w:start w:val="1"/>
      <w:numFmt w:val="bullet"/>
      <w:lvlText w:val="o"/>
      <w:lvlJc w:val="left"/>
      <w:pPr>
        <w:ind w:left="3600" w:hanging="360"/>
      </w:pPr>
      <w:rPr>
        <w:rFonts w:ascii="Courier New" w:hAnsi="Courier New" w:hint="default"/>
      </w:rPr>
    </w:lvl>
    <w:lvl w:ilvl="5" w:tplc="4CE8D666">
      <w:start w:val="1"/>
      <w:numFmt w:val="bullet"/>
      <w:lvlText w:val=""/>
      <w:lvlJc w:val="left"/>
      <w:pPr>
        <w:ind w:left="4320" w:hanging="360"/>
      </w:pPr>
      <w:rPr>
        <w:rFonts w:ascii="Wingdings" w:hAnsi="Wingdings" w:hint="default"/>
      </w:rPr>
    </w:lvl>
    <w:lvl w:ilvl="6" w:tplc="86C0EF04">
      <w:start w:val="1"/>
      <w:numFmt w:val="bullet"/>
      <w:lvlText w:val=""/>
      <w:lvlJc w:val="left"/>
      <w:pPr>
        <w:ind w:left="5040" w:hanging="360"/>
      </w:pPr>
      <w:rPr>
        <w:rFonts w:ascii="Symbol" w:hAnsi="Symbol" w:hint="default"/>
      </w:rPr>
    </w:lvl>
    <w:lvl w:ilvl="7" w:tplc="19EE0436">
      <w:start w:val="1"/>
      <w:numFmt w:val="bullet"/>
      <w:lvlText w:val="o"/>
      <w:lvlJc w:val="left"/>
      <w:pPr>
        <w:ind w:left="5760" w:hanging="360"/>
      </w:pPr>
      <w:rPr>
        <w:rFonts w:ascii="Courier New" w:hAnsi="Courier New" w:hint="default"/>
      </w:rPr>
    </w:lvl>
    <w:lvl w:ilvl="8" w:tplc="D1180A82">
      <w:start w:val="1"/>
      <w:numFmt w:val="bullet"/>
      <w:lvlText w:val=""/>
      <w:lvlJc w:val="left"/>
      <w:pPr>
        <w:ind w:left="6480" w:hanging="360"/>
      </w:pPr>
      <w:rPr>
        <w:rFonts w:ascii="Wingdings" w:hAnsi="Wingdings" w:hint="default"/>
      </w:rPr>
    </w:lvl>
  </w:abstractNum>
  <w:abstractNum w:abstractNumId="37" w15:restartNumberingAfterBreak="0">
    <w:nsid w:val="7FEF4E3F"/>
    <w:multiLevelType w:val="hybridMultilevel"/>
    <w:tmpl w:val="18446CE6"/>
    <w:lvl w:ilvl="0" w:tplc="1BE0E7B4">
      <w:start w:val="1"/>
      <w:numFmt w:val="bullet"/>
      <w:lvlText w:val=""/>
      <w:lvlJc w:val="left"/>
      <w:pPr>
        <w:ind w:left="720" w:hanging="360"/>
      </w:pPr>
      <w:rPr>
        <w:rFonts w:ascii="Symbol" w:hAnsi="Symbol" w:hint="default"/>
      </w:rPr>
    </w:lvl>
    <w:lvl w:ilvl="1" w:tplc="A7760E0A">
      <w:start w:val="1"/>
      <w:numFmt w:val="bullet"/>
      <w:lvlText w:val="o"/>
      <w:lvlJc w:val="left"/>
      <w:pPr>
        <w:ind w:left="1440" w:hanging="360"/>
      </w:pPr>
      <w:rPr>
        <w:rFonts w:ascii="Courier New" w:hAnsi="Courier New" w:hint="default"/>
      </w:rPr>
    </w:lvl>
    <w:lvl w:ilvl="2" w:tplc="EBC467D2">
      <w:start w:val="1"/>
      <w:numFmt w:val="bullet"/>
      <w:lvlText w:val=""/>
      <w:lvlJc w:val="left"/>
      <w:pPr>
        <w:ind w:left="2160" w:hanging="360"/>
      </w:pPr>
      <w:rPr>
        <w:rFonts w:ascii="Wingdings" w:hAnsi="Wingdings" w:hint="default"/>
      </w:rPr>
    </w:lvl>
    <w:lvl w:ilvl="3" w:tplc="6A967CFE">
      <w:start w:val="1"/>
      <w:numFmt w:val="bullet"/>
      <w:lvlText w:val=""/>
      <w:lvlJc w:val="left"/>
      <w:pPr>
        <w:ind w:left="2880" w:hanging="360"/>
      </w:pPr>
      <w:rPr>
        <w:rFonts w:ascii="Symbol" w:hAnsi="Symbol" w:hint="default"/>
      </w:rPr>
    </w:lvl>
    <w:lvl w:ilvl="4" w:tplc="98F0C4F4">
      <w:start w:val="1"/>
      <w:numFmt w:val="bullet"/>
      <w:lvlText w:val="o"/>
      <w:lvlJc w:val="left"/>
      <w:pPr>
        <w:ind w:left="3600" w:hanging="360"/>
      </w:pPr>
      <w:rPr>
        <w:rFonts w:ascii="Courier New" w:hAnsi="Courier New" w:hint="default"/>
      </w:rPr>
    </w:lvl>
    <w:lvl w:ilvl="5" w:tplc="5C4097D6">
      <w:start w:val="1"/>
      <w:numFmt w:val="bullet"/>
      <w:lvlText w:val=""/>
      <w:lvlJc w:val="left"/>
      <w:pPr>
        <w:ind w:left="4320" w:hanging="360"/>
      </w:pPr>
      <w:rPr>
        <w:rFonts w:ascii="Wingdings" w:hAnsi="Wingdings" w:hint="default"/>
      </w:rPr>
    </w:lvl>
    <w:lvl w:ilvl="6" w:tplc="76727014">
      <w:start w:val="1"/>
      <w:numFmt w:val="bullet"/>
      <w:lvlText w:val=""/>
      <w:lvlJc w:val="left"/>
      <w:pPr>
        <w:ind w:left="5040" w:hanging="360"/>
      </w:pPr>
      <w:rPr>
        <w:rFonts w:ascii="Symbol" w:hAnsi="Symbol" w:hint="default"/>
      </w:rPr>
    </w:lvl>
    <w:lvl w:ilvl="7" w:tplc="17347CC0">
      <w:start w:val="1"/>
      <w:numFmt w:val="bullet"/>
      <w:lvlText w:val="o"/>
      <w:lvlJc w:val="left"/>
      <w:pPr>
        <w:ind w:left="5760" w:hanging="360"/>
      </w:pPr>
      <w:rPr>
        <w:rFonts w:ascii="Courier New" w:hAnsi="Courier New" w:hint="default"/>
      </w:rPr>
    </w:lvl>
    <w:lvl w:ilvl="8" w:tplc="54B4E62A">
      <w:start w:val="1"/>
      <w:numFmt w:val="bullet"/>
      <w:lvlText w:val=""/>
      <w:lvlJc w:val="left"/>
      <w:pPr>
        <w:ind w:left="6480" w:hanging="360"/>
      </w:pPr>
      <w:rPr>
        <w:rFonts w:ascii="Wingdings" w:hAnsi="Wingdings" w:hint="default"/>
      </w:rPr>
    </w:lvl>
  </w:abstractNum>
  <w:num w:numId="1">
    <w:abstractNumId w:val="8"/>
  </w:num>
  <w:num w:numId="2">
    <w:abstractNumId w:val="37"/>
  </w:num>
  <w:num w:numId="3">
    <w:abstractNumId w:val="26"/>
  </w:num>
  <w:num w:numId="4">
    <w:abstractNumId w:val="6"/>
  </w:num>
  <w:num w:numId="5">
    <w:abstractNumId w:val="36"/>
  </w:num>
  <w:num w:numId="6">
    <w:abstractNumId w:val="23"/>
  </w:num>
  <w:num w:numId="7">
    <w:abstractNumId w:val="31"/>
  </w:num>
  <w:num w:numId="8">
    <w:abstractNumId w:val="3"/>
  </w:num>
  <w:num w:numId="9">
    <w:abstractNumId w:val="7"/>
  </w:num>
  <w:num w:numId="10">
    <w:abstractNumId w:val="22"/>
  </w:num>
  <w:num w:numId="11">
    <w:abstractNumId w:val="17"/>
  </w:num>
  <w:num w:numId="12">
    <w:abstractNumId w:val="30"/>
  </w:num>
  <w:num w:numId="13">
    <w:abstractNumId w:val="9"/>
  </w:num>
  <w:num w:numId="14">
    <w:abstractNumId w:val="14"/>
  </w:num>
  <w:num w:numId="15">
    <w:abstractNumId w:val="2"/>
  </w:num>
  <w:num w:numId="16">
    <w:abstractNumId w:val="5"/>
  </w:num>
  <w:num w:numId="17">
    <w:abstractNumId w:val="32"/>
  </w:num>
  <w:num w:numId="18">
    <w:abstractNumId w:val="35"/>
  </w:num>
  <w:num w:numId="19">
    <w:abstractNumId w:val="33"/>
  </w:num>
  <w:num w:numId="20">
    <w:abstractNumId w:val="16"/>
  </w:num>
  <w:num w:numId="21">
    <w:abstractNumId w:val="7"/>
  </w:num>
  <w:num w:numId="22">
    <w:abstractNumId w:val="7"/>
  </w:num>
  <w:num w:numId="23">
    <w:abstractNumId w:val="12"/>
  </w:num>
  <w:num w:numId="24">
    <w:abstractNumId w:val="19"/>
  </w:num>
  <w:num w:numId="25">
    <w:abstractNumId w:val="25"/>
  </w:num>
  <w:num w:numId="26">
    <w:abstractNumId w:val="21"/>
  </w:num>
  <w:num w:numId="27">
    <w:abstractNumId w:val="21"/>
  </w:num>
  <w:num w:numId="28">
    <w:abstractNumId w:val="21"/>
    <w:lvlOverride w:ilvl="0">
      <w:startOverride w:val="2"/>
    </w:lvlOverride>
    <w:lvlOverride w:ilvl="1">
      <w:startOverride w:val="1"/>
    </w:lvlOverride>
  </w:num>
  <w:num w:numId="29">
    <w:abstractNumId w:val="21"/>
  </w:num>
  <w:num w:numId="30">
    <w:abstractNumId w:val="4"/>
  </w:num>
  <w:num w:numId="31">
    <w:abstractNumId w:val="27"/>
  </w:num>
  <w:num w:numId="32">
    <w:abstractNumId w:val="13"/>
  </w:num>
  <w:num w:numId="33">
    <w:abstractNumId w:val="18"/>
  </w:num>
  <w:num w:numId="34">
    <w:abstractNumId w:val="34"/>
  </w:num>
  <w:num w:numId="35">
    <w:abstractNumId w:val="28"/>
  </w:num>
  <w:num w:numId="36">
    <w:abstractNumId w:val="11"/>
  </w:num>
  <w:num w:numId="37">
    <w:abstractNumId w:val="15"/>
  </w:num>
  <w:num w:numId="38">
    <w:abstractNumId w:val="29"/>
  </w:num>
  <w:num w:numId="39">
    <w:abstractNumId w:val="19"/>
  </w:num>
  <w:num w:numId="40">
    <w:abstractNumId w:val="20"/>
  </w:num>
  <w:num w:numId="41">
    <w:abstractNumId w:val="10"/>
  </w:num>
  <w:num w:numId="42">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036D"/>
    <w:rsid w:val="0000143C"/>
    <w:rsid w:val="00014CE5"/>
    <w:rsid w:val="000178CE"/>
    <w:rsid w:val="00024F11"/>
    <w:rsid w:val="00027B88"/>
    <w:rsid w:val="000330C6"/>
    <w:rsid w:val="000402A9"/>
    <w:rsid w:val="00054158"/>
    <w:rsid w:val="00056C2E"/>
    <w:rsid w:val="00056ED1"/>
    <w:rsid w:val="00057050"/>
    <w:rsid w:val="00064A20"/>
    <w:rsid w:val="000663BB"/>
    <w:rsid w:val="00075F31"/>
    <w:rsid w:val="00081F00"/>
    <w:rsid w:val="000828F9"/>
    <w:rsid w:val="000829DC"/>
    <w:rsid w:val="000856B7"/>
    <w:rsid w:val="000875B5"/>
    <w:rsid w:val="00087D3B"/>
    <w:rsid w:val="0009232E"/>
    <w:rsid w:val="0009271D"/>
    <w:rsid w:val="0009541F"/>
    <w:rsid w:val="000971F9"/>
    <w:rsid w:val="000A6F40"/>
    <w:rsid w:val="000B1609"/>
    <w:rsid w:val="000B1918"/>
    <w:rsid w:val="000B36A6"/>
    <w:rsid w:val="000B3EE3"/>
    <w:rsid w:val="000C2FF4"/>
    <w:rsid w:val="000C3205"/>
    <w:rsid w:val="000C3A85"/>
    <w:rsid w:val="000C3F49"/>
    <w:rsid w:val="000C7A55"/>
    <w:rsid w:val="000D30DE"/>
    <w:rsid w:val="000D3855"/>
    <w:rsid w:val="000D7BC5"/>
    <w:rsid w:val="000E29A6"/>
    <w:rsid w:val="000E552E"/>
    <w:rsid w:val="000E594F"/>
    <w:rsid w:val="000E604A"/>
    <w:rsid w:val="000F131E"/>
    <w:rsid w:val="000F3FD6"/>
    <w:rsid w:val="00101408"/>
    <w:rsid w:val="001073C8"/>
    <w:rsid w:val="00111692"/>
    <w:rsid w:val="00112479"/>
    <w:rsid w:val="00112994"/>
    <w:rsid w:val="00120CF0"/>
    <w:rsid w:val="00123A28"/>
    <w:rsid w:val="00124262"/>
    <w:rsid w:val="00124C49"/>
    <w:rsid w:val="00124E4C"/>
    <w:rsid w:val="00125B80"/>
    <w:rsid w:val="00135196"/>
    <w:rsid w:val="00136093"/>
    <w:rsid w:val="00137B82"/>
    <w:rsid w:val="00140F1E"/>
    <w:rsid w:val="00147A36"/>
    <w:rsid w:val="00152E5D"/>
    <w:rsid w:val="00160791"/>
    <w:rsid w:val="00171D7C"/>
    <w:rsid w:val="001759D2"/>
    <w:rsid w:val="00176B3E"/>
    <w:rsid w:val="001873C8"/>
    <w:rsid w:val="00192605"/>
    <w:rsid w:val="001A1AB8"/>
    <w:rsid w:val="001A6EB0"/>
    <w:rsid w:val="001B1300"/>
    <w:rsid w:val="001B1DD9"/>
    <w:rsid w:val="001B3003"/>
    <w:rsid w:val="001B58F5"/>
    <w:rsid w:val="001B5A5D"/>
    <w:rsid w:val="001B6745"/>
    <w:rsid w:val="001B7AD7"/>
    <w:rsid w:val="001B7C1C"/>
    <w:rsid w:val="001C2312"/>
    <w:rsid w:val="001C2B6F"/>
    <w:rsid w:val="001C3957"/>
    <w:rsid w:val="001C3DC0"/>
    <w:rsid w:val="001C49CB"/>
    <w:rsid w:val="001C5872"/>
    <w:rsid w:val="001D17E8"/>
    <w:rsid w:val="001D384E"/>
    <w:rsid w:val="001E0FF2"/>
    <w:rsid w:val="001E403D"/>
    <w:rsid w:val="001E4F4D"/>
    <w:rsid w:val="001F2EFC"/>
    <w:rsid w:val="001F6FB0"/>
    <w:rsid w:val="00202788"/>
    <w:rsid w:val="002054FC"/>
    <w:rsid w:val="0021082B"/>
    <w:rsid w:val="00215F04"/>
    <w:rsid w:val="00216B08"/>
    <w:rsid w:val="00221954"/>
    <w:rsid w:val="00222344"/>
    <w:rsid w:val="0023178B"/>
    <w:rsid w:val="00232AAA"/>
    <w:rsid w:val="00233C0E"/>
    <w:rsid w:val="0024486F"/>
    <w:rsid w:val="002476A8"/>
    <w:rsid w:val="0024785C"/>
    <w:rsid w:val="00255D19"/>
    <w:rsid w:val="00260326"/>
    <w:rsid w:val="002603E9"/>
    <w:rsid w:val="0026327C"/>
    <w:rsid w:val="00264D1A"/>
    <w:rsid w:val="00266635"/>
    <w:rsid w:val="00270442"/>
    <w:rsid w:val="0027155A"/>
    <w:rsid w:val="00272912"/>
    <w:rsid w:val="00274B56"/>
    <w:rsid w:val="00287AED"/>
    <w:rsid w:val="00290D71"/>
    <w:rsid w:val="00291D3C"/>
    <w:rsid w:val="002A11C4"/>
    <w:rsid w:val="002A4E84"/>
    <w:rsid w:val="002A62C7"/>
    <w:rsid w:val="002B4E23"/>
    <w:rsid w:val="002C0282"/>
    <w:rsid w:val="002C391C"/>
    <w:rsid w:val="002C740C"/>
    <w:rsid w:val="002D402C"/>
    <w:rsid w:val="002D4B9E"/>
    <w:rsid w:val="002D5C14"/>
    <w:rsid w:val="002D6570"/>
    <w:rsid w:val="002D6588"/>
    <w:rsid w:val="002E3A2F"/>
    <w:rsid w:val="002E49AA"/>
    <w:rsid w:val="002E69FF"/>
    <w:rsid w:val="0030099E"/>
    <w:rsid w:val="00300CEE"/>
    <w:rsid w:val="00301E29"/>
    <w:rsid w:val="00303670"/>
    <w:rsid w:val="0030518E"/>
    <w:rsid w:val="003069EE"/>
    <w:rsid w:val="00306CA8"/>
    <w:rsid w:val="0032353F"/>
    <w:rsid w:val="00325AF7"/>
    <w:rsid w:val="003260E9"/>
    <w:rsid w:val="003277C2"/>
    <w:rsid w:val="00327B08"/>
    <w:rsid w:val="0033062F"/>
    <w:rsid w:val="00333492"/>
    <w:rsid w:val="00333748"/>
    <w:rsid w:val="00344262"/>
    <w:rsid w:val="0034746E"/>
    <w:rsid w:val="00364816"/>
    <w:rsid w:val="00365B80"/>
    <w:rsid w:val="00367667"/>
    <w:rsid w:val="00370123"/>
    <w:rsid w:val="0037089C"/>
    <w:rsid w:val="003727F8"/>
    <w:rsid w:val="00374564"/>
    <w:rsid w:val="003749C0"/>
    <w:rsid w:val="0038334F"/>
    <w:rsid w:val="00384869"/>
    <w:rsid w:val="00391ECD"/>
    <w:rsid w:val="003922A1"/>
    <w:rsid w:val="00395868"/>
    <w:rsid w:val="003A0234"/>
    <w:rsid w:val="003A2697"/>
    <w:rsid w:val="003A3823"/>
    <w:rsid w:val="003A4CBC"/>
    <w:rsid w:val="003A7929"/>
    <w:rsid w:val="003A7FE2"/>
    <w:rsid w:val="003B2BDF"/>
    <w:rsid w:val="003B4C27"/>
    <w:rsid w:val="003B51EC"/>
    <w:rsid w:val="003C025A"/>
    <w:rsid w:val="003C04AF"/>
    <w:rsid w:val="003C3271"/>
    <w:rsid w:val="003C69B0"/>
    <w:rsid w:val="003E0AE3"/>
    <w:rsid w:val="004057C8"/>
    <w:rsid w:val="004102EB"/>
    <w:rsid w:val="00416A4B"/>
    <w:rsid w:val="00421F2E"/>
    <w:rsid w:val="00433358"/>
    <w:rsid w:val="00434F61"/>
    <w:rsid w:val="0044137C"/>
    <w:rsid w:val="00441CF2"/>
    <w:rsid w:val="00442F4B"/>
    <w:rsid w:val="0045676A"/>
    <w:rsid w:val="004575C6"/>
    <w:rsid w:val="00461C9C"/>
    <w:rsid w:val="00466585"/>
    <w:rsid w:val="0047724A"/>
    <w:rsid w:val="00481F8C"/>
    <w:rsid w:val="00483FFA"/>
    <w:rsid w:val="004858E0"/>
    <w:rsid w:val="00486C75"/>
    <w:rsid w:val="00487017"/>
    <w:rsid w:val="00490F36"/>
    <w:rsid w:val="00492F5E"/>
    <w:rsid w:val="00496526"/>
    <w:rsid w:val="004A0863"/>
    <w:rsid w:val="004A4DFA"/>
    <w:rsid w:val="004A6074"/>
    <w:rsid w:val="004B18BF"/>
    <w:rsid w:val="004B1A0B"/>
    <w:rsid w:val="004B1F3A"/>
    <w:rsid w:val="004B45D0"/>
    <w:rsid w:val="004B4859"/>
    <w:rsid w:val="004B4939"/>
    <w:rsid w:val="004B4F3D"/>
    <w:rsid w:val="004B75B7"/>
    <w:rsid w:val="004C1461"/>
    <w:rsid w:val="004C2EA3"/>
    <w:rsid w:val="004C7AB2"/>
    <w:rsid w:val="004D345F"/>
    <w:rsid w:val="004D5520"/>
    <w:rsid w:val="004D6C2F"/>
    <w:rsid w:val="004D7E6F"/>
    <w:rsid w:val="004E12B3"/>
    <w:rsid w:val="004E4047"/>
    <w:rsid w:val="004E4194"/>
    <w:rsid w:val="004F1696"/>
    <w:rsid w:val="004F5425"/>
    <w:rsid w:val="00503F11"/>
    <w:rsid w:val="00506737"/>
    <w:rsid w:val="00510DC8"/>
    <w:rsid w:val="005251A9"/>
    <w:rsid w:val="0053240D"/>
    <w:rsid w:val="005341AC"/>
    <w:rsid w:val="00535AC0"/>
    <w:rsid w:val="00540434"/>
    <w:rsid w:val="00540530"/>
    <w:rsid w:val="00541D39"/>
    <w:rsid w:val="00542221"/>
    <w:rsid w:val="00554B8E"/>
    <w:rsid w:val="00557A3B"/>
    <w:rsid w:val="00561650"/>
    <w:rsid w:val="00564C96"/>
    <w:rsid w:val="00570C51"/>
    <w:rsid w:val="00571C64"/>
    <w:rsid w:val="00575848"/>
    <w:rsid w:val="00584CBD"/>
    <w:rsid w:val="00584ECC"/>
    <w:rsid w:val="00585E53"/>
    <w:rsid w:val="00586AA5"/>
    <w:rsid w:val="00592C39"/>
    <w:rsid w:val="00592D80"/>
    <w:rsid w:val="00593CDC"/>
    <w:rsid w:val="005A0AE6"/>
    <w:rsid w:val="005A6986"/>
    <w:rsid w:val="005B7A11"/>
    <w:rsid w:val="005C6EC2"/>
    <w:rsid w:val="005C77F5"/>
    <w:rsid w:val="005D026A"/>
    <w:rsid w:val="005D2244"/>
    <w:rsid w:val="005D2C9C"/>
    <w:rsid w:val="005D49A8"/>
    <w:rsid w:val="005E12AD"/>
    <w:rsid w:val="005E27C0"/>
    <w:rsid w:val="005E40E9"/>
    <w:rsid w:val="005E7CDF"/>
    <w:rsid w:val="005F1E2F"/>
    <w:rsid w:val="005F38E3"/>
    <w:rsid w:val="005F566D"/>
    <w:rsid w:val="005F6F5D"/>
    <w:rsid w:val="00602DF7"/>
    <w:rsid w:val="006035E9"/>
    <w:rsid w:val="00603F2A"/>
    <w:rsid w:val="0060672D"/>
    <w:rsid w:val="00611B61"/>
    <w:rsid w:val="00612982"/>
    <w:rsid w:val="00625599"/>
    <w:rsid w:val="00627B12"/>
    <w:rsid w:val="00630CD1"/>
    <w:rsid w:val="00631D39"/>
    <w:rsid w:val="00635618"/>
    <w:rsid w:val="00640665"/>
    <w:rsid w:val="00652B00"/>
    <w:rsid w:val="00654D87"/>
    <w:rsid w:val="0065579A"/>
    <w:rsid w:val="00666AAB"/>
    <w:rsid w:val="0066753A"/>
    <w:rsid w:val="0066787A"/>
    <w:rsid w:val="006745FF"/>
    <w:rsid w:val="006807AA"/>
    <w:rsid w:val="00680910"/>
    <w:rsid w:val="00683100"/>
    <w:rsid w:val="006837A0"/>
    <w:rsid w:val="00686965"/>
    <w:rsid w:val="0069014F"/>
    <w:rsid w:val="0069370D"/>
    <w:rsid w:val="00695682"/>
    <w:rsid w:val="00695E13"/>
    <w:rsid w:val="006A106E"/>
    <w:rsid w:val="006A4A08"/>
    <w:rsid w:val="006A7503"/>
    <w:rsid w:val="006B1084"/>
    <w:rsid w:val="006B267A"/>
    <w:rsid w:val="006B675D"/>
    <w:rsid w:val="006C273F"/>
    <w:rsid w:val="006C6E26"/>
    <w:rsid w:val="006D6012"/>
    <w:rsid w:val="006D6758"/>
    <w:rsid w:val="006D6D55"/>
    <w:rsid w:val="006E253F"/>
    <w:rsid w:val="006E32FC"/>
    <w:rsid w:val="006E6C65"/>
    <w:rsid w:val="006E75D4"/>
    <w:rsid w:val="006E7F26"/>
    <w:rsid w:val="006F2600"/>
    <w:rsid w:val="006F3D62"/>
    <w:rsid w:val="006F505C"/>
    <w:rsid w:val="006F6334"/>
    <w:rsid w:val="007102BE"/>
    <w:rsid w:val="007162DA"/>
    <w:rsid w:val="00717861"/>
    <w:rsid w:val="00720F3A"/>
    <w:rsid w:val="0072606A"/>
    <w:rsid w:val="00736D2D"/>
    <w:rsid w:val="00740504"/>
    <w:rsid w:val="007500D3"/>
    <w:rsid w:val="00753F11"/>
    <w:rsid w:val="007546AE"/>
    <w:rsid w:val="007546C9"/>
    <w:rsid w:val="007576C6"/>
    <w:rsid w:val="00761959"/>
    <w:rsid w:val="00762877"/>
    <w:rsid w:val="00763931"/>
    <w:rsid w:val="00767429"/>
    <w:rsid w:val="00767918"/>
    <w:rsid w:val="00767F96"/>
    <w:rsid w:val="00770090"/>
    <w:rsid w:val="00777758"/>
    <w:rsid w:val="00780A20"/>
    <w:rsid w:val="007864AB"/>
    <w:rsid w:val="00791258"/>
    <w:rsid w:val="00791571"/>
    <w:rsid w:val="0079350D"/>
    <w:rsid w:val="00796F39"/>
    <w:rsid w:val="007A0B05"/>
    <w:rsid w:val="007A28D5"/>
    <w:rsid w:val="007A58F9"/>
    <w:rsid w:val="007B6910"/>
    <w:rsid w:val="007C28E3"/>
    <w:rsid w:val="007C645A"/>
    <w:rsid w:val="007D1608"/>
    <w:rsid w:val="007D2C50"/>
    <w:rsid w:val="007D2C6A"/>
    <w:rsid w:val="007D4C43"/>
    <w:rsid w:val="007F1A54"/>
    <w:rsid w:val="007F218C"/>
    <w:rsid w:val="008006D0"/>
    <w:rsid w:val="00801004"/>
    <w:rsid w:val="008046EC"/>
    <w:rsid w:val="00807D37"/>
    <w:rsid w:val="00811288"/>
    <w:rsid w:val="008113FA"/>
    <w:rsid w:val="00814EF4"/>
    <w:rsid w:val="008203FB"/>
    <w:rsid w:val="00826C41"/>
    <w:rsid w:val="008274C2"/>
    <w:rsid w:val="008324D7"/>
    <w:rsid w:val="008332CA"/>
    <w:rsid w:val="0083647A"/>
    <w:rsid w:val="008368CA"/>
    <w:rsid w:val="00837784"/>
    <w:rsid w:val="00843F48"/>
    <w:rsid w:val="00844099"/>
    <w:rsid w:val="0084641A"/>
    <w:rsid w:val="00847D79"/>
    <w:rsid w:val="0085286D"/>
    <w:rsid w:val="00861FE7"/>
    <w:rsid w:val="008627CC"/>
    <w:rsid w:val="00877933"/>
    <w:rsid w:val="008806DE"/>
    <w:rsid w:val="00892F0B"/>
    <w:rsid w:val="008A17C3"/>
    <w:rsid w:val="008A212A"/>
    <w:rsid w:val="008A7600"/>
    <w:rsid w:val="008C268A"/>
    <w:rsid w:val="008D0A4D"/>
    <w:rsid w:val="008D1491"/>
    <w:rsid w:val="008D6D1A"/>
    <w:rsid w:val="008E1C1A"/>
    <w:rsid w:val="008E6B1D"/>
    <w:rsid w:val="008E7987"/>
    <w:rsid w:val="008F16A7"/>
    <w:rsid w:val="008F2A2C"/>
    <w:rsid w:val="008F2ACC"/>
    <w:rsid w:val="008F4212"/>
    <w:rsid w:val="00905FBB"/>
    <w:rsid w:val="00906706"/>
    <w:rsid w:val="00907B1B"/>
    <w:rsid w:val="00910DE0"/>
    <w:rsid w:val="0091496E"/>
    <w:rsid w:val="00916398"/>
    <w:rsid w:val="00923F5D"/>
    <w:rsid w:val="00926C81"/>
    <w:rsid w:val="0093067B"/>
    <w:rsid w:val="00930DE7"/>
    <w:rsid w:val="009323F1"/>
    <w:rsid w:val="00933FD7"/>
    <w:rsid w:val="00936B09"/>
    <w:rsid w:val="00937CEB"/>
    <w:rsid w:val="009400FD"/>
    <w:rsid w:val="00941CE1"/>
    <w:rsid w:val="0094349E"/>
    <w:rsid w:val="009470AC"/>
    <w:rsid w:val="00951B63"/>
    <w:rsid w:val="00954872"/>
    <w:rsid w:val="00954CF1"/>
    <w:rsid w:val="0096211B"/>
    <w:rsid w:val="00962201"/>
    <w:rsid w:val="00966563"/>
    <w:rsid w:val="00967E71"/>
    <w:rsid w:val="00975091"/>
    <w:rsid w:val="00977260"/>
    <w:rsid w:val="009777E1"/>
    <w:rsid w:val="00977F6D"/>
    <w:rsid w:val="00981A95"/>
    <w:rsid w:val="00982379"/>
    <w:rsid w:val="00983E39"/>
    <w:rsid w:val="00992B8D"/>
    <w:rsid w:val="00993552"/>
    <w:rsid w:val="00996073"/>
    <w:rsid w:val="00996E91"/>
    <w:rsid w:val="00997EB4"/>
    <w:rsid w:val="009A3FE9"/>
    <w:rsid w:val="009A43D6"/>
    <w:rsid w:val="009A4537"/>
    <w:rsid w:val="009B06D0"/>
    <w:rsid w:val="009B0EFA"/>
    <w:rsid w:val="009B3590"/>
    <w:rsid w:val="009B472D"/>
    <w:rsid w:val="009B4FFB"/>
    <w:rsid w:val="009B7C4C"/>
    <w:rsid w:val="009C0F77"/>
    <w:rsid w:val="009C30D4"/>
    <w:rsid w:val="009C4359"/>
    <w:rsid w:val="009C57FB"/>
    <w:rsid w:val="009C5EF9"/>
    <w:rsid w:val="009D118F"/>
    <w:rsid w:val="009D3B78"/>
    <w:rsid w:val="009E12B4"/>
    <w:rsid w:val="009E5AA9"/>
    <w:rsid w:val="009E6074"/>
    <w:rsid w:val="009E6E89"/>
    <w:rsid w:val="009F306A"/>
    <w:rsid w:val="009F4361"/>
    <w:rsid w:val="009F48B6"/>
    <w:rsid w:val="009F4DD0"/>
    <w:rsid w:val="009F5599"/>
    <w:rsid w:val="00A0321D"/>
    <w:rsid w:val="00A0399A"/>
    <w:rsid w:val="00A07778"/>
    <w:rsid w:val="00A07B5E"/>
    <w:rsid w:val="00A15761"/>
    <w:rsid w:val="00A2204D"/>
    <w:rsid w:val="00A30010"/>
    <w:rsid w:val="00A34C76"/>
    <w:rsid w:val="00A35BB5"/>
    <w:rsid w:val="00A35FE6"/>
    <w:rsid w:val="00A43E15"/>
    <w:rsid w:val="00A44819"/>
    <w:rsid w:val="00A47BC0"/>
    <w:rsid w:val="00A52E22"/>
    <w:rsid w:val="00A53CDF"/>
    <w:rsid w:val="00A5758D"/>
    <w:rsid w:val="00A600E5"/>
    <w:rsid w:val="00A63C99"/>
    <w:rsid w:val="00A65656"/>
    <w:rsid w:val="00A67518"/>
    <w:rsid w:val="00A7030F"/>
    <w:rsid w:val="00A70D18"/>
    <w:rsid w:val="00A82436"/>
    <w:rsid w:val="00A846D5"/>
    <w:rsid w:val="00A8560C"/>
    <w:rsid w:val="00A87030"/>
    <w:rsid w:val="00A87D0F"/>
    <w:rsid w:val="00A954E2"/>
    <w:rsid w:val="00A95567"/>
    <w:rsid w:val="00A957B7"/>
    <w:rsid w:val="00AA228F"/>
    <w:rsid w:val="00AB01A1"/>
    <w:rsid w:val="00AB4104"/>
    <w:rsid w:val="00AB71E0"/>
    <w:rsid w:val="00AB783D"/>
    <w:rsid w:val="00AC07CF"/>
    <w:rsid w:val="00AC24EE"/>
    <w:rsid w:val="00AC493E"/>
    <w:rsid w:val="00AC6430"/>
    <w:rsid w:val="00AD3ABE"/>
    <w:rsid w:val="00AD4CF8"/>
    <w:rsid w:val="00AE1C1F"/>
    <w:rsid w:val="00AE3F8B"/>
    <w:rsid w:val="00AE749D"/>
    <w:rsid w:val="00AE7A86"/>
    <w:rsid w:val="00AF0AA6"/>
    <w:rsid w:val="00AF1049"/>
    <w:rsid w:val="00AF53EB"/>
    <w:rsid w:val="00AF78D3"/>
    <w:rsid w:val="00AF7D0E"/>
    <w:rsid w:val="00AF7DA5"/>
    <w:rsid w:val="00B01575"/>
    <w:rsid w:val="00B07EA0"/>
    <w:rsid w:val="00B144E5"/>
    <w:rsid w:val="00B21312"/>
    <w:rsid w:val="00B22119"/>
    <w:rsid w:val="00B24F59"/>
    <w:rsid w:val="00B251A2"/>
    <w:rsid w:val="00B2612F"/>
    <w:rsid w:val="00B261E0"/>
    <w:rsid w:val="00B36063"/>
    <w:rsid w:val="00B404A4"/>
    <w:rsid w:val="00B43EF7"/>
    <w:rsid w:val="00B502A3"/>
    <w:rsid w:val="00B51ACB"/>
    <w:rsid w:val="00B5320C"/>
    <w:rsid w:val="00B554F3"/>
    <w:rsid w:val="00B6183A"/>
    <w:rsid w:val="00B6274D"/>
    <w:rsid w:val="00B65A3B"/>
    <w:rsid w:val="00B7202B"/>
    <w:rsid w:val="00B76D3C"/>
    <w:rsid w:val="00B826D7"/>
    <w:rsid w:val="00B83E85"/>
    <w:rsid w:val="00B920BF"/>
    <w:rsid w:val="00B92615"/>
    <w:rsid w:val="00B945AD"/>
    <w:rsid w:val="00B94E13"/>
    <w:rsid w:val="00B94F2A"/>
    <w:rsid w:val="00B952BF"/>
    <w:rsid w:val="00B96AE0"/>
    <w:rsid w:val="00BA3985"/>
    <w:rsid w:val="00BB6398"/>
    <w:rsid w:val="00BB79D6"/>
    <w:rsid w:val="00BD136D"/>
    <w:rsid w:val="00BD2789"/>
    <w:rsid w:val="00BD4917"/>
    <w:rsid w:val="00BD5090"/>
    <w:rsid w:val="00BD662B"/>
    <w:rsid w:val="00BD69E3"/>
    <w:rsid w:val="00BE2EE4"/>
    <w:rsid w:val="00BF0F11"/>
    <w:rsid w:val="00C002D1"/>
    <w:rsid w:val="00C02010"/>
    <w:rsid w:val="00C04501"/>
    <w:rsid w:val="00C057BF"/>
    <w:rsid w:val="00C07355"/>
    <w:rsid w:val="00C110B5"/>
    <w:rsid w:val="00C15067"/>
    <w:rsid w:val="00C23CAC"/>
    <w:rsid w:val="00C2685E"/>
    <w:rsid w:val="00C31AD9"/>
    <w:rsid w:val="00C42093"/>
    <w:rsid w:val="00C44058"/>
    <w:rsid w:val="00C53A13"/>
    <w:rsid w:val="00C54167"/>
    <w:rsid w:val="00C57FAA"/>
    <w:rsid w:val="00C60041"/>
    <w:rsid w:val="00C70809"/>
    <w:rsid w:val="00C81D94"/>
    <w:rsid w:val="00C852BA"/>
    <w:rsid w:val="00C904CD"/>
    <w:rsid w:val="00C92D01"/>
    <w:rsid w:val="00C955EB"/>
    <w:rsid w:val="00CA1F10"/>
    <w:rsid w:val="00CA2EB1"/>
    <w:rsid w:val="00CB5AE5"/>
    <w:rsid w:val="00CB603A"/>
    <w:rsid w:val="00CB63EE"/>
    <w:rsid w:val="00CC3B2F"/>
    <w:rsid w:val="00CD1855"/>
    <w:rsid w:val="00CD1975"/>
    <w:rsid w:val="00CE265A"/>
    <w:rsid w:val="00CE2FEA"/>
    <w:rsid w:val="00CE38A3"/>
    <w:rsid w:val="00CF6B3C"/>
    <w:rsid w:val="00D1007B"/>
    <w:rsid w:val="00D14B14"/>
    <w:rsid w:val="00D1508C"/>
    <w:rsid w:val="00D158BC"/>
    <w:rsid w:val="00D201BF"/>
    <w:rsid w:val="00D2040E"/>
    <w:rsid w:val="00D2050B"/>
    <w:rsid w:val="00D25FC7"/>
    <w:rsid w:val="00D26F59"/>
    <w:rsid w:val="00D27C35"/>
    <w:rsid w:val="00D30E16"/>
    <w:rsid w:val="00D34DF6"/>
    <w:rsid w:val="00D35237"/>
    <w:rsid w:val="00D35569"/>
    <w:rsid w:val="00D3770E"/>
    <w:rsid w:val="00D4582D"/>
    <w:rsid w:val="00D541B8"/>
    <w:rsid w:val="00D6471D"/>
    <w:rsid w:val="00D72D0B"/>
    <w:rsid w:val="00D85366"/>
    <w:rsid w:val="00D8582A"/>
    <w:rsid w:val="00D9073E"/>
    <w:rsid w:val="00D93BC3"/>
    <w:rsid w:val="00DA06FE"/>
    <w:rsid w:val="00DA1392"/>
    <w:rsid w:val="00DA3F8A"/>
    <w:rsid w:val="00DA44EB"/>
    <w:rsid w:val="00DA57F1"/>
    <w:rsid w:val="00DC1888"/>
    <w:rsid w:val="00DC2A28"/>
    <w:rsid w:val="00DD2BFC"/>
    <w:rsid w:val="00DD34C2"/>
    <w:rsid w:val="00DD43B9"/>
    <w:rsid w:val="00DD5140"/>
    <w:rsid w:val="00DF0D64"/>
    <w:rsid w:val="00DF4904"/>
    <w:rsid w:val="00DF5D64"/>
    <w:rsid w:val="00DF6731"/>
    <w:rsid w:val="00DF70A4"/>
    <w:rsid w:val="00E01A4D"/>
    <w:rsid w:val="00E02E1B"/>
    <w:rsid w:val="00E116B4"/>
    <w:rsid w:val="00E11CD2"/>
    <w:rsid w:val="00E131B4"/>
    <w:rsid w:val="00E14F94"/>
    <w:rsid w:val="00E1527C"/>
    <w:rsid w:val="00E23241"/>
    <w:rsid w:val="00E241EE"/>
    <w:rsid w:val="00E26203"/>
    <w:rsid w:val="00E2663F"/>
    <w:rsid w:val="00E27733"/>
    <w:rsid w:val="00E2775F"/>
    <w:rsid w:val="00E30692"/>
    <w:rsid w:val="00E33621"/>
    <w:rsid w:val="00E36AAB"/>
    <w:rsid w:val="00E41D26"/>
    <w:rsid w:val="00E439FB"/>
    <w:rsid w:val="00E43DEA"/>
    <w:rsid w:val="00E5260B"/>
    <w:rsid w:val="00E52E70"/>
    <w:rsid w:val="00E55F46"/>
    <w:rsid w:val="00E629B7"/>
    <w:rsid w:val="00E62D9D"/>
    <w:rsid w:val="00E6531F"/>
    <w:rsid w:val="00E74BD5"/>
    <w:rsid w:val="00E805A1"/>
    <w:rsid w:val="00E815C8"/>
    <w:rsid w:val="00E82C20"/>
    <w:rsid w:val="00E82D62"/>
    <w:rsid w:val="00E8320F"/>
    <w:rsid w:val="00E844EA"/>
    <w:rsid w:val="00E911FD"/>
    <w:rsid w:val="00E9782A"/>
    <w:rsid w:val="00E978D4"/>
    <w:rsid w:val="00E97B6E"/>
    <w:rsid w:val="00EA0157"/>
    <w:rsid w:val="00EA2002"/>
    <w:rsid w:val="00EA34EF"/>
    <w:rsid w:val="00EB247F"/>
    <w:rsid w:val="00EB37ED"/>
    <w:rsid w:val="00EC57B8"/>
    <w:rsid w:val="00ED21C5"/>
    <w:rsid w:val="00ED6DDA"/>
    <w:rsid w:val="00ED6F08"/>
    <w:rsid w:val="00ED7489"/>
    <w:rsid w:val="00EE0272"/>
    <w:rsid w:val="00EE10F1"/>
    <w:rsid w:val="00EE274A"/>
    <w:rsid w:val="00EF21F4"/>
    <w:rsid w:val="00EF2247"/>
    <w:rsid w:val="00EF70DB"/>
    <w:rsid w:val="00F02BEC"/>
    <w:rsid w:val="00F04DCE"/>
    <w:rsid w:val="00F05491"/>
    <w:rsid w:val="00F0595F"/>
    <w:rsid w:val="00F0598F"/>
    <w:rsid w:val="00F06F88"/>
    <w:rsid w:val="00F15AEE"/>
    <w:rsid w:val="00F2164C"/>
    <w:rsid w:val="00F26176"/>
    <w:rsid w:val="00F346F2"/>
    <w:rsid w:val="00F36327"/>
    <w:rsid w:val="00F4393C"/>
    <w:rsid w:val="00F46737"/>
    <w:rsid w:val="00F517CB"/>
    <w:rsid w:val="00F52595"/>
    <w:rsid w:val="00F53092"/>
    <w:rsid w:val="00F530FC"/>
    <w:rsid w:val="00F61DCA"/>
    <w:rsid w:val="00F66D25"/>
    <w:rsid w:val="00F70403"/>
    <w:rsid w:val="00F73235"/>
    <w:rsid w:val="00F74517"/>
    <w:rsid w:val="00F77847"/>
    <w:rsid w:val="00F84DB6"/>
    <w:rsid w:val="00F85FFB"/>
    <w:rsid w:val="00F90D56"/>
    <w:rsid w:val="00FA2194"/>
    <w:rsid w:val="00FA5114"/>
    <w:rsid w:val="00FA6897"/>
    <w:rsid w:val="00FA7C26"/>
    <w:rsid w:val="00FB2C53"/>
    <w:rsid w:val="00FB2DC0"/>
    <w:rsid w:val="00FB3AB3"/>
    <w:rsid w:val="00FB649C"/>
    <w:rsid w:val="00FC2C8B"/>
    <w:rsid w:val="00FC32CC"/>
    <w:rsid w:val="00FC3F77"/>
    <w:rsid w:val="00FC62F5"/>
    <w:rsid w:val="00FD2788"/>
    <w:rsid w:val="00FD77AF"/>
    <w:rsid w:val="00FE53D4"/>
    <w:rsid w:val="00FF038A"/>
    <w:rsid w:val="00FF155C"/>
    <w:rsid w:val="00FF3DC9"/>
    <w:rsid w:val="00FF47F5"/>
    <w:rsid w:val="00FF5986"/>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4FB53C60-6D1D-5F4B-919E-1FF11AB9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590"/>
    <w:pPr>
      <w:spacing w:after="120" w:line="36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autoRedefine/>
    <w:uiPriority w:val="9"/>
    <w:qFormat/>
    <w:rsid w:val="00EB247F"/>
    <w:pPr>
      <w:keepNext/>
      <w:keepLines/>
      <w:numPr>
        <w:numId w:val="26"/>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26"/>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26"/>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C07355"/>
    <w:pPr>
      <w:keepNext/>
      <w:keepLines/>
      <w:spacing w:before="200" w:after="0"/>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26"/>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26"/>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EB247F"/>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numPr>
        <w:numId w:val="24"/>
      </w:num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rPr>
  </w:style>
  <w:style w:type="paragraph" w:customStyle="1" w:styleId="TableContents">
    <w:name w:val="Table Contents"/>
    <w:basedOn w:val="Normal"/>
    <w:rsid w:val="00541D39"/>
    <w:pPr>
      <w:widowControl w:val="0"/>
      <w:suppressLineNumbers/>
      <w:suppressAutoHyphens/>
      <w:overflowPunct w:val="0"/>
      <w:spacing w:after="0"/>
    </w:pPr>
    <w:rPr>
      <w:rFonts w:eastAsia="SimSun"/>
      <w:kern w:val="1"/>
      <w:lang w:eastAsia="ar-SA"/>
    </w:rPr>
  </w:style>
  <w:style w:type="paragraph" w:styleId="BodyText">
    <w:name w:val="Body Text"/>
    <w:basedOn w:val="Normal"/>
    <w:link w:val="BodyTextChar"/>
    <w:rsid w:val="0009232E"/>
    <w:pPr>
      <w:widowControl w:val="0"/>
      <w:suppressAutoHyphens/>
      <w:overflowPunct w:val="0"/>
    </w:pPr>
    <w:rPr>
      <w:rFonts w:eastAsia="SimSun"/>
      <w:kern w:val="1"/>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semiHidden/>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semiHidden/>
    <w:rsid w:val="00D26F59"/>
    <w:rPr>
      <w:kern w:val="2"/>
      <w:sz w:val="18"/>
      <w:szCs w:val="18"/>
      <w:lang w:eastAsia="zh-CN"/>
    </w:rPr>
  </w:style>
  <w:style w:type="character" w:styleId="FootnoteReference">
    <w:name w:val="footnote reference"/>
    <w:basedOn w:val="DefaultParagraphFont"/>
    <w:uiPriority w:val="99"/>
    <w:semiHidden/>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character" w:styleId="EndnoteReference">
    <w:name w:val="endnote reference"/>
    <w:basedOn w:val="DefaultParagraphFont"/>
    <w:uiPriority w:val="99"/>
    <w:semiHidden/>
    <w:unhideWhenUsed/>
    <w:rsid w:val="00A35FE6"/>
    <w:rPr>
      <w:vertAlign w:val="superscript"/>
    </w:rPr>
  </w:style>
  <w:style w:type="paragraph" w:styleId="Bibliography">
    <w:name w:val="Bibliography"/>
    <w:basedOn w:val="Normal"/>
    <w:next w:val="Normal"/>
    <w:uiPriority w:val="37"/>
    <w:unhideWhenUsed/>
    <w:rsid w:val="005D2244"/>
    <w:pPr>
      <w:spacing w:after="0" w:line="480" w:lineRule="auto"/>
      <w:ind w:left="720" w:hanging="720"/>
    </w:pPr>
  </w:style>
  <w:style w:type="character" w:customStyle="1" w:styleId="apple-converted-space">
    <w:name w:val="apple-converted-space"/>
    <w:basedOn w:val="DefaultParagraphFont"/>
    <w:rsid w:val="005E7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74486685">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611403340">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07346906">
      <w:bodyDiv w:val="1"/>
      <w:marLeft w:val="0"/>
      <w:marRight w:val="0"/>
      <w:marTop w:val="0"/>
      <w:marBottom w:val="0"/>
      <w:divBdr>
        <w:top w:val="none" w:sz="0" w:space="0" w:color="auto"/>
        <w:left w:val="none" w:sz="0" w:space="0" w:color="auto"/>
        <w:bottom w:val="none" w:sz="0" w:space="0" w:color="auto"/>
        <w:right w:val="none" w:sz="0" w:space="0" w:color="auto"/>
      </w:divBdr>
      <w:divsChild>
        <w:div w:id="17316893">
          <w:marLeft w:val="480"/>
          <w:marRight w:val="0"/>
          <w:marTop w:val="0"/>
          <w:marBottom w:val="0"/>
          <w:divBdr>
            <w:top w:val="none" w:sz="0" w:space="0" w:color="auto"/>
            <w:left w:val="none" w:sz="0" w:space="0" w:color="auto"/>
            <w:bottom w:val="none" w:sz="0" w:space="0" w:color="auto"/>
            <w:right w:val="none" w:sz="0" w:space="0" w:color="auto"/>
          </w:divBdr>
          <w:divsChild>
            <w:div w:id="1223564812">
              <w:marLeft w:val="0"/>
              <w:marRight w:val="0"/>
              <w:marTop w:val="0"/>
              <w:marBottom w:val="0"/>
              <w:divBdr>
                <w:top w:val="none" w:sz="0" w:space="0" w:color="auto"/>
                <w:left w:val="none" w:sz="0" w:space="0" w:color="auto"/>
                <w:bottom w:val="none" w:sz="0" w:space="0" w:color="auto"/>
                <w:right w:val="none" w:sz="0" w:space="0" w:color="auto"/>
              </w:divBdr>
            </w:div>
            <w:div w:id="1132018939">
              <w:marLeft w:val="0"/>
              <w:marRight w:val="0"/>
              <w:marTop w:val="0"/>
              <w:marBottom w:val="0"/>
              <w:divBdr>
                <w:top w:val="none" w:sz="0" w:space="0" w:color="auto"/>
                <w:left w:val="none" w:sz="0" w:space="0" w:color="auto"/>
                <w:bottom w:val="none" w:sz="0" w:space="0" w:color="auto"/>
                <w:right w:val="none" w:sz="0" w:space="0" w:color="auto"/>
              </w:divBdr>
            </w:div>
            <w:div w:id="2106875839">
              <w:marLeft w:val="0"/>
              <w:marRight w:val="0"/>
              <w:marTop w:val="0"/>
              <w:marBottom w:val="0"/>
              <w:divBdr>
                <w:top w:val="none" w:sz="0" w:space="0" w:color="auto"/>
                <w:left w:val="none" w:sz="0" w:space="0" w:color="auto"/>
                <w:bottom w:val="none" w:sz="0" w:space="0" w:color="auto"/>
                <w:right w:val="none" w:sz="0" w:space="0" w:color="auto"/>
              </w:divBdr>
            </w:div>
            <w:div w:id="1363675775">
              <w:marLeft w:val="0"/>
              <w:marRight w:val="0"/>
              <w:marTop w:val="0"/>
              <w:marBottom w:val="0"/>
              <w:divBdr>
                <w:top w:val="none" w:sz="0" w:space="0" w:color="auto"/>
                <w:left w:val="none" w:sz="0" w:space="0" w:color="auto"/>
                <w:bottom w:val="none" w:sz="0" w:space="0" w:color="auto"/>
                <w:right w:val="none" w:sz="0" w:space="0" w:color="auto"/>
              </w:divBdr>
            </w:div>
            <w:div w:id="854538996">
              <w:marLeft w:val="0"/>
              <w:marRight w:val="0"/>
              <w:marTop w:val="0"/>
              <w:marBottom w:val="0"/>
              <w:divBdr>
                <w:top w:val="none" w:sz="0" w:space="0" w:color="auto"/>
                <w:left w:val="none" w:sz="0" w:space="0" w:color="auto"/>
                <w:bottom w:val="none" w:sz="0" w:space="0" w:color="auto"/>
                <w:right w:val="none" w:sz="0" w:space="0" w:color="auto"/>
              </w:divBdr>
            </w:div>
            <w:div w:id="887493334">
              <w:marLeft w:val="0"/>
              <w:marRight w:val="0"/>
              <w:marTop w:val="0"/>
              <w:marBottom w:val="0"/>
              <w:divBdr>
                <w:top w:val="none" w:sz="0" w:space="0" w:color="auto"/>
                <w:left w:val="none" w:sz="0" w:space="0" w:color="auto"/>
                <w:bottom w:val="none" w:sz="0" w:space="0" w:color="auto"/>
                <w:right w:val="none" w:sz="0" w:space="0" w:color="auto"/>
              </w:divBdr>
            </w:div>
            <w:div w:id="634919370">
              <w:marLeft w:val="0"/>
              <w:marRight w:val="0"/>
              <w:marTop w:val="0"/>
              <w:marBottom w:val="0"/>
              <w:divBdr>
                <w:top w:val="none" w:sz="0" w:space="0" w:color="auto"/>
                <w:left w:val="none" w:sz="0" w:space="0" w:color="auto"/>
                <w:bottom w:val="none" w:sz="0" w:space="0" w:color="auto"/>
                <w:right w:val="none" w:sz="0" w:space="0" w:color="auto"/>
              </w:divBdr>
            </w:div>
            <w:div w:id="1538927409">
              <w:marLeft w:val="0"/>
              <w:marRight w:val="0"/>
              <w:marTop w:val="0"/>
              <w:marBottom w:val="0"/>
              <w:divBdr>
                <w:top w:val="none" w:sz="0" w:space="0" w:color="auto"/>
                <w:left w:val="none" w:sz="0" w:space="0" w:color="auto"/>
                <w:bottom w:val="none" w:sz="0" w:space="0" w:color="auto"/>
                <w:right w:val="none" w:sz="0" w:space="0" w:color="auto"/>
              </w:divBdr>
            </w:div>
            <w:div w:id="2046444687">
              <w:marLeft w:val="0"/>
              <w:marRight w:val="0"/>
              <w:marTop w:val="0"/>
              <w:marBottom w:val="0"/>
              <w:divBdr>
                <w:top w:val="none" w:sz="0" w:space="0" w:color="auto"/>
                <w:left w:val="none" w:sz="0" w:space="0" w:color="auto"/>
                <w:bottom w:val="none" w:sz="0" w:space="0" w:color="auto"/>
                <w:right w:val="none" w:sz="0" w:space="0" w:color="auto"/>
              </w:divBdr>
            </w:div>
            <w:div w:id="1262028910">
              <w:marLeft w:val="0"/>
              <w:marRight w:val="0"/>
              <w:marTop w:val="0"/>
              <w:marBottom w:val="0"/>
              <w:divBdr>
                <w:top w:val="none" w:sz="0" w:space="0" w:color="auto"/>
                <w:left w:val="none" w:sz="0" w:space="0" w:color="auto"/>
                <w:bottom w:val="none" w:sz="0" w:space="0" w:color="auto"/>
                <w:right w:val="none" w:sz="0" w:space="0" w:color="auto"/>
              </w:divBdr>
            </w:div>
            <w:div w:id="1911454283">
              <w:marLeft w:val="0"/>
              <w:marRight w:val="0"/>
              <w:marTop w:val="0"/>
              <w:marBottom w:val="0"/>
              <w:divBdr>
                <w:top w:val="none" w:sz="0" w:space="0" w:color="auto"/>
                <w:left w:val="none" w:sz="0" w:space="0" w:color="auto"/>
                <w:bottom w:val="none" w:sz="0" w:space="0" w:color="auto"/>
                <w:right w:val="none" w:sz="0" w:space="0" w:color="auto"/>
              </w:divBdr>
            </w:div>
            <w:div w:id="1308971329">
              <w:marLeft w:val="0"/>
              <w:marRight w:val="0"/>
              <w:marTop w:val="0"/>
              <w:marBottom w:val="0"/>
              <w:divBdr>
                <w:top w:val="none" w:sz="0" w:space="0" w:color="auto"/>
                <w:left w:val="none" w:sz="0" w:space="0" w:color="auto"/>
                <w:bottom w:val="none" w:sz="0" w:space="0" w:color="auto"/>
                <w:right w:val="none" w:sz="0" w:space="0" w:color="auto"/>
              </w:divBdr>
            </w:div>
            <w:div w:id="1444694618">
              <w:marLeft w:val="0"/>
              <w:marRight w:val="0"/>
              <w:marTop w:val="0"/>
              <w:marBottom w:val="0"/>
              <w:divBdr>
                <w:top w:val="none" w:sz="0" w:space="0" w:color="auto"/>
                <w:left w:val="none" w:sz="0" w:space="0" w:color="auto"/>
                <w:bottom w:val="none" w:sz="0" w:space="0" w:color="auto"/>
                <w:right w:val="none" w:sz="0" w:space="0" w:color="auto"/>
              </w:divBdr>
            </w:div>
            <w:div w:id="2015067454">
              <w:marLeft w:val="0"/>
              <w:marRight w:val="0"/>
              <w:marTop w:val="0"/>
              <w:marBottom w:val="0"/>
              <w:divBdr>
                <w:top w:val="none" w:sz="0" w:space="0" w:color="auto"/>
                <w:left w:val="none" w:sz="0" w:space="0" w:color="auto"/>
                <w:bottom w:val="none" w:sz="0" w:space="0" w:color="auto"/>
                <w:right w:val="none" w:sz="0" w:space="0" w:color="auto"/>
              </w:divBdr>
            </w:div>
            <w:div w:id="1382091995">
              <w:marLeft w:val="0"/>
              <w:marRight w:val="0"/>
              <w:marTop w:val="0"/>
              <w:marBottom w:val="0"/>
              <w:divBdr>
                <w:top w:val="none" w:sz="0" w:space="0" w:color="auto"/>
                <w:left w:val="none" w:sz="0" w:space="0" w:color="auto"/>
                <w:bottom w:val="none" w:sz="0" w:space="0" w:color="auto"/>
                <w:right w:val="none" w:sz="0" w:space="0" w:color="auto"/>
              </w:divBdr>
            </w:div>
            <w:div w:id="650909391">
              <w:marLeft w:val="0"/>
              <w:marRight w:val="0"/>
              <w:marTop w:val="0"/>
              <w:marBottom w:val="0"/>
              <w:divBdr>
                <w:top w:val="none" w:sz="0" w:space="0" w:color="auto"/>
                <w:left w:val="none" w:sz="0" w:space="0" w:color="auto"/>
                <w:bottom w:val="none" w:sz="0" w:space="0" w:color="auto"/>
                <w:right w:val="none" w:sz="0" w:space="0" w:color="auto"/>
              </w:divBdr>
            </w:div>
            <w:div w:id="320472325">
              <w:marLeft w:val="0"/>
              <w:marRight w:val="0"/>
              <w:marTop w:val="0"/>
              <w:marBottom w:val="0"/>
              <w:divBdr>
                <w:top w:val="none" w:sz="0" w:space="0" w:color="auto"/>
                <w:left w:val="none" w:sz="0" w:space="0" w:color="auto"/>
                <w:bottom w:val="none" w:sz="0" w:space="0" w:color="auto"/>
                <w:right w:val="none" w:sz="0" w:space="0" w:color="auto"/>
              </w:divBdr>
            </w:div>
            <w:div w:id="189077437">
              <w:marLeft w:val="0"/>
              <w:marRight w:val="0"/>
              <w:marTop w:val="0"/>
              <w:marBottom w:val="0"/>
              <w:divBdr>
                <w:top w:val="none" w:sz="0" w:space="0" w:color="auto"/>
                <w:left w:val="none" w:sz="0" w:space="0" w:color="auto"/>
                <w:bottom w:val="none" w:sz="0" w:space="0" w:color="auto"/>
                <w:right w:val="none" w:sz="0" w:space="0" w:color="auto"/>
              </w:divBdr>
            </w:div>
            <w:div w:id="1175605581">
              <w:marLeft w:val="0"/>
              <w:marRight w:val="0"/>
              <w:marTop w:val="0"/>
              <w:marBottom w:val="0"/>
              <w:divBdr>
                <w:top w:val="none" w:sz="0" w:space="0" w:color="auto"/>
                <w:left w:val="none" w:sz="0" w:space="0" w:color="auto"/>
                <w:bottom w:val="none" w:sz="0" w:space="0" w:color="auto"/>
                <w:right w:val="none" w:sz="0" w:space="0" w:color="auto"/>
              </w:divBdr>
            </w:div>
            <w:div w:id="163322839">
              <w:marLeft w:val="0"/>
              <w:marRight w:val="0"/>
              <w:marTop w:val="0"/>
              <w:marBottom w:val="0"/>
              <w:divBdr>
                <w:top w:val="none" w:sz="0" w:space="0" w:color="auto"/>
                <w:left w:val="none" w:sz="0" w:space="0" w:color="auto"/>
                <w:bottom w:val="none" w:sz="0" w:space="0" w:color="auto"/>
                <w:right w:val="none" w:sz="0" w:space="0" w:color="auto"/>
              </w:divBdr>
            </w:div>
            <w:div w:id="317534916">
              <w:marLeft w:val="0"/>
              <w:marRight w:val="0"/>
              <w:marTop w:val="0"/>
              <w:marBottom w:val="0"/>
              <w:divBdr>
                <w:top w:val="none" w:sz="0" w:space="0" w:color="auto"/>
                <w:left w:val="none" w:sz="0" w:space="0" w:color="auto"/>
                <w:bottom w:val="none" w:sz="0" w:space="0" w:color="auto"/>
                <w:right w:val="none" w:sz="0" w:space="0" w:color="auto"/>
              </w:divBdr>
            </w:div>
            <w:div w:id="422188696">
              <w:marLeft w:val="0"/>
              <w:marRight w:val="0"/>
              <w:marTop w:val="0"/>
              <w:marBottom w:val="0"/>
              <w:divBdr>
                <w:top w:val="none" w:sz="0" w:space="0" w:color="auto"/>
                <w:left w:val="none" w:sz="0" w:space="0" w:color="auto"/>
                <w:bottom w:val="none" w:sz="0" w:space="0" w:color="auto"/>
                <w:right w:val="none" w:sz="0" w:space="0" w:color="auto"/>
              </w:divBdr>
            </w:div>
            <w:div w:id="1686515124">
              <w:marLeft w:val="0"/>
              <w:marRight w:val="0"/>
              <w:marTop w:val="0"/>
              <w:marBottom w:val="0"/>
              <w:divBdr>
                <w:top w:val="none" w:sz="0" w:space="0" w:color="auto"/>
                <w:left w:val="none" w:sz="0" w:space="0" w:color="auto"/>
                <w:bottom w:val="none" w:sz="0" w:space="0" w:color="auto"/>
                <w:right w:val="none" w:sz="0" w:space="0" w:color="auto"/>
              </w:divBdr>
            </w:div>
            <w:div w:id="1508250772">
              <w:marLeft w:val="0"/>
              <w:marRight w:val="0"/>
              <w:marTop w:val="0"/>
              <w:marBottom w:val="0"/>
              <w:divBdr>
                <w:top w:val="none" w:sz="0" w:space="0" w:color="auto"/>
                <w:left w:val="none" w:sz="0" w:space="0" w:color="auto"/>
                <w:bottom w:val="none" w:sz="0" w:space="0" w:color="auto"/>
                <w:right w:val="none" w:sz="0" w:space="0" w:color="auto"/>
              </w:divBdr>
            </w:div>
            <w:div w:id="130755797">
              <w:marLeft w:val="0"/>
              <w:marRight w:val="0"/>
              <w:marTop w:val="0"/>
              <w:marBottom w:val="0"/>
              <w:divBdr>
                <w:top w:val="none" w:sz="0" w:space="0" w:color="auto"/>
                <w:left w:val="none" w:sz="0" w:space="0" w:color="auto"/>
                <w:bottom w:val="none" w:sz="0" w:space="0" w:color="auto"/>
                <w:right w:val="none" w:sz="0" w:space="0" w:color="auto"/>
              </w:divBdr>
            </w:div>
            <w:div w:id="2124836406">
              <w:marLeft w:val="0"/>
              <w:marRight w:val="0"/>
              <w:marTop w:val="0"/>
              <w:marBottom w:val="0"/>
              <w:divBdr>
                <w:top w:val="none" w:sz="0" w:space="0" w:color="auto"/>
                <w:left w:val="none" w:sz="0" w:space="0" w:color="auto"/>
                <w:bottom w:val="none" w:sz="0" w:space="0" w:color="auto"/>
                <w:right w:val="none" w:sz="0" w:space="0" w:color="auto"/>
              </w:divBdr>
            </w:div>
            <w:div w:id="671491956">
              <w:marLeft w:val="0"/>
              <w:marRight w:val="0"/>
              <w:marTop w:val="0"/>
              <w:marBottom w:val="0"/>
              <w:divBdr>
                <w:top w:val="none" w:sz="0" w:space="0" w:color="auto"/>
                <w:left w:val="none" w:sz="0" w:space="0" w:color="auto"/>
                <w:bottom w:val="none" w:sz="0" w:space="0" w:color="auto"/>
                <w:right w:val="none" w:sz="0" w:space="0" w:color="auto"/>
              </w:divBdr>
            </w:div>
            <w:div w:id="862594171">
              <w:marLeft w:val="0"/>
              <w:marRight w:val="0"/>
              <w:marTop w:val="0"/>
              <w:marBottom w:val="0"/>
              <w:divBdr>
                <w:top w:val="none" w:sz="0" w:space="0" w:color="auto"/>
                <w:left w:val="none" w:sz="0" w:space="0" w:color="auto"/>
                <w:bottom w:val="none" w:sz="0" w:space="0" w:color="auto"/>
                <w:right w:val="none" w:sz="0" w:space="0" w:color="auto"/>
              </w:divBdr>
            </w:div>
            <w:div w:id="348991910">
              <w:marLeft w:val="0"/>
              <w:marRight w:val="0"/>
              <w:marTop w:val="0"/>
              <w:marBottom w:val="0"/>
              <w:divBdr>
                <w:top w:val="none" w:sz="0" w:space="0" w:color="auto"/>
                <w:left w:val="none" w:sz="0" w:space="0" w:color="auto"/>
                <w:bottom w:val="none" w:sz="0" w:space="0" w:color="auto"/>
                <w:right w:val="none" w:sz="0" w:space="0" w:color="auto"/>
              </w:divBdr>
            </w:div>
            <w:div w:id="1158417844">
              <w:marLeft w:val="0"/>
              <w:marRight w:val="0"/>
              <w:marTop w:val="0"/>
              <w:marBottom w:val="0"/>
              <w:divBdr>
                <w:top w:val="none" w:sz="0" w:space="0" w:color="auto"/>
                <w:left w:val="none" w:sz="0" w:space="0" w:color="auto"/>
                <w:bottom w:val="none" w:sz="0" w:space="0" w:color="auto"/>
                <w:right w:val="none" w:sz="0" w:space="0" w:color="auto"/>
              </w:divBdr>
            </w:div>
            <w:div w:id="943925783">
              <w:marLeft w:val="0"/>
              <w:marRight w:val="0"/>
              <w:marTop w:val="0"/>
              <w:marBottom w:val="0"/>
              <w:divBdr>
                <w:top w:val="none" w:sz="0" w:space="0" w:color="auto"/>
                <w:left w:val="none" w:sz="0" w:space="0" w:color="auto"/>
                <w:bottom w:val="none" w:sz="0" w:space="0" w:color="auto"/>
                <w:right w:val="none" w:sz="0" w:space="0" w:color="auto"/>
              </w:divBdr>
            </w:div>
            <w:div w:id="1057699982">
              <w:marLeft w:val="0"/>
              <w:marRight w:val="0"/>
              <w:marTop w:val="0"/>
              <w:marBottom w:val="0"/>
              <w:divBdr>
                <w:top w:val="none" w:sz="0" w:space="0" w:color="auto"/>
                <w:left w:val="none" w:sz="0" w:space="0" w:color="auto"/>
                <w:bottom w:val="none" w:sz="0" w:space="0" w:color="auto"/>
                <w:right w:val="none" w:sz="0" w:space="0" w:color="auto"/>
              </w:divBdr>
            </w:div>
            <w:div w:id="1150754186">
              <w:marLeft w:val="0"/>
              <w:marRight w:val="0"/>
              <w:marTop w:val="0"/>
              <w:marBottom w:val="0"/>
              <w:divBdr>
                <w:top w:val="none" w:sz="0" w:space="0" w:color="auto"/>
                <w:left w:val="none" w:sz="0" w:space="0" w:color="auto"/>
                <w:bottom w:val="none" w:sz="0" w:space="0" w:color="auto"/>
                <w:right w:val="none" w:sz="0" w:space="0" w:color="auto"/>
              </w:divBdr>
            </w:div>
            <w:div w:id="1281452144">
              <w:marLeft w:val="0"/>
              <w:marRight w:val="0"/>
              <w:marTop w:val="0"/>
              <w:marBottom w:val="0"/>
              <w:divBdr>
                <w:top w:val="none" w:sz="0" w:space="0" w:color="auto"/>
                <w:left w:val="none" w:sz="0" w:space="0" w:color="auto"/>
                <w:bottom w:val="none" w:sz="0" w:space="0" w:color="auto"/>
                <w:right w:val="none" w:sz="0" w:space="0" w:color="auto"/>
              </w:divBdr>
            </w:div>
            <w:div w:id="10623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1085298371">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532761930">
      <w:bodyDiv w:val="1"/>
      <w:marLeft w:val="0"/>
      <w:marRight w:val="0"/>
      <w:marTop w:val="0"/>
      <w:marBottom w:val="0"/>
      <w:divBdr>
        <w:top w:val="none" w:sz="0" w:space="0" w:color="auto"/>
        <w:left w:val="none" w:sz="0" w:space="0" w:color="auto"/>
        <w:bottom w:val="none" w:sz="0" w:space="0" w:color="auto"/>
        <w:right w:val="none" w:sz="0" w:space="0" w:color="auto"/>
      </w:divBdr>
    </w:div>
    <w:div w:id="1737700289">
      <w:bodyDiv w:val="1"/>
      <w:marLeft w:val="0"/>
      <w:marRight w:val="0"/>
      <w:marTop w:val="0"/>
      <w:marBottom w:val="0"/>
      <w:divBdr>
        <w:top w:val="none" w:sz="0" w:space="0" w:color="auto"/>
        <w:left w:val="none" w:sz="0" w:space="0" w:color="auto"/>
        <w:bottom w:val="none" w:sz="0" w:space="0" w:color="auto"/>
        <w:right w:val="none" w:sz="0" w:space="0" w:color="auto"/>
      </w:divBdr>
      <w:divsChild>
        <w:div w:id="1891767193">
          <w:marLeft w:val="480"/>
          <w:marRight w:val="0"/>
          <w:marTop w:val="0"/>
          <w:marBottom w:val="0"/>
          <w:divBdr>
            <w:top w:val="none" w:sz="0" w:space="0" w:color="auto"/>
            <w:left w:val="none" w:sz="0" w:space="0" w:color="auto"/>
            <w:bottom w:val="none" w:sz="0" w:space="0" w:color="auto"/>
            <w:right w:val="none" w:sz="0" w:space="0" w:color="auto"/>
          </w:divBdr>
          <w:divsChild>
            <w:div w:id="939795272">
              <w:marLeft w:val="0"/>
              <w:marRight w:val="0"/>
              <w:marTop w:val="0"/>
              <w:marBottom w:val="0"/>
              <w:divBdr>
                <w:top w:val="none" w:sz="0" w:space="0" w:color="auto"/>
                <w:left w:val="none" w:sz="0" w:space="0" w:color="auto"/>
                <w:bottom w:val="none" w:sz="0" w:space="0" w:color="auto"/>
                <w:right w:val="none" w:sz="0" w:space="0" w:color="auto"/>
              </w:divBdr>
            </w:div>
            <w:div w:id="219512585">
              <w:marLeft w:val="0"/>
              <w:marRight w:val="0"/>
              <w:marTop w:val="0"/>
              <w:marBottom w:val="0"/>
              <w:divBdr>
                <w:top w:val="none" w:sz="0" w:space="0" w:color="auto"/>
                <w:left w:val="none" w:sz="0" w:space="0" w:color="auto"/>
                <w:bottom w:val="none" w:sz="0" w:space="0" w:color="auto"/>
                <w:right w:val="none" w:sz="0" w:space="0" w:color="auto"/>
              </w:divBdr>
            </w:div>
            <w:div w:id="826094051">
              <w:marLeft w:val="0"/>
              <w:marRight w:val="0"/>
              <w:marTop w:val="0"/>
              <w:marBottom w:val="0"/>
              <w:divBdr>
                <w:top w:val="none" w:sz="0" w:space="0" w:color="auto"/>
                <w:left w:val="none" w:sz="0" w:space="0" w:color="auto"/>
                <w:bottom w:val="none" w:sz="0" w:space="0" w:color="auto"/>
                <w:right w:val="none" w:sz="0" w:space="0" w:color="auto"/>
              </w:divBdr>
            </w:div>
            <w:div w:id="1781409755">
              <w:marLeft w:val="0"/>
              <w:marRight w:val="0"/>
              <w:marTop w:val="0"/>
              <w:marBottom w:val="0"/>
              <w:divBdr>
                <w:top w:val="none" w:sz="0" w:space="0" w:color="auto"/>
                <w:left w:val="none" w:sz="0" w:space="0" w:color="auto"/>
                <w:bottom w:val="none" w:sz="0" w:space="0" w:color="auto"/>
                <w:right w:val="none" w:sz="0" w:space="0" w:color="auto"/>
              </w:divBdr>
            </w:div>
            <w:div w:id="504977824">
              <w:marLeft w:val="0"/>
              <w:marRight w:val="0"/>
              <w:marTop w:val="0"/>
              <w:marBottom w:val="0"/>
              <w:divBdr>
                <w:top w:val="none" w:sz="0" w:space="0" w:color="auto"/>
                <w:left w:val="none" w:sz="0" w:space="0" w:color="auto"/>
                <w:bottom w:val="none" w:sz="0" w:space="0" w:color="auto"/>
                <w:right w:val="none" w:sz="0" w:space="0" w:color="auto"/>
              </w:divBdr>
            </w:div>
            <w:div w:id="2079083764">
              <w:marLeft w:val="0"/>
              <w:marRight w:val="0"/>
              <w:marTop w:val="0"/>
              <w:marBottom w:val="0"/>
              <w:divBdr>
                <w:top w:val="none" w:sz="0" w:space="0" w:color="auto"/>
                <w:left w:val="none" w:sz="0" w:space="0" w:color="auto"/>
                <w:bottom w:val="none" w:sz="0" w:space="0" w:color="auto"/>
                <w:right w:val="none" w:sz="0" w:space="0" w:color="auto"/>
              </w:divBdr>
            </w:div>
            <w:div w:id="1440175605">
              <w:marLeft w:val="0"/>
              <w:marRight w:val="0"/>
              <w:marTop w:val="0"/>
              <w:marBottom w:val="0"/>
              <w:divBdr>
                <w:top w:val="none" w:sz="0" w:space="0" w:color="auto"/>
                <w:left w:val="none" w:sz="0" w:space="0" w:color="auto"/>
                <w:bottom w:val="none" w:sz="0" w:space="0" w:color="auto"/>
                <w:right w:val="none" w:sz="0" w:space="0" w:color="auto"/>
              </w:divBdr>
            </w:div>
            <w:div w:id="719519972">
              <w:marLeft w:val="0"/>
              <w:marRight w:val="0"/>
              <w:marTop w:val="0"/>
              <w:marBottom w:val="0"/>
              <w:divBdr>
                <w:top w:val="none" w:sz="0" w:space="0" w:color="auto"/>
                <w:left w:val="none" w:sz="0" w:space="0" w:color="auto"/>
                <w:bottom w:val="none" w:sz="0" w:space="0" w:color="auto"/>
                <w:right w:val="none" w:sz="0" w:space="0" w:color="auto"/>
              </w:divBdr>
            </w:div>
            <w:div w:id="694572433">
              <w:marLeft w:val="0"/>
              <w:marRight w:val="0"/>
              <w:marTop w:val="0"/>
              <w:marBottom w:val="0"/>
              <w:divBdr>
                <w:top w:val="none" w:sz="0" w:space="0" w:color="auto"/>
                <w:left w:val="none" w:sz="0" w:space="0" w:color="auto"/>
                <w:bottom w:val="none" w:sz="0" w:space="0" w:color="auto"/>
                <w:right w:val="none" w:sz="0" w:space="0" w:color="auto"/>
              </w:divBdr>
            </w:div>
            <w:div w:id="940068402">
              <w:marLeft w:val="0"/>
              <w:marRight w:val="0"/>
              <w:marTop w:val="0"/>
              <w:marBottom w:val="0"/>
              <w:divBdr>
                <w:top w:val="none" w:sz="0" w:space="0" w:color="auto"/>
                <w:left w:val="none" w:sz="0" w:space="0" w:color="auto"/>
                <w:bottom w:val="none" w:sz="0" w:space="0" w:color="auto"/>
                <w:right w:val="none" w:sz="0" w:space="0" w:color="auto"/>
              </w:divBdr>
            </w:div>
            <w:div w:id="1951204291">
              <w:marLeft w:val="0"/>
              <w:marRight w:val="0"/>
              <w:marTop w:val="0"/>
              <w:marBottom w:val="0"/>
              <w:divBdr>
                <w:top w:val="none" w:sz="0" w:space="0" w:color="auto"/>
                <w:left w:val="none" w:sz="0" w:space="0" w:color="auto"/>
                <w:bottom w:val="none" w:sz="0" w:space="0" w:color="auto"/>
                <w:right w:val="none" w:sz="0" w:space="0" w:color="auto"/>
              </w:divBdr>
            </w:div>
            <w:div w:id="1454980248">
              <w:marLeft w:val="0"/>
              <w:marRight w:val="0"/>
              <w:marTop w:val="0"/>
              <w:marBottom w:val="0"/>
              <w:divBdr>
                <w:top w:val="none" w:sz="0" w:space="0" w:color="auto"/>
                <w:left w:val="none" w:sz="0" w:space="0" w:color="auto"/>
                <w:bottom w:val="none" w:sz="0" w:space="0" w:color="auto"/>
                <w:right w:val="none" w:sz="0" w:space="0" w:color="auto"/>
              </w:divBdr>
            </w:div>
            <w:div w:id="468665223">
              <w:marLeft w:val="0"/>
              <w:marRight w:val="0"/>
              <w:marTop w:val="0"/>
              <w:marBottom w:val="0"/>
              <w:divBdr>
                <w:top w:val="none" w:sz="0" w:space="0" w:color="auto"/>
                <w:left w:val="none" w:sz="0" w:space="0" w:color="auto"/>
                <w:bottom w:val="none" w:sz="0" w:space="0" w:color="auto"/>
                <w:right w:val="none" w:sz="0" w:space="0" w:color="auto"/>
              </w:divBdr>
            </w:div>
            <w:div w:id="946737528">
              <w:marLeft w:val="0"/>
              <w:marRight w:val="0"/>
              <w:marTop w:val="0"/>
              <w:marBottom w:val="0"/>
              <w:divBdr>
                <w:top w:val="none" w:sz="0" w:space="0" w:color="auto"/>
                <w:left w:val="none" w:sz="0" w:space="0" w:color="auto"/>
                <w:bottom w:val="none" w:sz="0" w:space="0" w:color="auto"/>
                <w:right w:val="none" w:sz="0" w:space="0" w:color="auto"/>
              </w:divBdr>
            </w:div>
            <w:div w:id="635643509">
              <w:marLeft w:val="0"/>
              <w:marRight w:val="0"/>
              <w:marTop w:val="0"/>
              <w:marBottom w:val="0"/>
              <w:divBdr>
                <w:top w:val="none" w:sz="0" w:space="0" w:color="auto"/>
                <w:left w:val="none" w:sz="0" w:space="0" w:color="auto"/>
                <w:bottom w:val="none" w:sz="0" w:space="0" w:color="auto"/>
                <w:right w:val="none" w:sz="0" w:space="0" w:color="auto"/>
              </w:divBdr>
            </w:div>
            <w:div w:id="1910261907">
              <w:marLeft w:val="0"/>
              <w:marRight w:val="0"/>
              <w:marTop w:val="0"/>
              <w:marBottom w:val="0"/>
              <w:divBdr>
                <w:top w:val="none" w:sz="0" w:space="0" w:color="auto"/>
                <w:left w:val="none" w:sz="0" w:space="0" w:color="auto"/>
                <w:bottom w:val="none" w:sz="0" w:space="0" w:color="auto"/>
                <w:right w:val="none" w:sz="0" w:space="0" w:color="auto"/>
              </w:divBdr>
            </w:div>
            <w:div w:id="1029338076">
              <w:marLeft w:val="0"/>
              <w:marRight w:val="0"/>
              <w:marTop w:val="0"/>
              <w:marBottom w:val="0"/>
              <w:divBdr>
                <w:top w:val="none" w:sz="0" w:space="0" w:color="auto"/>
                <w:left w:val="none" w:sz="0" w:space="0" w:color="auto"/>
                <w:bottom w:val="none" w:sz="0" w:space="0" w:color="auto"/>
                <w:right w:val="none" w:sz="0" w:space="0" w:color="auto"/>
              </w:divBdr>
            </w:div>
            <w:div w:id="1703509202">
              <w:marLeft w:val="0"/>
              <w:marRight w:val="0"/>
              <w:marTop w:val="0"/>
              <w:marBottom w:val="0"/>
              <w:divBdr>
                <w:top w:val="none" w:sz="0" w:space="0" w:color="auto"/>
                <w:left w:val="none" w:sz="0" w:space="0" w:color="auto"/>
                <w:bottom w:val="none" w:sz="0" w:space="0" w:color="auto"/>
                <w:right w:val="none" w:sz="0" w:space="0" w:color="auto"/>
              </w:divBdr>
            </w:div>
            <w:div w:id="894122258">
              <w:marLeft w:val="0"/>
              <w:marRight w:val="0"/>
              <w:marTop w:val="0"/>
              <w:marBottom w:val="0"/>
              <w:divBdr>
                <w:top w:val="none" w:sz="0" w:space="0" w:color="auto"/>
                <w:left w:val="none" w:sz="0" w:space="0" w:color="auto"/>
                <w:bottom w:val="none" w:sz="0" w:space="0" w:color="auto"/>
                <w:right w:val="none" w:sz="0" w:space="0" w:color="auto"/>
              </w:divBdr>
            </w:div>
            <w:div w:id="20710980">
              <w:marLeft w:val="0"/>
              <w:marRight w:val="0"/>
              <w:marTop w:val="0"/>
              <w:marBottom w:val="0"/>
              <w:divBdr>
                <w:top w:val="none" w:sz="0" w:space="0" w:color="auto"/>
                <w:left w:val="none" w:sz="0" w:space="0" w:color="auto"/>
                <w:bottom w:val="none" w:sz="0" w:space="0" w:color="auto"/>
                <w:right w:val="none" w:sz="0" w:space="0" w:color="auto"/>
              </w:divBdr>
            </w:div>
            <w:div w:id="1669166095">
              <w:marLeft w:val="0"/>
              <w:marRight w:val="0"/>
              <w:marTop w:val="0"/>
              <w:marBottom w:val="0"/>
              <w:divBdr>
                <w:top w:val="none" w:sz="0" w:space="0" w:color="auto"/>
                <w:left w:val="none" w:sz="0" w:space="0" w:color="auto"/>
                <w:bottom w:val="none" w:sz="0" w:space="0" w:color="auto"/>
                <w:right w:val="none" w:sz="0" w:space="0" w:color="auto"/>
              </w:divBdr>
            </w:div>
            <w:div w:id="276957152">
              <w:marLeft w:val="0"/>
              <w:marRight w:val="0"/>
              <w:marTop w:val="0"/>
              <w:marBottom w:val="0"/>
              <w:divBdr>
                <w:top w:val="none" w:sz="0" w:space="0" w:color="auto"/>
                <w:left w:val="none" w:sz="0" w:space="0" w:color="auto"/>
                <w:bottom w:val="none" w:sz="0" w:space="0" w:color="auto"/>
                <w:right w:val="none" w:sz="0" w:space="0" w:color="auto"/>
              </w:divBdr>
            </w:div>
            <w:div w:id="696850730">
              <w:marLeft w:val="0"/>
              <w:marRight w:val="0"/>
              <w:marTop w:val="0"/>
              <w:marBottom w:val="0"/>
              <w:divBdr>
                <w:top w:val="none" w:sz="0" w:space="0" w:color="auto"/>
                <w:left w:val="none" w:sz="0" w:space="0" w:color="auto"/>
                <w:bottom w:val="none" w:sz="0" w:space="0" w:color="auto"/>
                <w:right w:val="none" w:sz="0" w:space="0" w:color="auto"/>
              </w:divBdr>
            </w:div>
            <w:div w:id="1809318970">
              <w:marLeft w:val="0"/>
              <w:marRight w:val="0"/>
              <w:marTop w:val="0"/>
              <w:marBottom w:val="0"/>
              <w:divBdr>
                <w:top w:val="none" w:sz="0" w:space="0" w:color="auto"/>
                <w:left w:val="none" w:sz="0" w:space="0" w:color="auto"/>
                <w:bottom w:val="none" w:sz="0" w:space="0" w:color="auto"/>
                <w:right w:val="none" w:sz="0" w:space="0" w:color="auto"/>
              </w:divBdr>
            </w:div>
            <w:div w:id="906455125">
              <w:marLeft w:val="0"/>
              <w:marRight w:val="0"/>
              <w:marTop w:val="0"/>
              <w:marBottom w:val="0"/>
              <w:divBdr>
                <w:top w:val="none" w:sz="0" w:space="0" w:color="auto"/>
                <w:left w:val="none" w:sz="0" w:space="0" w:color="auto"/>
                <w:bottom w:val="none" w:sz="0" w:space="0" w:color="auto"/>
                <w:right w:val="none" w:sz="0" w:space="0" w:color="auto"/>
              </w:divBdr>
            </w:div>
            <w:div w:id="871529339">
              <w:marLeft w:val="0"/>
              <w:marRight w:val="0"/>
              <w:marTop w:val="0"/>
              <w:marBottom w:val="0"/>
              <w:divBdr>
                <w:top w:val="none" w:sz="0" w:space="0" w:color="auto"/>
                <w:left w:val="none" w:sz="0" w:space="0" w:color="auto"/>
                <w:bottom w:val="none" w:sz="0" w:space="0" w:color="auto"/>
                <w:right w:val="none" w:sz="0" w:space="0" w:color="auto"/>
              </w:divBdr>
            </w:div>
            <w:div w:id="1527672753">
              <w:marLeft w:val="0"/>
              <w:marRight w:val="0"/>
              <w:marTop w:val="0"/>
              <w:marBottom w:val="0"/>
              <w:divBdr>
                <w:top w:val="none" w:sz="0" w:space="0" w:color="auto"/>
                <w:left w:val="none" w:sz="0" w:space="0" w:color="auto"/>
                <w:bottom w:val="none" w:sz="0" w:space="0" w:color="auto"/>
                <w:right w:val="none" w:sz="0" w:space="0" w:color="auto"/>
              </w:divBdr>
            </w:div>
            <w:div w:id="1960838559">
              <w:marLeft w:val="0"/>
              <w:marRight w:val="0"/>
              <w:marTop w:val="0"/>
              <w:marBottom w:val="0"/>
              <w:divBdr>
                <w:top w:val="none" w:sz="0" w:space="0" w:color="auto"/>
                <w:left w:val="none" w:sz="0" w:space="0" w:color="auto"/>
                <w:bottom w:val="none" w:sz="0" w:space="0" w:color="auto"/>
                <w:right w:val="none" w:sz="0" w:space="0" w:color="auto"/>
              </w:divBdr>
            </w:div>
            <w:div w:id="466821324">
              <w:marLeft w:val="0"/>
              <w:marRight w:val="0"/>
              <w:marTop w:val="0"/>
              <w:marBottom w:val="0"/>
              <w:divBdr>
                <w:top w:val="none" w:sz="0" w:space="0" w:color="auto"/>
                <w:left w:val="none" w:sz="0" w:space="0" w:color="auto"/>
                <w:bottom w:val="none" w:sz="0" w:space="0" w:color="auto"/>
                <w:right w:val="none" w:sz="0" w:space="0" w:color="auto"/>
              </w:divBdr>
            </w:div>
            <w:div w:id="1052316112">
              <w:marLeft w:val="0"/>
              <w:marRight w:val="0"/>
              <w:marTop w:val="0"/>
              <w:marBottom w:val="0"/>
              <w:divBdr>
                <w:top w:val="none" w:sz="0" w:space="0" w:color="auto"/>
                <w:left w:val="none" w:sz="0" w:space="0" w:color="auto"/>
                <w:bottom w:val="none" w:sz="0" w:space="0" w:color="auto"/>
                <w:right w:val="none" w:sz="0" w:space="0" w:color="auto"/>
              </w:divBdr>
            </w:div>
            <w:div w:id="1709330565">
              <w:marLeft w:val="0"/>
              <w:marRight w:val="0"/>
              <w:marTop w:val="0"/>
              <w:marBottom w:val="0"/>
              <w:divBdr>
                <w:top w:val="none" w:sz="0" w:space="0" w:color="auto"/>
                <w:left w:val="none" w:sz="0" w:space="0" w:color="auto"/>
                <w:bottom w:val="none" w:sz="0" w:space="0" w:color="auto"/>
                <w:right w:val="none" w:sz="0" w:space="0" w:color="auto"/>
              </w:divBdr>
            </w:div>
            <w:div w:id="271253551">
              <w:marLeft w:val="0"/>
              <w:marRight w:val="0"/>
              <w:marTop w:val="0"/>
              <w:marBottom w:val="0"/>
              <w:divBdr>
                <w:top w:val="none" w:sz="0" w:space="0" w:color="auto"/>
                <w:left w:val="none" w:sz="0" w:space="0" w:color="auto"/>
                <w:bottom w:val="none" w:sz="0" w:space="0" w:color="auto"/>
                <w:right w:val="none" w:sz="0" w:space="0" w:color="auto"/>
              </w:divBdr>
            </w:div>
            <w:div w:id="307636501">
              <w:marLeft w:val="0"/>
              <w:marRight w:val="0"/>
              <w:marTop w:val="0"/>
              <w:marBottom w:val="0"/>
              <w:divBdr>
                <w:top w:val="none" w:sz="0" w:space="0" w:color="auto"/>
                <w:left w:val="none" w:sz="0" w:space="0" w:color="auto"/>
                <w:bottom w:val="none" w:sz="0" w:space="0" w:color="auto"/>
                <w:right w:val="none" w:sz="0" w:space="0" w:color="auto"/>
              </w:divBdr>
            </w:div>
            <w:div w:id="329677156">
              <w:marLeft w:val="0"/>
              <w:marRight w:val="0"/>
              <w:marTop w:val="0"/>
              <w:marBottom w:val="0"/>
              <w:divBdr>
                <w:top w:val="none" w:sz="0" w:space="0" w:color="auto"/>
                <w:left w:val="none" w:sz="0" w:space="0" w:color="auto"/>
                <w:bottom w:val="none" w:sz="0" w:space="0" w:color="auto"/>
                <w:right w:val="none" w:sz="0" w:space="0" w:color="auto"/>
              </w:divBdr>
            </w:div>
            <w:div w:id="4021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64498789">
      <w:bodyDiv w:val="1"/>
      <w:marLeft w:val="0"/>
      <w:marRight w:val="0"/>
      <w:marTop w:val="0"/>
      <w:marBottom w:val="0"/>
      <w:divBdr>
        <w:top w:val="none" w:sz="0" w:space="0" w:color="auto"/>
        <w:left w:val="none" w:sz="0" w:space="0" w:color="auto"/>
        <w:bottom w:val="none" w:sz="0" w:space="0" w:color="auto"/>
        <w:right w:val="none" w:sz="0" w:space="0" w:color="auto"/>
      </w:divBdr>
      <w:divsChild>
        <w:div w:id="1499465868">
          <w:marLeft w:val="480"/>
          <w:marRight w:val="0"/>
          <w:marTop w:val="0"/>
          <w:marBottom w:val="0"/>
          <w:divBdr>
            <w:top w:val="none" w:sz="0" w:space="0" w:color="auto"/>
            <w:left w:val="none" w:sz="0" w:space="0" w:color="auto"/>
            <w:bottom w:val="none" w:sz="0" w:space="0" w:color="auto"/>
            <w:right w:val="none" w:sz="0" w:space="0" w:color="auto"/>
          </w:divBdr>
          <w:divsChild>
            <w:div w:id="401565789">
              <w:marLeft w:val="0"/>
              <w:marRight w:val="0"/>
              <w:marTop w:val="0"/>
              <w:marBottom w:val="0"/>
              <w:divBdr>
                <w:top w:val="none" w:sz="0" w:space="0" w:color="auto"/>
                <w:left w:val="none" w:sz="0" w:space="0" w:color="auto"/>
                <w:bottom w:val="none" w:sz="0" w:space="0" w:color="auto"/>
                <w:right w:val="none" w:sz="0" w:space="0" w:color="auto"/>
              </w:divBdr>
            </w:div>
            <w:div w:id="1416434847">
              <w:marLeft w:val="0"/>
              <w:marRight w:val="0"/>
              <w:marTop w:val="0"/>
              <w:marBottom w:val="0"/>
              <w:divBdr>
                <w:top w:val="none" w:sz="0" w:space="0" w:color="auto"/>
                <w:left w:val="none" w:sz="0" w:space="0" w:color="auto"/>
                <w:bottom w:val="none" w:sz="0" w:space="0" w:color="auto"/>
                <w:right w:val="none" w:sz="0" w:space="0" w:color="auto"/>
              </w:divBdr>
            </w:div>
            <w:div w:id="575288713">
              <w:marLeft w:val="0"/>
              <w:marRight w:val="0"/>
              <w:marTop w:val="0"/>
              <w:marBottom w:val="0"/>
              <w:divBdr>
                <w:top w:val="none" w:sz="0" w:space="0" w:color="auto"/>
                <w:left w:val="none" w:sz="0" w:space="0" w:color="auto"/>
                <w:bottom w:val="none" w:sz="0" w:space="0" w:color="auto"/>
                <w:right w:val="none" w:sz="0" w:space="0" w:color="auto"/>
              </w:divBdr>
            </w:div>
            <w:div w:id="1884705464">
              <w:marLeft w:val="0"/>
              <w:marRight w:val="0"/>
              <w:marTop w:val="0"/>
              <w:marBottom w:val="0"/>
              <w:divBdr>
                <w:top w:val="none" w:sz="0" w:space="0" w:color="auto"/>
                <w:left w:val="none" w:sz="0" w:space="0" w:color="auto"/>
                <w:bottom w:val="none" w:sz="0" w:space="0" w:color="auto"/>
                <w:right w:val="none" w:sz="0" w:space="0" w:color="auto"/>
              </w:divBdr>
            </w:div>
            <w:div w:id="31349192">
              <w:marLeft w:val="0"/>
              <w:marRight w:val="0"/>
              <w:marTop w:val="0"/>
              <w:marBottom w:val="0"/>
              <w:divBdr>
                <w:top w:val="none" w:sz="0" w:space="0" w:color="auto"/>
                <w:left w:val="none" w:sz="0" w:space="0" w:color="auto"/>
                <w:bottom w:val="none" w:sz="0" w:space="0" w:color="auto"/>
                <w:right w:val="none" w:sz="0" w:space="0" w:color="auto"/>
              </w:divBdr>
            </w:div>
            <w:div w:id="1652638401">
              <w:marLeft w:val="0"/>
              <w:marRight w:val="0"/>
              <w:marTop w:val="0"/>
              <w:marBottom w:val="0"/>
              <w:divBdr>
                <w:top w:val="none" w:sz="0" w:space="0" w:color="auto"/>
                <w:left w:val="none" w:sz="0" w:space="0" w:color="auto"/>
                <w:bottom w:val="none" w:sz="0" w:space="0" w:color="auto"/>
                <w:right w:val="none" w:sz="0" w:space="0" w:color="auto"/>
              </w:divBdr>
            </w:div>
            <w:div w:id="2022849548">
              <w:marLeft w:val="0"/>
              <w:marRight w:val="0"/>
              <w:marTop w:val="0"/>
              <w:marBottom w:val="0"/>
              <w:divBdr>
                <w:top w:val="none" w:sz="0" w:space="0" w:color="auto"/>
                <w:left w:val="none" w:sz="0" w:space="0" w:color="auto"/>
                <w:bottom w:val="none" w:sz="0" w:space="0" w:color="auto"/>
                <w:right w:val="none" w:sz="0" w:space="0" w:color="auto"/>
              </w:divBdr>
            </w:div>
            <w:div w:id="624312882">
              <w:marLeft w:val="0"/>
              <w:marRight w:val="0"/>
              <w:marTop w:val="0"/>
              <w:marBottom w:val="0"/>
              <w:divBdr>
                <w:top w:val="none" w:sz="0" w:space="0" w:color="auto"/>
                <w:left w:val="none" w:sz="0" w:space="0" w:color="auto"/>
                <w:bottom w:val="none" w:sz="0" w:space="0" w:color="auto"/>
                <w:right w:val="none" w:sz="0" w:space="0" w:color="auto"/>
              </w:divBdr>
            </w:div>
            <w:div w:id="632758009">
              <w:marLeft w:val="0"/>
              <w:marRight w:val="0"/>
              <w:marTop w:val="0"/>
              <w:marBottom w:val="0"/>
              <w:divBdr>
                <w:top w:val="none" w:sz="0" w:space="0" w:color="auto"/>
                <w:left w:val="none" w:sz="0" w:space="0" w:color="auto"/>
                <w:bottom w:val="none" w:sz="0" w:space="0" w:color="auto"/>
                <w:right w:val="none" w:sz="0" w:space="0" w:color="auto"/>
              </w:divBdr>
            </w:div>
            <w:div w:id="1090397022">
              <w:marLeft w:val="0"/>
              <w:marRight w:val="0"/>
              <w:marTop w:val="0"/>
              <w:marBottom w:val="0"/>
              <w:divBdr>
                <w:top w:val="none" w:sz="0" w:space="0" w:color="auto"/>
                <w:left w:val="none" w:sz="0" w:space="0" w:color="auto"/>
                <w:bottom w:val="none" w:sz="0" w:space="0" w:color="auto"/>
                <w:right w:val="none" w:sz="0" w:space="0" w:color="auto"/>
              </w:divBdr>
            </w:div>
            <w:div w:id="1329599862">
              <w:marLeft w:val="0"/>
              <w:marRight w:val="0"/>
              <w:marTop w:val="0"/>
              <w:marBottom w:val="0"/>
              <w:divBdr>
                <w:top w:val="none" w:sz="0" w:space="0" w:color="auto"/>
                <w:left w:val="none" w:sz="0" w:space="0" w:color="auto"/>
                <w:bottom w:val="none" w:sz="0" w:space="0" w:color="auto"/>
                <w:right w:val="none" w:sz="0" w:space="0" w:color="auto"/>
              </w:divBdr>
            </w:div>
            <w:div w:id="1715347395">
              <w:marLeft w:val="0"/>
              <w:marRight w:val="0"/>
              <w:marTop w:val="0"/>
              <w:marBottom w:val="0"/>
              <w:divBdr>
                <w:top w:val="none" w:sz="0" w:space="0" w:color="auto"/>
                <w:left w:val="none" w:sz="0" w:space="0" w:color="auto"/>
                <w:bottom w:val="none" w:sz="0" w:space="0" w:color="auto"/>
                <w:right w:val="none" w:sz="0" w:space="0" w:color="auto"/>
              </w:divBdr>
            </w:div>
            <w:div w:id="314064948">
              <w:marLeft w:val="0"/>
              <w:marRight w:val="0"/>
              <w:marTop w:val="0"/>
              <w:marBottom w:val="0"/>
              <w:divBdr>
                <w:top w:val="none" w:sz="0" w:space="0" w:color="auto"/>
                <w:left w:val="none" w:sz="0" w:space="0" w:color="auto"/>
                <w:bottom w:val="none" w:sz="0" w:space="0" w:color="auto"/>
                <w:right w:val="none" w:sz="0" w:space="0" w:color="auto"/>
              </w:divBdr>
            </w:div>
            <w:div w:id="380445185">
              <w:marLeft w:val="0"/>
              <w:marRight w:val="0"/>
              <w:marTop w:val="0"/>
              <w:marBottom w:val="0"/>
              <w:divBdr>
                <w:top w:val="none" w:sz="0" w:space="0" w:color="auto"/>
                <w:left w:val="none" w:sz="0" w:space="0" w:color="auto"/>
                <w:bottom w:val="none" w:sz="0" w:space="0" w:color="auto"/>
                <w:right w:val="none" w:sz="0" w:space="0" w:color="auto"/>
              </w:divBdr>
            </w:div>
            <w:div w:id="1786099">
              <w:marLeft w:val="0"/>
              <w:marRight w:val="0"/>
              <w:marTop w:val="0"/>
              <w:marBottom w:val="0"/>
              <w:divBdr>
                <w:top w:val="none" w:sz="0" w:space="0" w:color="auto"/>
                <w:left w:val="none" w:sz="0" w:space="0" w:color="auto"/>
                <w:bottom w:val="none" w:sz="0" w:space="0" w:color="auto"/>
                <w:right w:val="none" w:sz="0" w:space="0" w:color="auto"/>
              </w:divBdr>
            </w:div>
            <w:div w:id="1402677593">
              <w:marLeft w:val="0"/>
              <w:marRight w:val="0"/>
              <w:marTop w:val="0"/>
              <w:marBottom w:val="0"/>
              <w:divBdr>
                <w:top w:val="none" w:sz="0" w:space="0" w:color="auto"/>
                <w:left w:val="none" w:sz="0" w:space="0" w:color="auto"/>
                <w:bottom w:val="none" w:sz="0" w:space="0" w:color="auto"/>
                <w:right w:val="none" w:sz="0" w:space="0" w:color="auto"/>
              </w:divBdr>
            </w:div>
            <w:div w:id="1051616468">
              <w:marLeft w:val="0"/>
              <w:marRight w:val="0"/>
              <w:marTop w:val="0"/>
              <w:marBottom w:val="0"/>
              <w:divBdr>
                <w:top w:val="none" w:sz="0" w:space="0" w:color="auto"/>
                <w:left w:val="none" w:sz="0" w:space="0" w:color="auto"/>
                <w:bottom w:val="none" w:sz="0" w:space="0" w:color="auto"/>
                <w:right w:val="none" w:sz="0" w:space="0" w:color="auto"/>
              </w:divBdr>
            </w:div>
            <w:div w:id="1367297561">
              <w:marLeft w:val="0"/>
              <w:marRight w:val="0"/>
              <w:marTop w:val="0"/>
              <w:marBottom w:val="0"/>
              <w:divBdr>
                <w:top w:val="none" w:sz="0" w:space="0" w:color="auto"/>
                <w:left w:val="none" w:sz="0" w:space="0" w:color="auto"/>
                <w:bottom w:val="none" w:sz="0" w:space="0" w:color="auto"/>
                <w:right w:val="none" w:sz="0" w:space="0" w:color="auto"/>
              </w:divBdr>
            </w:div>
            <w:div w:id="761683000">
              <w:marLeft w:val="0"/>
              <w:marRight w:val="0"/>
              <w:marTop w:val="0"/>
              <w:marBottom w:val="0"/>
              <w:divBdr>
                <w:top w:val="none" w:sz="0" w:space="0" w:color="auto"/>
                <w:left w:val="none" w:sz="0" w:space="0" w:color="auto"/>
                <w:bottom w:val="none" w:sz="0" w:space="0" w:color="auto"/>
                <w:right w:val="none" w:sz="0" w:space="0" w:color="auto"/>
              </w:divBdr>
            </w:div>
            <w:div w:id="1743676403">
              <w:marLeft w:val="0"/>
              <w:marRight w:val="0"/>
              <w:marTop w:val="0"/>
              <w:marBottom w:val="0"/>
              <w:divBdr>
                <w:top w:val="none" w:sz="0" w:space="0" w:color="auto"/>
                <w:left w:val="none" w:sz="0" w:space="0" w:color="auto"/>
                <w:bottom w:val="none" w:sz="0" w:space="0" w:color="auto"/>
                <w:right w:val="none" w:sz="0" w:space="0" w:color="auto"/>
              </w:divBdr>
            </w:div>
            <w:div w:id="264312142">
              <w:marLeft w:val="0"/>
              <w:marRight w:val="0"/>
              <w:marTop w:val="0"/>
              <w:marBottom w:val="0"/>
              <w:divBdr>
                <w:top w:val="none" w:sz="0" w:space="0" w:color="auto"/>
                <w:left w:val="none" w:sz="0" w:space="0" w:color="auto"/>
                <w:bottom w:val="none" w:sz="0" w:space="0" w:color="auto"/>
                <w:right w:val="none" w:sz="0" w:space="0" w:color="auto"/>
              </w:divBdr>
            </w:div>
            <w:div w:id="1829394886">
              <w:marLeft w:val="0"/>
              <w:marRight w:val="0"/>
              <w:marTop w:val="0"/>
              <w:marBottom w:val="0"/>
              <w:divBdr>
                <w:top w:val="none" w:sz="0" w:space="0" w:color="auto"/>
                <w:left w:val="none" w:sz="0" w:space="0" w:color="auto"/>
                <w:bottom w:val="none" w:sz="0" w:space="0" w:color="auto"/>
                <w:right w:val="none" w:sz="0" w:space="0" w:color="auto"/>
              </w:divBdr>
            </w:div>
            <w:div w:id="731930242">
              <w:marLeft w:val="0"/>
              <w:marRight w:val="0"/>
              <w:marTop w:val="0"/>
              <w:marBottom w:val="0"/>
              <w:divBdr>
                <w:top w:val="none" w:sz="0" w:space="0" w:color="auto"/>
                <w:left w:val="none" w:sz="0" w:space="0" w:color="auto"/>
                <w:bottom w:val="none" w:sz="0" w:space="0" w:color="auto"/>
                <w:right w:val="none" w:sz="0" w:space="0" w:color="auto"/>
              </w:divBdr>
            </w:div>
            <w:div w:id="1395468916">
              <w:marLeft w:val="0"/>
              <w:marRight w:val="0"/>
              <w:marTop w:val="0"/>
              <w:marBottom w:val="0"/>
              <w:divBdr>
                <w:top w:val="none" w:sz="0" w:space="0" w:color="auto"/>
                <w:left w:val="none" w:sz="0" w:space="0" w:color="auto"/>
                <w:bottom w:val="none" w:sz="0" w:space="0" w:color="auto"/>
                <w:right w:val="none" w:sz="0" w:space="0" w:color="auto"/>
              </w:divBdr>
            </w:div>
            <w:div w:id="1180004393">
              <w:marLeft w:val="0"/>
              <w:marRight w:val="0"/>
              <w:marTop w:val="0"/>
              <w:marBottom w:val="0"/>
              <w:divBdr>
                <w:top w:val="none" w:sz="0" w:space="0" w:color="auto"/>
                <w:left w:val="none" w:sz="0" w:space="0" w:color="auto"/>
                <w:bottom w:val="none" w:sz="0" w:space="0" w:color="auto"/>
                <w:right w:val="none" w:sz="0" w:space="0" w:color="auto"/>
              </w:divBdr>
            </w:div>
            <w:div w:id="112556840">
              <w:marLeft w:val="0"/>
              <w:marRight w:val="0"/>
              <w:marTop w:val="0"/>
              <w:marBottom w:val="0"/>
              <w:divBdr>
                <w:top w:val="none" w:sz="0" w:space="0" w:color="auto"/>
                <w:left w:val="none" w:sz="0" w:space="0" w:color="auto"/>
                <w:bottom w:val="none" w:sz="0" w:space="0" w:color="auto"/>
                <w:right w:val="none" w:sz="0" w:space="0" w:color="auto"/>
              </w:divBdr>
            </w:div>
            <w:div w:id="1322463370">
              <w:marLeft w:val="0"/>
              <w:marRight w:val="0"/>
              <w:marTop w:val="0"/>
              <w:marBottom w:val="0"/>
              <w:divBdr>
                <w:top w:val="none" w:sz="0" w:space="0" w:color="auto"/>
                <w:left w:val="none" w:sz="0" w:space="0" w:color="auto"/>
                <w:bottom w:val="none" w:sz="0" w:space="0" w:color="auto"/>
                <w:right w:val="none" w:sz="0" w:space="0" w:color="auto"/>
              </w:divBdr>
            </w:div>
            <w:div w:id="875702324">
              <w:marLeft w:val="0"/>
              <w:marRight w:val="0"/>
              <w:marTop w:val="0"/>
              <w:marBottom w:val="0"/>
              <w:divBdr>
                <w:top w:val="none" w:sz="0" w:space="0" w:color="auto"/>
                <w:left w:val="none" w:sz="0" w:space="0" w:color="auto"/>
                <w:bottom w:val="none" w:sz="0" w:space="0" w:color="auto"/>
                <w:right w:val="none" w:sz="0" w:space="0" w:color="auto"/>
              </w:divBdr>
            </w:div>
            <w:div w:id="1458253795">
              <w:marLeft w:val="0"/>
              <w:marRight w:val="0"/>
              <w:marTop w:val="0"/>
              <w:marBottom w:val="0"/>
              <w:divBdr>
                <w:top w:val="none" w:sz="0" w:space="0" w:color="auto"/>
                <w:left w:val="none" w:sz="0" w:space="0" w:color="auto"/>
                <w:bottom w:val="none" w:sz="0" w:space="0" w:color="auto"/>
                <w:right w:val="none" w:sz="0" w:space="0" w:color="auto"/>
              </w:divBdr>
            </w:div>
            <w:div w:id="582763787">
              <w:marLeft w:val="0"/>
              <w:marRight w:val="0"/>
              <w:marTop w:val="0"/>
              <w:marBottom w:val="0"/>
              <w:divBdr>
                <w:top w:val="none" w:sz="0" w:space="0" w:color="auto"/>
                <w:left w:val="none" w:sz="0" w:space="0" w:color="auto"/>
                <w:bottom w:val="none" w:sz="0" w:space="0" w:color="auto"/>
                <w:right w:val="none" w:sz="0" w:space="0" w:color="auto"/>
              </w:divBdr>
            </w:div>
            <w:div w:id="1474910326">
              <w:marLeft w:val="0"/>
              <w:marRight w:val="0"/>
              <w:marTop w:val="0"/>
              <w:marBottom w:val="0"/>
              <w:divBdr>
                <w:top w:val="none" w:sz="0" w:space="0" w:color="auto"/>
                <w:left w:val="none" w:sz="0" w:space="0" w:color="auto"/>
                <w:bottom w:val="none" w:sz="0" w:space="0" w:color="auto"/>
                <w:right w:val="none" w:sz="0" w:space="0" w:color="auto"/>
              </w:divBdr>
            </w:div>
            <w:div w:id="1273200466">
              <w:marLeft w:val="0"/>
              <w:marRight w:val="0"/>
              <w:marTop w:val="0"/>
              <w:marBottom w:val="0"/>
              <w:divBdr>
                <w:top w:val="none" w:sz="0" w:space="0" w:color="auto"/>
                <w:left w:val="none" w:sz="0" w:space="0" w:color="auto"/>
                <w:bottom w:val="none" w:sz="0" w:space="0" w:color="auto"/>
                <w:right w:val="none" w:sz="0" w:space="0" w:color="auto"/>
              </w:divBdr>
            </w:div>
            <w:div w:id="145630780">
              <w:marLeft w:val="0"/>
              <w:marRight w:val="0"/>
              <w:marTop w:val="0"/>
              <w:marBottom w:val="0"/>
              <w:divBdr>
                <w:top w:val="none" w:sz="0" w:space="0" w:color="auto"/>
                <w:left w:val="none" w:sz="0" w:space="0" w:color="auto"/>
                <w:bottom w:val="none" w:sz="0" w:space="0" w:color="auto"/>
                <w:right w:val="none" w:sz="0" w:space="0" w:color="auto"/>
              </w:divBdr>
            </w:div>
            <w:div w:id="1841460436">
              <w:marLeft w:val="0"/>
              <w:marRight w:val="0"/>
              <w:marTop w:val="0"/>
              <w:marBottom w:val="0"/>
              <w:divBdr>
                <w:top w:val="none" w:sz="0" w:space="0" w:color="auto"/>
                <w:left w:val="none" w:sz="0" w:space="0" w:color="auto"/>
                <w:bottom w:val="none" w:sz="0" w:space="0" w:color="auto"/>
                <w:right w:val="none" w:sz="0" w:space="0" w:color="auto"/>
              </w:divBdr>
            </w:div>
            <w:div w:id="3056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6624">
      <w:bodyDiv w:val="1"/>
      <w:marLeft w:val="0"/>
      <w:marRight w:val="0"/>
      <w:marTop w:val="0"/>
      <w:marBottom w:val="0"/>
      <w:divBdr>
        <w:top w:val="none" w:sz="0" w:space="0" w:color="auto"/>
        <w:left w:val="none" w:sz="0" w:space="0" w:color="auto"/>
        <w:bottom w:val="none" w:sz="0" w:space="0" w:color="auto"/>
        <w:right w:val="none" w:sz="0" w:space="0" w:color="auto"/>
      </w:divBdr>
      <w:divsChild>
        <w:div w:id="785395628">
          <w:marLeft w:val="0"/>
          <w:marRight w:val="0"/>
          <w:marTop w:val="0"/>
          <w:marBottom w:val="0"/>
          <w:divBdr>
            <w:top w:val="none" w:sz="0" w:space="0" w:color="auto"/>
            <w:left w:val="none" w:sz="0" w:space="0" w:color="auto"/>
            <w:bottom w:val="none" w:sz="0" w:space="0" w:color="auto"/>
            <w:right w:val="none" w:sz="0" w:space="0" w:color="auto"/>
          </w:divBdr>
          <w:divsChild>
            <w:div w:id="1295259808">
              <w:marLeft w:val="0"/>
              <w:marRight w:val="0"/>
              <w:marTop w:val="0"/>
              <w:marBottom w:val="0"/>
              <w:divBdr>
                <w:top w:val="none" w:sz="0" w:space="0" w:color="auto"/>
                <w:left w:val="none" w:sz="0" w:space="0" w:color="auto"/>
                <w:bottom w:val="none" w:sz="0" w:space="0" w:color="auto"/>
                <w:right w:val="none" w:sz="0" w:space="0" w:color="auto"/>
              </w:divBdr>
              <w:divsChild>
                <w:div w:id="86934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801150122">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68138670">
      <w:bodyDiv w:val="1"/>
      <w:marLeft w:val="0"/>
      <w:marRight w:val="0"/>
      <w:marTop w:val="0"/>
      <w:marBottom w:val="0"/>
      <w:divBdr>
        <w:top w:val="none" w:sz="0" w:space="0" w:color="auto"/>
        <w:left w:val="none" w:sz="0" w:space="0" w:color="auto"/>
        <w:bottom w:val="none" w:sz="0" w:space="0" w:color="auto"/>
        <w:right w:val="none" w:sz="0" w:space="0" w:color="auto"/>
      </w:divBdr>
      <w:divsChild>
        <w:div w:id="1849831854">
          <w:marLeft w:val="0"/>
          <w:marRight w:val="0"/>
          <w:marTop w:val="0"/>
          <w:marBottom w:val="0"/>
          <w:divBdr>
            <w:top w:val="none" w:sz="0" w:space="0" w:color="auto"/>
            <w:left w:val="none" w:sz="0" w:space="0" w:color="auto"/>
            <w:bottom w:val="none" w:sz="0" w:space="0" w:color="auto"/>
            <w:right w:val="none" w:sz="0" w:space="0" w:color="auto"/>
          </w:divBdr>
          <w:divsChild>
            <w:div w:id="341132239">
              <w:marLeft w:val="0"/>
              <w:marRight w:val="0"/>
              <w:marTop w:val="0"/>
              <w:marBottom w:val="0"/>
              <w:divBdr>
                <w:top w:val="none" w:sz="0" w:space="0" w:color="auto"/>
                <w:left w:val="none" w:sz="0" w:space="0" w:color="auto"/>
                <w:bottom w:val="none" w:sz="0" w:space="0" w:color="auto"/>
                <w:right w:val="none" w:sz="0" w:space="0" w:color="auto"/>
              </w:divBdr>
              <w:divsChild>
                <w:div w:id="22402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drawdown.org" TargetMode="External"/><Relationship Id="rId18" Type="http://schemas.openxmlformats.org/officeDocument/2006/relationships/footer" Target="footer3.xml"/><Relationship Id="rId26" Type="http://schemas.openxmlformats.org/officeDocument/2006/relationships/hyperlink" Target="mailto:info@drawdown.org" TargetMode="External"/><Relationship Id="rId39" Type="http://schemas.openxmlformats.org/officeDocument/2006/relationships/hyperlink" Target="https://doi.org/10.1007/s10098-014-0757-0" TargetMode="External"/><Relationship Id="rId21" Type="http://schemas.openxmlformats.org/officeDocument/2006/relationships/hyperlink" Target="mailto:info@drawdown.org" TargetMode="External"/><Relationship Id="rId34" Type="http://schemas.openxmlformats.org/officeDocument/2006/relationships/hyperlink" Target="http://www.wbcsdcement.org/technology" TargetMode="External"/><Relationship Id="rId42" Type="http://schemas.openxmlformats.org/officeDocument/2006/relationships/hyperlink" Target="https://dir.indiamart.com/impcat/ambuja-cement.html" TargetMode="External"/><Relationship Id="rId47" Type="http://schemas.openxmlformats.org/officeDocument/2006/relationships/hyperlink" Target="https://nigerianprice.com/current-price-of-cement-in-nigeria-today/" TargetMode="External"/><Relationship Id="rId50" Type="http://schemas.openxmlformats.org/officeDocument/2006/relationships/hyperlink" Target="https://doi.org/10.1016/j.enbuild.2018.02.042" TargetMode="External"/><Relationship Id="rId55" Type="http://schemas.openxmlformats.org/officeDocument/2006/relationships/hyperlink" Target="https://doi.org/10.2172/927882"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4.emf"/><Relationship Id="rId11" Type="http://schemas.openxmlformats.org/officeDocument/2006/relationships/hyperlink" Target="http://www.drawdown.org" TargetMode="External"/><Relationship Id="rId32" Type="http://schemas.openxmlformats.org/officeDocument/2006/relationships/hyperlink" Target="https://doi.org/10.6028/NIST.TN.1812" TargetMode="External"/><Relationship Id="rId37" Type="http://schemas.openxmlformats.org/officeDocument/2006/relationships/hyperlink" Target="https://doi.org/10.1016/j.cemconres.2007.09.008" TargetMode="External"/><Relationship Id="rId40" Type="http://schemas.openxmlformats.org/officeDocument/2006/relationships/hyperlink" Target="http://www.ipcc-nggip.iges.or.jp/public/gp/bgp/3_1_Cement_Production.pdf" TargetMode="External"/><Relationship Id="rId45" Type="http://schemas.openxmlformats.org/officeDocument/2006/relationships/hyperlink" Target="https://doi.org/10.1520/JAI13637" TargetMode="External"/><Relationship Id="rId53" Type="http://schemas.openxmlformats.org/officeDocument/2006/relationships/hyperlink" Target="https://doi.org/10.1016/j.resconrec.2016.04.016" TargetMode="External"/><Relationship Id="rId58"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yperlink" Target="mailto:info@drawdown.org" TargetMode="External"/><Relationship Id="rId19" Type="http://schemas.openxmlformats.org/officeDocument/2006/relationships/hyperlink" Target="http://www.drawdown.org" TargetMode="External"/><Relationship Id="rId31" Type="http://schemas.openxmlformats.org/officeDocument/2006/relationships/hyperlink" Target="https://doi.org/10.1016/j.cemconres.2012.09.006" TargetMode="External"/><Relationship Id="rId44" Type="http://schemas.openxmlformats.org/officeDocument/2006/relationships/hyperlink" Target="https://doi.org/10.1016/B978-0-12-382243-7.00005-X" TargetMode="External"/><Relationship Id="rId52" Type="http://schemas.openxmlformats.org/officeDocument/2006/relationships/hyperlink" Target="http://dx.doi.org/10.3133/70140094"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drawdown.org" TargetMode="External"/><Relationship Id="rId22" Type="http://schemas.openxmlformats.org/officeDocument/2006/relationships/hyperlink" Target="http://www.drawdown.org" TargetMode="External"/><Relationship Id="rId27" Type="http://schemas.openxmlformats.org/officeDocument/2006/relationships/hyperlink" Target="http://www.drawdown.org" TargetMode="External"/><Relationship Id="rId30" Type="http://schemas.openxmlformats.org/officeDocument/2006/relationships/hyperlink" Target="https://www.alibaba.com/showroom/international-cement-prices.html" TargetMode="External"/><Relationship Id="rId35" Type="http://schemas.openxmlformats.org/officeDocument/2006/relationships/hyperlink" Target="https://www.cemex.co.uk/documents/45807659/45840198/mortar-cementitious.pdf/46571b2a-3efd-4743-20c8-d33feb1aed9d" TargetMode="External"/><Relationship Id="rId43" Type="http://schemas.openxmlformats.org/officeDocument/2006/relationships/hyperlink" Target="https://doi.org/10.3390/su8040403" TargetMode="External"/><Relationship Id="rId48" Type="http://schemas.openxmlformats.org/officeDocument/2006/relationships/hyperlink" Target="https://doi.org/10.1016/j.cemconres.2017.02.009" TargetMode="External"/><Relationship Id="rId56" Type="http://schemas.openxmlformats.org/officeDocument/2006/relationships/hyperlink" Target="https://doi.org/10.1038/ngeo2840" TargetMode="External"/><Relationship Id="rId8" Type="http://schemas.openxmlformats.org/officeDocument/2006/relationships/endnotes" Target="endnotes.xml"/><Relationship Id="rId51" Type="http://schemas.openxmlformats.org/officeDocument/2006/relationships/hyperlink" Target="http://www.cement.org/docs/default-source/fc_concrete_technology/is548-optimizing-the-use-of-fly-ash-concrete.pdf" TargetMode="External"/><Relationship Id="rId3" Type="http://schemas.openxmlformats.org/officeDocument/2006/relationships/numbering" Target="numbering.xml"/><Relationship Id="rId12" Type="http://schemas.openxmlformats.org/officeDocument/2006/relationships/image" Target="media/image10.jpg"/><Relationship Id="rId17" Type="http://schemas.openxmlformats.org/officeDocument/2006/relationships/image" Target="media/image2.emf"/><Relationship Id="rId33" Type="http://schemas.openxmlformats.org/officeDocument/2006/relationships/hyperlink" Target="https://doi.org/10.1520/C0595_C0595M-19" TargetMode="External"/><Relationship Id="rId38" Type="http://schemas.openxmlformats.org/officeDocument/2006/relationships/hyperlink" Target="https://doi.org/10.1016/j.jclepro.2019.01.226" TargetMode="External"/><Relationship Id="rId46" Type="http://schemas.openxmlformats.org/officeDocument/2006/relationships/hyperlink" Target="https://doi.org/10.1016/j.cemconres.2017.08.026" TargetMode="External"/><Relationship Id="rId20" Type="http://schemas.openxmlformats.org/officeDocument/2006/relationships/hyperlink" Target="http://www.drawdown.org" TargetMode="External"/><Relationship Id="rId41" Type="http://schemas.openxmlformats.org/officeDocument/2006/relationships/hyperlink" Target="https://webstore.iea.org/technology-roadmap-low-carbon-transition-in-the-cement-industry" TargetMode="External"/><Relationship Id="rId54" Type="http://schemas.openxmlformats.org/officeDocument/2006/relationships/hyperlink" Target="https://www.wbcsdcement.org/GNR-2016/"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1.xml"/><Relationship Id="rId28" Type="http://schemas.openxmlformats.org/officeDocument/2006/relationships/image" Target="media/image3.emf"/><Relationship Id="rId36" Type="http://schemas.openxmlformats.org/officeDocument/2006/relationships/hyperlink" Target="https://www.cwgrp.com/cemweek-features/497297-cement-prices-to-stabilize-in-1q-2018" TargetMode="External"/><Relationship Id="rId49" Type="http://schemas.openxmlformats.org/officeDocument/2006/relationships/hyperlink" Target="https://doi.org/10.1016/j.cemconres.2018.03.015" TargetMode="External"/><Relationship Id="rId5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7CAC69F-FB8A-204E-8322-7A1BB4F30EB0}">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C:\Users\Renilde\AppData\Roaming\Microsoft\Templates\Report design (blank).dotx</Template>
  <TotalTime>11</TotalTime>
  <Pages>5</Pages>
  <Words>16541</Words>
  <Characters>94286</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Renilde</dc:creator>
  <cp:keywords/>
  <cp:lastModifiedBy>vijay negi</cp:lastModifiedBy>
  <cp:revision>4</cp:revision>
  <cp:lastPrinted>2018-07-24T17:02:00Z</cp:lastPrinted>
  <dcterms:created xsi:type="dcterms:W3CDTF">2020-06-14T14:31:00Z</dcterms:created>
  <dcterms:modified xsi:type="dcterms:W3CDTF">2021-11-30T15:36:00Z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ZOTERO_PREF_1">
    <vt:lpwstr>&lt;data data-version="3" zotero-version="5.0.85"&gt;&lt;session id="Slz719G1"/&gt;&lt;style id="http://www.zotero.org/styles/apa" locale="en-US" hasBibliography="1" bibliographyStyleHasBeenSet="1"/&gt;&lt;prefs&gt;&lt;pref name="fieldType" value="Field"/&gt;&lt;/prefs&gt;&lt;/data&gt;</vt:lpwstr>
  </property>
</Properties>
</file>