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3F1AF9" w:rsidRDefault="00630CD1" w:rsidP="00EB247F">
      <w:pPr>
        <w:pStyle w:val="TableofFigures"/>
        <w:tabs>
          <w:tab w:val="right" w:leader="dot" w:pos="9350"/>
        </w:tabs>
        <w:rPr>
          <w:rStyle w:val="Hyperlink"/>
          <w:noProof/>
        </w:rPr>
      </w:pPr>
      <w:r w:rsidRPr="003F1AF9">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78120E" w:rsidRPr="00E91BE1" w:rsidRDefault="0078120E"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5731DEAF" w:rsidR="0078120E" w:rsidRPr="00E91BE1" w:rsidRDefault="0078120E"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 xml:space="preserve">High-Efficiency Heat Pumps </w:t>
                            </w:r>
                          </w:p>
                          <w:p w14:paraId="6774E85B" w14:textId="77777777" w:rsidR="0078120E" w:rsidRPr="00EB247F" w:rsidRDefault="0078120E" w:rsidP="00EB247F">
                            <w:pPr>
                              <w:spacing w:line="240" w:lineRule="auto"/>
                              <w:jc w:val="center"/>
                              <w:rPr>
                                <w:rFonts w:cs="Times New Roman"/>
                                <w:smallCaps/>
                                <w:color w:val="404040" w:themeColor="text1" w:themeTint="BF"/>
                                <w:sz w:val="36"/>
                                <w:szCs w:val="36"/>
                              </w:rPr>
                            </w:pPr>
                          </w:p>
                          <w:p w14:paraId="4699D449" w14:textId="368BC01D" w:rsidR="0078120E" w:rsidRPr="00E91BE1" w:rsidRDefault="0078120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Buildings</w:t>
                            </w:r>
                          </w:p>
                          <w:p w14:paraId="1671E118" w14:textId="2A55E7D0" w:rsidR="0078120E" w:rsidRPr="00E91BE1" w:rsidRDefault="0078120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Building Owners</w:t>
                            </w:r>
                          </w:p>
                          <w:p w14:paraId="29D510C4" w14:textId="4F133486" w:rsidR="0078120E" w:rsidRPr="00E91BE1" w:rsidRDefault="0078120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sidRPr="00A418A4">
                              <w:rPr>
                                <w:rFonts w:cs="Times New Roman"/>
                                <w:smallCaps/>
                                <w:color w:val="404040" w:themeColor="text1" w:themeTint="BF"/>
                                <w:sz w:val="36"/>
                                <w:szCs w:val="36"/>
                              </w:rPr>
                              <w:t>Building Efficiency, Building Systems, Heating And Cooling, Ground Source Heating</w:t>
                            </w:r>
                            <w:r>
                              <w:rPr>
                                <w:rFonts w:cs="Times New Roman"/>
                                <w:smallCaps/>
                                <w:color w:val="404040" w:themeColor="text1" w:themeTint="BF"/>
                                <w:sz w:val="36"/>
                                <w:szCs w:val="36"/>
                              </w:rPr>
                              <w:t>, Air Source Heating</w:t>
                            </w:r>
                          </w:p>
                          <w:p w14:paraId="6DF0E7C6" w14:textId="77777777" w:rsidR="0078120E" w:rsidRDefault="0078120E" w:rsidP="00FB2C53"/>
                          <w:p w14:paraId="0AAEA688" w14:textId="77777777" w:rsidR="0078120E" w:rsidRDefault="0078120E" w:rsidP="00FB2C53"/>
                          <w:p w14:paraId="693769A0" w14:textId="2D128998" w:rsidR="0078120E" w:rsidRPr="0033242D" w:rsidRDefault="0078120E" w:rsidP="00FB2C53">
                            <w:pPr>
                              <w:spacing w:after="0" w:line="240" w:lineRule="auto"/>
                              <w:jc w:val="center"/>
                              <w:rPr>
                                <w:rFonts w:cs="Times New Roman"/>
                                <w:smallCaps/>
                                <w:color w:val="404040" w:themeColor="text1" w:themeTint="BF"/>
                                <w:sz w:val="36"/>
                                <w:szCs w:val="36"/>
                              </w:rPr>
                            </w:pPr>
                            <w:r w:rsidRPr="0033242D">
                              <w:rPr>
                                <w:rFonts w:cs="Times New Roman"/>
                                <w:smallCaps/>
                                <w:color w:val="404040" w:themeColor="text1" w:themeTint="BF"/>
                                <w:sz w:val="36"/>
                                <w:szCs w:val="36"/>
                              </w:rPr>
                              <w:t xml:space="preserve">Edition </w:t>
                            </w:r>
                            <w:r w:rsidRPr="00DF021F">
                              <w:rPr>
                                <w:rFonts w:cs="Times New Roman"/>
                                <w:smallCaps/>
                                <w:color w:val="404040" w:themeColor="text1" w:themeTint="BF"/>
                                <w:sz w:val="36"/>
                                <w:szCs w:val="36"/>
                              </w:rPr>
                              <w:t>1</w:t>
                            </w:r>
                          </w:p>
                          <w:p w14:paraId="2EEECC22" w14:textId="72211C2E" w:rsidR="0078120E" w:rsidRPr="002D76B6" w:rsidRDefault="0078120E" w:rsidP="00FB2C53"/>
                          <w:p w14:paraId="7B430A9E" w14:textId="77777777" w:rsidR="0078120E" w:rsidRPr="002D76B6" w:rsidRDefault="0078120E" w:rsidP="00FB2C53"/>
                          <w:p w14:paraId="2F48DE38" w14:textId="77777777" w:rsidR="0078120E" w:rsidRPr="002D76B6" w:rsidRDefault="0078120E" w:rsidP="00FB2C53"/>
                          <w:p w14:paraId="1981D31A" w14:textId="77777777" w:rsidR="0078120E" w:rsidRPr="002D76B6" w:rsidRDefault="0078120E" w:rsidP="00FB2C53">
                            <w:pPr>
                              <w:spacing w:after="0" w:line="240" w:lineRule="auto"/>
                              <w:rPr>
                                <w:rFonts w:cs="Times New Roman"/>
                                <w:b/>
                                <w:smallCaps/>
                                <w:color w:val="404040" w:themeColor="text1" w:themeTint="BF"/>
                                <w:sz w:val="28"/>
                                <w:szCs w:val="28"/>
                              </w:rPr>
                            </w:pPr>
                            <w:r w:rsidRPr="002D76B6">
                              <w:rPr>
                                <w:rFonts w:cs="Times New Roman"/>
                                <w:b/>
                                <w:smallCaps/>
                                <w:color w:val="404040" w:themeColor="text1" w:themeTint="BF"/>
                                <w:sz w:val="28"/>
                                <w:szCs w:val="28"/>
                              </w:rPr>
                              <w:t>Prepared by:</w:t>
                            </w:r>
                          </w:p>
                          <w:p w14:paraId="54549D8B" w14:textId="160206D6" w:rsidR="0078120E" w:rsidRPr="002D76B6" w:rsidRDefault="0078120E" w:rsidP="00FB2C53">
                            <w:pPr>
                              <w:spacing w:after="0" w:line="240" w:lineRule="auto"/>
                              <w:rPr>
                                <w:rFonts w:cs="Times New Roman"/>
                                <w:smallCaps/>
                                <w:color w:val="404040" w:themeColor="text1" w:themeTint="BF"/>
                                <w:sz w:val="28"/>
                                <w:szCs w:val="28"/>
                              </w:rPr>
                            </w:pPr>
                            <w:r w:rsidRPr="002D76B6">
                              <w:rPr>
                                <w:rFonts w:cs="Times New Roman"/>
                                <w:smallCaps/>
                                <w:color w:val="404040" w:themeColor="text1" w:themeTint="BF"/>
                                <w:sz w:val="28"/>
                                <w:szCs w:val="28"/>
                              </w:rPr>
                              <w:t>Phil Metz, Research Fellow</w:t>
                            </w:r>
                          </w:p>
                          <w:p w14:paraId="09B41027" w14:textId="77777777" w:rsidR="0078120E" w:rsidRPr="00DF021F" w:rsidRDefault="0078120E" w:rsidP="00D25887">
                            <w:pPr>
                              <w:spacing w:after="0" w:line="240" w:lineRule="auto"/>
                              <w:rPr>
                                <w:rFonts w:cs="Times New Roman"/>
                                <w:smallCaps/>
                                <w:color w:val="404040" w:themeColor="text1" w:themeTint="BF"/>
                                <w:sz w:val="28"/>
                                <w:szCs w:val="28"/>
                              </w:rPr>
                            </w:pPr>
                            <w:r w:rsidRPr="00DF021F">
                              <w:rPr>
                                <w:rFonts w:cs="Times New Roman"/>
                                <w:smallCaps/>
                                <w:color w:val="404040" w:themeColor="text1" w:themeTint="BF"/>
                                <w:sz w:val="28"/>
                                <w:szCs w:val="28"/>
                              </w:rPr>
                              <w:t>David Jaber</w:t>
                            </w:r>
                            <w:r w:rsidRPr="00DF021F">
                              <w:rPr>
                                <w:rFonts w:cs="Times New Roman"/>
                                <w:smallCaps/>
                                <w:color w:val="404040" w:themeColor="text1" w:themeTint="BF"/>
                              </w:rPr>
                              <w:t xml:space="preserve">, </w:t>
                            </w:r>
                            <w:r w:rsidRPr="00DF021F">
                              <w:rPr>
                                <w:rFonts w:cs="Times New Roman"/>
                                <w:smallCaps/>
                                <w:color w:val="404040" w:themeColor="text1" w:themeTint="BF"/>
                                <w:sz w:val="28"/>
                                <w:szCs w:val="28"/>
                              </w:rPr>
                              <w:t>Research Fellow</w:t>
                            </w:r>
                          </w:p>
                          <w:p w14:paraId="5BDC5C04" w14:textId="77777777" w:rsidR="0078120E" w:rsidRPr="00DF021F" w:rsidRDefault="0078120E" w:rsidP="00D25887">
                            <w:pPr>
                              <w:spacing w:after="0" w:line="240" w:lineRule="auto"/>
                              <w:rPr>
                                <w:rFonts w:cs="Times New Roman"/>
                                <w:smallCaps/>
                                <w:color w:val="404040" w:themeColor="text1" w:themeTint="BF"/>
                                <w:sz w:val="28"/>
                                <w:szCs w:val="28"/>
                              </w:rPr>
                            </w:pPr>
                            <w:r w:rsidRPr="00DF021F">
                              <w:rPr>
                                <w:rFonts w:cs="Times New Roman"/>
                                <w:smallCaps/>
                                <w:color w:val="404040" w:themeColor="text1" w:themeTint="BF"/>
                                <w:sz w:val="28"/>
                                <w:szCs w:val="28"/>
                              </w:rPr>
                              <w:t>Dattakiran Jagu, Research Fellow</w:t>
                            </w:r>
                          </w:p>
                          <w:p w14:paraId="5C480B6A" w14:textId="1A19FD8F" w:rsidR="0078120E" w:rsidRPr="0033242D" w:rsidRDefault="0078120E" w:rsidP="00FB2C53">
                            <w:pPr>
                              <w:spacing w:after="0" w:line="240" w:lineRule="auto"/>
                              <w:rPr>
                                <w:rFonts w:cs="Times New Roman"/>
                                <w:smallCaps/>
                                <w:color w:val="404040" w:themeColor="text1" w:themeTint="BF"/>
                                <w:sz w:val="28"/>
                                <w:szCs w:val="28"/>
                              </w:rPr>
                            </w:pPr>
                            <w:r w:rsidRPr="00DF021F">
                              <w:rPr>
                                <w:rFonts w:cs="Times New Roman"/>
                                <w:smallCaps/>
                                <w:color w:val="404040" w:themeColor="text1" w:themeTint="BF"/>
                                <w:sz w:val="28"/>
                                <w:szCs w:val="28"/>
                              </w:rPr>
                              <w:t>David Siap, Research Fellow</w:t>
                            </w:r>
                          </w:p>
                          <w:p w14:paraId="248C4E3C" w14:textId="66CCEC2C" w:rsidR="0078120E" w:rsidRPr="00E91BE1" w:rsidRDefault="0078120E" w:rsidP="00FB2C53">
                            <w:pPr>
                              <w:spacing w:after="0" w:line="240" w:lineRule="auto"/>
                              <w:rPr>
                                <w:rFonts w:cs="Times New Roman"/>
                                <w:smallCaps/>
                                <w:color w:val="404040" w:themeColor="text1" w:themeTint="BF"/>
                                <w:sz w:val="28"/>
                                <w:szCs w:val="28"/>
                              </w:rPr>
                            </w:pPr>
                            <w:r w:rsidRPr="00341435">
                              <w:rPr>
                                <w:rFonts w:cs="Times New Roman"/>
                                <w:smallCaps/>
                                <w:color w:val="404040" w:themeColor="text1" w:themeTint="BF"/>
                                <w:sz w:val="28"/>
                                <w:szCs w:val="28"/>
                              </w:rPr>
                              <w:t>Ryan F Allard, Senior Fellow</w:t>
                            </w:r>
                          </w:p>
                          <w:p w14:paraId="6C4588F0" w14:textId="77777777" w:rsidR="0078120E" w:rsidRPr="00EB247F" w:rsidRDefault="0078120E" w:rsidP="000829DC">
                            <w:pPr>
                              <w:rPr>
                                <w:rFonts w:cs="Times New Roman"/>
                                <w:smallCaps/>
                                <w:color w:val="404040" w:themeColor="text1" w:themeTint="BF"/>
                              </w:rPr>
                            </w:pPr>
                          </w:p>
                          <w:p w14:paraId="1C3CFB47" w14:textId="77777777" w:rsidR="0078120E" w:rsidRPr="00EB247F" w:rsidRDefault="0078120E" w:rsidP="007864AB">
                            <w:pPr>
                              <w:rPr>
                                <w:rFonts w:cs="Times New Roman"/>
                                <w:smallCaps/>
                                <w:color w:val="404040" w:themeColor="text1" w:themeTint="BF"/>
                              </w:rPr>
                            </w:pPr>
                          </w:p>
                          <w:p w14:paraId="4481356F" w14:textId="6C098178" w:rsidR="0078120E" w:rsidRPr="00EB247F" w:rsidRDefault="0078120E"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0167D45B" w:rsidR="0078120E" w:rsidRPr="002B648F" w:rsidRDefault="0078120E" w:rsidP="007864AB">
                            <w:pPr>
                              <w:rPr>
                                <w:rFonts w:asciiTheme="minorHAnsi" w:hAnsiTheme="minorHAnsi"/>
                                <w:smallCaps/>
                                <w:color w:val="000000" w:themeColor="text1"/>
                                <w:sz w:val="20"/>
                                <w:szCs w:val="20"/>
                              </w:rPr>
                            </w:pPr>
                            <w:hyperlink r:id="rId10" w:history="1">
                              <w:r w:rsidRPr="002B648F">
                                <w:rPr>
                                  <w:rFonts w:asciiTheme="minorHAnsi" w:hAnsiTheme="minorHAnsi"/>
                                  <w:color w:val="000000" w:themeColor="text1"/>
                                </w:rPr>
                                <w:t>info@drawdown.org</w:t>
                              </w:r>
                            </w:hyperlink>
                            <w:r w:rsidRPr="002B648F">
                              <w:rPr>
                                <w:rFonts w:asciiTheme="minorHAnsi" w:hAnsiTheme="minorHAnsi"/>
                                <w:smallCaps/>
                                <w:color w:val="000000" w:themeColor="text1"/>
                                <w:sz w:val="20"/>
                                <w:szCs w:val="20"/>
                              </w:rPr>
                              <w:t xml:space="preserve">             </w:t>
                            </w:r>
                            <w:hyperlink r:id="rId11" w:history="1">
                              <w:r w:rsidRPr="002B648F">
                                <w:rPr>
                                  <w:rFonts w:asciiTheme="minorHAnsi" w:hAnsiTheme="minorHAnsi"/>
                                  <w:color w:val="000000" w:themeColor="text1"/>
                                </w:rPr>
                                <w:t>www.drawdown.org</w:t>
                              </w:r>
                            </w:hyperlink>
                            <w:r w:rsidRPr="002B648F">
                              <w:rPr>
                                <w:rFonts w:asciiTheme="minorHAnsi" w:hAnsiTheme="minorHAnsi"/>
                                <w:smallCaps/>
                                <w:color w:val="000000" w:themeColor="text1"/>
                                <w:sz w:val="20"/>
                                <w:szCs w:val="20"/>
                              </w:rPr>
                              <w:t xml:space="preserve">  </w:t>
                            </w:r>
                          </w:p>
                          <w:p w14:paraId="05DAFFE7" w14:textId="77777777" w:rsidR="0078120E" w:rsidRPr="002B648F" w:rsidRDefault="0078120E" w:rsidP="00C81D94">
                            <w:pPr>
                              <w:rPr>
                                <w:rFonts w:cs="Times New Roman"/>
                                <w:smallCaps/>
                                <w:color w:val="404040" w:themeColor="text1" w:themeTint="BF"/>
                                <w:sz w:val="36"/>
                                <w:szCs w:val="36"/>
                              </w:rPr>
                            </w:pPr>
                          </w:p>
                          <w:p w14:paraId="3D97FBF6" w14:textId="77777777" w:rsidR="0078120E" w:rsidRPr="002B648F" w:rsidRDefault="0078120E"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" filled="f" stroked="f" strokeweight=".5pt">
                <v:textbox inset=",0,54pt,0">
                  <w:txbxContent>
                    <w:p w14:paraId="3A69A438" w14:textId="77777777" w:rsidR="0078120E" w:rsidRPr="00E91BE1" w:rsidRDefault="0078120E"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5731DEAF" w:rsidR="0078120E" w:rsidRPr="00E91BE1" w:rsidRDefault="0078120E"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 xml:space="preserve">High-Efficiency Heat Pumps </w:t>
                      </w:r>
                    </w:p>
                    <w:p w14:paraId="6774E85B" w14:textId="77777777" w:rsidR="0078120E" w:rsidRPr="00EB247F" w:rsidRDefault="0078120E" w:rsidP="00EB247F">
                      <w:pPr>
                        <w:spacing w:line="240" w:lineRule="auto"/>
                        <w:jc w:val="center"/>
                        <w:rPr>
                          <w:rFonts w:cs="Times New Roman"/>
                          <w:smallCaps/>
                          <w:color w:val="404040" w:themeColor="text1" w:themeTint="BF"/>
                          <w:sz w:val="36"/>
                          <w:szCs w:val="36"/>
                        </w:rPr>
                      </w:pPr>
                    </w:p>
                    <w:p w14:paraId="4699D449" w14:textId="368BC01D" w:rsidR="0078120E" w:rsidRPr="00E91BE1" w:rsidRDefault="0078120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Buildings</w:t>
                      </w:r>
                    </w:p>
                    <w:p w14:paraId="1671E118" w14:textId="2A55E7D0" w:rsidR="0078120E" w:rsidRPr="00E91BE1" w:rsidRDefault="0078120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Building Owners</w:t>
                      </w:r>
                    </w:p>
                    <w:p w14:paraId="29D510C4" w14:textId="4F133486" w:rsidR="0078120E" w:rsidRPr="00E91BE1" w:rsidRDefault="0078120E"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sidRPr="00A418A4">
                        <w:rPr>
                          <w:rFonts w:cs="Times New Roman"/>
                          <w:smallCaps/>
                          <w:color w:val="404040" w:themeColor="text1" w:themeTint="BF"/>
                          <w:sz w:val="36"/>
                          <w:szCs w:val="36"/>
                        </w:rPr>
                        <w:t>Building Efficiency, Building Systems, Heating And Cooling, Ground Source Heating</w:t>
                      </w:r>
                      <w:r>
                        <w:rPr>
                          <w:rFonts w:cs="Times New Roman"/>
                          <w:smallCaps/>
                          <w:color w:val="404040" w:themeColor="text1" w:themeTint="BF"/>
                          <w:sz w:val="36"/>
                          <w:szCs w:val="36"/>
                        </w:rPr>
                        <w:t>, Air Source Heating</w:t>
                      </w:r>
                    </w:p>
                    <w:p w14:paraId="6DF0E7C6" w14:textId="77777777" w:rsidR="0078120E" w:rsidRDefault="0078120E" w:rsidP="00FB2C53"/>
                    <w:p w14:paraId="0AAEA688" w14:textId="77777777" w:rsidR="0078120E" w:rsidRDefault="0078120E" w:rsidP="00FB2C53"/>
                    <w:p w14:paraId="693769A0" w14:textId="2D128998" w:rsidR="0078120E" w:rsidRPr="0033242D" w:rsidRDefault="0078120E" w:rsidP="00FB2C53">
                      <w:pPr>
                        <w:spacing w:after="0" w:line="240" w:lineRule="auto"/>
                        <w:jc w:val="center"/>
                        <w:rPr>
                          <w:rFonts w:cs="Times New Roman"/>
                          <w:smallCaps/>
                          <w:color w:val="404040" w:themeColor="text1" w:themeTint="BF"/>
                          <w:sz w:val="36"/>
                          <w:szCs w:val="36"/>
                        </w:rPr>
                      </w:pPr>
                      <w:r w:rsidRPr="0033242D">
                        <w:rPr>
                          <w:rFonts w:cs="Times New Roman"/>
                          <w:smallCaps/>
                          <w:color w:val="404040" w:themeColor="text1" w:themeTint="BF"/>
                          <w:sz w:val="36"/>
                          <w:szCs w:val="36"/>
                        </w:rPr>
                        <w:t xml:space="preserve">Edition </w:t>
                      </w:r>
                      <w:r w:rsidRPr="00DF021F">
                        <w:rPr>
                          <w:rFonts w:cs="Times New Roman"/>
                          <w:smallCaps/>
                          <w:color w:val="404040" w:themeColor="text1" w:themeTint="BF"/>
                          <w:sz w:val="36"/>
                          <w:szCs w:val="36"/>
                        </w:rPr>
                        <w:t>1</w:t>
                      </w:r>
                    </w:p>
                    <w:p w14:paraId="2EEECC22" w14:textId="72211C2E" w:rsidR="0078120E" w:rsidRPr="002D76B6" w:rsidRDefault="0078120E" w:rsidP="00FB2C53"/>
                    <w:p w14:paraId="7B430A9E" w14:textId="77777777" w:rsidR="0078120E" w:rsidRPr="002D76B6" w:rsidRDefault="0078120E" w:rsidP="00FB2C53"/>
                    <w:p w14:paraId="2F48DE38" w14:textId="77777777" w:rsidR="0078120E" w:rsidRPr="002D76B6" w:rsidRDefault="0078120E" w:rsidP="00FB2C53"/>
                    <w:p w14:paraId="1981D31A" w14:textId="77777777" w:rsidR="0078120E" w:rsidRPr="002D76B6" w:rsidRDefault="0078120E" w:rsidP="00FB2C53">
                      <w:pPr>
                        <w:spacing w:after="0" w:line="240" w:lineRule="auto"/>
                        <w:rPr>
                          <w:rFonts w:cs="Times New Roman"/>
                          <w:b/>
                          <w:smallCaps/>
                          <w:color w:val="404040" w:themeColor="text1" w:themeTint="BF"/>
                          <w:sz w:val="28"/>
                          <w:szCs w:val="28"/>
                        </w:rPr>
                      </w:pPr>
                      <w:r w:rsidRPr="002D76B6">
                        <w:rPr>
                          <w:rFonts w:cs="Times New Roman"/>
                          <w:b/>
                          <w:smallCaps/>
                          <w:color w:val="404040" w:themeColor="text1" w:themeTint="BF"/>
                          <w:sz w:val="28"/>
                          <w:szCs w:val="28"/>
                        </w:rPr>
                        <w:t>Prepared by:</w:t>
                      </w:r>
                    </w:p>
                    <w:p w14:paraId="54549D8B" w14:textId="160206D6" w:rsidR="0078120E" w:rsidRPr="002D76B6" w:rsidRDefault="0078120E" w:rsidP="00FB2C53">
                      <w:pPr>
                        <w:spacing w:after="0" w:line="240" w:lineRule="auto"/>
                        <w:rPr>
                          <w:rFonts w:cs="Times New Roman"/>
                          <w:smallCaps/>
                          <w:color w:val="404040" w:themeColor="text1" w:themeTint="BF"/>
                          <w:sz w:val="28"/>
                          <w:szCs w:val="28"/>
                        </w:rPr>
                      </w:pPr>
                      <w:r w:rsidRPr="002D76B6">
                        <w:rPr>
                          <w:rFonts w:cs="Times New Roman"/>
                          <w:smallCaps/>
                          <w:color w:val="404040" w:themeColor="text1" w:themeTint="BF"/>
                          <w:sz w:val="28"/>
                          <w:szCs w:val="28"/>
                        </w:rPr>
                        <w:t>Phil Metz, Research Fellow</w:t>
                      </w:r>
                    </w:p>
                    <w:p w14:paraId="09B41027" w14:textId="77777777" w:rsidR="0078120E" w:rsidRPr="00DF021F" w:rsidRDefault="0078120E" w:rsidP="00D25887">
                      <w:pPr>
                        <w:spacing w:after="0" w:line="240" w:lineRule="auto"/>
                        <w:rPr>
                          <w:rFonts w:cs="Times New Roman"/>
                          <w:smallCaps/>
                          <w:color w:val="404040" w:themeColor="text1" w:themeTint="BF"/>
                          <w:sz w:val="28"/>
                          <w:szCs w:val="28"/>
                        </w:rPr>
                      </w:pPr>
                      <w:r w:rsidRPr="00DF021F">
                        <w:rPr>
                          <w:rFonts w:cs="Times New Roman"/>
                          <w:smallCaps/>
                          <w:color w:val="404040" w:themeColor="text1" w:themeTint="BF"/>
                          <w:sz w:val="28"/>
                          <w:szCs w:val="28"/>
                        </w:rPr>
                        <w:t>David Jaber</w:t>
                      </w:r>
                      <w:r w:rsidRPr="00DF021F">
                        <w:rPr>
                          <w:rFonts w:cs="Times New Roman"/>
                          <w:smallCaps/>
                          <w:color w:val="404040" w:themeColor="text1" w:themeTint="BF"/>
                        </w:rPr>
                        <w:t xml:space="preserve">, </w:t>
                      </w:r>
                      <w:r w:rsidRPr="00DF021F">
                        <w:rPr>
                          <w:rFonts w:cs="Times New Roman"/>
                          <w:smallCaps/>
                          <w:color w:val="404040" w:themeColor="text1" w:themeTint="BF"/>
                          <w:sz w:val="28"/>
                          <w:szCs w:val="28"/>
                        </w:rPr>
                        <w:t>Research Fellow</w:t>
                      </w:r>
                    </w:p>
                    <w:p w14:paraId="5BDC5C04" w14:textId="77777777" w:rsidR="0078120E" w:rsidRPr="00DF021F" w:rsidRDefault="0078120E" w:rsidP="00D25887">
                      <w:pPr>
                        <w:spacing w:after="0" w:line="240" w:lineRule="auto"/>
                        <w:rPr>
                          <w:rFonts w:cs="Times New Roman"/>
                          <w:smallCaps/>
                          <w:color w:val="404040" w:themeColor="text1" w:themeTint="BF"/>
                          <w:sz w:val="28"/>
                          <w:szCs w:val="28"/>
                        </w:rPr>
                      </w:pPr>
                      <w:r w:rsidRPr="00DF021F">
                        <w:rPr>
                          <w:rFonts w:cs="Times New Roman"/>
                          <w:smallCaps/>
                          <w:color w:val="404040" w:themeColor="text1" w:themeTint="BF"/>
                          <w:sz w:val="28"/>
                          <w:szCs w:val="28"/>
                        </w:rPr>
                        <w:t>Dattakiran Jagu, Research Fellow</w:t>
                      </w:r>
                    </w:p>
                    <w:p w14:paraId="5C480B6A" w14:textId="1A19FD8F" w:rsidR="0078120E" w:rsidRPr="0033242D" w:rsidRDefault="0078120E" w:rsidP="00FB2C53">
                      <w:pPr>
                        <w:spacing w:after="0" w:line="240" w:lineRule="auto"/>
                        <w:rPr>
                          <w:rFonts w:cs="Times New Roman"/>
                          <w:smallCaps/>
                          <w:color w:val="404040" w:themeColor="text1" w:themeTint="BF"/>
                          <w:sz w:val="28"/>
                          <w:szCs w:val="28"/>
                        </w:rPr>
                      </w:pPr>
                      <w:r w:rsidRPr="00DF021F">
                        <w:rPr>
                          <w:rFonts w:cs="Times New Roman"/>
                          <w:smallCaps/>
                          <w:color w:val="404040" w:themeColor="text1" w:themeTint="BF"/>
                          <w:sz w:val="28"/>
                          <w:szCs w:val="28"/>
                        </w:rPr>
                        <w:t>David Siap, Research Fellow</w:t>
                      </w:r>
                    </w:p>
                    <w:p w14:paraId="248C4E3C" w14:textId="66CCEC2C" w:rsidR="0078120E" w:rsidRPr="00E91BE1" w:rsidRDefault="0078120E" w:rsidP="00FB2C53">
                      <w:pPr>
                        <w:spacing w:after="0" w:line="240" w:lineRule="auto"/>
                        <w:rPr>
                          <w:rFonts w:cs="Times New Roman"/>
                          <w:smallCaps/>
                          <w:color w:val="404040" w:themeColor="text1" w:themeTint="BF"/>
                          <w:sz w:val="28"/>
                          <w:szCs w:val="28"/>
                        </w:rPr>
                      </w:pPr>
                      <w:r w:rsidRPr="00341435">
                        <w:rPr>
                          <w:rFonts w:cs="Times New Roman"/>
                          <w:smallCaps/>
                          <w:color w:val="404040" w:themeColor="text1" w:themeTint="BF"/>
                          <w:sz w:val="28"/>
                          <w:szCs w:val="28"/>
                        </w:rPr>
                        <w:t>Ryan F Allard, Senior Fellow</w:t>
                      </w:r>
                    </w:p>
                    <w:p w14:paraId="6C4588F0" w14:textId="77777777" w:rsidR="0078120E" w:rsidRPr="00EB247F" w:rsidRDefault="0078120E" w:rsidP="000829DC">
                      <w:pPr>
                        <w:rPr>
                          <w:rFonts w:cs="Times New Roman"/>
                          <w:smallCaps/>
                          <w:color w:val="404040" w:themeColor="text1" w:themeTint="BF"/>
                        </w:rPr>
                      </w:pPr>
                    </w:p>
                    <w:p w14:paraId="1C3CFB47" w14:textId="77777777" w:rsidR="0078120E" w:rsidRPr="00EB247F" w:rsidRDefault="0078120E" w:rsidP="007864AB">
                      <w:pPr>
                        <w:rPr>
                          <w:rFonts w:cs="Times New Roman"/>
                          <w:smallCaps/>
                          <w:color w:val="404040" w:themeColor="text1" w:themeTint="BF"/>
                        </w:rPr>
                      </w:pPr>
                    </w:p>
                    <w:p w14:paraId="4481356F" w14:textId="6C098178" w:rsidR="0078120E" w:rsidRPr="00EB247F" w:rsidRDefault="0078120E"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0167D45B" w:rsidR="0078120E" w:rsidRPr="002B648F" w:rsidRDefault="0078120E" w:rsidP="007864AB">
                      <w:pPr>
                        <w:rPr>
                          <w:rFonts w:asciiTheme="minorHAnsi" w:hAnsiTheme="minorHAnsi"/>
                          <w:smallCaps/>
                          <w:color w:val="000000" w:themeColor="text1"/>
                          <w:sz w:val="20"/>
                          <w:szCs w:val="20"/>
                        </w:rPr>
                      </w:pPr>
                      <w:hyperlink r:id="rId12" w:history="1">
                        <w:r w:rsidRPr="002B648F">
                          <w:rPr>
                            <w:rFonts w:asciiTheme="minorHAnsi" w:hAnsiTheme="minorHAnsi"/>
                            <w:color w:val="000000" w:themeColor="text1"/>
                          </w:rPr>
                          <w:t>info@drawdown.org</w:t>
                        </w:r>
                      </w:hyperlink>
                      <w:r w:rsidRPr="002B648F">
                        <w:rPr>
                          <w:rFonts w:asciiTheme="minorHAnsi" w:hAnsiTheme="minorHAnsi"/>
                          <w:smallCaps/>
                          <w:color w:val="000000" w:themeColor="text1"/>
                          <w:sz w:val="20"/>
                          <w:szCs w:val="20"/>
                        </w:rPr>
                        <w:t xml:space="preserve">             </w:t>
                      </w:r>
                      <w:hyperlink r:id="rId13" w:history="1">
                        <w:r w:rsidRPr="002B648F">
                          <w:rPr>
                            <w:rFonts w:asciiTheme="minorHAnsi" w:hAnsiTheme="minorHAnsi"/>
                            <w:color w:val="000000" w:themeColor="text1"/>
                          </w:rPr>
                          <w:t>www.drawdown.org</w:t>
                        </w:r>
                      </w:hyperlink>
                      <w:r w:rsidRPr="002B648F">
                        <w:rPr>
                          <w:rFonts w:asciiTheme="minorHAnsi" w:hAnsiTheme="minorHAnsi"/>
                          <w:smallCaps/>
                          <w:color w:val="000000" w:themeColor="text1"/>
                          <w:sz w:val="20"/>
                          <w:szCs w:val="20"/>
                        </w:rPr>
                        <w:t xml:space="preserve">  </w:t>
                      </w:r>
                    </w:p>
                    <w:p w14:paraId="05DAFFE7" w14:textId="77777777" w:rsidR="0078120E" w:rsidRPr="002B648F" w:rsidRDefault="0078120E" w:rsidP="00C81D94">
                      <w:pPr>
                        <w:rPr>
                          <w:rFonts w:cs="Times New Roman"/>
                          <w:smallCaps/>
                          <w:color w:val="404040" w:themeColor="text1" w:themeTint="BF"/>
                          <w:sz w:val="36"/>
                          <w:szCs w:val="36"/>
                        </w:rPr>
                      </w:pPr>
                    </w:p>
                    <w:p w14:paraId="3D97FBF6" w14:textId="77777777" w:rsidR="0078120E" w:rsidRPr="002B648F" w:rsidRDefault="0078120E"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616A11D8" w:rsidR="00640665" w:rsidRPr="003F1AF9" w:rsidRDefault="551A77D0" w:rsidP="00EB247F">
          <w:pPr>
            <w:rPr>
              <w:rStyle w:val="Heading1Char"/>
            </w:rPr>
          </w:pPr>
          <w:r w:rsidRPr="003F1AF9">
            <w:rPr>
              <w:rStyle w:val="Heading1Char"/>
            </w:rPr>
            <w:t>Table of Contents</w:t>
          </w:r>
          <w:r w:rsidR="0078120E">
            <w:rPr>
              <w:rStyle w:val="Heading1Char"/>
            </w:rPr>
            <w:t xml:space="preserve"> </w:t>
          </w:r>
        </w:p>
        <w:p w14:paraId="2161BF65" w14:textId="75F4B115" w:rsidR="00E60668" w:rsidRDefault="00640665">
          <w:pPr>
            <w:pStyle w:val="TOC1"/>
            <w:tabs>
              <w:tab w:val="right" w:leader="dot" w:pos="9350"/>
            </w:tabs>
            <w:rPr>
              <w:rFonts w:asciiTheme="minorHAnsi" w:hAnsiTheme="minorHAnsi"/>
              <w:noProof/>
              <w:lang w:eastAsia="en-US"/>
            </w:rPr>
          </w:pPr>
          <w:r w:rsidRPr="003F1AF9">
            <w:fldChar w:fldCharType="begin"/>
          </w:r>
          <w:r w:rsidRPr="003F1AF9">
            <w:instrText xml:space="preserve"> TOC \o "1-3" \h \z \u </w:instrText>
          </w:r>
          <w:r w:rsidRPr="003F1AF9">
            <w:fldChar w:fldCharType="separate"/>
          </w:r>
          <w:hyperlink w:anchor="_Toc42289697" w:history="1">
            <w:r w:rsidR="00E60668" w:rsidRPr="009E416A">
              <w:rPr>
                <w:rStyle w:val="Hyperlink"/>
                <w:noProof/>
              </w:rPr>
              <w:t>List of Figures</w:t>
            </w:r>
            <w:r w:rsidR="00E60668">
              <w:rPr>
                <w:noProof/>
                <w:webHidden/>
              </w:rPr>
              <w:tab/>
            </w:r>
            <w:r w:rsidR="00E60668">
              <w:rPr>
                <w:noProof/>
                <w:webHidden/>
              </w:rPr>
              <w:fldChar w:fldCharType="begin"/>
            </w:r>
            <w:r w:rsidR="00E60668">
              <w:rPr>
                <w:noProof/>
                <w:webHidden/>
              </w:rPr>
              <w:instrText xml:space="preserve"> PAGEREF _Toc42289697 \h </w:instrText>
            </w:r>
            <w:r w:rsidR="00E60668">
              <w:rPr>
                <w:noProof/>
                <w:webHidden/>
              </w:rPr>
            </w:r>
            <w:r w:rsidR="00E60668">
              <w:rPr>
                <w:noProof/>
                <w:webHidden/>
              </w:rPr>
              <w:fldChar w:fldCharType="separate"/>
            </w:r>
            <w:r w:rsidR="00E60668">
              <w:rPr>
                <w:noProof/>
                <w:webHidden/>
              </w:rPr>
              <w:t>IV</w:t>
            </w:r>
            <w:r w:rsidR="00E60668">
              <w:rPr>
                <w:noProof/>
                <w:webHidden/>
              </w:rPr>
              <w:fldChar w:fldCharType="end"/>
            </w:r>
          </w:hyperlink>
        </w:p>
        <w:p w14:paraId="3DF84010" w14:textId="5F563233" w:rsidR="00E60668" w:rsidRDefault="00E60668">
          <w:pPr>
            <w:pStyle w:val="TOC1"/>
            <w:tabs>
              <w:tab w:val="right" w:leader="dot" w:pos="9350"/>
            </w:tabs>
            <w:rPr>
              <w:rFonts w:asciiTheme="minorHAnsi" w:hAnsiTheme="minorHAnsi"/>
              <w:noProof/>
              <w:lang w:eastAsia="en-US"/>
            </w:rPr>
          </w:pPr>
          <w:hyperlink w:anchor="_Toc42289698" w:history="1">
            <w:r w:rsidRPr="009E416A">
              <w:rPr>
                <w:rStyle w:val="Hyperlink"/>
                <w:noProof/>
              </w:rPr>
              <w:t>List of Tables</w:t>
            </w:r>
            <w:r>
              <w:rPr>
                <w:noProof/>
                <w:webHidden/>
              </w:rPr>
              <w:tab/>
            </w:r>
            <w:r>
              <w:rPr>
                <w:noProof/>
                <w:webHidden/>
              </w:rPr>
              <w:fldChar w:fldCharType="begin"/>
            </w:r>
            <w:r>
              <w:rPr>
                <w:noProof/>
                <w:webHidden/>
              </w:rPr>
              <w:instrText xml:space="preserve"> PAGEREF _Toc42289698 \h </w:instrText>
            </w:r>
            <w:r>
              <w:rPr>
                <w:noProof/>
                <w:webHidden/>
              </w:rPr>
            </w:r>
            <w:r>
              <w:rPr>
                <w:noProof/>
                <w:webHidden/>
              </w:rPr>
              <w:fldChar w:fldCharType="separate"/>
            </w:r>
            <w:r>
              <w:rPr>
                <w:noProof/>
                <w:webHidden/>
              </w:rPr>
              <w:t>IV</w:t>
            </w:r>
            <w:r>
              <w:rPr>
                <w:noProof/>
                <w:webHidden/>
              </w:rPr>
              <w:fldChar w:fldCharType="end"/>
            </w:r>
          </w:hyperlink>
        </w:p>
        <w:p w14:paraId="77BE6C64" w14:textId="19C8001F" w:rsidR="00E60668" w:rsidRDefault="00E60668">
          <w:pPr>
            <w:pStyle w:val="TOC1"/>
            <w:tabs>
              <w:tab w:val="right" w:leader="dot" w:pos="9350"/>
            </w:tabs>
            <w:rPr>
              <w:rFonts w:asciiTheme="minorHAnsi" w:hAnsiTheme="minorHAnsi"/>
              <w:noProof/>
              <w:lang w:eastAsia="en-US"/>
            </w:rPr>
          </w:pPr>
          <w:hyperlink w:anchor="_Toc42289699" w:history="1">
            <w:r w:rsidRPr="009E416A">
              <w:rPr>
                <w:rStyle w:val="Hyperlink"/>
                <w:noProof/>
              </w:rPr>
              <w:t>Acronyms and Symbols Used</w:t>
            </w:r>
            <w:r>
              <w:rPr>
                <w:noProof/>
                <w:webHidden/>
              </w:rPr>
              <w:tab/>
            </w:r>
            <w:r>
              <w:rPr>
                <w:noProof/>
                <w:webHidden/>
              </w:rPr>
              <w:fldChar w:fldCharType="begin"/>
            </w:r>
            <w:r>
              <w:rPr>
                <w:noProof/>
                <w:webHidden/>
              </w:rPr>
              <w:instrText xml:space="preserve"> PAGEREF _Toc42289699 \h </w:instrText>
            </w:r>
            <w:r>
              <w:rPr>
                <w:noProof/>
                <w:webHidden/>
              </w:rPr>
            </w:r>
            <w:r>
              <w:rPr>
                <w:noProof/>
                <w:webHidden/>
              </w:rPr>
              <w:fldChar w:fldCharType="separate"/>
            </w:r>
            <w:r>
              <w:rPr>
                <w:noProof/>
                <w:webHidden/>
              </w:rPr>
              <w:t>V</w:t>
            </w:r>
            <w:r>
              <w:rPr>
                <w:noProof/>
                <w:webHidden/>
              </w:rPr>
              <w:fldChar w:fldCharType="end"/>
            </w:r>
          </w:hyperlink>
        </w:p>
        <w:p w14:paraId="5F513C93" w14:textId="03759F23" w:rsidR="00E60668" w:rsidRDefault="00E60668">
          <w:pPr>
            <w:pStyle w:val="TOC1"/>
            <w:tabs>
              <w:tab w:val="right" w:leader="dot" w:pos="9350"/>
            </w:tabs>
            <w:rPr>
              <w:rFonts w:asciiTheme="minorHAnsi" w:hAnsiTheme="minorHAnsi"/>
              <w:noProof/>
              <w:lang w:eastAsia="en-US"/>
            </w:rPr>
          </w:pPr>
          <w:hyperlink w:anchor="_Toc42289700" w:history="1">
            <w:r w:rsidRPr="009E416A">
              <w:rPr>
                <w:rStyle w:val="Hyperlink"/>
                <w:noProof/>
              </w:rPr>
              <w:t>Executive Summary</w:t>
            </w:r>
            <w:r>
              <w:rPr>
                <w:noProof/>
                <w:webHidden/>
              </w:rPr>
              <w:tab/>
            </w:r>
            <w:r>
              <w:rPr>
                <w:noProof/>
                <w:webHidden/>
              </w:rPr>
              <w:fldChar w:fldCharType="begin"/>
            </w:r>
            <w:r>
              <w:rPr>
                <w:noProof/>
                <w:webHidden/>
              </w:rPr>
              <w:instrText xml:space="preserve"> PAGEREF _Toc42289700 \h </w:instrText>
            </w:r>
            <w:r>
              <w:rPr>
                <w:noProof/>
                <w:webHidden/>
              </w:rPr>
            </w:r>
            <w:r>
              <w:rPr>
                <w:noProof/>
                <w:webHidden/>
              </w:rPr>
              <w:fldChar w:fldCharType="separate"/>
            </w:r>
            <w:r>
              <w:rPr>
                <w:noProof/>
                <w:webHidden/>
              </w:rPr>
              <w:t>VI</w:t>
            </w:r>
            <w:r>
              <w:rPr>
                <w:noProof/>
                <w:webHidden/>
              </w:rPr>
              <w:fldChar w:fldCharType="end"/>
            </w:r>
          </w:hyperlink>
        </w:p>
        <w:p w14:paraId="4A8DC42B" w14:textId="0A428886" w:rsidR="00E60668" w:rsidRDefault="00E60668">
          <w:pPr>
            <w:pStyle w:val="TOC1"/>
            <w:tabs>
              <w:tab w:val="left" w:pos="440"/>
              <w:tab w:val="right" w:leader="dot" w:pos="9350"/>
            </w:tabs>
            <w:rPr>
              <w:rFonts w:asciiTheme="minorHAnsi" w:hAnsiTheme="minorHAnsi"/>
              <w:noProof/>
              <w:lang w:eastAsia="en-US"/>
            </w:rPr>
          </w:pPr>
          <w:hyperlink w:anchor="_Toc42289701" w:history="1">
            <w:r w:rsidRPr="009E416A">
              <w:rPr>
                <w:rStyle w:val="Hyperlink"/>
                <w:noProof/>
              </w:rPr>
              <w:t>1</w:t>
            </w:r>
            <w:r>
              <w:rPr>
                <w:rFonts w:asciiTheme="minorHAnsi" w:hAnsiTheme="minorHAnsi"/>
                <w:noProof/>
                <w:lang w:eastAsia="en-US"/>
              </w:rPr>
              <w:tab/>
            </w:r>
            <w:r w:rsidRPr="009E416A">
              <w:rPr>
                <w:rStyle w:val="Hyperlink"/>
                <w:noProof/>
              </w:rPr>
              <w:t>Literature Review</w:t>
            </w:r>
            <w:r>
              <w:rPr>
                <w:noProof/>
                <w:webHidden/>
              </w:rPr>
              <w:tab/>
            </w:r>
            <w:r>
              <w:rPr>
                <w:noProof/>
                <w:webHidden/>
              </w:rPr>
              <w:fldChar w:fldCharType="begin"/>
            </w:r>
            <w:r>
              <w:rPr>
                <w:noProof/>
                <w:webHidden/>
              </w:rPr>
              <w:instrText xml:space="preserve"> PAGEREF _Toc42289701 \h </w:instrText>
            </w:r>
            <w:r>
              <w:rPr>
                <w:noProof/>
                <w:webHidden/>
              </w:rPr>
            </w:r>
            <w:r>
              <w:rPr>
                <w:noProof/>
                <w:webHidden/>
              </w:rPr>
              <w:fldChar w:fldCharType="separate"/>
            </w:r>
            <w:r>
              <w:rPr>
                <w:noProof/>
                <w:webHidden/>
              </w:rPr>
              <w:t>1</w:t>
            </w:r>
            <w:r>
              <w:rPr>
                <w:noProof/>
                <w:webHidden/>
              </w:rPr>
              <w:fldChar w:fldCharType="end"/>
            </w:r>
          </w:hyperlink>
        </w:p>
        <w:p w14:paraId="3BAB8D9F" w14:textId="6FF044F1" w:rsidR="00E60668" w:rsidRDefault="00E60668">
          <w:pPr>
            <w:pStyle w:val="TOC2"/>
            <w:tabs>
              <w:tab w:val="left" w:pos="880"/>
              <w:tab w:val="right" w:leader="dot" w:pos="9350"/>
            </w:tabs>
            <w:rPr>
              <w:rFonts w:asciiTheme="minorHAnsi" w:hAnsiTheme="minorHAnsi"/>
              <w:noProof/>
              <w:lang w:eastAsia="en-US"/>
            </w:rPr>
          </w:pPr>
          <w:hyperlink w:anchor="_Toc42289702" w:history="1">
            <w:r w:rsidRPr="009E416A">
              <w:rPr>
                <w:rStyle w:val="Hyperlink"/>
                <w:noProof/>
              </w:rPr>
              <w:t>1.1</w:t>
            </w:r>
            <w:r>
              <w:rPr>
                <w:rFonts w:asciiTheme="minorHAnsi" w:hAnsiTheme="minorHAnsi"/>
                <w:noProof/>
                <w:lang w:eastAsia="en-US"/>
              </w:rPr>
              <w:tab/>
            </w:r>
            <w:r w:rsidRPr="009E416A">
              <w:rPr>
                <w:rStyle w:val="Hyperlink"/>
                <w:noProof/>
              </w:rPr>
              <w:t>The State of High-Efficiency Heat Pumps for Space Heating and Cooling</w:t>
            </w:r>
            <w:r>
              <w:rPr>
                <w:noProof/>
                <w:webHidden/>
              </w:rPr>
              <w:tab/>
            </w:r>
            <w:r>
              <w:rPr>
                <w:noProof/>
                <w:webHidden/>
              </w:rPr>
              <w:fldChar w:fldCharType="begin"/>
            </w:r>
            <w:r>
              <w:rPr>
                <w:noProof/>
                <w:webHidden/>
              </w:rPr>
              <w:instrText xml:space="preserve"> PAGEREF _Toc42289702 \h </w:instrText>
            </w:r>
            <w:r>
              <w:rPr>
                <w:noProof/>
                <w:webHidden/>
              </w:rPr>
            </w:r>
            <w:r>
              <w:rPr>
                <w:noProof/>
                <w:webHidden/>
              </w:rPr>
              <w:fldChar w:fldCharType="separate"/>
            </w:r>
            <w:r>
              <w:rPr>
                <w:noProof/>
                <w:webHidden/>
              </w:rPr>
              <w:t>1</w:t>
            </w:r>
            <w:r>
              <w:rPr>
                <w:noProof/>
                <w:webHidden/>
              </w:rPr>
              <w:fldChar w:fldCharType="end"/>
            </w:r>
          </w:hyperlink>
        </w:p>
        <w:p w14:paraId="3F64EB19" w14:textId="0468B9C3" w:rsidR="00E60668" w:rsidRDefault="00E60668">
          <w:pPr>
            <w:pStyle w:val="TOC3"/>
            <w:tabs>
              <w:tab w:val="left" w:pos="1320"/>
              <w:tab w:val="right" w:leader="dot" w:pos="9350"/>
            </w:tabs>
            <w:rPr>
              <w:rFonts w:asciiTheme="minorHAnsi" w:hAnsiTheme="minorHAnsi"/>
              <w:noProof/>
              <w:lang w:eastAsia="en-US"/>
            </w:rPr>
          </w:pPr>
          <w:hyperlink w:anchor="_Toc42289703" w:history="1">
            <w:r w:rsidRPr="009E416A">
              <w:rPr>
                <w:rStyle w:val="Hyperlink"/>
                <w:noProof/>
              </w:rPr>
              <w:t>1.1.1</w:t>
            </w:r>
            <w:r>
              <w:rPr>
                <w:rFonts w:asciiTheme="minorHAnsi" w:hAnsiTheme="minorHAnsi"/>
                <w:noProof/>
                <w:lang w:eastAsia="en-US"/>
              </w:rPr>
              <w:tab/>
            </w:r>
            <w:r w:rsidRPr="009E416A">
              <w:rPr>
                <w:rStyle w:val="Hyperlink"/>
                <w:noProof/>
              </w:rPr>
              <w:t>What is a heat pump and how does it work?</w:t>
            </w:r>
            <w:r>
              <w:rPr>
                <w:noProof/>
                <w:webHidden/>
              </w:rPr>
              <w:tab/>
            </w:r>
            <w:r>
              <w:rPr>
                <w:noProof/>
                <w:webHidden/>
              </w:rPr>
              <w:fldChar w:fldCharType="begin"/>
            </w:r>
            <w:r>
              <w:rPr>
                <w:noProof/>
                <w:webHidden/>
              </w:rPr>
              <w:instrText xml:space="preserve"> PAGEREF _Toc42289703 \h </w:instrText>
            </w:r>
            <w:r>
              <w:rPr>
                <w:noProof/>
                <w:webHidden/>
              </w:rPr>
            </w:r>
            <w:r>
              <w:rPr>
                <w:noProof/>
                <w:webHidden/>
              </w:rPr>
              <w:fldChar w:fldCharType="separate"/>
            </w:r>
            <w:r>
              <w:rPr>
                <w:noProof/>
                <w:webHidden/>
              </w:rPr>
              <w:t>1</w:t>
            </w:r>
            <w:r>
              <w:rPr>
                <w:noProof/>
                <w:webHidden/>
              </w:rPr>
              <w:fldChar w:fldCharType="end"/>
            </w:r>
          </w:hyperlink>
        </w:p>
        <w:p w14:paraId="1D9BEBDC" w14:textId="0D205537" w:rsidR="00E60668" w:rsidRDefault="00E60668">
          <w:pPr>
            <w:pStyle w:val="TOC3"/>
            <w:tabs>
              <w:tab w:val="left" w:pos="1320"/>
              <w:tab w:val="right" w:leader="dot" w:pos="9350"/>
            </w:tabs>
            <w:rPr>
              <w:rFonts w:asciiTheme="minorHAnsi" w:hAnsiTheme="minorHAnsi"/>
              <w:noProof/>
              <w:lang w:eastAsia="en-US"/>
            </w:rPr>
          </w:pPr>
          <w:hyperlink w:anchor="_Toc42289704" w:history="1">
            <w:r w:rsidRPr="009E416A">
              <w:rPr>
                <w:rStyle w:val="Hyperlink"/>
                <w:noProof/>
              </w:rPr>
              <w:t>1.1.2</w:t>
            </w:r>
            <w:r>
              <w:rPr>
                <w:rFonts w:asciiTheme="minorHAnsi" w:hAnsiTheme="minorHAnsi"/>
                <w:noProof/>
                <w:lang w:eastAsia="en-US"/>
              </w:rPr>
              <w:tab/>
            </w:r>
            <w:r w:rsidRPr="009E416A">
              <w:rPr>
                <w:rStyle w:val="Hyperlink"/>
                <w:noProof/>
              </w:rPr>
              <w:t>What is a high-efficiency heat pump and how can it reduce GHG emissions?</w:t>
            </w:r>
            <w:r>
              <w:rPr>
                <w:noProof/>
                <w:webHidden/>
              </w:rPr>
              <w:tab/>
            </w:r>
            <w:r>
              <w:rPr>
                <w:noProof/>
                <w:webHidden/>
              </w:rPr>
              <w:fldChar w:fldCharType="begin"/>
            </w:r>
            <w:r>
              <w:rPr>
                <w:noProof/>
                <w:webHidden/>
              </w:rPr>
              <w:instrText xml:space="preserve"> PAGEREF _Toc42289704 \h </w:instrText>
            </w:r>
            <w:r>
              <w:rPr>
                <w:noProof/>
                <w:webHidden/>
              </w:rPr>
            </w:r>
            <w:r>
              <w:rPr>
                <w:noProof/>
                <w:webHidden/>
              </w:rPr>
              <w:fldChar w:fldCharType="separate"/>
            </w:r>
            <w:r>
              <w:rPr>
                <w:noProof/>
                <w:webHidden/>
              </w:rPr>
              <w:t>6</w:t>
            </w:r>
            <w:r>
              <w:rPr>
                <w:noProof/>
                <w:webHidden/>
              </w:rPr>
              <w:fldChar w:fldCharType="end"/>
            </w:r>
          </w:hyperlink>
        </w:p>
        <w:p w14:paraId="01B41F3B" w14:textId="230D43EA" w:rsidR="00E60668" w:rsidRDefault="00E60668">
          <w:pPr>
            <w:pStyle w:val="TOC2"/>
            <w:tabs>
              <w:tab w:val="left" w:pos="880"/>
              <w:tab w:val="right" w:leader="dot" w:pos="9350"/>
            </w:tabs>
            <w:rPr>
              <w:rFonts w:asciiTheme="minorHAnsi" w:hAnsiTheme="minorHAnsi"/>
              <w:noProof/>
              <w:lang w:eastAsia="en-US"/>
            </w:rPr>
          </w:pPr>
          <w:hyperlink w:anchor="_Toc42289705" w:history="1">
            <w:r w:rsidRPr="009E416A">
              <w:rPr>
                <w:rStyle w:val="Hyperlink"/>
                <w:noProof/>
              </w:rPr>
              <w:t>1.2</w:t>
            </w:r>
            <w:r>
              <w:rPr>
                <w:rFonts w:asciiTheme="minorHAnsi" w:hAnsiTheme="minorHAnsi"/>
                <w:noProof/>
                <w:lang w:eastAsia="en-US"/>
              </w:rPr>
              <w:tab/>
            </w:r>
            <w:r w:rsidRPr="009E416A">
              <w:rPr>
                <w:rStyle w:val="Hyperlink"/>
                <w:noProof/>
              </w:rPr>
              <w:t>Adoption Path for High-Efficiency Heat Pumps</w:t>
            </w:r>
            <w:r>
              <w:rPr>
                <w:noProof/>
                <w:webHidden/>
              </w:rPr>
              <w:tab/>
            </w:r>
            <w:r>
              <w:rPr>
                <w:noProof/>
                <w:webHidden/>
              </w:rPr>
              <w:fldChar w:fldCharType="begin"/>
            </w:r>
            <w:r>
              <w:rPr>
                <w:noProof/>
                <w:webHidden/>
              </w:rPr>
              <w:instrText xml:space="preserve"> PAGEREF _Toc42289705 \h </w:instrText>
            </w:r>
            <w:r>
              <w:rPr>
                <w:noProof/>
                <w:webHidden/>
              </w:rPr>
            </w:r>
            <w:r>
              <w:rPr>
                <w:noProof/>
                <w:webHidden/>
              </w:rPr>
              <w:fldChar w:fldCharType="separate"/>
            </w:r>
            <w:r>
              <w:rPr>
                <w:noProof/>
                <w:webHidden/>
              </w:rPr>
              <w:t>10</w:t>
            </w:r>
            <w:r>
              <w:rPr>
                <w:noProof/>
                <w:webHidden/>
              </w:rPr>
              <w:fldChar w:fldCharType="end"/>
            </w:r>
          </w:hyperlink>
        </w:p>
        <w:p w14:paraId="761ED8C5" w14:textId="3A73D187" w:rsidR="00E60668" w:rsidRDefault="00E60668">
          <w:pPr>
            <w:pStyle w:val="TOC3"/>
            <w:tabs>
              <w:tab w:val="left" w:pos="1320"/>
              <w:tab w:val="right" w:leader="dot" w:pos="9350"/>
            </w:tabs>
            <w:rPr>
              <w:rFonts w:asciiTheme="minorHAnsi" w:hAnsiTheme="minorHAnsi"/>
              <w:noProof/>
              <w:lang w:eastAsia="en-US"/>
            </w:rPr>
          </w:pPr>
          <w:hyperlink w:anchor="_Toc42289706" w:history="1">
            <w:r w:rsidRPr="009E416A">
              <w:rPr>
                <w:rStyle w:val="Hyperlink"/>
                <w:noProof/>
              </w:rPr>
              <w:t>1.2.1</w:t>
            </w:r>
            <w:r>
              <w:rPr>
                <w:rFonts w:asciiTheme="minorHAnsi" w:hAnsiTheme="minorHAnsi"/>
                <w:noProof/>
                <w:lang w:eastAsia="en-US"/>
              </w:rPr>
              <w:tab/>
            </w:r>
            <w:r w:rsidRPr="009E416A">
              <w:rPr>
                <w:rStyle w:val="Hyperlink"/>
                <w:noProof/>
              </w:rPr>
              <w:t>Current Adoption of High-Efficiency Heat pumps</w:t>
            </w:r>
            <w:r>
              <w:rPr>
                <w:noProof/>
                <w:webHidden/>
              </w:rPr>
              <w:tab/>
            </w:r>
            <w:r>
              <w:rPr>
                <w:noProof/>
                <w:webHidden/>
              </w:rPr>
              <w:fldChar w:fldCharType="begin"/>
            </w:r>
            <w:r>
              <w:rPr>
                <w:noProof/>
                <w:webHidden/>
              </w:rPr>
              <w:instrText xml:space="preserve"> PAGEREF _Toc42289706 \h </w:instrText>
            </w:r>
            <w:r>
              <w:rPr>
                <w:noProof/>
                <w:webHidden/>
              </w:rPr>
            </w:r>
            <w:r>
              <w:rPr>
                <w:noProof/>
                <w:webHidden/>
              </w:rPr>
              <w:fldChar w:fldCharType="separate"/>
            </w:r>
            <w:r>
              <w:rPr>
                <w:noProof/>
                <w:webHidden/>
              </w:rPr>
              <w:t>10</w:t>
            </w:r>
            <w:r>
              <w:rPr>
                <w:noProof/>
                <w:webHidden/>
              </w:rPr>
              <w:fldChar w:fldCharType="end"/>
            </w:r>
          </w:hyperlink>
        </w:p>
        <w:p w14:paraId="186F0292" w14:textId="3A8B2492" w:rsidR="00E60668" w:rsidRDefault="00E60668">
          <w:pPr>
            <w:pStyle w:val="TOC3"/>
            <w:tabs>
              <w:tab w:val="left" w:pos="1320"/>
              <w:tab w:val="right" w:leader="dot" w:pos="9350"/>
            </w:tabs>
            <w:rPr>
              <w:rFonts w:asciiTheme="minorHAnsi" w:hAnsiTheme="minorHAnsi"/>
              <w:noProof/>
              <w:lang w:eastAsia="en-US"/>
            </w:rPr>
          </w:pPr>
          <w:hyperlink w:anchor="_Toc42289707" w:history="1">
            <w:r w:rsidRPr="009E416A">
              <w:rPr>
                <w:rStyle w:val="Hyperlink"/>
                <w:noProof/>
              </w:rPr>
              <w:t>1.2.2</w:t>
            </w:r>
            <w:r>
              <w:rPr>
                <w:rFonts w:asciiTheme="minorHAnsi" w:hAnsiTheme="minorHAnsi"/>
                <w:noProof/>
                <w:lang w:eastAsia="en-US"/>
              </w:rPr>
              <w:tab/>
            </w:r>
            <w:r w:rsidRPr="009E416A">
              <w:rPr>
                <w:rStyle w:val="Hyperlink"/>
                <w:noProof/>
              </w:rPr>
              <w:t>Trends to Accelerate Adoption of High-Efficiency Heat Pumps</w:t>
            </w:r>
            <w:r>
              <w:rPr>
                <w:noProof/>
                <w:webHidden/>
              </w:rPr>
              <w:tab/>
            </w:r>
            <w:r>
              <w:rPr>
                <w:noProof/>
                <w:webHidden/>
              </w:rPr>
              <w:fldChar w:fldCharType="begin"/>
            </w:r>
            <w:r>
              <w:rPr>
                <w:noProof/>
                <w:webHidden/>
              </w:rPr>
              <w:instrText xml:space="preserve"> PAGEREF _Toc42289707 \h </w:instrText>
            </w:r>
            <w:r>
              <w:rPr>
                <w:noProof/>
                <w:webHidden/>
              </w:rPr>
            </w:r>
            <w:r>
              <w:rPr>
                <w:noProof/>
                <w:webHidden/>
              </w:rPr>
              <w:fldChar w:fldCharType="separate"/>
            </w:r>
            <w:r>
              <w:rPr>
                <w:noProof/>
                <w:webHidden/>
              </w:rPr>
              <w:t>12</w:t>
            </w:r>
            <w:r>
              <w:rPr>
                <w:noProof/>
                <w:webHidden/>
              </w:rPr>
              <w:fldChar w:fldCharType="end"/>
            </w:r>
          </w:hyperlink>
        </w:p>
        <w:p w14:paraId="75C24EF6" w14:textId="0E823985" w:rsidR="00E60668" w:rsidRDefault="00E60668">
          <w:pPr>
            <w:pStyle w:val="TOC3"/>
            <w:tabs>
              <w:tab w:val="left" w:pos="1320"/>
              <w:tab w:val="right" w:leader="dot" w:pos="9350"/>
            </w:tabs>
            <w:rPr>
              <w:rFonts w:asciiTheme="minorHAnsi" w:hAnsiTheme="minorHAnsi"/>
              <w:noProof/>
              <w:lang w:eastAsia="en-US"/>
            </w:rPr>
          </w:pPr>
          <w:hyperlink w:anchor="_Toc42289708" w:history="1">
            <w:r w:rsidRPr="009E416A">
              <w:rPr>
                <w:rStyle w:val="Hyperlink"/>
                <w:noProof/>
              </w:rPr>
              <w:t>1.2.3</w:t>
            </w:r>
            <w:r>
              <w:rPr>
                <w:rFonts w:asciiTheme="minorHAnsi" w:hAnsiTheme="minorHAnsi"/>
                <w:noProof/>
                <w:lang w:eastAsia="en-US"/>
              </w:rPr>
              <w:tab/>
            </w:r>
            <w:r w:rsidRPr="009E416A">
              <w:rPr>
                <w:rStyle w:val="Hyperlink"/>
                <w:noProof/>
              </w:rPr>
              <w:t>Barriers to Adoption of High-Efficiency Heat Pumps</w:t>
            </w:r>
            <w:r>
              <w:rPr>
                <w:noProof/>
                <w:webHidden/>
              </w:rPr>
              <w:tab/>
            </w:r>
            <w:r>
              <w:rPr>
                <w:noProof/>
                <w:webHidden/>
              </w:rPr>
              <w:fldChar w:fldCharType="begin"/>
            </w:r>
            <w:r>
              <w:rPr>
                <w:noProof/>
                <w:webHidden/>
              </w:rPr>
              <w:instrText xml:space="preserve"> PAGEREF _Toc42289708 \h </w:instrText>
            </w:r>
            <w:r>
              <w:rPr>
                <w:noProof/>
                <w:webHidden/>
              </w:rPr>
            </w:r>
            <w:r>
              <w:rPr>
                <w:noProof/>
                <w:webHidden/>
              </w:rPr>
              <w:fldChar w:fldCharType="separate"/>
            </w:r>
            <w:r>
              <w:rPr>
                <w:noProof/>
                <w:webHidden/>
              </w:rPr>
              <w:t>17</w:t>
            </w:r>
            <w:r>
              <w:rPr>
                <w:noProof/>
                <w:webHidden/>
              </w:rPr>
              <w:fldChar w:fldCharType="end"/>
            </w:r>
          </w:hyperlink>
        </w:p>
        <w:p w14:paraId="3A5C2EDA" w14:textId="0AE5B009" w:rsidR="00E60668" w:rsidRDefault="00E60668">
          <w:pPr>
            <w:pStyle w:val="TOC3"/>
            <w:tabs>
              <w:tab w:val="left" w:pos="1320"/>
              <w:tab w:val="right" w:leader="dot" w:pos="9350"/>
            </w:tabs>
            <w:rPr>
              <w:rFonts w:asciiTheme="minorHAnsi" w:hAnsiTheme="minorHAnsi"/>
              <w:noProof/>
              <w:lang w:eastAsia="en-US"/>
            </w:rPr>
          </w:pPr>
          <w:hyperlink w:anchor="_Toc42289709" w:history="1">
            <w:r w:rsidRPr="009E416A">
              <w:rPr>
                <w:rStyle w:val="Hyperlink"/>
                <w:noProof/>
              </w:rPr>
              <w:t>1.2.4</w:t>
            </w:r>
            <w:r>
              <w:rPr>
                <w:rFonts w:asciiTheme="minorHAnsi" w:hAnsiTheme="minorHAnsi"/>
                <w:noProof/>
                <w:lang w:eastAsia="en-US"/>
              </w:rPr>
              <w:tab/>
            </w:r>
            <w:r w:rsidRPr="009E416A">
              <w:rPr>
                <w:rStyle w:val="Hyperlink"/>
                <w:noProof/>
              </w:rPr>
              <w:t>Adoption Potential</w:t>
            </w:r>
            <w:r>
              <w:rPr>
                <w:noProof/>
                <w:webHidden/>
              </w:rPr>
              <w:tab/>
            </w:r>
            <w:r>
              <w:rPr>
                <w:noProof/>
                <w:webHidden/>
              </w:rPr>
              <w:fldChar w:fldCharType="begin"/>
            </w:r>
            <w:r>
              <w:rPr>
                <w:noProof/>
                <w:webHidden/>
              </w:rPr>
              <w:instrText xml:space="preserve"> PAGEREF _Toc42289709 \h </w:instrText>
            </w:r>
            <w:r>
              <w:rPr>
                <w:noProof/>
                <w:webHidden/>
              </w:rPr>
            </w:r>
            <w:r>
              <w:rPr>
                <w:noProof/>
                <w:webHidden/>
              </w:rPr>
              <w:fldChar w:fldCharType="separate"/>
            </w:r>
            <w:r>
              <w:rPr>
                <w:noProof/>
                <w:webHidden/>
              </w:rPr>
              <w:t>20</w:t>
            </w:r>
            <w:r>
              <w:rPr>
                <w:noProof/>
                <w:webHidden/>
              </w:rPr>
              <w:fldChar w:fldCharType="end"/>
            </w:r>
          </w:hyperlink>
        </w:p>
        <w:p w14:paraId="7D7E21DB" w14:textId="76EBA406" w:rsidR="00E60668" w:rsidRDefault="00E60668">
          <w:pPr>
            <w:pStyle w:val="TOC2"/>
            <w:tabs>
              <w:tab w:val="left" w:pos="880"/>
              <w:tab w:val="right" w:leader="dot" w:pos="9350"/>
            </w:tabs>
            <w:rPr>
              <w:rFonts w:asciiTheme="minorHAnsi" w:hAnsiTheme="minorHAnsi"/>
              <w:noProof/>
              <w:lang w:eastAsia="en-US"/>
            </w:rPr>
          </w:pPr>
          <w:hyperlink w:anchor="_Toc42289710" w:history="1">
            <w:r w:rsidRPr="009E416A">
              <w:rPr>
                <w:rStyle w:val="Hyperlink"/>
                <w:noProof/>
              </w:rPr>
              <w:t>1.3</w:t>
            </w:r>
            <w:r>
              <w:rPr>
                <w:rFonts w:asciiTheme="minorHAnsi" w:hAnsiTheme="minorHAnsi"/>
                <w:noProof/>
                <w:lang w:eastAsia="en-US"/>
              </w:rPr>
              <w:tab/>
            </w:r>
            <w:r w:rsidRPr="009E416A">
              <w:rPr>
                <w:rStyle w:val="Hyperlink"/>
                <w:noProof/>
              </w:rPr>
              <w:t>Advantages and disadvantages of High-Efficiency Heat Pumps</w:t>
            </w:r>
            <w:r>
              <w:rPr>
                <w:noProof/>
                <w:webHidden/>
              </w:rPr>
              <w:tab/>
            </w:r>
            <w:r>
              <w:rPr>
                <w:noProof/>
                <w:webHidden/>
              </w:rPr>
              <w:fldChar w:fldCharType="begin"/>
            </w:r>
            <w:r>
              <w:rPr>
                <w:noProof/>
                <w:webHidden/>
              </w:rPr>
              <w:instrText xml:space="preserve"> PAGEREF _Toc42289710 \h </w:instrText>
            </w:r>
            <w:r>
              <w:rPr>
                <w:noProof/>
                <w:webHidden/>
              </w:rPr>
            </w:r>
            <w:r>
              <w:rPr>
                <w:noProof/>
                <w:webHidden/>
              </w:rPr>
              <w:fldChar w:fldCharType="separate"/>
            </w:r>
            <w:r>
              <w:rPr>
                <w:noProof/>
                <w:webHidden/>
              </w:rPr>
              <w:t>23</w:t>
            </w:r>
            <w:r>
              <w:rPr>
                <w:noProof/>
                <w:webHidden/>
              </w:rPr>
              <w:fldChar w:fldCharType="end"/>
            </w:r>
          </w:hyperlink>
        </w:p>
        <w:p w14:paraId="6AE5C565" w14:textId="11EF84C0" w:rsidR="00E60668" w:rsidRDefault="00E60668">
          <w:pPr>
            <w:pStyle w:val="TOC3"/>
            <w:tabs>
              <w:tab w:val="left" w:pos="1320"/>
              <w:tab w:val="right" w:leader="dot" w:pos="9350"/>
            </w:tabs>
            <w:rPr>
              <w:rFonts w:asciiTheme="minorHAnsi" w:hAnsiTheme="minorHAnsi"/>
              <w:noProof/>
              <w:lang w:eastAsia="en-US"/>
            </w:rPr>
          </w:pPr>
          <w:hyperlink w:anchor="_Toc42289711" w:history="1">
            <w:r w:rsidRPr="009E416A">
              <w:rPr>
                <w:rStyle w:val="Hyperlink"/>
                <w:noProof/>
              </w:rPr>
              <w:t>1.3.1</w:t>
            </w:r>
            <w:r>
              <w:rPr>
                <w:rFonts w:asciiTheme="minorHAnsi" w:hAnsiTheme="minorHAnsi"/>
                <w:noProof/>
                <w:lang w:eastAsia="en-US"/>
              </w:rPr>
              <w:tab/>
            </w:r>
            <w:r w:rsidRPr="009E416A">
              <w:rPr>
                <w:rStyle w:val="Hyperlink"/>
                <w:noProof/>
              </w:rPr>
              <w:t>Similar Solutions</w:t>
            </w:r>
            <w:r>
              <w:rPr>
                <w:noProof/>
                <w:webHidden/>
              </w:rPr>
              <w:tab/>
            </w:r>
            <w:r>
              <w:rPr>
                <w:noProof/>
                <w:webHidden/>
              </w:rPr>
              <w:fldChar w:fldCharType="begin"/>
            </w:r>
            <w:r>
              <w:rPr>
                <w:noProof/>
                <w:webHidden/>
              </w:rPr>
              <w:instrText xml:space="preserve"> PAGEREF _Toc42289711 \h </w:instrText>
            </w:r>
            <w:r>
              <w:rPr>
                <w:noProof/>
                <w:webHidden/>
              </w:rPr>
            </w:r>
            <w:r>
              <w:rPr>
                <w:noProof/>
                <w:webHidden/>
              </w:rPr>
              <w:fldChar w:fldCharType="separate"/>
            </w:r>
            <w:r>
              <w:rPr>
                <w:noProof/>
                <w:webHidden/>
              </w:rPr>
              <w:t>23</w:t>
            </w:r>
            <w:r>
              <w:rPr>
                <w:noProof/>
                <w:webHidden/>
              </w:rPr>
              <w:fldChar w:fldCharType="end"/>
            </w:r>
          </w:hyperlink>
        </w:p>
        <w:p w14:paraId="0BD290D5" w14:textId="57F2E5BC" w:rsidR="00E60668" w:rsidRDefault="00E60668">
          <w:pPr>
            <w:pStyle w:val="TOC3"/>
            <w:tabs>
              <w:tab w:val="left" w:pos="1320"/>
              <w:tab w:val="right" w:leader="dot" w:pos="9350"/>
            </w:tabs>
            <w:rPr>
              <w:rFonts w:asciiTheme="minorHAnsi" w:hAnsiTheme="minorHAnsi"/>
              <w:noProof/>
              <w:lang w:eastAsia="en-US"/>
            </w:rPr>
          </w:pPr>
          <w:hyperlink w:anchor="_Toc42289712" w:history="1">
            <w:r w:rsidRPr="009E416A">
              <w:rPr>
                <w:rStyle w:val="Hyperlink"/>
                <w:noProof/>
              </w:rPr>
              <w:t>1.3.2</w:t>
            </w:r>
            <w:r>
              <w:rPr>
                <w:rFonts w:asciiTheme="minorHAnsi" w:hAnsiTheme="minorHAnsi"/>
                <w:noProof/>
                <w:lang w:eastAsia="en-US"/>
              </w:rPr>
              <w:tab/>
            </w:r>
            <w:r w:rsidRPr="009E416A">
              <w:rPr>
                <w:rStyle w:val="Hyperlink"/>
                <w:noProof/>
              </w:rPr>
              <w:t>Arguments for Adoption</w:t>
            </w:r>
            <w:r>
              <w:rPr>
                <w:noProof/>
                <w:webHidden/>
              </w:rPr>
              <w:tab/>
            </w:r>
            <w:r>
              <w:rPr>
                <w:noProof/>
                <w:webHidden/>
              </w:rPr>
              <w:fldChar w:fldCharType="begin"/>
            </w:r>
            <w:r>
              <w:rPr>
                <w:noProof/>
                <w:webHidden/>
              </w:rPr>
              <w:instrText xml:space="preserve"> PAGEREF _Toc42289712 \h </w:instrText>
            </w:r>
            <w:r>
              <w:rPr>
                <w:noProof/>
                <w:webHidden/>
              </w:rPr>
            </w:r>
            <w:r>
              <w:rPr>
                <w:noProof/>
                <w:webHidden/>
              </w:rPr>
              <w:fldChar w:fldCharType="separate"/>
            </w:r>
            <w:r>
              <w:rPr>
                <w:noProof/>
                <w:webHidden/>
              </w:rPr>
              <w:t>24</w:t>
            </w:r>
            <w:r>
              <w:rPr>
                <w:noProof/>
                <w:webHidden/>
              </w:rPr>
              <w:fldChar w:fldCharType="end"/>
            </w:r>
          </w:hyperlink>
        </w:p>
        <w:p w14:paraId="280AE677" w14:textId="5C952EAF" w:rsidR="00E60668" w:rsidRDefault="00E60668">
          <w:pPr>
            <w:pStyle w:val="TOC3"/>
            <w:tabs>
              <w:tab w:val="left" w:pos="1320"/>
              <w:tab w:val="right" w:leader="dot" w:pos="9350"/>
            </w:tabs>
            <w:rPr>
              <w:rFonts w:asciiTheme="minorHAnsi" w:hAnsiTheme="minorHAnsi"/>
              <w:noProof/>
              <w:lang w:eastAsia="en-US"/>
            </w:rPr>
          </w:pPr>
          <w:hyperlink w:anchor="_Toc42289713" w:history="1">
            <w:r w:rsidRPr="009E416A">
              <w:rPr>
                <w:rStyle w:val="Hyperlink"/>
                <w:noProof/>
              </w:rPr>
              <w:t>1.3.3</w:t>
            </w:r>
            <w:r>
              <w:rPr>
                <w:rFonts w:asciiTheme="minorHAnsi" w:hAnsiTheme="minorHAnsi"/>
                <w:noProof/>
                <w:lang w:eastAsia="en-US"/>
              </w:rPr>
              <w:tab/>
            </w:r>
            <w:r w:rsidRPr="009E416A">
              <w:rPr>
                <w:rStyle w:val="Hyperlink"/>
                <w:noProof/>
              </w:rPr>
              <w:t>Additional Benefits and Burdens</w:t>
            </w:r>
            <w:r>
              <w:rPr>
                <w:noProof/>
                <w:webHidden/>
              </w:rPr>
              <w:tab/>
            </w:r>
            <w:r>
              <w:rPr>
                <w:noProof/>
                <w:webHidden/>
              </w:rPr>
              <w:fldChar w:fldCharType="begin"/>
            </w:r>
            <w:r>
              <w:rPr>
                <w:noProof/>
                <w:webHidden/>
              </w:rPr>
              <w:instrText xml:space="preserve"> PAGEREF _Toc42289713 \h </w:instrText>
            </w:r>
            <w:r>
              <w:rPr>
                <w:noProof/>
                <w:webHidden/>
              </w:rPr>
            </w:r>
            <w:r>
              <w:rPr>
                <w:noProof/>
                <w:webHidden/>
              </w:rPr>
              <w:fldChar w:fldCharType="separate"/>
            </w:r>
            <w:r>
              <w:rPr>
                <w:noProof/>
                <w:webHidden/>
              </w:rPr>
              <w:t>25</w:t>
            </w:r>
            <w:r>
              <w:rPr>
                <w:noProof/>
                <w:webHidden/>
              </w:rPr>
              <w:fldChar w:fldCharType="end"/>
            </w:r>
          </w:hyperlink>
        </w:p>
        <w:p w14:paraId="453827B7" w14:textId="58AA693E" w:rsidR="00E60668" w:rsidRDefault="00E60668">
          <w:pPr>
            <w:pStyle w:val="TOC1"/>
            <w:tabs>
              <w:tab w:val="left" w:pos="440"/>
              <w:tab w:val="right" w:leader="dot" w:pos="9350"/>
            </w:tabs>
            <w:rPr>
              <w:rFonts w:asciiTheme="minorHAnsi" w:hAnsiTheme="minorHAnsi"/>
              <w:noProof/>
              <w:lang w:eastAsia="en-US"/>
            </w:rPr>
          </w:pPr>
          <w:hyperlink w:anchor="_Toc42289714" w:history="1">
            <w:r w:rsidRPr="009E416A">
              <w:rPr>
                <w:rStyle w:val="Hyperlink"/>
                <w:noProof/>
              </w:rPr>
              <w:t>2</w:t>
            </w:r>
            <w:r>
              <w:rPr>
                <w:rFonts w:asciiTheme="minorHAnsi" w:hAnsiTheme="minorHAnsi"/>
                <w:noProof/>
                <w:lang w:eastAsia="en-US"/>
              </w:rPr>
              <w:tab/>
            </w:r>
            <w:r w:rsidRPr="009E416A">
              <w:rPr>
                <w:rStyle w:val="Hyperlink"/>
                <w:noProof/>
              </w:rPr>
              <w:t>Methodology</w:t>
            </w:r>
            <w:r>
              <w:rPr>
                <w:noProof/>
                <w:webHidden/>
              </w:rPr>
              <w:tab/>
            </w:r>
            <w:r>
              <w:rPr>
                <w:noProof/>
                <w:webHidden/>
              </w:rPr>
              <w:fldChar w:fldCharType="begin"/>
            </w:r>
            <w:r>
              <w:rPr>
                <w:noProof/>
                <w:webHidden/>
              </w:rPr>
              <w:instrText xml:space="preserve"> PAGEREF _Toc42289714 \h </w:instrText>
            </w:r>
            <w:r>
              <w:rPr>
                <w:noProof/>
                <w:webHidden/>
              </w:rPr>
            </w:r>
            <w:r>
              <w:rPr>
                <w:noProof/>
                <w:webHidden/>
              </w:rPr>
              <w:fldChar w:fldCharType="separate"/>
            </w:r>
            <w:r>
              <w:rPr>
                <w:noProof/>
                <w:webHidden/>
              </w:rPr>
              <w:t>27</w:t>
            </w:r>
            <w:r>
              <w:rPr>
                <w:noProof/>
                <w:webHidden/>
              </w:rPr>
              <w:fldChar w:fldCharType="end"/>
            </w:r>
          </w:hyperlink>
        </w:p>
        <w:p w14:paraId="16587212" w14:textId="2D596D8D" w:rsidR="00E60668" w:rsidRDefault="00E60668">
          <w:pPr>
            <w:pStyle w:val="TOC2"/>
            <w:tabs>
              <w:tab w:val="left" w:pos="880"/>
              <w:tab w:val="right" w:leader="dot" w:pos="9350"/>
            </w:tabs>
            <w:rPr>
              <w:rFonts w:asciiTheme="minorHAnsi" w:hAnsiTheme="minorHAnsi"/>
              <w:noProof/>
              <w:lang w:eastAsia="en-US"/>
            </w:rPr>
          </w:pPr>
          <w:hyperlink w:anchor="_Toc42289715" w:history="1">
            <w:r w:rsidRPr="009E416A">
              <w:rPr>
                <w:rStyle w:val="Hyperlink"/>
                <w:noProof/>
              </w:rPr>
              <w:t>2.1</w:t>
            </w:r>
            <w:r>
              <w:rPr>
                <w:rFonts w:asciiTheme="minorHAnsi" w:hAnsiTheme="minorHAnsi"/>
                <w:noProof/>
                <w:lang w:eastAsia="en-US"/>
              </w:rPr>
              <w:tab/>
            </w:r>
            <w:r w:rsidRPr="009E416A">
              <w:rPr>
                <w:rStyle w:val="Hyperlink"/>
                <w:noProof/>
              </w:rPr>
              <w:t>Introduction</w:t>
            </w:r>
            <w:r>
              <w:rPr>
                <w:noProof/>
                <w:webHidden/>
              </w:rPr>
              <w:tab/>
            </w:r>
            <w:r>
              <w:rPr>
                <w:noProof/>
                <w:webHidden/>
              </w:rPr>
              <w:fldChar w:fldCharType="begin"/>
            </w:r>
            <w:r>
              <w:rPr>
                <w:noProof/>
                <w:webHidden/>
              </w:rPr>
              <w:instrText xml:space="preserve"> PAGEREF _Toc42289715 \h </w:instrText>
            </w:r>
            <w:r>
              <w:rPr>
                <w:noProof/>
                <w:webHidden/>
              </w:rPr>
            </w:r>
            <w:r>
              <w:rPr>
                <w:noProof/>
                <w:webHidden/>
              </w:rPr>
              <w:fldChar w:fldCharType="separate"/>
            </w:r>
            <w:r>
              <w:rPr>
                <w:noProof/>
                <w:webHidden/>
              </w:rPr>
              <w:t>27</w:t>
            </w:r>
            <w:r>
              <w:rPr>
                <w:noProof/>
                <w:webHidden/>
              </w:rPr>
              <w:fldChar w:fldCharType="end"/>
            </w:r>
          </w:hyperlink>
        </w:p>
        <w:p w14:paraId="5A1CE72B" w14:textId="6EE2968C" w:rsidR="00E60668" w:rsidRDefault="00E60668">
          <w:pPr>
            <w:pStyle w:val="TOC2"/>
            <w:tabs>
              <w:tab w:val="left" w:pos="880"/>
              <w:tab w:val="right" w:leader="dot" w:pos="9350"/>
            </w:tabs>
            <w:rPr>
              <w:rFonts w:asciiTheme="minorHAnsi" w:hAnsiTheme="minorHAnsi"/>
              <w:noProof/>
              <w:lang w:eastAsia="en-US"/>
            </w:rPr>
          </w:pPr>
          <w:hyperlink w:anchor="_Toc42289716" w:history="1">
            <w:r w:rsidRPr="009E416A">
              <w:rPr>
                <w:rStyle w:val="Hyperlink"/>
                <w:noProof/>
              </w:rPr>
              <w:t>2.2</w:t>
            </w:r>
            <w:r>
              <w:rPr>
                <w:rFonts w:asciiTheme="minorHAnsi" w:hAnsiTheme="minorHAnsi"/>
                <w:noProof/>
                <w:lang w:eastAsia="en-US"/>
              </w:rPr>
              <w:tab/>
            </w:r>
            <w:r w:rsidRPr="009E416A">
              <w:rPr>
                <w:rStyle w:val="Hyperlink"/>
                <w:noProof/>
              </w:rPr>
              <w:t>Data Sources</w:t>
            </w:r>
            <w:r>
              <w:rPr>
                <w:noProof/>
                <w:webHidden/>
              </w:rPr>
              <w:tab/>
            </w:r>
            <w:r>
              <w:rPr>
                <w:noProof/>
                <w:webHidden/>
              </w:rPr>
              <w:fldChar w:fldCharType="begin"/>
            </w:r>
            <w:r>
              <w:rPr>
                <w:noProof/>
                <w:webHidden/>
              </w:rPr>
              <w:instrText xml:space="preserve"> PAGEREF _Toc42289716 \h </w:instrText>
            </w:r>
            <w:r>
              <w:rPr>
                <w:noProof/>
                <w:webHidden/>
              </w:rPr>
            </w:r>
            <w:r>
              <w:rPr>
                <w:noProof/>
                <w:webHidden/>
              </w:rPr>
              <w:fldChar w:fldCharType="separate"/>
            </w:r>
            <w:r>
              <w:rPr>
                <w:noProof/>
                <w:webHidden/>
              </w:rPr>
              <w:t>29</w:t>
            </w:r>
            <w:r>
              <w:rPr>
                <w:noProof/>
                <w:webHidden/>
              </w:rPr>
              <w:fldChar w:fldCharType="end"/>
            </w:r>
          </w:hyperlink>
        </w:p>
        <w:p w14:paraId="21DD332A" w14:textId="2B143101" w:rsidR="00E60668" w:rsidRDefault="00E60668">
          <w:pPr>
            <w:pStyle w:val="TOC2"/>
            <w:tabs>
              <w:tab w:val="left" w:pos="880"/>
              <w:tab w:val="right" w:leader="dot" w:pos="9350"/>
            </w:tabs>
            <w:rPr>
              <w:rFonts w:asciiTheme="minorHAnsi" w:hAnsiTheme="minorHAnsi"/>
              <w:noProof/>
              <w:lang w:eastAsia="en-US"/>
            </w:rPr>
          </w:pPr>
          <w:hyperlink w:anchor="_Toc42289717" w:history="1">
            <w:r w:rsidRPr="009E416A">
              <w:rPr>
                <w:rStyle w:val="Hyperlink"/>
                <w:noProof/>
              </w:rPr>
              <w:t>2.3</w:t>
            </w:r>
            <w:r>
              <w:rPr>
                <w:rFonts w:asciiTheme="minorHAnsi" w:hAnsiTheme="minorHAnsi"/>
                <w:noProof/>
                <w:lang w:eastAsia="en-US"/>
              </w:rPr>
              <w:tab/>
            </w:r>
            <w:r w:rsidRPr="009E416A">
              <w:rPr>
                <w:rStyle w:val="Hyperlink"/>
                <w:noProof/>
              </w:rPr>
              <w:t>Space Heating Delivered Energy Total Addressable Market (TAM)</w:t>
            </w:r>
            <w:r>
              <w:rPr>
                <w:noProof/>
                <w:webHidden/>
              </w:rPr>
              <w:tab/>
            </w:r>
            <w:r>
              <w:rPr>
                <w:noProof/>
                <w:webHidden/>
              </w:rPr>
              <w:fldChar w:fldCharType="begin"/>
            </w:r>
            <w:r>
              <w:rPr>
                <w:noProof/>
                <w:webHidden/>
              </w:rPr>
              <w:instrText xml:space="preserve"> PAGEREF _Toc42289717 \h </w:instrText>
            </w:r>
            <w:r>
              <w:rPr>
                <w:noProof/>
                <w:webHidden/>
              </w:rPr>
            </w:r>
            <w:r>
              <w:rPr>
                <w:noProof/>
                <w:webHidden/>
              </w:rPr>
              <w:fldChar w:fldCharType="separate"/>
            </w:r>
            <w:r>
              <w:rPr>
                <w:noProof/>
                <w:webHidden/>
              </w:rPr>
              <w:t>30</w:t>
            </w:r>
            <w:r>
              <w:rPr>
                <w:noProof/>
                <w:webHidden/>
              </w:rPr>
              <w:fldChar w:fldCharType="end"/>
            </w:r>
          </w:hyperlink>
        </w:p>
        <w:p w14:paraId="3E00A43B" w14:textId="3A49D19D" w:rsidR="00E60668" w:rsidRDefault="00E60668">
          <w:pPr>
            <w:pStyle w:val="TOC2"/>
            <w:tabs>
              <w:tab w:val="left" w:pos="880"/>
              <w:tab w:val="right" w:leader="dot" w:pos="9350"/>
            </w:tabs>
            <w:rPr>
              <w:rFonts w:asciiTheme="minorHAnsi" w:hAnsiTheme="minorHAnsi"/>
              <w:noProof/>
              <w:lang w:eastAsia="en-US"/>
            </w:rPr>
          </w:pPr>
          <w:hyperlink w:anchor="_Toc42289718" w:history="1">
            <w:r w:rsidRPr="009E416A">
              <w:rPr>
                <w:rStyle w:val="Hyperlink"/>
                <w:noProof/>
              </w:rPr>
              <w:t>2.4</w:t>
            </w:r>
            <w:r>
              <w:rPr>
                <w:rFonts w:asciiTheme="minorHAnsi" w:hAnsiTheme="minorHAnsi"/>
                <w:noProof/>
                <w:lang w:eastAsia="en-US"/>
              </w:rPr>
              <w:tab/>
            </w:r>
            <w:r w:rsidRPr="009E416A">
              <w:rPr>
                <w:rStyle w:val="Hyperlink"/>
                <w:noProof/>
              </w:rPr>
              <w:t>Adoption Scenarios</w:t>
            </w:r>
            <w:r>
              <w:rPr>
                <w:noProof/>
                <w:webHidden/>
              </w:rPr>
              <w:tab/>
            </w:r>
            <w:r>
              <w:rPr>
                <w:noProof/>
                <w:webHidden/>
              </w:rPr>
              <w:fldChar w:fldCharType="begin"/>
            </w:r>
            <w:r>
              <w:rPr>
                <w:noProof/>
                <w:webHidden/>
              </w:rPr>
              <w:instrText xml:space="preserve"> PAGEREF _Toc42289718 \h </w:instrText>
            </w:r>
            <w:r>
              <w:rPr>
                <w:noProof/>
                <w:webHidden/>
              </w:rPr>
            </w:r>
            <w:r>
              <w:rPr>
                <w:noProof/>
                <w:webHidden/>
              </w:rPr>
              <w:fldChar w:fldCharType="separate"/>
            </w:r>
            <w:r>
              <w:rPr>
                <w:noProof/>
                <w:webHidden/>
              </w:rPr>
              <w:t>31</w:t>
            </w:r>
            <w:r>
              <w:rPr>
                <w:noProof/>
                <w:webHidden/>
              </w:rPr>
              <w:fldChar w:fldCharType="end"/>
            </w:r>
          </w:hyperlink>
        </w:p>
        <w:p w14:paraId="39A93A55" w14:textId="01CEE668" w:rsidR="00E60668" w:rsidRDefault="00E60668">
          <w:pPr>
            <w:pStyle w:val="TOC3"/>
            <w:tabs>
              <w:tab w:val="left" w:pos="1320"/>
              <w:tab w:val="right" w:leader="dot" w:pos="9350"/>
            </w:tabs>
            <w:rPr>
              <w:rFonts w:asciiTheme="minorHAnsi" w:hAnsiTheme="minorHAnsi"/>
              <w:noProof/>
              <w:lang w:eastAsia="en-US"/>
            </w:rPr>
          </w:pPr>
          <w:hyperlink w:anchor="_Toc42289719" w:history="1">
            <w:r w:rsidRPr="009E416A">
              <w:rPr>
                <w:rStyle w:val="Hyperlink"/>
                <w:noProof/>
              </w:rPr>
              <w:t>2.4.1</w:t>
            </w:r>
            <w:r>
              <w:rPr>
                <w:rFonts w:asciiTheme="minorHAnsi" w:hAnsiTheme="minorHAnsi"/>
                <w:noProof/>
                <w:lang w:eastAsia="en-US"/>
              </w:rPr>
              <w:tab/>
            </w:r>
            <w:r w:rsidRPr="009E416A">
              <w:rPr>
                <w:rStyle w:val="Hyperlink"/>
                <w:noProof/>
              </w:rPr>
              <w:t>Reference Case / Current Adoption Scenario</w:t>
            </w:r>
            <w:r>
              <w:rPr>
                <w:noProof/>
                <w:webHidden/>
              </w:rPr>
              <w:tab/>
            </w:r>
            <w:r>
              <w:rPr>
                <w:noProof/>
                <w:webHidden/>
              </w:rPr>
              <w:fldChar w:fldCharType="begin"/>
            </w:r>
            <w:r>
              <w:rPr>
                <w:noProof/>
                <w:webHidden/>
              </w:rPr>
              <w:instrText xml:space="preserve"> PAGEREF _Toc42289719 \h </w:instrText>
            </w:r>
            <w:r>
              <w:rPr>
                <w:noProof/>
                <w:webHidden/>
              </w:rPr>
            </w:r>
            <w:r>
              <w:rPr>
                <w:noProof/>
                <w:webHidden/>
              </w:rPr>
              <w:fldChar w:fldCharType="separate"/>
            </w:r>
            <w:r>
              <w:rPr>
                <w:noProof/>
                <w:webHidden/>
              </w:rPr>
              <w:t>31</w:t>
            </w:r>
            <w:r>
              <w:rPr>
                <w:noProof/>
                <w:webHidden/>
              </w:rPr>
              <w:fldChar w:fldCharType="end"/>
            </w:r>
          </w:hyperlink>
        </w:p>
        <w:p w14:paraId="2C2FB2FC" w14:textId="4D2561E5" w:rsidR="00E60668" w:rsidRDefault="00E60668">
          <w:pPr>
            <w:pStyle w:val="TOC3"/>
            <w:tabs>
              <w:tab w:val="left" w:pos="1320"/>
              <w:tab w:val="right" w:leader="dot" w:pos="9350"/>
            </w:tabs>
            <w:rPr>
              <w:rFonts w:asciiTheme="minorHAnsi" w:hAnsiTheme="minorHAnsi"/>
              <w:noProof/>
              <w:lang w:eastAsia="en-US"/>
            </w:rPr>
          </w:pPr>
          <w:hyperlink w:anchor="_Toc42289720" w:history="1">
            <w:r w:rsidRPr="009E416A">
              <w:rPr>
                <w:rStyle w:val="Hyperlink"/>
                <w:noProof/>
              </w:rPr>
              <w:t>2.4.2</w:t>
            </w:r>
            <w:r>
              <w:rPr>
                <w:rFonts w:asciiTheme="minorHAnsi" w:hAnsiTheme="minorHAnsi"/>
                <w:noProof/>
                <w:lang w:eastAsia="en-US"/>
              </w:rPr>
              <w:tab/>
            </w:r>
            <w:r w:rsidRPr="009E416A">
              <w:rPr>
                <w:rStyle w:val="Hyperlink"/>
                <w:noProof/>
              </w:rPr>
              <w:t>Project Drawdown Space Heating Delivered Energy Adoption Scenarios</w:t>
            </w:r>
            <w:r>
              <w:rPr>
                <w:noProof/>
                <w:webHidden/>
              </w:rPr>
              <w:tab/>
            </w:r>
            <w:r>
              <w:rPr>
                <w:noProof/>
                <w:webHidden/>
              </w:rPr>
              <w:fldChar w:fldCharType="begin"/>
            </w:r>
            <w:r>
              <w:rPr>
                <w:noProof/>
                <w:webHidden/>
              </w:rPr>
              <w:instrText xml:space="preserve"> PAGEREF _Toc42289720 \h </w:instrText>
            </w:r>
            <w:r>
              <w:rPr>
                <w:noProof/>
                <w:webHidden/>
              </w:rPr>
            </w:r>
            <w:r>
              <w:rPr>
                <w:noProof/>
                <w:webHidden/>
              </w:rPr>
              <w:fldChar w:fldCharType="separate"/>
            </w:r>
            <w:r>
              <w:rPr>
                <w:noProof/>
                <w:webHidden/>
              </w:rPr>
              <w:t>31</w:t>
            </w:r>
            <w:r>
              <w:rPr>
                <w:noProof/>
                <w:webHidden/>
              </w:rPr>
              <w:fldChar w:fldCharType="end"/>
            </w:r>
          </w:hyperlink>
        </w:p>
        <w:p w14:paraId="3CF23ACC" w14:textId="10C5FED6" w:rsidR="00E60668" w:rsidRDefault="00E60668">
          <w:pPr>
            <w:pStyle w:val="TOC2"/>
            <w:tabs>
              <w:tab w:val="left" w:pos="880"/>
              <w:tab w:val="right" w:leader="dot" w:pos="9350"/>
            </w:tabs>
            <w:rPr>
              <w:rFonts w:asciiTheme="minorHAnsi" w:hAnsiTheme="minorHAnsi"/>
              <w:noProof/>
              <w:lang w:eastAsia="en-US"/>
            </w:rPr>
          </w:pPr>
          <w:hyperlink w:anchor="_Toc42289721" w:history="1">
            <w:r w:rsidRPr="009E416A">
              <w:rPr>
                <w:rStyle w:val="Hyperlink"/>
                <w:noProof/>
              </w:rPr>
              <w:t>2.5</w:t>
            </w:r>
            <w:r>
              <w:rPr>
                <w:rFonts w:asciiTheme="minorHAnsi" w:hAnsiTheme="minorHAnsi"/>
                <w:noProof/>
                <w:lang w:eastAsia="en-US"/>
              </w:rPr>
              <w:tab/>
            </w:r>
            <w:r w:rsidRPr="009E416A">
              <w:rPr>
                <w:rStyle w:val="Hyperlink"/>
                <w:noProof/>
              </w:rPr>
              <w:t>Inputs</w:t>
            </w:r>
            <w:r>
              <w:rPr>
                <w:noProof/>
                <w:webHidden/>
              </w:rPr>
              <w:tab/>
            </w:r>
            <w:r>
              <w:rPr>
                <w:noProof/>
                <w:webHidden/>
              </w:rPr>
              <w:fldChar w:fldCharType="begin"/>
            </w:r>
            <w:r>
              <w:rPr>
                <w:noProof/>
                <w:webHidden/>
              </w:rPr>
              <w:instrText xml:space="preserve"> PAGEREF _Toc42289721 \h </w:instrText>
            </w:r>
            <w:r>
              <w:rPr>
                <w:noProof/>
                <w:webHidden/>
              </w:rPr>
            </w:r>
            <w:r>
              <w:rPr>
                <w:noProof/>
                <w:webHidden/>
              </w:rPr>
              <w:fldChar w:fldCharType="separate"/>
            </w:r>
            <w:r>
              <w:rPr>
                <w:noProof/>
                <w:webHidden/>
              </w:rPr>
              <w:t>33</w:t>
            </w:r>
            <w:r>
              <w:rPr>
                <w:noProof/>
                <w:webHidden/>
              </w:rPr>
              <w:fldChar w:fldCharType="end"/>
            </w:r>
          </w:hyperlink>
        </w:p>
        <w:p w14:paraId="33C6885D" w14:textId="308D34D1" w:rsidR="00E60668" w:rsidRDefault="00E60668">
          <w:pPr>
            <w:pStyle w:val="TOC3"/>
            <w:tabs>
              <w:tab w:val="left" w:pos="1320"/>
              <w:tab w:val="right" w:leader="dot" w:pos="9350"/>
            </w:tabs>
            <w:rPr>
              <w:rFonts w:asciiTheme="minorHAnsi" w:hAnsiTheme="minorHAnsi"/>
              <w:noProof/>
              <w:lang w:eastAsia="en-US"/>
            </w:rPr>
          </w:pPr>
          <w:hyperlink w:anchor="_Toc42289722" w:history="1">
            <w:r w:rsidRPr="009E416A">
              <w:rPr>
                <w:rStyle w:val="Hyperlink"/>
                <w:noProof/>
              </w:rPr>
              <w:t>2.5.1</w:t>
            </w:r>
            <w:r>
              <w:rPr>
                <w:rFonts w:asciiTheme="minorHAnsi" w:hAnsiTheme="minorHAnsi"/>
                <w:noProof/>
                <w:lang w:eastAsia="en-US"/>
              </w:rPr>
              <w:tab/>
            </w:r>
            <w:r w:rsidRPr="009E416A">
              <w:rPr>
                <w:rStyle w:val="Hyperlink"/>
                <w:noProof/>
              </w:rPr>
              <w:t>Climate Inputs</w:t>
            </w:r>
            <w:r>
              <w:rPr>
                <w:noProof/>
                <w:webHidden/>
              </w:rPr>
              <w:tab/>
            </w:r>
            <w:r>
              <w:rPr>
                <w:noProof/>
                <w:webHidden/>
              </w:rPr>
              <w:fldChar w:fldCharType="begin"/>
            </w:r>
            <w:r>
              <w:rPr>
                <w:noProof/>
                <w:webHidden/>
              </w:rPr>
              <w:instrText xml:space="preserve"> PAGEREF _Toc42289722 \h </w:instrText>
            </w:r>
            <w:r>
              <w:rPr>
                <w:noProof/>
                <w:webHidden/>
              </w:rPr>
            </w:r>
            <w:r>
              <w:rPr>
                <w:noProof/>
                <w:webHidden/>
              </w:rPr>
              <w:fldChar w:fldCharType="separate"/>
            </w:r>
            <w:r>
              <w:rPr>
                <w:noProof/>
                <w:webHidden/>
              </w:rPr>
              <w:t>33</w:t>
            </w:r>
            <w:r>
              <w:rPr>
                <w:noProof/>
                <w:webHidden/>
              </w:rPr>
              <w:fldChar w:fldCharType="end"/>
            </w:r>
          </w:hyperlink>
        </w:p>
        <w:p w14:paraId="626A32F9" w14:textId="659A04FB" w:rsidR="00E60668" w:rsidRDefault="00E60668">
          <w:pPr>
            <w:pStyle w:val="TOC3"/>
            <w:tabs>
              <w:tab w:val="left" w:pos="1320"/>
              <w:tab w:val="right" w:leader="dot" w:pos="9350"/>
            </w:tabs>
            <w:rPr>
              <w:rFonts w:asciiTheme="minorHAnsi" w:hAnsiTheme="minorHAnsi"/>
              <w:noProof/>
              <w:lang w:eastAsia="en-US"/>
            </w:rPr>
          </w:pPr>
          <w:hyperlink w:anchor="_Toc42289723" w:history="1">
            <w:r w:rsidRPr="009E416A">
              <w:rPr>
                <w:rStyle w:val="Hyperlink"/>
                <w:noProof/>
              </w:rPr>
              <w:t>2.5.2</w:t>
            </w:r>
            <w:r>
              <w:rPr>
                <w:rFonts w:asciiTheme="minorHAnsi" w:hAnsiTheme="minorHAnsi"/>
                <w:noProof/>
                <w:lang w:eastAsia="en-US"/>
              </w:rPr>
              <w:tab/>
            </w:r>
            <w:r w:rsidRPr="009E416A">
              <w:rPr>
                <w:rStyle w:val="Hyperlink"/>
                <w:noProof/>
              </w:rPr>
              <w:t>Financial Inputs</w:t>
            </w:r>
            <w:r>
              <w:rPr>
                <w:noProof/>
                <w:webHidden/>
              </w:rPr>
              <w:tab/>
            </w:r>
            <w:r>
              <w:rPr>
                <w:noProof/>
                <w:webHidden/>
              </w:rPr>
              <w:fldChar w:fldCharType="begin"/>
            </w:r>
            <w:r>
              <w:rPr>
                <w:noProof/>
                <w:webHidden/>
              </w:rPr>
              <w:instrText xml:space="preserve"> PAGEREF _Toc42289723 \h </w:instrText>
            </w:r>
            <w:r>
              <w:rPr>
                <w:noProof/>
                <w:webHidden/>
              </w:rPr>
            </w:r>
            <w:r>
              <w:rPr>
                <w:noProof/>
                <w:webHidden/>
              </w:rPr>
              <w:fldChar w:fldCharType="separate"/>
            </w:r>
            <w:r>
              <w:rPr>
                <w:noProof/>
                <w:webHidden/>
              </w:rPr>
              <w:t>35</w:t>
            </w:r>
            <w:r>
              <w:rPr>
                <w:noProof/>
                <w:webHidden/>
              </w:rPr>
              <w:fldChar w:fldCharType="end"/>
            </w:r>
          </w:hyperlink>
        </w:p>
        <w:p w14:paraId="1F325679" w14:textId="076E5E4E" w:rsidR="00E60668" w:rsidRDefault="00E60668">
          <w:pPr>
            <w:pStyle w:val="TOC3"/>
            <w:tabs>
              <w:tab w:val="left" w:pos="1320"/>
              <w:tab w:val="right" w:leader="dot" w:pos="9350"/>
            </w:tabs>
            <w:rPr>
              <w:rFonts w:asciiTheme="minorHAnsi" w:hAnsiTheme="minorHAnsi"/>
              <w:noProof/>
              <w:lang w:eastAsia="en-US"/>
            </w:rPr>
          </w:pPr>
          <w:hyperlink w:anchor="_Toc42289724" w:history="1">
            <w:r w:rsidRPr="009E416A">
              <w:rPr>
                <w:rStyle w:val="Hyperlink"/>
                <w:noProof/>
              </w:rPr>
              <w:t>2.5.3</w:t>
            </w:r>
            <w:r>
              <w:rPr>
                <w:rFonts w:asciiTheme="minorHAnsi" w:hAnsiTheme="minorHAnsi"/>
                <w:noProof/>
                <w:lang w:eastAsia="en-US"/>
              </w:rPr>
              <w:tab/>
            </w:r>
            <w:r w:rsidRPr="009E416A">
              <w:rPr>
                <w:rStyle w:val="Hyperlink"/>
                <w:noProof/>
              </w:rPr>
              <w:t>Technical Inputs</w:t>
            </w:r>
            <w:r>
              <w:rPr>
                <w:noProof/>
                <w:webHidden/>
              </w:rPr>
              <w:tab/>
            </w:r>
            <w:r>
              <w:rPr>
                <w:noProof/>
                <w:webHidden/>
              </w:rPr>
              <w:fldChar w:fldCharType="begin"/>
            </w:r>
            <w:r>
              <w:rPr>
                <w:noProof/>
                <w:webHidden/>
              </w:rPr>
              <w:instrText xml:space="preserve"> PAGEREF _Toc42289724 \h </w:instrText>
            </w:r>
            <w:r>
              <w:rPr>
                <w:noProof/>
                <w:webHidden/>
              </w:rPr>
            </w:r>
            <w:r>
              <w:rPr>
                <w:noProof/>
                <w:webHidden/>
              </w:rPr>
              <w:fldChar w:fldCharType="separate"/>
            </w:r>
            <w:r>
              <w:rPr>
                <w:noProof/>
                <w:webHidden/>
              </w:rPr>
              <w:t>37</w:t>
            </w:r>
            <w:r>
              <w:rPr>
                <w:noProof/>
                <w:webHidden/>
              </w:rPr>
              <w:fldChar w:fldCharType="end"/>
            </w:r>
          </w:hyperlink>
        </w:p>
        <w:p w14:paraId="692C1587" w14:textId="47BB897D" w:rsidR="00E60668" w:rsidRDefault="00E60668">
          <w:pPr>
            <w:pStyle w:val="TOC2"/>
            <w:tabs>
              <w:tab w:val="left" w:pos="880"/>
              <w:tab w:val="right" w:leader="dot" w:pos="9350"/>
            </w:tabs>
            <w:rPr>
              <w:rFonts w:asciiTheme="minorHAnsi" w:hAnsiTheme="minorHAnsi"/>
              <w:noProof/>
              <w:lang w:eastAsia="en-US"/>
            </w:rPr>
          </w:pPr>
          <w:hyperlink w:anchor="_Toc42289725" w:history="1">
            <w:r w:rsidRPr="009E416A">
              <w:rPr>
                <w:rStyle w:val="Hyperlink"/>
                <w:noProof/>
              </w:rPr>
              <w:t>2.6</w:t>
            </w:r>
            <w:r>
              <w:rPr>
                <w:rFonts w:asciiTheme="minorHAnsi" w:hAnsiTheme="minorHAnsi"/>
                <w:noProof/>
                <w:lang w:eastAsia="en-US"/>
              </w:rPr>
              <w:tab/>
            </w:r>
            <w:r w:rsidRPr="009E416A">
              <w:rPr>
                <w:rStyle w:val="Hyperlink"/>
                <w:noProof/>
              </w:rPr>
              <w:t>Assumptions</w:t>
            </w:r>
            <w:r>
              <w:rPr>
                <w:noProof/>
                <w:webHidden/>
              </w:rPr>
              <w:tab/>
            </w:r>
            <w:r>
              <w:rPr>
                <w:noProof/>
                <w:webHidden/>
              </w:rPr>
              <w:fldChar w:fldCharType="begin"/>
            </w:r>
            <w:r>
              <w:rPr>
                <w:noProof/>
                <w:webHidden/>
              </w:rPr>
              <w:instrText xml:space="preserve"> PAGEREF _Toc42289725 \h </w:instrText>
            </w:r>
            <w:r>
              <w:rPr>
                <w:noProof/>
                <w:webHidden/>
              </w:rPr>
            </w:r>
            <w:r>
              <w:rPr>
                <w:noProof/>
                <w:webHidden/>
              </w:rPr>
              <w:fldChar w:fldCharType="separate"/>
            </w:r>
            <w:r>
              <w:rPr>
                <w:noProof/>
                <w:webHidden/>
              </w:rPr>
              <w:t>40</w:t>
            </w:r>
            <w:r>
              <w:rPr>
                <w:noProof/>
                <w:webHidden/>
              </w:rPr>
              <w:fldChar w:fldCharType="end"/>
            </w:r>
          </w:hyperlink>
        </w:p>
        <w:p w14:paraId="5B42D760" w14:textId="28D20153" w:rsidR="00E60668" w:rsidRDefault="00E60668">
          <w:pPr>
            <w:pStyle w:val="TOC2"/>
            <w:tabs>
              <w:tab w:val="left" w:pos="880"/>
              <w:tab w:val="right" w:leader="dot" w:pos="9350"/>
            </w:tabs>
            <w:rPr>
              <w:rFonts w:asciiTheme="minorHAnsi" w:hAnsiTheme="minorHAnsi"/>
              <w:noProof/>
              <w:lang w:eastAsia="en-US"/>
            </w:rPr>
          </w:pPr>
          <w:hyperlink w:anchor="_Toc42289726" w:history="1">
            <w:r w:rsidRPr="009E416A">
              <w:rPr>
                <w:rStyle w:val="Hyperlink"/>
                <w:noProof/>
              </w:rPr>
              <w:t>2.7</w:t>
            </w:r>
            <w:r>
              <w:rPr>
                <w:rFonts w:asciiTheme="minorHAnsi" w:hAnsiTheme="minorHAnsi"/>
                <w:noProof/>
                <w:lang w:eastAsia="en-US"/>
              </w:rPr>
              <w:tab/>
            </w:r>
            <w:r w:rsidRPr="009E416A">
              <w:rPr>
                <w:rStyle w:val="Hyperlink"/>
                <w:noProof/>
              </w:rPr>
              <w:t>Integration</w:t>
            </w:r>
            <w:r>
              <w:rPr>
                <w:noProof/>
                <w:webHidden/>
              </w:rPr>
              <w:tab/>
            </w:r>
            <w:r>
              <w:rPr>
                <w:noProof/>
                <w:webHidden/>
              </w:rPr>
              <w:fldChar w:fldCharType="begin"/>
            </w:r>
            <w:r>
              <w:rPr>
                <w:noProof/>
                <w:webHidden/>
              </w:rPr>
              <w:instrText xml:space="preserve"> PAGEREF _Toc42289726 \h </w:instrText>
            </w:r>
            <w:r>
              <w:rPr>
                <w:noProof/>
                <w:webHidden/>
              </w:rPr>
            </w:r>
            <w:r>
              <w:rPr>
                <w:noProof/>
                <w:webHidden/>
              </w:rPr>
              <w:fldChar w:fldCharType="separate"/>
            </w:r>
            <w:r>
              <w:rPr>
                <w:noProof/>
                <w:webHidden/>
              </w:rPr>
              <w:t>41</w:t>
            </w:r>
            <w:r>
              <w:rPr>
                <w:noProof/>
                <w:webHidden/>
              </w:rPr>
              <w:fldChar w:fldCharType="end"/>
            </w:r>
          </w:hyperlink>
        </w:p>
        <w:p w14:paraId="2E4D56F7" w14:textId="5B46958E" w:rsidR="00E60668" w:rsidRDefault="00E60668">
          <w:pPr>
            <w:pStyle w:val="TOC2"/>
            <w:tabs>
              <w:tab w:val="left" w:pos="880"/>
              <w:tab w:val="right" w:leader="dot" w:pos="9350"/>
            </w:tabs>
            <w:rPr>
              <w:rFonts w:asciiTheme="minorHAnsi" w:hAnsiTheme="minorHAnsi"/>
              <w:noProof/>
              <w:lang w:eastAsia="en-US"/>
            </w:rPr>
          </w:pPr>
          <w:hyperlink w:anchor="_Toc42289727" w:history="1">
            <w:r w:rsidRPr="009E416A">
              <w:rPr>
                <w:rStyle w:val="Hyperlink"/>
                <w:noProof/>
              </w:rPr>
              <w:t>2.8</w:t>
            </w:r>
            <w:r>
              <w:rPr>
                <w:rFonts w:asciiTheme="minorHAnsi" w:hAnsiTheme="minorHAnsi"/>
                <w:noProof/>
                <w:lang w:eastAsia="en-US"/>
              </w:rPr>
              <w:tab/>
            </w:r>
            <w:r w:rsidRPr="009E416A">
              <w:rPr>
                <w:rStyle w:val="Hyperlink"/>
                <w:noProof/>
              </w:rPr>
              <w:t>Limitations/Further Development</w:t>
            </w:r>
            <w:r>
              <w:rPr>
                <w:noProof/>
                <w:webHidden/>
              </w:rPr>
              <w:tab/>
            </w:r>
            <w:r>
              <w:rPr>
                <w:noProof/>
                <w:webHidden/>
              </w:rPr>
              <w:fldChar w:fldCharType="begin"/>
            </w:r>
            <w:r>
              <w:rPr>
                <w:noProof/>
                <w:webHidden/>
              </w:rPr>
              <w:instrText xml:space="preserve"> PAGEREF _Toc42289727 \h </w:instrText>
            </w:r>
            <w:r>
              <w:rPr>
                <w:noProof/>
                <w:webHidden/>
              </w:rPr>
            </w:r>
            <w:r>
              <w:rPr>
                <w:noProof/>
                <w:webHidden/>
              </w:rPr>
              <w:fldChar w:fldCharType="separate"/>
            </w:r>
            <w:r>
              <w:rPr>
                <w:noProof/>
                <w:webHidden/>
              </w:rPr>
              <w:t>42</w:t>
            </w:r>
            <w:r>
              <w:rPr>
                <w:noProof/>
                <w:webHidden/>
              </w:rPr>
              <w:fldChar w:fldCharType="end"/>
            </w:r>
          </w:hyperlink>
        </w:p>
        <w:p w14:paraId="680E1A72" w14:textId="6778C484" w:rsidR="00E60668" w:rsidRDefault="00E60668">
          <w:pPr>
            <w:pStyle w:val="TOC1"/>
            <w:tabs>
              <w:tab w:val="left" w:pos="440"/>
              <w:tab w:val="right" w:leader="dot" w:pos="9350"/>
            </w:tabs>
            <w:rPr>
              <w:rFonts w:asciiTheme="minorHAnsi" w:hAnsiTheme="minorHAnsi"/>
              <w:noProof/>
              <w:lang w:eastAsia="en-US"/>
            </w:rPr>
          </w:pPr>
          <w:hyperlink w:anchor="_Toc42289728" w:history="1">
            <w:r w:rsidRPr="009E416A">
              <w:rPr>
                <w:rStyle w:val="Hyperlink"/>
                <w:noProof/>
              </w:rPr>
              <w:t>3</w:t>
            </w:r>
            <w:r>
              <w:rPr>
                <w:rFonts w:asciiTheme="minorHAnsi" w:hAnsiTheme="minorHAnsi"/>
                <w:noProof/>
                <w:lang w:eastAsia="en-US"/>
              </w:rPr>
              <w:tab/>
            </w:r>
            <w:r w:rsidRPr="009E416A">
              <w:rPr>
                <w:rStyle w:val="Hyperlink"/>
                <w:noProof/>
              </w:rPr>
              <w:t>Results</w:t>
            </w:r>
            <w:r>
              <w:rPr>
                <w:noProof/>
                <w:webHidden/>
              </w:rPr>
              <w:tab/>
            </w:r>
            <w:r>
              <w:rPr>
                <w:noProof/>
                <w:webHidden/>
              </w:rPr>
              <w:fldChar w:fldCharType="begin"/>
            </w:r>
            <w:r>
              <w:rPr>
                <w:noProof/>
                <w:webHidden/>
              </w:rPr>
              <w:instrText xml:space="preserve"> PAGEREF _Toc42289728 \h </w:instrText>
            </w:r>
            <w:r>
              <w:rPr>
                <w:noProof/>
                <w:webHidden/>
              </w:rPr>
            </w:r>
            <w:r>
              <w:rPr>
                <w:noProof/>
                <w:webHidden/>
              </w:rPr>
              <w:fldChar w:fldCharType="separate"/>
            </w:r>
            <w:r>
              <w:rPr>
                <w:noProof/>
                <w:webHidden/>
              </w:rPr>
              <w:t>43</w:t>
            </w:r>
            <w:r>
              <w:rPr>
                <w:noProof/>
                <w:webHidden/>
              </w:rPr>
              <w:fldChar w:fldCharType="end"/>
            </w:r>
          </w:hyperlink>
        </w:p>
        <w:p w14:paraId="001963A8" w14:textId="2A6F25F4" w:rsidR="00E60668" w:rsidRDefault="00E60668">
          <w:pPr>
            <w:pStyle w:val="TOC2"/>
            <w:tabs>
              <w:tab w:val="left" w:pos="880"/>
              <w:tab w:val="right" w:leader="dot" w:pos="9350"/>
            </w:tabs>
            <w:rPr>
              <w:rFonts w:asciiTheme="minorHAnsi" w:hAnsiTheme="minorHAnsi"/>
              <w:noProof/>
              <w:lang w:eastAsia="en-US"/>
            </w:rPr>
          </w:pPr>
          <w:hyperlink w:anchor="_Toc42289729" w:history="1">
            <w:r w:rsidRPr="009E416A">
              <w:rPr>
                <w:rStyle w:val="Hyperlink"/>
                <w:noProof/>
              </w:rPr>
              <w:t>3.1</w:t>
            </w:r>
            <w:r>
              <w:rPr>
                <w:rFonts w:asciiTheme="minorHAnsi" w:hAnsiTheme="minorHAnsi"/>
                <w:noProof/>
                <w:lang w:eastAsia="en-US"/>
              </w:rPr>
              <w:tab/>
            </w:r>
            <w:r w:rsidRPr="009E416A">
              <w:rPr>
                <w:rStyle w:val="Hyperlink"/>
                <w:noProof/>
              </w:rPr>
              <w:t>Adoption</w:t>
            </w:r>
            <w:r>
              <w:rPr>
                <w:noProof/>
                <w:webHidden/>
              </w:rPr>
              <w:tab/>
            </w:r>
            <w:r>
              <w:rPr>
                <w:noProof/>
                <w:webHidden/>
              </w:rPr>
              <w:fldChar w:fldCharType="begin"/>
            </w:r>
            <w:r>
              <w:rPr>
                <w:noProof/>
                <w:webHidden/>
              </w:rPr>
              <w:instrText xml:space="preserve"> PAGEREF _Toc42289729 \h </w:instrText>
            </w:r>
            <w:r>
              <w:rPr>
                <w:noProof/>
                <w:webHidden/>
              </w:rPr>
            </w:r>
            <w:r>
              <w:rPr>
                <w:noProof/>
                <w:webHidden/>
              </w:rPr>
              <w:fldChar w:fldCharType="separate"/>
            </w:r>
            <w:r>
              <w:rPr>
                <w:noProof/>
                <w:webHidden/>
              </w:rPr>
              <w:t>43</w:t>
            </w:r>
            <w:r>
              <w:rPr>
                <w:noProof/>
                <w:webHidden/>
              </w:rPr>
              <w:fldChar w:fldCharType="end"/>
            </w:r>
          </w:hyperlink>
        </w:p>
        <w:p w14:paraId="6910C825" w14:textId="24E983E2" w:rsidR="00E60668" w:rsidRDefault="00E60668">
          <w:pPr>
            <w:pStyle w:val="TOC2"/>
            <w:tabs>
              <w:tab w:val="left" w:pos="880"/>
              <w:tab w:val="right" w:leader="dot" w:pos="9350"/>
            </w:tabs>
            <w:rPr>
              <w:rFonts w:asciiTheme="minorHAnsi" w:hAnsiTheme="minorHAnsi"/>
              <w:noProof/>
              <w:lang w:eastAsia="en-US"/>
            </w:rPr>
          </w:pPr>
          <w:hyperlink w:anchor="_Toc42289730" w:history="1">
            <w:r w:rsidRPr="009E416A">
              <w:rPr>
                <w:rStyle w:val="Hyperlink"/>
                <w:noProof/>
              </w:rPr>
              <w:t>3.2</w:t>
            </w:r>
            <w:r>
              <w:rPr>
                <w:rFonts w:asciiTheme="minorHAnsi" w:hAnsiTheme="minorHAnsi"/>
                <w:noProof/>
                <w:lang w:eastAsia="en-US"/>
              </w:rPr>
              <w:tab/>
            </w:r>
            <w:r w:rsidRPr="009E416A">
              <w:rPr>
                <w:rStyle w:val="Hyperlink"/>
                <w:noProof/>
              </w:rPr>
              <w:t>Climate Impacts</w:t>
            </w:r>
            <w:r>
              <w:rPr>
                <w:noProof/>
                <w:webHidden/>
              </w:rPr>
              <w:tab/>
            </w:r>
            <w:r>
              <w:rPr>
                <w:noProof/>
                <w:webHidden/>
              </w:rPr>
              <w:fldChar w:fldCharType="begin"/>
            </w:r>
            <w:r>
              <w:rPr>
                <w:noProof/>
                <w:webHidden/>
              </w:rPr>
              <w:instrText xml:space="preserve"> PAGEREF _Toc42289730 \h </w:instrText>
            </w:r>
            <w:r>
              <w:rPr>
                <w:noProof/>
                <w:webHidden/>
              </w:rPr>
            </w:r>
            <w:r>
              <w:rPr>
                <w:noProof/>
                <w:webHidden/>
              </w:rPr>
              <w:fldChar w:fldCharType="separate"/>
            </w:r>
            <w:r>
              <w:rPr>
                <w:noProof/>
                <w:webHidden/>
              </w:rPr>
              <w:t>45</w:t>
            </w:r>
            <w:r>
              <w:rPr>
                <w:noProof/>
                <w:webHidden/>
              </w:rPr>
              <w:fldChar w:fldCharType="end"/>
            </w:r>
          </w:hyperlink>
        </w:p>
        <w:p w14:paraId="43DB2269" w14:textId="5F3A5A3C" w:rsidR="00E60668" w:rsidRDefault="00E60668">
          <w:pPr>
            <w:pStyle w:val="TOC2"/>
            <w:tabs>
              <w:tab w:val="left" w:pos="880"/>
              <w:tab w:val="right" w:leader="dot" w:pos="9350"/>
            </w:tabs>
            <w:rPr>
              <w:rFonts w:asciiTheme="minorHAnsi" w:hAnsiTheme="minorHAnsi"/>
              <w:noProof/>
              <w:lang w:eastAsia="en-US"/>
            </w:rPr>
          </w:pPr>
          <w:hyperlink w:anchor="_Toc42289731" w:history="1">
            <w:r w:rsidRPr="009E416A">
              <w:rPr>
                <w:rStyle w:val="Hyperlink"/>
                <w:noProof/>
              </w:rPr>
              <w:t>3.3</w:t>
            </w:r>
            <w:r>
              <w:rPr>
                <w:rFonts w:asciiTheme="minorHAnsi" w:hAnsiTheme="minorHAnsi"/>
                <w:noProof/>
                <w:lang w:eastAsia="en-US"/>
              </w:rPr>
              <w:tab/>
            </w:r>
            <w:r w:rsidRPr="009E416A">
              <w:rPr>
                <w:rStyle w:val="Hyperlink"/>
                <w:noProof/>
              </w:rPr>
              <w:t>Financial Impacts</w:t>
            </w:r>
            <w:r>
              <w:rPr>
                <w:noProof/>
                <w:webHidden/>
              </w:rPr>
              <w:tab/>
            </w:r>
            <w:r>
              <w:rPr>
                <w:noProof/>
                <w:webHidden/>
              </w:rPr>
              <w:fldChar w:fldCharType="begin"/>
            </w:r>
            <w:r>
              <w:rPr>
                <w:noProof/>
                <w:webHidden/>
              </w:rPr>
              <w:instrText xml:space="preserve"> PAGEREF _Toc42289731 \h </w:instrText>
            </w:r>
            <w:r>
              <w:rPr>
                <w:noProof/>
                <w:webHidden/>
              </w:rPr>
            </w:r>
            <w:r>
              <w:rPr>
                <w:noProof/>
                <w:webHidden/>
              </w:rPr>
              <w:fldChar w:fldCharType="separate"/>
            </w:r>
            <w:r>
              <w:rPr>
                <w:noProof/>
                <w:webHidden/>
              </w:rPr>
              <w:t>48</w:t>
            </w:r>
            <w:r>
              <w:rPr>
                <w:noProof/>
                <w:webHidden/>
              </w:rPr>
              <w:fldChar w:fldCharType="end"/>
            </w:r>
          </w:hyperlink>
        </w:p>
        <w:p w14:paraId="48C3FDFF" w14:textId="40AAD099" w:rsidR="00E60668" w:rsidRDefault="00E60668">
          <w:pPr>
            <w:pStyle w:val="TOC2"/>
            <w:tabs>
              <w:tab w:val="left" w:pos="880"/>
              <w:tab w:val="right" w:leader="dot" w:pos="9350"/>
            </w:tabs>
            <w:rPr>
              <w:rFonts w:asciiTheme="minorHAnsi" w:hAnsiTheme="minorHAnsi"/>
              <w:noProof/>
              <w:lang w:eastAsia="en-US"/>
            </w:rPr>
          </w:pPr>
          <w:hyperlink w:anchor="_Toc42289732" w:history="1">
            <w:r w:rsidRPr="009E416A">
              <w:rPr>
                <w:rStyle w:val="Hyperlink"/>
                <w:noProof/>
              </w:rPr>
              <w:t>3.4</w:t>
            </w:r>
            <w:r>
              <w:rPr>
                <w:rFonts w:asciiTheme="minorHAnsi" w:hAnsiTheme="minorHAnsi"/>
                <w:noProof/>
                <w:lang w:eastAsia="en-US"/>
              </w:rPr>
              <w:tab/>
            </w:r>
            <w:r w:rsidRPr="009E416A">
              <w:rPr>
                <w:rStyle w:val="Hyperlink"/>
                <w:noProof/>
              </w:rPr>
              <w:t>Other Impacts</w:t>
            </w:r>
            <w:r>
              <w:rPr>
                <w:noProof/>
                <w:webHidden/>
              </w:rPr>
              <w:tab/>
            </w:r>
            <w:r>
              <w:rPr>
                <w:noProof/>
                <w:webHidden/>
              </w:rPr>
              <w:fldChar w:fldCharType="begin"/>
            </w:r>
            <w:r>
              <w:rPr>
                <w:noProof/>
                <w:webHidden/>
              </w:rPr>
              <w:instrText xml:space="preserve"> PAGEREF _Toc42289732 \h </w:instrText>
            </w:r>
            <w:r>
              <w:rPr>
                <w:noProof/>
                <w:webHidden/>
              </w:rPr>
            </w:r>
            <w:r>
              <w:rPr>
                <w:noProof/>
                <w:webHidden/>
              </w:rPr>
              <w:fldChar w:fldCharType="separate"/>
            </w:r>
            <w:r>
              <w:rPr>
                <w:noProof/>
                <w:webHidden/>
              </w:rPr>
              <w:t>49</w:t>
            </w:r>
            <w:r>
              <w:rPr>
                <w:noProof/>
                <w:webHidden/>
              </w:rPr>
              <w:fldChar w:fldCharType="end"/>
            </w:r>
          </w:hyperlink>
        </w:p>
        <w:p w14:paraId="21F3F009" w14:textId="0BEEBC5F" w:rsidR="00E60668" w:rsidRDefault="00E60668">
          <w:pPr>
            <w:pStyle w:val="TOC1"/>
            <w:tabs>
              <w:tab w:val="left" w:pos="440"/>
              <w:tab w:val="right" w:leader="dot" w:pos="9350"/>
            </w:tabs>
            <w:rPr>
              <w:rFonts w:asciiTheme="minorHAnsi" w:hAnsiTheme="minorHAnsi"/>
              <w:noProof/>
              <w:lang w:eastAsia="en-US"/>
            </w:rPr>
          </w:pPr>
          <w:hyperlink w:anchor="_Toc42289733" w:history="1">
            <w:r w:rsidRPr="009E416A">
              <w:rPr>
                <w:rStyle w:val="Hyperlink"/>
                <w:noProof/>
              </w:rPr>
              <w:t>4</w:t>
            </w:r>
            <w:r>
              <w:rPr>
                <w:rFonts w:asciiTheme="minorHAnsi" w:hAnsiTheme="minorHAnsi"/>
                <w:noProof/>
                <w:lang w:eastAsia="en-US"/>
              </w:rPr>
              <w:tab/>
            </w:r>
            <w:r w:rsidRPr="009E416A">
              <w:rPr>
                <w:rStyle w:val="Hyperlink"/>
                <w:noProof/>
              </w:rPr>
              <w:t>Discussion</w:t>
            </w:r>
            <w:r>
              <w:rPr>
                <w:noProof/>
                <w:webHidden/>
              </w:rPr>
              <w:tab/>
            </w:r>
            <w:r>
              <w:rPr>
                <w:noProof/>
                <w:webHidden/>
              </w:rPr>
              <w:fldChar w:fldCharType="begin"/>
            </w:r>
            <w:r>
              <w:rPr>
                <w:noProof/>
                <w:webHidden/>
              </w:rPr>
              <w:instrText xml:space="preserve"> PAGEREF _Toc42289733 \h </w:instrText>
            </w:r>
            <w:r>
              <w:rPr>
                <w:noProof/>
                <w:webHidden/>
              </w:rPr>
            </w:r>
            <w:r>
              <w:rPr>
                <w:noProof/>
                <w:webHidden/>
              </w:rPr>
              <w:fldChar w:fldCharType="separate"/>
            </w:r>
            <w:r>
              <w:rPr>
                <w:noProof/>
                <w:webHidden/>
              </w:rPr>
              <w:t>50</w:t>
            </w:r>
            <w:r>
              <w:rPr>
                <w:noProof/>
                <w:webHidden/>
              </w:rPr>
              <w:fldChar w:fldCharType="end"/>
            </w:r>
          </w:hyperlink>
        </w:p>
        <w:p w14:paraId="264C5F4A" w14:textId="59B5AACB" w:rsidR="00E60668" w:rsidRDefault="00E60668">
          <w:pPr>
            <w:pStyle w:val="TOC2"/>
            <w:tabs>
              <w:tab w:val="left" w:pos="880"/>
              <w:tab w:val="right" w:leader="dot" w:pos="9350"/>
            </w:tabs>
            <w:rPr>
              <w:rFonts w:asciiTheme="minorHAnsi" w:hAnsiTheme="minorHAnsi"/>
              <w:noProof/>
              <w:lang w:eastAsia="en-US"/>
            </w:rPr>
          </w:pPr>
          <w:hyperlink w:anchor="_Toc42289734" w:history="1">
            <w:r w:rsidRPr="009E416A">
              <w:rPr>
                <w:rStyle w:val="Hyperlink"/>
                <w:noProof/>
              </w:rPr>
              <w:t>4.1</w:t>
            </w:r>
            <w:r>
              <w:rPr>
                <w:rFonts w:asciiTheme="minorHAnsi" w:hAnsiTheme="minorHAnsi"/>
                <w:noProof/>
                <w:lang w:eastAsia="en-US"/>
              </w:rPr>
              <w:tab/>
            </w:r>
            <w:r w:rsidRPr="009E416A">
              <w:rPr>
                <w:rStyle w:val="Hyperlink"/>
                <w:noProof/>
              </w:rPr>
              <w:t>Limitations</w:t>
            </w:r>
            <w:r>
              <w:rPr>
                <w:noProof/>
                <w:webHidden/>
              </w:rPr>
              <w:tab/>
            </w:r>
            <w:r>
              <w:rPr>
                <w:noProof/>
                <w:webHidden/>
              </w:rPr>
              <w:fldChar w:fldCharType="begin"/>
            </w:r>
            <w:r>
              <w:rPr>
                <w:noProof/>
                <w:webHidden/>
              </w:rPr>
              <w:instrText xml:space="preserve"> PAGEREF _Toc42289734 \h </w:instrText>
            </w:r>
            <w:r>
              <w:rPr>
                <w:noProof/>
                <w:webHidden/>
              </w:rPr>
            </w:r>
            <w:r>
              <w:rPr>
                <w:noProof/>
                <w:webHidden/>
              </w:rPr>
              <w:fldChar w:fldCharType="separate"/>
            </w:r>
            <w:r>
              <w:rPr>
                <w:noProof/>
                <w:webHidden/>
              </w:rPr>
              <w:t>51</w:t>
            </w:r>
            <w:r>
              <w:rPr>
                <w:noProof/>
                <w:webHidden/>
              </w:rPr>
              <w:fldChar w:fldCharType="end"/>
            </w:r>
          </w:hyperlink>
        </w:p>
        <w:p w14:paraId="5AF06170" w14:textId="65A07436" w:rsidR="00E60668" w:rsidRDefault="00E60668">
          <w:pPr>
            <w:pStyle w:val="TOC2"/>
            <w:tabs>
              <w:tab w:val="left" w:pos="880"/>
              <w:tab w:val="right" w:leader="dot" w:pos="9350"/>
            </w:tabs>
            <w:rPr>
              <w:rFonts w:asciiTheme="minorHAnsi" w:hAnsiTheme="minorHAnsi"/>
              <w:noProof/>
              <w:lang w:eastAsia="en-US"/>
            </w:rPr>
          </w:pPr>
          <w:hyperlink w:anchor="_Toc42289735" w:history="1">
            <w:r w:rsidRPr="009E416A">
              <w:rPr>
                <w:rStyle w:val="Hyperlink"/>
                <w:noProof/>
              </w:rPr>
              <w:t>4.2</w:t>
            </w:r>
            <w:r>
              <w:rPr>
                <w:rFonts w:asciiTheme="minorHAnsi" w:hAnsiTheme="minorHAnsi"/>
                <w:noProof/>
                <w:lang w:eastAsia="en-US"/>
              </w:rPr>
              <w:tab/>
            </w:r>
            <w:r w:rsidRPr="009E416A">
              <w:rPr>
                <w:rStyle w:val="Hyperlink"/>
                <w:noProof/>
              </w:rPr>
              <w:t>Benchmarks</w:t>
            </w:r>
            <w:r>
              <w:rPr>
                <w:noProof/>
                <w:webHidden/>
              </w:rPr>
              <w:tab/>
            </w:r>
            <w:r>
              <w:rPr>
                <w:noProof/>
                <w:webHidden/>
              </w:rPr>
              <w:fldChar w:fldCharType="begin"/>
            </w:r>
            <w:r>
              <w:rPr>
                <w:noProof/>
                <w:webHidden/>
              </w:rPr>
              <w:instrText xml:space="preserve"> PAGEREF _Toc42289735 \h </w:instrText>
            </w:r>
            <w:r>
              <w:rPr>
                <w:noProof/>
                <w:webHidden/>
              </w:rPr>
            </w:r>
            <w:r>
              <w:rPr>
                <w:noProof/>
                <w:webHidden/>
              </w:rPr>
              <w:fldChar w:fldCharType="separate"/>
            </w:r>
            <w:r>
              <w:rPr>
                <w:noProof/>
                <w:webHidden/>
              </w:rPr>
              <w:t>52</w:t>
            </w:r>
            <w:r>
              <w:rPr>
                <w:noProof/>
                <w:webHidden/>
              </w:rPr>
              <w:fldChar w:fldCharType="end"/>
            </w:r>
          </w:hyperlink>
        </w:p>
        <w:p w14:paraId="52D6F16F" w14:textId="0706748E" w:rsidR="00E60668" w:rsidRDefault="00E60668">
          <w:pPr>
            <w:pStyle w:val="TOC1"/>
            <w:tabs>
              <w:tab w:val="left" w:pos="440"/>
              <w:tab w:val="right" w:leader="dot" w:pos="9350"/>
            </w:tabs>
            <w:rPr>
              <w:rFonts w:asciiTheme="minorHAnsi" w:hAnsiTheme="minorHAnsi"/>
              <w:noProof/>
              <w:lang w:eastAsia="en-US"/>
            </w:rPr>
          </w:pPr>
          <w:hyperlink w:anchor="_Toc42289736" w:history="1">
            <w:r w:rsidRPr="009E416A">
              <w:rPr>
                <w:rStyle w:val="Hyperlink"/>
                <w:noProof/>
              </w:rPr>
              <w:t>5</w:t>
            </w:r>
            <w:r>
              <w:rPr>
                <w:rFonts w:asciiTheme="minorHAnsi" w:hAnsiTheme="minorHAnsi"/>
                <w:noProof/>
                <w:lang w:eastAsia="en-US"/>
              </w:rPr>
              <w:tab/>
            </w:r>
            <w:r w:rsidRPr="009E416A">
              <w:rPr>
                <w:rStyle w:val="Hyperlink"/>
                <w:noProof/>
              </w:rPr>
              <w:t>References</w:t>
            </w:r>
            <w:r>
              <w:rPr>
                <w:noProof/>
                <w:webHidden/>
              </w:rPr>
              <w:tab/>
            </w:r>
            <w:r>
              <w:rPr>
                <w:noProof/>
                <w:webHidden/>
              </w:rPr>
              <w:fldChar w:fldCharType="begin"/>
            </w:r>
            <w:r>
              <w:rPr>
                <w:noProof/>
                <w:webHidden/>
              </w:rPr>
              <w:instrText xml:space="preserve"> PAGEREF _Toc42289736 \h </w:instrText>
            </w:r>
            <w:r>
              <w:rPr>
                <w:noProof/>
                <w:webHidden/>
              </w:rPr>
            </w:r>
            <w:r>
              <w:rPr>
                <w:noProof/>
                <w:webHidden/>
              </w:rPr>
              <w:fldChar w:fldCharType="separate"/>
            </w:r>
            <w:r>
              <w:rPr>
                <w:noProof/>
                <w:webHidden/>
              </w:rPr>
              <w:t>54</w:t>
            </w:r>
            <w:r>
              <w:rPr>
                <w:noProof/>
                <w:webHidden/>
              </w:rPr>
              <w:fldChar w:fldCharType="end"/>
            </w:r>
          </w:hyperlink>
        </w:p>
        <w:p w14:paraId="1AF910CF" w14:textId="1DE25779" w:rsidR="00E60668" w:rsidRDefault="00E60668">
          <w:pPr>
            <w:pStyle w:val="TOC1"/>
            <w:tabs>
              <w:tab w:val="left" w:pos="440"/>
              <w:tab w:val="right" w:leader="dot" w:pos="9350"/>
            </w:tabs>
            <w:rPr>
              <w:rFonts w:asciiTheme="minorHAnsi" w:hAnsiTheme="minorHAnsi"/>
              <w:noProof/>
              <w:lang w:eastAsia="en-US"/>
            </w:rPr>
          </w:pPr>
          <w:hyperlink w:anchor="_Toc42289737" w:history="1">
            <w:r w:rsidRPr="009E416A">
              <w:rPr>
                <w:rStyle w:val="Hyperlink"/>
                <w:noProof/>
              </w:rPr>
              <w:t>6</w:t>
            </w:r>
            <w:r>
              <w:rPr>
                <w:rFonts w:asciiTheme="minorHAnsi" w:hAnsiTheme="minorHAnsi"/>
                <w:noProof/>
                <w:lang w:eastAsia="en-US"/>
              </w:rPr>
              <w:tab/>
            </w:r>
            <w:r w:rsidRPr="009E416A">
              <w:rPr>
                <w:rStyle w:val="Hyperlink"/>
                <w:noProof/>
              </w:rPr>
              <w:t>Glossary</w:t>
            </w:r>
            <w:r>
              <w:rPr>
                <w:noProof/>
                <w:webHidden/>
              </w:rPr>
              <w:tab/>
            </w:r>
            <w:r>
              <w:rPr>
                <w:noProof/>
                <w:webHidden/>
              </w:rPr>
              <w:fldChar w:fldCharType="begin"/>
            </w:r>
            <w:r>
              <w:rPr>
                <w:noProof/>
                <w:webHidden/>
              </w:rPr>
              <w:instrText xml:space="preserve"> PAGEREF _Toc42289737 \h </w:instrText>
            </w:r>
            <w:r>
              <w:rPr>
                <w:noProof/>
                <w:webHidden/>
              </w:rPr>
            </w:r>
            <w:r>
              <w:rPr>
                <w:noProof/>
                <w:webHidden/>
              </w:rPr>
              <w:fldChar w:fldCharType="separate"/>
            </w:r>
            <w:r>
              <w:rPr>
                <w:noProof/>
                <w:webHidden/>
              </w:rPr>
              <w:t>61</w:t>
            </w:r>
            <w:r>
              <w:rPr>
                <w:noProof/>
                <w:webHidden/>
              </w:rPr>
              <w:fldChar w:fldCharType="end"/>
            </w:r>
          </w:hyperlink>
        </w:p>
        <w:p w14:paraId="12C7DAF6" w14:textId="6D459493" w:rsidR="00640665" w:rsidRPr="003F1AF9" w:rsidRDefault="00640665" w:rsidP="00EB247F">
          <w:pPr>
            <w:spacing w:after="0"/>
          </w:pPr>
          <w:r w:rsidRPr="003F1AF9">
            <w:rPr>
              <w:b/>
              <w:bCs/>
              <w:noProof/>
            </w:rPr>
            <w:fldChar w:fldCharType="end"/>
          </w:r>
        </w:p>
      </w:sdtContent>
    </w:sdt>
    <w:p w14:paraId="1827C10C" w14:textId="3B09BCA5" w:rsidR="00F15AEE" w:rsidRPr="003F1AF9" w:rsidRDefault="00F15AEE" w:rsidP="00EB247F">
      <w:pPr>
        <w:spacing w:after="0"/>
      </w:pPr>
      <w:r w:rsidRPr="003F1AF9">
        <w:br w:type="page"/>
      </w:r>
    </w:p>
    <w:p w14:paraId="325B3971" w14:textId="4DF0A92F" w:rsidR="2D56E7D4" w:rsidRPr="003F1AF9" w:rsidRDefault="00C23CAC" w:rsidP="00EB247F">
      <w:pPr>
        <w:pStyle w:val="Heading1"/>
        <w:numPr>
          <w:ilvl w:val="0"/>
          <w:numId w:val="0"/>
        </w:numPr>
        <w:rPr>
          <w:noProof/>
        </w:rPr>
      </w:pPr>
      <w:bookmarkStart w:id="0" w:name="_Toc42289697"/>
      <w:r w:rsidRPr="003F1AF9">
        <w:rPr>
          <w:noProof/>
        </w:rPr>
        <w:lastRenderedPageBreak/>
        <w:t xml:space="preserve">List of </w:t>
      </w:r>
      <w:r w:rsidR="2D56E7D4" w:rsidRPr="003F1AF9">
        <w:rPr>
          <w:noProof/>
        </w:rPr>
        <w:t>Figures</w:t>
      </w:r>
      <w:bookmarkEnd w:id="0"/>
    </w:p>
    <w:p w14:paraId="0AF33365" w14:textId="66F07E8B" w:rsidR="00E60668" w:rsidRDefault="007E42ED">
      <w:pPr>
        <w:pStyle w:val="TableofFigures"/>
        <w:tabs>
          <w:tab w:val="right" w:leader="dot" w:pos="9350"/>
        </w:tabs>
        <w:rPr>
          <w:rFonts w:asciiTheme="minorHAnsi" w:hAnsiTheme="minorHAnsi"/>
          <w:noProof/>
          <w:lang w:eastAsia="en-US"/>
        </w:rPr>
      </w:pPr>
      <w:r w:rsidRPr="003F1AF9">
        <w:fldChar w:fldCharType="begin"/>
      </w:r>
      <w:r w:rsidRPr="003F1AF9">
        <w:instrText xml:space="preserve"> TOC \h \z \c "Figure" </w:instrText>
      </w:r>
      <w:r w:rsidRPr="003F1AF9">
        <w:fldChar w:fldCharType="separate"/>
      </w:r>
      <w:hyperlink w:anchor="_Toc42289738" w:history="1">
        <w:r w:rsidR="00E60668" w:rsidRPr="003662A4">
          <w:rPr>
            <w:rStyle w:val="Hyperlink"/>
            <w:noProof/>
          </w:rPr>
          <w:t>Figure 1.1. Heat pump vapor compression cycle</w:t>
        </w:r>
        <w:r w:rsidR="00E60668">
          <w:rPr>
            <w:noProof/>
            <w:webHidden/>
          </w:rPr>
          <w:tab/>
        </w:r>
        <w:r w:rsidR="00E60668">
          <w:rPr>
            <w:noProof/>
            <w:webHidden/>
          </w:rPr>
          <w:fldChar w:fldCharType="begin"/>
        </w:r>
        <w:r w:rsidR="00E60668">
          <w:rPr>
            <w:noProof/>
            <w:webHidden/>
          </w:rPr>
          <w:instrText xml:space="preserve"> PAGEREF _Toc42289738 \h </w:instrText>
        </w:r>
        <w:r w:rsidR="00E60668">
          <w:rPr>
            <w:noProof/>
            <w:webHidden/>
          </w:rPr>
        </w:r>
        <w:r w:rsidR="00E60668">
          <w:rPr>
            <w:noProof/>
            <w:webHidden/>
          </w:rPr>
          <w:fldChar w:fldCharType="separate"/>
        </w:r>
        <w:r w:rsidR="00E60668">
          <w:rPr>
            <w:noProof/>
            <w:webHidden/>
          </w:rPr>
          <w:t>2</w:t>
        </w:r>
        <w:r w:rsidR="00E60668">
          <w:rPr>
            <w:noProof/>
            <w:webHidden/>
          </w:rPr>
          <w:fldChar w:fldCharType="end"/>
        </w:r>
      </w:hyperlink>
    </w:p>
    <w:p w14:paraId="2F076842" w14:textId="5187194F" w:rsidR="00E60668" w:rsidRDefault="00E60668">
      <w:pPr>
        <w:pStyle w:val="TableofFigures"/>
        <w:tabs>
          <w:tab w:val="right" w:leader="dot" w:pos="9350"/>
        </w:tabs>
        <w:rPr>
          <w:rFonts w:asciiTheme="minorHAnsi" w:hAnsiTheme="minorHAnsi"/>
          <w:noProof/>
          <w:lang w:eastAsia="en-US"/>
        </w:rPr>
      </w:pPr>
      <w:hyperlink w:anchor="_Toc42289739" w:history="1">
        <w:r w:rsidRPr="003662A4">
          <w:rPr>
            <w:rStyle w:val="Hyperlink"/>
            <w:noProof/>
          </w:rPr>
          <w:t>Figure 3.1 World Annual Adoption 2020-2050 in Functional Units (TWh (th))</w:t>
        </w:r>
        <w:r>
          <w:rPr>
            <w:noProof/>
            <w:webHidden/>
          </w:rPr>
          <w:tab/>
        </w:r>
        <w:r>
          <w:rPr>
            <w:noProof/>
            <w:webHidden/>
          </w:rPr>
          <w:fldChar w:fldCharType="begin"/>
        </w:r>
        <w:r>
          <w:rPr>
            <w:noProof/>
            <w:webHidden/>
          </w:rPr>
          <w:instrText xml:space="preserve"> PAGEREF _Toc42289739 \h </w:instrText>
        </w:r>
        <w:r>
          <w:rPr>
            <w:noProof/>
            <w:webHidden/>
          </w:rPr>
        </w:r>
        <w:r>
          <w:rPr>
            <w:noProof/>
            <w:webHidden/>
          </w:rPr>
          <w:fldChar w:fldCharType="separate"/>
        </w:r>
        <w:r>
          <w:rPr>
            <w:noProof/>
            <w:webHidden/>
          </w:rPr>
          <w:t>44</w:t>
        </w:r>
        <w:r>
          <w:rPr>
            <w:noProof/>
            <w:webHidden/>
          </w:rPr>
          <w:fldChar w:fldCharType="end"/>
        </w:r>
      </w:hyperlink>
    </w:p>
    <w:p w14:paraId="4A377927" w14:textId="0FC05FA9" w:rsidR="00E60668" w:rsidRDefault="00E60668">
      <w:pPr>
        <w:pStyle w:val="TableofFigures"/>
        <w:tabs>
          <w:tab w:val="right" w:leader="dot" w:pos="9350"/>
        </w:tabs>
        <w:rPr>
          <w:rFonts w:asciiTheme="minorHAnsi" w:hAnsiTheme="minorHAnsi"/>
          <w:noProof/>
          <w:lang w:eastAsia="en-US"/>
        </w:rPr>
      </w:pPr>
      <w:hyperlink w:anchor="_Toc42289740" w:history="1">
        <w:r w:rsidRPr="003662A4">
          <w:rPr>
            <w:rStyle w:val="Hyperlink"/>
            <w:noProof/>
          </w:rPr>
          <w:t>Figure 3.2 World Annual Adoption 2020-2050 % of TAM</w:t>
        </w:r>
        <w:r>
          <w:rPr>
            <w:noProof/>
            <w:webHidden/>
          </w:rPr>
          <w:tab/>
        </w:r>
        <w:r>
          <w:rPr>
            <w:noProof/>
            <w:webHidden/>
          </w:rPr>
          <w:fldChar w:fldCharType="begin"/>
        </w:r>
        <w:r>
          <w:rPr>
            <w:noProof/>
            <w:webHidden/>
          </w:rPr>
          <w:instrText xml:space="preserve"> PAGEREF _Toc42289740 \h </w:instrText>
        </w:r>
        <w:r>
          <w:rPr>
            <w:noProof/>
            <w:webHidden/>
          </w:rPr>
        </w:r>
        <w:r>
          <w:rPr>
            <w:noProof/>
            <w:webHidden/>
          </w:rPr>
          <w:fldChar w:fldCharType="separate"/>
        </w:r>
        <w:r>
          <w:rPr>
            <w:noProof/>
            <w:webHidden/>
          </w:rPr>
          <w:t>45</w:t>
        </w:r>
        <w:r>
          <w:rPr>
            <w:noProof/>
            <w:webHidden/>
          </w:rPr>
          <w:fldChar w:fldCharType="end"/>
        </w:r>
      </w:hyperlink>
    </w:p>
    <w:p w14:paraId="4D2FAA74" w14:textId="02C9A736" w:rsidR="00E60668" w:rsidRDefault="00E60668">
      <w:pPr>
        <w:pStyle w:val="TableofFigures"/>
        <w:tabs>
          <w:tab w:val="right" w:leader="dot" w:pos="9350"/>
        </w:tabs>
        <w:rPr>
          <w:rFonts w:asciiTheme="minorHAnsi" w:hAnsiTheme="minorHAnsi"/>
          <w:noProof/>
          <w:lang w:eastAsia="en-US"/>
        </w:rPr>
      </w:pPr>
      <w:hyperlink w:anchor="_Toc42289741" w:history="1">
        <w:r w:rsidRPr="003662A4">
          <w:rPr>
            <w:rStyle w:val="Hyperlink"/>
            <w:noProof/>
          </w:rPr>
          <w:t>Figure 3.3 World Annual Greenhouse Gas Emissions Reduction</w:t>
        </w:r>
        <w:r>
          <w:rPr>
            <w:noProof/>
            <w:webHidden/>
          </w:rPr>
          <w:tab/>
        </w:r>
        <w:r>
          <w:rPr>
            <w:noProof/>
            <w:webHidden/>
          </w:rPr>
          <w:fldChar w:fldCharType="begin"/>
        </w:r>
        <w:r>
          <w:rPr>
            <w:noProof/>
            <w:webHidden/>
          </w:rPr>
          <w:instrText xml:space="preserve"> PAGEREF _Toc42289741 \h </w:instrText>
        </w:r>
        <w:r>
          <w:rPr>
            <w:noProof/>
            <w:webHidden/>
          </w:rPr>
        </w:r>
        <w:r>
          <w:rPr>
            <w:noProof/>
            <w:webHidden/>
          </w:rPr>
          <w:fldChar w:fldCharType="separate"/>
        </w:r>
        <w:r>
          <w:rPr>
            <w:noProof/>
            <w:webHidden/>
          </w:rPr>
          <w:t>47</w:t>
        </w:r>
        <w:r>
          <w:rPr>
            <w:noProof/>
            <w:webHidden/>
          </w:rPr>
          <w:fldChar w:fldCharType="end"/>
        </w:r>
      </w:hyperlink>
    </w:p>
    <w:p w14:paraId="38AB0373" w14:textId="4DE460D8" w:rsidR="00E60668" w:rsidRDefault="00E60668">
      <w:pPr>
        <w:pStyle w:val="TableofFigures"/>
        <w:tabs>
          <w:tab w:val="right" w:leader="dot" w:pos="9350"/>
        </w:tabs>
        <w:rPr>
          <w:rFonts w:asciiTheme="minorHAnsi" w:hAnsiTheme="minorHAnsi"/>
          <w:noProof/>
          <w:lang w:eastAsia="en-US"/>
        </w:rPr>
      </w:pPr>
      <w:hyperlink w:anchor="_Toc42289742" w:history="1">
        <w:r w:rsidRPr="003662A4">
          <w:rPr>
            <w:rStyle w:val="Hyperlink"/>
            <w:noProof/>
          </w:rPr>
          <w:t>Figure 3.4 World Net Operating Cost Reductions Over Time</w:t>
        </w:r>
        <w:r>
          <w:rPr>
            <w:noProof/>
            <w:webHidden/>
          </w:rPr>
          <w:tab/>
        </w:r>
        <w:r>
          <w:rPr>
            <w:noProof/>
            <w:webHidden/>
          </w:rPr>
          <w:fldChar w:fldCharType="begin"/>
        </w:r>
        <w:r>
          <w:rPr>
            <w:noProof/>
            <w:webHidden/>
          </w:rPr>
          <w:instrText xml:space="preserve"> PAGEREF _Toc42289742 \h </w:instrText>
        </w:r>
        <w:r>
          <w:rPr>
            <w:noProof/>
            <w:webHidden/>
          </w:rPr>
        </w:r>
        <w:r>
          <w:rPr>
            <w:noProof/>
            <w:webHidden/>
          </w:rPr>
          <w:fldChar w:fldCharType="separate"/>
        </w:r>
        <w:r>
          <w:rPr>
            <w:noProof/>
            <w:webHidden/>
          </w:rPr>
          <w:t>48</w:t>
        </w:r>
        <w:r>
          <w:rPr>
            <w:noProof/>
            <w:webHidden/>
          </w:rPr>
          <w:fldChar w:fldCharType="end"/>
        </w:r>
      </w:hyperlink>
    </w:p>
    <w:p w14:paraId="5AD133BD" w14:textId="2BCA4CDB" w:rsidR="00640665" w:rsidRPr="003F1AF9" w:rsidRDefault="007E42ED" w:rsidP="00280DDE">
      <w:pPr>
        <w:tabs>
          <w:tab w:val="left" w:pos="5801"/>
        </w:tabs>
      </w:pPr>
      <w:r w:rsidRPr="003F1AF9">
        <w:fldChar w:fldCharType="end"/>
      </w:r>
      <w:r w:rsidR="00280DDE" w:rsidRPr="003F1AF9">
        <w:tab/>
      </w:r>
    </w:p>
    <w:p w14:paraId="6055DED9" w14:textId="2FC004CB" w:rsidR="006A4A08" w:rsidRPr="003F1AF9" w:rsidRDefault="00C23CAC" w:rsidP="00EB247F">
      <w:pPr>
        <w:pStyle w:val="Heading1"/>
        <w:numPr>
          <w:ilvl w:val="0"/>
          <w:numId w:val="0"/>
        </w:numPr>
      </w:pPr>
      <w:bookmarkStart w:id="1" w:name="_Toc42289698"/>
      <w:r w:rsidRPr="003F1AF9">
        <w:t xml:space="preserve">List of </w:t>
      </w:r>
      <w:r w:rsidR="2D56E7D4" w:rsidRPr="003F1AF9">
        <w:t>Tables</w:t>
      </w:r>
      <w:bookmarkEnd w:id="1"/>
    </w:p>
    <w:p w14:paraId="11219992" w14:textId="55123959" w:rsidR="00E60668" w:rsidRDefault="007E42ED">
      <w:pPr>
        <w:pStyle w:val="TableofFigures"/>
        <w:tabs>
          <w:tab w:val="right" w:leader="dot" w:pos="9350"/>
        </w:tabs>
        <w:rPr>
          <w:rFonts w:asciiTheme="minorHAnsi" w:hAnsiTheme="minorHAnsi"/>
          <w:noProof/>
          <w:lang w:eastAsia="en-US"/>
        </w:rPr>
      </w:pPr>
      <w:r w:rsidRPr="003F1AF9">
        <w:fldChar w:fldCharType="begin"/>
      </w:r>
      <w:r w:rsidRPr="003F1AF9">
        <w:instrText xml:space="preserve"> TOC \h \z \c "Table" </w:instrText>
      </w:r>
      <w:r w:rsidRPr="003F1AF9">
        <w:fldChar w:fldCharType="separate"/>
      </w:r>
      <w:hyperlink w:anchor="_Toc42289743" w:history="1">
        <w:r w:rsidR="00E60668" w:rsidRPr="00844033">
          <w:rPr>
            <w:rStyle w:val="Hyperlink"/>
            <w:noProof/>
          </w:rPr>
          <w:t>Table 1.1 Heating Seasonal Coefficient of Performance (HCOP) for Selected Heat Pumps Worldwide</w:t>
        </w:r>
        <w:r w:rsidR="00E60668">
          <w:rPr>
            <w:noProof/>
            <w:webHidden/>
          </w:rPr>
          <w:tab/>
        </w:r>
        <w:r w:rsidR="00E60668">
          <w:rPr>
            <w:noProof/>
            <w:webHidden/>
          </w:rPr>
          <w:fldChar w:fldCharType="begin"/>
        </w:r>
        <w:r w:rsidR="00E60668">
          <w:rPr>
            <w:noProof/>
            <w:webHidden/>
          </w:rPr>
          <w:instrText xml:space="preserve"> PAGEREF _Toc42289743 \h </w:instrText>
        </w:r>
        <w:r w:rsidR="00E60668">
          <w:rPr>
            <w:noProof/>
            <w:webHidden/>
          </w:rPr>
        </w:r>
        <w:r w:rsidR="00E60668">
          <w:rPr>
            <w:noProof/>
            <w:webHidden/>
          </w:rPr>
          <w:fldChar w:fldCharType="separate"/>
        </w:r>
        <w:r w:rsidR="00E60668">
          <w:rPr>
            <w:noProof/>
            <w:webHidden/>
          </w:rPr>
          <w:t>7</w:t>
        </w:r>
        <w:r w:rsidR="00E60668">
          <w:rPr>
            <w:noProof/>
            <w:webHidden/>
          </w:rPr>
          <w:fldChar w:fldCharType="end"/>
        </w:r>
      </w:hyperlink>
    </w:p>
    <w:p w14:paraId="510D25FE" w14:textId="00364083" w:rsidR="00E60668" w:rsidRDefault="00E60668">
      <w:pPr>
        <w:pStyle w:val="TableofFigures"/>
        <w:tabs>
          <w:tab w:val="right" w:leader="dot" w:pos="9350"/>
        </w:tabs>
        <w:rPr>
          <w:rFonts w:asciiTheme="minorHAnsi" w:hAnsiTheme="minorHAnsi"/>
          <w:noProof/>
          <w:lang w:eastAsia="en-US"/>
        </w:rPr>
      </w:pPr>
      <w:hyperlink w:anchor="_Toc42289744" w:history="1">
        <w:r w:rsidRPr="00844033">
          <w:rPr>
            <w:rStyle w:val="Hyperlink"/>
            <w:noProof/>
          </w:rPr>
          <w:t>Table 1.2. Cooling Seasonal Energy Efficiency Ratio (SEER)</w:t>
        </w:r>
        <w:r>
          <w:rPr>
            <w:noProof/>
            <w:webHidden/>
          </w:rPr>
          <w:tab/>
        </w:r>
        <w:r>
          <w:rPr>
            <w:noProof/>
            <w:webHidden/>
          </w:rPr>
          <w:fldChar w:fldCharType="begin"/>
        </w:r>
        <w:r>
          <w:rPr>
            <w:noProof/>
            <w:webHidden/>
          </w:rPr>
          <w:instrText xml:space="preserve"> PAGEREF _Toc42289744 \h </w:instrText>
        </w:r>
        <w:r>
          <w:rPr>
            <w:noProof/>
            <w:webHidden/>
          </w:rPr>
        </w:r>
        <w:r>
          <w:rPr>
            <w:noProof/>
            <w:webHidden/>
          </w:rPr>
          <w:fldChar w:fldCharType="separate"/>
        </w:r>
        <w:r>
          <w:rPr>
            <w:noProof/>
            <w:webHidden/>
          </w:rPr>
          <w:t>8</w:t>
        </w:r>
        <w:r>
          <w:rPr>
            <w:noProof/>
            <w:webHidden/>
          </w:rPr>
          <w:fldChar w:fldCharType="end"/>
        </w:r>
      </w:hyperlink>
    </w:p>
    <w:p w14:paraId="007764B5" w14:textId="0B5578AE" w:rsidR="00E60668" w:rsidRDefault="00E60668">
      <w:pPr>
        <w:pStyle w:val="TableofFigures"/>
        <w:tabs>
          <w:tab w:val="right" w:leader="dot" w:pos="9350"/>
        </w:tabs>
        <w:rPr>
          <w:rFonts w:asciiTheme="minorHAnsi" w:hAnsiTheme="minorHAnsi"/>
          <w:noProof/>
          <w:lang w:eastAsia="en-US"/>
        </w:rPr>
      </w:pPr>
      <w:hyperlink w:anchor="_Toc42289745" w:history="1">
        <w:r w:rsidRPr="00844033">
          <w:rPr>
            <w:rStyle w:val="Hyperlink"/>
            <w:noProof/>
          </w:rPr>
          <w:t>Table 1.3 Space cooling final energy consumption and CO2 emissions</w:t>
        </w:r>
        <w:r>
          <w:rPr>
            <w:noProof/>
            <w:webHidden/>
          </w:rPr>
          <w:tab/>
        </w:r>
        <w:r>
          <w:rPr>
            <w:noProof/>
            <w:webHidden/>
          </w:rPr>
          <w:fldChar w:fldCharType="begin"/>
        </w:r>
        <w:r>
          <w:rPr>
            <w:noProof/>
            <w:webHidden/>
          </w:rPr>
          <w:instrText xml:space="preserve"> PAGEREF _Toc42289745 \h </w:instrText>
        </w:r>
        <w:r>
          <w:rPr>
            <w:noProof/>
            <w:webHidden/>
          </w:rPr>
        </w:r>
        <w:r>
          <w:rPr>
            <w:noProof/>
            <w:webHidden/>
          </w:rPr>
          <w:fldChar w:fldCharType="separate"/>
        </w:r>
        <w:r>
          <w:rPr>
            <w:noProof/>
            <w:webHidden/>
          </w:rPr>
          <w:t>21</w:t>
        </w:r>
        <w:r>
          <w:rPr>
            <w:noProof/>
            <w:webHidden/>
          </w:rPr>
          <w:fldChar w:fldCharType="end"/>
        </w:r>
      </w:hyperlink>
    </w:p>
    <w:p w14:paraId="7F5F28A6" w14:textId="4AAA0EE9" w:rsidR="00E60668" w:rsidRDefault="00E60668">
      <w:pPr>
        <w:pStyle w:val="TableofFigures"/>
        <w:tabs>
          <w:tab w:val="right" w:leader="dot" w:pos="9350"/>
        </w:tabs>
        <w:rPr>
          <w:rFonts w:asciiTheme="minorHAnsi" w:hAnsiTheme="minorHAnsi"/>
          <w:noProof/>
          <w:lang w:eastAsia="en-US"/>
        </w:rPr>
      </w:pPr>
      <w:hyperlink w:anchor="_Toc42289746" w:history="1">
        <w:r w:rsidRPr="00844033">
          <w:rPr>
            <w:rStyle w:val="Hyperlink"/>
            <w:noProof/>
          </w:rPr>
          <w:t>Table 1.4 Space heating final energy consumption and CO2 emissions</w:t>
        </w:r>
        <w:r>
          <w:rPr>
            <w:noProof/>
            <w:webHidden/>
          </w:rPr>
          <w:tab/>
        </w:r>
        <w:r>
          <w:rPr>
            <w:noProof/>
            <w:webHidden/>
          </w:rPr>
          <w:fldChar w:fldCharType="begin"/>
        </w:r>
        <w:r>
          <w:rPr>
            <w:noProof/>
            <w:webHidden/>
          </w:rPr>
          <w:instrText xml:space="preserve"> PAGEREF _Toc42289746 \h </w:instrText>
        </w:r>
        <w:r>
          <w:rPr>
            <w:noProof/>
            <w:webHidden/>
          </w:rPr>
        </w:r>
        <w:r>
          <w:rPr>
            <w:noProof/>
            <w:webHidden/>
          </w:rPr>
          <w:fldChar w:fldCharType="separate"/>
        </w:r>
        <w:r>
          <w:rPr>
            <w:noProof/>
            <w:webHidden/>
          </w:rPr>
          <w:t>22</w:t>
        </w:r>
        <w:r>
          <w:rPr>
            <w:noProof/>
            <w:webHidden/>
          </w:rPr>
          <w:fldChar w:fldCharType="end"/>
        </w:r>
      </w:hyperlink>
    </w:p>
    <w:p w14:paraId="00A771A7" w14:textId="1963489B" w:rsidR="00E60668" w:rsidRDefault="00E60668">
      <w:pPr>
        <w:pStyle w:val="TableofFigures"/>
        <w:tabs>
          <w:tab w:val="right" w:leader="dot" w:pos="9350"/>
        </w:tabs>
        <w:rPr>
          <w:rFonts w:asciiTheme="minorHAnsi" w:hAnsiTheme="minorHAnsi"/>
          <w:noProof/>
          <w:lang w:eastAsia="en-US"/>
        </w:rPr>
      </w:pPr>
      <w:hyperlink w:anchor="_Toc42289747" w:history="1">
        <w:r w:rsidRPr="00844033">
          <w:rPr>
            <w:rStyle w:val="Hyperlink"/>
            <w:noProof/>
          </w:rPr>
          <w:t>Table 1.5 Adoption Potential Summary for High-Efficiency Heat Pumps Using the B2DS Scenario</w:t>
        </w:r>
        <w:r>
          <w:rPr>
            <w:noProof/>
            <w:webHidden/>
          </w:rPr>
          <w:tab/>
        </w:r>
        <w:r>
          <w:rPr>
            <w:noProof/>
            <w:webHidden/>
          </w:rPr>
          <w:fldChar w:fldCharType="begin"/>
        </w:r>
        <w:r>
          <w:rPr>
            <w:noProof/>
            <w:webHidden/>
          </w:rPr>
          <w:instrText xml:space="preserve"> PAGEREF _Toc42289747 \h </w:instrText>
        </w:r>
        <w:r>
          <w:rPr>
            <w:noProof/>
            <w:webHidden/>
          </w:rPr>
        </w:r>
        <w:r>
          <w:rPr>
            <w:noProof/>
            <w:webHidden/>
          </w:rPr>
          <w:fldChar w:fldCharType="separate"/>
        </w:r>
        <w:r>
          <w:rPr>
            <w:noProof/>
            <w:webHidden/>
          </w:rPr>
          <w:t>23</w:t>
        </w:r>
        <w:r>
          <w:rPr>
            <w:noProof/>
            <w:webHidden/>
          </w:rPr>
          <w:fldChar w:fldCharType="end"/>
        </w:r>
      </w:hyperlink>
    </w:p>
    <w:p w14:paraId="32BFD0BC" w14:textId="1CF24054" w:rsidR="00E60668" w:rsidRDefault="00E60668">
      <w:pPr>
        <w:pStyle w:val="TableofFigures"/>
        <w:tabs>
          <w:tab w:val="right" w:leader="dot" w:pos="9350"/>
        </w:tabs>
        <w:rPr>
          <w:rFonts w:asciiTheme="minorHAnsi" w:hAnsiTheme="minorHAnsi"/>
          <w:noProof/>
          <w:lang w:eastAsia="en-US"/>
        </w:rPr>
      </w:pPr>
      <w:hyperlink w:anchor="_Toc42289748" w:history="1">
        <w:r w:rsidRPr="00844033">
          <w:rPr>
            <w:rStyle w:val="Hyperlink"/>
            <w:noProof/>
          </w:rPr>
          <w:t>Table 1.6 High-Efficiency Heat Pump Solution Comparison</w:t>
        </w:r>
        <w:r>
          <w:rPr>
            <w:noProof/>
            <w:webHidden/>
          </w:rPr>
          <w:tab/>
        </w:r>
        <w:r>
          <w:rPr>
            <w:noProof/>
            <w:webHidden/>
          </w:rPr>
          <w:fldChar w:fldCharType="begin"/>
        </w:r>
        <w:r>
          <w:rPr>
            <w:noProof/>
            <w:webHidden/>
          </w:rPr>
          <w:instrText xml:space="preserve"> PAGEREF _Toc42289748 \h </w:instrText>
        </w:r>
        <w:r>
          <w:rPr>
            <w:noProof/>
            <w:webHidden/>
          </w:rPr>
        </w:r>
        <w:r>
          <w:rPr>
            <w:noProof/>
            <w:webHidden/>
          </w:rPr>
          <w:fldChar w:fldCharType="separate"/>
        </w:r>
        <w:r>
          <w:rPr>
            <w:noProof/>
            <w:webHidden/>
          </w:rPr>
          <w:t>26</w:t>
        </w:r>
        <w:r>
          <w:rPr>
            <w:noProof/>
            <w:webHidden/>
          </w:rPr>
          <w:fldChar w:fldCharType="end"/>
        </w:r>
      </w:hyperlink>
    </w:p>
    <w:p w14:paraId="03B79791" w14:textId="584C62E3" w:rsidR="00E60668" w:rsidRDefault="00E60668">
      <w:pPr>
        <w:pStyle w:val="TableofFigures"/>
        <w:tabs>
          <w:tab w:val="right" w:leader="dot" w:pos="9350"/>
        </w:tabs>
        <w:rPr>
          <w:rFonts w:asciiTheme="minorHAnsi" w:hAnsiTheme="minorHAnsi"/>
          <w:noProof/>
          <w:lang w:eastAsia="en-US"/>
        </w:rPr>
      </w:pPr>
      <w:hyperlink w:anchor="_Toc42289749" w:history="1">
        <w:r w:rsidRPr="00844033">
          <w:rPr>
            <w:rStyle w:val="Hyperlink"/>
            <w:noProof/>
          </w:rPr>
          <w:t>Table 1.7 Ratings Key for High-Efficiency Heat Pump Solution Comparison</w:t>
        </w:r>
        <w:r>
          <w:rPr>
            <w:noProof/>
            <w:webHidden/>
          </w:rPr>
          <w:tab/>
        </w:r>
        <w:r>
          <w:rPr>
            <w:noProof/>
            <w:webHidden/>
          </w:rPr>
          <w:fldChar w:fldCharType="begin"/>
        </w:r>
        <w:r>
          <w:rPr>
            <w:noProof/>
            <w:webHidden/>
          </w:rPr>
          <w:instrText xml:space="preserve"> PAGEREF _Toc42289749 \h </w:instrText>
        </w:r>
        <w:r>
          <w:rPr>
            <w:noProof/>
            <w:webHidden/>
          </w:rPr>
        </w:r>
        <w:r>
          <w:rPr>
            <w:noProof/>
            <w:webHidden/>
          </w:rPr>
          <w:fldChar w:fldCharType="separate"/>
        </w:r>
        <w:r>
          <w:rPr>
            <w:noProof/>
            <w:webHidden/>
          </w:rPr>
          <w:t>26</w:t>
        </w:r>
        <w:r>
          <w:rPr>
            <w:noProof/>
            <w:webHidden/>
          </w:rPr>
          <w:fldChar w:fldCharType="end"/>
        </w:r>
      </w:hyperlink>
    </w:p>
    <w:p w14:paraId="353E376F" w14:textId="50449ED9" w:rsidR="00E60668" w:rsidRDefault="00E60668">
      <w:pPr>
        <w:pStyle w:val="TableofFigures"/>
        <w:tabs>
          <w:tab w:val="right" w:leader="dot" w:pos="9350"/>
        </w:tabs>
        <w:rPr>
          <w:rFonts w:asciiTheme="minorHAnsi" w:hAnsiTheme="minorHAnsi"/>
          <w:noProof/>
          <w:lang w:eastAsia="en-US"/>
        </w:rPr>
      </w:pPr>
      <w:hyperlink w:anchor="_Toc42289750" w:history="1">
        <w:r w:rsidRPr="00844033">
          <w:rPr>
            <w:rStyle w:val="Hyperlink"/>
            <w:noProof/>
          </w:rPr>
          <w:t>Table 2.1 High-efficiency heat pump replacement of conventional space heating and cooling equipment</w:t>
        </w:r>
        <w:r>
          <w:rPr>
            <w:noProof/>
            <w:webHidden/>
          </w:rPr>
          <w:tab/>
        </w:r>
        <w:r>
          <w:rPr>
            <w:noProof/>
            <w:webHidden/>
          </w:rPr>
          <w:fldChar w:fldCharType="begin"/>
        </w:r>
        <w:r>
          <w:rPr>
            <w:noProof/>
            <w:webHidden/>
          </w:rPr>
          <w:instrText xml:space="preserve"> PAGEREF _Toc42289750 \h </w:instrText>
        </w:r>
        <w:r>
          <w:rPr>
            <w:noProof/>
            <w:webHidden/>
          </w:rPr>
        </w:r>
        <w:r>
          <w:rPr>
            <w:noProof/>
            <w:webHidden/>
          </w:rPr>
          <w:fldChar w:fldCharType="separate"/>
        </w:r>
        <w:r>
          <w:rPr>
            <w:noProof/>
            <w:webHidden/>
          </w:rPr>
          <w:t>28</w:t>
        </w:r>
        <w:r>
          <w:rPr>
            <w:noProof/>
            <w:webHidden/>
          </w:rPr>
          <w:fldChar w:fldCharType="end"/>
        </w:r>
      </w:hyperlink>
    </w:p>
    <w:p w14:paraId="2EE15D6D" w14:textId="54C0237A" w:rsidR="00E60668" w:rsidRDefault="00E60668">
      <w:pPr>
        <w:pStyle w:val="TableofFigures"/>
        <w:tabs>
          <w:tab w:val="right" w:leader="dot" w:pos="9350"/>
        </w:tabs>
        <w:rPr>
          <w:rFonts w:asciiTheme="minorHAnsi" w:hAnsiTheme="minorHAnsi"/>
          <w:noProof/>
          <w:lang w:eastAsia="en-US"/>
        </w:rPr>
      </w:pPr>
      <w:hyperlink w:anchor="_Toc42289751" w:history="1">
        <w:r w:rsidRPr="00844033">
          <w:rPr>
            <w:rStyle w:val="Hyperlink"/>
            <w:noProof/>
          </w:rPr>
          <w:t>Table 2.2 Key data sources incorporated in this update</w:t>
        </w:r>
        <w:r>
          <w:rPr>
            <w:noProof/>
            <w:webHidden/>
          </w:rPr>
          <w:tab/>
        </w:r>
        <w:r>
          <w:rPr>
            <w:noProof/>
            <w:webHidden/>
          </w:rPr>
          <w:fldChar w:fldCharType="begin"/>
        </w:r>
        <w:r>
          <w:rPr>
            <w:noProof/>
            <w:webHidden/>
          </w:rPr>
          <w:instrText xml:space="preserve"> PAGEREF _Toc42289751 \h </w:instrText>
        </w:r>
        <w:r>
          <w:rPr>
            <w:noProof/>
            <w:webHidden/>
          </w:rPr>
        </w:r>
        <w:r>
          <w:rPr>
            <w:noProof/>
            <w:webHidden/>
          </w:rPr>
          <w:fldChar w:fldCharType="separate"/>
        </w:r>
        <w:r>
          <w:rPr>
            <w:noProof/>
            <w:webHidden/>
          </w:rPr>
          <w:t>29</w:t>
        </w:r>
        <w:r>
          <w:rPr>
            <w:noProof/>
            <w:webHidden/>
          </w:rPr>
          <w:fldChar w:fldCharType="end"/>
        </w:r>
      </w:hyperlink>
    </w:p>
    <w:p w14:paraId="16C9F45B" w14:textId="43B128DE" w:rsidR="00E60668" w:rsidRDefault="00E60668">
      <w:pPr>
        <w:pStyle w:val="TableofFigures"/>
        <w:tabs>
          <w:tab w:val="right" w:leader="dot" w:pos="9350"/>
        </w:tabs>
        <w:rPr>
          <w:rFonts w:asciiTheme="minorHAnsi" w:hAnsiTheme="minorHAnsi"/>
          <w:noProof/>
          <w:lang w:eastAsia="en-US"/>
        </w:rPr>
      </w:pPr>
      <w:hyperlink w:anchor="_Toc42289752" w:history="1">
        <w:r w:rsidRPr="00844033">
          <w:rPr>
            <w:rStyle w:val="Hyperlink"/>
            <w:noProof/>
          </w:rPr>
          <w:t>Table 2.3 2014 Space Heating TAM (Delivered Energy)</w:t>
        </w:r>
        <w:r>
          <w:rPr>
            <w:noProof/>
            <w:webHidden/>
          </w:rPr>
          <w:tab/>
        </w:r>
        <w:r>
          <w:rPr>
            <w:noProof/>
            <w:webHidden/>
          </w:rPr>
          <w:fldChar w:fldCharType="begin"/>
        </w:r>
        <w:r>
          <w:rPr>
            <w:noProof/>
            <w:webHidden/>
          </w:rPr>
          <w:instrText xml:space="preserve"> PAGEREF _Toc42289752 \h </w:instrText>
        </w:r>
        <w:r>
          <w:rPr>
            <w:noProof/>
            <w:webHidden/>
          </w:rPr>
        </w:r>
        <w:r>
          <w:rPr>
            <w:noProof/>
            <w:webHidden/>
          </w:rPr>
          <w:fldChar w:fldCharType="separate"/>
        </w:r>
        <w:r>
          <w:rPr>
            <w:noProof/>
            <w:webHidden/>
          </w:rPr>
          <w:t>30</w:t>
        </w:r>
        <w:r>
          <w:rPr>
            <w:noProof/>
            <w:webHidden/>
          </w:rPr>
          <w:fldChar w:fldCharType="end"/>
        </w:r>
      </w:hyperlink>
    </w:p>
    <w:p w14:paraId="5CB00968" w14:textId="3CB6CB33" w:rsidR="00E60668" w:rsidRDefault="00E60668">
      <w:pPr>
        <w:pStyle w:val="TableofFigures"/>
        <w:tabs>
          <w:tab w:val="right" w:leader="dot" w:pos="9350"/>
        </w:tabs>
        <w:rPr>
          <w:rFonts w:asciiTheme="minorHAnsi" w:hAnsiTheme="minorHAnsi"/>
          <w:noProof/>
          <w:lang w:eastAsia="en-US"/>
        </w:rPr>
      </w:pPr>
      <w:hyperlink w:anchor="_Toc42289753" w:history="1">
        <w:r w:rsidRPr="00844033">
          <w:rPr>
            <w:rStyle w:val="Hyperlink"/>
            <w:noProof/>
          </w:rPr>
          <w:t>Table 2.4 Summary of Project Drawdown Space Heating Adoption Scenarios</w:t>
        </w:r>
        <w:r>
          <w:rPr>
            <w:noProof/>
            <w:webHidden/>
          </w:rPr>
          <w:tab/>
        </w:r>
        <w:r>
          <w:rPr>
            <w:noProof/>
            <w:webHidden/>
          </w:rPr>
          <w:fldChar w:fldCharType="begin"/>
        </w:r>
        <w:r>
          <w:rPr>
            <w:noProof/>
            <w:webHidden/>
          </w:rPr>
          <w:instrText xml:space="preserve"> PAGEREF _Toc42289753 \h </w:instrText>
        </w:r>
        <w:r>
          <w:rPr>
            <w:noProof/>
            <w:webHidden/>
          </w:rPr>
        </w:r>
        <w:r>
          <w:rPr>
            <w:noProof/>
            <w:webHidden/>
          </w:rPr>
          <w:fldChar w:fldCharType="separate"/>
        </w:r>
        <w:r>
          <w:rPr>
            <w:noProof/>
            <w:webHidden/>
          </w:rPr>
          <w:t>32</w:t>
        </w:r>
        <w:r>
          <w:rPr>
            <w:noProof/>
            <w:webHidden/>
          </w:rPr>
          <w:fldChar w:fldCharType="end"/>
        </w:r>
      </w:hyperlink>
    </w:p>
    <w:p w14:paraId="6865C1C5" w14:textId="2E92D43F" w:rsidR="00E60668" w:rsidRDefault="00E60668">
      <w:pPr>
        <w:pStyle w:val="TableofFigures"/>
        <w:tabs>
          <w:tab w:val="right" w:leader="dot" w:pos="9350"/>
        </w:tabs>
        <w:rPr>
          <w:rFonts w:asciiTheme="minorHAnsi" w:hAnsiTheme="minorHAnsi"/>
          <w:noProof/>
          <w:lang w:eastAsia="en-US"/>
        </w:rPr>
      </w:pPr>
      <w:hyperlink w:anchor="_Toc42289754" w:history="1">
        <w:r w:rsidRPr="00844033">
          <w:rPr>
            <w:rStyle w:val="Hyperlink"/>
            <w:noProof/>
          </w:rPr>
          <w:t>Table 2.5 Climate Inputs</w:t>
        </w:r>
        <w:r>
          <w:rPr>
            <w:noProof/>
            <w:webHidden/>
          </w:rPr>
          <w:tab/>
        </w:r>
        <w:r>
          <w:rPr>
            <w:noProof/>
            <w:webHidden/>
          </w:rPr>
          <w:fldChar w:fldCharType="begin"/>
        </w:r>
        <w:r>
          <w:rPr>
            <w:noProof/>
            <w:webHidden/>
          </w:rPr>
          <w:instrText xml:space="preserve"> PAGEREF _Toc42289754 \h </w:instrText>
        </w:r>
        <w:r>
          <w:rPr>
            <w:noProof/>
            <w:webHidden/>
          </w:rPr>
        </w:r>
        <w:r>
          <w:rPr>
            <w:noProof/>
            <w:webHidden/>
          </w:rPr>
          <w:fldChar w:fldCharType="separate"/>
        </w:r>
        <w:r>
          <w:rPr>
            <w:noProof/>
            <w:webHidden/>
          </w:rPr>
          <w:t>35</w:t>
        </w:r>
        <w:r>
          <w:rPr>
            <w:noProof/>
            <w:webHidden/>
          </w:rPr>
          <w:fldChar w:fldCharType="end"/>
        </w:r>
      </w:hyperlink>
    </w:p>
    <w:p w14:paraId="22C782C7" w14:textId="70474DE2" w:rsidR="00E60668" w:rsidRDefault="00E60668">
      <w:pPr>
        <w:pStyle w:val="TableofFigures"/>
        <w:tabs>
          <w:tab w:val="right" w:leader="dot" w:pos="9350"/>
        </w:tabs>
        <w:rPr>
          <w:rFonts w:asciiTheme="minorHAnsi" w:hAnsiTheme="minorHAnsi"/>
          <w:noProof/>
          <w:lang w:eastAsia="en-US"/>
        </w:rPr>
      </w:pPr>
      <w:hyperlink w:anchor="_Toc42289755" w:history="1">
        <w:r w:rsidRPr="00844033">
          <w:rPr>
            <w:rStyle w:val="Hyperlink"/>
            <w:noProof/>
          </w:rPr>
          <w:t>Table 2.6 Financial Inputs for the Conventional Technology</w:t>
        </w:r>
        <w:r>
          <w:rPr>
            <w:noProof/>
            <w:webHidden/>
          </w:rPr>
          <w:tab/>
        </w:r>
        <w:r>
          <w:rPr>
            <w:noProof/>
            <w:webHidden/>
          </w:rPr>
          <w:fldChar w:fldCharType="begin"/>
        </w:r>
        <w:r>
          <w:rPr>
            <w:noProof/>
            <w:webHidden/>
          </w:rPr>
          <w:instrText xml:space="preserve"> PAGEREF _Toc42289755 \h </w:instrText>
        </w:r>
        <w:r>
          <w:rPr>
            <w:noProof/>
            <w:webHidden/>
          </w:rPr>
        </w:r>
        <w:r>
          <w:rPr>
            <w:noProof/>
            <w:webHidden/>
          </w:rPr>
          <w:fldChar w:fldCharType="separate"/>
        </w:r>
        <w:r>
          <w:rPr>
            <w:noProof/>
            <w:webHidden/>
          </w:rPr>
          <w:t>36</w:t>
        </w:r>
        <w:r>
          <w:rPr>
            <w:noProof/>
            <w:webHidden/>
          </w:rPr>
          <w:fldChar w:fldCharType="end"/>
        </w:r>
      </w:hyperlink>
    </w:p>
    <w:p w14:paraId="5AF0C876" w14:textId="49710C7C" w:rsidR="00E60668" w:rsidRDefault="00E60668">
      <w:pPr>
        <w:pStyle w:val="TableofFigures"/>
        <w:tabs>
          <w:tab w:val="right" w:leader="dot" w:pos="9350"/>
        </w:tabs>
        <w:rPr>
          <w:rFonts w:asciiTheme="minorHAnsi" w:hAnsiTheme="minorHAnsi"/>
          <w:noProof/>
          <w:lang w:eastAsia="en-US"/>
        </w:rPr>
      </w:pPr>
      <w:hyperlink w:anchor="_Toc42289756" w:history="1">
        <w:r w:rsidRPr="00844033">
          <w:rPr>
            <w:rStyle w:val="Hyperlink"/>
            <w:noProof/>
          </w:rPr>
          <w:t>Table 2.7 Financial Inputs for the Solution Technology</w:t>
        </w:r>
        <w:r>
          <w:rPr>
            <w:noProof/>
            <w:webHidden/>
          </w:rPr>
          <w:tab/>
        </w:r>
        <w:r>
          <w:rPr>
            <w:noProof/>
            <w:webHidden/>
          </w:rPr>
          <w:fldChar w:fldCharType="begin"/>
        </w:r>
        <w:r>
          <w:rPr>
            <w:noProof/>
            <w:webHidden/>
          </w:rPr>
          <w:instrText xml:space="preserve"> PAGEREF _Toc42289756 \h </w:instrText>
        </w:r>
        <w:r>
          <w:rPr>
            <w:noProof/>
            <w:webHidden/>
          </w:rPr>
        </w:r>
        <w:r>
          <w:rPr>
            <w:noProof/>
            <w:webHidden/>
          </w:rPr>
          <w:fldChar w:fldCharType="separate"/>
        </w:r>
        <w:r>
          <w:rPr>
            <w:noProof/>
            <w:webHidden/>
          </w:rPr>
          <w:t>37</w:t>
        </w:r>
        <w:r>
          <w:rPr>
            <w:noProof/>
            <w:webHidden/>
          </w:rPr>
          <w:fldChar w:fldCharType="end"/>
        </w:r>
      </w:hyperlink>
    </w:p>
    <w:p w14:paraId="62472B3C" w14:textId="3065B135" w:rsidR="00E60668" w:rsidRDefault="00E60668">
      <w:pPr>
        <w:pStyle w:val="TableofFigures"/>
        <w:tabs>
          <w:tab w:val="right" w:leader="dot" w:pos="9350"/>
        </w:tabs>
        <w:rPr>
          <w:rFonts w:asciiTheme="minorHAnsi" w:hAnsiTheme="minorHAnsi"/>
          <w:noProof/>
          <w:lang w:eastAsia="en-US"/>
        </w:rPr>
      </w:pPr>
      <w:hyperlink w:anchor="_Toc42289757" w:history="1">
        <w:r w:rsidRPr="00844033">
          <w:rPr>
            <w:rStyle w:val="Hyperlink"/>
            <w:noProof/>
          </w:rPr>
          <w:t>Table 2.8 Technical model inputs for Energy Consumption and Efficiency</w:t>
        </w:r>
        <w:r>
          <w:rPr>
            <w:noProof/>
            <w:webHidden/>
          </w:rPr>
          <w:tab/>
        </w:r>
        <w:r>
          <w:rPr>
            <w:noProof/>
            <w:webHidden/>
          </w:rPr>
          <w:fldChar w:fldCharType="begin"/>
        </w:r>
        <w:r>
          <w:rPr>
            <w:noProof/>
            <w:webHidden/>
          </w:rPr>
          <w:instrText xml:space="preserve"> PAGEREF _Toc42289757 \h </w:instrText>
        </w:r>
        <w:r>
          <w:rPr>
            <w:noProof/>
            <w:webHidden/>
          </w:rPr>
        </w:r>
        <w:r>
          <w:rPr>
            <w:noProof/>
            <w:webHidden/>
          </w:rPr>
          <w:fldChar w:fldCharType="separate"/>
        </w:r>
        <w:r>
          <w:rPr>
            <w:noProof/>
            <w:webHidden/>
          </w:rPr>
          <w:t>39</w:t>
        </w:r>
        <w:r>
          <w:rPr>
            <w:noProof/>
            <w:webHidden/>
          </w:rPr>
          <w:fldChar w:fldCharType="end"/>
        </w:r>
      </w:hyperlink>
    </w:p>
    <w:p w14:paraId="5F528ADD" w14:textId="29D5CE2C" w:rsidR="00E60668" w:rsidRDefault="00E60668">
      <w:pPr>
        <w:pStyle w:val="TableofFigures"/>
        <w:tabs>
          <w:tab w:val="right" w:leader="dot" w:pos="9350"/>
        </w:tabs>
        <w:rPr>
          <w:rFonts w:asciiTheme="minorHAnsi" w:hAnsiTheme="minorHAnsi"/>
          <w:noProof/>
          <w:lang w:eastAsia="en-US"/>
        </w:rPr>
      </w:pPr>
      <w:hyperlink w:anchor="_Toc42289758" w:history="1">
        <w:r w:rsidRPr="00844033">
          <w:rPr>
            <w:rStyle w:val="Hyperlink"/>
            <w:noProof/>
          </w:rPr>
          <w:t>Table 2.9 Technical model inputs for Usage and Lifetime</w:t>
        </w:r>
        <w:r>
          <w:rPr>
            <w:noProof/>
            <w:webHidden/>
          </w:rPr>
          <w:tab/>
        </w:r>
        <w:r>
          <w:rPr>
            <w:noProof/>
            <w:webHidden/>
          </w:rPr>
          <w:fldChar w:fldCharType="begin"/>
        </w:r>
        <w:r>
          <w:rPr>
            <w:noProof/>
            <w:webHidden/>
          </w:rPr>
          <w:instrText xml:space="preserve"> PAGEREF _Toc42289758 \h </w:instrText>
        </w:r>
        <w:r>
          <w:rPr>
            <w:noProof/>
            <w:webHidden/>
          </w:rPr>
        </w:r>
        <w:r>
          <w:rPr>
            <w:noProof/>
            <w:webHidden/>
          </w:rPr>
          <w:fldChar w:fldCharType="separate"/>
        </w:r>
        <w:r>
          <w:rPr>
            <w:noProof/>
            <w:webHidden/>
          </w:rPr>
          <w:t>40</w:t>
        </w:r>
        <w:r>
          <w:rPr>
            <w:noProof/>
            <w:webHidden/>
          </w:rPr>
          <w:fldChar w:fldCharType="end"/>
        </w:r>
      </w:hyperlink>
    </w:p>
    <w:p w14:paraId="7CA639F7" w14:textId="636C17C5" w:rsidR="00E60668" w:rsidRDefault="00E60668">
      <w:pPr>
        <w:pStyle w:val="TableofFigures"/>
        <w:tabs>
          <w:tab w:val="right" w:leader="dot" w:pos="9350"/>
        </w:tabs>
        <w:rPr>
          <w:rFonts w:asciiTheme="minorHAnsi" w:hAnsiTheme="minorHAnsi"/>
          <w:noProof/>
          <w:lang w:eastAsia="en-US"/>
        </w:rPr>
      </w:pPr>
      <w:hyperlink w:anchor="_Toc42289759" w:history="1">
        <w:r w:rsidRPr="00844033">
          <w:rPr>
            <w:rStyle w:val="Hyperlink"/>
            <w:noProof/>
          </w:rPr>
          <w:t>Table 3.1 World Adoption of the Solution</w:t>
        </w:r>
        <w:r>
          <w:rPr>
            <w:noProof/>
            <w:webHidden/>
          </w:rPr>
          <w:tab/>
        </w:r>
        <w:r>
          <w:rPr>
            <w:noProof/>
            <w:webHidden/>
          </w:rPr>
          <w:fldChar w:fldCharType="begin"/>
        </w:r>
        <w:r>
          <w:rPr>
            <w:noProof/>
            <w:webHidden/>
          </w:rPr>
          <w:instrText xml:space="preserve"> PAGEREF _Toc42289759 \h </w:instrText>
        </w:r>
        <w:r>
          <w:rPr>
            <w:noProof/>
            <w:webHidden/>
          </w:rPr>
        </w:r>
        <w:r>
          <w:rPr>
            <w:noProof/>
            <w:webHidden/>
          </w:rPr>
          <w:fldChar w:fldCharType="separate"/>
        </w:r>
        <w:r>
          <w:rPr>
            <w:noProof/>
            <w:webHidden/>
          </w:rPr>
          <w:t>43</w:t>
        </w:r>
        <w:r>
          <w:rPr>
            <w:noProof/>
            <w:webHidden/>
          </w:rPr>
          <w:fldChar w:fldCharType="end"/>
        </w:r>
      </w:hyperlink>
    </w:p>
    <w:p w14:paraId="100AB856" w14:textId="521925FB" w:rsidR="00E60668" w:rsidRDefault="00E60668">
      <w:pPr>
        <w:pStyle w:val="TableofFigures"/>
        <w:tabs>
          <w:tab w:val="right" w:leader="dot" w:pos="9350"/>
        </w:tabs>
        <w:rPr>
          <w:rFonts w:asciiTheme="minorHAnsi" w:hAnsiTheme="minorHAnsi"/>
          <w:noProof/>
          <w:lang w:eastAsia="en-US"/>
        </w:rPr>
      </w:pPr>
      <w:hyperlink w:anchor="_Toc42289760" w:history="1">
        <w:r w:rsidRPr="00844033">
          <w:rPr>
            <w:rStyle w:val="Hyperlink"/>
            <w:noProof/>
          </w:rPr>
          <w:t>Table 3.2 Climate Impacts</w:t>
        </w:r>
        <w:r>
          <w:rPr>
            <w:noProof/>
            <w:webHidden/>
          </w:rPr>
          <w:tab/>
        </w:r>
        <w:r>
          <w:rPr>
            <w:noProof/>
            <w:webHidden/>
          </w:rPr>
          <w:fldChar w:fldCharType="begin"/>
        </w:r>
        <w:r>
          <w:rPr>
            <w:noProof/>
            <w:webHidden/>
          </w:rPr>
          <w:instrText xml:space="preserve"> PAGEREF _Toc42289760 \h </w:instrText>
        </w:r>
        <w:r>
          <w:rPr>
            <w:noProof/>
            <w:webHidden/>
          </w:rPr>
        </w:r>
        <w:r>
          <w:rPr>
            <w:noProof/>
            <w:webHidden/>
          </w:rPr>
          <w:fldChar w:fldCharType="separate"/>
        </w:r>
        <w:r>
          <w:rPr>
            <w:noProof/>
            <w:webHidden/>
          </w:rPr>
          <w:t>45</w:t>
        </w:r>
        <w:r>
          <w:rPr>
            <w:noProof/>
            <w:webHidden/>
          </w:rPr>
          <w:fldChar w:fldCharType="end"/>
        </w:r>
      </w:hyperlink>
    </w:p>
    <w:p w14:paraId="064E7B9C" w14:textId="35F087CD" w:rsidR="00E60668" w:rsidRDefault="00E60668">
      <w:pPr>
        <w:pStyle w:val="TableofFigures"/>
        <w:tabs>
          <w:tab w:val="right" w:leader="dot" w:pos="9350"/>
        </w:tabs>
        <w:rPr>
          <w:rFonts w:asciiTheme="minorHAnsi" w:hAnsiTheme="minorHAnsi"/>
          <w:noProof/>
          <w:lang w:eastAsia="en-US"/>
        </w:rPr>
      </w:pPr>
      <w:hyperlink w:anchor="_Toc42289761" w:history="1">
        <w:r w:rsidRPr="00844033">
          <w:rPr>
            <w:rStyle w:val="Hyperlink"/>
            <w:noProof/>
          </w:rPr>
          <w:t>Table 3.3 Impacts on Atmospheric Concentrations of CO</w:t>
        </w:r>
        <w:r w:rsidRPr="00844033">
          <w:rPr>
            <w:rStyle w:val="Hyperlink"/>
            <w:noProof/>
            <w:vertAlign w:val="subscript"/>
          </w:rPr>
          <w:t>2</w:t>
        </w:r>
        <w:r w:rsidRPr="00844033">
          <w:rPr>
            <w:rStyle w:val="Hyperlink"/>
            <w:noProof/>
          </w:rPr>
          <w:t>-eq</w:t>
        </w:r>
        <w:r>
          <w:rPr>
            <w:noProof/>
            <w:webHidden/>
          </w:rPr>
          <w:tab/>
        </w:r>
        <w:r>
          <w:rPr>
            <w:noProof/>
            <w:webHidden/>
          </w:rPr>
          <w:fldChar w:fldCharType="begin"/>
        </w:r>
        <w:r>
          <w:rPr>
            <w:noProof/>
            <w:webHidden/>
          </w:rPr>
          <w:instrText xml:space="preserve"> PAGEREF _Toc42289761 \h </w:instrText>
        </w:r>
        <w:r>
          <w:rPr>
            <w:noProof/>
            <w:webHidden/>
          </w:rPr>
        </w:r>
        <w:r>
          <w:rPr>
            <w:noProof/>
            <w:webHidden/>
          </w:rPr>
          <w:fldChar w:fldCharType="separate"/>
        </w:r>
        <w:r>
          <w:rPr>
            <w:noProof/>
            <w:webHidden/>
          </w:rPr>
          <w:t>46</w:t>
        </w:r>
        <w:r>
          <w:rPr>
            <w:noProof/>
            <w:webHidden/>
          </w:rPr>
          <w:fldChar w:fldCharType="end"/>
        </w:r>
      </w:hyperlink>
    </w:p>
    <w:p w14:paraId="0BE8C446" w14:textId="06042A55" w:rsidR="00E60668" w:rsidRDefault="00E60668">
      <w:pPr>
        <w:pStyle w:val="TableofFigures"/>
        <w:tabs>
          <w:tab w:val="right" w:leader="dot" w:pos="9350"/>
        </w:tabs>
        <w:rPr>
          <w:rFonts w:asciiTheme="minorHAnsi" w:hAnsiTheme="minorHAnsi"/>
          <w:noProof/>
          <w:lang w:eastAsia="en-US"/>
        </w:rPr>
      </w:pPr>
      <w:hyperlink w:anchor="_Toc42289762" w:history="1">
        <w:r w:rsidRPr="00844033">
          <w:rPr>
            <w:rStyle w:val="Hyperlink"/>
            <w:noProof/>
          </w:rPr>
          <w:t>Table 3.4 Financial Impacts</w:t>
        </w:r>
        <w:r>
          <w:rPr>
            <w:noProof/>
            <w:webHidden/>
          </w:rPr>
          <w:tab/>
        </w:r>
        <w:r>
          <w:rPr>
            <w:noProof/>
            <w:webHidden/>
          </w:rPr>
          <w:fldChar w:fldCharType="begin"/>
        </w:r>
        <w:r>
          <w:rPr>
            <w:noProof/>
            <w:webHidden/>
          </w:rPr>
          <w:instrText xml:space="preserve"> PAGEREF _Toc42289762 \h </w:instrText>
        </w:r>
        <w:r>
          <w:rPr>
            <w:noProof/>
            <w:webHidden/>
          </w:rPr>
        </w:r>
        <w:r>
          <w:rPr>
            <w:noProof/>
            <w:webHidden/>
          </w:rPr>
          <w:fldChar w:fldCharType="separate"/>
        </w:r>
        <w:r>
          <w:rPr>
            <w:noProof/>
            <w:webHidden/>
          </w:rPr>
          <w:t>48</w:t>
        </w:r>
        <w:r>
          <w:rPr>
            <w:noProof/>
            <w:webHidden/>
          </w:rPr>
          <w:fldChar w:fldCharType="end"/>
        </w:r>
      </w:hyperlink>
    </w:p>
    <w:p w14:paraId="7BBE7889" w14:textId="4559ECF4" w:rsidR="00E60668" w:rsidRDefault="00E60668">
      <w:pPr>
        <w:pStyle w:val="TableofFigures"/>
        <w:tabs>
          <w:tab w:val="right" w:leader="dot" w:pos="9350"/>
        </w:tabs>
        <w:rPr>
          <w:rFonts w:asciiTheme="minorHAnsi" w:hAnsiTheme="minorHAnsi"/>
          <w:noProof/>
          <w:lang w:eastAsia="en-US"/>
        </w:rPr>
      </w:pPr>
      <w:hyperlink w:anchor="_Toc42289763" w:history="1">
        <w:r w:rsidRPr="00844033">
          <w:rPr>
            <w:rStyle w:val="Hyperlink"/>
            <w:noProof/>
          </w:rPr>
          <w:t>Table 4.1 Benchmarks</w:t>
        </w:r>
        <w:r>
          <w:rPr>
            <w:noProof/>
            <w:webHidden/>
          </w:rPr>
          <w:tab/>
        </w:r>
        <w:r>
          <w:rPr>
            <w:noProof/>
            <w:webHidden/>
          </w:rPr>
          <w:fldChar w:fldCharType="begin"/>
        </w:r>
        <w:r>
          <w:rPr>
            <w:noProof/>
            <w:webHidden/>
          </w:rPr>
          <w:instrText xml:space="preserve"> PAGEREF _Toc42289763 \h </w:instrText>
        </w:r>
        <w:r>
          <w:rPr>
            <w:noProof/>
            <w:webHidden/>
          </w:rPr>
        </w:r>
        <w:r>
          <w:rPr>
            <w:noProof/>
            <w:webHidden/>
          </w:rPr>
          <w:fldChar w:fldCharType="separate"/>
        </w:r>
        <w:r>
          <w:rPr>
            <w:noProof/>
            <w:webHidden/>
          </w:rPr>
          <w:t>52</w:t>
        </w:r>
        <w:r>
          <w:rPr>
            <w:noProof/>
            <w:webHidden/>
          </w:rPr>
          <w:fldChar w:fldCharType="end"/>
        </w:r>
      </w:hyperlink>
    </w:p>
    <w:p w14:paraId="4825AD3F" w14:textId="400168E3" w:rsidR="00640665" w:rsidRPr="003F1AF9" w:rsidRDefault="007E42ED" w:rsidP="00EB247F">
      <w:r w:rsidRPr="003F1AF9">
        <w:fldChar w:fldCharType="end"/>
      </w:r>
    </w:p>
    <w:p w14:paraId="314CD877" w14:textId="0A90708E" w:rsidR="00FA6897" w:rsidRPr="003F1AF9" w:rsidRDefault="2D56E7D4" w:rsidP="00EB247F">
      <w:pPr>
        <w:pStyle w:val="Heading1"/>
        <w:numPr>
          <w:ilvl w:val="0"/>
          <w:numId w:val="0"/>
        </w:numPr>
        <w:ind w:left="720" w:hanging="360"/>
      </w:pPr>
      <w:bookmarkStart w:id="2" w:name="_Toc42289699"/>
      <w:r w:rsidRPr="003F1AF9">
        <w:lastRenderedPageBreak/>
        <w:t>Acronyms and Symbols Used</w:t>
      </w:r>
      <w:bookmarkEnd w:id="2"/>
    </w:p>
    <w:p w14:paraId="74F64482" w14:textId="7CAE467D" w:rsidR="00C144FE" w:rsidRPr="003F1AF9" w:rsidRDefault="00C144FE" w:rsidP="00F436B3">
      <w:pPr>
        <w:pStyle w:val="ListParagraph"/>
        <w:numPr>
          <w:ilvl w:val="0"/>
          <w:numId w:val="6"/>
        </w:numPr>
      </w:pPr>
      <w:r w:rsidRPr="003F1AF9">
        <w:t>AHRI – Air-conditioning, Heating and Refrigeration Institute</w:t>
      </w:r>
    </w:p>
    <w:p w14:paraId="6693956B" w14:textId="7EC20993" w:rsidR="003035D7" w:rsidRPr="003F1AF9" w:rsidRDefault="003035D7" w:rsidP="00F436B3">
      <w:pPr>
        <w:pStyle w:val="ListParagraph"/>
        <w:numPr>
          <w:ilvl w:val="0"/>
          <w:numId w:val="6"/>
        </w:numPr>
      </w:pPr>
      <w:r w:rsidRPr="003F1AF9">
        <w:t xml:space="preserve">ASHP – </w:t>
      </w:r>
      <w:r w:rsidR="005C057B" w:rsidRPr="003F1AF9">
        <w:t>Air-Source Heat Pump</w:t>
      </w:r>
    </w:p>
    <w:p w14:paraId="604F7279" w14:textId="7D6FD7BA" w:rsidR="009A0C43" w:rsidRPr="003F1AF9" w:rsidRDefault="009A0C43" w:rsidP="009A0C43">
      <w:pPr>
        <w:pStyle w:val="ListParagraph"/>
        <w:numPr>
          <w:ilvl w:val="0"/>
          <w:numId w:val="6"/>
        </w:numPr>
      </w:pPr>
      <w:r w:rsidRPr="003F1AF9">
        <w:t xml:space="preserve">B2DS – </w:t>
      </w:r>
      <w:r w:rsidR="005C057B" w:rsidRPr="003F1AF9">
        <w:t xml:space="preserve">Beyond </w:t>
      </w:r>
      <w:r w:rsidR="00430711" w:rsidRPr="003F1AF9">
        <w:t>2-degree</w:t>
      </w:r>
      <w:r w:rsidR="00636840" w:rsidRPr="003F1AF9">
        <w:t xml:space="preserve"> </w:t>
      </w:r>
      <w:r w:rsidRPr="003F1AF9">
        <w:t>C Scenario (IEA ETP 2017)</w:t>
      </w:r>
    </w:p>
    <w:p w14:paraId="1239E65F" w14:textId="2B7A5BB1" w:rsidR="00CA36A0" w:rsidRPr="003F1AF9" w:rsidRDefault="00CA36A0" w:rsidP="00CA36A0">
      <w:pPr>
        <w:pStyle w:val="ListParagraph"/>
        <w:numPr>
          <w:ilvl w:val="0"/>
          <w:numId w:val="6"/>
        </w:numPr>
      </w:pPr>
      <w:r w:rsidRPr="003F1AF9">
        <w:t>COP – Coefficient Of Performance (</w:t>
      </w:r>
      <w:proofErr w:type="spellStart"/>
      <w:r w:rsidRPr="003F1AF9">
        <w:t>Wh</w:t>
      </w:r>
      <w:proofErr w:type="spellEnd"/>
      <w:r w:rsidRPr="003F1AF9">
        <w:t>/</w:t>
      </w:r>
      <w:proofErr w:type="spellStart"/>
      <w:r w:rsidRPr="003F1AF9">
        <w:t>Wh</w:t>
      </w:r>
      <w:proofErr w:type="spellEnd"/>
      <w:r w:rsidRPr="003F1AF9">
        <w:t>) (for space heating)</w:t>
      </w:r>
    </w:p>
    <w:p w14:paraId="5D6B1231" w14:textId="46D8214F" w:rsidR="003035D7" w:rsidRPr="003F1AF9" w:rsidRDefault="003035D7" w:rsidP="00F436B3">
      <w:pPr>
        <w:pStyle w:val="ListParagraph"/>
        <w:numPr>
          <w:ilvl w:val="0"/>
          <w:numId w:val="6"/>
        </w:numPr>
      </w:pPr>
      <w:r w:rsidRPr="003F1AF9">
        <w:t>DOE – US Department of Energy</w:t>
      </w:r>
    </w:p>
    <w:p w14:paraId="529224D3" w14:textId="1C6F3196" w:rsidR="0054384F" w:rsidRPr="003F1AF9" w:rsidRDefault="0054384F" w:rsidP="00F436B3">
      <w:pPr>
        <w:pStyle w:val="ListParagraph"/>
        <w:numPr>
          <w:ilvl w:val="0"/>
          <w:numId w:val="6"/>
        </w:numPr>
      </w:pPr>
      <w:r w:rsidRPr="003F1AF9">
        <w:t xml:space="preserve">EER – </w:t>
      </w:r>
      <w:r w:rsidR="005C057B" w:rsidRPr="003F1AF9">
        <w:t>Energy Efficiency Ratio</w:t>
      </w:r>
    </w:p>
    <w:p w14:paraId="4E9871B4" w14:textId="4B9B988E" w:rsidR="00221F9B" w:rsidRPr="003F1AF9" w:rsidRDefault="00221F9B" w:rsidP="00F436B3">
      <w:pPr>
        <w:pStyle w:val="ListParagraph"/>
        <w:numPr>
          <w:ilvl w:val="0"/>
          <w:numId w:val="6"/>
        </w:numPr>
      </w:pPr>
      <w:r w:rsidRPr="003F1AF9">
        <w:t>EHPA – European Heat Pump Association</w:t>
      </w:r>
    </w:p>
    <w:p w14:paraId="37735398" w14:textId="494EE1F4" w:rsidR="003035D7" w:rsidRPr="003F1AF9" w:rsidRDefault="003035D7" w:rsidP="00F436B3">
      <w:pPr>
        <w:pStyle w:val="ListParagraph"/>
        <w:numPr>
          <w:ilvl w:val="0"/>
          <w:numId w:val="6"/>
        </w:numPr>
      </w:pPr>
      <w:r w:rsidRPr="003F1AF9">
        <w:t>EIA – Energy Information Agency (US DOE)</w:t>
      </w:r>
    </w:p>
    <w:p w14:paraId="43B0E257" w14:textId="069025EA" w:rsidR="00FB2C53" w:rsidRPr="003F1AF9" w:rsidRDefault="003035D7" w:rsidP="003035D7">
      <w:pPr>
        <w:pStyle w:val="ListParagraph"/>
        <w:numPr>
          <w:ilvl w:val="0"/>
          <w:numId w:val="6"/>
        </w:numPr>
      </w:pPr>
      <w:r w:rsidRPr="003F1AF9">
        <w:t xml:space="preserve">GHG – </w:t>
      </w:r>
      <w:r w:rsidR="005C057B" w:rsidRPr="003F1AF9">
        <w:t>Greenhouse Ga</w:t>
      </w:r>
      <w:r w:rsidRPr="003F1AF9">
        <w:t>s</w:t>
      </w:r>
    </w:p>
    <w:p w14:paraId="2C59A2EA" w14:textId="418836C7" w:rsidR="0054384F" w:rsidRPr="003F1AF9" w:rsidRDefault="0054384F" w:rsidP="003035D7">
      <w:pPr>
        <w:pStyle w:val="ListParagraph"/>
        <w:numPr>
          <w:ilvl w:val="0"/>
          <w:numId w:val="6"/>
        </w:numPr>
      </w:pPr>
      <w:r w:rsidRPr="003F1AF9">
        <w:t xml:space="preserve">GSHP – </w:t>
      </w:r>
      <w:r w:rsidR="005C057B" w:rsidRPr="003F1AF9">
        <w:t>Ground-Source Heat Pump</w:t>
      </w:r>
    </w:p>
    <w:p w14:paraId="6038C27F" w14:textId="42E1AB58" w:rsidR="00221F9B" w:rsidRPr="003F1AF9" w:rsidRDefault="00221F9B" w:rsidP="003035D7">
      <w:pPr>
        <w:pStyle w:val="ListParagraph"/>
        <w:numPr>
          <w:ilvl w:val="0"/>
          <w:numId w:val="6"/>
        </w:numPr>
      </w:pPr>
      <w:r w:rsidRPr="003F1AF9">
        <w:t xml:space="preserve">GWP – </w:t>
      </w:r>
      <w:r w:rsidR="005C057B" w:rsidRPr="003F1AF9">
        <w:t>Global Warming Potential</w:t>
      </w:r>
    </w:p>
    <w:p w14:paraId="26685625" w14:textId="7265315F" w:rsidR="003035D7" w:rsidRPr="003F1AF9" w:rsidRDefault="003035D7" w:rsidP="003035D7">
      <w:pPr>
        <w:pStyle w:val="ListParagraph"/>
        <w:numPr>
          <w:ilvl w:val="0"/>
          <w:numId w:val="6"/>
        </w:numPr>
      </w:pPr>
      <w:r w:rsidRPr="003F1AF9">
        <w:t xml:space="preserve">HEHP – </w:t>
      </w:r>
      <w:r w:rsidR="005C057B" w:rsidRPr="003F1AF9">
        <w:t>High-Efficiency Heat Pump</w:t>
      </w:r>
    </w:p>
    <w:p w14:paraId="39C025F9" w14:textId="2ACE5372" w:rsidR="0054384F" w:rsidRPr="003F1AF9" w:rsidRDefault="0054384F" w:rsidP="009A0C43">
      <w:pPr>
        <w:pStyle w:val="ListParagraph"/>
        <w:numPr>
          <w:ilvl w:val="0"/>
          <w:numId w:val="6"/>
        </w:numPr>
      </w:pPr>
      <w:r w:rsidRPr="003F1AF9">
        <w:t xml:space="preserve">HSPF – </w:t>
      </w:r>
      <w:r w:rsidR="005C057B" w:rsidRPr="003F1AF9">
        <w:t>Heating Seasonal Performance Facto</w:t>
      </w:r>
      <w:r w:rsidRPr="003F1AF9">
        <w:t>r</w:t>
      </w:r>
      <w:r w:rsidR="00636840" w:rsidRPr="003F1AF9">
        <w:t xml:space="preserve"> (BTU/</w:t>
      </w:r>
      <w:proofErr w:type="spellStart"/>
      <w:r w:rsidR="00636840" w:rsidRPr="003F1AF9">
        <w:t>Wh</w:t>
      </w:r>
      <w:proofErr w:type="spellEnd"/>
      <w:r w:rsidR="00636840" w:rsidRPr="003F1AF9">
        <w:t>) [US metric]</w:t>
      </w:r>
    </w:p>
    <w:p w14:paraId="4D91A92C" w14:textId="2C9FC58C" w:rsidR="0054384F" w:rsidRPr="003F1AF9" w:rsidRDefault="0054384F" w:rsidP="009A0C43">
      <w:pPr>
        <w:pStyle w:val="ListParagraph"/>
        <w:numPr>
          <w:ilvl w:val="0"/>
          <w:numId w:val="6"/>
        </w:numPr>
      </w:pPr>
      <w:r w:rsidRPr="003F1AF9">
        <w:t xml:space="preserve">HVAC – </w:t>
      </w:r>
      <w:r w:rsidR="005C057B" w:rsidRPr="003F1AF9">
        <w:t>Heating, Ventilating And Air Conditioning</w:t>
      </w:r>
    </w:p>
    <w:p w14:paraId="7B9B6649" w14:textId="6813E56F" w:rsidR="009A0C43" w:rsidRPr="003F1AF9" w:rsidRDefault="009A0C43" w:rsidP="009A0C43">
      <w:pPr>
        <w:pStyle w:val="ListParagraph"/>
        <w:numPr>
          <w:ilvl w:val="0"/>
          <w:numId w:val="6"/>
        </w:numPr>
      </w:pPr>
      <w:r w:rsidRPr="003F1AF9">
        <w:t>IEA – International Energy Agency</w:t>
      </w:r>
    </w:p>
    <w:p w14:paraId="13AFF0F0" w14:textId="7412AECA" w:rsidR="009A0C43" w:rsidRPr="003F1AF9" w:rsidRDefault="009A0C43" w:rsidP="009A0C43">
      <w:pPr>
        <w:pStyle w:val="ListParagraph"/>
        <w:numPr>
          <w:ilvl w:val="0"/>
          <w:numId w:val="6"/>
        </w:numPr>
      </w:pPr>
      <w:r w:rsidRPr="003F1AF9">
        <w:t>IEA</w:t>
      </w:r>
      <w:r w:rsidR="00221F9B" w:rsidRPr="003F1AF9">
        <w:t xml:space="preserve"> ETP</w:t>
      </w:r>
      <w:r w:rsidRPr="003F1AF9">
        <w:t xml:space="preserve"> – International Energy Agency</w:t>
      </w:r>
      <w:r w:rsidR="00221F9B" w:rsidRPr="003F1AF9">
        <w:t xml:space="preserve"> </w:t>
      </w:r>
      <w:r w:rsidR="009F77C6" w:rsidRPr="003F1AF9">
        <w:t xml:space="preserve">- </w:t>
      </w:r>
      <w:r w:rsidR="00221F9B" w:rsidRPr="003F1AF9">
        <w:t>Energy Technology Perspectives</w:t>
      </w:r>
      <w:r w:rsidR="00636840" w:rsidRPr="003F1AF9">
        <w:t xml:space="preserve"> Report</w:t>
      </w:r>
    </w:p>
    <w:p w14:paraId="14E40C18" w14:textId="3CD3EF24" w:rsidR="00221F9B" w:rsidRPr="003F1AF9" w:rsidRDefault="00221F9B" w:rsidP="003035D7">
      <w:pPr>
        <w:pStyle w:val="ListParagraph"/>
        <w:numPr>
          <w:ilvl w:val="0"/>
          <w:numId w:val="6"/>
        </w:numPr>
      </w:pPr>
      <w:r w:rsidRPr="003F1AF9">
        <w:t xml:space="preserve">IPCC – </w:t>
      </w:r>
      <w:r w:rsidR="0054384F" w:rsidRPr="003F1AF9">
        <w:t>Intergovernmental Panel on</w:t>
      </w:r>
      <w:r w:rsidRPr="003F1AF9">
        <w:t xml:space="preserve"> Climate Change</w:t>
      </w:r>
    </w:p>
    <w:p w14:paraId="7A656C46" w14:textId="147304C8" w:rsidR="003035D7" w:rsidRPr="003F1AF9" w:rsidRDefault="003035D7" w:rsidP="003035D7">
      <w:pPr>
        <w:pStyle w:val="ListParagraph"/>
        <w:numPr>
          <w:ilvl w:val="0"/>
          <w:numId w:val="6"/>
        </w:numPr>
      </w:pPr>
      <w:r w:rsidRPr="003F1AF9">
        <w:t xml:space="preserve">kW - </w:t>
      </w:r>
      <w:r w:rsidR="005C057B" w:rsidRPr="003F1AF9">
        <w:t>Kilowatt</w:t>
      </w:r>
    </w:p>
    <w:p w14:paraId="6EE2A414" w14:textId="2C130BEA" w:rsidR="003035D7" w:rsidRPr="003F1AF9" w:rsidRDefault="003035D7" w:rsidP="003035D7">
      <w:pPr>
        <w:pStyle w:val="ListParagraph"/>
        <w:numPr>
          <w:ilvl w:val="0"/>
          <w:numId w:val="6"/>
        </w:numPr>
      </w:pPr>
      <w:r w:rsidRPr="003F1AF9">
        <w:t xml:space="preserve">kWh – </w:t>
      </w:r>
      <w:r w:rsidR="005C057B" w:rsidRPr="003F1AF9">
        <w:t>Kilowatt Hour</w:t>
      </w:r>
    </w:p>
    <w:p w14:paraId="2F7C36B3" w14:textId="46000BA2" w:rsidR="003035D7" w:rsidRPr="003F1AF9" w:rsidRDefault="003035D7" w:rsidP="003035D7">
      <w:pPr>
        <w:pStyle w:val="ListParagraph"/>
        <w:numPr>
          <w:ilvl w:val="0"/>
          <w:numId w:val="6"/>
        </w:numPr>
      </w:pPr>
      <w:r w:rsidRPr="003F1AF9">
        <w:t xml:space="preserve">MEPS – </w:t>
      </w:r>
      <w:r w:rsidR="005C057B" w:rsidRPr="003F1AF9">
        <w:t>Minimum Energy Performance Standards</w:t>
      </w:r>
    </w:p>
    <w:p w14:paraId="0C98A78A" w14:textId="77BD177E" w:rsidR="003035D7" w:rsidRPr="003F1AF9" w:rsidRDefault="003035D7" w:rsidP="003035D7">
      <w:pPr>
        <w:pStyle w:val="ListParagraph"/>
        <w:numPr>
          <w:ilvl w:val="0"/>
          <w:numId w:val="6"/>
        </w:numPr>
      </w:pPr>
      <w:r w:rsidRPr="003F1AF9">
        <w:t xml:space="preserve">NPV – </w:t>
      </w:r>
      <w:r w:rsidR="005C057B" w:rsidRPr="003F1AF9">
        <w:t>Net Present Value</w:t>
      </w:r>
    </w:p>
    <w:p w14:paraId="3CF389FC" w14:textId="77777777" w:rsidR="00221F9B" w:rsidRPr="003F1AF9" w:rsidRDefault="00221F9B" w:rsidP="003035D7">
      <w:pPr>
        <w:pStyle w:val="ListParagraph"/>
        <w:numPr>
          <w:ilvl w:val="0"/>
          <w:numId w:val="6"/>
        </w:numPr>
      </w:pPr>
      <w:r w:rsidRPr="003F1AF9">
        <w:t>PDS – Project Drawdown Scenario</w:t>
      </w:r>
    </w:p>
    <w:p w14:paraId="41B37B53" w14:textId="46B3FD9F" w:rsidR="00221F9B" w:rsidRPr="003F1AF9" w:rsidRDefault="00221F9B" w:rsidP="003035D7">
      <w:pPr>
        <w:pStyle w:val="ListParagraph"/>
        <w:numPr>
          <w:ilvl w:val="0"/>
          <w:numId w:val="6"/>
        </w:numPr>
      </w:pPr>
      <w:r w:rsidRPr="003F1AF9">
        <w:t>REF –</w:t>
      </w:r>
      <w:r w:rsidR="009F77C6" w:rsidRPr="003F1AF9">
        <w:t xml:space="preserve"> </w:t>
      </w:r>
      <w:r w:rsidRPr="003F1AF9">
        <w:t xml:space="preserve">Reference </w:t>
      </w:r>
      <w:r w:rsidR="00636840" w:rsidRPr="003F1AF9">
        <w:t>Scenario</w:t>
      </w:r>
      <w:r w:rsidR="009F77C6" w:rsidRPr="003F1AF9">
        <w:t xml:space="preserve"> (Project Drawdown)</w:t>
      </w:r>
    </w:p>
    <w:p w14:paraId="77DDF7FA" w14:textId="1D8F0355" w:rsidR="009A0C43" w:rsidRPr="003F1AF9" w:rsidRDefault="009A0C43" w:rsidP="003035D7">
      <w:pPr>
        <w:pStyle w:val="ListParagraph"/>
        <w:numPr>
          <w:ilvl w:val="0"/>
          <w:numId w:val="6"/>
        </w:numPr>
      </w:pPr>
      <w:r w:rsidRPr="003F1AF9">
        <w:t>RTS – Reference Technology Scenario (IEA ETP 2017)</w:t>
      </w:r>
    </w:p>
    <w:p w14:paraId="16AA23D3" w14:textId="75AAEB11" w:rsidR="003035D7" w:rsidRPr="003F1AF9" w:rsidRDefault="003035D7" w:rsidP="003035D7">
      <w:pPr>
        <w:pStyle w:val="ListParagraph"/>
        <w:numPr>
          <w:ilvl w:val="0"/>
          <w:numId w:val="6"/>
        </w:numPr>
      </w:pPr>
      <w:r w:rsidRPr="003F1AF9">
        <w:t xml:space="preserve">SCOP – </w:t>
      </w:r>
      <w:r w:rsidR="005C057B" w:rsidRPr="003F1AF9">
        <w:t xml:space="preserve">Seasonal Coefficient Of Performance </w:t>
      </w:r>
      <w:r w:rsidRPr="003F1AF9">
        <w:t>(</w:t>
      </w:r>
      <w:proofErr w:type="spellStart"/>
      <w:r w:rsidRPr="003F1AF9">
        <w:t>Wh</w:t>
      </w:r>
      <w:proofErr w:type="spellEnd"/>
      <w:r w:rsidRPr="003F1AF9">
        <w:t>/</w:t>
      </w:r>
      <w:proofErr w:type="spellStart"/>
      <w:r w:rsidRPr="003F1AF9">
        <w:t>Wh</w:t>
      </w:r>
      <w:proofErr w:type="spellEnd"/>
      <w:r w:rsidRPr="003F1AF9">
        <w:t>) (for space heating)</w:t>
      </w:r>
    </w:p>
    <w:p w14:paraId="6C829BB4" w14:textId="02158AC4" w:rsidR="003035D7" w:rsidRPr="003F1AF9" w:rsidRDefault="003035D7" w:rsidP="003035D7">
      <w:pPr>
        <w:pStyle w:val="ListParagraph"/>
        <w:numPr>
          <w:ilvl w:val="0"/>
          <w:numId w:val="6"/>
        </w:numPr>
      </w:pPr>
      <w:r w:rsidRPr="003F1AF9">
        <w:t xml:space="preserve">SEER </w:t>
      </w:r>
      <w:r w:rsidR="009E73AE" w:rsidRPr="003F1AF9">
        <w:t>–</w:t>
      </w:r>
      <w:r w:rsidRPr="003F1AF9">
        <w:t xml:space="preserve"> </w:t>
      </w:r>
      <w:r w:rsidR="005C057B" w:rsidRPr="003F1AF9">
        <w:t xml:space="preserve">Seasonal </w:t>
      </w:r>
      <w:r w:rsidR="009F77C6" w:rsidRPr="003F1AF9">
        <w:t>Energy Efficiency Ratio</w:t>
      </w:r>
      <w:r w:rsidR="005C057B" w:rsidRPr="003F1AF9">
        <w:t xml:space="preserve"> </w:t>
      </w:r>
      <w:r w:rsidRPr="003F1AF9">
        <w:t>(</w:t>
      </w:r>
      <w:proofErr w:type="spellStart"/>
      <w:r w:rsidRPr="003F1AF9">
        <w:t>Wh</w:t>
      </w:r>
      <w:proofErr w:type="spellEnd"/>
      <w:r w:rsidRPr="003F1AF9">
        <w:t>/</w:t>
      </w:r>
      <w:proofErr w:type="spellStart"/>
      <w:r w:rsidRPr="003F1AF9">
        <w:t>Wh</w:t>
      </w:r>
      <w:proofErr w:type="spellEnd"/>
      <w:r w:rsidRPr="003F1AF9">
        <w:t xml:space="preserve">) </w:t>
      </w:r>
      <w:r w:rsidR="009E73AE" w:rsidRPr="003F1AF9">
        <w:t>(for space cooling</w:t>
      </w:r>
      <w:r w:rsidRPr="003F1AF9">
        <w:t>)</w:t>
      </w:r>
      <w:r w:rsidR="00221F9B" w:rsidRPr="003F1AF9">
        <w:t xml:space="preserve"> [BTU/</w:t>
      </w:r>
      <w:proofErr w:type="spellStart"/>
      <w:r w:rsidR="00221F9B" w:rsidRPr="003F1AF9">
        <w:t>Wh</w:t>
      </w:r>
      <w:proofErr w:type="spellEnd"/>
      <w:r w:rsidR="00221F9B" w:rsidRPr="003F1AF9">
        <w:t xml:space="preserve"> in the US]</w:t>
      </w:r>
    </w:p>
    <w:p w14:paraId="7B44756D" w14:textId="0E065E1A" w:rsidR="00221F9B" w:rsidRPr="003F1AF9" w:rsidRDefault="00221F9B" w:rsidP="003035D7">
      <w:pPr>
        <w:pStyle w:val="ListParagraph"/>
        <w:numPr>
          <w:ilvl w:val="0"/>
          <w:numId w:val="6"/>
        </w:numPr>
      </w:pPr>
      <w:r w:rsidRPr="003F1AF9">
        <w:t xml:space="preserve">TAM – </w:t>
      </w:r>
      <w:r w:rsidR="005C057B" w:rsidRPr="003F1AF9">
        <w:t>Total Available Market</w:t>
      </w:r>
    </w:p>
    <w:p w14:paraId="4C7F5E46" w14:textId="565B47E5" w:rsidR="003035D7" w:rsidRPr="003F1AF9" w:rsidRDefault="003035D7" w:rsidP="0003357C">
      <w:pPr>
        <w:pStyle w:val="ListParagraph"/>
        <w:numPr>
          <w:ilvl w:val="0"/>
          <w:numId w:val="6"/>
        </w:numPr>
      </w:pPr>
      <w:r w:rsidRPr="003F1AF9">
        <w:t>TW</w:t>
      </w:r>
      <w:r w:rsidR="0003357C">
        <w:t>/ TWh</w:t>
      </w:r>
      <w:r w:rsidRPr="003F1AF9">
        <w:t xml:space="preserve"> – </w:t>
      </w:r>
      <w:r w:rsidR="005C057B" w:rsidRPr="003F1AF9">
        <w:t>Terawatt</w:t>
      </w:r>
      <w:r w:rsidR="0003357C">
        <w:t>/</w:t>
      </w:r>
      <w:r w:rsidRPr="003F1AF9">
        <w:t xml:space="preserve"> </w:t>
      </w:r>
      <w:r w:rsidR="005C057B" w:rsidRPr="003F1AF9">
        <w:t>Terawatt Hour</w:t>
      </w:r>
    </w:p>
    <w:p w14:paraId="06F06E2C" w14:textId="399992BB" w:rsidR="003035D7" w:rsidRDefault="009A0C43" w:rsidP="00F436B3">
      <w:pPr>
        <w:pStyle w:val="ListParagraph"/>
        <w:numPr>
          <w:ilvl w:val="0"/>
          <w:numId w:val="6"/>
        </w:numPr>
      </w:pPr>
      <w:r w:rsidRPr="003F1AF9">
        <w:t xml:space="preserve">2DS – 2 </w:t>
      </w:r>
      <w:r w:rsidR="005C057B" w:rsidRPr="003F1AF9">
        <w:t xml:space="preserve">Degrees </w:t>
      </w:r>
      <w:r w:rsidRPr="003F1AF9">
        <w:t>C Scenario (IEA ETP 2017)</w:t>
      </w:r>
    </w:p>
    <w:p w14:paraId="539ED923" w14:textId="5062EC46" w:rsidR="00B0562C" w:rsidRPr="003F1AF9" w:rsidRDefault="00B0562C" w:rsidP="00F436B3">
      <w:pPr>
        <w:pStyle w:val="ListParagraph"/>
        <w:numPr>
          <w:ilvl w:val="0"/>
          <w:numId w:val="6"/>
        </w:numPr>
      </w:pPr>
      <w:proofErr w:type="spellStart"/>
      <w:r>
        <w:t>Wh</w:t>
      </w:r>
      <w:proofErr w:type="spellEnd"/>
      <w:r>
        <w:t xml:space="preserve"> – Watt-hour</w:t>
      </w:r>
    </w:p>
    <w:p w14:paraId="25BC328C" w14:textId="38682311" w:rsidR="00FB2C53" w:rsidRPr="003F1AF9" w:rsidRDefault="0054384F" w:rsidP="00341435">
      <w:pPr>
        <w:pStyle w:val="ListParagraph"/>
        <w:numPr>
          <w:ilvl w:val="0"/>
          <w:numId w:val="6"/>
        </w:numPr>
      </w:pPr>
      <w:r w:rsidRPr="003F1AF9">
        <w:t xml:space="preserve">WSHP – </w:t>
      </w:r>
      <w:r w:rsidR="005C057B" w:rsidRPr="003F1AF9">
        <w:t>Water-Source Heat Pump</w:t>
      </w:r>
    </w:p>
    <w:p w14:paraId="258D1C7E" w14:textId="3BBF0D31" w:rsidR="00E844EA" w:rsidRPr="003F1AF9" w:rsidRDefault="551A77D0" w:rsidP="00EB247F">
      <w:pPr>
        <w:pStyle w:val="Heading1"/>
        <w:numPr>
          <w:ilvl w:val="0"/>
          <w:numId w:val="0"/>
        </w:numPr>
      </w:pPr>
      <w:bookmarkStart w:id="3" w:name="_Toc42289700"/>
      <w:r w:rsidRPr="003F1AF9">
        <w:lastRenderedPageBreak/>
        <w:t>Executive Summary</w:t>
      </w:r>
      <w:bookmarkEnd w:id="3"/>
    </w:p>
    <w:p w14:paraId="767CE187" w14:textId="2C370787" w:rsidR="0092530D" w:rsidRPr="003F1AF9" w:rsidRDefault="004143D3" w:rsidP="0092530D">
      <w:r w:rsidRPr="003F1AF9">
        <w:t xml:space="preserve">This </w:t>
      </w:r>
      <w:r w:rsidR="0092530D" w:rsidRPr="003F1AF9">
        <w:t xml:space="preserve">analysis indicates that high-efficiency heat pumps (HEHPs), if widely adopted, could provide </w:t>
      </w:r>
      <w:r w:rsidR="00C857CD" w:rsidRPr="003F1AF9">
        <w:t>4</w:t>
      </w:r>
      <w:r w:rsidR="0092530D" w:rsidRPr="003F1AF9">
        <w:t>0% of building space heating delivered energy by 20</w:t>
      </w:r>
      <w:r w:rsidR="00C857CD" w:rsidRPr="003F1AF9">
        <w:t>5</w:t>
      </w:r>
      <w:r w:rsidR="0092530D" w:rsidRPr="003F1AF9">
        <w:t xml:space="preserve">0. The result, detailed in </w:t>
      </w:r>
      <w:r w:rsidR="00C857CD" w:rsidRPr="003F1AF9">
        <w:t xml:space="preserve">the </w:t>
      </w:r>
      <w:r w:rsidR="0092530D" w:rsidRPr="003F1AF9">
        <w:t xml:space="preserve">Drawdown Scenario, would be a reduction of </w:t>
      </w:r>
      <w:r w:rsidR="00FE58A5">
        <w:t>9.4</w:t>
      </w:r>
      <w:r w:rsidR="0092530D" w:rsidRPr="003F1AF9">
        <w:t xml:space="preserve"> Gt of 2020-2050 CO</w:t>
      </w:r>
      <w:r w:rsidR="0092530D" w:rsidRPr="003F1AF9">
        <w:rPr>
          <w:vertAlign w:val="subscript"/>
        </w:rPr>
        <w:t>2</w:t>
      </w:r>
      <w:r w:rsidR="0092530D" w:rsidRPr="003F1AF9">
        <w:t xml:space="preserve"> emissions compared with </w:t>
      </w:r>
      <w:r w:rsidR="00ED34E3" w:rsidRPr="003F1AF9">
        <w:t xml:space="preserve">the </w:t>
      </w:r>
      <w:r w:rsidR="0092530D" w:rsidRPr="003F1AF9">
        <w:t>Reference Scenario. This would reduce atmospheric GHG concentration by 0.</w:t>
      </w:r>
      <w:r w:rsidR="00C857CD" w:rsidRPr="003F1AF9">
        <w:t>7</w:t>
      </w:r>
      <w:r w:rsidR="00FE58A5">
        <w:t>7</w:t>
      </w:r>
      <w:r w:rsidR="0092530D" w:rsidRPr="003F1AF9">
        <w:t xml:space="preserve"> PPM CO</w:t>
      </w:r>
      <w:r w:rsidR="0092530D" w:rsidRPr="003F1AF9">
        <w:rPr>
          <w:vertAlign w:val="subscript"/>
        </w:rPr>
        <w:t>2</w:t>
      </w:r>
      <w:r w:rsidR="0092530D" w:rsidRPr="003F1AF9">
        <w:t>-equivalent in 2050. Lifetime operating cost savings would total $</w:t>
      </w:r>
      <w:r w:rsidR="00FE58A5">
        <w:t>2.49</w:t>
      </w:r>
      <w:r w:rsidR="0092530D" w:rsidRPr="003F1AF9">
        <w:t>T from 2020 to 2050, with a lifetime cash flow savings NPV of $</w:t>
      </w:r>
      <w:r w:rsidR="000F264B" w:rsidRPr="003F1AF9">
        <w:t>0.</w:t>
      </w:r>
      <w:r w:rsidR="00FE58A5">
        <w:t>58</w:t>
      </w:r>
      <w:r w:rsidR="0092530D" w:rsidRPr="003F1AF9">
        <w:t xml:space="preserve">T. Applying HEHPs to building space cooling </w:t>
      </w:r>
      <w:r w:rsidR="00BB5EC1">
        <w:t>c</w:t>
      </w:r>
      <w:r w:rsidR="0092530D" w:rsidRPr="003F1AF9">
        <w:t>ould deliver similar scale benefits.</w:t>
      </w:r>
      <w:r w:rsidR="0078120E">
        <w:t xml:space="preserve"> </w:t>
      </w:r>
    </w:p>
    <w:p w14:paraId="7D4283FF" w14:textId="1D90D43C" w:rsidR="0092530D" w:rsidRPr="003F1AF9" w:rsidRDefault="0092530D" w:rsidP="0092530D">
      <w:r w:rsidRPr="003F1AF9">
        <w:t xml:space="preserve">High-efficiency heat pumps – those </w:t>
      </w:r>
      <w:r w:rsidR="00FD0B58" w:rsidRPr="003F1AF9">
        <w:t xml:space="preserve">with seasonal coefficient of performance (SCOP) </w:t>
      </w:r>
      <w:r w:rsidRPr="003F1AF9">
        <w:t>of 3.5 or greater – are commercially available today. And heat pump</w:t>
      </w:r>
      <w:r w:rsidR="00FD0B58" w:rsidRPr="003F1AF9">
        <w:t>s</w:t>
      </w:r>
      <w:r w:rsidR="00822EEC">
        <w:t xml:space="preserve"> installed in 2050</w:t>
      </w:r>
      <w:r w:rsidRPr="003F1AF9">
        <w:t xml:space="preserve"> are expected to </w:t>
      </w:r>
      <w:r w:rsidR="0078120E">
        <w:t xml:space="preserve">have </w:t>
      </w:r>
      <w:r w:rsidRPr="003F1AF9">
        <w:t xml:space="preserve">average </w:t>
      </w:r>
      <w:r w:rsidR="000F264B" w:rsidRPr="003F1AF9">
        <w:t>SCOP of</w:t>
      </w:r>
      <w:r w:rsidRPr="003F1AF9">
        <w:t xml:space="preserve"> </w:t>
      </w:r>
      <w:r w:rsidR="00582BC1" w:rsidRPr="003F1AF9">
        <w:t>3.9.</w:t>
      </w:r>
      <w:r w:rsidR="0078120E">
        <w:t xml:space="preserve"> </w:t>
      </w:r>
      <w:r w:rsidRPr="003F1AF9">
        <w:t>Yet, in 2014 heat pumps provided only about 3% of space heating delivered energy worldwide</w:t>
      </w:r>
      <w:r w:rsidR="00FD0B58" w:rsidRPr="003F1AF9">
        <w:t>.</w:t>
      </w:r>
      <w:r w:rsidR="0078120E">
        <w:t xml:space="preserve"> </w:t>
      </w:r>
    </w:p>
    <w:p w14:paraId="46C16E07" w14:textId="79061545" w:rsidR="0092530D" w:rsidRPr="003F1AF9" w:rsidRDefault="0092530D" w:rsidP="0092530D">
      <w:r w:rsidRPr="003F1AF9">
        <w:t>Some of the key barriers and challenges to future adoption of HEHPs for space heating include:</w:t>
      </w:r>
      <w:r w:rsidR="0078120E">
        <w:t xml:space="preserve"> </w:t>
      </w:r>
    </w:p>
    <w:p w14:paraId="05A6E946" w14:textId="3DCD4075" w:rsidR="0092530D" w:rsidRPr="003F1AF9" w:rsidRDefault="0092530D" w:rsidP="00F436B3">
      <w:pPr>
        <w:pStyle w:val="ListParagraph"/>
        <w:numPr>
          <w:ilvl w:val="0"/>
          <w:numId w:val="16"/>
        </w:numPr>
      </w:pPr>
      <w:r w:rsidRPr="003F1AF9">
        <w:t>Competi</w:t>
      </w:r>
      <w:r w:rsidR="00822EEC">
        <w:t>tion</w:t>
      </w:r>
      <w:r w:rsidRPr="003F1AF9">
        <w:t xml:space="preserve"> against low-cost CO</w:t>
      </w:r>
      <w:r w:rsidRPr="003F1AF9">
        <w:rPr>
          <w:vertAlign w:val="subscript"/>
        </w:rPr>
        <w:t>2</w:t>
      </w:r>
      <w:r w:rsidRPr="003F1AF9">
        <w:t>-emitting fossil fuels</w:t>
      </w:r>
      <w:r w:rsidR="00822EEC">
        <w:t>.</w:t>
      </w:r>
    </w:p>
    <w:p w14:paraId="6F4FD707" w14:textId="062E8CFE" w:rsidR="0092530D" w:rsidRPr="003F1AF9" w:rsidRDefault="0092530D" w:rsidP="00F436B3">
      <w:pPr>
        <w:pStyle w:val="ListParagraph"/>
        <w:numPr>
          <w:ilvl w:val="0"/>
          <w:numId w:val="16"/>
        </w:numPr>
      </w:pPr>
      <w:r w:rsidRPr="003F1AF9">
        <w:t>Relatively high HEHP first cost compared with other space heating equipment</w:t>
      </w:r>
      <w:r w:rsidR="00822EEC">
        <w:t>.</w:t>
      </w:r>
    </w:p>
    <w:p w14:paraId="64F91503" w14:textId="55F3B1DC" w:rsidR="0092530D" w:rsidRPr="003F1AF9" w:rsidRDefault="0092530D" w:rsidP="00F436B3">
      <w:pPr>
        <w:pStyle w:val="ListParagraph"/>
        <w:numPr>
          <w:ilvl w:val="0"/>
          <w:numId w:val="16"/>
        </w:numPr>
      </w:pPr>
      <w:r w:rsidRPr="003F1AF9">
        <w:t>Reduced efficiency and capacity in very cold weather</w:t>
      </w:r>
      <w:r w:rsidR="00822EEC">
        <w:t>.</w:t>
      </w:r>
    </w:p>
    <w:p w14:paraId="42A7FC77" w14:textId="00FB3279" w:rsidR="0092530D" w:rsidRPr="003F1AF9" w:rsidRDefault="0092530D" w:rsidP="00F436B3">
      <w:pPr>
        <w:pStyle w:val="ListParagraph"/>
        <w:numPr>
          <w:ilvl w:val="0"/>
          <w:numId w:val="7"/>
        </w:numPr>
      </w:pPr>
      <w:r w:rsidRPr="003F1AF9">
        <w:t>Increased electricity demand and altered seasonal and diurnal peak loads for many utilities</w:t>
      </w:r>
      <w:r w:rsidR="00822EEC">
        <w:t>.</w:t>
      </w:r>
    </w:p>
    <w:p w14:paraId="418D3C0B" w14:textId="3FCBEE80" w:rsidR="0092530D" w:rsidRPr="003F1AF9" w:rsidRDefault="0092530D" w:rsidP="00F436B3">
      <w:pPr>
        <w:pStyle w:val="ListParagraph"/>
        <w:numPr>
          <w:ilvl w:val="0"/>
          <w:numId w:val="7"/>
        </w:numPr>
      </w:pPr>
      <w:r w:rsidRPr="003F1AF9">
        <w:t>Increased potential for refrigerant leakage contributions to GHG emissions (though the world is moving to low-GWP refrigerants, leakage could be a major concern with such a vast scale up)</w:t>
      </w:r>
      <w:r w:rsidR="00822EEC">
        <w:t>.</w:t>
      </w:r>
    </w:p>
    <w:p w14:paraId="62455187" w14:textId="1966EDEF" w:rsidR="0092530D" w:rsidRPr="003F1AF9" w:rsidRDefault="0092530D" w:rsidP="0092530D">
      <w:r w:rsidRPr="003F1AF9">
        <w:t>Key success factors, proven in the past, and needed to accelerate future HEHP global adoption include:</w:t>
      </w:r>
      <w:r w:rsidR="0078120E">
        <w:t xml:space="preserve"> </w:t>
      </w:r>
    </w:p>
    <w:p w14:paraId="68D0B630" w14:textId="1CC2B009" w:rsidR="0092530D" w:rsidRPr="003F1AF9" w:rsidRDefault="0092530D" w:rsidP="002D76B6">
      <w:pPr>
        <w:pStyle w:val="ListParagraph"/>
        <w:numPr>
          <w:ilvl w:val="0"/>
          <w:numId w:val="57"/>
        </w:numPr>
      </w:pPr>
      <w:r w:rsidRPr="003F1AF9">
        <w:t>Integrated government policies incorporating</w:t>
      </w:r>
      <w:r w:rsidR="00FD0B58" w:rsidRPr="003F1AF9">
        <w:t xml:space="preserve"> a </w:t>
      </w:r>
      <w:r w:rsidRPr="003F1AF9">
        <w:t xml:space="preserve">clear vision of energy consumption / GHG emissions objectives and </w:t>
      </w:r>
      <w:r w:rsidR="00FD0B58" w:rsidRPr="003F1AF9">
        <w:t>increasingly</w:t>
      </w:r>
      <w:r w:rsidR="00822EEC">
        <w:t xml:space="preserve"> </w:t>
      </w:r>
      <w:r w:rsidR="00FD0B58" w:rsidRPr="003F1AF9">
        <w:t xml:space="preserve">high </w:t>
      </w:r>
      <w:r w:rsidRPr="003F1AF9">
        <w:t>minimum performance and standards (MEPS)</w:t>
      </w:r>
      <w:r w:rsidR="00822EEC">
        <w:t>.</w:t>
      </w:r>
      <w:r w:rsidRPr="003F1AF9">
        <w:t xml:space="preserve"> </w:t>
      </w:r>
    </w:p>
    <w:p w14:paraId="29EA4274" w14:textId="26FA5000" w:rsidR="0092530D" w:rsidRPr="003F1AF9" w:rsidRDefault="0092530D" w:rsidP="002D76B6">
      <w:pPr>
        <w:pStyle w:val="ListParagraph"/>
        <w:numPr>
          <w:ilvl w:val="0"/>
          <w:numId w:val="57"/>
        </w:numPr>
      </w:pPr>
      <w:r w:rsidRPr="003F1AF9">
        <w:t>Financial incentives for preferred HEHP system installations to help buyers consider not only first cost, but future operating cost (50% to 80+% of lifecycle HEHP cost)</w:t>
      </w:r>
      <w:r w:rsidR="00822EEC">
        <w:t>.</w:t>
      </w:r>
    </w:p>
    <w:p w14:paraId="1B042F04" w14:textId="498DEF28" w:rsidR="0092530D" w:rsidRPr="003F1AF9" w:rsidRDefault="0092530D" w:rsidP="002D76B6">
      <w:pPr>
        <w:pStyle w:val="ListParagraph"/>
        <w:numPr>
          <w:ilvl w:val="0"/>
          <w:numId w:val="57"/>
        </w:numPr>
      </w:pPr>
      <w:r w:rsidRPr="003F1AF9">
        <w:t>Accurate, informative labeling supported by relevant performance metrics</w:t>
      </w:r>
      <w:r w:rsidR="00822EEC">
        <w:t>.</w:t>
      </w:r>
    </w:p>
    <w:p w14:paraId="0A8C5BE3" w14:textId="651CA945" w:rsidR="0092530D" w:rsidRPr="003F1AF9" w:rsidRDefault="0092530D" w:rsidP="002D76B6">
      <w:pPr>
        <w:pStyle w:val="ListParagraph"/>
        <w:numPr>
          <w:ilvl w:val="0"/>
          <w:numId w:val="57"/>
        </w:numPr>
      </w:pPr>
      <w:r w:rsidRPr="003F1AF9">
        <w:t>Avoidance of “stranded asset” investments, for example</w:t>
      </w:r>
      <w:r w:rsidR="00822EEC">
        <w:t>,</w:t>
      </w:r>
      <w:r w:rsidRPr="003F1AF9">
        <w:t xml:space="preserve"> in no-longer-needed gas transmission / distribution networks</w:t>
      </w:r>
      <w:r w:rsidR="00822EEC">
        <w:t>.</w:t>
      </w:r>
      <w:r w:rsidRPr="003F1AF9">
        <w:t xml:space="preserve"> </w:t>
      </w:r>
    </w:p>
    <w:p w14:paraId="45ADC61E" w14:textId="77777777" w:rsidR="0092530D" w:rsidRPr="003F1AF9" w:rsidRDefault="0092530D" w:rsidP="002D76B6">
      <w:pPr>
        <w:pStyle w:val="ListParagraph"/>
        <w:numPr>
          <w:ilvl w:val="0"/>
          <w:numId w:val="57"/>
        </w:numPr>
      </w:pPr>
      <w:r w:rsidRPr="003F1AF9">
        <w:t>Continued HEHP industry collaboration with other industries, academia, and government.</w:t>
      </w:r>
    </w:p>
    <w:p w14:paraId="36963EA5" w14:textId="77777777" w:rsidR="0092530D" w:rsidRPr="003F1AF9" w:rsidRDefault="0092530D" w:rsidP="002D76B6">
      <w:pPr>
        <w:pStyle w:val="ListParagraph"/>
        <w:numPr>
          <w:ilvl w:val="0"/>
          <w:numId w:val="57"/>
        </w:numPr>
      </w:pPr>
      <w:r w:rsidRPr="003F1AF9">
        <w:t>Ongoing heat pump technological improvement and cost reduction, especially:</w:t>
      </w:r>
    </w:p>
    <w:p w14:paraId="3CEE204D" w14:textId="1796B0CF" w:rsidR="0092530D" w:rsidRPr="003F1AF9" w:rsidRDefault="0092530D" w:rsidP="002D76B6">
      <w:pPr>
        <w:pStyle w:val="ListParagraph"/>
        <w:numPr>
          <w:ilvl w:val="1"/>
          <w:numId w:val="57"/>
        </w:numPr>
      </w:pPr>
      <w:r w:rsidRPr="003F1AF9">
        <w:t>Expanded employment of efficiency improvements that already exist in many commercial high-efficiency units</w:t>
      </w:r>
      <w:r w:rsidR="00822EEC">
        <w:t>.</w:t>
      </w:r>
    </w:p>
    <w:p w14:paraId="1659F414" w14:textId="1BE676D2" w:rsidR="0092530D" w:rsidRPr="003F1AF9" w:rsidRDefault="0092530D" w:rsidP="002D76B6">
      <w:pPr>
        <w:pStyle w:val="ListParagraph"/>
        <w:numPr>
          <w:ilvl w:val="1"/>
          <w:numId w:val="57"/>
        </w:numPr>
      </w:pPr>
      <w:r w:rsidRPr="003F1AF9">
        <w:t>Improved efficiency and capacity at very low outdoor temperatures.</w:t>
      </w:r>
      <w:r w:rsidR="0078120E">
        <w:t xml:space="preserve"> </w:t>
      </w:r>
    </w:p>
    <w:p w14:paraId="13F56F65" w14:textId="77777777" w:rsidR="0092530D" w:rsidRPr="003F1AF9" w:rsidRDefault="0092530D" w:rsidP="0092530D"/>
    <w:p w14:paraId="6D7F86BD" w14:textId="5060FCAA" w:rsidR="00F52595" w:rsidRPr="003F1AF9" w:rsidRDefault="00F52595" w:rsidP="00F26176">
      <w:pPr>
        <w:pStyle w:val="Heading1"/>
        <w:numPr>
          <w:ilvl w:val="0"/>
          <w:numId w:val="0"/>
        </w:numPr>
        <w:ind w:left="720"/>
        <w:sectPr w:rsidR="00F52595" w:rsidRPr="003F1AF9" w:rsidSect="00F26176">
          <w:footerReference w:type="even" r:id="rId14"/>
          <w:footerReference w:type="default" r:id="rId15"/>
          <w:pgSz w:w="12240" w:h="15840"/>
          <w:pgMar w:top="1440" w:right="1440" w:bottom="1440" w:left="1440" w:header="720" w:footer="720" w:gutter="0"/>
          <w:pgNumType w:fmt="upperRoman"/>
          <w:cols w:space="720"/>
        </w:sectPr>
      </w:pPr>
    </w:p>
    <w:p w14:paraId="34916870" w14:textId="43981259" w:rsidR="00E815C8" w:rsidRPr="003F1AF9" w:rsidRDefault="551A77D0" w:rsidP="00EB247F">
      <w:pPr>
        <w:pStyle w:val="Heading1"/>
      </w:pPr>
      <w:bookmarkStart w:id="4" w:name="_Ref536183045"/>
      <w:bookmarkStart w:id="5" w:name="_Toc42289701"/>
      <w:r w:rsidRPr="003F1AF9">
        <w:lastRenderedPageBreak/>
        <w:t>Literature Review</w:t>
      </w:r>
      <w:bookmarkEnd w:id="4"/>
      <w:bookmarkEnd w:id="5"/>
    </w:p>
    <w:p w14:paraId="3C04C69C" w14:textId="6539AB52" w:rsidR="00237CFC" w:rsidRPr="003F1AF9" w:rsidRDefault="00237CFC" w:rsidP="002D76B6">
      <w:pPr>
        <w:rPr>
          <w:color w:val="FF0000"/>
        </w:rPr>
      </w:pPr>
      <w:r w:rsidRPr="003F1AF9">
        <w:t>Globally, the buildings sector is one of the largest end-use sectors, accounting for 30% of global final energy usage. Including building construction increases this to 36%. These two together account for 39% of energy-related CO</w:t>
      </w:r>
      <w:r w:rsidRPr="003F1AF9">
        <w:rPr>
          <w:vertAlign w:val="subscript"/>
        </w:rPr>
        <w:t>2</w:t>
      </w:r>
      <w:r w:rsidRPr="003F1AF9">
        <w:t xml:space="preserve"> emissions (UN Environment &amp; IEA, 2017). Thus, the global building sector needs innovative technologies and approaches to reduce energy consumption while ensuring building operations are not affected. Breaking down the building sector by energy end-use gives us an idea of where the potentials lie. Space heating consumed 32% of final building energy in 2014. The other top uses are cooking energy (22%), water heating (19%), appliances and equipment (16%), and lighting (6%) (IEA, 2017).</w:t>
      </w:r>
      <w:r w:rsidRPr="003F1AF9">
        <w:fldChar w:fldCharType="begin"/>
      </w:r>
      <w:r w:rsidRPr="003F1AF9">
        <w:instrText xml:space="preserve"> ADDIN ZOTERO_TEMP </w:instrText>
      </w:r>
      <w:r w:rsidRPr="003F1AF9">
        <w:fldChar w:fldCharType="end"/>
      </w:r>
      <w:r w:rsidRPr="003F1AF9">
        <w:t xml:space="preserve"> Clearly there are many opportunities across the building sector for energy efficiency. Space and water heating energy is affected by windows walls and heat source</w:t>
      </w:r>
      <w:r w:rsidR="00822EEC">
        <w:t>;</w:t>
      </w:r>
      <w:r w:rsidR="0078120E">
        <w:t xml:space="preserve"> </w:t>
      </w:r>
      <w:r w:rsidRPr="003F1AF9">
        <w:t>cooking energy is affected by source and cooking technology</w:t>
      </w:r>
      <w:r w:rsidR="00822EEC">
        <w:t>;</w:t>
      </w:r>
      <w:r w:rsidRPr="003F1AF9">
        <w:t xml:space="preserve"> appliance energy by appliance efficiency and use</w:t>
      </w:r>
      <w:r w:rsidR="00822EEC">
        <w:t>;</w:t>
      </w:r>
      <w:r w:rsidRPr="003F1AF9">
        <w:t xml:space="preserve"> and lighting is affected by light technology and use. </w:t>
      </w:r>
    </w:p>
    <w:p w14:paraId="7D11FB9B" w14:textId="7A4BFA8A" w:rsidR="00A359EA" w:rsidRPr="003F1AF9" w:rsidRDefault="00A359EA" w:rsidP="00D90938">
      <w:pPr>
        <w:pStyle w:val="Heading2"/>
        <w:jc w:val="left"/>
      </w:pPr>
      <w:bookmarkStart w:id="6" w:name="_Toc42289702"/>
      <w:r w:rsidRPr="003F1AF9">
        <w:t xml:space="preserve">The </w:t>
      </w:r>
      <w:r w:rsidR="00DE7C5E" w:rsidRPr="003F1AF9">
        <w:t>State of High-Efficiency Heat Pumps for Space Heating and Cooling</w:t>
      </w:r>
      <w:bookmarkEnd w:id="6"/>
    </w:p>
    <w:p w14:paraId="52ED2475" w14:textId="55A50D9F" w:rsidR="00A359EA" w:rsidRPr="003F1AF9" w:rsidRDefault="00A359EA" w:rsidP="00A359EA">
      <w:r w:rsidRPr="003F1AF9">
        <w:t>“High-Efficiency Heat Pumps” (HEHP) for building space heating and cooling can have major impact in reducing greenhouse gas (GHG) emissions worldwide.</w:t>
      </w:r>
      <w:r w:rsidR="0078120E">
        <w:t xml:space="preserve"> </w:t>
      </w:r>
      <w:r w:rsidRPr="003F1AF9">
        <w:t>In 2014</w:t>
      </w:r>
      <w:r w:rsidR="00822EEC">
        <w:t>,</w:t>
      </w:r>
      <w:r w:rsidRPr="003F1AF9">
        <w:t xml:space="preserve"> the global buildings sector consumed 123 exajoules (EJ) of energy.</w:t>
      </w:r>
      <w:r w:rsidR="0078120E">
        <w:t xml:space="preserve"> </w:t>
      </w:r>
      <w:r w:rsidRPr="003F1AF9">
        <w:t>Of this, space heating consumed over 39 EJ and space cooling 6 EJ of final energy consumption</w:t>
      </w:r>
      <w:r w:rsidR="0078120E">
        <w:t xml:space="preserve"> </w:t>
      </w:r>
      <w:r w:rsidRPr="003F1AF9">
        <w:t>(IEA, Energy Technology Perspectives, 2017)</w:t>
      </w:r>
      <w:r w:rsidR="00822EEC">
        <w:t>.</w:t>
      </w:r>
      <w:r w:rsidR="0078120E">
        <w:t xml:space="preserve"> </w:t>
      </w:r>
      <w:r w:rsidRPr="003F1AF9">
        <w:t>So, by reducing building space heating and cooling energy consumption, high-efficiency heat pumps can significantly reduce global energy use and GHG emissions.</w:t>
      </w:r>
      <w:r w:rsidR="0078120E">
        <w:t xml:space="preserve"> </w:t>
      </w:r>
    </w:p>
    <w:p w14:paraId="5289861C" w14:textId="2F6500FA" w:rsidR="00A359EA" w:rsidRPr="003F1AF9" w:rsidRDefault="00A359EA" w:rsidP="00132E27">
      <w:r w:rsidRPr="003F1AF9">
        <w:t>High-efficiency heat pumps can have widespread and cost-effective application.</w:t>
      </w:r>
      <w:r w:rsidR="0078120E">
        <w:t xml:space="preserve"> </w:t>
      </w:r>
      <w:r w:rsidRPr="003F1AF9">
        <w:t>HEHPs can be installed in new construction and usually can be retrofitted into existing buildings, especially air-source units.</w:t>
      </w:r>
      <w:r w:rsidR="0078120E">
        <w:t xml:space="preserve"> </w:t>
      </w:r>
      <w:r w:rsidRPr="003F1AF9">
        <w:t>As a high-efficiency space conditioning solution, operating cost savings can far outweigh added first cost.</w:t>
      </w:r>
      <w:r w:rsidR="0078120E">
        <w:t xml:space="preserve"> </w:t>
      </w:r>
      <w:r w:rsidRPr="003F1AF9">
        <w:t>The result can be high financial return, in addition to energy savings and GHG reduction.</w:t>
      </w:r>
      <w:r w:rsidR="0078120E">
        <w:t xml:space="preserve"> </w:t>
      </w:r>
    </w:p>
    <w:p w14:paraId="72201AD0" w14:textId="3A49E433" w:rsidR="0075165B" w:rsidRPr="003F1AF9" w:rsidRDefault="00EB12DA">
      <w:pPr>
        <w:pStyle w:val="Heading3"/>
      </w:pPr>
      <w:bookmarkStart w:id="7" w:name="_Toc535330863"/>
      <w:bookmarkStart w:id="8" w:name="_Toc535330929"/>
      <w:bookmarkStart w:id="9" w:name="_Toc535331040"/>
      <w:bookmarkStart w:id="10" w:name="_Toc535331507"/>
      <w:bookmarkStart w:id="11" w:name="_Toc535331560"/>
      <w:bookmarkStart w:id="12" w:name="_Toc535332802"/>
      <w:bookmarkStart w:id="13" w:name="_Toc535333280"/>
      <w:bookmarkStart w:id="14" w:name="_Toc535349622"/>
      <w:bookmarkStart w:id="15" w:name="_Toc531199424"/>
      <w:bookmarkStart w:id="16" w:name="_Toc531199466"/>
      <w:bookmarkStart w:id="17" w:name="_Toc531249272"/>
      <w:bookmarkStart w:id="18" w:name="_Toc535330864"/>
      <w:bookmarkStart w:id="19" w:name="_Toc535330930"/>
      <w:bookmarkStart w:id="20" w:name="_Toc535331041"/>
      <w:bookmarkStart w:id="21" w:name="_Toc535331508"/>
      <w:bookmarkStart w:id="22" w:name="_Toc535331561"/>
      <w:bookmarkStart w:id="23" w:name="_Toc535332803"/>
      <w:bookmarkStart w:id="24" w:name="_Toc535333281"/>
      <w:bookmarkStart w:id="25" w:name="_Toc535349623"/>
      <w:bookmarkStart w:id="26" w:name="_Toc531199425"/>
      <w:bookmarkStart w:id="27" w:name="_Toc531199467"/>
      <w:bookmarkStart w:id="28" w:name="_Toc531249273"/>
      <w:bookmarkStart w:id="29" w:name="_Toc535330865"/>
      <w:bookmarkStart w:id="30" w:name="_Toc535330931"/>
      <w:bookmarkStart w:id="31" w:name="_Toc535331042"/>
      <w:bookmarkStart w:id="32" w:name="_Toc535331509"/>
      <w:bookmarkStart w:id="33" w:name="_Toc535331562"/>
      <w:bookmarkStart w:id="34" w:name="_Toc535332804"/>
      <w:bookmarkStart w:id="35" w:name="_Toc535333282"/>
      <w:bookmarkStart w:id="36" w:name="_Toc535349624"/>
      <w:bookmarkStart w:id="37" w:name="_Toc535330866"/>
      <w:bookmarkStart w:id="38" w:name="_Toc535330932"/>
      <w:bookmarkStart w:id="39" w:name="_Toc535331043"/>
      <w:bookmarkStart w:id="40" w:name="_Toc535331510"/>
      <w:bookmarkStart w:id="41" w:name="_Toc535331563"/>
      <w:bookmarkStart w:id="42" w:name="_Toc535332805"/>
      <w:bookmarkStart w:id="43" w:name="_Toc535333283"/>
      <w:bookmarkStart w:id="44" w:name="_Toc535349625"/>
      <w:bookmarkStart w:id="45" w:name="_Toc2597463"/>
      <w:bookmarkStart w:id="46" w:name="_Toc2701179"/>
      <w:bookmarkStart w:id="47" w:name="_Toc5112250"/>
      <w:bookmarkStart w:id="48" w:name="_Toc2597465"/>
      <w:bookmarkStart w:id="49" w:name="_Toc2701181"/>
      <w:bookmarkStart w:id="50" w:name="_Toc5112252"/>
      <w:bookmarkStart w:id="51" w:name="_Toc2597466"/>
      <w:bookmarkStart w:id="52" w:name="_Toc2701182"/>
      <w:bookmarkStart w:id="53" w:name="_Toc5112253"/>
      <w:bookmarkStart w:id="54" w:name="_Toc2597467"/>
      <w:bookmarkStart w:id="55" w:name="_Toc2701183"/>
      <w:bookmarkStart w:id="56" w:name="_Toc5112254"/>
      <w:bookmarkStart w:id="57" w:name="_Toc42289703"/>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3F1AF9">
        <w:t>What is a</w:t>
      </w:r>
      <w:r w:rsidR="00A80F86" w:rsidRPr="003F1AF9">
        <w:t xml:space="preserve"> heat pump </w:t>
      </w:r>
      <w:r w:rsidRPr="003F1AF9">
        <w:t>and how does it work</w:t>
      </w:r>
      <w:r w:rsidR="00A80F86" w:rsidRPr="003F1AF9">
        <w:t>?</w:t>
      </w:r>
      <w:bookmarkEnd w:id="57"/>
      <w:r w:rsidR="0078120E">
        <w:t xml:space="preserve"> </w:t>
      </w:r>
    </w:p>
    <w:p w14:paraId="02CFEED0" w14:textId="39CFEA44" w:rsidR="002A25AF" w:rsidRPr="003F1AF9" w:rsidRDefault="00CA77F2">
      <w:r w:rsidRPr="003F1AF9">
        <w:t xml:space="preserve">A “heat pump” is a device that uses electrical energy to </w:t>
      </w:r>
      <w:r w:rsidRPr="003F1AF9">
        <w:rPr>
          <w:i/>
        </w:rPr>
        <w:t>transfer</w:t>
      </w:r>
      <w:r w:rsidRPr="003F1AF9">
        <w:t xml:space="preserve"> heat</w:t>
      </w:r>
      <w:r w:rsidR="00841DA7" w:rsidRPr="003F1AF9">
        <w:t xml:space="preserve"> from one location to another.</w:t>
      </w:r>
      <w:r w:rsidR="0078120E">
        <w:t xml:space="preserve"> </w:t>
      </w:r>
      <w:r w:rsidR="00841DA7" w:rsidRPr="003F1AF9">
        <w:t xml:space="preserve">While heat naturally flows from a high-temperature source to a low temperature sink, </w:t>
      </w:r>
      <w:r w:rsidR="005801A9" w:rsidRPr="003F1AF9">
        <w:t>a heat pump</w:t>
      </w:r>
      <w:r w:rsidR="00841DA7" w:rsidRPr="003F1AF9">
        <w:t xml:space="preserve"> use</w:t>
      </w:r>
      <w:r w:rsidR="005801A9" w:rsidRPr="003F1AF9">
        <w:t>s</w:t>
      </w:r>
      <w:r w:rsidR="00841DA7" w:rsidRPr="003F1AF9">
        <w:t xml:space="preserve"> electrical energy to </w:t>
      </w:r>
      <w:r w:rsidR="004E58E6" w:rsidRPr="003F1AF9">
        <w:t xml:space="preserve">provide </w:t>
      </w:r>
      <w:r w:rsidR="005F574A" w:rsidRPr="003F1AF9">
        <w:t xml:space="preserve">the </w:t>
      </w:r>
      <w:r w:rsidR="004E58E6" w:rsidRPr="003F1AF9">
        <w:t>work</w:t>
      </w:r>
      <w:r w:rsidR="005F574A" w:rsidRPr="003F1AF9">
        <w:t xml:space="preserve"> required by the second law of thermodynamics</w:t>
      </w:r>
      <w:r w:rsidR="004E58E6" w:rsidRPr="003F1AF9">
        <w:t xml:space="preserve"> to </w:t>
      </w:r>
      <w:r w:rsidR="009263A1" w:rsidRPr="003F1AF9">
        <w:t>transfer</w:t>
      </w:r>
      <w:r w:rsidR="00841DA7" w:rsidRPr="003F1AF9">
        <w:t xml:space="preserve"> heat (thermal energy) from a low-temperature source to a high-temperature sink.</w:t>
      </w:r>
      <w:r w:rsidR="0078120E">
        <w:t xml:space="preserve"> </w:t>
      </w:r>
      <w:r w:rsidR="00430711" w:rsidRPr="003F1AF9">
        <w:t>Thus,</w:t>
      </w:r>
      <w:r w:rsidR="00D93C18" w:rsidRPr="003F1AF9">
        <w:t xml:space="preserve"> a heat pump can extract thermal energy from cold outdoor air in winter to heat a building, or </w:t>
      </w:r>
      <w:r w:rsidR="00B11201" w:rsidRPr="003F1AF9">
        <w:t>in summer</w:t>
      </w:r>
      <w:r w:rsidR="0075165B" w:rsidRPr="003F1AF9">
        <w:t xml:space="preserve"> provide space cooling by</w:t>
      </w:r>
      <w:r w:rsidR="00B11201" w:rsidRPr="003F1AF9">
        <w:t xml:space="preserve"> </w:t>
      </w:r>
      <w:r w:rsidR="00D93C18" w:rsidRPr="003F1AF9">
        <w:t>reject</w:t>
      </w:r>
      <w:r w:rsidR="0075165B" w:rsidRPr="003F1AF9">
        <w:t>ing</w:t>
      </w:r>
      <w:r w:rsidR="00D93C18" w:rsidRPr="003F1AF9">
        <w:t xml:space="preserve"> heat </w:t>
      </w:r>
      <w:r w:rsidR="004E58E6" w:rsidRPr="003F1AF9">
        <w:t xml:space="preserve">from a building </w:t>
      </w:r>
      <w:r w:rsidR="00D93C18" w:rsidRPr="003F1AF9">
        <w:t>to the hot a</w:t>
      </w:r>
      <w:r w:rsidR="005801A9" w:rsidRPr="003F1AF9">
        <w:t>mbient.</w:t>
      </w:r>
      <w:r w:rsidR="0078120E">
        <w:t xml:space="preserve"> </w:t>
      </w:r>
    </w:p>
    <w:p w14:paraId="44A90DFC" w14:textId="36F2E0FF" w:rsidR="002A25AF" w:rsidRPr="003F1AF9" w:rsidRDefault="002A25AF">
      <w:r w:rsidRPr="003F1AF9">
        <w:lastRenderedPageBreak/>
        <w:t xml:space="preserve">It is this thermodynamic wrinkle of </w:t>
      </w:r>
      <w:r w:rsidRPr="003F1AF9">
        <w:rPr>
          <w:i/>
        </w:rPr>
        <w:t>transferring</w:t>
      </w:r>
      <w:r w:rsidRPr="003F1AF9">
        <w:t xml:space="preserve"> heat from an available reservoir – and not creating it – that enables heat pumps to operate at efficiencies above 100%.</w:t>
      </w:r>
      <w:r w:rsidR="0078120E">
        <w:t xml:space="preserve"> </w:t>
      </w:r>
      <w:r w:rsidRPr="003F1AF9">
        <w:t xml:space="preserve">By contrast, conventional furnaces and boilers </w:t>
      </w:r>
      <w:r w:rsidRPr="003F1AF9">
        <w:rPr>
          <w:i/>
        </w:rPr>
        <w:t>create</w:t>
      </w:r>
      <w:r w:rsidRPr="003F1AF9">
        <w:t xml:space="preserve"> heat by combusting fossil fuels, most commonly natural gas or fuel oil, thus converting the chemical energy of the fuel into thermal energy, with CO</w:t>
      </w:r>
      <w:r w:rsidRPr="003F1AF9">
        <w:rPr>
          <w:vertAlign w:val="subscript"/>
        </w:rPr>
        <w:t>2</w:t>
      </w:r>
      <w:r w:rsidRPr="003F1AF9">
        <w:t xml:space="preserve"> as a byproduct.</w:t>
      </w:r>
      <w:r w:rsidR="0078120E">
        <w:t xml:space="preserve"> </w:t>
      </w:r>
      <w:r w:rsidRPr="003F1AF9">
        <w:t>Furnaces and boilers typically operate at conversion efficiencies of 70% to 80%; high-efficiency units can reach 90% to 95% efficiency (IEA, Energy Technology Perspectives, 2017, p.129)</w:t>
      </w:r>
      <w:r w:rsidR="00822EEC">
        <w:t>.</w:t>
      </w:r>
      <w:r w:rsidR="0078120E">
        <w:t xml:space="preserve"> </w:t>
      </w:r>
      <w:r w:rsidRPr="003F1AF9">
        <w:t xml:space="preserve"> But the first law of thermodynamics limits the theoretical primary energy conversion efficiency of any such combustion-based heating appliance to 100%</w:t>
      </w:r>
      <w:r w:rsidR="00822EEC">
        <w:t>.</w:t>
      </w:r>
      <w:r w:rsidR="0078120E">
        <w:t xml:space="preserve"> </w:t>
      </w:r>
      <w:r w:rsidRPr="003F1AF9">
        <w:t>No combustion-based heating appliance can exceed this limit.</w:t>
      </w:r>
      <w:r w:rsidR="0078120E">
        <w:t xml:space="preserve"> </w:t>
      </w:r>
    </w:p>
    <w:p w14:paraId="1EDFE501" w14:textId="5A8833DD" w:rsidR="003C6FC8" w:rsidRPr="003F1AF9" w:rsidRDefault="00841DA7" w:rsidP="00012278">
      <w:r w:rsidRPr="003F1AF9">
        <w:t>I</w:t>
      </w:r>
      <w:r w:rsidR="00CA77F2" w:rsidRPr="003F1AF9">
        <w:t xml:space="preserve">n this report </w:t>
      </w:r>
      <w:r w:rsidRPr="003F1AF9">
        <w:t xml:space="preserve">“heat pump” </w:t>
      </w:r>
      <w:r w:rsidR="00CA77F2" w:rsidRPr="003F1AF9">
        <w:t xml:space="preserve">embraces the full range of </w:t>
      </w:r>
      <w:r w:rsidR="002A25AF" w:rsidRPr="003F1AF9">
        <w:t>space heating and cooling</w:t>
      </w:r>
      <w:r w:rsidRPr="003F1AF9">
        <w:t xml:space="preserve"> </w:t>
      </w:r>
      <w:r w:rsidR="004E58E6" w:rsidRPr="003F1AF9">
        <w:t xml:space="preserve">applications, </w:t>
      </w:r>
      <w:r w:rsidR="002A25AF" w:rsidRPr="003F1AF9">
        <w:t>heat pump types, sizes, and heat sources / sinks</w:t>
      </w:r>
      <w:r w:rsidR="003C6FC8" w:rsidRPr="003F1AF9">
        <w:t>:</w:t>
      </w:r>
    </w:p>
    <w:p w14:paraId="6A6E5FAC" w14:textId="783915A2" w:rsidR="003C6FC8" w:rsidRPr="003F1AF9" w:rsidRDefault="003C6FC8" w:rsidP="00F436B3">
      <w:pPr>
        <w:pStyle w:val="ListParagraph"/>
        <w:numPr>
          <w:ilvl w:val="0"/>
          <w:numId w:val="12"/>
        </w:numPr>
      </w:pPr>
      <w:r w:rsidRPr="003F1AF9">
        <w:t xml:space="preserve">Space heating, space cooling or </w:t>
      </w:r>
      <w:r w:rsidR="005801A9" w:rsidRPr="003F1AF9">
        <w:t>both</w:t>
      </w:r>
    </w:p>
    <w:p w14:paraId="6EB22965" w14:textId="77777777" w:rsidR="00222D5B" w:rsidRPr="003F1AF9" w:rsidRDefault="00222D5B" w:rsidP="00F436B3">
      <w:pPr>
        <w:pStyle w:val="ListParagraph"/>
        <w:numPr>
          <w:ilvl w:val="0"/>
          <w:numId w:val="12"/>
        </w:numPr>
      </w:pPr>
      <w:r w:rsidRPr="003F1AF9">
        <w:t>R</w:t>
      </w:r>
      <w:r w:rsidR="00841DA7" w:rsidRPr="003F1AF9">
        <w:t xml:space="preserve">esidential room </w:t>
      </w:r>
      <w:r w:rsidR="003C6FC8" w:rsidRPr="003F1AF9">
        <w:t xml:space="preserve">air conditioners </w:t>
      </w:r>
      <w:r w:rsidR="00792D08" w:rsidRPr="003F1AF9">
        <w:t>and heat pumps</w:t>
      </w:r>
    </w:p>
    <w:p w14:paraId="1C5A86FA" w14:textId="77777777" w:rsidR="004E58E6" w:rsidRPr="003F1AF9" w:rsidRDefault="004E58E6" w:rsidP="00F436B3">
      <w:pPr>
        <w:pStyle w:val="ListParagraph"/>
        <w:numPr>
          <w:ilvl w:val="0"/>
          <w:numId w:val="12"/>
        </w:numPr>
      </w:pPr>
      <w:r w:rsidRPr="003F1AF9">
        <w:t>R</w:t>
      </w:r>
      <w:r w:rsidR="00792D08" w:rsidRPr="003F1AF9">
        <w:t xml:space="preserve">esidential </w:t>
      </w:r>
      <w:r w:rsidR="00841DA7" w:rsidRPr="003F1AF9">
        <w:t xml:space="preserve">central </w:t>
      </w:r>
      <w:r w:rsidR="003C6FC8" w:rsidRPr="003F1AF9">
        <w:t>units</w:t>
      </w:r>
      <w:r w:rsidR="00841DA7" w:rsidRPr="003F1AF9">
        <w:t>, both split and packaged</w:t>
      </w:r>
      <w:r w:rsidR="00792D08" w:rsidRPr="003F1AF9">
        <w:t xml:space="preserve"> designs</w:t>
      </w:r>
    </w:p>
    <w:p w14:paraId="3BB3D4BB" w14:textId="47960C8C" w:rsidR="004E58E6" w:rsidRPr="003F1AF9" w:rsidRDefault="004E58E6" w:rsidP="00F436B3">
      <w:pPr>
        <w:pStyle w:val="ListParagraph"/>
        <w:numPr>
          <w:ilvl w:val="0"/>
          <w:numId w:val="12"/>
        </w:numPr>
      </w:pPr>
      <w:r w:rsidRPr="003F1AF9">
        <w:t>C</w:t>
      </w:r>
      <w:r w:rsidR="00841DA7" w:rsidRPr="003F1AF9">
        <w:t>ommercial</w:t>
      </w:r>
      <w:r w:rsidR="003C6FC8" w:rsidRPr="003F1AF9">
        <w:t xml:space="preserve"> split </w:t>
      </w:r>
      <w:r w:rsidR="00792D08" w:rsidRPr="003F1AF9">
        <w:t xml:space="preserve">and </w:t>
      </w:r>
      <w:r w:rsidR="003C6FC8" w:rsidRPr="003F1AF9">
        <w:t xml:space="preserve">packaged </w:t>
      </w:r>
      <w:r w:rsidR="005F574A" w:rsidRPr="003F1AF9">
        <w:t>heat pumps and air conditioners</w:t>
      </w:r>
    </w:p>
    <w:p w14:paraId="7712DF97" w14:textId="1CF0607D" w:rsidR="00012278" w:rsidRPr="003F1AF9" w:rsidRDefault="004E58E6" w:rsidP="00F436B3">
      <w:pPr>
        <w:pStyle w:val="ListParagraph"/>
        <w:numPr>
          <w:ilvl w:val="0"/>
          <w:numId w:val="12"/>
        </w:numPr>
      </w:pPr>
      <w:r w:rsidRPr="003F1AF9">
        <w:t xml:space="preserve">Commercial </w:t>
      </w:r>
      <w:r w:rsidR="00E76A64" w:rsidRPr="003F1AF9">
        <w:t xml:space="preserve">air- and water-cooled </w:t>
      </w:r>
      <w:r w:rsidR="003C6FC8" w:rsidRPr="003F1AF9">
        <w:t>chillers</w:t>
      </w:r>
    </w:p>
    <w:p w14:paraId="3D80EE3A" w14:textId="3A4BC713" w:rsidR="003C6FC8" w:rsidRPr="003F1AF9" w:rsidRDefault="003C6FC8" w:rsidP="00F436B3">
      <w:pPr>
        <w:pStyle w:val="ListParagraph"/>
        <w:numPr>
          <w:ilvl w:val="0"/>
          <w:numId w:val="12"/>
        </w:numPr>
      </w:pPr>
      <w:r w:rsidRPr="003F1AF9">
        <w:t>All size ranges from less than 1 kW up to 10,00</w:t>
      </w:r>
      <w:r w:rsidR="002A25AF" w:rsidRPr="003F1AF9">
        <w:t>0+ kW giant commercial chillers</w:t>
      </w:r>
    </w:p>
    <w:p w14:paraId="0820E82A" w14:textId="363A869E" w:rsidR="002A25AF" w:rsidRPr="003F1AF9" w:rsidRDefault="002A25AF" w:rsidP="00F436B3">
      <w:pPr>
        <w:pStyle w:val="ListParagraph"/>
        <w:numPr>
          <w:ilvl w:val="0"/>
          <w:numId w:val="12"/>
        </w:numPr>
      </w:pPr>
      <w:r w:rsidRPr="003F1AF9">
        <w:t>Air-source, ground-source, and water-source heat pumps</w:t>
      </w:r>
    </w:p>
    <w:p w14:paraId="7E2AD18D" w14:textId="0A5F2BE4" w:rsidR="001C1990" w:rsidRPr="003F1AF9" w:rsidRDefault="001C1990" w:rsidP="00132E27">
      <w:pPr>
        <w:pStyle w:val="Heading4"/>
      </w:pPr>
      <w:r w:rsidRPr="003F1AF9">
        <w:t xml:space="preserve">The Electric Vapor Compression Heat Pump </w:t>
      </w:r>
    </w:p>
    <w:p w14:paraId="06074FAD" w14:textId="1CF8F948" w:rsidR="007A5B0F" w:rsidRPr="003F1AF9" w:rsidRDefault="008E08A7" w:rsidP="00D40639">
      <w:pPr>
        <w:jc w:val="center"/>
      </w:pPr>
      <w:r w:rsidRPr="003F1AF9">
        <w:rPr>
          <w:noProof/>
          <w:lang w:eastAsia="en-US"/>
        </w:rPr>
        <w:drawing>
          <wp:inline distT="0" distB="0" distL="0" distR="0" wp14:anchorId="1501D7BC" wp14:editId="0C2B00CD">
            <wp:extent cx="3461349" cy="2479444"/>
            <wp:effectExtent l="0" t="0" r="6350" b="0"/>
            <wp:docPr id="3" name="Picture 3" descr="C:\Users\topdogphil\Phil 12-6-09\Sustainability Solution\Drawdown\Heat Pumps\Phil Writing\TR\Vapor Compression Fig\Vapor_Compression_Cycle 2-2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dogphil\Phil 12-6-09\Sustainability Solution\Drawdown\Heat Pumps\Phil Writing\TR\Vapor Compression Fig\Vapor_Compression_Cycle 2-27-19.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7103" b="5227"/>
                    <a:stretch/>
                  </pic:blipFill>
                  <pic:spPr bwMode="auto">
                    <a:xfrm>
                      <a:off x="0" y="0"/>
                      <a:ext cx="3462266" cy="2480101"/>
                    </a:xfrm>
                    <a:prstGeom prst="rect">
                      <a:avLst/>
                    </a:prstGeom>
                    <a:noFill/>
                    <a:ln>
                      <a:noFill/>
                    </a:ln>
                    <a:extLst>
                      <a:ext uri="{53640926-AAD7-44D8-BBD7-CCE9431645EC}">
                        <a14:shadowObscured xmlns:a14="http://schemas.microsoft.com/office/drawing/2010/main"/>
                      </a:ext>
                    </a:extLst>
                  </pic:spPr>
                </pic:pic>
              </a:graphicData>
            </a:graphic>
          </wp:inline>
        </w:drawing>
      </w:r>
    </w:p>
    <w:p w14:paraId="7C8DDA4B" w14:textId="01C1322F" w:rsidR="00FC451C" w:rsidRPr="003F1AF9" w:rsidRDefault="002B12F9" w:rsidP="00FC451C">
      <w:pPr>
        <w:pStyle w:val="Caption"/>
        <w:jc w:val="center"/>
        <w:rPr>
          <w:vanish/>
          <w:specVanish/>
        </w:rPr>
      </w:pPr>
      <w:bookmarkStart w:id="58" w:name="_Ref536182874"/>
      <w:bookmarkStart w:id="59" w:name="_Toc42289738"/>
      <w:r w:rsidRPr="003F1AF9">
        <w:t xml:space="preserve">Figure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1</w:t>
      </w:r>
      <w:r w:rsidR="00C0437B" w:rsidRPr="003F1AF9">
        <w:rPr>
          <w:noProof/>
        </w:rPr>
        <w:fldChar w:fldCharType="end"/>
      </w:r>
      <w:r w:rsidR="00AD5AF3" w:rsidRPr="003F1AF9">
        <w:t>.</w:t>
      </w:r>
      <w:r w:rsidR="00C0437B" w:rsidRPr="003F1AF9">
        <w:rPr>
          <w:noProof/>
        </w:rPr>
        <w:fldChar w:fldCharType="begin"/>
      </w:r>
      <w:r w:rsidR="00C0437B" w:rsidRPr="003F1AF9">
        <w:rPr>
          <w:noProof/>
        </w:rPr>
        <w:instrText xml:space="preserve"> SEQ Figure \* ARABIC \s 1 </w:instrText>
      </w:r>
      <w:r w:rsidR="00C0437B" w:rsidRPr="003F1AF9">
        <w:rPr>
          <w:noProof/>
        </w:rPr>
        <w:fldChar w:fldCharType="separate"/>
      </w:r>
      <w:r w:rsidR="00E60668">
        <w:rPr>
          <w:noProof/>
        </w:rPr>
        <w:t>1</w:t>
      </w:r>
      <w:r w:rsidR="00C0437B" w:rsidRPr="003F1AF9">
        <w:rPr>
          <w:noProof/>
        </w:rPr>
        <w:fldChar w:fldCharType="end"/>
      </w:r>
      <w:bookmarkEnd w:id="58"/>
      <w:r w:rsidRPr="003F1AF9">
        <w:t>. Heat pump vapor compression cycle</w:t>
      </w:r>
      <w:bookmarkEnd w:id="59"/>
    </w:p>
    <w:p w14:paraId="55C695EF" w14:textId="77777777" w:rsidR="00822EEC" w:rsidRDefault="00FC451C" w:rsidP="00FC451C">
      <w:pPr>
        <w:pStyle w:val="Caption"/>
      </w:pPr>
      <w:r w:rsidRPr="003F1AF9">
        <w:t xml:space="preserve"> </w:t>
      </w:r>
    </w:p>
    <w:p w14:paraId="2E5E3112" w14:textId="6BAEE434" w:rsidR="008E08A7" w:rsidRPr="003F1AF9" w:rsidRDefault="008E08A7" w:rsidP="0078120E">
      <w:pPr>
        <w:pStyle w:val="Caption"/>
        <w:jc w:val="center"/>
      </w:pPr>
      <w:r w:rsidRPr="003F1AF9">
        <w:t>Source:</w:t>
      </w:r>
      <w:r w:rsidR="0078120E">
        <w:t xml:space="preserve"> </w:t>
      </w:r>
      <w:proofErr w:type="spellStart"/>
      <w:r w:rsidRPr="003F1AF9">
        <w:t>WGisol</w:t>
      </w:r>
      <w:proofErr w:type="spellEnd"/>
      <w:r w:rsidRPr="003F1AF9">
        <w:t xml:space="preserve"> [CC BY-SA 4.0 (</w:t>
      </w:r>
      <w:hyperlink r:id="rId17" w:history="1">
        <w:r w:rsidRPr="003F1AF9">
          <w:t>https://creativecommons.org/licenses/by-sa/4.0</w:t>
        </w:r>
      </w:hyperlink>
      <w:r w:rsidRPr="003F1AF9">
        <w:t>)]</w:t>
      </w:r>
    </w:p>
    <w:p w14:paraId="7D1C7468" w14:textId="1E0815B1" w:rsidR="007A5B0F" w:rsidRPr="003F1AF9" w:rsidRDefault="008F7ED2" w:rsidP="00FC451C">
      <w:r w:rsidRPr="003F1AF9">
        <w:lastRenderedPageBreak/>
        <w:t>Though many refrigeration cycles have been developed, e.g., thermoelectric, absorption, etc., virtually all commercial heat pumps for building space heating or cooling operate via electrically</w:t>
      </w:r>
      <w:r w:rsidR="007955B0">
        <w:t xml:space="preserve"> </w:t>
      </w:r>
      <w:r w:rsidRPr="003F1AF9">
        <w:t>powered “vapor compression” and expansion of a working fluid (refrigerant).</w:t>
      </w:r>
      <w:r w:rsidR="0078120E">
        <w:t xml:space="preserve"> </w:t>
      </w:r>
      <w:r w:rsidR="00BD3252" w:rsidRPr="003F1AF9">
        <w:fldChar w:fldCharType="begin"/>
      </w:r>
      <w:r w:rsidR="00BD3252" w:rsidRPr="003F1AF9">
        <w:instrText xml:space="preserve"> REF _Ref536182874 \h </w:instrText>
      </w:r>
      <w:r w:rsidR="00FC451C" w:rsidRPr="003F1AF9">
        <w:instrText xml:space="preserve"> \* MERGEFORMAT </w:instrText>
      </w:r>
      <w:r w:rsidR="00BD3252" w:rsidRPr="003F1AF9">
        <w:fldChar w:fldCharType="separate"/>
      </w:r>
      <w:r w:rsidR="00E60668" w:rsidRPr="003F1AF9">
        <w:t xml:space="preserve">Figure </w:t>
      </w:r>
      <w:r w:rsidR="00E60668">
        <w:rPr>
          <w:noProof/>
        </w:rPr>
        <w:t>1</w:t>
      </w:r>
      <w:r w:rsidR="00E60668" w:rsidRPr="003F1AF9">
        <w:rPr>
          <w:noProof/>
        </w:rPr>
        <w:t>.</w:t>
      </w:r>
      <w:r w:rsidR="00E60668">
        <w:rPr>
          <w:noProof/>
        </w:rPr>
        <w:t>1</w:t>
      </w:r>
      <w:r w:rsidR="00BD3252" w:rsidRPr="003F1AF9">
        <w:fldChar w:fldCharType="end"/>
      </w:r>
      <w:r w:rsidR="00BD3252" w:rsidRPr="003F1AF9">
        <w:t xml:space="preserve"> </w:t>
      </w:r>
      <w:r w:rsidR="007A5B0F" w:rsidRPr="003F1AF9">
        <w:t>illustr</w:t>
      </w:r>
      <w:r w:rsidR="00AE6EB5" w:rsidRPr="003F1AF9">
        <w:t>ates the operating cycle of</w:t>
      </w:r>
      <w:r w:rsidR="007A5B0F" w:rsidRPr="003F1AF9">
        <w:t xml:space="preserve"> a vapor compression heat pump </w:t>
      </w:r>
      <w:r w:rsidR="00AE6EB5" w:rsidRPr="003F1AF9">
        <w:t>and its</w:t>
      </w:r>
      <w:r w:rsidR="007A5B0F" w:rsidRPr="003F1AF9">
        <w:t xml:space="preserve"> four main components:</w:t>
      </w:r>
      <w:r w:rsidR="0078120E">
        <w:t xml:space="preserve"> </w:t>
      </w:r>
      <w:r w:rsidR="007955B0">
        <w:t>e</w:t>
      </w:r>
      <w:r w:rsidR="007A5B0F" w:rsidRPr="003F1AF9">
        <w:t>vaporator, condenser, compressor, and expansion valve.</w:t>
      </w:r>
      <w:r w:rsidR="0078120E">
        <w:t xml:space="preserve"> </w:t>
      </w:r>
    </w:p>
    <w:p w14:paraId="6BD3244A" w14:textId="0B312D90" w:rsidR="007A5B0F" w:rsidRPr="003F1AF9" w:rsidRDefault="007A5B0F" w:rsidP="007A5B0F">
      <w:r w:rsidRPr="003F1AF9">
        <w:rPr>
          <w:b/>
        </w:rPr>
        <w:t xml:space="preserve">Evaporator: </w:t>
      </w:r>
      <w:r w:rsidRPr="003F1AF9">
        <w:t>T</w:t>
      </w:r>
      <w:r w:rsidR="00282F56" w:rsidRPr="003F1AF9">
        <w:t>he evaporator is a low-temperature heat exchanger.</w:t>
      </w:r>
      <w:r w:rsidR="0078120E">
        <w:t xml:space="preserve"> </w:t>
      </w:r>
      <w:r w:rsidR="00282F56" w:rsidRPr="003F1AF9">
        <w:t>The</w:t>
      </w:r>
      <w:r w:rsidRPr="003F1AF9">
        <w:t xml:space="preserve"> </w:t>
      </w:r>
      <w:r w:rsidR="00282F56" w:rsidRPr="003F1AF9">
        <w:t>refrigerant enters</w:t>
      </w:r>
      <w:r w:rsidRPr="003F1AF9">
        <w:t xml:space="preserve"> the evaporator </w:t>
      </w:r>
      <w:r w:rsidR="00282F56" w:rsidRPr="003F1AF9">
        <w:t>as a</w:t>
      </w:r>
      <w:r w:rsidRPr="003F1AF9">
        <w:t xml:space="preserve"> low temperature</w:t>
      </w:r>
      <w:r w:rsidR="00282F56" w:rsidRPr="003F1AF9">
        <w:t xml:space="preserve"> liquid </w:t>
      </w:r>
      <w:r w:rsidRPr="003F1AF9">
        <w:t xml:space="preserve">and </w:t>
      </w:r>
      <w:r w:rsidR="00282F56" w:rsidRPr="003F1AF9">
        <w:t>absorbs</w:t>
      </w:r>
      <w:r w:rsidRPr="003F1AF9">
        <w:t xml:space="preserve"> heat </w:t>
      </w:r>
      <w:r w:rsidR="00282F56" w:rsidRPr="003F1AF9">
        <w:t>from the heat source</w:t>
      </w:r>
      <w:r w:rsidRPr="003F1AF9">
        <w:t xml:space="preserve"> (indoor conditioned space for cooling applications </w:t>
      </w:r>
      <w:r w:rsidR="00AE6EB5" w:rsidRPr="003F1AF9">
        <w:t>or</w:t>
      </w:r>
      <w:r w:rsidRPr="003F1AF9">
        <w:t xml:space="preserve"> </w:t>
      </w:r>
      <w:r w:rsidR="00FF407C" w:rsidRPr="003F1AF9">
        <w:t>outdoor</w:t>
      </w:r>
      <w:r w:rsidRPr="003F1AF9">
        <w:t xml:space="preserve"> non-conditioned space for heating)</w:t>
      </w:r>
      <w:r w:rsidR="00282F56" w:rsidRPr="003F1AF9">
        <w:t xml:space="preserve"> and </w:t>
      </w:r>
      <w:r w:rsidR="00AE6EB5" w:rsidRPr="003F1AF9">
        <w:t>is evaporated into</w:t>
      </w:r>
      <w:r w:rsidR="00282F56" w:rsidRPr="003F1AF9">
        <w:t xml:space="preserve"> a</w:t>
      </w:r>
      <w:r w:rsidR="00420EED" w:rsidRPr="003F1AF9">
        <w:t xml:space="preserve"> low-density,</w:t>
      </w:r>
      <w:r w:rsidR="00282F56" w:rsidRPr="003F1AF9">
        <w:t xml:space="preserve"> low-temperature gas</w:t>
      </w:r>
      <w:r w:rsidRPr="003F1AF9">
        <w:t xml:space="preserve"> before entering the compressor.</w:t>
      </w:r>
    </w:p>
    <w:p w14:paraId="1E241116" w14:textId="78ADAC19" w:rsidR="007A5B0F" w:rsidRPr="003F1AF9" w:rsidRDefault="007A5B0F" w:rsidP="007A5B0F">
      <w:r w:rsidRPr="003F1AF9">
        <w:rPr>
          <w:b/>
        </w:rPr>
        <w:t xml:space="preserve">Compressor: </w:t>
      </w:r>
      <w:r w:rsidR="00400BA1" w:rsidRPr="003F1AF9">
        <w:t>T</w:t>
      </w:r>
      <w:r w:rsidRPr="003F1AF9">
        <w:t xml:space="preserve">he </w:t>
      </w:r>
      <w:r w:rsidR="00400BA1" w:rsidRPr="003F1AF9">
        <w:t>electrically</w:t>
      </w:r>
      <w:r w:rsidR="007955B0">
        <w:t xml:space="preserve"> </w:t>
      </w:r>
      <w:r w:rsidR="00400BA1" w:rsidRPr="003F1AF9">
        <w:t xml:space="preserve">driven </w:t>
      </w:r>
      <w:r w:rsidRPr="003F1AF9">
        <w:t xml:space="preserve">compressor </w:t>
      </w:r>
      <w:r w:rsidR="00420EED" w:rsidRPr="003F1AF9">
        <w:t xml:space="preserve">provides the work that </w:t>
      </w:r>
      <w:r w:rsidR="00400BA1" w:rsidRPr="003F1AF9">
        <w:t>compresses the</w:t>
      </w:r>
      <w:r w:rsidRPr="003F1AF9">
        <w:t xml:space="preserve"> low-temperature </w:t>
      </w:r>
      <w:r w:rsidR="00282F56" w:rsidRPr="003F1AF9">
        <w:t>refrigerant</w:t>
      </w:r>
      <w:r w:rsidR="00FF17D2" w:rsidRPr="003F1AF9">
        <w:t xml:space="preserve"> gas</w:t>
      </w:r>
      <w:r w:rsidR="00282F56" w:rsidRPr="003F1AF9">
        <w:t xml:space="preserve"> from the evaporator</w:t>
      </w:r>
      <w:r w:rsidRPr="003F1AF9">
        <w:t xml:space="preserve">, </w:t>
      </w:r>
      <w:r w:rsidR="00282F56" w:rsidRPr="003F1AF9">
        <w:t>raising its pressure and temperature.</w:t>
      </w:r>
      <w:r w:rsidR="0078120E">
        <w:t xml:space="preserve"> </w:t>
      </w:r>
    </w:p>
    <w:p w14:paraId="68B0498A" w14:textId="151F87A7" w:rsidR="007A5B0F" w:rsidRPr="003F1AF9" w:rsidRDefault="007A5B0F" w:rsidP="007A5B0F">
      <w:r w:rsidRPr="003F1AF9">
        <w:rPr>
          <w:b/>
        </w:rPr>
        <w:t xml:space="preserve">Condenser: </w:t>
      </w:r>
      <w:r w:rsidRPr="003F1AF9">
        <w:t xml:space="preserve">The </w:t>
      </w:r>
      <w:r w:rsidR="00FF17D2" w:rsidRPr="003F1AF9">
        <w:t xml:space="preserve">now </w:t>
      </w:r>
      <w:r w:rsidR="00282F56" w:rsidRPr="003F1AF9">
        <w:t>hot, high pressure refrigerant gas rejects</w:t>
      </w:r>
      <w:r w:rsidRPr="003F1AF9">
        <w:t xml:space="preserve"> heat </w:t>
      </w:r>
      <w:r w:rsidR="00282F56" w:rsidRPr="003F1AF9">
        <w:t>to the condenser heat sink</w:t>
      </w:r>
      <w:r w:rsidRPr="003F1AF9">
        <w:t xml:space="preserve"> (indoor conditioned space for heating and outdoor non-conditioned space for cooling) before entering the </w:t>
      </w:r>
      <w:r w:rsidR="00282F56" w:rsidRPr="003F1AF9">
        <w:t>expansion valve as a high-temperature liquid</w:t>
      </w:r>
      <w:r w:rsidRPr="003F1AF9">
        <w:t>.</w:t>
      </w:r>
      <w:r w:rsidR="0078120E">
        <w:t xml:space="preserve"> </w:t>
      </w:r>
    </w:p>
    <w:p w14:paraId="4E021716" w14:textId="267B91DE" w:rsidR="007A5B0F" w:rsidRPr="003F1AF9" w:rsidRDefault="007A5B0F" w:rsidP="007A5B0F">
      <w:r w:rsidRPr="003F1AF9">
        <w:rPr>
          <w:b/>
        </w:rPr>
        <w:t xml:space="preserve">Expansion valve: </w:t>
      </w:r>
      <w:r w:rsidR="00AE6EB5" w:rsidRPr="003F1AF9">
        <w:t xml:space="preserve">The expansion valve is a “throttling device” that rapidly reduces the temperature and pressure of the </w:t>
      </w:r>
      <w:r w:rsidR="00282F56" w:rsidRPr="003F1AF9">
        <w:t>hot</w:t>
      </w:r>
      <w:r w:rsidR="00AE6EB5" w:rsidRPr="003F1AF9">
        <w:t xml:space="preserve"> liquid</w:t>
      </w:r>
      <w:r w:rsidR="00282F56" w:rsidRPr="003F1AF9">
        <w:t xml:space="preserve"> refrigerant</w:t>
      </w:r>
      <w:r w:rsidR="00AE6EB5" w:rsidRPr="003F1AF9">
        <w:t>, resulting in a low-temperature, low-pressure liquid/vapor mixture</w:t>
      </w:r>
      <w:r w:rsidRPr="003F1AF9">
        <w:t>.</w:t>
      </w:r>
      <w:r w:rsidR="0078120E">
        <w:t xml:space="preserve"> </w:t>
      </w:r>
    </w:p>
    <w:p w14:paraId="7EC3B71B" w14:textId="3F9EBA57" w:rsidR="002E330C" w:rsidRPr="003F1AF9" w:rsidRDefault="002E330C" w:rsidP="00D40639">
      <w:r w:rsidRPr="003F1AF9">
        <w:rPr>
          <w:b/>
        </w:rPr>
        <w:t>Reversing valve</w:t>
      </w:r>
      <w:r w:rsidR="00F50A63" w:rsidRPr="003F1AF9">
        <w:rPr>
          <w:b/>
        </w:rPr>
        <w:t xml:space="preserve"> (not shown)</w:t>
      </w:r>
      <w:r w:rsidRPr="003F1AF9">
        <w:rPr>
          <w:b/>
        </w:rPr>
        <w:t>:</w:t>
      </w:r>
      <w:r w:rsidR="0078120E">
        <w:t xml:space="preserve"> </w:t>
      </w:r>
      <w:r w:rsidRPr="003F1AF9">
        <w:t>All heating-only or cooling-only heat pumps contain these four components.</w:t>
      </w:r>
      <w:r w:rsidR="0078120E">
        <w:t xml:space="preserve"> </w:t>
      </w:r>
      <w:r w:rsidRPr="003F1AF9">
        <w:t>Dual mode heat pumps that provide both heating and cooling</w:t>
      </w:r>
      <w:r w:rsidR="00F50A63" w:rsidRPr="003F1AF9">
        <w:t>,</w:t>
      </w:r>
      <w:r w:rsidRPr="003F1AF9">
        <w:t xml:space="preserve"> </w:t>
      </w:r>
      <w:r w:rsidR="00F50A63" w:rsidRPr="003F1AF9">
        <w:t>in addition</w:t>
      </w:r>
      <w:r w:rsidRPr="003F1AF9">
        <w:t xml:space="preserve"> contain</w:t>
      </w:r>
      <w:r w:rsidR="00400BA1" w:rsidRPr="003F1AF9">
        <w:t xml:space="preserve"> a valve to reverse the refrigerant flow, thus switching the refrigeration cycle from heating </w:t>
      </w:r>
      <w:r w:rsidR="00420EED" w:rsidRPr="003F1AF9">
        <w:t xml:space="preserve">mode </w:t>
      </w:r>
      <w:r w:rsidR="00400BA1" w:rsidRPr="003F1AF9">
        <w:t>to cooling</w:t>
      </w:r>
      <w:r w:rsidR="00420EED" w:rsidRPr="003F1AF9">
        <w:t xml:space="preserve"> operation</w:t>
      </w:r>
      <w:r w:rsidR="00400BA1" w:rsidRPr="003F1AF9">
        <w:t>.</w:t>
      </w:r>
      <w:r w:rsidR="0078120E">
        <w:t xml:space="preserve"> </w:t>
      </w:r>
    </w:p>
    <w:p w14:paraId="413C8CAC" w14:textId="32913A74" w:rsidR="007A5B0F" w:rsidRPr="003F1AF9" w:rsidRDefault="003C75A2" w:rsidP="00D40639">
      <w:r w:rsidRPr="003F1AF9">
        <w:t>By this four-step</w:t>
      </w:r>
      <w:r w:rsidR="007A5B0F" w:rsidRPr="003F1AF9">
        <w:t xml:space="preserve"> cycle of evaporation, compression, condensation</w:t>
      </w:r>
      <w:r w:rsidR="007955B0">
        <w:t>,</w:t>
      </w:r>
      <w:r w:rsidR="007A5B0F" w:rsidRPr="003F1AF9">
        <w:t xml:space="preserve"> and expansion of the refrigerant, </w:t>
      </w:r>
      <w:r w:rsidR="00FF17D2" w:rsidRPr="003F1AF9">
        <w:t>a</w:t>
      </w:r>
      <w:r w:rsidR="007A5B0F" w:rsidRPr="003F1AF9">
        <w:t xml:space="preserve"> heat pump extracts heat from a low temperature sour</w:t>
      </w:r>
      <w:r w:rsidR="00EE5D03" w:rsidRPr="003F1AF9">
        <w:t>ce and transfers it to a high</w:t>
      </w:r>
      <w:r w:rsidR="007A5B0F" w:rsidRPr="003F1AF9">
        <w:t xml:space="preserve"> temperature sink. </w:t>
      </w:r>
      <w:r w:rsidR="00EE5D03" w:rsidRPr="003F1AF9">
        <w:t>The value of this approach is that, a</w:t>
      </w:r>
      <w:r w:rsidR="007A5B0F" w:rsidRPr="003F1AF9">
        <w:t xml:space="preserve">lthough some external electrical energy is required, the amount of heat energy </w:t>
      </w:r>
      <w:r w:rsidR="00FF17D2" w:rsidRPr="003F1AF9">
        <w:t>transferred from the heat source to the heat sink</w:t>
      </w:r>
      <w:r w:rsidR="007A5B0F" w:rsidRPr="003F1AF9">
        <w:t xml:space="preserve"> </w:t>
      </w:r>
      <w:r w:rsidR="00FF17D2" w:rsidRPr="003F1AF9">
        <w:t>can be</w:t>
      </w:r>
      <w:r w:rsidR="007A5B0F" w:rsidRPr="003F1AF9">
        <w:t xml:space="preserve"> several times the </w:t>
      </w:r>
      <w:r w:rsidR="00FF17D2" w:rsidRPr="003F1AF9">
        <w:t>amount of work required</w:t>
      </w:r>
      <w:r w:rsidR="007A5B0F" w:rsidRPr="003F1AF9">
        <w:t xml:space="preserve"> </w:t>
      </w:r>
      <w:r w:rsidR="00FF17D2" w:rsidRPr="003F1AF9">
        <w:t>to power the compressor.</w:t>
      </w:r>
      <w:r w:rsidR="0078120E">
        <w:t xml:space="preserve"> </w:t>
      </w:r>
    </w:p>
    <w:p w14:paraId="02761DC6" w14:textId="3E158654" w:rsidR="007A5B0F" w:rsidRPr="003F1AF9" w:rsidRDefault="002E330C" w:rsidP="00132E27">
      <w:pPr>
        <w:pStyle w:val="Heading4"/>
      </w:pPr>
      <w:r w:rsidRPr="003F1AF9">
        <w:t xml:space="preserve">Heat Pump </w:t>
      </w:r>
      <w:r w:rsidR="005F3C97" w:rsidRPr="003F1AF9">
        <w:t>Varieties</w:t>
      </w:r>
    </w:p>
    <w:p w14:paraId="247F19C0" w14:textId="39B04387" w:rsidR="002E330C" w:rsidRPr="003F1AF9" w:rsidRDefault="005F3C97" w:rsidP="00D40639">
      <w:r w:rsidRPr="003F1AF9">
        <w:t>Commercial</w:t>
      </w:r>
      <w:r w:rsidR="00DB1467" w:rsidRPr="003F1AF9">
        <w:t>ly</w:t>
      </w:r>
      <w:r w:rsidR="007955B0">
        <w:t xml:space="preserve"> </w:t>
      </w:r>
      <w:r w:rsidR="00441C46" w:rsidRPr="003F1AF9">
        <w:t>available</w:t>
      </w:r>
      <w:r w:rsidRPr="003F1AF9">
        <w:t xml:space="preserve"> h</w:t>
      </w:r>
      <w:r w:rsidR="002E330C" w:rsidRPr="003F1AF9">
        <w:t>eat pumps use th</w:t>
      </w:r>
      <w:r w:rsidR="00441C46" w:rsidRPr="003F1AF9">
        <w:t>ree main ambient heat sources/</w:t>
      </w:r>
      <w:r w:rsidR="002E330C" w:rsidRPr="003F1AF9">
        <w:t>sinks</w:t>
      </w:r>
      <w:r w:rsidR="00F50A63" w:rsidRPr="003F1AF9">
        <w:t xml:space="preserve"> for space heating and cooling</w:t>
      </w:r>
      <w:r w:rsidR="002E330C" w:rsidRPr="003F1AF9">
        <w:t>:</w:t>
      </w:r>
      <w:r w:rsidR="0078120E">
        <w:t xml:space="preserve"> </w:t>
      </w:r>
    </w:p>
    <w:p w14:paraId="2E4631ED" w14:textId="3188BD2D" w:rsidR="00F85DB9" w:rsidRPr="003F1AF9" w:rsidRDefault="002E330C" w:rsidP="00D40639">
      <w:pPr>
        <w:pStyle w:val="ListParagraph"/>
        <w:numPr>
          <w:ilvl w:val="0"/>
          <w:numId w:val="13"/>
        </w:numPr>
        <w:spacing w:after="160"/>
        <w:contextualSpacing w:val="0"/>
        <w:rPr>
          <w:i/>
        </w:rPr>
      </w:pPr>
      <w:r w:rsidRPr="003F1AF9">
        <w:rPr>
          <w:i/>
        </w:rPr>
        <w:t>Air-source heat pumps (ASHP)</w:t>
      </w:r>
      <w:r w:rsidR="002A25AF" w:rsidRPr="003F1AF9">
        <w:rPr>
          <w:i/>
        </w:rPr>
        <w:t xml:space="preserve">, </w:t>
      </w:r>
      <w:r w:rsidR="002A25AF" w:rsidRPr="003F1AF9">
        <w:t>the most common version,</w:t>
      </w:r>
      <w:r w:rsidRPr="003F1AF9">
        <w:t xml:space="preserve"> absorb heat from </w:t>
      </w:r>
      <w:r w:rsidR="00FF407C" w:rsidRPr="003F1AF9">
        <w:t>outdoor</w:t>
      </w:r>
      <w:r w:rsidRPr="003F1AF9">
        <w:t xml:space="preserve"> air to heat the indoors in winter. In summer, the same heat pump</w:t>
      </w:r>
      <w:r w:rsidR="00EE5D03" w:rsidRPr="003F1AF9">
        <w:t xml:space="preserve"> can be run in the reverse mode to</w:t>
      </w:r>
      <w:r w:rsidRPr="003F1AF9">
        <w:t xml:space="preserve"> absorb heat from indoors and reject it to the </w:t>
      </w:r>
      <w:r w:rsidR="00FF407C" w:rsidRPr="003F1AF9">
        <w:t>outdoor</w:t>
      </w:r>
      <w:r w:rsidRPr="003F1AF9">
        <w:t xml:space="preserve"> air.</w:t>
      </w:r>
      <w:r w:rsidR="0078120E">
        <w:t xml:space="preserve"> </w:t>
      </w:r>
      <w:r w:rsidR="003C75A2" w:rsidRPr="003F1AF9">
        <w:t>In residential applications,</w:t>
      </w:r>
      <w:r w:rsidR="001021DC" w:rsidRPr="003F1AF9">
        <w:t xml:space="preserve"> in the USA where</w:t>
      </w:r>
      <w:r w:rsidR="00EE5D03" w:rsidRPr="003F1AF9">
        <w:t xml:space="preserve"> </w:t>
      </w:r>
      <w:r w:rsidR="001021DC" w:rsidRPr="003F1AF9">
        <w:t>gas-fired furnaces</w:t>
      </w:r>
      <w:r w:rsidR="00EE5D03" w:rsidRPr="003F1AF9">
        <w:t xml:space="preserve"> </w:t>
      </w:r>
      <w:r w:rsidR="003C75A2" w:rsidRPr="003F1AF9">
        <w:t>and air conditioning (and associated ductwork)</w:t>
      </w:r>
      <w:r w:rsidR="00EE5D03" w:rsidRPr="003F1AF9">
        <w:t xml:space="preserve"> </w:t>
      </w:r>
      <w:r w:rsidR="001021DC" w:rsidRPr="003F1AF9">
        <w:t xml:space="preserve">are </w:t>
      </w:r>
      <w:r w:rsidR="00EE5D03" w:rsidRPr="003F1AF9">
        <w:t>widespread</w:t>
      </w:r>
      <w:r w:rsidR="001021DC" w:rsidRPr="003F1AF9">
        <w:t xml:space="preserve">, air-air heat pumps are </w:t>
      </w:r>
      <w:r w:rsidR="001021DC" w:rsidRPr="003F1AF9">
        <w:lastRenderedPageBreak/>
        <w:t>most popular.</w:t>
      </w:r>
      <w:r w:rsidR="0078120E">
        <w:t xml:space="preserve"> </w:t>
      </w:r>
      <w:r w:rsidR="001021DC" w:rsidRPr="003F1AF9">
        <w:t>In Europe, where residential space cooling is less common and hydronic heating systems are the norm, air-water heat pumps</w:t>
      </w:r>
      <w:r w:rsidR="002264E8" w:rsidRPr="003F1AF9">
        <w:rPr>
          <w:rStyle w:val="FootnoteReference"/>
        </w:rPr>
        <w:footnoteReference w:id="1"/>
      </w:r>
      <w:r w:rsidR="001021DC" w:rsidRPr="003F1AF9">
        <w:t xml:space="preserve"> are more popular.</w:t>
      </w:r>
      <w:r w:rsidR="0078120E">
        <w:t xml:space="preserve"> </w:t>
      </w:r>
    </w:p>
    <w:p w14:paraId="12A0666F" w14:textId="3A1B630B" w:rsidR="00F85DB9" w:rsidRPr="003F1AF9" w:rsidRDefault="002E330C" w:rsidP="00D40639">
      <w:pPr>
        <w:pStyle w:val="ListParagraph"/>
        <w:numPr>
          <w:ilvl w:val="0"/>
          <w:numId w:val="13"/>
        </w:numPr>
        <w:spacing w:after="160"/>
        <w:contextualSpacing w:val="0"/>
        <w:rPr>
          <w:i/>
        </w:rPr>
      </w:pPr>
      <w:r w:rsidRPr="003F1AF9">
        <w:rPr>
          <w:i/>
        </w:rPr>
        <w:t>Ground-source heat pumps (GSHP</w:t>
      </w:r>
      <w:r w:rsidRPr="003F1AF9">
        <w:t xml:space="preserve">) </w:t>
      </w:r>
      <w:r w:rsidR="0046060E" w:rsidRPr="003F1AF9">
        <w:t>exchange heat with the ground using serpentine buried pipes or sealed wells.</w:t>
      </w:r>
      <w:r w:rsidR="0078120E">
        <w:t xml:space="preserve"> </w:t>
      </w:r>
      <w:r w:rsidRPr="003F1AF9">
        <w:t xml:space="preserve">In winter, </w:t>
      </w:r>
      <w:r w:rsidR="0046060E" w:rsidRPr="003F1AF9">
        <w:t>a</w:t>
      </w:r>
      <w:r w:rsidRPr="003F1AF9">
        <w:t xml:space="preserve"> GSHP absorbs heat from the ground and </w:t>
      </w:r>
      <w:r w:rsidR="0046060E" w:rsidRPr="003F1AF9">
        <w:t>uses</w:t>
      </w:r>
      <w:r w:rsidRPr="003F1AF9">
        <w:t xml:space="preserve"> it to heat the indoor </w:t>
      </w:r>
      <w:r w:rsidR="0046060E" w:rsidRPr="003F1AF9">
        <w:t>space</w:t>
      </w:r>
      <w:r w:rsidRPr="003F1AF9">
        <w:t>. During summer mon</w:t>
      </w:r>
      <w:r w:rsidR="0046060E" w:rsidRPr="003F1AF9">
        <w:t>ths, this process is reversed</w:t>
      </w:r>
      <w:r w:rsidR="003C75A2" w:rsidRPr="003F1AF9">
        <w:t xml:space="preserve"> </w:t>
      </w:r>
      <w:r w:rsidR="00F85DB9" w:rsidRPr="003F1AF9">
        <w:t>(see Metz, 1984)</w:t>
      </w:r>
      <w:r w:rsidR="007955B0">
        <w:t>.</w:t>
      </w:r>
      <w:r w:rsidR="0078120E">
        <w:t xml:space="preserve"> </w:t>
      </w:r>
      <w:r w:rsidR="00F85DB9" w:rsidRPr="003F1AF9">
        <w:t>Because the ground temperature is usually more moderate than ambient air temperature – warmer in winter and cooler in summer – GSHPs operate at higher efficiency than ASHPs, especially in climates with extreme ambient temperatures.</w:t>
      </w:r>
      <w:r w:rsidR="0078120E">
        <w:t xml:space="preserve"> </w:t>
      </w:r>
      <w:r w:rsidR="00F85DB9" w:rsidRPr="003F1AF9">
        <w:t>Access to the ground, and the additional first cost of the ground-source piping, limits the applicability of GSHP systems.</w:t>
      </w:r>
      <w:r w:rsidR="0078120E">
        <w:t xml:space="preserve"> </w:t>
      </w:r>
    </w:p>
    <w:p w14:paraId="75BE5FE4" w14:textId="14DB27CB" w:rsidR="002E330C" w:rsidRPr="003F1AF9" w:rsidRDefault="002E330C" w:rsidP="00D40639">
      <w:pPr>
        <w:pStyle w:val="ListParagraph"/>
        <w:numPr>
          <w:ilvl w:val="0"/>
          <w:numId w:val="13"/>
        </w:numPr>
        <w:spacing w:after="160"/>
        <w:contextualSpacing w:val="0"/>
      </w:pPr>
      <w:r w:rsidRPr="003F1AF9">
        <w:rPr>
          <w:i/>
        </w:rPr>
        <w:t>Water-source heat pumps (WSHP)</w:t>
      </w:r>
      <w:r w:rsidRPr="003F1AF9">
        <w:t xml:space="preserve"> extract energy from ground water or rivers and streams.</w:t>
      </w:r>
      <w:r w:rsidR="0078120E">
        <w:t xml:space="preserve"> </w:t>
      </w:r>
      <w:r w:rsidR="00096016" w:rsidRPr="003F1AF9">
        <w:t xml:space="preserve">Analogous to GSHPs, </w:t>
      </w:r>
      <w:r w:rsidR="00F85DB9" w:rsidRPr="003F1AF9">
        <w:t>WSHPs can operate more efficiently than ASHPs in many locations.</w:t>
      </w:r>
      <w:r w:rsidR="0078120E">
        <w:t xml:space="preserve"> </w:t>
      </w:r>
      <w:r w:rsidR="00F85DB9" w:rsidRPr="003F1AF9">
        <w:t xml:space="preserve">Likewise, too, </w:t>
      </w:r>
      <w:r w:rsidR="00096016" w:rsidRPr="003F1AF9">
        <w:t>access to a suitable water source and a place to reject the water limits applicability.</w:t>
      </w:r>
      <w:r w:rsidR="0078120E">
        <w:t xml:space="preserve"> </w:t>
      </w:r>
    </w:p>
    <w:p w14:paraId="3D476FF9" w14:textId="47B35E09" w:rsidR="00A06482" w:rsidRPr="003F1AF9" w:rsidRDefault="00096016" w:rsidP="00D40639">
      <w:r w:rsidRPr="003F1AF9">
        <w:t xml:space="preserve">Air-source heat pumps are the </w:t>
      </w:r>
      <w:r w:rsidR="00647EFF" w:rsidRPr="003F1AF9">
        <w:t>prime focus of this report:</w:t>
      </w:r>
      <w:r w:rsidR="0078120E">
        <w:t xml:space="preserve"> </w:t>
      </w:r>
      <w:r w:rsidR="0046060E" w:rsidRPr="003F1AF9">
        <w:t xml:space="preserve">Because of the ubiquity of </w:t>
      </w:r>
      <w:r w:rsidRPr="003F1AF9">
        <w:t>the air heat source / sink,</w:t>
      </w:r>
      <w:r w:rsidR="0046060E" w:rsidRPr="003F1AF9">
        <w:t xml:space="preserve"> </w:t>
      </w:r>
      <w:r w:rsidR="00647EFF" w:rsidRPr="003F1AF9">
        <w:t>and lower</w:t>
      </w:r>
      <w:r w:rsidRPr="003F1AF9">
        <w:t xml:space="preserve"> installation cost, </w:t>
      </w:r>
      <w:r w:rsidR="0046060E" w:rsidRPr="003F1AF9">
        <w:t>ASHPs are by far the most common variety of heat pump and air conditioner</w:t>
      </w:r>
      <w:r w:rsidR="00647EFF" w:rsidRPr="003F1AF9">
        <w:t>.</w:t>
      </w:r>
      <w:r w:rsidR="0078120E">
        <w:t xml:space="preserve"> </w:t>
      </w:r>
      <w:r w:rsidR="003C365A" w:rsidRPr="003F1AF9">
        <w:t>And it is worth noting that there is great opportunity for</w:t>
      </w:r>
      <w:r w:rsidR="007652F9" w:rsidRPr="003F1AF9">
        <w:t xml:space="preserve"> future</w:t>
      </w:r>
      <w:r w:rsidR="003C365A" w:rsidRPr="003F1AF9">
        <w:t xml:space="preserve"> improvement of ASHP performance, reliability and cost (see below), </w:t>
      </w:r>
      <w:r w:rsidR="007652F9" w:rsidRPr="003F1AF9">
        <w:t>with</w:t>
      </w:r>
      <w:r w:rsidR="003C365A" w:rsidRPr="003F1AF9">
        <w:t xml:space="preserve"> much ongoing research</w:t>
      </w:r>
      <w:r w:rsidR="007652F9" w:rsidRPr="003F1AF9">
        <w:t>.</w:t>
      </w:r>
      <w:r w:rsidR="0078120E">
        <w:t xml:space="preserve"> </w:t>
      </w:r>
      <w:r w:rsidR="003C365A" w:rsidRPr="003F1AF9">
        <w:t>For example,</w:t>
      </w:r>
      <w:r w:rsidR="007652F9" w:rsidRPr="003F1AF9">
        <w:t xml:space="preserve"> </w:t>
      </w:r>
      <w:r w:rsidR="00D40C5E" w:rsidRPr="003F1AF9">
        <w:t xml:space="preserve">research continues to address </w:t>
      </w:r>
      <w:r w:rsidR="003C365A" w:rsidRPr="003F1AF9">
        <w:t>a</w:t>
      </w:r>
      <w:r w:rsidR="00647EFF" w:rsidRPr="003F1AF9">
        <w:t xml:space="preserve"> major </w:t>
      </w:r>
      <w:r w:rsidR="003C365A" w:rsidRPr="003F1AF9">
        <w:t>limitation of</w:t>
      </w:r>
      <w:r w:rsidR="00647EFF" w:rsidRPr="003F1AF9">
        <w:t xml:space="preserve"> ASHPs in cold climates </w:t>
      </w:r>
      <w:r w:rsidR="00D40C5E" w:rsidRPr="003F1AF9">
        <w:t xml:space="preserve">– reduced </w:t>
      </w:r>
      <w:r w:rsidR="00647EFF" w:rsidRPr="003F1AF9">
        <w:t>efficiency and low heating capacity</w:t>
      </w:r>
      <w:r w:rsidR="00FF407C" w:rsidRPr="003F1AF9">
        <w:t xml:space="preserve"> at very low outdoor</w:t>
      </w:r>
      <w:r w:rsidR="00647EFF" w:rsidRPr="003F1AF9">
        <w:t xml:space="preserve"> air temperatures</w:t>
      </w:r>
      <w:r w:rsidR="00D40C5E" w:rsidRPr="003F1AF9">
        <w:t>,</w:t>
      </w:r>
      <w:r w:rsidR="007652F9" w:rsidRPr="003F1AF9">
        <w:t xml:space="preserve"> just when heat</w:t>
      </w:r>
      <w:r w:rsidR="004B3401" w:rsidRPr="003F1AF9">
        <w:t xml:space="preserve"> is most needed</w:t>
      </w:r>
      <w:r w:rsidR="00647EFF" w:rsidRPr="003F1AF9">
        <w:t xml:space="preserve"> (IEA, HPT TCP Annex 41 Final report Cold Climate Heat Pumps, 2017)</w:t>
      </w:r>
      <w:r w:rsidR="00B66AFF">
        <w:t>.</w:t>
      </w:r>
      <w:r w:rsidR="0078120E">
        <w:t xml:space="preserve"> </w:t>
      </w:r>
    </w:p>
    <w:p w14:paraId="5BC970DB" w14:textId="472B4C39" w:rsidR="00101F90" w:rsidRPr="003F1AF9" w:rsidRDefault="00D40C5E" w:rsidP="00132E27">
      <w:r w:rsidRPr="003F1AF9">
        <w:t xml:space="preserve">Research also continues on “next-generation heat pumps” </w:t>
      </w:r>
      <w:r w:rsidR="00A06482" w:rsidRPr="003F1AF9">
        <w:t>including advanced vapor compression cycles, non-vapor-compression cycles</w:t>
      </w:r>
      <w:r w:rsidR="001021DC" w:rsidRPr="003F1AF9">
        <w:t xml:space="preserve"> (e.g., solid state or electro-chemical)</w:t>
      </w:r>
      <w:r w:rsidR="00A06482" w:rsidRPr="003F1AF9">
        <w:t>, integration wit</w:t>
      </w:r>
      <w:r w:rsidR="004B3401" w:rsidRPr="003F1AF9">
        <w:t xml:space="preserve">h other building systems (such as </w:t>
      </w:r>
      <w:r w:rsidR="00A06482" w:rsidRPr="003F1AF9">
        <w:t>air conditioners that share waste h</w:t>
      </w:r>
      <w:r w:rsidR="001021DC" w:rsidRPr="003F1AF9">
        <w:t>eat</w:t>
      </w:r>
      <w:r w:rsidR="004B3401" w:rsidRPr="003F1AF9">
        <w:t xml:space="preserve"> with other building systems</w:t>
      </w:r>
      <w:r w:rsidR="001021DC" w:rsidRPr="003F1AF9">
        <w:t>)</w:t>
      </w:r>
      <w:r w:rsidR="00A06482" w:rsidRPr="003F1AF9">
        <w:t>, gas engine heat pumps</w:t>
      </w:r>
      <w:r w:rsidR="001021DC" w:rsidRPr="003F1AF9">
        <w:t>, and multi-function devices (e.g., heating, cooling and hot water)</w:t>
      </w:r>
      <w:r w:rsidR="00B66AFF">
        <w:t xml:space="preserve"> </w:t>
      </w:r>
      <w:r w:rsidR="001021DC" w:rsidRPr="003F1AF9">
        <w:t>(</w:t>
      </w:r>
      <w:proofErr w:type="spellStart"/>
      <w:r w:rsidR="001021DC" w:rsidRPr="003F1AF9">
        <w:t>Goetzler</w:t>
      </w:r>
      <w:proofErr w:type="spellEnd"/>
      <w:r w:rsidR="001021DC" w:rsidRPr="003F1AF9">
        <w:t>, 2016)</w:t>
      </w:r>
      <w:r w:rsidR="004B3401" w:rsidRPr="003F1AF9">
        <w:t>.</w:t>
      </w:r>
      <w:r w:rsidR="0078120E">
        <w:t xml:space="preserve"> </w:t>
      </w:r>
      <w:r w:rsidR="004B3401" w:rsidRPr="003F1AF9">
        <w:t xml:space="preserve">But these are not </w:t>
      </w:r>
      <w:r w:rsidRPr="003F1AF9">
        <w:t xml:space="preserve">significant </w:t>
      </w:r>
      <w:r w:rsidR="004B3401" w:rsidRPr="003F1AF9">
        <w:t>commercial products today and are not further addressed in this report.</w:t>
      </w:r>
      <w:r w:rsidR="0078120E">
        <w:t xml:space="preserve"> </w:t>
      </w:r>
    </w:p>
    <w:p w14:paraId="3D65124E" w14:textId="26A338C5" w:rsidR="002E330C" w:rsidRPr="003F1AF9" w:rsidRDefault="006437D4" w:rsidP="00FC451C">
      <w:pPr>
        <w:pStyle w:val="Heading4"/>
      </w:pPr>
      <w:r w:rsidRPr="003F1AF9">
        <w:t xml:space="preserve">Measuring </w:t>
      </w:r>
      <w:r w:rsidR="005F3C97" w:rsidRPr="003F1AF9">
        <w:t>Heat Pump Performance</w:t>
      </w:r>
      <w:r w:rsidR="00441687" w:rsidRPr="003F1AF9">
        <w:t xml:space="preserve"> </w:t>
      </w:r>
    </w:p>
    <w:p w14:paraId="562767DC" w14:textId="41A92C46" w:rsidR="008A6D10" w:rsidRPr="003F1AF9" w:rsidRDefault="008A6D10">
      <w:r w:rsidRPr="003F1AF9">
        <w:t xml:space="preserve">Clear, reliable performance metrics </w:t>
      </w:r>
      <w:r w:rsidR="00EA6778" w:rsidRPr="003F1AF9">
        <w:t>are critical for</w:t>
      </w:r>
      <w:r w:rsidRPr="003F1AF9">
        <w:t xml:space="preserve"> </w:t>
      </w:r>
      <w:r w:rsidR="00562604" w:rsidRPr="003F1AF9">
        <w:t>a heat pump buyer</w:t>
      </w:r>
      <w:r w:rsidRPr="003F1AF9">
        <w:t xml:space="preserve"> to make </w:t>
      </w:r>
      <w:r w:rsidR="00562604" w:rsidRPr="003F1AF9">
        <w:t xml:space="preserve">an </w:t>
      </w:r>
      <w:r w:rsidRPr="003F1AF9">
        <w:t>informed purchase</w:t>
      </w:r>
      <w:r w:rsidR="00562604" w:rsidRPr="003F1AF9">
        <w:t xml:space="preserve"> decision</w:t>
      </w:r>
      <w:r w:rsidRPr="003F1AF9">
        <w:t xml:space="preserve"> that balance first cost investment against future energy use and operating cost.</w:t>
      </w:r>
      <w:r w:rsidR="0078120E">
        <w:t xml:space="preserve"> </w:t>
      </w:r>
      <w:r w:rsidRPr="003F1AF9">
        <w:t>In this way</w:t>
      </w:r>
      <w:r w:rsidR="00B66AFF">
        <w:t>,</w:t>
      </w:r>
      <w:r w:rsidRPr="003F1AF9">
        <w:t xml:space="preserve"> accurate performance metrics </w:t>
      </w:r>
      <w:r w:rsidR="00EA6778" w:rsidRPr="003F1AF9">
        <w:t>enable</w:t>
      </w:r>
      <w:r w:rsidRPr="003F1AF9">
        <w:t xml:space="preserve"> customers</w:t>
      </w:r>
      <w:r w:rsidR="00562604" w:rsidRPr="003F1AF9">
        <w:t xml:space="preserve"> worldwide</w:t>
      </w:r>
      <w:r w:rsidRPr="003F1AF9">
        <w:t xml:space="preserve"> </w:t>
      </w:r>
      <w:r w:rsidR="00EA6778" w:rsidRPr="003F1AF9">
        <w:t xml:space="preserve">to </w:t>
      </w:r>
      <w:r w:rsidRPr="003F1AF9">
        <w:t xml:space="preserve">save money, </w:t>
      </w:r>
      <w:r w:rsidR="00EA6778" w:rsidRPr="003F1AF9">
        <w:t>while reducing</w:t>
      </w:r>
      <w:r w:rsidRPr="003F1AF9">
        <w:t xml:space="preserve"> purchased energy and corresponding GHG emissions.</w:t>
      </w:r>
      <w:r w:rsidR="0078120E">
        <w:t xml:space="preserve"> </w:t>
      </w:r>
    </w:p>
    <w:p w14:paraId="66BBE783" w14:textId="293DE0B1" w:rsidR="0039256A" w:rsidRPr="003F1AF9" w:rsidRDefault="007054E5">
      <w:r w:rsidRPr="003F1AF9">
        <w:lastRenderedPageBreak/>
        <w:t>It would be ideal to have a single measure of heat pump seasonal performance.</w:t>
      </w:r>
      <w:r w:rsidR="0078120E">
        <w:t xml:space="preserve"> </w:t>
      </w:r>
      <w:r w:rsidRPr="003F1AF9">
        <w:t xml:space="preserve">Such a </w:t>
      </w:r>
      <w:r w:rsidR="0039256A" w:rsidRPr="003F1AF9">
        <w:t>metric</w:t>
      </w:r>
      <w:r w:rsidRPr="003F1AF9">
        <w:t xml:space="preserve"> </w:t>
      </w:r>
      <w:r w:rsidR="0039256A" w:rsidRPr="003F1AF9">
        <w:t xml:space="preserve">would </w:t>
      </w:r>
      <w:r w:rsidR="004B2456" w:rsidRPr="003F1AF9">
        <w:t xml:space="preserve">at minimum </w:t>
      </w:r>
      <w:r w:rsidRPr="003F1AF9">
        <w:t xml:space="preserve">provide a simple, accurate </w:t>
      </w:r>
      <w:r w:rsidR="0039256A" w:rsidRPr="003F1AF9">
        <w:t>way to estimate</w:t>
      </w:r>
      <w:r w:rsidRPr="003F1AF9">
        <w:t xml:space="preserve"> heat pump purchased e</w:t>
      </w:r>
      <w:r w:rsidR="004B2456" w:rsidRPr="003F1AF9">
        <w:t>lectricity, energy delivery</w:t>
      </w:r>
      <w:r w:rsidRPr="003F1AF9">
        <w:t xml:space="preserve">, and GHG emissions in actual use; </w:t>
      </w:r>
      <w:r w:rsidR="0039256A" w:rsidRPr="003F1AF9">
        <w:t xml:space="preserve">and </w:t>
      </w:r>
      <w:r w:rsidRPr="003F1AF9">
        <w:t xml:space="preserve">also </w:t>
      </w:r>
      <w:r w:rsidR="0039256A" w:rsidRPr="003F1AF9">
        <w:t xml:space="preserve">serve as the basis </w:t>
      </w:r>
      <w:r w:rsidRPr="003F1AF9">
        <w:t>for comparing alternative space conditioning options.</w:t>
      </w:r>
      <w:r w:rsidR="0078120E">
        <w:t xml:space="preserve"> </w:t>
      </w:r>
      <w:r w:rsidRPr="003F1AF9">
        <w:t xml:space="preserve">The reality is a web of </w:t>
      </w:r>
      <w:r w:rsidR="004B2456" w:rsidRPr="003F1AF9">
        <w:t>not-quite-comparable</w:t>
      </w:r>
      <w:r w:rsidR="0039256A" w:rsidRPr="003F1AF9">
        <w:t xml:space="preserve"> metrics</w:t>
      </w:r>
      <w:r w:rsidR="00101F90" w:rsidRPr="003F1AF9">
        <w:t>:</w:t>
      </w:r>
      <w:r w:rsidR="0078120E">
        <w:t xml:space="preserve"> </w:t>
      </w:r>
    </w:p>
    <w:p w14:paraId="5D3232C8" w14:textId="4470FF2E" w:rsidR="0069015D" w:rsidRPr="003F1AF9" w:rsidRDefault="00101F90">
      <w:r w:rsidRPr="003F1AF9">
        <w:t>“Single-p</w:t>
      </w:r>
      <w:r w:rsidR="0069015D" w:rsidRPr="003F1AF9">
        <w:t xml:space="preserve">oint performance metrics” </w:t>
      </w:r>
      <w:r w:rsidR="0039256A" w:rsidRPr="003F1AF9">
        <w:t xml:space="preserve">have been </w:t>
      </w:r>
      <w:r w:rsidRPr="003F1AF9">
        <w:t xml:space="preserve">used </w:t>
      </w:r>
      <w:r w:rsidR="00562604" w:rsidRPr="003F1AF9">
        <w:t xml:space="preserve">for </w:t>
      </w:r>
      <w:r w:rsidRPr="003F1AF9">
        <w:t xml:space="preserve">years but, since they reflect performance at only one set of operating conditions, </w:t>
      </w:r>
      <w:r w:rsidR="00B66AFF">
        <w:t xml:space="preserve">they </w:t>
      </w:r>
      <w:r w:rsidR="0039256A" w:rsidRPr="003F1AF9">
        <w:t>have limited value for calculating seasonal performance and operating cost</w:t>
      </w:r>
      <w:r w:rsidRPr="003F1AF9">
        <w:t>.</w:t>
      </w:r>
      <w:r w:rsidR="0078120E">
        <w:t xml:space="preserve"> </w:t>
      </w:r>
      <w:r w:rsidRPr="003F1AF9">
        <w:t>Key single-point metrics</w:t>
      </w:r>
      <w:r w:rsidR="0039256A" w:rsidRPr="003F1AF9">
        <w:t xml:space="preserve"> </w:t>
      </w:r>
      <w:r w:rsidR="0069015D" w:rsidRPr="003F1AF9">
        <w:t>include</w:t>
      </w:r>
      <w:r w:rsidR="004B2456" w:rsidRPr="003F1AF9">
        <w:t>:</w:t>
      </w:r>
      <w:r w:rsidR="0078120E">
        <w:t xml:space="preserve"> </w:t>
      </w:r>
    </w:p>
    <w:p w14:paraId="40726F1E" w14:textId="283C0AAA" w:rsidR="00757DA6" w:rsidRPr="003F1AF9" w:rsidRDefault="00124FF2" w:rsidP="00D40639">
      <w:pPr>
        <w:pStyle w:val="ListParagraph"/>
        <w:numPr>
          <w:ilvl w:val="0"/>
          <w:numId w:val="13"/>
        </w:numPr>
        <w:spacing w:after="160"/>
        <w:contextualSpacing w:val="0"/>
      </w:pPr>
      <w:r w:rsidRPr="003F1AF9">
        <w:rPr>
          <w:b/>
        </w:rPr>
        <w:t>Coefficient of P</w:t>
      </w:r>
      <w:r w:rsidR="004B2456" w:rsidRPr="003F1AF9">
        <w:rPr>
          <w:b/>
        </w:rPr>
        <w:t>erformance (COP)</w:t>
      </w:r>
      <w:r w:rsidR="004B2456" w:rsidRPr="003F1AF9">
        <w:t xml:space="preserve"> describes the </w:t>
      </w:r>
      <w:r w:rsidRPr="003F1AF9">
        <w:t>efficiency of a heat pump.</w:t>
      </w:r>
      <w:r w:rsidR="0078120E">
        <w:t xml:space="preserve"> </w:t>
      </w:r>
      <w:r w:rsidRPr="003F1AF9">
        <w:t xml:space="preserve">COP is a dimensionless </w:t>
      </w:r>
      <w:r w:rsidR="004B2456" w:rsidRPr="003F1AF9">
        <w:t>ratio</w:t>
      </w:r>
      <w:r w:rsidR="0039256A" w:rsidRPr="003F1AF9">
        <w:t xml:space="preserve"> (</w:t>
      </w:r>
      <w:proofErr w:type="spellStart"/>
      <w:r w:rsidR="0039256A" w:rsidRPr="003F1AF9">
        <w:t>Wh</w:t>
      </w:r>
      <w:proofErr w:type="spellEnd"/>
      <w:r w:rsidR="0039256A" w:rsidRPr="003F1AF9">
        <w:t>/</w:t>
      </w:r>
      <w:proofErr w:type="spellStart"/>
      <w:r w:rsidRPr="003F1AF9">
        <w:t>Wh</w:t>
      </w:r>
      <w:proofErr w:type="spellEnd"/>
      <w:r w:rsidRPr="003F1AF9">
        <w:t>)</w:t>
      </w:r>
      <w:r w:rsidR="004B2456" w:rsidRPr="003F1AF9">
        <w:t xml:space="preserve"> of </w:t>
      </w:r>
      <w:r w:rsidRPr="003F1AF9">
        <w:t xml:space="preserve">the </w:t>
      </w:r>
      <w:r w:rsidR="004B2456" w:rsidRPr="003F1AF9">
        <w:t>heating (or cooling) energy the heat pump delivers to the electrical energy consumed by the heat pump.</w:t>
      </w:r>
      <w:r w:rsidR="0078120E">
        <w:t xml:space="preserve"> </w:t>
      </w:r>
      <w:r w:rsidR="004B2456" w:rsidRPr="003F1AF9">
        <w:t xml:space="preserve">COP normally refers to </w:t>
      </w:r>
      <w:r w:rsidRPr="003F1AF9">
        <w:rPr>
          <w:i/>
        </w:rPr>
        <w:t>instantaneous</w:t>
      </w:r>
      <w:r w:rsidRPr="003F1AF9">
        <w:t xml:space="preserve"> </w:t>
      </w:r>
      <w:r w:rsidRPr="003F1AF9">
        <w:rPr>
          <w:i/>
        </w:rPr>
        <w:t>performance</w:t>
      </w:r>
      <w:r w:rsidRPr="003F1AF9">
        <w:t xml:space="preserve"> at </w:t>
      </w:r>
      <w:r w:rsidR="004B2456" w:rsidRPr="003F1AF9">
        <w:t xml:space="preserve">a single </w:t>
      </w:r>
      <w:r w:rsidRPr="003F1AF9">
        <w:t>set of</w:t>
      </w:r>
      <w:r w:rsidR="00E52A1C" w:rsidRPr="003F1AF9">
        <w:t xml:space="preserve"> specified</w:t>
      </w:r>
      <w:r w:rsidRPr="003F1AF9">
        <w:t xml:space="preserve"> </w:t>
      </w:r>
      <w:r w:rsidR="004B2456" w:rsidRPr="003F1AF9">
        <w:t xml:space="preserve">operating </w:t>
      </w:r>
      <w:r w:rsidRPr="003F1AF9">
        <w:t xml:space="preserve">conditions, so it is not adequate </w:t>
      </w:r>
      <w:r w:rsidR="0039256A" w:rsidRPr="003F1AF9">
        <w:t>for estimating</w:t>
      </w:r>
      <w:r w:rsidRPr="003F1AF9">
        <w:t xml:space="preserve"> seasonal performance</w:t>
      </w:r>
      <w:r w:rsidR="0078120E">
        <w:t xml:space="preserve"> </w:t>
      </w:r>
      <w:r w:rsidR="0069015D" w:rsidRPr="003F1AF9">
        <w:t>(IEA HPT, Efficiency and Heat Pumps website)</w:t>
      </w:r>
      <w:r w:rsidR="00500F02">
        <w:t>.</w:t>
      </w:r>
    </w:p>
    <w:p w14:paraId="099255B4" w14:textId="1E411005" w:rsidR="00124FF2" w:rsidRPr="003F1AF9" w:rsidRDefault="00124FF2" w:rsidP="00D40639">
      <w:pPr>
        <w:pStyle w:val="ListParagraph"/>
        <w:numPr>
          <w:ilvl w:val="0"/>
          <w:numId w:val="13"/>
        </w:numPr>
        <w:spacing w:after="160"/>
        <w:contextualSpacing w:val="0"/>
      </w:pPr>
      <w:r w:rsidRPr="003F1AF9">
        <w:rPr>
          <w:b/>
        </w:rPr>
        <w:t>Energy Efficiency Ratio (EER)</w:t>
      </w:r>
      <w:r w:rsidRPr="003F1AF9">
        <w:t xml:space="preserve"> is a US variant of COP for space cooling.</w:t>
      </w:r>
      <w:r w:rsidR="0078120E">
        <w:t xml:space="preserve"> </w:t>
      </w:r>
      <w:r w:rsidRPr="003F1AF9">
        <w:t xml:space="preserve">EER is steady-state efficiency at 95F </w:t>
      </w:r>
      <w:r w:rsidR="00D21571" w:rsidRPr="003F1AF9">
        <w:t xml:space="preserve">(35C) </w:t>
      </w:r>
      <w:r w:rsidRPr="003F1AF9">
        <w:t xml:space="preserve">outdoor temperature and 80F </w:t>
      </w:r>
      <w:r w:rsidR="00D21571" w:rsidRPr="003F1AF9">
        <w:t xml:space="preserve">(27C) </w:t>
      </w:r>
      <w:r w:rsidRPr="003F1AF9">
        <w:t>indoor temperature</w:t>
      </w:r>
      <w:r w:rsidR="00F36F07" w:rsidRPr="003F1AF9">
        <w:t xml:space="preserve"> in units of BTU/</w:t>
      </w:r>
      <w:proofErr w:type="spellStart"/>
      <w:r w:rsidR="00F36F07" w:rsidRPr="003F1AF9">
        <w:t>Wh</w:t>
      </w:r>
      <w:proofErr w:type="spellEnd"/>
      <w:r w:rsidR="00F36F07" w:rsidRPr="003F1AF9">
        <w:t xml:space="preserve"> (so EER rating is 3.412 </w:t>
      </w:r>
      <w:r w:rsidR="00E52A1C" w:rsidRPr="003F1AF9">
        <w:t xml:space="preserve">times the </w:t>
      </w:r>
      <w:r w:rsidR="00F36F07" w:rsidRPr="003F1AF9">
        <w:t>COP rating at the same conditions).</w:t>
      </w:r>
      <w:r w:rsidR="0078120E">
        <w:t xml:space="preserve"> </w:t>
      </w:r>
      <w:r w:rsidR="00F36F07" w:rsidRPr="003F1AF9">
        <w:t>T</w:t>
      </w:r>
      <w:r w:rsidR="009A3D1C" w:rsidRPr="003F1AF9">
        <w:t xml:space="preserve">hough widely used in the past, EER </w:t>
      </w:r>
      <w:r w:rsidR="00D74228" w:rsidRPr="003F1AF9">
        <w:t>is not a good i</w:t>
      </w:r>
      <w:r w:rsidR="0069015D" w:rsidRPr="003F1AF9">
        <w:t>ndicator of seasonal performanc</w:t>
      </w:r>
      <w:r w:rsidR="0091270D" w:rsidRPr="003F1AF9">
        <w:t>e; as a single-point metric</w:t>
      </w:r>
      <w:r w:rsidR="00500F02">
        <w:t>,</w:t>
      </w:r>
      <w:r w:rsidR="0091270D" w:rsidRPr="003F1AF9">
        <w:t xml:space="preserve"> </w:t>
      </w:r>
      <w:r w:rsidR="00D74228" w:rsidRPr="003F1AF9">
        <w:t xml:space="preserve">EER ratings </w:t>
      </w:r>
      <w:r w:rsidR="009A3D1C" w:rsidRPr="003F1AF9">
        <w:t xml:space="preserve">do not correlate well with </w:t>
      </w:r>
      <w:r w:rsidR="00101F90" w:rsidRPr="003F1AF9">
        <w:t>experimentally</w:t>
      </w:r>
      <w:r w:rsidR="00500F02">
        <w:t xml:space="preserve"> </w:t>
      </w:r>
      <w:r w:rsidR="00D74228" w:rsidRPr="003F1AF9">
        <w:t xml:space="preserve">measured </w:t>
      </w:r>
      <w:r w:rsidR="009A3D1C" w:rsidRPr="003F1AF9">
        <w:t>seasonal efficiency</w:t>
      </w:r>
      <w:r w:rsidR="0039256A" w:rsidRPr="003F1AF9">
        <w:t xml:space="preserve"> which depends on part-load operation</w:t>
      </w:r>
      <w:r w:rsidR="0015647E" w:rsidRPr="003F1AF9">
        <w:t>, especially</w:t>
      </w:r>
      <w:r w:rsidR="009A3D1C" w:rsidRPr="003F1AF9">
        <w:t xml:space="preserve"> in temperate climates</w:t>
      </w:r>
      <w:r w:rsidR="0078120E">
        <w:t xml:space="preserve"> </w:t>
      </w:r>
      <w:r w:rsidR="00CF7F28" w:rsidRPr="003F1AF9">
        <w:t>(Fairey, 200</w:t>
      </w:r>
      <w:r w:rsidR="009A3D1C" w:rsidRPr="003F1AF9">
        <w:t>4)</w:t>
      </w:r>
      <w:r w:rsidR="00D74228" w:rsidRPr="003F1AF9">
        <w:t>.</w:t>
      </w:r>
      <w:r w:rsidR="0078120E">
        <w:t xml:space="preserve"> </w:t>
      </w:r>
      <w:r w:rsidR="0039256A" w:rsidRPr="003F1AF9">
        <w:t>Europe has used a dimensi</w:t>
      </w:r>
      <w:r w:rsidR="009E057B" w:rsidRPr="003F1AF9">
        <w:t>onless (</w:t>
      </w:r>
      <w:proofErr w:type="spellStart"/>
      <w:r w:rsidR="009E057B" w:rsidRPr="003F1AF9">
        <w:t>Wh</w:t>
      </w:r>
      <w:proofErr w:type="spellEnd"/>
      <w:r w:rsidR="009E057B" w:rsidRPr="003F1AF9">
        <w:t>/</w:t>
      </w:r>
      <w:proofErr w:type="spellStart"/>
      <w:r w:rsidR="009E057B" w:rsidRPr="003F1AF9">
        <w:t>Wh</w:t>
      </w:r>
      <w:proofErr w:type="spellEnd"/>
      <w:r w:rsidR="009E057B" w:rsidRPr="003F1AF9">
        <w:t>) version of EER in the past</w:t>
      </w:r>
      <w:r w:rsidR="00BD4434" w:rsidRPr="003F1AF9">
        <w:t>; this “EU EER” equals COP for the stated operating conditions</w:t>
      </w:r>
      <w:r w:rsidR="0078120E">
        <w:t xml:space="preserve"> </w:t>
      </w:r>
      <w:r w:rsidR="009E057B" w:rsidRPr="003F1AF9">
        <w:t>(</w:t>
      </w:r>
      <w:proofErr w:type="spellStart"/>
      <w:r w:rsidR="009E057B" w:rsidRPr="003F1AF9">
        <w:t>Lacourt</w:t>
      </w:r>
      <w:proofErr w:type="spellEnd"/>
      <w:r w:rsidR="009E057B" w:rsidRPr="003F1AF9">
        <w:t>, 2018)</w:t>
      </w:r>
      <w:r w:rsidR="00500F02">
        <w:t>.</w:t>
      </w:r>
    </w:p>
    <w:p w14:paraId="07DEC21A" w14:textId="463BAFE8" w:rsidR="0069015D" w:rsidRPr="003F1AF9" w:rsidRDefault="00760D80" w:rsidP="00D40639">
      <w:r w:rsidRPr="003F1AF9">
        <w:t>S</w:t>
      </w:r>
      <w:r w:rsidR="0069015D" w:rsidRPr="003F1AF9">
        <w:t>easonal performance</w:t>
      </w:r>
      <w:r w:rsidR="006E5C1A" w:rsidRPr="003F1AF9">
        <w:t xml:space="preserve"> metrics</w:t>
      </w:r>
      <w:r w:rsidR="00DE4061" w:rsidRPr="003F1AF9">
        <w:t xml:space="preserve">, which more accurately reflect </w:t>
      </w:r>
      <w:r w:rsidR="0015647E" w:rsidRPr="003F1AF9">
        <w:t>real-world</w:t>
      </w:r>
      <w:r w:rsidR="00DE4061" w:rsidRPr="003F1AF9">
        <w:t xml:space="preserve"> heat pump performance, </w:t>
      </w:r>
      <w:r w:rsidR="006E5C1A" w:rsidRPr="003F1AF9">
        <w:t>are</w:t>
      </w:r>
      <w:r w:rsidR="0091270D" w:rsidRPr="003F1AF9">
        <w:t xml:space="preserve"> </w:t>
      </w:r>
      <w:r w:rsidR="006E5C1A" w:rsidRPr="003F1AF9">
        <w:t>supplanting</w:t>
      </w:r>
      <w:r w:rsidR="0091270D" w:rsidRPr="003F1AF9">
        <w:t xml:space="preserve"> single-point metrics in heat pump rating</w:t>
      </w:r>
      <w:r w:rsidRPr="003F1AF9">
        <w:t>:</w:t>
      </w:r>
      <w:r w:rsidR="0078120E">
        <w:t xml:space="preserve"> </w:t>
      </w:r>
    </w:p>
    <w:p w14:paraId="7301300D" w14:textId="43CF09CF" w:rsidR="000E4C16" w:rsidRPr="003F1AF9" w:rsidRDefault="00D74228" w:rsidP="00D40639">
      <w:pPr>
        <w:pStyle w:val="ListParagraph"/>
        <w:numPr>
          <w:ilvl w:val="0"/>
          <w:numId w:val="13"/>
        </w:numPr>
        <w:spacing w:after="160"/>
        <w:contextualSpacing w:val="0"/>
      </w:pPr>
      <w:r w:rsidRPr="003F1AF9">
        <w:rPr>
          <w:b/>
        </w:rPr>
        <w:t xml:space="preserve">Seasonal Energy Efficiency </w:t>
      </w:r>
      <w:r w:rsidR="000E4C16" w:rsidRPr="003F1AF9">
        <w:rPr>
          <w:b/>
        </w:rPr>
        <w:t>Ratio (SEER)</w:t>
      </w:r>
      <w:r w:rsidR="000E4C16" w:rsidRPr="003F1AF9">
        <w:t xml:space="preserve"> is </w:t>
      </w:r>
      <w:r w:rsidR="006C2991" w:rsidRPr="003F1AF9">
        <w:t>the</w:t>
      </w:r>
      <w:r w:rsidR="000E4C16" w:rsidRPr="003F1AF9">
        <w:t xml:space="preserve"> metric </w:t>
      </w:r>
      <w:r w:rsidR="00CC732B" w:rsidRPr="003F1AF9">
        <w:t>for</w:t>
      </w:r>
      <w:r w:rsidR="000E4C16" w:rsidRPr="003F1AF9">
        <w:t xml:space="preserve"> seasonal cooling performance</w:t>
      </w:r>
      <w:r w:rsidR="00500F02">
        <w:t>:</w:t>
      </w:r>
      <w:r w:rsidR="000E4C16" w:rsidRPr="003F1AF9">
        <w:t xml:space="preserve"> the total heat removed from </w:t>
      </w:r>
      <w:r w:rsidR="00CC732B" w:rsidRPr="003F1AF9">
        <w:t>the</w:t>
      </w:r>
      <w:r w:rsidR="000E4C16" w:rsidRPr="003F1AF9">
        <w:t xml:space="preserve"> conditioned space during the annual cooling season</w:t>
      </w:r>
      <w:r w:rsidR="00CC732B" w:rsidRPr="003F1AF9">
        <w:t xml:space="preserve"> </w:t>
      </w:r>
      <w:r w:rsidR="000E4C16" w:rsidRPr="003F1AF9">
        <w:t>divided by the total electrical energy consumed by the air conditioner or heat pump</w:t>
      </w:r>
      <w:r w:rsidR="0097265D" w:rsidRPr="003F1AF9">
        <w:t xml:space="preserve"> (including all pumps, fans, controls, etc.)</w:t>
      </w:r>
      <w:r w:rsidR="00CC732B" w:rsidRPr="003F1AF9">
        <w:t>.</w:t>
      </w:r>
      <w:r w:rsidR="0078120E">
        <w:t xml:space="preserve"> </w:t>
      </w:r>
      <w:r w:rsidR="00CC732B" w:rsidRPr="003F1AF9">
        <w:t xml:space="preserve">SEER comes closer to </w:t>
      </w:r>
      <w:r w:rsidR="00217337" w:rsidRPr="003F1AF9">
        <w:t>estimating</w:t>
      </w:r>
      <w:r w:rsidR="00BD4434" w:rsidRPr="003F1AF9">
        <w:t xml:space="preserve"> </w:t>
      </w:r>
      <w:r w:rsidR="00217337" w:rsidRPr="003F1AF9">
        <w:t>actual seasonal performance by</w:t>
      </w:r>
      <w:r w:rsidR="00CC732B" w:rsidRPr="003F1AF9">
        <w:t xml:space="preserve"> weighting performance </w:t>
      </w:r>
      <w:r w:rsidR="00A8420B" w:rsidRPr="003F1AF9">
        <w:t>across</w:t>
      </w:r>
      <w:r w:rsidR="00CC732B" w:rsidRPr="003F1AF9">
        <w:t xml:space="preserve"> multiple</w:t>
      </w:r>
      <w:r w:rsidR="00A8420B" w:rsidRPr="003F1AF9">
        <w:t xml:space="preserve"> outdoor</w:t>
      </w:r>
      <w:r w:rsidR="00CC732B" w:rsidRPr="003F1AF9">
        <w:t xml:space="preserve"> temperature</w:t>
      </w:r>
      <w:r w:rsidR="00A8420B" w:rsidRPr="003F1AF9">
        <w:t xml:space="preserve"> bin</w:t>
      </w:r>
      <w:r w:rsidR="00CC732B" w:rsidRPr="003F1AF9">
        <w:t>s and incorporating part-load effects</w:t>
      </w:r>
      <w:r w:rsidR="00A8420B" w:rsidRPr="003F1AF9">
        <w:t xml:space="preserve"> and other factors</w:t>
      </w:r>
      <w:r w:rsidR="00CC732B" w:rsidRPr="003F1AF9">
        <w:t xml:space="preserve"> (AHRI, 2008).</w:t>
      </w:r>
      <w:r w:rsidR="0078120E">
        <w:t xml:space="preserve"> </w:t>
      </w:r>
      <w:r w:rsidR="00CC732B" w:rsidRPr="003F1AF9">
        <w:t>In the US</w:t>
      </w:r>
      <w:r w:rsidR="00500F02">
        <w:t>,</w:t>
      </w:r>
      <w:r w:rsidR="00CC732B" w:rsidRPr="003F1AF9">
        <w:t xml:space="preserve"> SEER is expressed in BTU/</w:t>
      </w:r>
      <w:proofErr w:type="spellStart"/>
      <w:r w:rsidR="00CC732B" w:rsidRPr="003F1AF9">
        <w:t>Wh</w:t>
      </w:r>
      <w:proofErr w:type="spellEnd"/>
      <w:r w:rsidR="00CC732B" w:rsidRPr="003F1AF9">
        <w:t>, codified into law</w:t>
      </w:r>
      <w:r w:rsidR="000E4C16" w:rsidRPr="003F1AF9">
        <w:t xml:space="preserve"> (10 Code of Federal Regulations (CFR) § 430.B, App. M, 2018)</w:t>
      </w:r>
      <w:r w:rsidR="00CC732B" w:rsidRPr="003F1AF9">
        <w:t xml:space="preserve">, and used as the basis for ENERGY STAR space cooling equipment </w:t>
      </w:r>
      <w:r w:rsidR="00BD4434" w:rsidRPr="003F1AF9">
        <w:t>rating</w:t>
      </w:r>
      <w:r w:rsidR="00CC732B" w:rsidRPr="003F1AF9">
        <w:t>.</w:t>
      </w:r>
      <w:r w:rsidR="0078120E">
        <w:t xml:space="preserve"> </w:t>
      </w:r>
      <w:r w:rsidR="00B46C1C" w:rsidRPr="003F1AF9">
        <w:t xml:space="preserve">Though </w:t>
      </w:r>
      <w:r w:rsidR="00757DA6" w:rsidRPr="003F1AF9">
        <w:t xml:space="preserve">US </w:t>
      </w:r>
      <w:r w:rsidR="00B46C1C" w:rsidRPr="003F1AF9">
        <w:t>SEER</w:t>
      </w:r>
      <w:r w:rsidR="00A8420B" w:rsidRPr="003F1AF9">
        <w:t xml:space="preserve"> ratings in principle</w:t>
      </w:r>
      <w:r w:rsidR="00217337" w:rsidRPr="003F1AF9">
        <w:t xml:space="preserve"> can</w:t>
      </w:r>
      <w:r w:rsidR="00B46C1C" w:rsidRPr="003F1AF9">
        <w:t xml:space="preserve"> be calculated for any location, </w:t>
      </w:r>
      <w:r w:rsidR="00CC732B" w:rsidRPr="003F1AF9">
        <w:t xml:space="preserve">US </w:t>
      </w:r>
      <w:r w:rsidR="00B46C1C" w:rsidRPr="003F1AF9">
        <w:t>published</w:t>
      </w:r>
      <w:r w:rsidR="006C2991" w:rsidRPr="003F1AF9">
        <w:t xml:space="preserve"> </w:t>
      </w:r>
      <w:r w:rsidR="00B46C1C" w:rsidRPr="003F1AF9">
        <w:t>ratings usually reflect only US Climate Region IV performance.</w:t>
      </w:r>
      <w:r w:rsidR="0078120E">
        <w:t xml:space="preserve"> </w:t>
      </w:r>
      <w:r w:rsidR="00B46C1C" w:rsidRPr="003F1AF9">
        <w:t xml:space="preserve">Region IV, which includes New York City and Seattle, is </w:t>
      </w:r>
      <w:r w:rsidR="00757DA6" w:rsidRPr="003F1AF9">
        <w:t>representative</w:t>
      </w:r>
      <w:r w:rsidR="00B46C1C" w:rsidRPr="003F1AF9">
        <w:t xml:space="preserve"> of temperate locations, but doesn’t accurately </w:t>
      </w:r>
      <w:r w:rsidR="00B46C1C" w:rsidRPr="003F1AF9">
        <w:lastRenderedPageBreak/>
        <w:t>portray heat pump performance in very cold or hot humid locations</w:t>
      </w:r>
      <w:r w:rsidR="0078120E">
        <w:t xml:space="preserve"> </w:t>
      </w:r>
      <w:r w:rsidR="00CF7F28" w:rsidRPr="003F1AF9">
        <w:t>(Fairey, 2004)</w:t>
      </w:r>
      <w:r w:rsidR="00CC732B" w:rsidRPr="003F1AF9">
        <w:t>.</w:t>
      </w:r>
      <w:r w:rsidR="0078120E">
        <w:t xml:space="preserve"> </w:t>
      </w:r>
      <w:r w:rsidR="00CC732B" w:rsidRPr="003F1AF9">
        <w:t xml:space="preserve">Europe has a similar </w:t>
      </w:r>
      <w:r w:rsidR="00A8420B" w:rsidRPr="003F1AF9">
        <w:t xml:space="preserve">SEER </w:t>
      </w:r>
      <w:r w:rsidR="00CC732B" w:rsidRPr="003F1AF9">
        <w:t>system</w:t>
      </w:r>
      <w:r w:rsidR="00A8420B" w:rsidRPr="003F1AF9">
        <w:t xml:space="preserve"> </w:t>
      </w:r>
      <w:r w:rsidR="003139F5" w:rsidRPr="003F1AF9">
        <w:t>(</w:t>
      </w:r>
      <w:r w:rsidR="00372A66" w:rsidRPr="003F1AF9">
        <w:t xml:space="preserve">here labeled </w:t>
      </w:r>
      <w:r w:rsidR="003139F5" w:rsidRPr="003F1AF9">
        <w:t xml:space="preserve">“EU SEER” to distinguish from US SEER ratings) </w:t>
      </w:r>
      <w:r w:rsidR="00A8420B" w:rsidRPr="003F1AF9">
        <w:t>with two main differences:</w:t>
      </w:r>
      <w:r w:rsidR="0078120E">
        <w:t xml:space="preserve"> </w:t>
      </w:r>
      <w:r w:rsidR="00757DA6" w:rsidRPr="003F1AF9">
        <w:t>EU SEER ratings are dimensionless (</w:t>
      </w:r>
      <w:proofErr w:type="spellStart"/>
      <w:r w:rsidR="00757DA6" w:rsidRPr="003F1AF9">
        <w:t>Wh</w:t>
      </w:r>
      <w:proofErr w:type="spellEnd"/>
      <w:r w:rsidR="003139F5" w:rsidRPr="003F1AF9">
        <w:t>/</w:t>
      </w:r>
      <w:proofErr w:type="spellStart"/>
      <w:r w:rsidR="00757DA6" w:rsidRPr="003F1AF9">
        <w:t>Wh</w:t>
      </w:r>
      <w:proofErr w:type="spellEnd"/>
      <w:r w:rsidR="00757DA6" w:rsidRPr="003F1AF9">
        <w:t xml:space="preserve">); </w:t>
      </w:r>
      <w:r w:rsidR="00430711" w:rsidRPr="003F1AF9">
        <w:t>additionally,</w:t>
      </w:r>
      <w:r w:rsidR="00757DA6" w:rsidRPr="003F1AF9">
        <w:t xml:space="preserve"> EU </w:t>
      </w:r>
      <w:r w:rsidR="003139F5" w:rsidRPr="003F1AF9">
        <w:t xml:space="preserve">SEER </w:t>
      </w:r>
      <w:r w:rsidR="00757DA6" w:rsidRPr="003F1AF9">
        <w:t xml:space="preserve">uses </w:t>
      </w:r>
      <w:r w:rsidR="00A8420B" w:rsidRPr="003F1AF9">
        <w:t xml:space="preserve">different temperature bins and </w:t>
      </w:r>
      <w:r w:rsidR="00562604" w:rsidRPr="003F1AF9">
        <w:t xml:space="preserve">calculation </w:t>
      </w:r>
      <w:r w:rsidR="00A8420B" w:rsidRPr="003F1AF9">
        <w:t>procedures</w:t>
      </w:r>
      <w:r w:rsidR="0097265D" w:rsidRPr="003F1AF9">
        <w:t xml:space="preserve"> (EN 14825)</w:t>
      </w:r>
      <w:r w:rsidR="00A8420B" w:rsidRPr="003F1AF9">
        <w:t xml:space="preserve">, so </w:t>
      </w:r>
      <w:r w:rsidR="00757DA6" w:rsidRPr="003F1AF9">
        <w:t xml:space="preserve">that </w:t>
      </w:r>
      <w:r w:rsidR="003139F5" w:rsidRPr="003F1AF9">
        <w:t>EU</w:t>
      </w:r>
      <w:r w:rsidR="00A8420B" w:rsidRPr="003F1AF9">
        <w:t xml:space="preserve"> SEER ratings are</w:t>
      </w:r>
      <w:r w:rsidR="00757DA6" w:rsidRPr="003F1AF9">
        <w:t xml:space="preserve"> not exactly convertible to US SEER ratings simply by dividing by 3.412.</w:t>
      </w:r>
      <w:r w:rsidR="0078120E">
        <w:t xml:space="preserve"> </w:t>
      </w:r>
      <w:r w:rsidR="003139F5" w:rsidRPr="003F1AF9">
        <w:t>The European Union classifies air conditioners and</w:t>
      </w:r>
      <w:r w:rsidR="00372A66" w:rsidRPr="003F1AF9">
        <w:t xml:space="preserve"> heat pumps based on EU SEER; i</w:t>
      </w:r>
      <w:r w:rsidR="003139F5" w:rsidRPr="003F1AF9">
        <w:t>t is gradually imposing minimum energy efficiency standards based on EU SEER</w:t>
      </w:r>
      <w:r w:rsidR="00BD4434" w:rsidRPr="003F1AF9">
        <w:t xml:space="preserve"> ratings</w:t>
      </w:r>
      <w:r w:rsidR="0078120E">
        <w:t xml:space="preserve"> </w:t>
      </w:r>
      <w:r w:rsidR="003139F5" w:rsidRPr="003F1AF9">
        <w:t>(</w:t>
      </w:r>
      <w:proofErr w:type="spellStart"/>
      <w:r w:rsidR="003139F5" w:rsidRPr="003F1AF9">
        <w:t>Lacourt</w:t>
      </w:r>
      <w:proofErr w:type="spellEnd"/>
      <w:r w:rsidR="003139F5" w:rsidRPr="003F1AF9">
        <w:t xml:space="preserve">, 2014; </w:t>
      </w:r>
      <w:proofErr w:type="spellStart"/>
      <w:r w:rsidR="003139F5" w:rsidRPr="003F1AF9">
        <w:t>Lacourt</w:t>
      </w:r>
      <w:proofErr w:type="spellEnd"/>
      <w:r w:rsidR="003139F5" w:rsidRPr="003F1AF9">
        <w:t>, 2018)</w:t>
      </w:r>
      <w:r w:rsidR="00500F02">
        <w:t>.</w:t>
      </w:r>
      <w:r w:rsidR="0078120E">
        <w:t xml:space="preserve"> </w:t>
      </w:r>
      <w:r w:rsidR="00DB1467" w:rsidRPr="003F1AF9">
        <w:t>Overall, with caveats recognized, SEER provides a reasonably accurate estimate for heat pump season</w:t>
      </w:r>
      <w:r w:rsidR="007626AD" w:rsidRPr="003F1AF9">
        <w:t>al cooling</w:t>
      </w:r>
      <w:r w:rsidR="00DB1467" w:rsidRPr="003F1AF9">
        <w:t xml:space="preserve"> performance.</w:t>
      </w:r>
      <w:r w:rsidR="0078120E">
        <w:t xml:space="preserve"> </w:t>
      </w:r>
    </w:p>
    <w:p w14:paraId="43FED91C" w14:textId="49209E44" w:rsidR="00D74228" w:rsidRPr="003F1AF9" w:rsidRDefault="00A60EEE" w:rsidP="00D40639">
      <w:pPr>
        <w:pStyle w:val="ListParagraph"/>
        <w:numPr>
          <w:ilvl w:val="0"/>
          <w:numId w:val="13"/>
        </w:numPr>
        <w:spacing w:after="160"/>
        <w:contextualSpacing w:val="0"/>
      </w:pPr>
      <w:r w:rsidRPr="003F1AF9">
        <w:rPr>
          <w:b/>
        </w:rPr>
        <w:t>Heating Seasonal Performance Factor (HSPF)</w:t>
      </w:r>
      <w:r w:rsidRPr="003F1AF9">
        <w:t>, analogous to SEER, is</w:t>
      </w:r>
      <w:r w:rsidR="00CF4EE5" w:rsidRPr="003F1AF9">
        <w:t xml:space="preserve"> the</w:t>
      </w:r>
      <w:r w:rsidRPr="003F1AF9">
        <w:t xml:space="preserve"> US metric for seasonal heating performance</w:t>
      </w:r>
      <w:r w:rsidR="00500F02">
        <w:t xml:space="preserve"> and is</w:t>
      </w:r>
      <w:r w:rsidRPr="003F1AF9">
        <w:t xml:space="preserve"> the t</w:t>
      </w:r>
      <w:r w:rsidR="00CF4EE5" w:rsidRPr="003F1AF9">
        <w:t>otal space heating provided in R</w:t>
      </w:r>
      <w:r w:rsidRPr="003F1AF9">
        <w:t xml:space="preserve">egion IV during the space </w:t>
      </w:r>
      <w:r w:rsidR="00CF4EE5" w:rsidRPr="003F1AF9">
        <w:t>heating season, expressed in BTU</w:t>
      </w:r>
      <w:r w:rsidRPr="003F1AF9">
        <w:t xml:space="preserve">, divided by the total electrical energy consumed by the heat pump system during the same season, expressed in </w:t>
      </w:r>
      <w:r w:rsidR="00CF4EE5" w:rsidRPr="003F1AF9">
        <w:t>Wh.</w:t>
      </w:r>
      <w:r w:rsidR="0078120E">
        <w:t xml:space="preserve"> </w:t>
      </w:r>
      <w:r w:rsidR="00CF4EE5" w:rsidRPr="003F1AF9">
        <w:t>Like SEER, HSPF has been codified into law (10 Code of Federal Regulations (CFR) § 430.B, App. M, 2018), and used as the basis for ENERGY STAR space heating equipment rating.</w:t>
      </w:r>
      <w:r w:rsidR="0078120E">
        <w:t xml:space="preserve"> </w:t>
      </w:r>
      <w:r w:rsidR="00372A66" w:rsidRPr="003F1AF9">
        <w:t xml:space="preserve">Europe uses a similar metric, </w:t>
      </w:r>
      <w:r w:rsidR="00372A66" w:rsidRPr="003F1AF9">
        <w:rPr>
          <w:b/>
        </w:rPr>
        <w:t>Seasonal Coefficient of Performance (SCOP)</w:t>
      </w:r>
      <w:r w:rsidR="00372A66" w:rsidRPr="003F1AF9">
        <w:t xml:space="preserve">, expressed in </w:t>
      </w:r>
      <w:proofErr w:type="spellStart"/>
      <w:r w:rsidR="00372A66" w:rsidRPr="003F1AF9">
        <w:t>Wh</w:t>
      </w:r>
      <w:proofErr w:type="spellEnd"/>
      <w:r w:rsidR="00372A66" w:rsidRPr="003F1AF9">
        <w:t>/</w:t>
      </w:r>
      <w:proofErr w:type="spellStart"/>
      <w:r w:rsidR="00372A66" w:rsidRPr="003F1AF9">
        <w:t>Wh</w:t>
      </w:r>
      <w:proofErr w:type="spellEnd"/>
      <w:r w:rsidR="00372A66" w:rsidRPr="003F1AF9">
        <w:t>, to measure heating seasonal performance.</w:t>
      </w:r>
      <w:r w:rsidR="0078120E">
        <w:t xml:space="preserve"> </w:t>
      </w:r>
      <w:r w:rsidR="0097265D" w:rsidRPr="003F1AF9">
        <w:t>Like EU SEER, SCOP calculation</w:t>
      </w:r>
      <w:r w:rsidR="00500F02">
        <w:t>s</w:t>
      </w:r>
      <w:r w:rsidR="007626AD" w:rsidRPr="003F1AF9">
        <w:t xml:space="preserve"> </w:t>
      </w:r>
      <w:r w:rsidR="00500F02">
        <w:t>are</w:t>
      </w:r>
      <w:r w:rsidR="007626AD" w:rsidRPr="003F1AF9">
        <w:t xml:space="preserve"> based on EN 14825.</w:t>
      </w:r>
      <w:r w:rsidR="0078120E">
        <w:t xml:space="preserve"> </w:t>
      </w:r>
      <w:r w:rsidR="007626AD" w:rsidRPr="003F1AF9">
        <w:t>And like SEER, HSPF and SCOP provide a reasonably accurate estimate for heat pump seasonal heating performance.</w:t>
      </w:r>
      <w:r w:rsidR="0078120E">
        <w:t xml:space="preserve"> </w:t>
      </w:r>
    </w:p>
    <w:p w14:paraId="19E2D525" w14:textId="75561AF4" w:rsidR="00CF4EE5" w:rsidRPr="003F1AF9" w:rsidRDefault="008E08A7" w:rsidP="00D40639">
      <w:pPr>
        <w:spacing w:after="160"/>
      </w:pPr>
      <w:r w:rsidRPr="003F1AF9">
        <w:t>This report adopts</w:t>
      </w:r>
      <w:r w:rsidR="0091270D" w:rsidRPr="003F1AF9">
        <w:t xml:space="preserve"> </w:t>
      </w:r>
      <w:r w:rsidR="00DE4061" w:rsidRPr="003F1AF9">
        <w:t xml:space="preserve">the following </w:t>
      </w:r>
      <w:r w:rsidR="0091270D" w:rsidRPr="003F1AF9">
        <w:t>dimensionless ratios</w:t>
      </w:r>
      <w:r w:rsidR="00217337" w:rsidRPr="003F1AF9">
        <w:t xml:space="preserve"> to characterize heat pump seasonal performance</w:t>
      </w:r>
      <w:r w:rsidR="00DE4061" w:rsidRPr="003F1AF9">
        <w:t>, essentially adopting European practice (noting other metrics when needed):</w:t>
      </w:r>
      <w:r w:rsidR="0078120E">
        <w:t xml:space="preserve"> </w:t>
      </w:r>
    </w:p>
    <w:p w14:paraId="585EA1E7" w14:textId="6F8EA7E3" w:rsidR="00DE4061" w:rsidRPr="003F1AF9" w:rsidRDefault="00DE4061" w:rsidP="00D40639">
      <w:pPr>
        <w:pStyle w:val="ListParagraph"/>
        <w:numPr>
          <w:ilvl w:val="0"/>
          <w:numId w:val="13"/>
        </w:numPr>
        <w:spacing w:after="160"/>
        <w:contextualSpacing w:val="0"/>
      </w:pPr>
      <w:r w:rsidRPr="003F1AF9">
        <w:rPr>
          <w:b/>
        </w:rPr>
        <w:t>Heating seasonal performance</w:t>
      </w:r>
      <w:r w:rsidR="00217337" w:rsidRPr="003F1AF9">
        <w:rPr>
          <w:b/>
        </w:rPr>
        <w:t xml:space="preserve"> measure</w:t>
      </w:r>
      <w:r w:rsidRPr="003F1AF9">
        <w:rPr>
          <w:b/>
        </w:rPr>
        <w:t>:</w:t>
      </w:r>
      <w:r w:rsidR="0078120E">
        <w:rPr>
          <w:b/>
        </w:rPr>
        <w:t xml:space="preserve"> </w:t>
      </w:r>
      <w:r w:rsidRPr="003F1AF9">
        <w:rPr>
          <w:b/>
        </w:rPr>
        <w:t>SCOP (</w:t>
      </w:r>
      <w:proofErr w:type="spellStart"/>
      <w:r w:rsidRPr="003F1AF9">
        <w:rPr>
          <w:b/>
        </w:rPr>
        <w:t>Wh</w:t>
      </w:r>
      <w:proofErr w:type="spellEnd"/>
      <w:r w:rsidRPr="003F1AF9">
        <w:rPr>
          <w:b/>
        </w:rPr>
        <w:t>/</w:t>
      </w:r>
      <w:proofErr w:type="spellStart"/>
      <w:r w:rsidRPr="003F1AF9">
        <w:rPr>
          <w:b/>
        </w:rPr>
        <w:t>Wh</w:t>
      </w:r>
      <w:proofErr w:type="spellEnd"/>
      <w:r w:rsidRPr="003F1AF9">
        <w:rPr>
          <w:b/>
        </w:rPr>
        <w:t>)</w:t>
      </w:r>
    </w:p>
    <w:p w14:paraId="2F8085DE" w14:textId="72BB2E6F" w:rsidR="007D515A" w:rsidRPr="003F1AF9" w:rsidRDefault="00DE4061" w:rsidP="000A73E5">
      <w:pPr>
        <w:pStyle w:val="ListParagraph"/>
        <w:numPr>
          <w:ilvl w:val="0"/>
          <w:numId w:val="13"/>
        </w:numPr>
        <w:spacing w:after="160"/>
        <w:contextualSpacing w:val="0"/>
      </w:pPr>
      <w:r w:rsidRPr="003F1AF9">
        <w:rPr>
          <w:b/>
        </w:rPr>
        <w:t>Cooling seasonal performance</w:t>
      </w:r>
      <w:r w:rsidR="00217337" w:rsidRPr="003F1AF9">
        <w:rPr>
          <w:b/>
        </w:rPr>
        <w:t xml:space="preserve"> measure</w:t>
      </w:r>
      <w:r w:rsidRPr="003F1AF9">
        <w:rPr>
          <w:b/>
        </w:rPr>
        <w:t>:</w:t>
      </w:r>
      <w:r w:rsidR="0078120E">
        <w:rPr>
          <w:b/>
        </w:rPr>
        <w:t xml:space="preserve"> </w:t>
      </w:r>
      <w:r w:rsidRPr="003F1AF9">
        <w:rPr>
          <w:b/>
        </w:rPr>
        <w:t>SEER (</w:t>
      </w:r>
      <w:proofErr w:type="spellStart"/>
      <w:r w:rsidRPr="003F1AF9">
        <w:rPr>
          <w:b/>
        </w:rPr>
        <w:t>Wh</w:t>
      </w:r>
      <w:proofErr w:type="spellEnd"/>
      <w:r w:rsidRPr="003F1AF9">
        <w:rPr>
          <w:b/>
        </w:rPr>
        <w:t>/</w:t>
      </w:r>
      <w:proofErr w:type="spellStart"/>
      <w:r w:rsidRPr="003F1AF9">
        <w:rPr>
          <w:b/>
        </w:rPr>
        <w:t>Wh</w:t>
      </w:r>
      <w:proofErr w:type="spellEnd"/>
      <w:r w:rsidRPr="003F1AF9">
        <w:rPr>
          <w:b/>
        </w:rPr>
        <w:t>)</w:t>
      </w:r>
    </w:p>
    <w:p w14:paraId="53AE1F42" w14:textId="0CD7B255" w:rsidR="00334199" w:rsidRPr="003F1AF9" w:rsidRDefault="00334199"/>
    <w:p w14:paraId="56B6B146" w14:textId="727F2921" w:rsidR="00334199" w:rsidRPr="003F1AF9" w:rsidRDefault="00334199" w:rsidP="00334199">
      <w:pPr>
        <w:pStyle w:val="Heading3"/>
      </w:pPr>
      <w:bookmarkStart w:id="60" w:name="_Toc42289704"/>
      <w:r w:rsidRPr="003F1AF9">
        <w:t>What is a high-efficiency heat pump and how can it reduce GHG emissions?</w:t>
      </w:r>
      <w:bookmarkEnd w:id="60"/>
      <w:r w:rsidR="0078120E">
        <w:t xml:space="preserve"> </w:t>
      </w:r>
    </w:p>
    <w:p w14:paraId="032DADBE" w14:textId="7808EB79" w:rsidR="00262802" w:rsidRPr="003F1AF9" w:rsidRDefault="00262802" w:rsidP="00262802">
      <w:r w:rsidRPr="003F1AF9">
        <w:t>This report characterizes heat pumps as “high efficiency” when:</w:t>
      </w:r>
      <w:r w:rsidR="0078120E">
        <w:t xml:space="preserve"> </w:t>
      </w:r>
    </w:p>
    <w:p w14:paraId="0A6EFA1D" w14:textId="3E2FF0BE" w:rsidR="00262802" w:rsidRPr="003F1AF9" w:rsidRDefault="00262802" w:rsidP="00262802">
      <w:pPr>
        <w:pStyle w:val="ListParagraph"/>
        <w:numPr>
          <w:ilvl w:val="0"/>
          <w:numId w:val="14"/>
        </w:numPr>
      </w:pPr>
      <w:r w:rsidRPr="003F1AF9">
        <w:t>Efficiency is sufficiently superior to “market average” heat pumps to yield substantial energy savings and corresponding GHG emissions reductions over market average units.</w:t>
      </w:r>
      <w:r w:rsidR="0078120E">
        <w:t xml:space="preserve"> </w:t>
      </w:r>
    </w:p>
    <w:p w14:paraId="5E7DE4D5" w14:textId="6280D1D8" w:rsidR="00262802" w:rsidRPr="003F1AF9" w:rsidRDefault="00262802" w:rsidP="00262802">
      <w:pPr>
        <w:pStyle w:val="ListParagraph"/>
        <w:numPr>
          <w:ilvl w:val="0"/>
          <w:numId w:val="14"/>
        </w:numPr>
      </w:pPr>
      <w:r w:rsidRPr="003F1AF9">
        <w:t>Existing market presence is sufficient to ensure that large-scale implementation is technically feasible and economically practical.</w:t>
      </w:r>
      <w:r w:rsidR="0078120E">
        <w:t xml:space="preserve"> </w:t>
      </w:r>
    </w:p>
    <w:p w14:paraId="0E24BABD" w14:textId="746BEA81" w:rsidR="00262802" w:rsidRPr="003F1AF9" w:rsidRDefault="00532271" w:rsidP="00FC451C">
      <w:pPr>
        <w:pStyle w:val="Heading4"/>
      </w:pPr>
      <w:r w:rsidRPr="003F1AF9">
        <w:lastRenderedPageBreak/>
        <w:t>Sp</w:t>
      </w:r>
      <w:r w:rsidR="00262802" w:rsidRPr="003F1AF9">
        <w:t>ace Heating HEHP SCOP</w:t>
      </w:r>
    </w:p>
    <w:p w14:paraId="2F64CD2C" w14:textId="3DA62888" w:rsidR="00532271" w:rsidRPr="003F1AF9" w:rsidRDefault="00532271" w:rsidP="00532271">
      <w:r w:rsidRPr="003F1AF9">
        <w:t xml:space="preserve">Based on these criteria </w:t>
      </w:r>
      <w:r w:rsidR="00262802" w:rsidRPr="003F1AF9">
        <w:t>for space heating</w:t>
      </w:r>
      <w:r w:rsidR="00500F02">
        <w:t>,</w:t>
      </w:r>
      <w:r w:rsidR="00262802" w:rsidRPr="003F1AF9">
        <w:t xml:space="preserve"> a </w:t>
      </w:r>
      <w:r w:rsidRPr="003F1AF9">
        <w:t xml:space="preserve">high-efficiency heat pump is defined </w:t>
      </w:r>
      <w:r w:rsidR="009D698B" w:rsidRPr="003F1AF9">
        <w:t xml:space="preserve">as </w:t>
      </w:r>
      <w:r w:rsidR="00262802" w:rsidRPr="003F1AF9">
        <w:t>having</w:t>
      </w:r>
      <w:r w:rsidRPr="003F1AF9">
        <w:t xml:space="preserve"> seasonal coefficient of performance SCOP of 3.5 </w:t>
      </w:r>
      <w:proofErr w:type="spellStart"/>
      <w:r w:rsidRPr="003F1AF9">
        <w:t>Wh</w:t>
      </w:r>
      <w:proofErr w:type="spellEnd"/>
      <w:r w:rsidRPr="003F1AF9">
        <w:t>/</w:t>
      </w:r>
      <w:proofErr w:type="spellStart"/>
      <w:r w:rsidRPr="003F1AF9">
        <w:t>Wh</w:t>
      </w:r>
      <w:proofErr w:type="spellEnd"/>
      <w:r w:rsidR="00262802" w:rsidRPr="003F1AF9">
        <w:t xml:space="preserve"> or greater:</w:t>
      </w:r>
      <w:r w:rsidR="0078120E">
        <w:t xml:space="preserve"> </w:t>
      </w:r>
      <w:r w:rsidR="00500F02">
        <w:t>o</w:t>
      </w:r>
      <w:r w:rsidR="00262802" w:rsidRPr="003F1AF9">
        <w:t xml:space="preserve">n a seasonal average basis it delivers 3.5 </w:t>
      </w:r>
      <w:proofErr w:type="spellStart"/>
      <w:r w:rsidR="00262802" w:rsidRPr="003F1AF9">
        <w:t>Wh</w:t>
      </w:r>
      <w:proofErr w:type="spellEnd"/>
      <w:r w:rsidR="00262802" w:rsidRPr="003F1AF9">
        <w:t xml:space="preserve"> of heat for every 1 </w:t>
      </w:r>
      <w:proofErr w:type="spellStart"/>
      <w:r w:rsidR="00262802" w:rsidRPr="003F1AF9">
        <w:t>Wh</w:t>
      </w:r>
      <w:proofErr w:type="spellEnd"/>
      <w:r w:rsidR="00262802" w:rsidRPr="003F1AF9">
        <w:t xml:space="preserve"> of electricity </w:t>
      </w:r>
      <w:r w:rsidR="007007DD" w:rsidRPr="003F1AF9">
        <w:t>consumed</w:t>
      </w:r>
      <w:r w:rsidR="00262802" w:rsidRPr="003F1AF9">
        <w:t>.</w:t>
      </w:r>
      <w:r w:rsidR="0078120E">
        <w:t xml:space="preserve"> </w:t>
      </w:r>
      <w:r w:rsidRPr="003F1AF9">
        <w:t>This equates to US H</w:t>
      </w:r>
      <w:r w:rsidR="00262802" w:rsidRPr="003F1AF9">
        <w:t>SPF of approximately 12 BTU/Wh</w:t>
      </w:r>
      <w:r w:rsidRPr="003F1AF9">
        <w:t>.</w:t>
      </w:r>
      <w:r w:rsidR="0078120E">
        <w:t xml:space="preserve"> </w:t>
      </w:r>
    </w:p>
    <w:p w14:paraId="491FD0E6" w14:textId="2D29B54A" w:rsidR="00532271" w:rsidRPr="003F1AF9" w:rsidRDefault="00262802" w:rsidP="00532271">
      <w:r w:rsidRPr="003F1AF9">
        <w:t>Table 1.1</w:t>
      </w:r>
      <w:r w:rsidR="00532271" w:rsidRPr="003F1AF9">
        <w:t xml:space="preserve"> provides heating seasonal SCOP data for a wide range of heat pump types and sizes worldwide.</w:t>
      </w:r>
      <w:r w:rsidR="0078120E">
        <w:t xml:space="preserve"> </w:t>
      </w:r>
      <w:r w:rsidR="00532271" w:rsidRPr="003F1AF9">
        <w:t xml:space="preserve">As </w:t>
      </w:r>
      <w:r w:rsidRPr="003F1AF9">
        <w:t>the table</w:t>
      </w:r>
      <w:r w:rsidR="00532271" w:rsidRPr="003F1AF9">
        <w:t xml:space="preserve"> illustrates, “average” heat pump SCOPs range from about 2 to 3.</w:t>
      </w:r>
      <w:r w:rsidR="0078120E">
        <w:t xml:space="preserve"> </w:t>
      </w:r>
      <w:r w:rsidR="00532271" w:rsidRPr="003F1AF9">
        <w:t>Minimum efficiency requirements for new heat pumps, and for heat pumps to receive renewable energy incentives, range from 3.0 to 3.5.</w:t>
      </w:r>
      <w:r w:rsidR="0078120E">
        <w:t xml:space="preserve"> </w:t>
      </w:r>
      <w:r w:rsidR="00532271" w:rsidRPr="003F1AF9">
        <w:t>The “most efficient” air-source heat pumps achieve SCOP ratings of 4.0.</w:t>
      </w:r>
      <w:r w:rsidR="0078120E">
        <w:t xml:space="preserve"> </w:t>
      </w:r>
      <w:r w:rsidR="00532271" w:rsidRPr="003F1AF9">
        <w:t xml:space="preserve">Ground source heat pumps, both closed and open loop, both water-air and water-water, have SCOP ratings of 3.6 to 4.1, and so qualify as “high-efficiency”. </w:t>
      </w:r>
    </w:p>
    <w:p w14:paraId="649DDF12" w14:textId="6DB0741E" w:rsidR="00532271" w:rsidRPr="003F1AF9" w:rsidRDefault="00532271" w:rsidP="00532271">
      <w:pPr>
        <w:rPr>
          <w:b/>
        </w:rPr>
      </w:pPr>
      <w:r w:rsidRPr="003F1AF9">
        <w:t>So, a HEHP SCOP rating assignment of 3.5 is substantially higher than “average” heat pumps achieve.</w:t>
      </w:r>
      <w:r w:rsidR="0078120E">
        <w:t xml:space="preserve"> </w:t>
      </w:r>
      <w:r w:rsidRPr="003F1AF9">
        <w:t>It fits within the range of minimum efficiency requirements for new heat pumps, though below the “most efficient” air-source heat pumps commercially available today.</w:t>
      </w:r>
      <w:r w:rsidR="0078120E">
        <w:t xml:space="preserve"> </w:t>
      </w:r>
    </w:p>
    <w:p w14:paraId="17839560" w14:textId="6EC57669" w:rsidR="00532271" w:rsidRPr="003F1AF9" w:rsidRDefault="00532271" w:rsidP="00532271">
      <w:pPr>
        <w:pStyle w:val="Caption"/>
        <w:keepNext/>
        <w:jc w:val="center"/>
      </w:pPr>
      <w:bookmarkStart w:id="61" w:name="_Ref2695528"/>
      <w:bookmarkStart w:id="62" w:name="_Toc42289743"/>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1</w:t>
      </w:r>
      <w:r w:rsidR="00C0437B" w:rsidRPr="003F1AF9">
        <w:rPr>
          <w:noProof/>
        </w:rPr>
        <w:fldChar w:fldCharType="end"/>
      </w:r>
      <w:r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1</w:t>
      </w:r>
      <w:r w:rsidR="00C0437B" w:rsidRPr="003F1AF9">
        <w:rPr>
          <w:noProof/>
        </w:rPr>
        <w:fldChar w:fldCharType="end"/>
      </w:r>
      <w:bookmarkEnd w:id="61"/>
      <w:r w:rsidRPr="003F1AF9">
        <w:t xml:space="preserve"> Heating Seasonal Coefficient of Performance (HCOP) for Selected Heat Pumps Worldwide</w:t>
      </w:r>
      <w:bookmarkEnd w:id="62"/>
    </w:p>
    <w:tbl>
      <w:tblPr>
        <w:tblW w:w="8700" w:type="dxa"/>
        <w:jc w:val="center"/>
        <w:tblLook w:val="04A0" w:firstRow="1" w:lastRow="0" w:firstColumn="1" w:lastColumn="0" w:noHBand="0" w:noVBand="1"/>
      </w:tblPr>
      <w:tblGrid>
        <w:gridCol w:w="1240"/>
        <w:gridCol w:w="1240"/>
        <w:gridCol w:w="6220"/>
      </w:tblGrid>
      <w:tr w:rsidR="00532271" w:rsidRPr="003F1AF9" w14:paraId="084FB16A" w14:textId="77777777" w:rsidTr="00FC451C">
        <w:trPr>
          <w:cantSplit/>
          <w:trHeight w:val="900"/>
          <w:tblHeader/>
          <w:jc w:val="center"/>
        </w:trPr>
        <w:tc>
          <w:tcPr>
            <w:tcW w:w="12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2E064391" w14:textId="7AC56A91" w:rsidR="00532271" w:rsidRPr="003F1AF9" w:rsidRDefault="00532271" w:rsidP="00532271">
            <w:pPr>
              <w:spacing w:after="0" w:line="240" w:lineRule="auto"/>
              <w:jc w:val="center"/>
              <w:rPr>
                <w:rFonts w:eastAsia="Times New Roman" w:cs="Times New Roman"/>
                <w:b/>
                <w:bCs/>
                <w:color w:val="FFFFFF" w:themeColor="background1"/>
                <w:sz w:val="21"/>
                <w:szCs w:val="21"/>
                <w:lang w:eastAsia="en-US"/>
              </w:rPr>
            </w:pPr>
            <w:r w:rsidRPr="003F1AF9">
              <w:rPr>
                <w:rFonts w:eastAsia="Times New Roman" w:cs="Times New Roman"/>
                <w:b/>
                <w:bCs/>
                <w:color w:val="FFFFFF" w:themeColor="background1"/>
                <w:sz w:val="21"/>
                <w:szCs w:val="21"/>
                <w:lang w:eastAsia="en-US"/>
              </w:rPr>
              <w:t>SCOP*</w:t>
            </w:r>
            <w:r w:rsidR="0078120E">
              <w:rPr>
                <w:rFonts w:eastAsia="Times New Roman" w:cs="Times New Roman"/>
                <w:b/>
                <w:bCs/>
                <w:color w:val="FFFFFF" w:themeColor="background1"/>
                <w:sz w:val="21"/>
                <w:szCs w:val="21"/>
                <w:lang w:eastAsia="en-US"/>
              </w:rPr>
              <w:t xml:space="preserve"> </w:t>
            </w:r>
            <w:r w:rsidRPr="003F1AF9">
              <w:rPr>
                <w:rFonts w:eastAsia="Times New Roman" w:cs="Times New Roman"/>
                <w:b/>
                <w:bCs/>
                <w:color w:val="FFFFFF" w:themeColor="background1"/>
                <w:sz w:val="21"/>
                <w:szCs w:val="21"/>
                <w:lang w:eastAsia="en-US"/>
              </w:rPr>
              <w:t>[</w:t>
            </w:r>
            <w:proofErr w:type="spellStart"/>
            <w:r w:rsidRPr="003F1AF9">
              <w:rPr>
                <w:rFonts w:eastAsia="Times New Roman" w:cs="Times New Roman"/>
                <w:b/>
                <w:bCs/>
                <w:color w:val="FFFFFF" w:themeColor="background1"/>
                <w:sz w:val="21"/>
                <w:szCs w:val="21"/>
                <w:lang w:eastAsia="en-US"/>
              </w:rPr>
              <w:t>Wh</w:t>
            </w:r>
            <w:proofErr w:type="spellEnd"/>
            <w:r w:rsidRPr="003F1AF9">
              <w:rPr>
                <w:rFonts w:eastAsia="Times New Roman" w:cs="Times New Roman"/>
                <w:b/>
                <w:bCs/>
                <w:color w:val="FFFFFF" w:themeColor="background1"/>
                <w:sz w:val="21"/>
                <w:szCs w:val="21"/>
                <w:lang w:eastAsia="en-US"/>
              </w:rPr>
              <w:t>/</w:t>
            </w:r>
            <w:proofErr w:type="spellStart"/>
            <w:r w:rsidRPr="003F1AF9">
              <w:rPr>
                <w:rFonts w:eastAsia="Times New Roman" w:cs="Times New Roman"/>
                <w:b/>
                <w:bCs/>
                <w:color w:val="FFFFFF" w:themeColor="background1"/>
                <w:sz w:val="21"/>
                <w:szCs w:val="21"/>
                <w:lang w:eastAsia="en-US"/>
              </w:rPr>
              <w:t>Wh</w:t>
            </w:r>
            <w:proofErr w:type="spellEnd"/>
            <w:r w:rsidRPr="003F1AF9">
              <w:rPr>
                <w:rFonts w:eastAsia="Times New Roman" w:cs="Times New Roman"/>
                <w:b/>
                <w:bCs/>
                <w:color w:val="FFFFFF" w:themeColor="background1"/>
                <w:sz w:val="21"/>
                <w:szCs w:val="21"/>
                <w:lang w:eastAsia="en-US"/>
              </w:rPr>
              <w:t>]</w:t>
            </w:r>
          </w:p>
        </w:tc>
        <w:tc>
          <w:tcPr>
            <w:tcW w:w="1240" w:type="dxa"/>
            <w:tcBorders>
              <w:top w:val="single" w:sz="4" w:space="0" w:color="auto"/>
              <w:left w:val="nil"/>
              <w:bottom w:val="single" w:sz="4" w:space="0" w:color="auto"/>
              <w:right w:val="single" w:sz="4" w:space="0" w:color="auto"/>
            </w:tcBorders>
            <w:shd w:val="clear" w:color="auto" w:fill="4F81BD" w:themeFill="accent1"/>
            <w:vAlign w:val="center"/>
            <w:hideMark/>
          </w:tcPr>
          <w:p w14:paraId="415AD44A" w14:textId="77777777" w:rsidR="00532271" w:rsidRPr="003F1AF9" w:rsidRDefault="00532271" w:rsidP="00532271">
            <w:pPr>
              <w:spacing w:after="0" w:line="240" w:lineRule="auto"/>
              <w:jc w:val="center"/>
              <w:rPr>
                <w:rFonts w:eastAsia="Times New Roman" w:cs="Times New Roman"/>
                <w:b/>
                <w:bCs/>
                <w:color w:val="FFFFFF" w:themeColor="background1"/>
                <w:sz w:val="21"/>
                <w:szCs w:val="21"/>
                <w:lang w:eastAsia="en-US"/>
              </w:rPr>
            </w:pPr>
            <w:r w:rsidRPr="003F1AF9">
              <w:rPr>
                <w:rFonts w:eastAsia="Times New Roman" w:cs="Times New Roman"/>
                <w:b/>
                <w:bCs/>
                <w:color w:val="FFFFFF" w:themeColor="background1"/>
                <w:sz w:val="21"/>
                <w:szCs w:val="21"/>
                <w:lang w:eastAsia="en-US"/>
              </w:rPr>
              <w:t>Region</w:t>
            </w:r>
          </w:p>
        </w:tc>
        <w:tc>
          <w:tcPr>
            <w:tcW w:w="6220" w:type="dxa"/>
            <w:tcBorders>
              <w:top w:val="single" w:sz="4" w:space="0" w:color="auto"/>
              <w:left w:val="nil"/>
              <w:bottom w:val="single" w:sz="4" w:space="0" w:color="auto"/>
              <w:right w:val="single" w:sz="4" w:space="0" w:color="auto"/>
            </w:tcBorders>
            <w:shd w:val="clear" w:color="auto" w:fill="4F81BD" w:themeFill="accent1"/>
            <w:vAlign w:val="center"/>
            <w:hideMark/>
          </w:tcPr>
          <w:p w14:paraId="548EE0B7" w14:textId="77777777" w:rsidR="00532271" w:rsidRPr="003F1AF9" w:rsidRDefault="00532271" w:rsidP="00532271">
            <w:pPr>
              <w:spacing w:after="0" w:line="240" w:lineRule="auto"/>
              <w:jc w:val="center"/>
              <w:rPr>
                <w:rFonts w:eastAsia="Times New Roman" w:cs="Times New Roman"/>
                <w:b/>
                <w:bCs/>
                <w:color w:val="FFFFFF" w:themeColor="background1"/>
                <w:sz w:val="21"/>
                <w:szCs w:val="21"/>
                <w:lang w:eastAsia="en-US"/>
              </w:rPr>
            </w:pPr>
            <w:r w:rsidRPr="003F1AF9">
              <w:rPr>
                <w:rFonts w:eastAsia="Times New Roman" w:cs="Times New Roman"/>
                <w:b/>
                <w:bCs/>
                <w:color w:val="FFFFFF" w:themeColor="background1"/>
                <w:sz w:val="21"/>
                <w:szCs w:val="21"/>
                <w:lang w:eastAsia="en-US"/>
              </w:rPr>
              <w:t>Description</w:t>
            </w:r>
          </w:p>
        </w:tc>
      </w:tr>
      <w:tr w:rsidR="00532271" w:rsidRPr="003F1AF9" w14:paraId="6D85781F" w14:textId="77777777" w:rsidTr="00532271">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55D651"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4.0</w:t>
            </w:r>
          </w:p>
        </w:tc>
        <w:tc>
          <w:tcPr>
            <w:tcW w:w="1240" w:type="dxa"/>
            <w:tcBorders>
              <w:top w:val="nil"/>
              <w:left w:val="nil"/>
              <w:bottom w:val="single" w:sz="4" w:space="0" w:color="auto"/>
              <w:right w:val="single" w:sz="4" w:space="0" w:color="auto"/>
            </w:tcBorders>
            <w:shd w:val="clear" w:color="auto" w:fill="auto"/>
            <w:vAlign w:val="center"/>
            <w:hideMark/>
          </w:tcPr>
          <w:p w14:paraId="1C0BE514"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USA</w:t>
            </w:r>
          </w:p>
        </w:tc>
        <w:tc>
          <w:tcPr>
            <w:tcW w:w="6220" w:type="dxa"/>
            <w:tcBorders>
              <w:top w:val="nil"/>
              <w:left w:val="nil"/>
              <w:bottom w:val="single" w:sz="4" w:space="0" w:color="auto"/>
              <w:right w:val="single" w:sz="4" w:space="0" w:color="auto"/>
            </w:tcBorders>
            <w:shd w:val="clear" w:color="auto" w:fill="auto"/>
            <w:vAlign w:val="bottom"/>
            <w:hideMark/>
          </w:tcPr>
          <w:p w14:paraId="0F5FE94A" w14:textId="5F72C857"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Most efficient air source heat pumps (ENERGY STAR, 2018)</w:t>
            </w:r>
            <w:r w:rsidR="00500F02">
              <w:rPr>
                <w:rFonts w:eastAsia="Times New Roman" w:cs="Times New Roman"/>
                <w:sz w:val="21"/>
                <w:szCs w:val="21"/>
                <w:lang w:eastAsia="en-US"/>
              </w:rPr>
              <w:t>.</w:t>
            </w:r>
          </w:p>
        </w:tc>
      </w:tr>
      <w:tr w:rsidR="00532271" w:rsidRPr="003F1AF9" w14:paraId="695B14DE" w14:textId="77777777" w:rsidTr="00532271">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5E3EF7"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2.8</w:t>
            </w:r>
          </w:p>
        </w:tc>
        <w:tc>
          <w:tcPr>
            <w:tcW w:w="1240" w:type="dxa"/>
            <w:tcBorders>
              <w:top w:val="nil"/>
              <w:left w:val="nil"/>
              <w:bottom w:val="single" w:sz="4" w:space="0" w:color="auto"/>
              <w:right w:val="single" w:sz="4" w:space="0" w:color="auto"/>
            </w:tcBorders>
            <w:shd w:val="clear" w:color="auto" w:fill="auto"/>
            <w:vAlign w:val="center"/>
            <w:hideMark/>
          </w:tcPr>
          <w:p w14:paraId="1EA24D65"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USA</w:t>
            </w:r>
          </w:p>
        </w:tc>
        <w:tc>
          <w:tcPr>
            <w:tcW w:w="6220" w:type="dxa"/>
            <w:tcBorders>
              <w:top w:val="nil"/>
              <w:left w:val="nil"/>
              <w:bottom w:val="single" w:sz="4" w:space="0" w:color="auto"/>
              <w:right w:val="single" w:sz="4" w:space="0" w:color="auto"/>
            </w:tcBorders>
            <w:shd w:val="clear" w:color="auto" w:fill="auto"/>
            <w:vAlign w:val="bottom"/>
            <w:hideMark/>
          </w:tcPr>
          <w:p w14:paraId="537FCFFE" w14:textId="5998EAD3"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Air-source heat pump split systems; minimum to be recognized as "most efficient"</w:t>
            </w:r>
            <w:r w:rsidR="0078120E">
              <w:rPr>
                <w:rFonts w:eastAsia="Times New Roman" w:cs="Times New Roman"/>
                <w:sz w:val="21"/>
                <w:szCs w:val="21"/>
                <w:lang w:eastAsia="en-US"/>
              </w:rPr>
              <w:t xml:space="preserve"> </w:t>
            </w:r>
            <w:r w:rsidRPr="003F1AF9">
              <w:rPr>
                <w:rFonts w:eastAsia="Times New Roman" w:cs="Times New Roman"/>
                <w:sz w:val="21"/>
                <w:szCs w:val="21"/>
                <w:lang w:eastAsia="en-US"/>
              </w:rPr>
              <w:t xml:space="preserve">(ENERGY STAR, </w:t>
            </w:r>
            <w:proofErr w:type="spellStart"/>
            <w:r w:rsidR="00FC451C" w:rsidRPr="003F1AF9">
              <w:rPr>
                <w:rFonts w:eastAsia="Times New Roman" w:cs="Times New Roman"/>
                <w:sz w:val="21"/>
                <w:szCs w:val="21"/>
                <w:lang w:eastAsia="en-US"/>
              </w:rPr>
              <w:t>n.d</w:t>
            </w:r>
            <w:proofErr w:type="spellEnd"/>
            <w:r w:rsidR="00FC451C" w:rsidRPr="003F1AF9">
              <w:rPr>
                <w:rFonts w:eastAsia="Times New Roman" w:cs="Times New Roman"/>
                <w:sz w:val="21"/>
                <w:szCs w:val="21"/>
                <w:lang w:eastAsia="en-US"/>
              </w:rPr>
              <w:t xml:space="preserve"> a-f</w:t>
            </w:r>
            <w:r w:rsidRPr="003F1AF9">
              <w:rPr>
                <w:rFonts w:eastAsia="Times New Roman" w:cs="Times New Roman"/>
                <w:sz w:val="21"/>
                <w:szCs w:val="21"/>
                <w:lang w:eastAsia="en-US"/>
              </w:rPr>
              <w:t>)</w:t>
            </w:r>
            <w:r w:rsidR="00500F02">
              <w:rPr>
                <w:rFonts w:eastAsia="Times New Roman" w:cs="Times New Roman"/>
                <w:sz w:val="21"/>
                <w:szCs w:val="21"/>
                <w:lang w:eastAsia="en-US"/>
              </w:rPr>
              <w:t>.</w:t>
            </w:r>
          </w:p>
        </w:tc>
      </w:tr>
      <w:tr w:rsidR="00532271" w:rsidRPr="003F1AF9" w14:paraId="5D7133C8" w14:textId="77777777" w:rsidTr="00532271">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3C816E"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2.5</w:t>
            </w:r>
          </w:p>
        </w:tc>
        <w:tc>
          <w:tcPr>
            <w:tcW w:w="1240" w:type="dxa"/>
            <w:tcBorders>
              <w:top w:val="nil"/>
              <w:left w:val="nil"/>
              <w:bottom w:val="single" w:sz="4" w:space="0" w:color="auto"/>
              <w:right w:val="single" w:sz="4" w:space="0" w:color="auto"/>
            </w:tcBorders>
            <w:shd w:val="clear" w:color="auto" w:fill="auto"/>
            <w:vAlign w:val="center"/>
            <w:hideMark/>
          </w:tcPr>
          <w:p w14:paraId="3A3E51AC"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USA</w:t>
            </w:r>
          </w:p>
        </w:tc>
        <w:tc>
          <w:tcPr>
            <w:tcW w:w="6220" w:type="dxa"/>
            <w:tcBorders>
              <w:top w:val="nil"/>
              <w:left w:val="nil"/>
              <w:bottom w:val="single" w:sz="4" w:space="0" w:color="auto"/>
              <w:right w:val="single" w:sz="4" w:space="0" w:color="auto"/>
            </w:tcBorders>
            <w:shd w:val="clear" w:color="auto" w:fill="auto"/>
            <w:vAlign w:val="bottom"/>
            <w:hideMark/>
          </w:tcPr>
          <w:p w14:paraId="03CFFEDE" w14:textId="6A6A1F9B"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Air-source heat pump split systems;</w:t>
            </w:r>
            <w:r w:rsidR="0078120E">
              <w:rPr>
                <w:rFonts w:eastAsia="Times New Roman" w:cs="Times New Roman"/>
                <w:sz w:val="21"/>
                <w:szCs w:val="21"/>
                <w:lang w:eastAsia="en-US"/>
              </w:rPr>
              <w:t xml:space="preserve"> </w:t>
            </w:r>
            <w:r w:rsidRPr="003F1AF9">
              <w:rPr>
                <w:rFonts w:eastAsia="Times New Roman" w:cs="Times New Roman"/>
                <w:sz w:val="21"/>
                <w:szCs w:val="21"/>
                <w:lang w:eastAsia="en-US"/>
              </w:rPr>
              <w:t xml:space="preserve">minimum to be rated (ENERGY STAR, </w:t>
            </w:r>
            <w:proofErr w:type="spellStart"/>
            <w:r w:rsidR="00FC451C" w:rsidRPr="003F1AF9">
              <w:rPr>
                <w:rFonts w:eastAsia="Times New Roman" w:cs="Times New Roman"/>
                <w:sz w:val="21"/>
                <w:szCs w:val="21"/>
                <w:lang w:eastAsia="en-US"/>
              </w:rPr>
              <w:t>n.d</w:t>
            </w:r>
            <w:proofErr w:type="spellEnd"/>
            <w:r w:rsidR="00FC451C" w:rsidRPr="003F1AF9">
              <w:rPr>
                <w:rFonts w:eastAsia="Times New Roman" w:cs="Times New Roman"/>
                <w:sz w:val="21"/>
                <w:szCs w:val="21"/>
                <w:lang w:eastAsia="en-US"/>
              </w:rPr>
              <w:t xml:space="preserve"> a-f</w:t>
            </w:r>
            <w:r w:rsidRPr="003F1AF9">
              <w:rPr>
                <w:rFonts w:eastAsia="Times New Roman" w:cs="Times New Roman"/>
                <w:sz w:val="21"/>
                <w:szCs w:val="21"/>
                <w:lang w:eastAsia="en-US"/>
              </w:rPr>
              <w:t>)</w:t>
            </w:r>
            <w:r w:rsidR="00500F02">
              <w:rPr>
                <w:rFonts w:eastAsia="Times New Roman" w:cs="Times New Roman"/>
                <w:sz w:val="21"/>
                <w:szCs w:val="21"/>
                <w:lang w:eastAsia="en-US"/>
              </w:rPr>
              <w:t>.</w:t>
            </w:r>
          </w:p>
        </w:tc>
      </w:tr>
      <w:tr w:rsidR="00532271" w:rsidRPr="003F1AF9" w14:paraId="3B12CDE7" w14:textId="77777777" w:rsidTr="00532271">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ADC7524"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3.6</w:t>
            </w:r>
          </w:p>
        </w:tc>
        <w:tc>
          <w:tcPr>
            <w:tcW w:w="1240" w:type="dxa"/>
            <w:tcBorders>
              <w:top w:val="nil"/>
              <w:left w:val="nil"/>
              <w:bottom w:val="single" w:sz="4" w:space="0" w:color="auto"/>
              <w:right w:val="single" w:sz="4" w:space="0" w:color="auto"/>
            </w:tcBorders>
            <w:shd w:val="clear" w:color="auto" w:fill="auto"/>
            <w:vAlign w:val="center"/>
            <w:hideMark/>
          </w:tcPr>
          <w:p w14:paraId="5686DF16"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USA</w:t>
            </w:r>
          </w:p>
        </w:tc>
        <w:tc>
          <w:tcPr>
            <w:tcW w:w="6220" w:type="dxa"/>
            <w:tcBorders>
              <w:top w:val="nil"/>
              <w:left w:val="nil"/>
              <w:bottom w:val="single" w:sz="4" w:space="0" w:color="auto"/>
              <w:right w:val="single" w:sz="4" w:space="0" w:color="auto"/>
            </w:tcBorders>
            <w:shd w:val="clear" w:color="auto" w:fill="auto"/>
            <w:vAlign w:val="bottom"/>
            <w:hideMark/>
          </w:tcPr>
          <w:p w14:paraId="0F29363F" w14:textId="5DEFE9B6"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Closed loop ground-source heat pump split systems; minimum to be recognized as "most efficient"</w:t>
            </w:r>
            <w:r w:rsidR="0078120E">
              <w:rPr>
                <w:rFonts w:eastAsia="Times New Roman" w:cs="Times New Roman"/>
                <w:sz w:val="21"/>
                <w:szCs w:val="21"/>
                <w:lang w:eastAsia="en-US"/>
              </w:rPr>
              <w:t xml:space="preserve"> </w:t>
            </w:r>
            <w:r w:rsidRPr="003F1AF9">
              <w:rPr>
                <w:rFonts w:eastAsia="Times New Roman" w:cs="Times New Roman"/>
                <w:sz w:val="21"/>
                <w:szCs w:val="21"/>
                <w:lang w:eastAsia="en-US"/>
              </w:rPr>
              <w:t xml:space="preserve">(ENERGY STAR, </w:t>
            </w:r>
            <w:proofErr w:type="spellStart"/>
            <w:r w:rsidR="00FC451C" w:rsidRPr="003F1AF9">
              <w:rPr>
                <w:rFonts w:eastAsia="Times New Roman" w:cs="Times New Roman"/>
                <w:sz w:val="21"/>
                <w:szCs w:val="21"/>
                <w:lang w:eastAsia="en-US"/>
              </w:rPr>
              <w:t>n.d</w:t>
            </w:r>
            <w:proofErr w:type="spellEnd"/>
            <w:r w:rsidR="00FC451C" w:rsidRPr="003F1AF9">
              <w:rPr>
                <w:rFonts w:eastAsia="Times New Roman" w:cs="Times New Roman"/>
                <w:sz w:val="21"/>
                <w:szCs w:val="21"/>
                <w:lang w:eastAsia="en-US"/>
              </w:rPr>
              <w:t xml:space="preserve"> a-f</w:t>
            </w:r>
            <w:r w:rsidRPr="003F1AF9">
              <w:rPr>
                <w:rFonts w:eastAsia="Times New Roman" w:cs="Times New Roman"/>
                <w:sz w:val="21"/>
                <w:szCs w:val="21"/>
                <w:lang w:eastAsia="en-US"/>
              </w:rPr>
              <w:t>)</w:t>
            </w:r>
            <w:r w:rsidR="00500F02">
              <w:rPr>
                <w:rFonts w:eastAsia="Times New Roman" w:cs="Times New Roman"/>
                <w:sz w:val="21"/>
                <w:szCs w:val="21"/>
                <w:lang w:eastAsia="en-US"/>
              </w:rPr>
              <w:t>.</w:t>
            </w:r>
          </w:p>
        </w:tc>
      </w:tr>
      <w:tr w:rsidR="00532271" w:rsidRPr="003F1AF9" w14:paraId="15B9F674" w14:textId="77777777" w:rsidTr="00532271">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B71E78A"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4.1</w:t>
            </w:r>
          </w:p>
        </w:tc>
        <w:tc>
          <w:tcPr>
            <w:tcW w:w="1240" w:type="dxa"/>
            <w:tcBorders>
              <w:top w:val="nil"/>
              <w:left w:val="nil"/>
              <w:bottom w:val="single" w:sz="4" w:space="0" w:color="auto"/>
              <w:right w:val="single" w:sz="4" w:space="0" w:color="auto"/>
            </w:tcBorders>
            <w:shd w:val="clear" w:color="auto" w:fill="auto"/>
            <w:vAlign w:val="center"/>
            <w:hideMark/>
          </w:tcPr>
          <w:p w14:paraId="3BCC840E"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USA</w:t>
            </w:r>
          </w:p>
        </w:tc>
        <w:tc>
          <w:tcPr>
            <w:tcW w:w="6220" w:type="dxa"/>
            <w:tcBorders>
              <w:top w:val="nil"/>
              <w:left w:val="nil"/>
              <w:bottom w:val="single" w:sz="4" w:space="0" w:color="auto"/>
              <w:right w:val="single" w:sz="4" w:space="0" w:color="auto"/>
            </w:tcBorders>
            <w:shd w:val="clear" w:color="auto" w:fill="auto"/>
            <w:vAlign w:val="bottom"/>
            <w:hideMark/>
          </w:tcPr>
          <w:p w14:paraId="2FF2EEA5" w14:textId="25AD7213"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Open loop ground-source heat pump split systems; minimum to be recognized as "most efficient"</w:t>
            </w:r>
            <w:r w:rsidR="0078120E">
              <w:rPr>
                <w:rFonts w:eastAsia="Times New Roman" w:cs="Times New Roman"/>
                <w:sz w:val="21"/>
                <w:szCs w:val="21"/>
                <w:lang w:eastAsia="en-US"/>
              </w:rPr>
              <w:t xml:space="preserve"> </w:t>
            </w:r>
            <w:r w:rsidRPr="003F1AF9">
              <w:rPr>
                <w:rFonts w:eastAsia="Times New Roman" w:cs="Times New Roman"/>
                <w:sz w:val="21"/>
                <w:szCs w:val="21"/>
                <w:lang w:eastAsia="en-US"/>
              </w:rPr>
              <w:t xml:space="preserve">(ENERGY STAR, </w:t>
            </w:r>
            <w:proofErr w:type="spellStart"/>
            <w:r w:rsidR="00FC451C" w:rsidRPr="003F1AF9">
              <w:rPr>
                <w:rFonts w:eastAsia="Times New Roman" w:cs="Times New Roman"/>
                <w:sz w:val="21"/>
                <w:szCs w:val="21"/>
                <w:lang w:eastAsia="en-US"/>
              </w:rPr>
              <w:t>n.d</w:t>
            </w:r>
            <w:proofErr w:type="spellEnd"/>
            <w:r w:rsidR="00FC451C" w:rsidRPr="003F1AF9">
              <w:rPr>
                <w:rFonts w:eastAsia="Times New Roman" w:cs="Times New Roman"/>
                <w:sz w:val="21"/>
                <w:szCs w:val="21"/>
                <w:lang w:eastAsia="en-US"/>
              </w:rPr>
              <w:t xml:space="preserve"> a-f</w:t>
            </w:r>
            <w:r w:rsidRPr="003F1AF9">
              <w:rPr>
                <w:rFonts w:eastAsia="Times New Roman" w:cs="Times New Roman"/>
                <w:sz w:val="21"/>
                <w:szCs w:val="21"/>
                <w:lang w:eastAsia="en-US"/>
              </w:rPr>
              <w:t>)</w:t>
            </w:r>
            <w:r w:rsidR="00500F02">
              <w:rPr>
                <w:rFonts w:eastAsia="Times New Roman" w:cs="Times New Roman"/>
                <w:sz w:val="21"/>
                <w:szCs w:val="21"/>
                <w:lang w:eastAsia="en-US"/>
              </w:rPr>
              <w:t>.</w:t>
            </w:r>
          </w:p>
        </w:tc>
      </w:tr>
      <w:tr w:rsidR="00532271" w:rsidRPr="003F1AF9" w14:paraId="660CB5C7" w14:textId="77777777" w:rsidTr="00532271">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070B2"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3.5</w:t>
            </w:r>
          </w:p>
        </w:tc>
        <w:tc>
          <w:tcPr>
            <w:tcW w:w="1240" w:type="dxa"/>
            <w:tcBorders>
              <w:top w:val="nil"/>
              <w:left w:val="nil"/>
              <w:bottom w:val="single" w:sz="4" w:space="0" w:color="auto"/>
              <w:right w:val="single" w:sz="4" w:space="0" w:color="auto"/>
            </w:tcBorders>
            <w:shd w:val="clear" w:color="auto" w:fill="auto"/>
            <w:vAlign w:val="center"/>
            <w:hideMark/>
          </w:tcPr>
          <w:p w14:paraId="4F602B1D"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Europe</w:t>
            </w:r>
          </w:p>
        </w:tc>
        <w:tc>
          <w:tcPr>
            <w:tcW w:w="6220" w:type="dxa"/>
            <w:tcBorders>
              <w:top w:val="nil"/>
              <w:left w:val="nil"/>
              <w:bottom w:val="single" w:sz="4" w:space="0" w:color="auto"/>
              <w:right w:val="single" w:sz="4" w:space="0" w:color="auto"/>
            </w:tcBorders>
            <w:shd w:val="clear" w:color="auto" w:fill="auto"/>
            <w:vAlign w:val="bottom"/>
            <w:hideMark/>
          </w:tcPr>
          <w:p w14:paraId="3762D832" w14:textId="6C67ECA9"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Minimum efficiency for air-source units to receive incentives under the German MAP program (EHPA, 2014)</w:t>
            </w:r>
            <w:r w:rsidR="00500F02">
              <w:rPr>
                <w:rFonts w:eastAsia="Times New Roman" w:cs="Times New Roman"/>
                <w:sz w:val="21"/>
                <w:szCs w:val="21"/>
                <w:lang w:eastAsia="en-US"/>
              </w:rPr>
              <w:t>.</w:t>
            </w:r>
          </w:p>
        </w:tc>
      </w:tr>
      <w:tr w:rsidR="00532271" w:rsidRPr="003F1AF9" w14:paraId="2134135E" w14:textId="77777777" w:rsidTr="00532271">
        <w:trPr>
          <w:trHeight w:val="600"/>
          <w:jc w:val="center"/>
        </w:trPr>
        <w:tc>
          <w:tcPr>
            <w:tcW w:w="1240" w:type="dxa"/>
            <w:tcBorders>
              <w:top w:val="nil"/>
              <w:left w:val="single" w:sz="4" w:space="0" w:color="auto"/>
              <w:bottom w:val="nil"/>
              <w:right w:val="single" w:sz="4" w:space="0" w:color="auto"/>
            </w:tcBorders>
            <w:shd w:val="clear" w:color="auto" w:fill="auto"/>
            <w:noWrap/>
            <w:vAlign w:val="center"/>
            <w:hideMark/>
          </w:tcPr>
          <w:p w14:paraId="10A6754D"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3.3</w:t>
            </w:r>
          </w:p>
        </w:tc>
        <w:tc>
          <w:tcPr>
            <w:tcW w:w="1240" w:type="dxa"/>
            <w:tcBorders>
              <w:top w:val="nil"/>
              <w:left w:val="nil"/>
              <w:bottom w:val="nil"/>
              <w:right w:val="single" w:sz="4" w:space="0" w:color="auto"/>
            </w:tcBorders>
            <w:shd w:val="clear" w:color="auto" w:fill="auto"/>
            <w:vAlign w:val="center"/>
            <w:hideMark/>
          </w:tcPr>
          <w:p w14:paraId="5CEED4ED"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Europe (Germany)</w:t>
            </w:r>
          </w:p>
        </w:tc>
        <w:tc>
          <w:tcPr>
            <w:tcW w:w="6220" w:type="dxa"/>
            <w:tcBorders>
              <w:top w:val="nil"/>
              <w:left w:val="nil"/>
              <w:bottom w:val="nil"/>
              <w:right w:val="single" w:sz="4" w:space="0" w:color="auto"/>
            </w:tcBorders>
            <w:shd w:val="clear" w:color="auto" w:fill="auto"/>
            <w:vAlign w:val="bottom"/>
            <w:hideMark/>
          </w:tcPr>
          <w:p w14:paraId="516B6CA7" w14:textId="69EEF9A4"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Minimum efficiency for air-source units in new construction (up to 4.0 depending on application) (EHPA, 2014)</w:t>
            </w:r>
            <w:r w:rsidR="00500F02">
              <w:rPr>
                <w:rFonts w:eastAsia="Times New Roman" w:cs="Times New Roman"/>
                <w:sz w:val="21"/>
                <w:szCs w:val="21"/>
                <w:lang w:eastAsia="en-US"/>
              </w:rPr>
              <w:t>.</w:t>
            </w:r>
          </w:p>
        </w:tc>
      </w:tr>
      <w:tr w:rsidR="00532271" w:rsidRPr="003F1AF9" w14:paraId="0BF13FD1" w14:textId="77777777" w:rsidTr="00532271">
        <w:trPr>
          <w:trHeight w:val="6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7C8AD"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3.2</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23A7249"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Europe</w:t>
            </w:r>
          </w:p>
        </w:tc>
        <w:tc>
          <w:tcPr>
            <w:tcW w:w="6220" w:type="dxa"/>
            <w:tcBorders>
              <w:top w:val="single" w:sz="4" w:space="0" w:color="auto"/>
              <w:left w:val="nil"/>
              <w:bottom w:val="single" w:sz="4" w:space="0" w:color="auto"/>
              <w:right w:val="single" w:sz="4" w:space="0" w:color="auto"/>
            </w:tcBorders>
            <w:shd w:val="clear" w:color="auto" w:fill="auto"/>
            <w:vAlign w:val="bottom"/>
            <w:hideMark/>
          </w:tcPr>
          <w:p w14:paraId="373F2167" w14:textId="0FEBF84D"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Rooftop air-air heat pump minimum efficiency requirement 2021 (</w:t>
            </w:r>
            <w:proofErr w:type="spellStart"/>
            <w:r w:rsidRPr="003F1AF9">
              <w:rPr>
                <w:rFonts w:eastAsia="Times New Roman" w:cs="Times New Roman"/>
                <w:sz w:val="21"/>
                <w:szCs w:val="21"/>
                <w:lang w:eastAsia="en-US"/>
              </w:rPr>
              <w:t>Lacourt</w:t>
            </w:r>
            <w:proofErr w:type="spellEnd"/>
            <w:r w:rsidRPr="003F1AF9">
              <w:rPr>
                <w:rFonts w:eastAsia="Times New Roman" w:cs="Times New Roman"/>
                <w:sz w:val="21"/>
                <w:szCs w:val="21"/>
                <w:lang w:eastAsia="en-US"/>
              </w:rPr>
              <w:t>, 2018)</w:t>
            </w:r>
            <w:r w:rsidR="00500F02">
              <w:rPr>
                <w:rFonts w:eastAsia="Times New Roman" w:cs="Times New Roman"/>
                <w:sz w:val="21"/>
                <w:szCs w:val="21"/>
                <w:lang w:eastAsia="en-US"/>
              </w:rPr>
              <w:t>.</w:t>
            </w:r>
          </w:p>
        </w:tc>
      </w:tr>
      <w:tr w:rsidR="00532271" w:rsidRPr="003F1AF9" w14:paraId="52CADED9" w14:textId="77777777" w:rsidTr="00532271">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129EEC5"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3.1</w:t>
            </w:r>
          </w:p>
        </w:tc>
        <w:tc>
          <w:tcPr>
            <w:tcW w:w="1240" w:type="dxa"/>
            <w:tcBorders>
              <w:top w:val="nil"/>
              <w:left w:val="nil"/>
              <w:bottom w:val="single" w:sz="4" w:space="0" w:color="auto"/>
              <w:right w:val="single" w:sz="4" w:space="0" w:color="auto"/>
            </w:tcBorders>
            <w:shd w:val="clear" w:color="auto" w:fill="auto"/>
            <w:vAlign w:val="center"/>
            <w:hideMark/>
          </w:tcPr>
          <w:p w14:paraId="00B9DE1A"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Europe (Germany)</w:t>
            </w:r>
          </w:p>
        </w:tc>
        <w:tc>
          <w:tcPr>
            <w:tcW w:w="6220" w:type="dxa"/>
            <w:tcBorders>
              <w:top w:val="nil"/>
              <w:left w:val="nil"/>
              <w:bottom w:val="single" w:sz="4" w:space="0" w:color="auto"/>
              <w:right w:val="single" w:sz="4" w:space="0" w:color="auto"/>
            </w:tcBorders>
            <w:shd w:val="clear" w:color="auto" w:fill="auto"/>
            <w:vAlign w:val="bottom"/>
            <w:hideMark/>
          </w:tcPr>
          <w:p w14:paraId="758A3973" w14:textId="6AA14EC7"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Air-water "average value" experimental monitoring 2012-13 (</w:t>
            </w:r>
            <w:proofErr w:type="spellStart"/>
            <w:r w:rsidRPr="003F1AF9">
              <w:rPr>
                <w:rFonts w:eastAsia="Times New Roman" w:cs="Times New Roman"/>
                <w:sz w:val="21"/>
                <w:szCs w:val="21"/>
                <w:lang w:eastAsia="en-US"/>
              </w:rPr>
              <w:t>Miara</w:t>
            </w:r>
            <w:proofErr w:type="spellEnd"/>
            <w:r w:rsidRPr="003F1AF9">
              <w:rPr>
                <w:rFonts w:eastAsia="Times New Roman" w:cs="Times New Roman"/>
                <w:sz w:val="21"/>
                <w:szCs w:val="21"/>
                <w:lang w:eastAsia="en-US"/>
              </w:rPr>
              <w:t>, 2014)</w:t>
            </w:r>
            <w:r w:rsidR="00500F02">
              <w:rPr>
                <w:rFonts w:eastAsia="Times New Roman" w:cs="Times New Roman"/>
                <w:sz w:val="21"/>
                <w:szCs w:val="21"/>
                <w:lang w:eastAsia="en-US"/>
              </w:rPr>
              <w:t>.</w:t>
            </w:r>
          </w:p>
        </w:tc>
      </w:tr>
      <w:tr w:rsidR="00532271" w:rsidRPr="003F1AF9" w14:paraId="38686058" w14:textId="77777777" w:rsidTr="00532271">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BD4099E"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3.0</w:t>
            </w:r>
          </w:p>
        </w:tc>
        <w:tc>
          <w:tcPr>
            <w:tcW w:w="1240" w:type="dxa"/>
            <w:tcBorders>
              <w:top w:val="nil"/>
              <w:left w:val="nil"/>
              <w:bottom w:val="single" w:sz="4" w:space="0" w:color="auto"/>
              <w:right w:val="single" w:sz="4" w:space="0" w:color="auto"/>
            </w:tcBorders>
            <w:shd w:val="clear" w:color="auto" w:fill="auto"/>
            <w:vAlign w:val="center"/>
            <w:hideMark/>
          </w:tcPr>
          <w:p w14:paraId="2081C39F"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Europe</w:t>
            </w:r>
          </w:p>
        </w:tc>
        <w:tc>
          <w:tcPr>
            <w:tcW w:w="6220" w:type="dxa"/>
            <w:tcBorders>
              <w:top w:val="nil"/>
              <w:left w:val="nil"/>
              <w:bottom w:val="single" w:sz="4" w:space="0" w:color="auto"/>
              <w:right w:val="single" w:sz="4" w:space="0" w:color="auto"/>
            </w:tcBorders>
            <w:shd w:val="clear" w:color="auto" w:fill="auto"/>
            <w:vAlign w:val="bottom"/>
            <w:hideMark/>
          </w:tcPr>
          <w:p w14:paraId="2D3A80B5" w14:textId="495819F5"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Rooftop air-air heat pump minimum efficiency requirement 2018 (</w:t>
            </w:r>
            <w:proofErr w:type="spellStart"/>
            <w:r w:rsidRPr="003F1AF9">
              <w:rPr>
                <w:rFonts w:eastAsia="Times New Roman" w:cs="Times New Roman"/>
                <w:sz w:val="21"/>
                <w:szCs w:val="21"/>
                <w:lang w:eastAsia="en-US"/>
              </w:rPr>
              <w:t>Lacourt</w:t>
            </w:r>
            <w:proofErr w:type="spellEnd"/>
            <w:r w:rsidRPr="003F1AF9">
              <w:rPr>
                <w:rFonts w:eastAsia="Times New Roman" w:cs="Times New Roman"/>
                <w:sz w:val="21"/>
                <w:szCs w:val="21"/>
                <w:lang w:eastAsia="en-US"/>
              </w:rPr>
              <w:t>, 2018)</w:t>
            </w:r>
            <w:r w:rsidR="00500F02">
              <w:rPr>
                <w:rFonts w:eastAsia="Times New Roman" w:cs="Times New Roman"/>
                <w:sz w:val="21"/>
                <w:szCs w:val="21"/>
                <w:lang w:eastAsia="en-US"/>
              </w:rPr>
              <w:t>.</w:t>
            </w:r>
          </w:p>
        </w:tc>
      </w:tr>
      <w:tr w:rsidR="00532271" w:rsidRPr="003F1AF9" w14:paraId="3BD03871" w14:textId="77777777" w:rsidTr="00532271">
        <w:trPr>
          <w:trHeight w:val="3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44D97A"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2.6</w:t>
            </w:r>
          </w:p>
        </w:tc>
        <w:tc>
          <w:tcPr>
            <w:tcW w:w="1240" w:type="dxa"/>
            <w:tcBorders>
              <w:top w:val="nil"/>
              <w:left w:val="nil"/>
              <w:bottom w:val="single" w:sz="4" w:space="0" w:color="auto"/>
              <w:right w:val="single" w:sz="4" w:space="0" w:color="auto"/>
            </w:tcBorders>
            <w:shd w:val="clear" w:color="auto" w:fill="auto"/>
            <w:vAlign w:val="center"/>
            <w:hideMark/>
          </w:tcPr>
          <w:p w14:paraId="4757D810"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Europe</w:t>
            </w:r>
          </w:p>
        </w:tc>
        <w:tc>
          <w:tcPr>
            <w:tcW w:w="6220" w:type="dxa"/>
            <w:tcBorders>
              <w:top w:val="nil"/>
              <w:left w:val="nil"/>
              <w:bottom w:val="single" w:sz="4" w:space="0" w:color="auto"/>
              <w:right w:val="single" w:sz="4" w:space="0" w:color="auto"/>
            </w:tcBorders>
            <w:shd w:val="clear" w:color="auto" w:fill="auto"/>
            <w:vAlign w:val="bottom"/>
            <w:hideMark/>
          </w:tcPr>
          <w:p w14:paraId="1008C73D" w14:textId="53E8BAE6"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Commercial products air-water "average value" (EPHA, 2014)</w:t>
            </w:r>
            <w:r w:rsidR="00500F02">
              <w:rPr>
                <w:rFonts w:eastAsia="Times New Roman" w:cs="Times New Roman"/>
                <w:sz w:val="21"/>
                <w:szCs w:val="21"/>
                <w:lang w:eastAsia="en-US"/>
              </w:rPr>
              <w:t>.</w:t>
            </w:r>
          </w:p>
        </w:tc>
      </w:tr>
      <w:tr w:rsidR="00532271" w:rsidRPr="003F1AF9" w14:paraId="29E4FB27" w14:textId="77777777" w:rsidTr="00532271">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121341"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lastRenderedPageBreak/>
              <w:t>4.0</w:t>
            </w:r>
          </w:p>
        </w:tc>
        <w:tc>
          <w:tcPr>
            <w:tcW w:w="1240" w:type="dxa"/>
            <w:tcBorders>
              <w:top w:val="nil"/>
              <w:left w:val="nil"/>
              <w:bottom w:val="single" w:sz="4" w:space="0" w:color="auto"/>
              <w:right w:val="single" w:sz="4" w:space="0" w:color="auto"/>
            </w:tcBorders>
            <w:shd w:val="clear" w:color="auto" w:fill="auto"/>
            <w:vAlign w:val="center"/>
            <w:hideMark/>
          </w:tcPr>
          <w:p w14:paraId="56797409"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Europe</w:t>
            </w:r>
          </w:p>
        </w:tc>
        <w:tc>
          <w:tcPr>
            <w:tcW w:w="6220" w:type="dxa"/>
            <w:tcBorders>
              <w:top w:val="nil"/>
              <w:left w:val="nil"/>
              <w:bottom w:val="single" w:sz="4" w:space="0" w:color="auto"/>
              <w:right w:val="single" w:sz="4" w:space="0" w:color="auto"/>
            </w:tcBorders>
            <w:shd w:val="clear" w:color="auto" w:fill="auto"/>
            <w:vAlign w:val="bottom"/>
            <w:hideMark/>
          </w:tcPr>
          <w:p w14:paraId="0C656BCB" w14:textId="2256DCCD"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Ground-source water-water "average value" experimental monitoring 2012-13 (</w:t>
            </w:r>
            <w:proofErr w:type="spellStart"/>
            <w:r w:rsidRPr="003F1AF9">
              <w:rPr>
                <w:rFonts w:eastAsia="Times New Roman" w:cs="Times New Roman"/>
                <w:sz w:val="21"/>
                <w:szCs w:val="21"/>
                <w:lang w:eastAsia="en-US"/>
              </w:rPr>
              <w:t>Miara</w:t>
            </w:r>
            <w:proofErr w:type="spellEnd"/>
            <w:r w:rsidRPr="003F1AF9">
              <w:rPr>
                <w:rFonts w:eastAsia="Times New Roman" w:cs="Times New Roman"/>
                <w:sz w:val="21"/>
                <w:szCs w:val="21"/>
                <w:lang w:eastAsia="en-US"/>
              </w:rPr>
              <w:t>, 2014)</w:t>
            </w:r>
            <w:r w:rsidR="00500F02">
              <w:rPr>
                <w:rFonts w:eastAsia="Times New Roman" w:cs="Times New Roman"/>
                <w:sz w:val="21"/>
                <w:szCs w:val="21"/>
                <w:lang w:eastAsia="en-US"/>
              </w:rPr>
              <w:t>.</w:t>
            </w:r>
          </w:p>
        </w:tc>
      </w:tr>
      <w:tr w:rsidR="00532271" w:rsidRPr="003F1AF9" w14:paraId="226E4C1B" w14:textId="77777777" w:rsidTr="00532271">
        <w:trPr>
          <w:trHeight w:val="600"/>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83C7AE"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3.4</w:t>
            </w:r>
          </w:p>
        </w:tc>
        <w:tc>
          <w:tcPr>
            <w:tcW w:w="1240" w:type="dxa"/>
            <w:tcBorders>
              <w:top w:val="nil"/>
              <w:left w:val="nil"/>
              <w:bottom w:val="single" w:sz="4" w:space="0" w:color="auto"/>
              <w:right w:val="single" w:sz="4" w:space="0" w:color="auto"/>
            </w:tcBorders>
            <w:shd w:val="clear" w:color="auto" w:fill="auto"/>
            <w:vAlign w:val="center"/>
            <w:hideMark/>
          </w:tcPr>
          <w:p w14:paraId="6A90471C" w14:textId="77777777" w:rsidR="00532271" w:rsidRPr="003F1AF9" w:rsidRDefault="00532271" w:rsidP="00532271">
            <w:pPr>
              <w:spacing w:after="0" w:line="240" w:lineRule="auto"/>
              <w:jc w:val="center"/>
              <w:rPr>
                <w:rFonts w:eastAsia="Times New Roman" w:cs="Times New Roman"/>
                <w:bCs/>
                <w:sz w:val="21"/>
                <w:szCs w:val="21"/>
                <w:lang w:eastAsia="en-US"/>
              </w:rPr>
            </w:pPr>
            <w:r w:rsidRPr="003F1AF9">
              <w:rPr>
                <w:rFonts w:eastAsia="Times New Roman" w:cs="Times New Roman"/>
                <w:bCs/>
                <w:sz w:val="21"/>
                <w:szCs w:val="21"/>
                <w:lang w:eastAsia="en-US"/>
              </w:rPr>
              <w:t>China</w:t>
            </w:r>
          </w:p>
        </w:tc>
        <w:tc>
          <w:tcPr>
            <w:tcW w:w="6220" w:type="dxa"/>
            <w:tcBorders>
              <w:top w:val="nil"/>
              <w:left w:val="nil"/>
              <w:bottom w:val="single" w:sz="4" w:space="0" w:color="auto"/>
              <w:right w:val="single" w:sz="4" w:space="0" w:color="auto"/>
            </w:tcBorders>
            <w:shd w:val="clear" w:color="auto" w:fill="auto"/>
            <w:vAlign w:val="bottom"/>
            <w:hideMark/>
          </w:tcPr>
          <w:p w14:paraId="3C04E267" w14:textId="796176BE"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Air-source heat pump water heater minimum requirement (EHPA, 2014)</w:t>
            </w:r>
            <w:r w:rsidR="00500F02">
              <w:rPr>
                <w:rFonts w:eastAsia="Times New Roman" w:cs="Times New Roman"/>
                <w:sz w:val="21"/>
                <w:szCs w:val="21"/>
                <w:lang w:eastAsia="en-US"/>
              </w:rPr>
              <w:t>.</w:t>
            </w:r>
          </w:p>
        </w:tc>
      </w:tr>
    </w:tbl>
    <w:p w14:paraId="7C6A749B" w14:textId="2B1541CC" w:rsidR="00532271" w:rsidRPr="0078120E" w:rsidRDefault="00532271" w:rsidP="00500F02">
      <w:pPr>
        <w:spacing w:after="0" w:line="240" w:lineRule="auto"/>
        <w:rPr>
          <w:rFonts w:eastAsia="Times New Roman" w:cs="Times New Roman"/>
          <w:color w:val="000000"/>
          <w:sz w:val="20"/>
          <w:lang w:eastAsia="en-US"/>
        </w:rPr>
      </w:pPr>
      <w:r w:rsidRPr="0078120E">
        <w:rPr>
          <w:rFonts w:eastAsia="Times New Roman" w:cs="Times New Roman"/>
          <w:color w:val="000000"/>
          <w:sz w:val="20"/>
          <w:lang w:eastAsia="en-US"/>
        </w:rPr>
        <w:t>*SCOP reflects seasonal operating efficiency in each country; ratings are not strictly comparable as test conditions differ across countries</w:t>
      </w:r>
      <w:r w:rsidR="00500F02" w:rsidRPr="0078120E">
        <w:rPr>
          <w:rFonts w:eastAsia="Times New Roman" w:cs="Times New Roman"/>
          <w:color w:val="000000"/>
          <w:sz w:val="20"/>
          <w:lang w:eastAsia="en-US"/>
        </w:rPr>
        <w:t>.</w:t>
      </w:r>
      <w:r w:rsidRPr="0078120E">
        <w:rPr>
          <w:rFonts w:eastAsia="Times New Roman" w:cs="Times New Roman"/>
          <w:color w:val="000000"/>
          <w:sz w:val="20"/>
          <w:lang w:eastAsia="en-US"/>
        </w:rPr>
        <w:t xml:space="preserve"> </w:t>
      </w:r>
    </w:p>
    <w:p w14:paraId="32851F68" w14:textId="6F55D0E7" w:rsidR="00262802" w:rsidRPr="003F1AF9" w:rsidRDefault="00532271" w:rsidP="00FC451C">
      <w:pPr>
        <w:pStyle w:val="Heading4"/>
      </w:pPr>
      <w:r w:rsidRPr="003F1AF9">
        <w:t>Space Cooling HEHP SEER</w:t>
      </w:r>
    </w:p>
    <w:p w14:paraId="2C29ED3C" w14:textId="285CBE17" w:rsidR="00532271" w:rsidRPr="003F1AF9" w:rsidRDefault="00532271" w:rsidP="00532271">
      <w:r w:rsidRPr="003F1AF9">
        <w:t xml:space="preserve">In </w:t>
      </w:r>
      <w:r w:rsidR="00200BF1" w:rsidRPr="003F1AF9">
        <w:t>a similar</w:t>
      </w:r>
      <w:r w:rsidRPr="003F1AF9">
        <w:t xml:space="preserve"> way, for space cooling</w:t>
      </w:r>
      <w:r w:rsidR="008F72B3">
        <w:t>,</w:t>
      </w:r>
      <w:r w:rsidRPr="003F1AF9">
        <w:t xml:space="preserve"> a high-efficiency heat pump is defined as having seasonal energy efficiency ratio SEER of 5.9 </w:t>
      </w:r>
      <w:proofErr w:type="spellStart"/>
      <w:r w:rsidRPr="003F1AF9">
        <w:t>Wh</w:t>
      </w:r>
      <w:proofErr w:type="spellEnd"/>
      <w:r w:rsidRPr="003F1AF9">
        <w:t>/</w:t>
      </w:r>
      <w:proofErr w:type="spellStart"/>
      <w:r w:rsidRPr="003F1AF9">
        <w:t>Wh</w:t>
      </w:r>
      <w:proofErr w:type="spellEnd"/>
      <w:r w:rsidRPr="003F1AF9">
        <w:t xml:space="preserve"> or greater.</w:t>
      </w:r>
      <w:r w:rsidR="0078120E">
        <w:t xml:space="preserve"> </w:t>
      </w:r>
      <w:r w:rsidRPr="003F1AF9">
        <w:t>This corresponds with a SEER of about 20 BTU/</w:t>
      </w:r>
      <w:proofErr w:type="spellStart"/>
      <w:r w:rsidRPr="003F1AF9">
        <w:t>Wh</w:t>
      </w:r>
      <w:proofErr w:type="spellEnd"/>
      <w:r w:rsidRPr="003F1AF9">
        <w:t xml:space="preserve"> in US units.</w:t>
      </w:r>
      <w:r w:rsidR="0078120E">
        <w:t xml:space="preserve"> </w:t>
      </w:r>
      <w:r w:rsidR="00200BF1" w:rsidRPr="003F1AF9">
        <w:t xml:space="preserve">For every </w:t>
      </w:r>
      <w:r w:rsidR="008F72B3">
        <w:t xml:space="preserve">1 </w:t>
      </w:r>
      <w:r w:rsidR="00200BF1" w:rsidRPr="003F1AF9">
        <w:t>kWh of electricity consumed, a HEHP delivers 5.9 kWh of space cooling effect.</w:t>
      </w:r>
      <w:r w:rsidR="0078120E">
        <w:t xml:space="preserve"> </w:t>
      </w:r>
    </w:p>
    <w:p w14:paraId="5F7EF08F" w14:textId="2178C194" w:rsidR="00532271" w:rsidRPr="003F1AF9" w:rsidRDefault="00703339" w:rsidP="00532271">
      <w:r w:rsidRPr="003F1AF9">
        <w:t xml:space="preserve">Table 1.2 </w:t>
      </w:r>
      <w:r w:rsidR="00532271" w:rsidRPr="003F1AF9">
        <w:t>provides cooling season SEER data for a wide range of heat pump / air conditioner types and sizes worldwide.</w:t>
      </w:r>
      <w:r w:rsidR="0078120E">
        <w:t xml:space="preserve"> </w:t>
      </w:r>
      <w:r w:rsidR="00532271" w:rsidRPr="003F1AF9">
        <w:t xml:space="preserve">As </w:t>
      </w:r>
      <w:r w:rsidRPr="003F1AF9">
        <w:t>the table</w:t>
      </w:r>
      <w:r w:rsidR="00532271" w:rsidRPr="003F1AF9">
        <w:t xml:space="preserve"> illustrates, “average” heat pump SEERs range from 3.9 to 5.3 for units across a wide range of sizes from small ACs to large packaged AC units.</w:t>
      </w:r>
      <w:r w:rsidR="0078120E">
        <w:t xml:space="preserve"> </w:t>
      </w:r>
      <w:r w:rsidR="00532271" w:rsidRPr="003F1AF9">
        <w:t>“Typical available high efficiency” units have SEERs ranging from 5.6 to 9.0.</w:t>
      </w:r>
      <w:r w:rsidR="0078120E">
        <w:t xml:space="preserve"> </w:t>
      </w:r>
      <w:r w:rsidR="00532271" w:rsidRPr="003F1AF9">
        <w:t>“Best available” units have efficiencies from 6.9 to 12.3 SEER.</w:t>
      </w:r>
      <w:r w:rsidR="0078120E">
        <w:t xml:space="preserve"> </w:t>
      </w:r>
      <w:r w:rsidR="00532271" w:rsidRPr="003F1AF9">
        <w:t>Chillers represent a special category suited only for very large buildings; chiller SEERs range from 6.2 to 11.7.</w:t>
      </w:r>
      <w:r w:rsidR="0078120E">
        <w:t xml:space="preserve"> </w:t>
      </w:r>
      <w:r w:rsidR="00532271" w:rsidRPr="003F1AF9">
        <w:t>So, a HEHP SEER rating of 5.9 is within the range of “typical available high efficiency” units, substantially above “average” heat pump SEERs, but well below “best available” commercial heat pump / air conditioner efficiencies.</w:t>
      </w:r>
      <w:r w:rsidR="0078120E">
        <w:t xml:space="preserve"> </w:t>
      </w:r>
    </w:p>
    <w:p w14:paraId="7E84A198" w14:textId="76F49E34" w:rsidR="00D125AA" w:rsidRPr="003F1AF9" w:rsidRDefault="00532271" w:rsidP="00532271">
      <w:pPr>
        <w:pStyle w:val="Caption"/>
        <w:jc w:val="center"/>
        <w:rPr>
          <w:vanish/>
          <w:specVanish/>
        </w:rPr>
      </w:pPr>
      <w:bookmarkStart w:id="63" w:name="_Toc42289744"/>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1</w:t>
      </w:r>
      <w:r w:rsidR="00C0437B" w:rsidRPr="003F1AF9">
        <w:rPr>
          <w:noProof/>
        </w:rPr>
        <w:fldChar w:fldCharType="end"/>
      </w:r>
      <w:r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2</w:t>
      </w:r>
      <w:r w:rsidR="00C0437B" w:rsidRPr="003F1AF9">
        <w:rPr>
          <w:noProof/>
        </w:rPr>
        <w:fldChar w:fldCharType="end"/>
      </w:r>
      <w:r w:rsidRPr="003F1AF9">
        <w:t>. Cooling Seasonal Energy Efficiency Ratio (SEER)</w:t>
      </w:r>
      <w:bookmarkEnd w:id="63"/>
    </w:p>
    <w:p w14:paraId="23DF8F05" w14:textId="365F3BC4" w:rsidR="00532271" w:rsidRPr="003F1AF9" w:rsidRDefault="00532271" w:rsidP="00532271">
      <w:pPr>
        <w:pStyle w:val="Caption"/>
        <w:jc w:val="center"/>
      </w:pPr>
      <w:r w:rsidRPr="003F1AF9">
        <w:t xml:space="preserve"> for Selected Heat Pumps and Air Conditioners </w:t>
      </w:r>
    </w:p>
    <w:tbl>
      <w:tblPr>
        <w:tblW w:w="8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240"/>
        <w:gridCol w:w="6220"/>
      </w:tblGrid>
      <w:tr w:rsidR="00532271" w:rsidRPr="003F1AF9" w14:paraId="27FC2D01" w14:textId="77777777" w:rsidTr="00D125AA">
        <w:trPr>
          <w:cantSplit/>
          <w:trHeight w:val="600"/>
          <w:tblHeader/>
          <w:jc w:val="center"/>
        </w:trPr>
        <w:tc>
          <w:tcPr>
            <w:tcW w:w="1240" w:type="dxa"/>
            <w:shd w:val="clear" w:color="auto" w:fill="4F81BD" w:themeFill="accent1"/>
            <w:vAlign w:val="center"/>
            <w:hideMark/>
          </w:tcPr>
          <w:p w14:paraId="527E69F6" w14:textId="1390C9E3" w:rsidR="00532271" w:rsidRPr="003F1AF9" w:rsidRDefault="00532271" w:rsidP="00532271">
            <w:pPr>
              <w:spacing w:after="0" w:line="240" w:lineRule="auto"/>
              <w:jc w:val="center"/>
              <w:rPr>
                <w:rFonts w:eastAsia="Times New Roman" w:cs="Times New Roman"/>
                <w:b/>
                <w:bCs/>
                <w:color w:val="FFFFFF" w:themeColor="background1"/>
                <w:sz w:val="21"/>
                <w:szCs w:val="21"/>
                <w:lang w:eastAsia="en-US"/>
              </w:rPr>
            </w:pPr>
            <w:r w:rsidRPr="003F1AF9">
              <w:rPr>
                <w:rFonts w:eastAsia="Times New Roman" w:cs="Times New Roman"/>
                <w:b/>
                <w:bCs/>
                <w:color w:val="FFFFFF" w:themeColor="background1"/>
                <w:sz w:val="21"/>
                <w:szCs w:val="21"/>
                <w:lang w:eastAsia="en-US"/>
              </w:rPr>
              <w:t>SEER*</w:t>
            </w:r>
            <w:r w:rsidR="0078120E">
              <w:rPr>
                <w:rFonts w:eastAsia="Times New Roman" w:cs="Times New Roman"/>
                <w:b/>
                <w:bCs/>
                <w:color w:val="FFFFFF" w:themeColor="background1"/>
                <w:sz w:val="21"/>
                <w:szCs w:val="21"/>
                <w:lang w:eastAsia="en-US"/>
              </w:rPr>
              <w:t xml:space="preserve"> </w:t>
            </w:r>
            <w:r w:rsidRPr="003F1AF9">
              <w:rPr>
                <w:rFonts w:eastAsia="Times New Roman" w:cs="Times New Roman"/>
                <w:b/>
                <w:bCs/>
                <w:color w:val="FFFFFF" w:themeColor="background1"/>
                <w:sz w:val="21"/>
                <w:szCs w:val="21"/>
                <w:lang w:eastAsia="en-US"/>
              </w:rPr>
              <w:t>[</w:t>
            </w:r>
            <w:proofErr w:type="spellStart"/>
            <w:r w:rsidRPr="003F1AF9">
              <w:rPr>
                <w:rFonts w:eastAsia="Times New Roman" w:cs="Times New Roman"/>
                <w:b/>
                <w:bCs/>
                <w:color w:val="FFFFFF" w:themeColor="background1"/>
                <w:sz w:val="21"/>
                <w:szCs w:val="21"/>
                <w:lang w:eastAsia="en-US"/>
              </w:rPr>
              <w:t>Wh</w:t>
            </w:r>
            <w:proofErr w:type="spellEnd"/>
            <w:r w:rsidRPr="003F1AF9">
              <w:rPr>
                <w:rFonts w:eastAsia="Times New Roman" w:cs="Times New Roman"/>
                <w:b/>
                <w:bCs/>
                <w:color w:val="FFFFFF" w:themeColor="background1"/>
                <w:sz w:val="21"/>
                <w:szCs w:val="21"/>
                <w:lang w:eastAsia="en-US"/>
              </w:rPr>
              <w:t>/</w:t>
            </w:r>
            <w:proofErr w:type="spellStart"/>
            <w:r w:rsidRPr="003F1AF9">
              <w:rPr>
                <w:rFonts w:eastAsia="Times New Roman" w:cs="Times New Roman"/>
                <w:b/>
                <w:bCs/>
                <w:color w:val="FFFFFF" w:themeColor="background1"/>
                <w:sz w:val="21"/>
                <w:szCs w:val="21"/>
                <w:lang w:eastAsia="en-US"/>
              </w:rPr>
              <w:t>Wh</w:t>
            </w:r>
            <w:proofErr w:type="spellEnd"/>
            <w:r w:rsidRPr="003F1AF9">
              <w:rPr>
                <w:rFonts w:eastAsia="Times New Roman" w:cs="Times New Roman"/>
                <w:b/>
                <w:bCs/>
                <w:color w:val="FFFFFF" w:themeColor="background1"/>
                <w:sz w:val="21"/>
                <w:szCs w:val="21"/>
                <w:lang w:eastAsia="en-US"/>
              </w:rPr>
              <w:t>]</w:t>
            </w:r>
          </w:p>
        </w:tc>
        <w:tc>
          <w:tcPr>
            <w:tcW w:w="1240" w:type="dxa"/>
            <w:shd w:val="clear" w:color="auto" w:fill="4F81BD" w:themeFill="accent1"/>
            <w:vAlign w:val="center"/>
            <w:hideMark/>
          </w:tcPr>
          <w:p w14:paraId="56B3F694" w14:textId="77777777" w:rsidR="00532271" w:rsidRPr="003F1AF9" w:rsidRDefault="00532271" w:rsidP="00532271">
            <w:pPr>
              <w:spacing w:after="0" w:line="240" w:lineRule="auto"/>
              <w:jc w:val="center"/>
              <w:rPr>
                <w:rFonts w:eastAsia="Times New Roman" w:cs="Times New Roman"/>
                <w:b/>
                <w:bCs/>
                <w:color w:val="FFFFFF" w:themeColor="background1"/>
                <w:sz w:val="21"/>
                <w:szCs w:val="21"/>
                <w:lang w:eastAsia="en-US"/>
              </w:rPr>
            </w:pPr>
            <w:r w:rsidRPr="003F1AF9">
              <w:rPr>
                <w:rFonts w:eastAsia="Times New Roman" w:cs="Times New Roman"/>
                <w:b/>
                <w:bCs/>
                <w:color w:val="FFFFFF" w:themeColor="background1"/>
                <w:sz w:val="21"/>
                <w:szCs w:val="21"/>
                <w:lang w:eastAsia="en-US"/>
              </w:rPr>
              <w:t>Region</w:t>
            </w:r>
          </w:p>
        </w:tc>
        <w:tc>
          <w:tcPr>
            <w:tcW w:w="6220" w:type="dxa"/>
            <w:shd w:val="clear" w:color="auto" w:fill="4F81BD" w:themeFill="accent1"/>
            <w:vAlign w:val="center"/>
            <w:hideMark/>
          </w:tcPr>
          <w:p w14:paraId="51078167" w14:textId="77777777" w:rsidR="00532271" w:rsidRPr="003F1AF9" w:rsidRDefault="00532271" w:rsidP="00532271">
            <w:pPr>
              <w:spacing w:after="0" w:line="240" w:lineRule="auto"/>
              <w:jc w:val="center"/>
              <w:rPr>
                <w:rFonts w:eastAsia="Times New Roman" w:cs="Times New Roman"/>
                <w:b/>
                <w:bCs/>
                <w:color w:val="FFFFFF" w:themeColor="background1"/>
                <w:sz w:val="21"/>
                <w:szCs w:val="21"/>
                <w:lang w:eastAsia="en-US"/>
              </w:rPr>
            </w:pPr>
            <w:r w:rsidRPr="003F1AF9">
              <w:rPr>
                <w:rFonts w:eastAsia="Times New Roman" w:cs="Times New Roman"/>
                <w:b/>
                <w:bCs/>
                <w:color w:val="FFFFFF" w:themeColor="background1"/>
                <w:sz w:val="21"/>
                <w:szCs w:val="21"/>
                <w:lang w:eastAsia="en-US"/>
              </w:rPr>
              <w:t>Description</w:t>
            </w:r>
          </w:p>
        </w:tc>
      </w:tr>
      <w:tr w:rsidR="00532271" w:rsidRPr="003F1AF9" w14:paraId="265FCFCB" w14:textId="77777777" w:rsidTr="00532271">
        <w:trPr>
          <w:trHeight w:val="600"/>
          <w:jc w:val="center"/>
        </w:trPr>
        <w:tc>
          <w:tcPr>
            <w:tcW w:w="1240" w:type="dxa"/>
            <w:shd w:val="clear" w:color="auto" w:fill="auto"/>
            <w:vAlign w:val="center"/>
            <w:hideMark/>
          </w:tcPr>
          <w:p w14:paraId="10573803"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7.9</w:t>
            </w:r>
          </w:p>
        </w:tc>
        <w:tc>
          <w:tcPr>
            <w:tcW w:w="1240" w:type="dxa"/>
            <w:shd w:val="clear" w:color="auto" w:fill="auto"/>
            <w:vAlign w:val="center"/>
            <w:hideMark/>
          </w:tcPr>
          <w:p w14:paraId="7D0C8ADA"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USA</w:t>
            </w:r>
          </w:p>
        </w:tc>
        <w:tc>
          <w:tcPr>
            <w:tcW w:w="6220" w:type="dxa"/>
            <w:shd w:val="clear" w:color="auto" w:fill="auto"/>
            <w:vAlign w:val="bottom"/>
            <w:hideMark/>
          </w:tcPr>
          <w:p w14:paraId="6537BD23" w14:textId="2C545F4D"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 xml:space="preserve">Most Efficient Central Air Conditioners &amp; Air Source Heat Pumps (ENERGY STAR, </w:t>
            </w:r>
            <w:proofErr w:type="spellStart"/>
            <w:r w:rsidR="00FC451C" w:rsidRPr="003F1AF9">
              <w:rPr>
                <w:rFonts w:eastAsia="Times New Roman" w:cs="Times New Roman"/>
                <w:sz w:val="21"/>
                <w:szCs w:val="21"/>
                <w:lang w:eastAsia="en-US"/>
              </w:rPr>
              <w:t>n.d</w:t>
            </w:r>
            <w:proofErr w:type="spellEnd"/>
            <w:r w:rsidR="00FC451C" w:rsidRPr="003F1AF9">
              <w:rPr>
                <w:rFonts w:eastAsia="Times New Roman" w:cs="Times New Roman"/>
                <w:sz w:val="21"/>
                <w:szCs w:val="21"/>
                <w:lang w:eastAsia="en-US"/>
              </w:rPr>
              <w:t xml:space="preserve"> a-f</w:t>
            </w:r>
            <w:r w:rsidRPr="003F1AF9">
              <w:rPr>
                <w:rFonts w:eastAsia="Times New Roman" w:cs="Times New Roman"/>
                <w:color w:val="000000"/>
                <w:sz w:val="21"/>
                <w:szCs w:val="21"/>
                <w:lang w:eastAsia="en-US"/>
              </w:rPr>
              <w:t>)</w:t>
            </w:r>
            <w:r w:rsidR="008F72B3">
              <w:rPr>
                <w:rFonts w:eastAsia="Times New Roman" w:cs="Times New Roman"/>
                <w:color w:val="000000"/>
                <w:sz w:val="21"/>
                <w:szCs w:val="21"/>
                <w:lang w:eastAsia="en-US"/>
              </w:rPr>
              <w:t>.</w:t>
            </w:r>
          </w:p>
        </w:tc>
      </w:tr>
      <w:tr w:rsidR="00532271" w:rsidRPr="003F1AF9" w14:paraId="2F814DBD" w14:textId="77777777" w:rsidTr="00532271">
        <w:trPr>
          <w:trHeight w:val="300"/>
          <w:jc w:val="center"/>
        </w:trPr>
        <w:tc>
          <w:tcPr>
            <w:tcW w:w="1240" w:type="dxa"/>
            <w:shd w:val="clear" w:color="auto" w:fill="auto"/>
            <w:vAlign w:val="center"/>
            <w:hideMark/>
          </w:tcPr>
          <w:p w14:paraId="44B35DB0"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4.4</w:t>
            </w:r>
          </w:p>
        </w:tc>
        <w:tc>
          <w:tcPr>
            <w:tcW w:w="1240" w:type="dxa"/>
            <w:shd w:val="clear" w:color="auto" w:fill="auto"/>
            <w:vAlign w:val="center"/>
            <w:hideMark/>
          </w:tcPr>
          <w:p w14:paraId="301DF298"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USA</w:t>
            </w:r>
          </w:p>
        </w:tc>
        <w:tc>
          <w:tcPr>
            <w:tcW w:w="6220" w:type="dxa"/>
            <w:shd w:val="clear" w:color="auto" w:fill="auto"/>
            <w:vAlign w:val="bottom"/>
            <w:hideMark/>
          </w:tcPr>
          <w:p w14:paraId="07F079E7" w14:textId="3BD8E982"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 xml:space="preserve">The minimum to be rated (ENERGY STAR, </w:t>
            </w:r>
            <w:proofErr w:type="spellStart"/>
            <w:r w:rsidR="00FC451C" w:rsidRPr="003F1AF9">
              <w:rPr>
                <w:rFonts w:eastAsia="Times New Roman" w:cs="Times New Roman"/>
                <w:sz w:val="21"/>
                <w:szCs w:val="21"/>
                <w:lang w:eastAsia="en-US"/>
              </w:rPr>
              <w:t>n.d</w:t>
            </w:r>
            <w:proofErr w:type="spellEnd"/>
            <w:r w:rsidR="00FC451C" w:rsidRPr="003F1AF9">
              <w:rPr>
                <w:rFonts w:eastAsia="Times New Roman" w:cs="Times New Roman"/>
                <w:sz w:val="21"/>
                <w:szCs w:val="21"/>
                <w:lang w:eastAsia="en-US"/>
              </w:rPr>
              <w:t xml:space="preserve"> a-f</w:t>
            </w:r>
            <w:r w:rsidRPr="003F1AF9">
              <w:rPr>
                <w:rFonts w:eastAsia="Times New Roman" w:cs="Times New Roman"/>
                <w:color w:val="000000"/>
                <w:sz w:val="21"/>
                <w:szCs w:val="21"/>
                <w:lang w:eastAsia="en-US"/>
              </w:rPr>
              <w:t>)</w:t>
            </w:r>
            <w:r w:rsidR="008F72B3">
              <w:rPr>
                <w:rFonts w:eastAsia="Times New Roman" w:cs="Times New Roman"/>
                <w:color w:val="000000"/>
                <w:sz w:val="21"/>
                <w:szCs w:val="21"/>
                <w:lang w:eastAsia="en-US"/>
              </w:rPr>
              <w:t>.</w:t>
            </w:r>
          </w:p>
        </w:tc>
      </w:tr>
      <w:tr w:rsidR="00532271" w:rsidRPr="003F1AF9" w14:paraId="6CE3DC50" w14:textId="77777777" w:rsidTr="00532271">
        <w:trPr>
          <w:trHeight w:val="300"/>
          <w:jc w:val="center"/>
        </w:trPr>
        <w:tc>
          <w:tcPr>
            <w:tcW w:w="1240" w:type="dxa"/>
            <w:shd w:val="clear" w:color="auto" w:fill="auto"/>
            <w:noWrap/>
            <w:vAlign w:val="center"/>
            <w:hideMark/>
          </w:tcPr>
          <w:p w14:paraId="0E9015B1"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12.3</w:t>
            </w:r>
          </w:p>
        </w:tc>
        <w:tc>
          <w:tcPr>
            <w:tcW w:w="1240" w:type="dxa"/>
            <w:shd w:val="clear" w:color="auto" w:fill="auto"/>
            <w:vAlign w:val="center"/>
            <w:hideMark/>
          </w:tcPr>
          <w:p w14:paraId="489CEC76"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USA</w:t>
            </w:r>
          </w:p>
        </w:tc>
        <w:tc>
          <w:tcPr>
            <w:tcW w:w="6220" w:type="dxa"/>
            <w:shd w:val="clear" w:color="auto" w:fill="auto"/>
            <w:vAlign w:val="bottom"/>
            <w:hideMark/>
          </w:tcPr>
          <w:p w14:paraId="47283772" w14:textId="0B830695"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Small AC best available (IEA, 2018)</w:t>
            </w:r>
            <w:r w:rsidR="008F72B3">
              <w:rPr>
                <w:rFonts w:eastAsia="Times New Roman" w:cs="Times New Roman"/>
                <w:color w:val="000000"/>
                <w:sz w:val="21"/>
                <w:szCs w:val="21"/>
                <w:lang w:eastAsia="en-US"/>
              </w:rPr>
              <w:t>.</w:t>
            </w:r>
          </w:p>
        </w:tc>
      </w:tr>
      <w:tr w:rsidR="00532271" w:rsidRPr="003F1AF9" w14:paraId="696D1A00" w14:textId="77777777" w:rsidTr="00532271">
        <w:trPr>
          <w:trHeight w:val="300"/>
          <w:jc w:val="center"/>
        </w:trPr>
        <w:tc>
          <w:tcPr>
            <w:tcW w:w="1240" w:type="dxa"/>
            <w:shd w:val="clear" w:color="auto" w:fill="auto"/>
            <w:noWrap/>
            <w:vAlign w:val="center"/>
            <w:hideMark/>
          </w:tcPr>
          <w:p w14:paraId="7C87E956"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7.6</w:t>
            </w:r>
          </w:p>
        </w:tc>
        <w:tc>
          <w:tcPr>
            <w:tcW w:w="1240" w:type="dxa"/>
            <w:shd w:val="clear" w:color="auto" w:fill="auto"/>
            <w:vAlign w:val="center"/>
            <w:hideMark/>
          </w:tcPr>
          <w:p w14:paraId="050F8740"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USA</w:t>
            </w:r>
          </w:p>
        </w:tc>
        <w:tc>
          <w:tcPr>
            <w:tcW w:w="6220" w:type="dxa"/>
            <w:shd w:val="clear" w:color="auto" w:fill="auto"/>
            <w:vAlign w:val="bottom"/>
            <w:hideMark/>
          </w:tcPr>
          <w:p w14:paraId="3FC4513B" w14:textId="3CA03A40"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Small AC typical available high (IEA, 2018)</w:t>
            </w:r>
            <w:r w:rsidR="008F72B3">
              <w:rPr>
                <w:rFonts w:eastAsia="Times New Roman" w:cs="Times New Roman"/>
                <w:color w:val="000000"/>
                <w:sz w:val="21"/>
                <w:szCs w:val="21"/>
                <w:lang w:eastAsia="en-US"/>
              </w:rPr>
              <w:t>.</w:t>
            </w:r>
          </w:p>
        </w:tc>
      </w:tr>
      <w:tr w:rsidR="00532271" w:rsidRPr="003F1AF9" w14:paraId="1B883BD1" w14:textId="77777777" w:rsidTr="00532271">
        <w:trPr>
          <w:trHeight w:val="300"/>
          <w:jc w:val="center"/>
        </w:trPr>
        <w:tc>
          <w:tcPr>
            <w:tcW w:w="1240" w:type="dxa"/>
            <w:shd w:val="clear" w:color="auto" w:fill="auto"/>
            <w:noWrap/>
            <w:vAlign w:val="center"/>
            <w:hideMark/>
          </w:tcPr>
          <w:p w14:paraId="198B5C7A"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4.2</w:t>
            </w:r>
          </w:p>
        </w:tc>
        <w:tc>
          <w:tcPr>
            <w:tcW w:w="1240" w:type="dxa"/>
            <w:shd w:val="clear" w:color="auto" w:fill="auto"/>
            <w:vAlign w:val="center"/>
            <w:hideMark/>
          </w:tcPr>
          <w:p w14:paraId="12676C12"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USA</w:t>
            </w:r>
          </w:p>
        </w:tc>
        <w:tc>
          <w:tcPr>
            <w:tcW w:w="6220" w:type="dxa"/>
            <w:shd w:val="clear" w:color="auto" w:fill="auto"/>
            <w:vAlign w:val="bottom"/>
            <w:hideMark/>
          </w:tcPr>
          <w:p w14:paraId="24A9A769" w14:textId="69E784F6"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Small AC market average (IEA, 2018)</w:t>
            </w:r>
            <w:r w:rsidR="008F72B3">
              <w:rPr>
                <w:rFonts w:eastAsia="Times New Roman" w:cs="Times New Roman"/>
                <w:color w:val="000000"/>
                <w:sz w:val="21"/>
                <w:szCs w:val="21"/>
                <w:lang w:eastAsia="en-US"/>
              </w:rPr>
              <w:t>.</w:t>
            </w:r>
          </w:p>
        </w:tc>
      </w:tr>
      <w:tr w:rsidR="00532271" w:rsidRPr="003F1AF9" w14:paraId="60DCB3F8" w14:textId="77777777" w:rsidTr="00532271">
        <w:trPr>
          <w:trHeight w:val="300"/>
          <w:jc w:val="center"/>
        </w:trPr>
        <w:tc>
          <w:tcPr>
            <w:tcW w:w="1240" w:type="dxa"/>
            <w:shd w:val="clear" w:color="auto" w:fill="auto"/>
            <w:noWrap/>
            <w:vAlign w:val="center"/>
            <w:hideMark/>
          </w:tcPr>
          <w:p w14:paraId="546B7E24"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11.0</w:t>
            </w:r>
          </w:p>
        </w:tc>
        <w:tc>
          <w:tcPr>
            <w:tcW w:w="1240" w:type="dxa"/>
            <w:shd w:val="clear" w:color="auto" w:fill="auto"/>
            <w:vAlign w:val="center"/>
            <w:hideMark/>
          </w:tcPr>
          <w:p w14:paraId="3AD31447"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Europe</w:t>
            </w:r>
          </w:p>
        </w:tc>
        <w:tc>
          <w:tcPr>
            <w:tcW w:w="6220" w:type="dxa"/>
            <w:shd w:val="clear" w:color="auto" w:fill="auto"/>
            <w:vAlign w:val="bottom"/>
            <w:hideMark/>
          </w:tcPr>
          <w:p w14:paraId="4EBDC288" w14:textId="71E4B7CB"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Small AC best available (IEA, 2018)</w:t>
            </w:r>
            <w:r w:rsidR="008F72B3">
              <w:rPr>
                <w:rFonts w:eastAsia="Times New Roman" w:cs="Times New Roman"/>
                <w:color w:val="000000"/>
                <w:sz w:val="21"/>
                <w:szCs w:val="21"/>
                <w:lang w:eastAsia="en-US"/>
              </w:rPr>
              <w:t>.</w:t>
            </w:r>
          </w:p>
        </w:tc>
      </w:tr>
      <w:tr w:rsidR="00532271" w:rsidRPr="003F1AF9" w14:paraId="402252EF" w14:textId="77777777" w:rsidTr="00532271">
        <w:trPr>
          <w:trHeight w:val="300"/>
          <w:jc w:val="center"/>
        </w:trPr>
        <w:tc>
          <w:tcPr>
            <w:tcW w:w="1240" w:type="dxa"/>
            <w:shd w:val="clear" w:color="auto" w:fill="auto"/>
            <w:noWrap/>
            <w:vAlign w:val="center"/>
            <w:hideMark/>
          </w:tcPr>
          <w:p w14:paraId="0DF125C3"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9.0</w:t>
            </w:r>
          </w:p>
        </w:tc>
        <w:tc>
          <w:tcPr>
            <w:tcW w:w="1240" w:type="dxa"/>
            <w:shd w:val="clear" w:color="auto" w:fill="auto"/>
            <w:vAlign w:val="center"/>
            <w:hideMark/>
          </w:tcPr>
          <w:p w14:paraId="77425632"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Europe</w:t>
            </w:r>
          </w:p>
        </w:tc>
        <w:tc>
          <w:tcPr>
            <w:tcW w:w="6220" w:type="dxa"/>
            <w:shd w:val="clear" w:color="auto" w:fill="auto"/>
            <w:vAlign w:val="bottom"/>
            <w:hideMark/>
          </w:tcPr>
          <w:p w14:paraId="46F1AA62" w14:textId="6E6BCC32"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Small AC typical available high (IEA, 2018)</w:t>
            </w:r>
            <w:r w:rsidR="008F72B3">
              <w:rPr>
                <w:rFonts w:eastAsia="Times New Roman" w:cs="Times New Roman"/>
                <w:color w:val="000000"/>
                <w:sz w:val="21"/>
                <w:szCs w:val="21"/>
                <w:lang w:eastAsia="en-US"/>
              </w:rPr>
              <w:t>.</w:t>
            </w:r>
          </w:p>
        </w:tc>
      </w:tr>
      <w:tr w:rsidR="00532271" w:rsidRPr="003F1AF9" w14:paraId="1E255DB9" w14:textId="77777777" w:rsidTr="00532271">
        <w:trPr>
          <w:trHeight w:val="300"/>
          <w:jc w:val="center"/>
        </w:trPr>
        <w:tc>
          <w:tcPr>
            <w:tcW w:w="1240" w:type="dxa"/>
            <w:shd w:val="clear" w:color="auto" w:fill="auto"/>
            <w:noWrap/>
            <w:vAlign w:val="center"/>
            <w:hideMark/>
          </w:tcPr>
          <w:p w14:paraId="7FD472C9"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5.3</w:t>
            </w:r>
          </w:p>
        </w:tc>
        <w:tc>
          <w:tcPr>
            <w:tcW w:w="1240" w:type="dxa"/>
            <w:shd w:val="clear" w:color="auto" w:fill="auto"/>
            <w:vAlign w:val="center"/>
            <w:hideMark/>
          </w:tcPr>
          <w:p w14:paraId="144492AA"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Europe</w:t>
            </w:r>
          </w:p>
        </w:tc>
        <w:tc>
          <w:tcPr>
            <w:tcW w:w="6220" w:type="dxa"/>
            <w:shd w:val="clear" w:color="auto" w:fill="auto"/>
            <w:vAlign w:val="bottom"/>
            <w:hideMark/>
          </w:tcPr>
          <w:p w14:paraId="25BB5129" w14:textId="38859845"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Small AC market average (IEA, 2018)</w:t>
            </w:r>
            <w:r w:rsidR="008F72B3">
              <w:rPr>
                <w:rFonts w:eastAsia="Times New Roman" w:cs="Times New Roman"/>
                <w:color w:val="000000"/>
                <w:sz w:val="21"/>
                <w:szCs w:val="21"/>
                <w:lang w:eastAsia="en-US"/>
              </w:rPr>
              <w:t>.</w:t>
            </w:r>
          </w:p>
        </w:tc>
      </w:tr>
      <w:tr w:rsidR="00532271" w:rsidRPr="003F1AF9" w14:paraId="693C952E" w14:textId="77777777" w:rsidTr="00532271">
        <w:trPr>
          <w:trHeight w:val="300"/>
          <w:jc w:val="center"/>
        </w:trPr>
        <w:tc>
          <w:tcPr>
            <w:tcW w:w="1240" w:type="dxa"/>
            <w:shd w:val="clear" w:color="auto" w:fill="auto"/>
            <w:noWrap/>
            <w:vAlign w:val="center"/>
            <w:hideMark/>
          </w:tcPr>
          <w:p w14:paraId="1A895528"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7.5</w:t>
            </w:r>
          </w:p>
        </w:tc>
        <w:tc>
          <w:tcPr>
            <w:tcW w:w="1240" w:type="dxa"/>
            <w:shd w:val="clear" w:color="auto" w:fill="auto"/>
            <w:vAlign w:val="center"/>
            <w:hideMark/>
          </w:tcPr>
          <w:p w14:paraId="219495EE"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China</w:t>
            </w:r>
          </w:p>
        </w:tc>
        <w:tc>
          <w:tcPr>
            <w:tcW w:w="6220" w:type="dxa"/>
            <w:shd w:val="clear" w:color="auto" w:fill="auto"/>
            <w:vAlign w:val="bottom"/>
            <w:hideMark/>
          </w:tcPr>
          <w:p w14:paraId="5C48A05A" w14:textId="782F5D83"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Small AC best available (IEA, 2018)</w:t>
            </w:r>
            <w:r w:rsidR="008F72B3">
              <w:rPr>
                <w:rFonts w:eastAsia="Times New Roman" w:cs="Times New Roman"/>
                <w:color w:val="000000"/>
                <w:sz w:val="21"/>
                <w:szCs w:val="21"/>
                <w:lang w:eastAsia="en-US"/>
              </w:rPr>
              <w:t>.</w:t>
            </w:r>
          </w:p>
        </w:tc>
      </w:tr>
      <w:tr w:rsidR="00532271" w:rsidRPr="003F1AF9" w14:paraId="62FA4977" w14:textId="77777777" w:rsidTr="00532271">
        <w:trPr>
          <w:trHeight w:val="300"/>
          <w:jc w:val="center"/>
        </w:trPr>
        <w:tc>
          <w:tcPr>
            <w:tcW w:w="1240" w:type="dxa"/>
            <w:shd w:val="clear" w:color="auto" w:fill="auto"/>
            <w:noWrap/>
            <w:vAlign w:val="center"/>
            <w:hideMark/>
          </w:tcPr>
          <w:p w14:paraId="5433E28C"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6.8</w:t>
            </w:r>
          </w:p>
        </w:tc>
        <w:tc>
          <w:tcPr>
            <w:tcW w:w="1240" w:type="dxa"/>
            <w:shd w:val="clear" w:color="auto" w:fill="auto"/>
            <w:vAlign w:val="center"/>
            <w:hideMark/>
          </w:tcPr>
          <w:p w14:paraId="6586F0B8"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China</w:t>
            </w:r>
          </w:p>
        </w:tc>
        <w:tc>
          <w:tcPr>
            <w:tcW w:w="6220" w:type="dxa"/>
            <w:shd w:val="clear" w:color="auto" w:fill="auto"/>
            <w:vAlign w:val="bottom"/>
            <w:hideMark/>
          </w:tcPr>
          <w:p w14:paraId="04CDB736" w14:textId="4C23719C"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Small AC typical available high (IEA, 2018)</w:t>
            </w:r>
            <w:r w:rsidR="008F72B3">
              <w:rPr>
                <w:rFonts w:eastAsia="Times New Roman" w:cs="Times New Roman"/>
                <w:color w:val="000000"/>
                <w:sz w:val="21"/>
                <w:szCs w:val="21"/>
                <w:lang w:eastAsia="en-US"/>
              </w:rPr>
              <w:t>.</w:t>
            </w:r>
          </w:p>
        </w:tc>
      </w:tr>
      <w:tr w:rsidR="00532271" w:rsidRPr="003F1AF9" w14:paraId="5A210BF8" w14:textId="77777777" w:rsidTr="00532271">
        <w:trPr>
          <w:trHeight w:val="300"/>
          <w:jc w:val="center"/>
        </w:trPr>
        <w:tc>
          <w:tcPr>
            <w:tcW w:w="1240" w:type="dxa"/>
            <w:shd w:val="clear" w:color="auto" w:fill="auto"/>
            <w:noWrap/>
            <w:vAlign w:val="center"/>
            <w:hideMark/>
          </w:tcPr>
          <w:p w14:paraId="36E13292"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4.4</w:t>
            </w:r>
          </w:p>
        </w:tc>
        <w:tc>
          <w:tcPr>
            <w:tcW w:w="1240" w:type="dxa"/>
            <w:shd w:val="clear" w:color="auto" w:fill="auto"/>
            <w:vAlign w:val="center"/>
            <w:hideMark/>
          </w:tcPr>
          <w:p w14:paraId="785DEACB"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China</w:t>
            </w:r>
          </w:p>
        </w:tc>
        <w:tc>
          <w:tcPr>
            <w:tcW w:w="6220" w:type="dxa"/>
            <w:shd w:val="clear" w:color="auto" w:fill="auto"/>
            <w:vAlign w:val="bottom"/>
            <w:hideMark/>
          </w:tcPr>
          <w:p w14:paraId="46057331" w14:textId="06CA53CE"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Small AC market average (IEA, 2018)</w:t>
            </w:r>
            <w:r w:rsidR="008F72B3">
              <w:rPr>
                <w:rFonts w:eastAsia="Times New Roman" w:cs="Times New Roman"/>
                <w:color w:val="000000"/>
                <w:sz w:val="21"/>
                <w:szCs w:val="21"/>
                <w:lang w:eastAsia="en-US"/>
              </w:rPr>
              <w:t>.</w:t>
            </w:r>
          </w:p>
        </w:tc>
      </w:tr>
      <w:tr w:rsidR="00532271" w:rsidRPr="003F1AF9" w14:paraId="6DE255C9" w14:textId="77777777" w:rsidTr="00532271">
        <w:trPr>
          <w:trHeight w:val="300"/>
          <w:jc w:val="center"/>
        </w:trPr>
        <w:tc>
          <w:tcPr>
            <w:tcW w:w="1240" w:type="dxa"/>
            <w:shd w:val="clear" w:color="auto" w:fill="auto"/>
            <w:noWrap/>
            <w:vAlign w:val="center"/>
            <w:hideMark/>
          </w:tcPr>
          <w:p w14:paraId="40D51BE2"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11.7</w:t>
            </w:r>
          </w:p>
        </w:tc>
        <w:tc>
          <w:tcPr>
            <w:tcW w:w="1240" w:type="dxa"/>
            <w:shd w:val="clear" w:color="auto" w:fill="auto"/>
            <w:vAlign w:val="center"/>
            <w:hideMark/>
          </w:tcPr>
          <w:p w14:paraId="4A9B916E"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Global</w:t>
            </w:r>
          </w:p>
        </w:tc>
        <w:tc>
          <w:tcPr>
            <w:tcW w:w="6220" w:type="dxa"/>
            <w:shd w:val="clear" w:color="auto" w:fill="auto"/>
            <w:vAlign w:val="bottom"/>
            <w:hideMark/>
          </w:tcPr>
          <w:p w14:paraId="4D270B1E" w14:textId="1AFDA90E"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Chillers best available (IEA, 2018)</w:t>
            </w:r>
            <w:r w:rsidR="008F72B3">
              <w:rPr>
                <w:rFonts w:eastAsia="Times New Roman" w:cs="Times New Roman"/>
                <w:color w:val="000000"/>
                <w:sz w:val="21"/>
                <w:szCs w:val="21"/>
                <w:lang w:eastAsia="en-US"/>
              </w:rPr>
              <w:t>.</w:t>
            </w:r>
          </w:p>
        </w:tc>
      </w:tr>
      <w:tr w:rsidR="00532271" w:rsidRPr="003F1AF9" w14:paraId="49351B68" w14:textId="77777777" w:rsidTr="00532271">
        <w:trPr>
          <w:trHeight w:val="300"/>
          <w:jc w:val="center"/>
        </w:trPr>
        <w:tc>
          <w:tcPr>
            <w:tcW w:w="1240" w:type="dxa"/>
            <w:shd w:val="clear" w:color="auto" w:fill="auto"/>
            <w:noWrap/>
            <w:vAlign w:val="center"/>
            <w:hideMark/>
          </w:tcPr>
          <w:p w14:paraId="1F0202B2"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lastRenderedPageBreak/>
              <w:t>11.2</w:t>
            </w:r>
          </w:p>
        </w:tc>
        <w:tc>
          <w:tcPr>
            <w:tcW w:w="1240" w:type="dxa"/>
            <w:shd w:val="clear" w:color="auto" w:fill="auto"/>
            <w:vAlign w:val="center"/>
            <w:hideMark/>
          </w:tcPr>
          <w:p w14:paraId="2B2E381D"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Global</w:t>
            </w:r>
          </w:p>
        </w:tc>
        <w:tc>
          <w:tcPr>
            <w:tcW w:w="6220" w:type="dxa"/>
            <w:shd w:val="clear" w:color="auto" w:fill="auto"/>
            <w:vAlign w:val="bottom"/>
            <w:hideMark/>
          </w:tcPr>
          <w:p w14:paraId="272B7505" w14:textId="104B3FCD"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Chillers typical available high (IEA, 2018)</w:t>
            </w:r>
            <w:r w:rsidR="008F72B3">
              <w:rPr>
                <w:rFonts w:eastAsia="Times New Roman" w:cs="Times New Roman"/>
                <w:color w:val="000000"/>
                <w:sz w:val="21"/>
                <w:szCs w:val="21"/>
                <w:lang w:eastAsia="en-US"/>
              </w:rPr>
              <w:t>.</w:t>
            </w:r>
          </w:p>
        </w:tc>
      </w:tr>
      <w:tr w:rsidR="00532271" w:rsidRPr="003F1AF9" w14:paraId="6DB1138B" w14:textId="77777777" w:rsidTr="00532271">
        <w:trPr>
          <w:trHeight w:val="300"/>
          <w:jc w:val="center"/>
        </w:trPr>
        <w:tc>
          <w:tcPr>
            <w:tcW w:w="1240" w:type="dxa"/>
            <w:shd w:val="clear" w:color="auto" w:fill="auto"/>
            <w:noWrap/>
            <w:vAlign w:val="center"/>
            <w:hideMark/>
          </w:tcPr>
          <w:p w14:paraId="15692F6A"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6.2</w:t>
            </w:r>
          </w:p>
        </w:tc>
        <w:tc>
          <w:tcPr>
            <w:tcW w:w="1240" w:type="dxa"/>
            <w:shd w:val="clear" w:color="auto" w:fill="auto"/>
            <w:vAlign w:val="center"/>
            <w:hideMark/>
          </w:tcPr>
          <w:p w14:paraId="7F4CA5AF"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Global</w:t>
            </w:r>
          </w:p>
        </w:tc>
        <w:tc>
          <w:tcPr>
            <w:tcW w:w="6220" w:type="dxa"/>
            <w:shd w:val="clear" w:color="auto" w:fill="auto"/>
            <w:vAlign w:val="bottom"/>
            <w:hideMark/>
          </w:tcPr>
          <w:p w14:paraId="3A7D22E9" w14:textId="31DB5A6A"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Chillers market average (IEA, 2018)</w:t>
            </w:r>
            <w:r w:rsidR="008F72B3">
              <w:rPr>
                <w:rFonts w:eastAsia="Times New Roman" w:cs="Times New Roman"/>
                <w:color w:val="000000"/>
                <w:sz w:val="21"/>
                <w:szCs w:val="21"/>
                <w:lang w:eastAsia="en-US"/>
              </w:rPr>
              <w:t>.</w:t>
            </w:r>
          </w:p>
        </w:tc>
      </w:tr>
      <w:tr w:rsidR="00532271" w:rsidRPr="003F1AF9" w14:paraId="56F7420F" w14:textId="77777777" w:rsidTr="00532271">
        <w:trPr>
          <w:trHeight w:val="300"/>
          <w:jc w:val="center"/>
        </w:trPr>
        <w:tc>
          <w:tcPr>
            <w:tcW w:w="1240" w:type="dxa"/>
            <w:shd w:val="clear" w:color="auto" w:fill="auto"/>
            <w:noWrap/>
            <w:vAlign w:val="center"/>
            <w:hideMark/>
          </w:tcPr>
          <w:p w14:paraId="3D479F9A"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6.9</w:t>
            </w:r>
          </w:p>
        </w:tc>
        <w:tc>
          <w:tcPr>
            <w:tcW w:w="1240" w:type="dxa"/>
            <w:shd w:val="clear" w:color="auto" w:fill="auto"/>
            <w:vAlign w:val="center"/>
            <w:hideMark/>
          </w:tcPr>
          <w:p w14:paraId="7FC2A431"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Global</w:t>
            </w:r>
          </w:p>
        </w:tc>
        <w:tc>
          <w:tcPr>
            <w:tcW w:w="6220" w:type="dxa"/>
            <w:shd w:val="clear" w:color="auto" w:fill="auto"/>
            <w:vAlign w:val="bottom"/>
            <w:hideMark/>
          </w:tcPr>
          <w:p w14:paraId="6921F66A" w14:textId="47285E2A"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Large packaged AC best available (IEA, 2018)</w:t>
            </w:r>
            <w:r w:rsidR="008F72B3">
              <w:rPr>
                <w:rFonts w:eastAsia="Times New Roman" w:cs="Times New Roman"/>
                <w:color w:val="000000"/>
                <w:sz w:val="21"/>
                <w:szCs w:val="21"/>
                <w:lang w:eastAsia="en-US"/>
              </w:rPr>
              <w:t>.</w:t>
            </w:r>
          </w:p>
        </w:tc>
      </w:tr>
      <w:tr w:rsidR="00532271" w:rsidRPr="003F1AF9" w14:paraId="144881EE" w14:textId="77777777" w:rsidTr="00532271">
        <w:trPr>
          <w:trHeight w:val="300"/>
          <w:jc w:val="center"/>
        </w:trPr>
        <w:tc>
          <w:tcPr>
            <w:tcW w:w="1240" w:type="dxa"/>
            <w:shd w:val="clear" w:color="auto" w:fill="auto"/>
            <w:noWrap/>
            <w:vAlign w:val="center"/>
            <w:hideMark/>
          </w:tcPr>
          <w:p w14:paraId="66AE1576"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5.6</w:t>
            </w:r>
          </w:p>
        </w:tc>
        <w:tc>
          <w:tcPr>
            <w:tcW w:w="1240" w:type="dxa"/>
            <w:shd w:val="clear" w:color="auto" w:fill="auto"/>
            <w:vAlign w:val="center"/>
            <w:hideMark/>
          </w:tcPr>
          <w:p w14:paraId="3F7A2BCE"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Global</w:t>
            </w:r>
          </w:p>
        </w:tc>
        <w:tc>
          <w:tcPr>
            <w:tcW w:w="6220" w:type="dxa"/>
            <w:shd w:val="clear" w:color="auto" w:fill="auto"/>
            <w:vAlign w:val="bottom"/>
            <w:hideMark/>
          </w:tcPr>
          <w:p w14:paraId="4CEF52CE" w14:textId="72B139EF"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Large packaged AC typical available high (IEA, 2018)</w:t>
            </w:r>
            <w:r w:rsidR="008F72B3">
              <w:rPr>
                <w:rFonts w:eastAsia="Times New Roman" w:cs="Times New Roman"/>
                <w:color w:val="000000"/>
                <w:sz w:val="21"/>
                <w:szCs w:val="21"/>
                <w:lang w:eastAsia="en-US"/>
              </w:rPr>
              <w:t>.</w:t>
            </w:r>
          </w:p>
        </w:tc>
      </w:tr>
      <w:tr w:rsidR="00532271" w:rsidRPr="003F1AF9" w14:paraId="7DF22F3E" w14:textId="77777777" w:rsidTr="00532271">
        <w:trPr>
          <w:trHeight w:val="300"/>
          <w:jc w:val="center"/>
        </w:trPr>
        <w:tc>
          <w:tcPr>
            <w:tcW w:w="1240" w:type="dxa"/>
            <w:shd w:val="clear" w:color="auto" w:fill="auto"/>
            <w:noWrap/>
            <w:vAlign w:val="center"/>
            <w:hideMark/>
          </w:tcPr>
          <w:p w14:paraId="3CAD39D0"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3.9</w:t>
            </w:r>
          </w:p>
        </w:tc>
        <w:tc>
          <w:tcPr>
            <w:tcW w:w="1240" w:type="dxa"/>
            <w:shd w:val="clear" w:color="auto" w:fill="auto"/>
            <w:vAlign w:val="center"/>
            <w:hideMark/>
          </w:tcPr>
          <w:p w14:paraId="5C8FBCCC" w14:textId="77777777" w:rsidR="00532271" w:rsidRPr="003F1AF9" w:rsidRDefault="00532271" w:rsidP="00532271">
            <w:pPr>
              <w:spacing w:after="0" w:line="240" w:lineRule="auto"/>
              <w:jc w:val="center"/>
              <w:rPr>
                <w:rFonts w:eastAsia="Times New Roman" w:cs="Times New Roman"/>
                <w:bCs/>
                <w:color w:val="000000"/>
                <w:sz w:val="21"/>
                <w:szCs w:val="21"/>
                <w:lang w:eastAsia="en-US"/>
              </w:rPr>
            </w:pPr>
            <w:r w:rsidRPr="003F1AF9">
              <w:rPr>
                <w:rFonts w:eastAsia="Times New Roman" w:cs="Times New Roman"/>
                <w:bCs/>
                <w:color w:val="000000"/>
                <w:sz w:val="21"/>
                <w:szCs w:val="21"/>
                <w:lang w:eastAsia="en-US"/>
              </w:rPr>
              <w:t>Global</w:t>
            </w:r>
          </w:p>
        </w:tc>
        <w:tc>
          <w:tcPr>
            <w:tcW w:w="6220" w:type="dxa"/>
            <w:shd w:val="clear" w:color="auto" w:fill="auto"/>
            <w:vAlign w:val="bottom"/>
            <w:hideMark/>
          </w:tcPr>
          <w:p w14:paraId="114ACEF4" w14:textId="14088D5F" w:rsidR="00532271" w:rsidRPr="003F1AF9" w:rsidRDefault="00532271" w:rsidP="00532271">
            <w:pPr>
              <w:spacing w:after="0" w:line="240" w:lineRule="auto"/>
              <w:jc w:val="left"/>
              <w:rPr>
                <w:rFonts w:eastAsia="Times New Roman" w:cs="Times New Roman"/>
                <w:color w:val="000000"/>
                <w:sz w:val="21"/>
                <w:szCs w:val="21"/>
                <w:lang w:eastAsia="en-US"/>
              </w:rPr>
            </w:pPr>
            <w:r w:rsidRPr="003F1AF9">
              <w:rPr>
                <w:rFonts w:eastAsia="Times New Roman" w:cs="Times New Roman"/>
                <w:color w:val="000000"/>
                <w:sz w:val="21"/>
                <w:szCs w:val="21"/>
                <w:lang w:eastAsia="en-US"/>
              </w:rPr>
              <w:t>Large packaged AC market average (IEA, 2018)</w:t>
            </w:r>
            <w:r w:rsidR="008F72B3">
              <w:rPr>
                <w:rFonts w:eastAsia="Times New Roman" w:cs="Times New Roman"/>
                <w:color w:val="000000"/>
                <w:sz w:val="21"/>
                <w:szCs w:val="21"/>
                <w:lang w:eastAsia="en-US"/>
              </w:rPr>
              <w:t>.</w:t>
            </w:r>
          </w:p>
        </w:tc>
      </w:tr>
    </w:tbl>
    <w:p w14:paraId="4F0B5E1A" w14:textId="77777777" w:rsidR="00532271" w:rsidRPr="0078120E" w:rsidRDefault="00532271" w:rsidP="00532271">
      <w:pPr>
        <w:spacing w:after="0" w:line="240" w:lineRule="auto"/>
        <w:rPr>
          <w:rFonts w:eastAsia="Times New Roman" w:cs="Times New Roman"/>
          <w:color w:val="000000"/>
          <w:sz w:val="20"/>
          <w:lang w:eastAsia="en-US"/>
        </w:rPr>
      </w:pPr>
      <w:r w:rsidRPr="0078120E">
        <w:rPr>
          <w:rFonts w:eastAsia="Times New Roman" w:cs="Times New Roman"/>
          <w:color w:val="000000"/>
          <w:sz w:val="20"/>
          <w:lang w:eastAsia="en-US"/>
        </w:rPr>
        <w:t xml:space="preserve">*SEER reflects seasonal operating efficiency in each country; ratings are not strictly comparable as test conditions differ across countries </w:t>
      </w:r>
    </w:p>
    <w:p w14:paraId="0225D99A" w14:textId="77777777" w:rsidR="00532271" w:rsidRPr="003F1AF9" w:rsidRDefault="00532271" w:rsidP="00532271"/>
    <w:p w14:paraId="6930BF38" w14:textId="77777777" w:rsidR="00262802" w:rsidRPr="003F1AF9" w:rsidRDefault="00262802" w:rsidP="00262802">
      <w:pPr>
        <w:rPr>
          <w:rStyle w:val="Heading4Char"/>
        </w:rPr>
      </w:pPr>
      <w:r w:rsidRPr="003F1AF9">
        <w:rPr>
          <w:rStyle w:val="Heading4Char"/>
        </w:rPr>
        <w:t>How can HEHPs reduce GHG emissions?</w:t>
      </w:r>
    </w:p>
    <w:p w14:paraId="786506DD" w14:textId="213588EF" w:rsidR="00262802" w:rsidRPr="003F1AF9" w:rsidRDefault="00262802" w:rsidP="00262802">
      <w:r w:rsidRPr="003F1AF9">
        <w:t xml:space="preserve">High-efficiency heat pumps </w:t>
      </w:r>
      <w:r w:rsidR="00200BF1" w:rsidRPr="003F1AF9">
        <w:t>can reduce GHG emissions by replacing</w:t>
      </w:r>
      <w:r w:rsidRPr="003F1AF9">
        <w:t xml:space="preserve"> </w:t>
      </w:r>
      <w:r w:rsidR="00200BF1" w:rsidRPr="003F1AF9">
        <w:t>“conventional” HVAC equipment (</w:t>
      </w:r>
      <w:r w:rsidRPr="003F1AF9">
        <w:t>fossil-fueled furnaces or boilers, electric resistance heating,</w:t>
      </w:r>
      <w:r w:rsidR="00200BF1" w:rsidRPr="003F1AF9">
        <w:t xml:space="preserve"> or low-efficiency heat pumps or air conditioners) </w:t>
      </w:r>
      <w:r w:rsidRPr="003F1AF9">
        <w:t>in almost any size or type of building where electricity is available, in any country or</w:t>
      </w:r>
      <w:r w:rsidR="00200BF1" w:rsidRPr="003F1AF9">
        <w:t xml:space="preserve"> climate zone in the world</w:t>
      </w:r>
      <w:r w:rsidR="008F72B3">
        <w:t>,</w:t>
      </w:r>
      <w:r w:rsidR="00200BF1" w:rsidRPr="003F1AF9">
        <w:t xml:space="preserve"> </w:t>
      </w:r>
      <w:r w:rsidRPr="003F1AF9">
        <w:t>by:</w:t>
      </w:r>
      <w:r w:rsidR="0078120E">
        <w:t xml:space="preserve"> </w:t>
      </w:r>
    </w:p>
    <w:p w14:paraId="56C5515B" w14:textId="2A6B03F6" w:rsidR="00262802" w:rsidRPr="003F1AF9" w:rsidRDefault="00262802" w:rsidP="00262802">
      <w:pPr>
        <w:pStyle w:val="ListParagraph"/>
        <w:numPr>
          <w:ilvl w:val="0"/>
          <w:numId w:val="8"/>
        </w:numPr>
      </w:pPr>
      <w:r w:rsidRPr="003F1AF9">
        <w:rPr>
          <w:b/>
        </w:rPr>
        <w:t>Reducing fossil fuel consumption.</w:t>
      </w:r>
      <w:r w:rsidR="0078120E">
        <w:t xml:space="preserve"> </w:t>
      </w:r>
      <w:r w:rsidRPr="003F1AF9">
        <w:t>As an electrically-driven space heating solution, HEHPs can substitute renewably-generated electricity, where available, for fossil fuel combustion furnaces and boilers – thus eliminating this source of CO</w:t>
      </w:r>
      <w:r w:rsidRPr="003F1AF9">
        <w:rPr>
          <w:vertAlign w:val="subscript"/>
        </w:rPr>
        <w:t xml:space="preserve">2 </w:t>
      </w:r>
      <w:r w:rsidRPr="003F1AF9">
        <w:t>emissions.</w:t>
      </w:r>
      <w:r w:rsidR="0078120E">
        <w:t xml:space="preserve"> </w:t>
      </w:r>
      <w:r w:rsidRPr="003F1AF9">
        <w:t>Hence, renewable electricity generation is important for HEHPs to reduce GHG emissions.</w:t>
      </w:r>
      <w:r w:rsidR="0078120E">
        <w:t xml:space="preserve"> </w:t>
      </w:r>
      <w:r w:rsidRPr="003F1AF9">
        <w:t>And conversely</w:t>
      </w:r>
      <w:r w:rsidR="008F72B3">
        <w:t>,</w:t>
      </w:r>
      <w:r w:rsidRPr="003F1AF9">
        <w:t xml:space="preserve"> HEHPs represent a critical enabler for renewable energy to replace fossil energy in building space heating.</w:t>
      </w:r>
      <w:r w:rsidR="0078120E">
        <w:t xml:space="preserve"> </w:t>
      </w:r>
    </w:p>
    <w:p w14:paraId="6ACF00AC" w14:textId="47E23768" w:rsidR="00262802" w:rsidRPr="003F1AF9" w:rsidRDefault="00262802" w:rsidP="00262802">
      <w:pPr>
        <w:pStyle w:val="ListParagraph"/>
        <w:numPr>
          <w:ilvl w:val="0"/>
          <w:numId w:val="8"/>
        </w:numPr>
      </w:pPr>
      <w:r w:rsidRPr="003F1AF9">
        <w:rPr>
          <w:b/>
        </w:rPr>
        <w:t>Increasing space heating energy efficiency.</w:t>
      </w:r>
      <w:r w:rsidR="0078120E">
        <w:t xml:space="preserve"> </w:t>
      </w:r>
      <w:r w:rsidRPr="003F1AF9">
        <w:t>For every kWh of electricity consumed, a HEHP delivers 3.5 kWh of space heating energy.</w:t>
      </w:r>
      <w:r w:rsidR="0078120E">
        <w:t xml:space="preserve"> </w:t>
      </w:r>
      <w:r w:rsidRPr="003F1AF9">
        <w:t>Fossil furnaces and boilers, by contrast, typically operate at 70% to 80% primary energy conversion efficiency.</w:t>
      </w:r>
      <w:r w:rsidR="0078120E">
        <w:t xml:space="preserve"> </w:t>
      </w:r>
      <w:r w:rsidRPr="003F1AF9">
        <w:t>Electric resistance heating, too, is limited to 100% electrical-to-thermal energy conversion efficiency.</w:t>
      </w:r>
      <w:r w:rsidR="0078120E">
        <w:t xml:space="preserve"> </w:t>
      </w:r>
    </w:p>
    <w:p w14:paraId="26F46D4C" w14:textId="12C75FE4" w:rsidR="00200BF1" w:rsidRPr="003F1AF9" w:rsidRDefault="009C2A5B" w:rsidP="00200BF1">
      <w:pPr>
        <w:pStyle w:val="ListParagraph"/>
        <w:numPr>
          <w:ilvl w:val="0"/>
          <w:numId w:val="8"/>
        </w:numPr>
      </w:pPr>
      <w:r w:rsidRPr="003F1AF9">
        <w:rPr>
          <w:b/>
        </w:rPr>
        <w:t>Increasing</w:t>
      </w:r>
      <w:r w:rsidR="00200BF1" w:rsidRPr="003F1AF9">
        <w:rPr>
          <w:b/>
        </w:rPr>
        <w:t xml:space="preserve"> space cooling energy efficiency.</w:t>
      </w:r>
      <w:r w:rsidR="0078120E">
        <w:t xml:space="preserve"> </w:t>
      </w:r>
      <w:r w:rsidR="00200BF1" w:rsidRPr="003F1AF9">
        <w:t>HEHPs reduce GHG emissions in space cooling applications by replacing less efficient heat pumps and air conditioners, which often operate with seasonal cooling efficiencies of only 250% to 300% even though units with efficiencies exceeding 600% are commercially available</w:t>
      </w:r>
      <w:r w:rsidR="0078120E">
        <w:t xml:space="preserve"> </w:t>
      </w:r>
      <w:r w:rsidR="00200BF1" w:rsidRPr="003F1AF9">
        <w:t>(IEA, Energy Technology Perspectives, 2017, p. 123)</w:t>
      </w:r>
      <w:r w:rsidR="008F72B3">
        <w:t>.</w:t>
      </w:r>
    </w:p>
    <w:p w14:paraId="5D2DF408" w14:textId="37122B43" w:rsidR="0052537A" w:rsidRPr="003F1AF9" w:rsidRDefault="0052537A" w:rsidP="00271EE4">
      <w:pPr>
        <w:spacing w:after="160"/>
        <w:rPr>
          <w:rFonts w:asciiTheme="majorHAnsi" w:eastAsiaTheme="majorEastAsia" w:hAnsiTheme="majorHAnsi" w:cstheme="majorBidi"/>
          <w:b/>
          <w:bCs/>
          <w:smallCaps/>
          <w:color w:val="365F91" w:themeColor="accent1" w:themeShade="BF"/>
          <w:sz w:val="28"/>
          <w:szCs w:val="28"/>
          <w:highlight w:val="yellow"/>
        </w:rPr>
      </w:pPr>
    </w:p>
    <w:p w14:paraId="679FAEE2" w14:textId="631189BF" w:rsidR="00A359EA" w:rsidRPr="003F1AF9" w:rsidRDefault="551A77D0">
      <w:pPr>
        <w:pStyle w:val="Heading2"/>
      </w:pPr>
      <w:bookmarkStart w:id="64" w:name="_Toc535397905"/>
      <w:bookmarkStart w:id="65" w:name="_Toc535398418"/>
      <w:bookmarkStart w:id="66" w:name="_Toc535398596"/>
      <w:bookmarkStart w:id="67" w:name="_Toc535398665"/>
      <w:bookmarkStart w:id="68" w:name="_Toc535398755"/>
      <w:bookmarkStart w:id="69" w:name="_Toc535397906"/>
      <w:bookmarkStart w:id="70" w:name="_Toc535398419"/>
      <w:bookmarkStart w:id="71" w:name="_Toc535398597"/>
      <w:bookmarkStart w:id="72" w:name="_Toc535398666"/>
      <w:bookmarkStart w:id="73" w:name="_Toc535398756"/>
      <w:bookmarkStart w:id="74" w:name="_Toc535397907"/>
      <w:bookmarkStart w:id="75" w:name="_Toc535398420"/>
      <w:bookmarkStart w:id="76" w:name="_Toc535398598"/>
      <w:bookmarkStart w:id="77" w:name="_Toc535398667"/>
      <w:bookmarkStart w:id="78" w:name="_Toc535398757"/>
      <w:bookmarkStart w:id="79" w:name="_Toc535397908"/>
      <w:bookmarkStart w:id="80" w:name="_Toc535398421"/>
      <w:bookmarkStart w:id="81" w:name="_Toc535398599"/>
      <w:bookmarkStart w:id="82" w:name="_Toc535398668"/>
      <w:bookmarkStart w:id="83" w:name="_Toc535398758"/>
      <w:bookmarkStart w:id="84" w:name="_Toc535397909"/>
      <w:bookmarkStart w:id="85" w:name="_Toc535398422"/>
      <w:bookmarkStart w:id="86" w:name="_Toc535398600"/>
      <w:bookmarkStart w:id="87" w:name="_Toc535398669"/>
      <w:bookmarkStart w:id="88" w:name="_Toc535398759"/>
      <w:bookmarkStart w:id="89" w:name="_Toc535397910"/>
      <w:bookmarkStart w:id="90" w:name="_Toc535398423"/>
      <w:bookmarkStart w:id="91" w:name="_Toc535398601"/>
      <w:bookmarkStart w:id="92" w:name="_Toc535398670"/>
      <w:bookmarkStart w:id="93" w:name="_Toc535398760"/>
      <w:bookmarkStart w:id="94" w:name="_Toc535397911"/>
      <w:bookmarkStart w:id="95" w:name="_Toc535398424"/>
      <w:bookmarkStart w:id="96" w:name="_Toc535398602"/>
      <w:bookmarkStart w:id="97" w:name="_Toc535398671"/>
      <w:bookmarkStart w:id="98" w:name="_Toc535398761"/>
      <w:bookmarkStart w:id="99" w:name="_Toc535397912"/>
      <w:bookmarkStart w:id="100" w:name="_Toc535398425"/>
      <w:bookmarkStart w:id="101" w:name="_Toc535398603"/>
      <w:bookmarkStart w:id="102" w:name="_Toc535398672"/>
      <w:bookmarkStart w:id="103" w:name="_Toc535398762"/>
      <w:bookmarkStart w:id="104" w:name="_Toc535397913"/>
      <w:bookmarkStart w:id="105" w:name="_Toc535398426"/>
      <w:bookmarkStart w:id="106" w:name="_Toc535398604"/>
      <w:bookmarkStart w:id="107" w:name="_Toc535398673"/>
      <w:bookmarkStart w:id="108" w:name="_Toc535398763"/>
      <w:bookmarkStart w:id="109" w:name="_Toc535397914"/>
      <w:bookmarkStart w:id="110" w:name="_Toc535398427"/>
      <w:bookmarkStart w:id="111" w:name="_Toc535398605"/>
      <w:bookmarkStart w:id="112" w:name="_Toc535398674"/>
      <w:bookmarkStart w:id="113" w:name="_Toc535398764"/>
      <w:bookmarkStart w:id="114" w:name="_Toc535397915"/>
      <w:bookmarkStart w:id="115" w:name="_Toc535398428"/>
      <w:bookmarkStart w:id="116" w:name="_Toc535398606"/>
      <w:bookmarkStart w:id="117" w:name="_Toc535398675"/>
      <w:bookmarkStart w:id="118" w:name="_Toc535398765"/>
      <w:bookmarkStart w:id="119" w:name="_Toc535397916"/>
      <w:bookmarkStart w:id="120" w:name="_Toc535398429"/>
      <w:bookmarkStart w:id="121" w:name="_Toc535398607"/>
      <w:bookmarkStart w:id="122" w:name="_Toc535398676"/>
      <w:bookmarkStart w:id="123" w:name="_Toc535398766"/>
      <w:bookmarkStart w:id="124" w:name="_Toc535397917"/>
      <w:bookmarkStart w:id="125" w:name="_Toc535398430"/>
      <w:bookmarkStart w:id="126" w:name="_Toc535398608"/>
      <w:bookmarkStart w:id="127" w:name="_Toc535398677"/>
      <w:bookmarkStart w:id="128" w:name="_Toc535398767"/>
      <w:bookmarkStart w:id="129" w:name="_Toc535397918"/>
      <w:bookmarkStart w:id="130" w:name="_Toc535398431"/>
      <w:bookmarkStart w:id="131" w:name="_Toc535398609"/>
      <w:bookmarkStart w:id="132" w:name="_Toc535398678"/>
      <w:bookmarkStart w:id="133" w:name="_Toc535398768"/>
      <w:bookmarkStart w:id="134" w:name="_Toc535397919"/>
      <w:bookmarkStart w:id="135" w:name="_Toc535398432"/>
      <w:bookmarkStart w:id="136" w:name="_Toc535398610"/>
      <w:bookmarkStart w:id="137" w:name="_Toc535398679"/>
      <w:bookmarkStart w:id="138" w:name="_Toc535398769"/>
      <w:bookmarkStart w:id="139" w:name="_Toc535397920"/>
      <w:bookmarkStart w:id="140" w:name="_Toc535398433"/>
      <w:bookmarkStart w:id="141" w:name="_Toc535398611"/>
      <w:bookmarkStart w:id="142" w:name="_Toc535398680"/>
      <w:bookmarkStart w:id="143" w:name="_Toc535398770"/>
      <w:bookmarkStart w:id="144" w:name="_Toc535397921"/>
      <w:bookmarkStart w:id="145" w:name="_Toc535398434"/>
      <w:bookmarkStart w:id="146" w:name="_Toc535398612"/>
      <w:bookmarkStart w:id="147" w:name="_Toc535398681"/>
      <w:bookmarkStart w:id="148" w:name="_Toc535398771"/>
      <w:bookmarkStart w:id="149" w:name="_Toc535397922"/>
      <w:bookmarkStart w:id="150" w:name="_Toc535398435"/>
      <w:bookmarkStart w:id="151" w:name="_Toc535398613"/>
      <w:bookmarkStart w:id="152" w:name="_Toc535398682"/>
      <w:bookmarkStart w:id="153" w:name="_Toc535398772"/>
      <w:bookmarkStart w:id="154" w:name="_Toc42289705"/>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3F1AF9">
        <w:lastRenderedPageBreak/>
        <w:t>Adoption Path</w:t>
      </w:r>
      <w:r w:rsidR="0005697F" w:rsidRPr="003F1AF9">
        <w:t xml:space="preserve"> for High-Efficiency Heat Pumps</w:t>
      </w:r>
      <w:bookmarkStart w:id="155" w:name="_Toc535330938"/>
      <w:bookmarkStart w:id="156" w:name="_Toc535396821"/>
      <w:bookmarkStart w:id="157" w:name="_Toc535396866"/>
      <w:bookmarkEnd w:id="154"/>
      <w:bookmarkEnd w:id="155"/>
      <w:bookmarkEnd w:id="156"/>
      <w:bookmarkEnd w:id="157"/>
    </w:p>
    <w:p w14:paraId="637F6DE9" w14:textId="148A5B40" w:rsidR="00E44D5C" w:rsidRPr="003F1AF9" w:rsidRDefault="00E44D5C">
      <w:pPr>
        <w:pStyle w:val="Heading3"/>
      </w:pPr>
      <w:bookmarkStart w:id="158" w:name="_Toc42289706"/>
      <w:r w:rsidRPr="003F1AF9">
        <w:t>Current Adoption of High-Efficiency Heat pumps</w:t>
      </w:r>
      <w:bookmarkEnd w:id="158"/>
    </w:p>
    <w:p w14:paraId="33BFBD3A" w14:textId="18617F4A" w:rsidR="00214AC6" w:rsidRPr="003F1AF9" w:rsidRDefault="009553D2" w:rsidP="00132E27">
      <w:pPr>
        <w:pStyle w:val="Heading4"/>
      </w:pPr>
      <w:r w:rsidRPr="003F1AF9">
        <w:t xml:space="preserve">Current Adoption of </w:t>
      </w:r>
      <w:r w:rsidR="00214AC6" w:rsidRPr="003F1AF9">
        <w:t>HEHPs</w:t>
      </w:r>
      <w:r w:rsidR="00522234" w:rsidRPr="003F1AF9">
        <w:t xml:space="preserve"> for Space Heating</w:t>
      </w:r>
    </w:p>
    <w:p w14:paraId="79EE1F60" w14:textId="684F0370" w:rsidR="00CD5E07" w:rsidRPr="003F1AF9" w:rsidRDefault="0063662C" w:rsidP="001957B2">
      <w:r w:rsidRPr="003F1AF9">
        <w:t>While</w:t>
      </w:r>
      <w:r w:rsidR="003D0531" w:rsidRPr="003F1AF9">
        <w:t xml:space="preserve"> global</w:t>
      </w:r>
      <w:r w:rsidRPr="003F1AF9">
        <w:t xml:space="preserve"> adoption</w:t>
      </w:r>
      <w:r w:rsidR="003D0531" w:rsidRPr="003F1AF9">
        <w:t xml:space="preserve"> of space-heating heat pumps</w:t>
      </w:r>
      <w:r w:rsidRPr="003F1AF9">
        <w:t xml:space="preserve"> is substantial and growing, </w:t>
      </w:r>
      <w:r w:rsidR="001957B2" w:rsidRPr="003F1AF9">
        <w:t>adoption of high-ef</w:t>
      </w:r>
      <w:r w:rsidR="00E34B9A" w:rsidRPr="003F1AF9">
        <w:t>ficiency heat pumps is very low</w:t>
      </w:r>
      <w:r w:rsidR="001957B2" w:rsidRPr="003F1AF9">
        <w:t>.</w:t>
      </w:r>
      <w:r w:rsidR="0078120E">
        <w:t xml:space="preserve"> </w:t>
      </w:r>
      <w:r w:rsidR="001957B2" w:rsidRPr="003F1AF9">
        <w:t xml:space="preserve">The IEA estimates that heat pumps provide about 3% of building space heating </w:t>
      </w:r>
      <w:r w:rsidR="00367E1C" w:rsidRPr="003F1AF9">
        <w:t xml:space="preserve">and water heating </w:t>
      </w:r>
      <w:r w:rsidR="001957B2" w:rsidRPr="003F1AF9">
        <w:t>worldwide, with installed base SCOPs averaging only 2.0-2.5 (IEA ETP, 2017, p. 145).</w:t>
      </w:r>
      <w:r w:rsidR="0078120E">
        <w:t xml:space="preserve"> </w:t>
      </w:r>
      <w:r w:rsidR="001957B2" w:rsidRPr="003F1AF9">
        <w:t xml:space="preserve">So, </w:t>
      </w:r>
      <w:r w:rsidR="00E45212" w:rsidRPr="003F1AF9">
        <w:t>heat pumps are far outnumbered by fossil fuel combustion-based heating gear.</w:t>
      </w:r>
      <w:r w:rsidR="0078120E">
        <w:t xml:space="preserve"> </w:t>
      </w:r>
      <w:r w:rsidR="00E45212" w:rsidRPr="003F1AF9">
        <w:t xml:space="preserve">And, </w:t>
      </w:r>
      <w:r w:rsidR="001957B2" w:rsidRPr="003F1AF9">
        <w:t>given the low average efficiency of installed heat pumps, clearly HEHPs with SCOP of 3.5 or more represent only a small fraction of h</w:t>
      </w:r>
      <w:r w:rsidR="00ED4FAC" w:rsidRPr="003F1AF9">
        <w:t xml:space="preserve">eat pumps currently installed – and </w:t>
      </w:r>
      <w:r w:rsidR="003D0531" w:rsidRPr="003F1AF9">
        <w:t xml:space="preserve">thus </w:t>
      </w:r>
      <w:r w:rsidR="00ED4FAC" w:rsidRPr="003F1AF9">
        <w:t>a tiny fraction of installed space heating equipment.</w:t>
      </w:r>
      <w:r w:rsidR="0078120E">
        <w:t xml:space="preserve"> </w:t>
      </w:r>
    </w:p>
    <w:p w14:paraId="6E902F5A" w14:textId="4AEE9488" w:rsidR="0063662C" w:rsidRPr="003F1AF9" w:rsidRDefault="00CD5E07" w:rsidP="001957B2">
      <w:r w:rsidRPr="003F1AF9">
        <w:t>The two markets</w:t>
      </w:r>
      <w:r w:rsidR="0063662C" w:rsidRPr="003F1AF9">
        <w:t xml:space="preserve"> with the largest space-heating heat pump adoption</w:t>
      </w:r>
      <w:r w:rsidRPr="003F1AF9">
        <w:t>, the US and EU</w:t>
      </w:r>
      <w:r w:rsidR="003D0531" w:rsidRPr="003F1AF9">
        <w:t>, illustrate the situation</w:t>
      </w:r>
      <w:r w:rsidRPr="003F1AF9">
        <w:t>:</w:t>
      </w:r>
      <w:r w:rsidR="0078120E">
        <w:t xml:space="preserve"> </w:t>
      </w:r>
      <w:r w:rsidR="00E34B9A" w:rsidRPr="003F1AF9">
        <w:t xml:space="preserve">In the US, </w:t>
      </w:r>
      <w:r w:rsidR="005E7481" w:rsidRPr="003F1AF9">
        <w:t xml:space="preserve">where air-to-air heat pumps predominate, </w:t>
      </w:r>
      <w:r w:rsidR="0063662C" w:rsidRPr="003F1AF9">
        <w:t>about 14% of commercial building space and 10% of residences use an electric heat pump for heating (EIA, US DOE, 2016, 2017).</w:t>
      </w:r>
      <w:r w:rsidR="0078120E">
        <w:t xml:space="preserve"> </w:t>
      </w:r>
      <w:r w:rsidR="0063662C" w:rsidRPr="003F1AF9">
        <w:t xml:space="preserve">But, </w:t>
      </w:r>
      <w:r w:rsidR="00E34B9A" w:rsidRPr="003F1AF9">
        <w:t xml:space="preserve">based on industry data from </w:t>
      </w:r>
      <w:r w:rsidR="00C144FE" w:rsidRPr="003F1AF9">
        <w:t>the Air-conditioning, Heating and Refrigeration Institute (</w:t>
      </w:r>
      <w:r w:rsidR="00E34B9A" w:rsidRPr="003F1AF9">
        <w:t>AHRI</w:t>
      </w:r>
      <w:r w:rsidR="00C144FE" w:rsidRPr="003F1AF9">
        <w:t>)</w:t>
      </w:r>
      <w:r w:rsidR="00E34B9A" w:rsidRPr="003F1AF9">
        <w:t xml:space="preserve">, </w:t>
      </w:r>
      <w:r w:rsidR="00F6635F" w:rsidRPr="003F1AF9">
        <w:t xml:space="preserve">the US DOE estimated </w:t>
      </w:r>
      <w:r w:rsidR="00E34B9A" w:rsidRPr="003F1AF9">
        <w:t>that high-efficiency heat pumps with SCOP above 3.5 (HSPF above 12 BTU/</w:t>
      </w:r>
      <w:proofErr w:type="spellStart"/>
      <w:r w:rsidR="00E34B9A" w:rsidRPr="003F1AF9">
        <w:t>Wh</w:t>
      </w:r>
      <w:proofErr w:type="spellEnd"/>
      <w:r w:rsidR="00E34B9A" w:rsidRPr="003F1AF9">
        <w:t>) comprised less than 1% of installed heat pumps</w:t>
      </w:r>
      <w:r w:rsidR="00ED4FAC" w:rsidRPr="003F1AF9">
        <w:t xml:space="preserve"> in 2015</w:t>
      </w:r>
      <w:r w:rsidR="00E34B9A" w:rsidRPr="003F1AF9">
        <w:t xml:space="preserve"> (US DOE, 2015, p. 3-20).</w:t>
      </w:r>
      <w:r w:rsidR="0078120E">
        <w:t xml:space="preserve"> </w:t>
      </w:r>
    </w:p>
    <w:p w14:paraId="3232DDED" w14:textId="7B18D00B" w:rsidR="0063662C" w:rsidRPr="003F1AF9" w:rsidRDefault="00A56499" w:rsidP="001957B2">
      <w:r w:rsidRPr="003F1AF9">
        <w:t>In Europe</w:t>
      </w:r>
      <w:r w:rsidR="00ED4FAC" w:rsidRPr="003F1AF9">
        <w:t>,</w:t>
      </w:r>
      <w:r w:rsidRPr="003F1AF9">
        <w:t xml:space="preserve"> </w:t>
      </w:r>
      <w:r w:rsidR="00ED4FAC" w:rsidRPr="003F1AF9">
        <w:t>over 50%</w:t>
      </w:r>
      <w:r w:rsidR="00D670A6" w:rsidRPr="003F1AF9">
        <w:t xml:space="preserve"> of heat pumps</w:t>
      </w:r>
      <w:r w:rsidR="00ED4FAC" w:rsidRPr="003F1AF9">
        <w:t xml:space="preserve"> sold in 2013 use air distribution, driven by sales in warmer countries, including</w:t>
      </w:r>
      <w:r w:rsidR="003D0531" w:rsidRPr="003F1AF9">
        <w:t xml:space="preserve"> France,</w:t>
      </w:r>
      <w:r w:rsidR="00ED4FAC" w:rsidRPr="003F1AF9">
        <w:t xml:space="preserve"> Italy, and Spain</w:t>
      </w:r>
      <w:r w:rsidR="00C71601" w:rsidRPr="003F1AF9">
        <w:t xml:space="preserve">; </w:t>
      </w:r>
      <w:r w:rsidR="00ED4FAC" w:rsidRPr="003F1AF9">
        <w:t>about 40%</w:t>
      </w:r>
      <w:r w:rsidR="00D670A6" w:rsidRPr="003F1AF9">
        <w:t xml:space="preserve"> use hydronic distribution</w:t>
      </w:r>
      <w:r w:rsidR="00ED4FAC" w:rsidRPr="003F1AF9">
        <w:t>, driven by Denmark and Sweden</w:t>
      </w:r>
      <w:r w:rsidR="00D670A6" w:rsidRPr="003F1AF9">
        <w:t xml:space="preserve"> </w:t>
      </w:r>
      <w:r w:rsidR="00ED4FAC" w:rsidRPr="003F1AF9">
        <w:t>(E</w:t>
      </w:r>
      <w:r w:rsidR="00214AC6" w:rsidRPr="003F1AF9">
        <w:t>H</w:t>
      </w:r>
      <w:r w:rsidR="00ED4FAC" w:rsidRPr="003F1AF9">
        <w:t>PA, 2014, p. 41)</w:t>
      </w:r>
      <w:r w:rsidR="008F72B3">
        <w:t>.</w:t>
      </w:r>
      <w:r w:rsidR="0078120E">
        <w:t xml:space="preserve"> </w:t>
      </w:r>
      <w:r w:rsidR="00D670A6" w:rsidRPr="003F1AF9">
        <w:t>O</w:t>
      </w:r>
      <w:r w:rsidRPr="003F1AF9">
        <w:t xml:space="preserve">verall </w:t>
      </w:r>
      <w:r w:rsidR="00ED4FAC" w:rsidRPr="003F1AF9">
        <w:t xml:space="preserve">European </w:t>
      </w:r>
      <w:r w:rsidRPr="003F1AF9">
        <w:t>heat pump market penetration is similar</w:t>
      </w:r>
      <w:r w:rsidR="00ED4FAC" w:rsidRPr="003F1AF9">
        <w:t xml:space="preserve"> to the US – about </w:t>
      </w:r>
      <w:r w:rsidR="007F54D5" w:rsidRPr="003F1AF9">
        <w:t>3% to 5%</w:t>
      </w:r>
      <w:r w:rsidR="00ED4FAC" w:rsidRPr="003F1AF9">
        <w:t xml:space="preserve"> – </w:t>
      </w:r>
      <w:r w:rsidRPr="003F1AF9">
        <w:t>but a few countries, notably S</w:t>
      </w:r>
      <w:r w:rsidR="003253B6" w:rsidRPr="003F1AF9">
        <w:t xml:space="preserve">weden, Norway and Finland, have </w:t>
      </w:r>
      <w:r w:rsidR="007F54D5" w:rsidRPr="003F1AF9">
        <w:t xml:space="preserve">far higher </w:t>
      </w:r>
      <w:r w:rsidR="003253B6" w:rsidRPr="003F1AF9">
        <w:t xml:space="preserve">penetration rates between 20% and 40% </w:t>
      </w:r>
      <w:r w:rsidR="009077CD" w:rsidRPr="003F1AF9">
        <w:t xml:space="preserve">(see below) </w:t>
      </w:r>
      <w:r w:rsidR="003253B6" w:rsidRPr="003F1AF9">
        <w:t>(EHPA, 2014, p. 45)</w:t>
      </w:r>
      <w:r w:rsidR="008F72B3">
        <w:t>.</w:t>
      </w:r>
      <w:r w:rsidR="0078120E">
        <w:t xml:space="preserve"> </w:t>
      </w:r>
      <w:r w:rsidR="00C71601" w:rsidRPr="003F1AF9">
        <w:t>Gr</w:t>
      </w:r>
      <w:r w:rsidR="00D670A6" w:rsidRPr="003F1AF9">
        <w:t>ound-source heat pumps</w:t>
      </w:r>
      <w:r w:rsidR="00C71601" w:rsidRPr="003F1AF9">
        <w:t>, which comprise about 13% of EU sales,</w:t>
      </w:r>
      <w:r w:rsidR="00D670A6" w:rsidRPr="003F1AF9">
        <w:t xml:space="preserve"> </w:t>
      </w:r>
      <w:r w:rsidR="00DB44B4" w:rsidRPr="003F1AF9">
        <w:t>qualify as “high-efficiency” with</w:t>
      </w:r>
      <w:r w:rsidR="00D670A6" w:rsidRPr="003F1AF9">
        <w:t xml:space="preserve"> a</w:t>
      </w:r>
      <w:r w:rsidR="000F6C9A" w:rsidRPr="003F1AF9">
        <w:t>n</w:t>
      </w:r>
      <w:r w:rsidR="00D670A6" w:rsidRPr="003F1AF9">
        <w:t xml:space="preserve"> average </w:t>
      </w:r>
      <w:r w:rsidR="00DB44B4" w:rsidRPr="003F1AF9">
        <w:t>efficiency</w:t>
      </w:r>
      <w:r w:rsidR="00D670A6" w:rsidRPr="003F1AF9">
        <w:t xml:space="preserve"> of 3.5 SCOP</w:t>
      </w:r>
      <w:r w:rsidR="00DB44B4" w:rsidRPr="003F1AF9">
        <w:t>,</w:t>
      </w:r>
      <w:r w:rsidR="00D670A6" w:rsidRPr="003F1AF9">
        <w:t xml:space="preserve"> but air-source units achieve </w:t>
      </w:r>
      <w:r w:rsidR="00ED4FAC" w:rsidRPr="003F1AF9">
        <w:t xml:space="preserve">average </w:t>
      </w:r>
      <w:r w:rsidR="00D670A6" w:rsidRPr="003F1AF9">
        <w:t>efficiencies of only 2.6 SCOP (EHPA, 2014, p. 53)</w:t>
      </w:r>
      <w:r w:rsidR="008F72B3">
        <w:t>.</w:t>
      </w:r>
      <w:r w:rsidR="0078120E">
        <w:t xml:space="preserve"> </w:t>
      </w:r>
      <w:r w:rsidR="00ED4FAC" w:rsidRPr="003F1AF9">
        <w:t xml:space="preserve">So, as in the US, penetration of high-efficiency air-source heat pumps </w:t>
      </w:r>
      <w:proofErr w:type="gramStart"/>
      <w:r w:rsidR="00ED4FAC" w:rsidRPr="003F1AF9">
        <w:t>is</w:t>
      </w:r>
      <w:proofErr w:type="gramEnd"/>
      <w:r w:rsidR="00ED4FAC" w:rsidRPr="003F1AF9">
        <w:t xml:space="preserve"> small.</w:t>
      </w:r>
      <w:r w:rsidR="0078120E">
        <w:t xml:space="preserve"> </w:t>
      </w:r>
    </w:p>
    <w:p w14:paraId="1E66C0BC" w14:textId="33F95759" w:rsidR="007C367A" w:rsidRPr="003F1AF9" w:rsidRDefault="000764B0" w:rsidP="001957B2">
      <w:r w:rsidRPr="003F1AF9">
        <w:t>In China</w:t>
      </w:r>
      <w:r w:rsidR="007C367A" w:rsidRPr="003F1AF9">
        <w:t>,</w:t>
      </w:r>
      <w:r w:rsidRPr="003F1AF9">
        <w:t xml:space="preserve"> air-to-air heat pumps</w:t>
      </w:r>
      <w:r w:rsidR="007C367A" w:rsidRPr="003F1AF9">
        <w:t xml:space="preserve"> in the form of reversible room air conditioners </w:t>
      </w:r>
      <w:r w:rsidR="00E260FB" w:rsidRPr="003F1AF9">
        <w:t xml:space="preserve">(RAC) </w:t>
      </w:r>
      <w:r w:rsidR="007C367A" w:rsidRPr="003F1AF9">
        <w:t xml:space="preserve">– </w:t>
      </w:r>
      <w:r w:rsidR="00701862" w:rsidRPr="003F1AF9">
        <w:t xml:space="preserve">which are </w:t>
      </w:r>
      <w:r w:rsidR="007C367A" w:rsidRPr="003F1AF9">
        <w:t>used primarily for cooling</w:t>
      </w:r>
      <w:r w:rsidR="00C71601" w:rsidRPr="003F1AF9">
        <w:t xml:space="preserve"> and provide limited heating</w:t>
      </w:r>
      <w:r w:rsidR="007C367A" w:rsidRPr="003F1AF9">
        <w:t xml:space="preserve"> – are</w:t>
      </w:r>
      <w:r w:rsidR="00FC5829" w:rsidRPr="003F1AF9">
        <w:t xml:space="preserve"> </w:t>
      </w:r>
      <w:r w:rsidR="007C367A" w:rsidRPr="003F1AF9">
        <w:t xml:space="preserve">common with annual sales over 40 million units (Zhou, 2017, p. </w:t>
      </w:r>
      <w:r w:rsidR="00D661BC" w:rsidRPr="003F1AF9">
        <w:t>1)</w:t>
      </w:r>
      <w:r w:rsidR="008F72B3">
        <w:t>.</w:t>
      </w:r>
      <w:r w:rsidR="0078120E">
        <w:t xml:space="preserve"> </w:t>
      </w:r>
      <w:r w:rsidR="007C367A" w:rsidRPr="003F1AF9">
        <w:t xml:space="preserve">Variable refrigerant flow (VRF) air-to-air heat pumps and air-source heat pump water heaters (AHPWH) represent hot categories, selling over 1 </w:t>
      </w:r>
      <w:r w:rsidR="00701862" w:rsidRPr="003F1AF9">
        <w:t>million units each annually</w:t>
      </w:r>
      <w:r w:rsidR="0078120E">
        <w:t xml:space="preserve"> </w:t>
      </w:r>
      <w:r w:rsidR="00701862" w:rsidRPr="003F1AF9">
        <w:t>(I</w:t>
      </w:r>
      <w:r w:rsidR="007C367A" w:rsidRPr="003F1AF9">
        <w:t>bid)</w:t>
      </w:r>
      <w:r w:rsidR="008F72B3">
        <w:t>.</w:t>
      </w:r>
      <w:r w:rsidR="0078120E">
        <w:t xml:space="preserve"> </w:t>
      </w:r>
      <w:r w:rsidR="00701862" w:rsidRPr="003F1AF9">
        <w:t>Sales of air-source heat pumps for hydronic space heating focus mostly on commercial buildings; residential sales are very small (Ibid)</w:t>
      </w:r>
      <w:r w:rsidR="008F72B3">
        <w:t>.</w:t>
      </w:r>
      <w:r w:rsidR="0078120E">
        <w:t xml:space="preserve"> </w:t>
      </w:r>
      <w:r w:rsidR="00701862" w:rsidRPr="003F1AF9">
        <w:t>Efficiency standards and labeling are inconsistent to date, so estimating installed efficiency is difficult.</w:t>
      </w:r>
      <w:r w:rsidR="0078120E">
        <w:t xml:space="preserve"> </w:t>
      </w:r>
    </w:p>
    <w:p w14:paraId="4A121322" w14:textId="4CF1218C" w:rsidR="004E49D5" w:rsidRPr="003F1AF9" w:rsidRDefault="009553D2" w:rsidP="004E49D5">
      <w:pPr>
        <w:pStyle w:val="Heading4"/>
      </w:pPr>
      <w:r w:rsidRPr="003F1AF9">
        <w:lastRenderedPageBreak/>
        <w:t xml:space="preserve">Current Adoption of </w:t>
      </w:r>
      <w:r w:rsidR="004E49D5" w:rsidRPr="003F1AF9">
        <w:t>Space Cooling HEHPs</w:t>
      </w:r>
    </w:p>
    <w:p w14:paraId="2B550914" w14:textId="7F98CA58" w:rsidR="00BA128F" w:rsidRPr="003F1AF9" w:rsidRDefault="00E45212" w:rsidP="00E45212">
      <w:r w:rsidRPr="003F1AF9">
        <w:t>For space cooling</w:t>
      </w:r>
      <w:r w:rsidR="008F72B3">
        <w:t>,</w:t>
      </w:r>
      <w:r w:rsidRPr="003F1AF9">
        <w:t xml:space="preserve"> the situation is similar with two “twists”:</w:t>
      </w:r>
      <w:r w:rsidR="0078120E">
        <w:t xml:space="preserve"> </w:t>
      </w:r>
      <w:r w:rsidRPr="003F1AF9">
        <w:t>First, almost all building space cooling is already provided by vapor-compression air conditioners or heat pumps – albeit at avera</w:t>
      </w:r>
      <w:r w:rsidR="00BA128F" w:rsidRPr="003F1AF9">
        <w:t>ge SEER for new units of about 4.2 (US SEER of about 14) in 2016 for new units</w:t>
      </w:r>
      <w:r w:rsidR="0078120E">
        <w:t xml:space="preserve"> </w:t>
      </w:r>
      <w:r w:rsidR="00BA128F" w:rsidRPr="003F1AF9">
        <w:t>(IEA, Future of Cooling, 2018, p. 42)</w:t>
      </w:r>
      <w:r w:rsidR="008F72B3">
        <w:t>.</w:t>
      </w:r>
      <w:r w:rsidR="00BA128F" w:rsidRPr="003F1AF9">
        <w:t xml:space="preserve"> </w:t>
      </w:r>
      <w:r w:rsidRPr="003F1AF9">
        <w:t>So, analogous to space heating, penetration of HEHPs wit</w:t>
      </w:r>
      <w:r w:rsidR="00DC4503" w:rsidRPr="003F1AF9">
        <w:t>h SEER of 5.9 or greater is low</w:t>
      </w:r>
      <w:r w:rsidRPr="003F1AF9">
        <w:t xml:space="preserve"> and there is great potential for GHG reduction simply by increasing the penetration of existing HEHP technology.</w:t>
      </w:r>
      <w:r w:rsidR="0078120E">
        <w:t xml:space="preserve"> </w:t>
      </w:r>
      <w:r w:rsidR="00BA128F" w:rsidRPr="003F1AF9">
        <w:t>In the US, for example, HEHPs with SEER above 5.9 (US SEER above 20 BTU/</w:t>
      </w:r>
      <w:proofErr w:type="spellStart"/>
      <w:r w:rsidR="00BA128F" w:rsidRPr="003F1AF9">
        <w:t>Wh</w:t>
      </w:r>
      <w:proofErr w:type="spellEnd"/>
      <w:r w:rsidR="00BA128F" w:rsidRPr="003F1AF9">
        <w:t>) represented less than 1% of air conditioners or heat pumps models installed in 2015 (US DOE, 2015, p. 3-16).</w:t>
      </w:r>
      <w:r w:rsidR="0078120E">
        <w:t xml:space="preserve"> </w:t>
      </w:r>
    </w:p>
    <w:p w14:paraId="412874FA" w14:textId="23978A15" w:rsidR="00E45212" w:rsidRPr="003F1AF9" w:rsidRDefault="00E45212" w:rsidP="00E45212">
      <w:r w:rsidRPr="003F1AF9">
        <w:t>The other twist is growth:</w:t>
      </w:r>
      <w:r w:rsidR="0078120E">
        <w:t xml:space="preserve"> </w:t>
      </w:r>
      <w:r w:rsidRPr="003F1AF9">
        <w:t>While space heating demand has risen marginally, demand for space cooling has risen dramatically, especially in developing countries:</w:t>
      </w:r>
      <w:r w:rsidR="0078120E">
        <w:t xml:space="preserve"> </w:t>
      </w:r>
      <w:r w:rsidRPr="003F1AF9">
        <w:t xml:space="preserve">Between 1990 and 2016 world final energy consumption for space cooling in buildings (the energy </w:t>
      </w:r>
      <w:r w:rsidRPr="003F1AF9">
        <w:rPr>
          <w:i/>
        </w:rPr>
        <w:t>consumed</w:t>
      </w:r>
      <w:r w:rsidRPr="003F1AF9">
        <w:t xml:space="preserve"> at the building, almost all electricity, in order to deliver space cooling) rose from 608 TWh to 2021 TWh.</w:t>
      </w:r>
      <w:r w:rsidR="0078120E">
        <w:t xml:space="preserve"> </w:t>
      </w:r>
      <w:r w:rsidRPr="003F1AF9">
        <w:t>While US energy consumption rose from 339 TWh to 616 TWh, about 81%, Chinese space cooling energy consumption rose from 7 TWh to 450 TWh – over 6300% –making China the number two consumer of energy for space cooling, behind only the United States.</w:t>
      </w:r>
      <w:r w:rsidR="0078120E">
        <w:t xml:space="preserve"> </w:t>
      </w:r>
      <w:r w:rsidRPr="003F1AF9">
        <w:t>The European Union and Japan follow at far lower levels with 152 TWh and 107 TWh respectively in 2016</w:t>
      </w:r>
      <w:r w:rsidR="0078120E">
        <w:t xml:space="preserve"> </w:t>
      </w:r>
      <w:r w:rsidRPr="003F1AF9">
        <w:t>(IEA, The Future of Cooling, 2018, p. 24)</w:t>
      </w:r>
      <w:r w:rsidR="00E70F33">
        <w:t>.</w:t>
      </w:r>
    </w:p>
    <w:p w14:paraId="7CBECA7E" w14:textId="0AE835DF" w:rsidR="00A64FFE" w:rsidRPr="003F1AF9" w:rsidRDefault="00B86095" w:rsidP="00132E27">
      <w:r w:rsidRPr="003F1AF9">
        <w:t>The level of c</w:t>
      </w:r>
      <w:r w:rsidR="009D6CF3" w:rsidRPr="003F1AF9">
        <w:t>ooling adoption varies greatly by country</w:t>
      </w:r>
      <w:r w:rsidR="007D2A38" w:rsidRPr="003F1AF9">
        <w:t xml:space="preserve"> (IEA, The Future of Cooling, 2018, p.19)</w:t>
      </w:r>
      <w:r w:rsidR="009D6CF3" w:rsidRPr="003F1AF9">
        <w:t>:</w:t>
      </w:r>
      <w:r w:rsidR="0078120E">
        <w:t xml:space="preserve"> </w:t>
      </w:r>
      <w:r w:rsidR="009D6CF3" w:rsidRPr="003F1AF9">
        <w:t>T</w:t>
      </w:r>
      <w:r w:rsidR="005D313A" w:rsidRPr="003F1AF9">
        <w:t>he US has the greatest installed c</w:t>
      </w:r>
      <w:r w:rsidR="00746777" w:rsidRPr="003F1AF9">
        <w:t xml:space="preserve">ooling stock, with over 4700 </w:t>
      </w:r>
      <w:r w:rsidR="005D313A" w:rsidRPr="003F1AF9">
        <w:t>GW output capacity.</w:t>
      </w:r>
      <w:r w:rsidR="0078120E">
        <w:t xml:space="preserve"> </w:t>
      </w:r>
      <w:r w:rsidR="005D313A" w:rsidRPr="003F1AF9">
        <w:t>China ranks number two in installed stock, with over 2800 GW output capacity</w:t>
      </w:r>
      <w:r w:rsidR="006966BD" w:rsidRPr="003F1AF9">
        <w:t>.</w:t>
      </w:r>
      <w:r w:rsidR="0078120E">
        <w:t xml:space="preserve"> </w:t>
      </w:r>
      <w:r w:rsidR="006966BD" w:rsidRPr="003F1AF9">
        <w:t>The EU and Japan are the next largest.</w:t>
      </w:r>
      <w:r w:rsidR="0078120E">
        <w:t xml:space="preserve"> </w:t>
      </w:r>
      <w:r w:rsidR="009D6CF3" w:rsidRPr="003F1AF9">
        <w:t>In</w:t>
      </w:r>
      <w:r w:rsidR="006966BD" w:rsidRPr="003F1AF9">
        <w:t xml:space="preserve"> terms of 2016 annual sales, the US leads with 443 GW </w:t>
      </w:r>
      <w:r w:rsidR="009D6CF3" w:rsidRPr="003F1AF9">
        <w:t>(9% of installed base),</w:t>
      </w:r>
      <w:r w:rsidR="006966BD" w:rsidRPr="003F1AF9">
        <w:t xml:space="preserve"> almost tied </w:t>
      </w:r>
      <w:r w:rsidR="009D6CF3" w:rsidRPr="003F1AF9">
        <w:t xml:space="preserve">with China </w:t>
      </w:r>
      <w:r w:rsidR="006966BD" w:rsidRPr="003F1AF9">
        <w:t>at 386 GW (13% of installed base)</w:t>
      </w:r>
      <w:r w:rsidR="004375AC" w:rsidRPr="003F1AF9">
        <w:t xml:space="preserve">; </w:t>
      </w:r>
      <w:r w:rsidR="009D6CF3" w:rsidRPr="003F1AF9">
        <w:t>sales in</w:t>
      </w:r>
      <w:r w:rsidR="006966BD" w:rsidRPr="003F1AF9">
        <w:t xml:space="preserve"> all other regions</w:t>
      </w:r>
      <w:r w:rsidR="009D6CF3" w:rsidRPr="003F1AF9">
        <w:t xml:space="preserve"> are</w:t>
      </w:r>
      <w:r w:rsidR="006966BD" w:rsidRPr="003F1AF9">
        <w:t xml:space="preserve"> far </w:t>
      </w:r>
      <w:r w:rsidR="009D6CF3" w:rsidRPr="003F1AF9">
        <w:t>lower</w:t>
      </w:r>
      <w:r w:rsidR="006966BD" w:rsidRPr="003F1AF9">
        <w:t>.</w:t>
      </w:r>
      <w:r w:rsidR="0078120E">
        <w:t xml:space="preserve"> </w:t>
      </w:r>
      <w:r w:rsidR="006966BD" w:rsidRPr="003F1AF9">
        <w:t xml:space="preserve">However, in addition to China, several developing countries have </w:t>
      </w:r>
      <w:r w:rsidR="009D6CF3" w:rsidRPr="003F1AF9">
        <w:t xml:space="preserve">high </w:t>
      </w:r>
      <w:r w:rsidR="006966BD" w:rsidRPr="003F1AF9">
        <w:t>sales / installed base</w:t>
      </w:r>
      <w:r w:rsidR="009D6CF3" w:rsidRPr="003F1AF9">
        <w:t xml:space="preserve"> ratios</w:t>
      </w:r>
      <w:r w:rsidR="006966BD" w:rsidRPr="003F1AF9">
        <w:t>:</w:t>
      </w:r>
      <w:r w:rsidR="0078120E">
        <w:t xml:space="preserve"> </w:t>
      </w:r>
      <w:r w:rsidR="006966BD" w:rsidRPr="003F1AF9">
        <w:t>India, 17%; Indonesia, 15%.</w:t>
      </w:r>
      <w:r w:rsidR="0078120E">
        <w:t xml:space="preserve"> </w:t>
      </w:r>
      <w:r w:rsidR="007D2A38" w:rsidRPr="003F1AF9">
        <w:t>So, space cooling is growing rapidly in hot developing countries.</w:t>
      </w:r>
      <w:r w:rsidR="0078120E">
        <w:t xml:space="preserve"> </w:t>
      </w:r>
    </w:p>
    <w:p w14:paraId="242DE54B" w14:textId="7DF28B79" w:rsidR="008300E2" w:rsidRPr="003F1AF9" w:rsidRDefault="008300E2" w:rsidP="00132E27">
      <w:r w:rsidRPr="003F1AF9">
        <w:t>The nature</w:t>
      </w:r>
      <w:r w:rsidR="009D6CF3" w:rsidRPr="003F1AF9">
        <w:t xml:space="preserve"> of</w:t>
      </w:r>
      <w:r w:rsidRPr="003F1AF9">
        <w:t xml:space="preserve"> cooling equipment </w:t>
      </w:r>
      <w:r w:rsidR="009D6CF3" w:rsidRPr="003F1AF9">
        <w:t xml:space="preserve">adoption </w:t>
      </w:r>
      <w:r w:rsidR="007D2A38" w:rsidRPr="003F1AF9">
        <w:t xml:space="preserve">also </w:t>
      </w:r>
      <w:r w:rsidRPr="003F1AF9">
        <w:t>varies greatly by country, climate</w:t>
      </w:r>
      <w:r w:rsidR="00E70F33">
        <w:t>,</w:t>
      </w:r>
      <w:r w:rsidRPr="003F1AF9">
        <w:t xml:space="preserve"> and culture.</w:t>
      </w:r>
      <w:r w:rsidR="0078120E">
        <w:t xml:space="preserve"> </w:t>
      </w:r>
      <w:r w:rsidRPr="003F1AF9">
        <w:t>In the US</w:t>
      </w:r>
      <w:r w:rsidR="00E70F33">
        <w:t>,</w:t>
      </w:r>
      <w:r w:rsidRPr="003F1AF9">
        <w:t xml:space="preserve"> space cooling is ubiquitous, with virtually all commercial buildings and almost 90% of residential buildings reporting some form of electricall</w:t>
      </w:r>
      <w:r w:rsidR="00E70F33">
        <w:t xml:space="preserve">y </w:t>
      </w:r>
      <w:r w:rsidRPr="003F1AF9">
        <w:t>driven space cooling.</w:t>
      </w:r>
      <w:r w:rsidR="0078120E">
        <w:t xml:space="preserve"> </w:t>
      </w:r>
      <w:r w:rsidRPr="003F1AF9">
        <w:t xml:space="preserve">The majority, in both </w:t>
      </w:r>
      <w:r w:rsidR="004375AC" w:rsidRPr="003F1AF9">
        <w:t>markets</w:t>
      </w:r>
      <w:r w:rsidRPr="003F1AF9">
        <w:t>, report central AC or heat pump systems</w:t>
      </w:r>
      <w:r w:rsidR="00E70F33">
        <w:t>,</w:t>
      </w:r>
      <w:r w:rsidRPr="003F1AF9">
        <w:t xml:space="preserve"> with the remainder</w:t>
      </w:r>
      <w:r w:rsidR="004375AC" w:rsidRPr="003F1AF9">
        <w:t xml:space="preserve"> employing</w:t>
      </w:r>
      <w:r w:rsidRPr="003F1AF9">
        <w:t xml:space="preserve"> individual ACs or heat pumps (EIA, US DOE, 2016, 2017)</w:t>
      </w:r>
      <w:r w:rsidR="00E70F33">
        <w:t>.</w:t>
      </w:r>
      <w:r w:rsidR="0078120E">
        <w:t xml:space="preserve"> </w:t>
      </w:r>
      <w:r w:rsidRPr="003F1AF9">
        <w:t xml:space="preserve">By contrast, in Europe, </w:t>
      </w:r>
      <w:r w:rsidR="004375AC" w:rsidRPr="003F1AF9">
        <w:t>also with a high</w:t>
      </w:r>
      <w:r w:rsidRPr="003F1AF9">
        <w:t xml:space="preserve"> level of affluence, the </w:t>
      </w:r>
      <w:r w:rsidR="00953781" w:rsidRPr="003F1AF9">
        <w:t xml:space="preserve">space cooling </w:t>
      </w:r>
      <w:r w:rsidRPr="003F1AF9">
        <w:t>market is mostly commercial with less than 10% of households owning ACs</w:t>
      </w:r>
      <w:r w:rsidR="004375AC" w:rsidRPr="003F1AF9">
        <w:t xml:space="preserve"> (partly as a result of a cooler climate)</w:t>
      </w:r>
      <w:r w:rsidRPr="003F1AF9">
        <w:t>.</w:t>
      </w:r>
      <w:r w:rsidR="0078120E">
        <w:t xml:space="preserve"> </w:t>
      </w:r>
      <w:r w:rsidRPr="003F1AF9">
        <w:t>China had the highest level of  residential AC sales</w:t>
      </w:r>
      <w:r w:rsidR="00E70F33">
        <w:t>,</w:t>
      </w:r>
      <w:r w:rsidRPr="003F1AF9">
        <w:t xml:space="preserve"> about 40 million units, and one of the highest per capita sales </w:t>
      </w:r>
      <w:r w:rsidR="004375AC" w:rsidRPr="003F1AF9">
        <w:t>ratios</w:t>
      </w:r>
      <w:r w:rsidRPr="003F1AF9">
        <w:t xml:space="preserve"> – 30 units per 1000 people</w:t>
      </w:r>
      <w:r w:rsidR="00E70F33">
        <w:t xml:space="preserve"> -</w:t>
      </w:r>
      <w:r w:rsidR="004375AC" w:rsidRPr="003F1AF9">
        <w:t xml:space="preserve"> in 2016</w:t>
      </w:r>
      <w:r w:rsidR="00E70F33">
        <w:t xml:space="preserve"> </w:t>
      </w:r>
      <w:r w:rsidRPr="003F1AF9">
        <w:t xml:space="preserve">(IEA, The </w:t>
      </w:r>
      <w:r w:rsidR="00953781" w:rsidRPr="003F1AF9">
        <w:t xml:space="preserve">Future of Cooling, p. 21) </w:t>
      </w:r>
      <w:r w:rsidR="00E70F33">
        <w:t>.</w:t>
      </w:r>
      <w:r w:rsidR="00953781" w:rsidRPr="003F1AF9">
        <w:t xml:space="preserve"> </w:t>
      </w:r>
    </w:p>
    <w:p w14:paraId="368E59FC" w14:textId="77777777" w:rsidR="005A773F" w:rsidRPr="003F1AF9" w:rsidRDefault="005A773F" w:rsidP="00132E27"/>
    <w:p w14:paraId="28D6B54F" w14:textId="77777777" w:rsidR="00E44D5C" w:rsidRPr="003F1AF9" w:rsidRDefault="00E44D5C">
      <w:pPr>
        <w:pStyle w:val="Heading3"/>
      </w:pPr>
      <w:bookmarkStart w:id="159" w:name="_Toc2597473"/>
      <w:bookmarkStart w:id="160" w:name="_Toc2701189"/>
      <w:bookmarkStart w:id="161" w:name="_Toc5112260"/>
      <w:bookmarkStart w:id="162" w:name="_Toc2597474"/>
      <w:bookmarkStart w:id="163" w:name="_Toc2701190"/>
      <w:bookmarkStart w:id="164" w:name="_Toc5112261"/>
      <w:bookmarkStart w:id="165" w:name="_Toc2597475"/>
      <w:bookmarkStart w:id="166" w:name="_Toc2701191"/>
      <w:bookmarkStart w:id="167" w:name="_Toc5112262"/>
      <w:bookmarkStart w:id="168" w:name="_Toc2597477"/>
      <w:bookmarkStart w:id="169" w:name="_Toc2701193"/>
      <w:bookmarkStart w:id="170" w:name="_Toc5112264"/>
      <w:bookmarkStart w:id="171" w:name="_Toc2597478"/>
      <w:bookmarkStart w:id="172" w:name="_Toc2701194"/>
      <w:bookmarkStart w:id="173" w:name="_Toc5112265"/>
      <w:bookmarkStart w:id="174" w:name="_Toc2597479"/>
      <w:bookmarkStart w:id="175" w:name="_Toc2701195"/>
      <w:bookmarkStart w:id="176" w:name="_Toc5112266"/>
      <w:bookmarkStart w:id="177" w:name="_Toc2597480"/>
      <w:bookmarkStart w:id="178" w:name="_Toc2701196"/>
      <w:bookmarkStart w:id="179" w:name="_Toc5112267"/>
      <w:bookmarkStart w:id="180" w:name="_Toc2597481"/>
      <w:bookmarkStart w:id="181" w:name="_Toc2701197"/>
      <w:bookmarkStart w:id="182" w:name="_Toc5112268"/>
      <w:bookmarkStart w:id="183" w:name="_Toc2597482"/>
      <w:bookmarkStart w:id="184" w:name="_Toc2701198"/>
      <w:bookmarkStart w:id="185" w:name="_Toc5112269"/>
      <w:bookmarkStart w:id="186" w:name="_Toc2597486"/>
      <w:bookmarkStart w:id="187" w:name="_Toc2701202"/>
      <w:bookmarkStart w:id="188" w:name="_Toc5112273"/>
      <w:bookmarkStart w:id="189" w:name="_Toc2597490"/>
      <w:bookmarkStart w:id="190" w:name="_Toc2701206"/>
      <w:bookmarkStart w:id="191" w:name="_Toc5112277"/>
      <w:bookmarkStart w:id="192" w:name="_Toc2597491"/>
      <w:bookmarkStart w:id="193" w:name="_Toc2701207"/>
      <w:bookmarkStart w:id="194" w:name="_Toc5112278"/>
      <w:bookmarkStart w:id="195" w:name="_Toc2597496"/>
      <w:bookmarkStart w:id="196" w:name="_Toc2701212"/>
      <w:bookmarkStart w:id="197" w:name="_Toc5112283"/>
      <w:bookmarkStart w:id="198" w:name="_Toc2597497"/>
      <w:bookmarkStart w:id="199" w:name="_Toc2701213"/>
      <w:bookmarkStart w:id="200" w:name="_Toc5112284"/>
      <w:bookmarkStart w:id="201" w:name="_Toc2597498"/>
      <w:bookmarkStart w:id="202" w:name="_Toc2701214"/>
      <w:bookmarkStart w:id="203" w:name="_Toc5112285"/>
      <w:bookmarkStart w:id="204" w:name="_Toc2597505"/>
      <w:bookmarkStart w:id="205" w:name="_Toc2701221"/>
      <w:bookmarkStart w:id="206" w:name="_Toc5112292"/>
      <w:bookmarkStart w:id="207" w:name="_Toc42289707"/>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sidRPr="003F1AF9">
        <w:lastRenderedPageBreak/>
        <w:t>Trends to Accelerate Adoption of High-Efficiency Heat Pumps</w:t>
      </w:r>
      <w:bookmarkEnd w:id="207"/>
    </w:p>
    <w:p w14:paraId="66AEFD06" w14:textId="5CDD8CDA" w:rsidR="00726C09" w:rsidRPr="003F1AF9" w:rsidRDefault="00726C09" w:rsidP="00726C09">
      <w:r w:rsidRPr="003F1AF9">
        <w:t>To shed light on the trends to accelerate adoption of HEHPs, it is valuable to examine the adoption of heat pumps to date, especially high-efficiency units</w:t>
      </w:r>
      <w:r w:rsidR="00E70F33">
        <w:t>.</w:t>
      </w:r>
      <w:r w:rsidR="0078120E">
        <w:t xml:space="preserve"> </w:t>
      </w:r>
      <w:r w:rsidRPr="003F1AF9">
        <w:t>What are the key drivers that have propelled the market in the direction it has taken?</w:t>
      </w:r>
      <w:r w:rsidR="0078120E">
        <w:t xml:space="preserve"> </w:t>
      </w:r>
      <w:r w:rsidRPr="003F1AF9">
        <w:t>What issues have influenced adoption?</w:t>
      </w:r>
      <w:r w:rsidR="0078120E">
        <w:t xml:space="preserve"> </w:t>
      </w:r>
      <w:r w:rsidRPr="003F1AF9">
        <w:t>What are the “key success factors” that have made HEHPs</w:t>
      </w:r>
      <w:r w:rsidR="00D33658" w:rsidRPr="003F1AF9">
        <w:t xml:space="preserve"> grow?</w:t>
      </w:r>
      <w:r w:rsidR="0078120E">
        <w:t xml:space="preserve"> </w:t>
      </w:r>
      <w:r w:rsidR="00D33658" w:rsidRPr="003F1AF9">
        <w:t>W</w:t>
      </w:r>
      <w:r w:rsidRPr="003F1AF9">
        <w:t>hat are the barriers that have impeded progress?</w:t>
      </w:r>
      <w:r w:rsidR="0078120E">
        <w:t xml:space="preserve"> </w:t>
      </w:r>
      <w:r w:rsidR="00D33658" w:rsidRPr="003F1AF9">
        <w:t>And how might these factors change in the future?</w:t>
      </w:r>
    </w:p>
    <w:p w14:paraId="04B948E2" w14:textId="2AE75DD8" w:rsidR="00726C09" w:rsidRPr="003F1AF9" w:rsidRDefault="00726C09" w:rsidP="00726C09">
      <w:pPr>
        <w:pStyle w:val="Heading4"/>
      </w:pPr>
      <w:r w:rsidRPr="003F1AF9">
        <w:t>Drivers and Issues Affecting HEHP Adoption</w:t>
      </w:r>
    </w:p>
    <w:p w14:paraId="36A4D5B3" w14:textId="3A71769D" w:rsidR="00314F1B" w:rsidRPr="003F1AF9" w:rsidRDefault="00E70F33" w:rsidP="00314F1B">
      <w:r>
        <w:t>Main</w:t>
      </w:r>
      <w:r w:rsidR="00314F1B" w:rsidRPr="003F1AF9">
        <w:t xml:space="preserve"> drivers and issues influencing the nature and speed of high-efficiency heat pump adoption include:</w:t>
      </w:r>
      <w:r w:rsidR="0078120E">
        <w:t xml:space="preserve"> </w:t>
      </w:r>
    </w:p>
    <w:p w14:paraId="622DB501" w14:textId="0F6B8274" w:rsidR="00726C09" w:rsidRPr="003F1AF9" w:rsidRDefault="00314F1B" w:rsidP="00807899">
      <w:pPr>
        <w:pStyle w:val="ListParagraph"/>
        <w:numPr>
          <w:ilvl w:val="0"/>
          <w:numId w:val="39"/>
        </w:numPr>
      </w:pPr>
      <w:r w:rsidRPr="003F1AF9">
        <w:rPr>
          <w:b/>
        </w:rPr>
        <w:t>Comfort and affluence:</w:t>
      </w:r>
      <w:r w:rsidR="0078120E">
        <w:t xml:space="preserve"> </w:t>
      </w:r>
      <w:r w:rsidR="00E70F33">
        <w:t>The main</w:t>
      </w:r>
      <w:r w:rsidR="00AB15BA" w:rsidRPr="003F1AF9">
        <w:t xml:space="preserve"> force driving</w:t>
      </w:r>
      <w:r w:rsidR="00726C09" w:rsidRPr="003F1AF9">
        <w:t xml:space="preserve"> heat pump growth, from the early days when practical commercial and residential space heating and cooling first emerged until the present, has been the combination of the desire for comfort – especially for cooling – coupled with the affluence to afford it.</w:t>
      </w:r>
      <w:r w:rsidR="0078120E">
        <w:t xml:space="preserve"> </w:t>
      </w:r>
      <w:r w:rsidR="00726C09" w:rsidRPr="003F1AF9">
        <w:t>When space cooling became practical for almost all buildings decades ago, with development of factory-manufactured units and safe refrigerants, this combination was a major factor in economic development in the US South; and it has been a driver of air conditioning growth in China over the past 20 years; it continues to drive air conditioning penetration in India and other hot developing countries.</w:t>
      </w:r>
      <w:r w:rsidR="0078120E">
        <w:t xml:space="preserve"> </w:t>
      </w:r>
    </w:p>
    <w:p w14:paraId="0E85E1CD" w14:textId="2A78632D" w:rsidR="00726C09" w:rsidRPr="003F1AF9" w:rsidRDefault="00314F1B" w:rsidP="00807899">
      <w:pPr>
        <w:pStyle w:val="ListParagraph"/>
        <w:numPr>
          <w:ilvl w:val="0"/>
          <w:numId w:val="39"/>
        </w:numPr>
      </w:pPr>
      <w:r w:rsidRPr="003F1AF9">
        <w:rPr>
          <w:b/>
        </w:rPr>
        <w:t>Development of reversible heat pumps:</w:t>
      </w:r>
      <w:r w:rsidR="0078120E">
        <w:rPr>
          <w:b/>
        </w:rPr>
        <w:t xml:space="preserve"> </w:t>
      </w:r>
      <w:r w:rsidR="00726C09" w:rsidRPr="003F1AF9">
        <w:t xml:space="preserve">Establishment of space cooling, for which vapor compression has been the only practical solution in most locations, “opened the door” for reversible heat pump </w:t>
      </w:r>
      <w:r w:rsidR="00726C09" w:rsidRPr="003F1AF9">
        <w:rPr>
          <w:i/>
        </w:rPr>
        <w:t>space heating</w:t>
      </w:r>
      <w:r w:rsidR="00726C09" w:rsidRPr="003F1AF9">
        <w:t>.</w:t>
      </w:r>
      <w:r w:rsidR="0078120E">
        <w:t xml:space="preserve"> </w:t>
      </w:r>
      <w:r w:rsidR="00726C09" w:rsidRPr="003F1AF9">
        <w:t>In regions with hot summers and mild winters, such as the US South and much of China, reversible heat pumps have provided a low-added-cost space heating solution.</w:t>
      </w:r>
      <w:r w:rsidR="0078120E">
        <w:t xml:space="preserve"> </w:t>
      </w:r>
      <w:r w:rsidR="00726C09" w:rsidRPr="003F1AF9">
        <w:t>The space cooling infrastructure has also expedited heat pump space heating adoption by providing the technological foundation, manufacturing base, and skilled technician pool needed for space heating.</w:t>
      </w:r>
      <w:r w:rsidR="0078120E">
        <w:t xml:space="preserve"> </w:t>
      </w:r>
    </w:p>
    <w:p w14:paraId="39FE17D1" w14:textId="43543ADE" w:rsidR="00532271" w:rsidRPr="003F1AF9" w:rsidRDefault="00D33658" w:rsidP="00807899">
      <w:pPr>
        <w:pStyle w:val="ListParagraph"/>
        <w:numPr>
          <w:ilvl w:val="0"/>
          <w:numId w:val="38"/>
        </w:numPr>
        <w:spacing w:after="160"/>
      </w:pPr>
      <w:r w:rsidRPr="003F1AF9">
        <w:rPr>
          <w:b/>
        </w:rPr>
        <w:t>Ease of</w:t>
      </w:r>
      <w:r w:rsidR="00532271" w:rsidRPr="003F1AF9">
        <w:rPr>
          <w:b/>
        </w:rPr>
        <w:t xml:space="preserve"> installation:</w:t>
      </w:r>
      <w:r w:rsidR="0078120E">
        <w:rPr>
          <w:b/>
        </w:rPr>
        <w:t xml:space="preserve"> </w:t>
      </w:r>
      <w:r w:rsidR="00532271" w:rsidRPr="003F1AF9">
        <w:t>Air-source heat pump installation, on average, is similar in complexity and disruption to installing a fossil furnace or boiler.</w:t>
      </w:r>
      <w:r w:rsidR="0078120E">
        <w:t xml:space="preserve"> </w:t>
      </w:r>
      <w:r w:rsidR="00532271" w:rsidRPr="003F1AF9">
        <w:t>For heating-only retrofits, an existing hydronic or air distribution system usually can be used.</w:t>
      </w:r>
      <w:r w:rsidR="0078120E">
        <w:t xml:space="preserve"> </w:t>
      </w:r>
      <w:r w:rsidR="00532271" w:rsidRPr="003F1AF9">
        <w:t>Sometimes the existing distribution system may need to be augmented with additional heat exchange capacity, especially if it is an older system designed for steam or very hot water, because the heat pump may provid</w:t>
      </w:r>
      <w:r w:rsidR="006164C1" w:rsidRPr="003F1AF9">
        <w:t>e lower-temperature heat.</w:t>
      </w:r>
      <w:r w:rsidR="0078120E">
        <w:t xml:space="preserve"> </w:t>
      </w:r>
      <w:r w:rsidR="006164C1" w:rsidRPr="003F1AF9">
        <w:t xml:space="preserve">(This </w:t>
      </w:r>
      <w:r w:rsidR="00532271" w:rsidRPr="003F1AF9">
        <w:t>may represent a good opportunity to update the building envelope instead.</w:t>
      </w:r>
      <w:r w:rsidR="006164C1" w:rsidRPr="003F1AF9">
        <w:t>)</w:t>
      </w:r>
      <w:r w:rsidR="0078120E">
        <w:t xml:space="preserve"> </w:t>
      </w:r>
      <w:r w:rsidR="00532271" w:rsidRPr="003F1AF9">
        <w:t>Outdoor air access is needed, but this is not significantly different for fossil-based heating systems which require outdoor access for combustion air intake and exhaust.</w:t>
      </w:r>
      <w:r w:rsidR="0078120E">
        <w:t xml:space="preserve"> </w:t>
      </w:r>
      <w:r w:rsidR="00532271" w:rsidRPr="003F1AF9">
        <w:t>In some respects, ASHP installation is simpler, not requiring fuel piping, and providing both heating and cooling in a single system.</w:t>
      </w:r>
      <w:r w:rsidR="0078120E">
        <w:t xml:space="preserve"> </w:t>
      </w:r>
      <w:r w:rsidR="00532271" w:rsidRPr="003F1AF9">
        <w:t xml:space="preserve">Space cooling usually requires an air distribution system (as opposed to hydronic) in order to address dehumidification </w:t>
      </w:r>
      <w:r w:rsidR="00532271" w:rsidRPr="003F1AF9">
        <w:lastRenderedPageBreak/>
        <w:t>(possibly excepting “chilled beam” systems, which are not common; see for example Murphy, 2011).</w:t>
      </w:r>
      <w:r w:rsidR="0078120E">
        <w:t xml:space="preserve"> </w:t>
      </w:r>
      <w:r w:rsidR="00532271" w:rsidRPr="003F1AF9">
        <w:t xml:space="preserve">This may </w:t>
      </w:r>
      <w:r w:rsidR="006164C1" w:rsidRPr="003F1AF9">
        <w:t>add</w:t>
      </w:r>
      <w:r w:rsidR="00532271" w:rsidRPr="003F1AF9">
        <w:t xml:space="preserve"> cost and </w:t>
      </w:r>
      <w:r w:rsidR="006164C1" w:rsidRPr="003F1AF9">
        <w:t>complexity</w:t>
      </w:r>
      <w:r w:rsidR="00532271" w:rsidRPr="003F1AF9">
        <w:t xml:space="preserve"> in </w:t>
      </w:r>
      <w:r w:rsidR="006164C1" w:rsidRPr="003F1AF9">
        <w:t>locations</w:t>
      </w:r>
      <w:r w:rsidR="00532271" w:rsidRPr="003F1AF9">
        <w:t xml:space="preserve"> where hydronic distribution is prevalent.</w:t>
      </w:r>
      <w:r w:rsidR="0078120E">
        <w:t xml:space="preserve"> </w:t>
      </w:r>
    </w:p>
    <w:p w14:paraId="63E47647" w14:textId="681D1B66" w:rsidR="00532271" w:rsidRPr="003F1AF9" w:rsidRDefault="006164C1" w:rsidP="00807899">
      <w:pPr>
        <w:pStyle w:val="ListParagraph"/>
        <w:numPr>
          <w:ilvl w:val="0"/>
          <w:numId w:val="38"/>
        </w:numPr>
        <w:spacing w:after="160"/>
      </w:pPr>
      <w:r w:rsidRPr="003F1AF9">
        <w:rPr>
          <w:b/>
        </w:rPr>
        <w:t>C</w:t>
      </w:r>
      <w:r w:rsidR="00532271" w:rsidRPr="003F1AF9">
        <w:rPr>
          <w:b/>
        </w:rPr>
        <w:t xml:space="preserve">ost: </w:t>
      </w:r>
      <w:r w:rsidR="00532271" w:rsidRPr="003F1AF9">
        <w:t>First cost and operating cost are very location-dependent and building-sp</w:t>
      </w:r>
      <w:r w:rsidR="00F02421" w:rsidRPr="003F1AF9">
        <w:t>ecific.</w:t>
      </w:r>
      <w:r w:rsidR="0078120E">
        <w:t xml:space="preserve"> </w:t>
      </w:r>
      <w:r w:rsidR="00F02421" w:rsidRPr="003F1AF9">
        <w:t>This report addresses c</w:t>
      </w:r>
      <w:r w:rsidR="00532271" w:rsidRPr="003F1AF9">
        <w:t xml:space="preserve">ost </w:t>
      </w:r>
      <w:r w:rsidR="00F02421" w:rsidRPr="003F1AF9">
        <w:t>below under “Barriers”</w:t>
      </w:r>
      <w:r w:rsidR="00C867F8" w:rsidRPr="003F1AF9">
        <w:t xml:space="preserve"> in Section </w:t>
      </w:r>
      <w:r w:rsidR="00C867F8" w:rsidRPr="003F1AF9">
        <w:fldChar w:fldCharType="begin"/>
      </w:r>
      <w:r w:rsidR="00C867F8" w:rsidRPr="003F1AF9">
        <w:instrText xml:space="preserve"> REF _Ref5125934 \r \h </w:instrText>
      </w:r>
      <w:r w:rsidR="00C867F8" w:rsidRPr="003F1AF9">
        <w:fldChar w:fldCharType="separate"/>
      </w:r>
      <w:r w:rsidR="00E60668">
        <w:t>1.2.3</w:t>
      </w:r>
      <w:r w:rsidR="00C867F8" w:rsidRPr="003F1AF9">
        <w:fldChar w:fldCharType="end"/>
      </w:r>
      <w:r w:rsidR="00532271" w:rsidRPr="003F1AF9">
        <w:t>.</w:t>
      </w:r>
      <w:r w:rsidR="0078120E">
        <w:t xml:space="preserve"> </w:t>
      </w:r>
    </w:p>
    <w:p w14:paraId="5CE61CC7" w14:textId="04113ACA" w:rsidR="00314F1B" w:rsidRPr="003F1AF9" w:rsidRDefault="00532271" w:rsidP="00FA7BBB">
      <w:pPr>
        <w:pStyle w:val="ListParagraph"/>
        <w:numPr>
          <w:ilvl w:val="0"/>
          <w:numId w:val="13"/>
        </w:numPr>
        <w:spacing w:after="160"/>
        <w:contextualSpacing w:val="0"/>
      </w:pPr>
      <w:r w:rsidRPr="003F1AF9">
        <w:rPr>
          <w:b/>
        </w:rPr>
        <w:t>Location:</w:t>
      </w:r>
      <w:r w:rsidR="0078120E">
        <w:rPr>
          <w:b/>
        </w:rPr>
        <w:t xml:space="preserve"> </w:t>
      </w:r>
      <w:r w:rsidR="00AB15BA" w:rsidRPr="003F1AF9">
        <w:t xml:space="preserve">Historically, </w:t>
      </w:r>
      <w:r w:rsidRPr="003F1AF9">
        <w:t>reduced efficiency and low heating capacity at very low outdoor air temperatures, have limited the viability of ASHPs in very cold climates.</w:t>
      </w:r>
      <w:r w:rsidR="0078120E">
        <w:t xml:space="preserve"> </w:t>
      </w:r>
      <w:r w:rsidR="00F02421" w:rsidRPr="003F1AF9">
        <w:t>This report addresses location below under “Barriers”</w:t>
      </w:r>
      <w:r w:rsidR="00C867F8" w:rsidRPr="003F1AF9">
        <w:t xml:space="preserve"> in Section </w:t>
      </w:r>
      <w:r w:rsidR="00C867F8" w:rsidRPr="003F1AF9">
        <w:fldChar w:fldCharType="begin"/>
      </w:r>
      <w:r w:rsidR="00C867F8" w:rsidRPr="003F1AF9">
        <w:instrText xml:space="preserve"> REF _Ref5125925 \r \h </w:instrText>
      </w:r>
      <w:r w:rsidR="00C867F8" w:rsidRPr="003F1AF9">
        <w:fldChar w:fldCharType="separate"/>
      </w:r>
      <w:r w:rsidR="00E60668">
        <w:t>1.2.3</w:t>
      </w:r>
      <w:r w:rsidR="00C867F8" w:rsidRPr="003F1AF9">
        <w:fldChar w:fldCharType="end"/>
      </w:r>
      <w:r w:rsidR="00F02421" w:rsidRPr="003F1AF9">
        <w:t>.</w:t>
      </w:r>
      <w:r w:rsidR="0078120E">
        <w:t xml:space="preserve"> </w:t>
      </w:r>
    </w:p>
    <w:p w14:paraId="177A10D2" w14:textId="1EBA0D57" w:rsidR="00532271" w:rsidRPr="003F1AF9" w:rsidRDefault="00532271" w:rsidP="00FA7BBB">
      <w:pPr>
        <w:pStyle w:val="ListParagraph"/>
        <w:numPr>
          <w:ilvl w:val="0"/>
          <w:numId w:val="13"/>
        </w:numPr>
        <w:spacing w:after="160"/>
        <w:contextualSpacing w:val="0"/>
      </w:pPr>
      <w:r w:rsidRPr="003F1AF9">
        <w:rPr>
          <w:b/>
        </w:rPr>
        <w:t>Installation skills and equipment availability:</w:t>
      </w:r>
      <w:r w:rsidR="0078120E">
        <w:t xml:space="preserve"> </w:t>
      </w:r>
      <w:r w:rsidRPr="003F1AF9">
        <w:t>With the widespread implementation of vapor compression space cooling in the US, Europe, China and other markets, skilled ASHP installers (and engineers to operate large commercial buildings) are widely available throughout these regions.</w:t>
      </w:r>
      <w:r w:rsidR="0078120E">
        <w:t xml:space="preserve"> </w:t>
      </w:r>
      <w:r w:rsidRPr="003F1AF9">
        <w:t>Availability of skilled people and equipment can be a problem in developing countries where space cooling is less prevalent, and the equipment / parts supply chain is weak.</w:t>
      </w:r>
      <w:r w:rsidR="0078120E">
        <w:t xml:space="preserve"> </w:t>
      </w:r>
    </w:p>
    <w:p w14:paraId="40E410D2" w14:textId="67817050" w:rsidR="00532271" w:rsidRPr="003F1AF9" w:rsidRDefault="00532271" w:rsidP="00532271">
      <w:pPr>
        <w:pStyle w:val="ListParagraph"/>
        <w:numPr>
          <w:ilvl w:val="0"/>
          <w:numId w:val="13"/>
        </w:numPr>
        <w:spacing w:after="160"/>
        <w:contextualSpacing w:val="0"/>
      </w:pPr>
      <w:r w:rsidRPr="003F1AF9">
        <w:rPr>
          <w:b/>
        </w:rPr>
        <w:t>Large building implementation:</w:t>
      </w:r>
      <w:r w:rsidR="0078120E">
        <w:rPr>
          <w:b/>
        </w:rPr>
        <w:t xml:space="preserve"> </w:t>
      </w:r>
      <w:r w:rsidRPr="003F1AF9">
        <w:t>Large commercial buildings space conditioning needs are quite different from those of residential structures or small commercial buildings.</w:t>
      </w:r>
      <w:r w:rsidR="0078120E">
        <w:t xml:space="preserve"> </w:t>
      </w:r>
      <w:r w:rsidRPr="003F1AF9">
        <w:t>It is common for a large building – due to its high volume to surface area ratio – to require space heating and space cooling in different parts of the structure at the same time.</w:t>
      </w:r>
      <w:r w:rsidR="0078120E">
        <w:t xml:space="preserve"> </w:t>
      </w:r>
      <w:r w:rsidRPr="003F1AF9">
        <w:t>This is especially true in temperate climates during cooler times of year when perimeter heating and central core cooling are needed simultaneously.</w:t>
      </w:r>
      <w:r w:rsidR="0078120E">
        <w:t xml:space="preserve"> </w:t>
      </w:r>
      <w:r w:rsidRPr="003F1AF9">
        <w:t>Likewise, large buildings require active measures to provide fresh air ventilation and to remove CO</w:t>
      </w:r>
      <w:r w:rsidRPr="003F1AF9">
        <w:rPr>
          <w:vertAlign w:val="subscript"/>
        </w:rPr>
        <w:t>2</w:t>
      </w:r>
      <w:r w:rsidRPr="003F1AF9">
        <w:t xml:space="preserve"> from densely-occupied spaces – functions provide</w:t>
      </w:r>
      <w:r w:rsidR="0072630C">
        <w:t>d</w:t>
      </w:r>
      <w:r w:rsidRPr="003F1AF9">
        <w:t xml:space="preserve"> in small buildings by envelope leakage.</w:t>
      </w:r>
      <w:r w:rsidR="0078120E">
        <w:t xml:space="preserve"> </w:t>
      </w:r>
      <w:r w:rsidRPr="003F1AF9">
        <w:t>And many large commercial buildings have special space conditioning needs:</w:t>
      </w:r>
      <w:r w:rsidR="0078120E">
        <w:t xml:space="preserve"> </w:t>
      </w:r>
      <w:r w:rsidRPr="003F1AF9">
        <w:t>Hospitals, for example, require very high ventilation rates and special temperature / humidity conditions in operating rooms and other specialized spaces.</w:t>
      </w:r>
      <w:r w:rsidR="0078120E">
        <w:t xml:space="preserve"> </w:t>
      </w:r>
      <w:r w:rsidRPr="003F1AF9">
        <w:t>And increasingly, commercial buildings contain computer data centers with intense cooling requirements.</w:t>
      </w:r>
      <w:r w:rsidR="0078120E">
        <w:t xml:space="preserve"> </w:t>
      </w:r>
      <w:r w:rsidRPr="003F1AF9">
        <w:t>As a result, the space conditioning systems employed in large commercial buildings are quite different from those in small buildings.</w:t>
      </w:r>
      <w:r w:rsidR="0078120E">
        <w:t xml:space="preserve"> </w:t>
      </w:r>
      <w:r w:rsidRPr="003F1AF9">
        <w:t>Large buildings often employ large chillers for space cooling, and typically use variable air volume (VAV) terminal-based heating and cooling distribution systems.</w:t>
      </w:r>
      <w:r w:rsidR="0078120E">
        <w:t xml:space="preserve"> </w:t>
      </w:r>
      <w:r w:rsidRPr="003F1AF9">
        <w:t>With thousands of sensors and actuators to control, a building automation system (BAS) is mandatory.</w:t>
      </w:r>
      <w:r w:rsidR="0078120E">
        <w:t xml:space="preserve"> </w:t>
      </w:r>
      <w:r w:rsidRPr="003F1AF9">
        <w:t>Large commercial buildings offer unique energy-saving challenges and opportunities not seen in smaller buildings:</w:t>
      </w:r>
      <w:r w:rsidR="0078120E">
        <w:t xml:space="preserve"> </w:t>
      </w:r>
      <w:r w:rsidRPr="003F1AF9">
        <w:t>As an example, to meet comfort and ventilation requirements, VAVs often wastefully “reheat” previously</w:t>
      </w:r>
      <w:r w:rsidR="0072630C">
        <w:t xml:space="preserve"> </w:t>
      </w:r>
      <w:r w:rsidRPr="003F1AF9">
        <w:t>cooled air using fossil-heated water or electric resistance coils.</w:t>
      </w:r>
      <w:r w:rsidR="0078120E">
        <w:t xml:space="preserve"> </w:t>
      </w:r>
      <w:r w:rsidRPr="003F1AF9">
        <w:t>On the opportunity side, the need for simultaneous heating and cooling makes it possible to use space cooling reject heat to provide space heating or domestic hot water.</w:t>
      </w:r>
      <w:r w:rsidR="0078120E">
        <w:t xml:space="preserve"> </w:t>
      </w:r>
      <w:r w:rsidRPr="003F1AF9">
        <w:t xml:space="preserve">And large chillers can use </w:t>
      </w:r>
      <w:r w:rsidRPr="003F1AF9">
        <w:lastRenderedPageBreak/>
        <w:t>“economizer cycles” when the outdoor temperature is low to provide “free” space cooling.</w:t>
      </w:r>
      <w:r w:rsidR="0078120E">
        <w:t xml:space="preserve"> </w:t>
      </w:r>
      <w:r w:rsidRPr="003F1AF9">
        <w:t>In temperate climates</w:t>
      </w:r>
      <w:r w:rsidR="0072630C">
        <w:t>,</w:t>
      </w:r>
      <w:r w:rsidRPr="003F1AF9">
        <w:t xml:space="preserve"> this can dramatically reduce cooling energy consumption.</w:t>
      </w:r>
      <w:r w:rsidR="0078120E">
        <w:t xml:space="preserve"> </w:t>
      </w:r>
    </w:p>
    <w:p w14:paraId="406C9B00" w14:textId="6644A69A" w:rsidR="005A216A" w:rsidRPr="003F1AF9" w:rsidRDefault="005A216A" w:rsidP="005A216A">
      <w:pPr>
        <w:pStyle w:val="Heading4"/>
      </w:pPr>
      <w:r w:rsidRPr="003F1AF9">
        <w:t>Key Success Factors to Accelerate HEHP Adoption</w:t>
      </w:r>
    </w:p>
    <w:p w14:paraId="3BCEDF12" w14:textId="74FB2F15" w:rsidR="00532271" w:rsidRPr="003F1AF9" w:rsidRDefault="005A216A" w:rsidP="00532271">
      <w:r w:rsidRPr="003F1AF9">
        <w:t>What are the “key success factors” needed to accelerate HEHP adoption?</w:t>
      </w:r>
    </w:p>
    <w:p w14:paraId="260C53D4" w14:textId="77777777" w:rsidR="005A216A" w:rsidRPr="003F1AF9" w:rsidRDefault="005A216A" w:rsidP="00807899">
      <w:pPr>
        <w:pStyle w:val="ListParagraph"/>
        <w:numPr>
          <w:ilvl w:val="0"/>
          <w:numId w:val="40"/>
        </w:numPr>
        <w:rPr>
          <w:b/>
        </w:rPr>
      </w:pPr>
      <w:r w:rsidRPr="003F1AF9">
        <w:rPr>
          <w:b/>
        </w:rPr>
        <w:t>Integrated government policy including:</w:t>
      </w:r>
    </w:p>
    <w:p w14:paraId="41F8B5D2" w14:textId="3701152E" w:rsidR="005A216A" w:rsidRPr="003F1AF9" w:rsidRDefault="005A216A" w:rsidP="00807899">
      <w:pPr>
        <w:pStyle w:val="ListParagraph"/>
        <w:numPr>
          <w:ilvl w:val="0"/>
          <w:numId w:val="42"/>
        </w:numPr>
      </w:pPr>
      <w:r w:rsidRPr="003F1AF9">
        <w:rPr>
          <w:b/>
        </w:rPr>
        <w:t>Vision.</w:t>
      </w:r>
      <w:r w:rsidR="0078120E">
        <w:t xml:space="preserve"> </w:t>
      </w:r>
      <w:r w:rsidRPr="003F1AF9">
        <w:t>Overall energy consumption / GHG emissions objectives and strategic frameworks at international, national, and local levels.</w:t>
      </w:r>
      <w:r w:rsidR="0078120E">
        <w:t xml:space="preserve"> </w:t>
      </w:r>
    </w:p>
    <w:p w14:paraId="78A66B5F" w14:textId="1DA81480" w:rsidR="005A216A" w:rsidRPr="003F1AF9" w:rsidRDefault="001C7B74" w:rsidP="00807899">
      <w:pPr>
        <w:pStyle w:val="ListParagraph"/>
        <w:numPr>
          <w:ilvl w:val="0"/>
          <w:numId w:val="42"/>
        </w:numPr>
        <w:spacing w:after="160"/>
        <w:contextualSpacing w:val="0"/>
      </w:pPr>
      <w:r w:rsidRPr="003F1AF9">
        <w:rPr>
          <w:b/>
        </w:rPr>
        <w:t>Minimum Energy Performance Standards (</w:t>
      </w:r>
      <w:r w:rsidR="005A216A" w:rsidRPr="003F1AF9">
        <w:rPr>
          <w:b/>
        </w:rPr>
        <w:t>MEPS</w:t>
      </w:r>
      <w:r w:rsidRPr="003F1AF9">
        <w:rPr>
          <w:b/>
        </w:rPr>
        <w:t>)</w:t>
      </w:r>
      <w:r w:rsidR="005A216A" w:rsidRPr="003F1AF9">
        <w:rPr>
          <w:b/>
        </w:rPr>
        <w:t>.</w:t>
      </w:r>
      <w:r w:rsidR="0078120E">
        <w:t xml:space="preserve"> </w:t>
      </w:r>
      <w:r w:rsidR="004D4515" w:rsidRPr="003F1AF9">
        <w:t>Increasingly high</w:t>
      </w:r>
      <w:r w:rsidR="005A216A" w:rsidRPr="003F1AF9">
        <w:t xml:space="preserve"> </w:t>
      </w:r>
      <w:r w:rsidRPr="003F1AF9">
        <w:t>MEPS (sometimes articulated as</w:t>
      </w:r>
      <w:r w:rsidR="005A216A" w:rsidRPr="003F1AF9">
        <w:t xml:space="preserve"> renewable content</w:t>
      </w:r>
      <w:r w:rsidRPr="003F1AF9">
        <w:t xml:space="preserve"> standards) provide a critical </w:t>
      </w:r>
      <w:r w:rsidR="005A216A" w:rsidRPr="003F1AF9">
        <w:t>“</w:t>
      </w:r>
      <w:r w:rsidRPr="003F1AF9">
        <w:t xml:space="preserve">demand </w:t>
      </w:r>
      <w:r w:rsidR="005A216A" w:rsidRPr="003F1AF9">
        <w:t xml:space="preserve">signal” </w:t>
      </w:r>
      <w:r w:rsidRPr="003F1AF9">
        <w:t>for</w:t>
      </w:r>
      <w:r w:rsidR="005A216A" w:rsidRPr="003F1AF9">
        <w:t xml:space="preserve"> </w:t>
      </w:r>
      <w:r w:rsidRPr="003F1AF9">
        <w:t xml:space="preserve">heat pump </w:t>
      </w:r>
      <w:r w:rsidR="005A216A" w:rsidRPr="003F1AF9">
        <w:t>manufacturers to invest in the design, manufacture, and sale of high-</w:t>
      </w:r>
      <w:r w:rsidRPr="003F1AF9">
        <w:t>efficiency</w:t>
      </w:r>
      <w:r w:rsidR="005A216A" w:rsidRPr="003F1AF9">
        <w:t xml:space="preserve"> heat pumps.</w:t>
      </w:r>
      <w:r w:rsidR="0078120E">
        <w:t xml:space="preserve"> </w:t>
      </w:r>
      <w:r w:rsidRPr="003F1AF9">
        <w:t>MEPS</w:t>
      </w:r>
      <w:r w:rsidR="005A216A" w:rsidRPr="003F1AF9">
        <w:t xml:space="preserve"> have been a major factor in driving adoption of energy efficient heat pumps worldwide</w:t>
      </w:r>
      <w:r w:rsidR="0078120E">
        <w:t xml:space="preserve"> </w:t>
      </w:r>
      <w:r w:rsidR="005A216A" w:rsidRPr="003F1AF9">
        <w:t>(</w:t>
      </w:r>
      <w:proofErr w:type="spellStart"/>
      <w:r w:rsidR="005A216A" w:rsidRPr="003F1AF9">
        <w:t>Goetzler</w:t>
      </w:r>
      <w:proofErr w:type="spellEnd"/>
      <w:r w:rsidR="005A216A" w:rsidRPr="003F1AF9">
        <w:t>, 2018, p. 51; IEA, Future of Cooling, 2018, p. 67)</w:t>
      </w:r>
      <w:r w:rsidR="004D4515">
        <w:t>.</w:t>
      </w:r>
      <w:r w:rsidR="0078120E">
        <w:t xml:space="preserve"> </w:t>
      </w:r>
      <w:r w:rsidR="005A216A" w:rsidRPr="003F1AF9">
        <w:t>The US DOE has regularly updated heat pump / AC minimum efficiency standards, which are now regional, (Regulations, 2016; Regulations, 2017), resulting in huge energy savings and hundreds of billions of dollars of reduced operating costs (</w:t>
      </w:r>
      <w:proofErr w:type="spellStart"/>
      <w:r w:rsidR="005A216A" w:rsidRPr="003F1AF9">
        <w:t>Goetzler</w:t>
      </w:r>
      <w:proofErr w:type="spellEnd"/>
      <w:r w:rsidR="005A216A" w:rsidRPr="003F1AF9">
        <w:t>, 2018, p.29).</w:t>
      </w:r>
      <w:r w:rsidR="0078120E">
        <w:t xml:space="preserve"> </w:t>
      </w:r>
      <w:r w:rsidR="005A216A" w:rsidRPr="003F1AF9">
        <w:t xml:space="preserve">The EU, too, has imposed </w:t>
      </w:r>
      <w:r w:rsidR="004D4515" w:rsidRPr="003F1AF9">
        <w:t>increasingly strict</w:t>
      </w:r>
      <w:r w:rsidR="005A216A" w:rsidRPr="003F1AF9">
        <w:t xml:space="preserve"> minimum performance standards.</w:t>
      </w:r>
      <w:r w:rsidR="0078120E">
        <w:t xml:space="preserve"> </w:t>
      </w:r>
      <w:r w:rsidR="005A216A" w:rsidRPr="003F1AF9">
        <w:t>These have evolved from “standard rating condition” single point efficiency metrics, such as EER and COP, to seasonal efficiencies SEER and SCOP that set minimum requirements for the “renewable energy” contribution from heat pumps (</w:t>
      </w:r>
      <w:proofErr w:type="spellStart"/>
      <w:r w:rsidR="005A216A" w:rsidRPr="003F1AF9">
        <w:t>Lacourt</w:t>
      </w:r>
      <w:proofErr w:type="spellEnd"/>
      <w:r w:rsidR="005A216A" w:rsidRPr="003F1AF9">
        <w:t>, 2018)</w:t>
      </w:r>
      <w:r w:rsidR="004D4515">
        <w:t>.</w:t>
      </w:r>
      <w:r w:rsidR="0078120E">
        <w:t xml:space="preserve"> </w:t>
      </w:r>
      <w:r w:rsidRPr="003F1AF9">
        <w:rPr>
          <w:b/>
        </w:rPr>
        <w:t>V</w:t>
      </w:r>
      <w:r w:rsidRPr="003F1AF9">
        <w:t>oluntary standards, such as ENERGY STAR in the US, and various incentive programs in Europe (see e.g., EHPA, 2014) also make an important contribution.</w:t>
      </w:r>
      <w:r w:rsidR="0078120E">
        <w:t xml:space="preserve"> </w:t>
      </w:r>
      <w:r w:rsidR="005A216A" w:rsidRPr="003F1AF9">
        <w:t>A counter example in standard setting is China which, as of 2017, lacked unified energy efficiency standards and labeling, making it difficult for buyers to evaluate products (Zhou, 2017)</w:t>
      </w:r>
      <w:r w:rsidR="004D4515">
        <w:t>.</w:t>
      </w:r>
      <w:r w:rsidR="0078120E">
        <w:t xml:space="preserve"> </w:t>
      </w:r>
    </w:p>
    <w:p w14:paraId="212A9F98" w14:textId="549E03EB" w:rsidR="005A216A" w:rsidRPr="003F1AF9" w:rsidRDefault="005A216A" w:rsidP="00807899">
      <w:pPr>
        <w:pStyle w:val="ListParagraph"/>
        <w:numPr>
          <w:ilvl w:val="0"/>
          <w:numId w:val="42"/>
        </w:numPr>
      </w:pPr>
      <w:r w:rsidRPr="003F1AF9">
        <w:rPr>
          <w:b/>
        </w:rPr>
        <w:t>Financial incentives for preferred HEHP system installation.</w:t>
      </w:r>
      <w:r w:rsidR="0078120E">
        <w:t xml:space="preserve"> </w:t>
      </w:r>
      <w:r w:rsidR="00D94EC5" w:rsidRPr="003F1AF9">
        <w:t>Together with MEPS, financial incentives provide a “carrot and stick” to influence HP</w:t>
      </w:r>
      <w:r w:rsidRPr="003F1AF9">
        <w:t xml:space="preserve"> buyers to consider, not only first cost, but also future operating cost (which comprises 50% to 80% of total HEHP cost (</w:t>
      </w:r>
      <w:proofErr w:type="spellStart"/>
      <w:r w:rsidRPr="003F1AF9">
        <w:t>Goetzler</w:t>
      </w:r>
      <w:proofErr w:type="spellEnd"/>
      <w:r w:rsidRPr="003F1AF9">
        <w:t>, 2018, p. 42)), energy use, and GHG emissions.</w:t>
      </w:r>
      <w:r w:rsidR="0078120E">
        <w:t xml:space="preserve"> </w:t>
      </w:r>
      <w:r w:rsidRPr="003F1AF9">
        <w:t>And many buyers need loans or other support to purchase new equipment.</w:t>
      </w:r>
      <w:r w:rsidR="0078120E">
        <w:t xml:space="preserve"> </w:t>
      </w:r>
      <w:r w:rsidRPr="003F1AF9">
        <w:t>Incentive programs are diverse, typically involving upfront equipment purchase rebates, financing or tax abatement to reward high-efficiency a</w:t>
      </w:r>
      <w:r w:rsidR="00D94EC5" w:rsidRPr="003F1AF9">
        <w:t>nd “renewable energy” content.</w:t>
      </w:r>
      <w:r w:rsidR="0078120E">
        <w:t xml:space="preserve"> </w:t>
      </w:r>
      <w:r w:rsidR="00D94EC5" w:rsidRPr="003F1AF9">
        <w:t>This can be d</w:t>
      </w:r>
      <w:r w:rsidRPr="003F1AF9">
        <w:t>efined dif</w:t>
      </w:r>
      <w:r w:rsidR="00D94EC5" w:rsidRPr="003F1AF9">
        <w:t>ferently in different regions:</w:t>
      </w:r>
      <w:r w:rsidR="0078120E">
        <w:t xml:space="preserve"> </w:t>
      </w:r>
      <w:r w:rsidRPr="003F1AF9">
        <w:t>For example, both GSHPs and WSHPs are eligible for a geothermal energy tax credit in the USA (ENERGY STAR, Federal Tax Credits: Geothermal Heat Pumps), though technically such systems do not draw on geothermal energy.</w:t>
      </w:r>
      <w:r w:rsidR="0078120E">
        <w:t xml:space="preserve"> </w:t>
      </w:r>
      <w:r w:rsidRPr="003F1AF9">
        <w:t>Many European countries offer heat pump tax credits and other incentives, usually for installing a high-performance unit, and not dire</w:t>
      </w:r>
      <w:r w:rsidR="00D94EC5" w:rsidRPr="003F1AF9">
        <w:t>cted at specific technologies</w:t>
      </w:r>
      <w:r w:rsidR="0078120E">
        <w:t xml:space="preserve"> </w:t>
      </w:r>
      <w:r w:rsidRPr="003F1AF9">
        <w:t>(EHPA, 2014).</w:t>
      </w:r>
      <w:r w:rsidR="0078120E">
        <w:t xml:space="preserve"> </w:t>
      </w:r>
      <w:r w:rsidRPr="003F1AF9">
        <w:t xml:space="preserve">For example, the German </w:t>
      </w:r>
      <w:proofErr w:type="spellStart"/>
      <w:r w:rsidRPr="003F1AF9">
        <w:lastRenderedPageBreak/>
        <w:t>Marktanreizprogramm</w:t>
      </w:r>
      <w:proofErr w:type="spellEnd"/>
      <w:r w:rsidRPr="003F1AF9">
        <w:t xml:space="preserve"> (MAP) incentive rewards air-to-water systems with SCOP of 3.5 and ground-source systems with 3.8 SCOP.</w:t>
      </w:r>
      <w:r w:rsidR="0078120E">
        <w:t xml:space="preserve"> </w:t>
      </w:r>
      <w:r w:rsidRPr="003F1AF9">
        <w:t>Sweden, which sets maximum energy demand requirements on all new buildings, pays up to 50% of labor costs for heat pump retrofit installations (EHPA, 2014, p.155)</w:t>
      </w:r>
      <w:r w:rsidR="004D4515">
        <w:t>.</w:t>
      </w:r>
      <w:r w:rsidR="0078120E">
        <w:t xml:space="preserve"> </w:t>
      </w:r>
      <w:r w:rsidRPr="003F1AF9">
        <w:t>China has provided, at local and national levels, a variety of incentives for different types of HEHPs, esp</w:t>
      </w:r>
      <w:r w:rsidR="004D4515">
        <w:t>ecially</w:t>
      </w:r>
      <w:r w:rsidRPr="003F1AF9">
        <w:t xml:space="preserve"> to reduce coal consumption</w:t>
      </w:r>
      <w:r w:rsidR="0078120E">
        <w:t xml:space="preserve"> </w:t>
      </w:r>
      <w:r w:rsidRPr="003F1AF9">
        <w:t>(Zhao, 2018)</w:t>
      </w:r>
      <w:r w:rsidR="004D4515">
        <w:t>.</w:t>
      </w:r>
    </w:p>
    <w:p w14:paraId="1AE9FB95" w14:textId="4D093360" w:rsidR="005A216A" w:rsidRPr="003F1AF9" w:rsidRDefault="005A216A" w:rsidP="005A216A">
      <w:pPr>
        <w:pStyle w:val="ListParagraph"/>
        <w:numPr>
          <w:ilvl w:val="0"/>
          <w:numId w:val="42"/>
        </w:numPr>
      </w:pPr>
      <w:r w:rsidRPr="003F1AF9">
        <w:rPr>
          <w:b/>
        </w:rPr>
        <w:t>Comparative labeling and seasonal performance metrics.</w:t>
      </w:r>
      <w:r w:rsidR="0078120E">
        <w:t xml:space="preserve"> </w:t>
      </w:r>
      <w:r w:rsidR="00D94EC5" w:rsidRPr="003F1AF9">
        <w:t>Accurate, informative labeling, supported by relevant performance metrics, represents</w:t>
      </w:r>
      <w:r w:rsidRPr="003F1AF9">
        <w:t xml:space="preserve"> a simple but powerful tool for equipment specifiers and building owners to evaluate heat pump energy efficiency and lifecycle cost.</w:t>
      </w:r>
      <w:r w:rsidR="0078120E">
        <w:t xml:space="preserve"> </w:t>
      </w:r>
      <w:r w:rsidRPr="003F1AF9">
        <w:t>Labeling, with a foundation of accurate seasonal performance metrics such as SEER and SCOP, has been hugely important for HEHP success.</w:t>
      </w:r>
      <w:r w:rsidR="0078120E">
        <w:t xml:space="preserve"> </w:t>
      </w:r>
      <w:r w:rsidRPr="003F1AF9">
        <w:t xml:space="preserve">Important labeling programs include the US ENERGY STAR, EU </w:t>
      </w:r>
      <w:proofErr w:type="spellStart"/>
      <w:r w:rsidRPr="003F1AF9">
        <w:t>Eurovent</w:t>
      </w:r>
      <w:proofErr w:type="spellEnd"/>
      <w:r w:rsidRPr="003F1AF9">
        <w:t xml:space="preserve"> (which is being revamped to address seasonal efficiency and renewable energy capture), and Top Runner in Japan (</w:t>
      </w:r>
      <w:proofErr w:type="spellStart"/>
      <w:r w:rsidRPr="003F1AF9">
        <w:t>Goetzler</w:t>
      </w:r>
      <w:proofErr w:type="spellEnd"/>
      <w:r w:rsidRPr="003F1AF9">
        <w:t xml:space="preserve">, 2018, p. 29-32; </w:t>
      </w:r>
      <w:proofErr w:type="spellStart"/>
      <w:r w:rsidRPr="003F1AF9">
        <w:t>Lacourt</w:t>
      </w:r>
      <w:proofErr w:type="spellEnd"/>
      <w:r w:rsidRPr="003F1AF9">
        <w:t>, 2018)</w:t>
      </w:r>
      <w:r w:rsidR="004D4515">
        <w:t>.</w:t>
      </w:r>
      <w:r w:rsidR="0078120E">
        <w:t xml:space="preserve"> </w:t>
      </w:r>
      <w:r w:rsidRPr="003F1AF9">
        <w:t>Such programs help customers to identify high-efficiency equipment and to better assess first cost / operating cost tradeoffs.</w:t>
      </w:r>
      <w:r w:rsidR="0078120E">
        <w:t xml:space="preserve"> </w:t>
      </w:r>
      <w:r w:rsidRPr="003F1AF9">
        <w:t>Labeling programs also create visibility and competition, encouraging manufacturers to design high-efficiency products to “make the list”.</w:t>
      </w:r>
      <w:r w:rsidR="0078120E">
        <w:t xml:space="preserve"> </w:t>
      </w:r>
    </w:p>
    <w:p w14:paraId="4EB54377" w14:textId="77777777" w:rsidR="005A216A" w:rsidRPr="003F1AF9" w:rsidRDefault="005A216A" w:rsidP="00807899"/>
    <w:p w14:paraId="56335857" w14:textId="1D8B6E6E" w:rsidR="000C20AD" w:rsidRPr="003F1AF9" w:rsidRDefault="00D94EC5">
      <w:pPr>
        <w:pStyle w:val="ListParagraph"/>
        <w:numPr>
          <w:ilvl w:val="0"/>
          <w:numId w:val="40"/>
        </w:numPr>
        <w:rPr>
          <w:b/>
        </w:rPr>
      </w:pPr>
      <w:r w:rsidRPr="003F1AF9">
        <w:rPr>
          <w:b/>
        </w:rPr>
        <w:t>H</w:t>
      </w:r>
      <w:r w:rsidR="00BD484A" w:rsidRPr="003F1AF9">
        <w:rPr>
          <w:b/>
        </w:rPr>
        <w:t>eat p</w:t>
      </w:r>
      <w:r w:rsidRPr="003F1AF9">
        <w:rPr>
          <w:b/>
        </w:rPr>
        <w:t>ump</w:t>
      </w:r>
      <w:r w:rsidR="005A216A" w:rsidRPr="003F1AF9">
        <w:rPr>
          <w:b/>
        </w:rPr>
        <w:t xml:space="preserve"> industry collaboration with other industries, academia, and government</w:t>
      </w:r>
      <w:r w:rsidR="00BD484A" w:rsidRPr="003F1AF9">
        <w:rPr>
          <w:b/>
        </w:rPr>
        <w:t>:</w:t>
      </w:r>
      <w:r w:rsidR="0078120E">
        <w:rPr>
          <w:b/>
        </w:rPr>
        <w:t xml:space="preserve"> </w:t>
      </w:r>
      <w:r w:rsidR="000C20AD" w:rsidRPr="003F1AF9">
        <w:t>Over the last several decades, the heat pump industry has repeatedly demonstrated its willingness and ability to “step up” to work collaboratively with government and other industries in order to address heat pump challenges.</w:t>
      </w:r>
      <w:r w:rsidR="0078120E">
        <w:t xml:space="preserve"> </w:t>
      </w:r>
      <w:r w:rsidR="000C20AD" w:rsidRPr="003F1AF9">
        <w:t>Early challenges included improving heat pump reliability and refrigerant safety (e.g., replacing ammonia and hydrocarbons).</w:t>
      </w:r>
      <w:r w:rsidR="0078120E">
        <w:t xml:space="preserve"> </w:t>
      </w:r>
      <w:r w:rsidR="000C20AD" w:rsidRPr="003F1AF9">
        <w:t>Subsequently</w:t>
      </w:r>
      <w:r w:rsidR="00BD484A" w:rsidRPr="003F1AF9">
        <w:t>, under the 1987 Montreal Protocol,</w:t>
      </w:r>
      <w:r w:rsidR="000C20AD" w:rsidRPr="003F1AF9">
        <w:t xml:space="preserve"> the industry redesigned all products in order to </w:t>
      </w:r>
      <w:r w:rsidR="00BD484A" w:rsidRPr="003F1AF9">
        <w:t>implement</w:t>
      </w:r>
      <w:r w:rsidR="000C20AD" w:rsidRPr="003F1AF9">
        <w:t xml:space="preserve"> a completely revamped refrigerant suite, replacing ozone-depleting refrigerants.</w:t>
      </w:r>
      <w:r w:rsidR="0078120E">
        <w:t xml:space="preserve"> </w:t>
      </w:r>
      <w:r w:rsidR="000C20AD" w:rsidRPr="003F1AF9">
        <w:t>Today’s challenges include increasing energy efficiency in order to reduce heat pump GHG emissions and to cut operating cost, and once again revamping the refrigerant suite, this time to reduce global warming potential (GWP) of the refrigerants themselves.</w:t>
      </w:r>
      <w:r w:rsidR="0078120E">
        <w:t xml:space="preserve"> </w:t>
      </w:r>
      <w:r w:rsidR="000C20AD" w:rsidRPr="003F1AF9">
        <w:t>At the end of the day, it is manufacturers who decide to invest – or not – in the design, manufacture, and sale of high-efficiency heat pumps.</w:t>
      </w:r>
      <w:r w:rsidR="0078120E">
        <w:t xml:space="preserve"> </w:t>
      </w:r>
      <w:r w:rsidR="00BD484A" w:rsidRPr="003F1AF9">
        <w:t>Thus,</w:t>
      </w:r>
      <w:r w:rsidR="000C20AD" w:rsidRPr="003F1AF9">
        <w:t xml:space="preserve"> </w:t>
      </w:r>
      <w:r w:rsidR="00BD484A" w:rsidRPr="003F1AF9">
        <w:t>industry</w:t>
      </w:r>
      <w:r w:rsidR="000C20AD" w:rsidRPr="003F1AF9">
        <w:t xml:space="preserve"> collaboration has been critical for advancing HEHPs.</w:t>
      </w:r>
      <w:r w:rsidR="0078120E">
        <w:t xml:space="preserve"> </w:t>
      </w:r>
    </w:p>
    <w:p w14:paraId="365AD893" w14:textId="77777777" w:rsidR="000C20AD" w:rsidRPr="003F1AF9" w:rsidRDefault="000C20AD" w:rsidP="00807899"/>
    <w:p w14:paraId="219D2A62" w14:textId="7504BE04" w:rsidR="005A216A" w:rsidRPr="003F1AF9" w:rsidRDefault="005A216A" w:rsidP="005A216A">
      <w:pPr>
        <w:pStyle w:val="ListParagraph"/>
        <w:numPr>
          <w:ilvl w:val="0"/>
          <w:numId w:val="40"/>
        </w:numPr>
      </w:pPr>
      <w:r w:rsidRPr="003F1AF9">
        <w:rPr>
          <w:b/>
        </w:rPr>
        <w:t>Utility energy eff</w:t>
      </w:r>
      <w:r w:rsidR="00BD484A" w:rsidRPr="003F1AF9">
        <w:rPr>
          <w:b/>
        </w:rPr>
        <w:t>iciency programs and incentives:</w:t>
      </w:r>
      <w:r w:rsidR="0078120E">
        <w:t xml:space="preserve"> </w:t>
      </w:r>
      <w:r w:rsidRPr="003F1AF9">
        <w:t>Utilities also foster purchase of HEHPs via rebates, special “heating rate tariffs”, and other incentives to offset the incremental cost of high-performance equipment (</w:t>
      </w:r>
      <w:proofErr w:type="spellStart"/>
      <w:r w:rsidRPr="003F1AF9">
        <w:t>Goetzler</w:t>
      </w:r>
      <w:proofErr w:type="spellEnd"/>
      <w:r w:rsidRPr="003F1AF9">
        <w:t>, 2018, p. 30)</w:t>
      </w:r>
      <w:r w:rsidR="004D4515">
        <w:t>.</w:t>
      </w:r>
      <w:r w:rsidR="0078120E">
        <w:t xml:space="preserve"> </w:t>
      </w:r>
      <w:r w:rsidRPr="003F1AF9">
        <w:t>In the past, electric utilities promoted all forms of electric heating, including inefficient resistance systems.</w:t>
      </w:r>
      <w:r w:rsidR="0078120E">
        <w:t xml:space="preserve"> </w:t>
      </w:r>
      <w:r w:rsidRPr="003F1AF9">
        <w:t xml:space="preserve">And low-cost, plentiful electricity has been </w:t>
      </w:r>
      <w:r w:rsidRPr="003F1AF9">
        <w:lastRenderedPageBreak/>
        <w:t>an important driver of heat pump growth.</w:t>
      </w:r>
      <w:r w:rsidR="0078120E">
        <w:t xml:space="preserve"> </w:t>
      </w:r>
      <w:r w:rsidRPr="003F1AF9">
        <w:t>But today, utilities, under pressure from government, more typically promote high efficiency.</w:t>
      </w:r>
    </w:p>
    <w:p w14:paraId="351DDB65" w14:textId="77777777" w:rsidR="00BD484A" w:rsidRPr="003F1AF9" w:rsidRDefault="00BD484A" w:rsidP="00B11449"/>
    <w:p w14:paraId="6BEDF300" w14:textId="3E63BB1A" w:rsidR="00744561" w:rsidRPr="003F1AF9" w:rsidRDefault="005A216A" w:rsidP="00744561">
      <w:pPr>
        <w:pStyle w:val="ListParagraph"/>
        <w:numPr>
          <w:ilvl w:val="0"/>
          <w:numId w:val="40"/>
        </w:numPr>
      </w:pPr>
      <w:r w:rsidRPr="003F1AF9">
        <w:rPr>
          <w:b/>
        </w:rPr>
        <w:t>Ongoing heat pump technological improvement and cost reduction.</w:t>
      </w:r>
      <w:r w:rsidR="0078120E">
        <w:t xml:space="preserve"> </w:t>
      </w:r>
      <w:r w:rsidRPr="003F1AF9">
        <w:t>No breakthroughs are required to achieve the performance levels defined as “high efficiency”:</w:t>
      </w:r>
      <w:r w:rsidR="0078120E">
        <w:t xml:space="preserve"> </w:t>
      </w:r>
      <w:r w:rsidRPr="003F1AF9">
        <w:t>3.5 SCOP for heating and 5.9 SEER for cooling.</w:t>
      </w:r>
      <w:r w:rsidR="0078120E">
        <w:t xml:space="preserve"> </w:t>
      </w:r>
      <w:r w:rsidR="00744561" w:rsidRPr="003F1AF9">
        <w:t>Mostly, it is necessary to:</w:t>
      </w:r>
      <w:r w:rsidR="0078120E">
        <w:t xml:space="preserve"> </w:t>
      </w:r>
    </w:p>
    <w:p w14:paraId="22902DA7" w14:textId="51FA9EFB" w:rsidR="00744561" w:rsidRPr="003F1AF9" w:rsidRDefault="00744561" w:rsidP="00807899">
      <w:pPr>
        <w:pStyle w:val="ListParagraph"/>
        <w:numPr>
          <w:ilvl w:val="0"/>
          <w:numId w:val="45"/>
        </w:numPr>
      </w:pPr>
      <w:r w:rsidRPr="003F1AF9">
        <w:t>Expand penetration of the efficiency improvements already used in many commercial high-efficiency heat pumps (</w:t>
      </w:r>
      <w:proofErr w:type="spellStart"/>
      <w:r w:rsidRPr="003F1AF9">
        <w:t>Goetzler</w:t>
      </w:r>
      <w:proofErr w:type="spellEnd"/>
      <w:r w:rsidRPr="003F1AF9">
        <w:t>, 2018, p. 31, p. 33) (US DOE, Technical Support Document, 2015, Sec. 3.3)</w:t>
      </w:r>
      <w:r w:rsidR="004D4515">
        <w:t>.</w:t>
      </w:r>
      <w:r w:rsidR="0078120E">
        <w:t xml:space="preserve"> </w:t>
      </w:r>
    </w:p>
    <w:p w14:paraId="103433AA" w14:textId="16B1E305" w:rsidR="00744561" w:rsidRPr="003F1AF9" w:rsidRDefault="00744561" w:rsidP="00807899">
      <w:pPr>
        <w:pStyle w:val="ListParagraph"/>
        <w:numPr>
          <w:ilvl w:val="0"/>
          <w:numId w:val="45"/>
        </w:numPr>
      </w:pPr>
      <w:r w:rsidRPr="003F1AF9">
        <w:t>Continue the existing cost reduction trajector</w:t>
      </w:r>
      <w:r w:rsidR="004D4515">
        <w:t>y</w:t>
      </w:r>
      <w:r w:rsidR="0078120E">
        <w:t xml:space="preserve"> </w:t>
      </w:r>
      <w:r w:rsidRPr="003F1AF9">
        <w:t>(</w:t>
      </w:r>
      <w:proofErr w:type="spellStart"/>
      <w:r w:rsidRPr="003F1AF9">
        <w:t>Goetzler</w:t>
      </w:r>
      <w:proofErr w:type="spellEnd"/>
      <w:r w:rsidRPr="003F1AF9">
        <w:t>, 2018, p. 33, p. 40)</w:t>
      </w:r>
      <w:r w:rsidR="004D4515">
        <w:t>.</w:t>
      </w:r>
      <w:r w:rsidR="0078120E">
        <w:t xml:space="preserve"> </w:t>
      </w:r>
    </w:p>
    <w:p w14:paraId="44C90845" w14:textId="1CDD9FBE" w:rsidR="00744561" w:rsidRPr="003F1AF9" w:rsidRDefault="00744561" w:rsidP="00807899">
      <w:pPr>
        <w:ind w:left="360"/>
      </w:pPr>
      <w:r w:rsidRPr="003F1AF9">
        <w:t>Heat pump efficiencies have increased more than 50% over the last 25 years; average US residential AC efficiency has increased from about 9.5 BTU/</w:t>
      </w:r>
      <w:proofErr w:type="spellStart"/>
      <w:r w:rsidRPr="003F1AF9">
        <w:t>Wh</w:t>
      </w:r>
      <w:proofErr w:type="spellEnd"/>
      <w:r w:rsidRPr="003F1AF9">
        <w:t xml:space="preserve"> in 1990 to about 15 BTU/</w:t>
      </w:r>
      <w:proofErr w:type="spellStart"/>
      <w:r w:rsidRPr="003F1AF9">
        <w:t>Wh</w:t>
      </w:r>
      <w:proofErr w:type="spellEnd"/>
      <w:r w:rsidRPr="003F1AF9">
        <w:t xml:space="preserve"> today. Equipment costs declined about 15% over the same period, despite the increased efficiency and a major refrigerant transition (</w:t>
      </w:r>
      <w:proofErr w:type="spellStart"/>
      <w:r w:rsidRPr="003F1AF9">
        <w:t>Goetzler</w:t>
      </w:r>
      <w:proofErr w:type="spellEnd"/>
      <w:r w:rsidRPr="003F1AF9">
        <w:t>, 2018, pp. 29, 40)</w:t>
      </w:r>
      <w:r w:rsidR="004D4515">
        <w:t>.</w:t>
      </w:r>
      <w:r w:rsidR="0078120E">
        <w:t xml:space="preserve"> </w:t>
      </w:r>
      <w:r w:rsidRPr="003F1AF9">
        <w:t xml:space="preserve">Commercial vapor compression-based heat pumps and air conditioners have always operated far from the theoretical </w:t>
      </w:r>
      <w:r w:rsidR="004A2B1B">
        <w:t>ideal thermodynamic cycle</w:t>
      </w:r>
      <w:r w:rsidR="007F25CA">
        <w:t xml:space="preserve"> (the </w:t>
      </w:r>
      <w:r w:rsidRPr="003F1AF9">
        <w:t>Carnot performance frontier</w:t>
      </w:r>
      <w:r w:rsidR="007F25CA">
        <w:t>)</w:t>
      </w:r>
      <w:r w:rsidRPr="003F1AF9">
        <w:t>.</w:t>
      </w:r>
      <w:r w:rsidR="0078120E">
        <w:t xml:space="preserve"> </w:t>
      </w:r>
      <w:r w:rsidR="00AF4FDF" w:rsidRPr="003F1AF9">
        <w:t>So</w:t>
      </w:r>
      <w:r w:rsidRPr="003F1AF9">
        <w:t>, these large improvements in heat pump efficiency resulted not from a single technological breakthrough, but from a stream of incr</w:t>
      </w:r>
      <w:r w:rsidR="003B4CF9" w:rsidRPr="003F1AF9">
        <w:t>emental improvements</w:t>
      </w:r>
      <w:r w:rsidRPr="003F1AF9">
        <w:t xml:space="preserve"> (</w:t>
      </w:r>
      <w:proofErr w:type="spellStart"/>
      <w:r w:rsidRPr="003F1AF9">
        <w:t>Goetzler</w:t>
      </w:r>
      <w:proofErr w:type="spellEnd"/>
      <w:r w:rsidRPr="003F1AF9">
        <w:t>, 2018, p. 31; US DOE, Technical Support Document, 2015, Sec. 3.3)</w:t>
      </w:r>
      <w:r w:rsidR="00FA75B4">
        <w:t>.</w:t>
      </w:r>
      <w:r w:rsidR="0078120E">
        <w:t xml:space="preserve"> </w:t>
      </w:r>
      <w:r w:rsidRPr="003F1AF9">
        <w:t>Going forward, areas for continued innovation include:</w:t>
      </w:r>
      <w:r w:rsidR="0078120E">
        <w:t xml:space="preserve"> </w:t>
      </w:r>
    </w:p>
    <w:p w14:paraId="7109ACA4" w14:textId="3AA8A4C8" w:rsidR="00532271" w:rsidRPr="003F1AF9" w:rsidRDefault="00532271" w:rsidP="00807899">
      <w:pPr>
        <w:pStyle w:val="ListParagraph"/>
        <w:numPr>
          <w:ilvl w:val="0"/>
          <w:numId w:val="46"/>
        </w:numPr>
      </w:pPr>
      <w:r w:rsidRPr="003F1AF9">
        <w:t>Variable speed drives</w:t>
      </w:r>
      <w:r w:rsidR="0078120E">
        <w:t xml:space="preserve"> </w:t>
      </w:r>
      <w:r w:rsidRPr="003F1AF9">
        <w:t>and controls to match output to part-load demand, greatly increasing part-load efficiency</w:t>
      </w:r>
      <w:r w:rsidR="000E62BE">
        <w:t>.</w:t>
      </w:r>
    </w:p>
    <w:p w14:paraId="1B310DF2" w14:textId="11779F3A" w:rsidR="00532271" w:rsidRPr="003F1AF9" w:rsidRDefault="00532271" w:rsidP="00807899">
      <w:pPr>
        <w:pStyle w:val="ListParagraph"/>
        <w:numPr>
          <w:ilvl w:val="0"/>
          <w:numId w:val="46"/>
        </w:numPr>
      </w:pPr>
      <w:r w:rsidRPr="003F1AF9">
        <w:t>Advanced compressors, including improved reciprocating units, small scroll compressors, and multi-compressor large systems</w:t>
      </w:r>
      <w:r w:rsidR="000E62BE">
        <w:t>.</w:t>
      </w:r>
    </w:p>
    <w:p w14:paraId="43F0D076" w14:textId="35243389" w:rsidR="00532271" w:rsidRPr="003F1AF9" w:rsidRDefault="00532271" w:rsidP="00807899">
      <w:pPr>
        <w:pStyle w:val="ListParagraph"/>
        <w:numPr>
          <w:ilvl w:val="0"/>
          <w:numId w:val="46"/>
        </w:numPr>
      </w:pPr>
      <w:r w:rsidRPr="003F1AF9">
        <w:t>Improved heat exchangers, e.g., microchannel and other small diameter designs</w:t>
      </w:r>
      <w:r w:rsidR="000E62BE">
        <w:t>.</w:t>
      </w:r>
    </w:p>
    <w:p w14:paraId="087A06A7" w14:textId="48D9E2D7" w:rsidR="00532271" w:rsidRPr="003F1AF9" w:rsidRDefault="00532271" w:rsidP="00807899">
      <w:pPr>
        <w:pStyle w:val="ListParagraph"/>
        <w:numPr>
          <w:ilvl w:val="0"/>
          <w:numId w:val="46"/>
        </w:numPr>
      </w:pPr>
      <w:r w:rsidRPr="003F1AF9">
        <w:t>Electronic expansion valves that provide superior modulation for part-load operation</w:t>
      </w:r>
      <w:r w:rsidR="000E62BE">
        <w:t>.</w:t>
      </w:r>
    </w:p>
    <w:p w14:paraId="4C5DE898" w14:textId="69E0244D" w:rsidR="00532271" w:rsidRPr="003F1AF9" w:rsidRDefault="00532271" w:rsidP="00807899">
      <w:pPr>
        <w:pStyle w:val="ListParagraph"/>
        <w:numPr>
          <w:ilvl w:val="0"/>
          <w:numId w:val="46"/>
        </w:numPr>
      </w:pPr>
      <w:r w:rsidRPr="003F1AF9">
        <w:t>High-efficiency fans with more aerodynamic designs</w:t>
      </w:r>
      <w:r w:rsidR="000E62BE">
        <w:t>.</w:t>
      </w:r>
    </w:p>
    <w:p w14:paraId="49B0E456" w14:textId="56DD81C7" w:rsidR="00532271" w:rsidRPr="003F1AF9" w:rsidRDefault="00532271" w:rsidP="00807899">
      <w:pPr>
        <w:pStyle w:val="ListParagraph"/>
        <w:numPr>
          <w:ilvl w:val="0"/>
          <w:numId w:val="46"/>
        </w:numPr>
      </w:pPr>
      <w:r w:rsidRPr="003F1AF9">
        <w:t>High-efficiency motors and electronic speed controls</w:t>
      </w:r>
      <w:r w:rsidR="000E62BE">
        <w:t>.</w:t>
      </w:r>
    </w:p>
    <w:p w14:paraId="22349E45" w14:textId="0AC8870A" w:rsidR="00532271" w:rsidRPr="003F1AF9" w:rsidRDefault="00532271" w:rsidP="00807899">
      <w:pPr>
        <w:pStyle w:val="ListParagraph"/>
        <w:numPr>
          <w:ilvl w:val="0"/>
          <w:numId w:val="46"/>
        </w:numPr>
      </w:pPr>
      <w:r w:rsidRPr="003F1AF9">
        <w:t>Advanced heat pump controls</w:t>
      </w:r>
      <w:r w:rsidR="000E62BE">
        <w:t>.</w:t>
      </w:r>
    </w:p>
    <w:p w14:paraId="57A88D8A" w14:textId="49F132A5" w:rsidR="00532271" w:rsidRPr="003F1AF9" w:rsidRDefault="00532271" w:rsidP="00807899">
      <w:pPr>
        <w:pStyle w:val="ListParagraph"/>
        <w:numPr>
          <w:ilvl w:val="0"/>
          <w:numId w:val="46"/>
        </w:numPr>
      </w:pPr>
      <w:r w:rsidRPr="003F1AF9">
        <w:t>Economizers, which enable direct use of cooling energy from cooling towers or outdoor air without compressor operation, especially in temperate climates</w:t>
      </w:r>
      <w:r w:rsidR="000E62BE">
        <w:t>.</w:t>
      </w:r>
    </w:p>
    <w:p w14:paraId="67529CB2" w14:textId="585BE547" w:rsidR="00532271" w:rsidRPr="003F1AF9" w:rsidRDefault="00532271" w:rsidP="00807899">
      <w:pPr>
        <w:pStyle w:val="ListParagraph"/>
        <w:numPr>
          <w:ilvl w:val="0"/>
          <w:numId w:val="40"/>
        </w:numPr>
      </w:pPr>
      <w:r w:rsidRPr="003F1AF9">
        <w:rPr>
          <w:b/>
        </w:rPr>
        <w:t>Integrated framework.</w:t>
      </w:r>
      <w:r w:rsidR="0078120E">
        <w:rPr>
          <w:b/>
        </w:rPr>
        <w:t xml:space="preserve"> </w:t>
      </w:r>
      <w:r w:rsidRPr="003F1AF9">
        <w:t>It is clear that multiple factors have contributed to HEHP success.</w:t>
      </w:r>
      <w:r w:rsidR="0078120E">
        <w:t xml:space="preserve"> </w:t>
      </w:r>
      <w:r w:rsidRPr="003F1AF9">
        <w:t>But how have those countries that have been most successful at adopting high-efficiency heat pumps done it?</w:t>
      </w:r>
      <w:r w:rsidR="0078120E">
        <w:t xml:space="preserve"> </w:t>
      </w:r>
      <w:r w:rsidRPr="003F1AF9">
        <w:lastRenderedPageBreak/>
        <w:t>The data shows that an integrated framework</w:t>
      </w:r>
      <w:r w:rsidR="00BD484A" w:rsidRPr="003F1AF9">
        <w:t>,</w:t>
      </w:r>
      <w:r w:rsidRPr="003F1AF9">
        <w:t xml:space="preserve"> </w:t>
      </w:r>
      <w:r w:rsidR="00BD484A" w:rsidRPr="003F1AF9">
        <w:t>involving government, the private sector, academia, as well as energy purchasers, can have a huge impact.</w:t>
      </w:r>
      <w:r w:rsidR="0078120E">
        <w:t xml:space="preserve"> </w:t>
      </w:r>
      <w:r w:rsidR="00BD484A" w:rsidRPr="003F1AF9">
        <w:t>Key ingredients for such a successful framework include: (</w:t>
      </w:r>
      <w:r w:rsidRPr="003F1AF9">
        <w:t>Nowak, 2017, p. 5; IEA, Fu</w:t>
      </w:r>
      <w:r w:rsidR="00BD484A" w:rsidRPr="003F1AF9">
        <w:t>ture of Cooling, 2018, p. 75)</w:t>
      </w:r>
      <w:r w:rsidR="0078120E">
        <w:t xml:space="preserve"> </w:t>
      </w:r>
    </w:p>
    <w:p w14:paraId="675244C9" w14:textId="4530BDA1" w:rsidR="00532271" w:rsidRPr="003F1AF9" w:rsidRDefault="00532271" w:rsidP="00807899">
      <w:pPr>
        <w:pStyle w:val="ListParagraph"/>
        <w:numPr>
          <w:ilvl w:val="0"/>
          <w:numId w:val="47"/>
        </w:numPr>
      </w:pPr>
      <w:r w:rsidRPr="003F1AF9">
        <w:t>Vision of success</w:t>
      </w:r>
      <w:r w:rsidR="000E62BE">
        <w:t>.</w:t>
      </w:r>
    </w:p>
    <w:p w14:paraId="5A25B0FA" w14:textId="79E7B395" w:rsidR="00532271" w:rsidRPr="003F1AF9" w:rsidRDefault="00532271" w:rsidP="00807899">
      <w:pPr>
        <w:pStyle w:val="ListParagraph"/>
        <w:numPr>
          <w:ilvl w:val="0"/>
          <w:numId w:val="47"/>
        </w:numPr>
      </w:pPr>
      <w:r w:rsidRPr="003F1AF9">
        <w:t>A strategic plan for delivering the vision</w:t>
      </w:r>
      <w:r w:rsidR="000E62BE">
        <w:t>.</w:t>
      </w:r>
    </w:p>
    <w:p w14:paraId="73035E7A" w14:textId="48E16320" w:rsidR="00532271" w:rsidRPr="003F1AF9" w:rsidRDefault="00532271" w:rsidP="00807899">
      <w:pPr>
        <w:pStyle w:val="ListParagraph"/>
        <w:numPr>
          <w:ilvl w:val="0"/>
          <w:numId w:val="47"/>
        </w:numPr>
      </w:pPr>
      <w:r w:rsidRPr="003F1AF9">
        <w:t>A policy suite combining regulation of heat pump MEPS and building envelope standards, HEHP incentives, and product labeling</w:t>
      </w:r>
      <w:r w:rsidR="000E62BE">
        <w:t>.</w:t>
      </w:r>
    </w:p>
    <w:p w14:paraId="634C7198" w14:textId="09A4902E" w:rsidR="00532271" w:rsidRPr="003F1AF9" w:rsidRDefault="00532271" w:rsidP="00807899">
      <w:pPr>
        <w:pStyle w:val="ListParagraph"/>
        <w:numPr>
          <w:ilvl w:val="0"/>
          <w:numId w:val="47"/>
        </w:numPr>
      </w:pPr>
      <w:r w:rsidRPr="003F1AF9">
        <w:t>Support for heat pump R&amp;D</w:t>
      </w:r>
      <w:r w:rsidR="000E62BE">
        <w:t>.</w:t>
      </w:r>
    </w:p>
    <w:p w14:paraId="37690F68" w14:textId="093BE81E" w:rsidR="00BD484A" w:rsidRPr="003F1AF9" w:rsidRDefault="00532271" w:rsidP="00807899">
      <w:pPr>
        <w:pStyle w:val="ListParagraph"/>
        <w:numPr>
          <w:ilvl w:val="0"/>
          <w:numId w:val="47"/>
        </w:numPr>
      </w:pPr>
      <w:r w:rsidRPr="003F1AF9">
        <w:t>Industry-government collaboration</w:t>
      </w:r>
      <w:r w:rsidR="000E62BE">
        <w:t>.</w:t>
      </w:r>
    </w:p>
    <w:p w14:paraId="54AF8D5F" w14:textId="5E5EE413" w:rsidR="000C20AD" w:rsidRPr="003F1AF9" w:rsidRDefault="000C20AD" w:rsidP="00807899">
      <w:pPr>
        <w:pStyle w:val="ListParagraph"/>
        <w:numPr>
          <w:ilvl w:val="0"/>
          <w:numId w:val="47"/>
        </w:numPr>
      </w:pPr>
      <w:r w:rsidRPr="003F1AF9">
        <w:t>Investme</w:t>
      </w:r>
      <w:r w:rsidR="00744561" w:rsidRPr="003F1AF9">
        <w:t>nt prioritization:</w:t>
      </w:r>
      <w:r w:rsidR="0078120E">
        <w:t xml:space="preserve"> </w:t>
      </w:r>
      <w:r w:rsidR="00744561" w:rsidRPr="003F1AF9">
        <w:t>I</w:t>
      </w:r>
      <w:r w:rsidRPr="003F1AF9">
        <w:t>f building fossil fuel use is “out” it is important to avoid investment</w:t>
      </w:r>
      <w:r w:rsidR="00744561" w:rsidRPr="003F1AF9">
        <w:t>s</w:t>
      </w:r>
      <w:r w:rsidRPr="003F1AF9">
        <w:t xml:space="preserve"> that could become “stranded assets”</w:t>
      </w:r>
      <w:r w:rsidR="000E62BE">
        <w:t>;</w:t>
      </w:r>
      <w:r w:rsidRPr="003F1AF9">
        <w:t xml:space="preserve"> for example</w:t>
      </w:r>
      <w:r w:rsidR="000E62BE">
        <w:t>.</w:t>
      </w:r>
      <w:r w:rsidRPr="003F1AF9">
        <w:t xml:space="preserve"> in </w:t>
      </w:r>
      <w:r w:rsidR="00744561" w:rsidRPr="003F1AF9">
        <w:t xml:space="preserve">natural </w:t>
      </w:r>
      <w:r w:rsidRPr="003F1AF9">
        <w:t>gas transmission / distribution networks that will not be needed (IEA ETP, 2017, p. 140, 146)</w:t>
      </w:r>
      <w:r w:rsidR="000E62BE">
        <w:t>.</w:t>
      </w:r>
      <w:r w:rsidR="0078120E">
        <w:t xml:space="preserve"> </w:t>
      </w:r>
    </w:p>
    <w:p w14:paraId="77B13799" w14:textId="752F916D" w:rsidR="00532271" w:rsidRPr="003F1AF9" w:rsidRDefault="00532271">
      <w:r w:rsidRPr="003F1AF9">
        <w:t>Sweden provides a strong example of an integrated framework that has driven HEHP success.</w:t>
      </w:r>
      <w:r w:rsidR="0078120E">
        <w:t xml:space="preserve"> </w:t>
      </w:r>
      <w:r w:rsidRPr="003F1AF9">
        <w:t>Swedish residential heat pump adoption is the highest in Europe, at 40% to 50% (EHPA, 2014, p.45)</w:t>
      </w:r>
      <w:r w:rsidR="000E62BE">
        <w:t>,</w:t>
      </w:r>
      <w:r w:rsidRPr="003F1AF9">
        <w:t xml:space="preserve"> and renewable energy production, i.e., heat pump efficiency, is second highest (EHPA, 2014, p. 9).</w:t>
      </w:r>
      <w:r w:rsidR="0078120E">
        <w:t xml:space="preserve"> </w:t>
      </w:r>
      <w:r w:rsidRPr="003F1AF9">
        <w:t>Sweden also has the highest adoption of high-efficiency ground-source heat pumps.</w:t>
      </w:r>
      <w:r w:rsidR="0078120E">
        <w:t xml:space="preserve"> </w:t>
      </w:r>
      <w:r w:rsidRPr="003F1AF9">
        <w:t xml:space="preserve">Sweden achieved all this through a long-term effort that combined industry-driven R&amp;D collaboration on cold-climate heat pumps, especially ground-coupled units, strict building energy consumption standards, heat pump MEPS, as well as </w:t>
      </w:r>
      <w:r w:rsidR="00744561" w:rsidRPr="003F1AF9">
        <w:t xml:space="preserve">financial </w:t>
      </w:r>
      <w:r w:rsidRPr="003F1AF9">
        <w:t>rebates for heat pump retrofit installations.</w:t>
      </w:r>
      <w:r w:rsidR="0078120E">
        <w:t xml:space="preserve"> </w:t>
      </w:r>
    </w:p>
    <w:p w14:paraId="55D65FDD" w14:textId="77777777" w:rsidR="00532271" w:rsidRPr="003F1AF9" w:rsidRDefault="00532271" w:rsidP="00807899"/>
    <w:p w14:paraId="3950BB6B" w14:textId="7D861F95" w:rsidR="00E44D5C" w:rsidRPr="003F1AF9" w:rsidRDefault="00E44D5C">
      <w:pPr>
        <w:pStyle w:val="Heading3"/>
      </w:pPr>
      <w:bookmarkStart w:id="208" w:name="_Toc2597507"/>
      <w:bookmarkStart w:id="209" w:name="_Toc2701223"/>
      <w:bookmarkStart w:id="210" w:name="_Toc5112294"/>
      <w:bookmarkStart w:id="211" w:name="_Toc2597511"/>
      <w:bookmarkStart w:id="212" w:name="_Toc2597512"/>
      <w:bookmarkStart w:id="213" w:name="_Toc2701228"/>
      <w:bookmarkStart w:id="214" w:name="_Toc5112299"/>
      <w:bookmarkStart w:id="215" w:name="_Toc2597513"/>
      <w:bookmarkStart w:id="216" w:name="_Toc2701229"/>
      <w:bookmarkStart w:id="217" w:name="_Toc5112300"/>
      <w:bookmarkStart w:id="218" w:name="_Toc2597514"/>
      <w:bookmarkStart w:id="219" w:name="_Toc2701230"/>
      <w:bookmarkStart w:id="220" w:name="_Toc5112301"/>
      <w:bookmarkStart w:id="221" w:name="_Toc2597515"/>
      <w:bookmarkStart w:id="222" w:name="_Toc2701231"/>
      <w:bookmarkStart w:id="223" w:name="_Toc5112302"/>
      <w:bookmarkStart w:id="224" w:name="_Toc2597516"/>
      <w:bookmarkStart w:id="225" w:name="_Toc2701232"/>
      <w:bookmarkStart w:id="226" w:name="_Toc5112303"/>
      <w:bookmarkStart w:id="227" w:name="_Toc2597517"/>
      <w:bookmarkStart w:id="228" w:name="_Toc2701233"/>
      <w:bookmarkStart w:id="229" w:name="_Toc5112304"/>
      <w:bookmarkStart w:id="230" w:name="_Toc2597518"/>
      <w:bookmarkStart w:id="231" w:name="_Toc2701234"/>
      <w:bookmarkStart w:id="232" w:name="_Toc5112305"/>
      <w:bookmarkStart w:id="233" w:name="_Toc2597557"/>
      <w:bookmarkStart w:id="234" w:name="_Toc2701273"/>
      <w:bookmarkStart w:id="235" w:name="_Toc5112344"/>
      <w:bookmarkStart w:id="236" w:name="_Toc2597559"/>
      <w:bookmarkStart w:id="237" w:name="_Toc2701275"/>
      <w:bookmarkStart w:id="238" w:name="_Toc5112346"/>
      <w:bookmarkStart w:id="239" w:name="_Toc2597560"/>
      <w:bookmarkStart w:id="240" w:name="_Toc2701276"/>
      <w:bookmarkStart w:id="241" w:name="_Toc5112347"/>
      <w:bookmarkStart w:id="242" w:name="_Toc2597561"/>
      <w:bookmarkStart w:id="243" w:name="_Toc2701277"/>
      <w:bookmarkStart w:id="244" w:name="_Toc5112348"/>
      <w:bookmarkStart w:id="245" w:name="_Toc2597562"/>
      <w:bookmarkStart w:id="246" w:name="_Toc2701278"/>
      <w:bookmarkStart w:id="247" w:name="_Toc5112349"/>
      <w:bookmarkStart w:id="248" w:name="_Toc2597563"/>
      <w:bookmarkStart w:id="249" w:name="_Toc2701279"/>
      <w:bookmarkStart w:id="250" w:name="_Toc5112350"/>
      <w:bookmarkStart w:id="251" w:name="_Toc2597564"/>
      <w:bookmarkStart w:id="252" w:name="_Toc2701280"/>
      <w:bookmarkStart w:id="253" w:name="_Toc5112351"/>
      <w:bookmarkStart w:id="254" w:name="_Toc2597570"/>
      <w:bookmarkStart w:id="255" w:name="_Toc2701286"/>
      <w:bookmarkStart w:id="256" w:name="_Toc5112357"/>
      <w:bookmarkStart w:id="257" w:name="_Toc2597601"/>
      <w:bookmarkStart w:id="258" w:name="_Toc2701317"/>
      <w:bookmarkStart w:id="259" w:name="_Toc5112388"/>
      <w:bookmarkStart w:id="260" w:name="_Toc2597603"/>
      <w:bookmarkStart w:id="261" w:name="_Toc2701319"/>
      <w:bookmarkStart w:id="262" w:name="_Toc5112390"/>
      <w:bookmarkStart w:id="263" w:name="_Toc2597605"/>
      <w:bookmarkStart w:id="264" w:name="_Toc2701321"/>
      <w:bookmarkStart w:id="265" w:name="_Toc5112392"/>
      <w:bookmarkStart w:id="266" w:name="_Toc2597606"/>
      <w:bookmarkStart w:id="267" w:name="_Toc2701322"/>
      <w:bookmarkStart w:id="268" w:name="_Toc5112393"/>
      <w:bookmarkStart w:id="269" w:name="_Toc2597608"/>
      <w:bookmarkStart w:id="270" w:name="_Toc2701324"/>
      <w:bookmarkStart w:id="271" w:name="_Toc5112395"/>
      <w:bookmarkStart w:id="272" w:name="_Toc2597609"/>
      <w:bookmarkStart w:id="273" w:name="_Toc2701325"/>
      <w:bookmarkStart w:id="274" w:name="_Toc5112396"/>
      <w:bookmarkStart w:id="275" w:name="_Toc2597610"/>
      <w:bookmarkStart w:id="276" w:name="_Toc2701326"/>
      <w:bookmarkStart w:id="277" w:name="_Toc5112397"/>
      <w:bookmarkStart w:id="278" w:name="_Toc2597611"/>
      <w:bookmarkStart w:id="279" w:name="_Toc2701327"/>
      <w:bookmarkStart w:id="280" w:name="_Toc5112398"/>
      <w:bookmarkStart w:id="281" w:name="_Toc2597612"/>
      <w:bookmarkStart w:id="282" w:name="_Toc2701328"/>
      <w:bookmarkStart w:id="283" w:name="_Toc5112399"/>
      <w:bookmarkStart w:id="284" w:name="_Toc2597613"/>
      <w:bookmarkStart w:id="285" w:name="_Toc2701329"/>
      <w:bookmarkStart w:id="286" w:name="_Toc5112400"/>
      <w:bookmarkStart w:id="287" w:name="_Toc2597616"/>
      <w:bookmarkStart w:id="288" w:name="_Toc2701332"/>
      <w:bookmarkStart w:id="289" w:name="_Toc5112403"/>
      <w:bookmarkStart w:id="290" w:name="_Ref5125925"/>
      <w:bookmarkStart w:id="291" w:name="_Ref5125934"/>
      <w:bookmarkStart w:id="292" w:name="_Toc42289708"/>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3F1AF9">
        <w:t>Barriers to Adoption of High-Efficiency Heat Pumps</w:t>
      </w:r>
      <w:bookmarkEnd w:id="290"/>
      <w:bookmarkEnd w:id="291"/>
      <w:bookmarkEnd w:id="292"/>
    </w:p>
    <w:p w14:paraId="6928732E" w14:textId="567B84C3" w:rsidR="00532271" w:rsidRPr="003F1AF9" w:rsidRDefault="00532271" w:rsidP="00532271">
      <w:r w:rsidRPr="003F1AF9">
        <w:t>Several key factors have impeded adoption of high-efficiency heat pumps:</w:t>
      </w:r>
    </w:p>
    <w:p w14:paraId="4FD793C9" w14:textId="5961F221" w:rsidR="00532271" w:rsidRPr="003F1AF9" w:rsidRDefault="00532271" w:rsidP="00532271">
      <w:pPr>
        <w:pStyle w:val="ListParagraph"/>
        <w:numPr>
          <w:ilvl w:val="0"/>
          <w:numId w:val="16"/>
        </w:numPr>
      </w:pPr>
      <w:r w:rsidRPr="003F1AF9">
        <w:rPr>
          <w:b/>
        </w:rPr>
        <w:t>Low energy prices.</w:t>
      </w:r>
      <w:r w:rsidR="0078120E">
        <w:t xml:space="preserve"> </w:t>
      </w:r>
      <w:r w:rsidRPr="003F1AF9">
        <w:t>Especially in the US, low energy prices, particularly low-cost natural gas, have been a barrier to space-heating HEHP adoption – even as low electricity prices spurred air conditioning adoption.</w:t>
      </w:r>
      <w:r w:rsidR="0078120E">
        <w:t xml:space="preserve"> </w:t>
      </w:r>
    </w:p>
    <w:p w14:paraId="1C4D6B53" w14:textId="07A7F27E" w:rsidR="00532271" w:rsidRPr="003F1AF9" w:rsidRDefault="00532271" w:rsidP="00532271">
      <w:pPr>
        <w:pStyle w:val="ListParagraph"/>
        <w:numPr>
          <w:ilvl w:val="0"/>
          <w:numId w:val="16"/>
        </w:numPr>
      </w:pPr>
      <w:r w:rsidRPr="003F1AF9">
        <w:rPr>
          <w:b/>
        </w:rPr>
        <w:t>First cost.</w:t>
      </w:r>
      <w:r w:rsidR="0078120E">
        <w:rPr>
          <w:b/>
        </w:rPr>
        <w:t xml:space="preserve"> </w:t>
      </w:r>
      <w:r w:rsidRPr="003F1AF9">
        <w:t>Customers naturally focus on first cost.</w:t>
      </w:r>
      <w:r w:rsidR="0078120E">
        <w:t xml:space="preserve"> </w:t>
      </w:r>
      <w:r w:rsidRPr="003F1AF9">
        <w:t>Accurately balancing operating cost and other benefits is challenging, even for experts, so performance labeling plays a valuable role.</w:t>
      </w:r>
      <w:r w:rsidR="0078120E">
        <w:t xml:space="preserve"> </w:t>
      </w:r>
      <w:r w:rsidRPr="003F1AF9">
        <w:t>Even when the savings calculation can be done accurately, though, first cost can be a barrier for customers who lack the capital to buy a</w:t>
      </w:r>
      <w:r w:rsidR="00A84714" w:rsidRPr="003F1AF9">
        <w:t xml:space="preserve">n </w:t>
      </w:r>
      <w:r w:rsidRPr="003F1AF9">
        <w:t>efficient product.</w:t>
      </w:r>
      <w:r w:rsidR="0078120E">
        <w:t xml:space="preserve"> </w:t>
      </w:r>
      <w:r w:rsidRPr="003F1AF9">
        <w:t>In construction, the competitive bidding process can drive subcontractors to propose a lower-first cost option – unless a high-efficiency unit is specified.</w:t>
      </w:r>
      <w:r w:rsidR="0078120E">
        <w:t xml:space="preserve"> </w:t>
      </w:r>
      <w:r w:rsidRPr="003F1AF9">
        <w:t>The inability</w:t>
      </w:r>
      <w:r w:rsidR="003B4CF9" w:rsidRPr="003F1AF9">
        <w:t xml:space="preserve"> of some heat pump buyers</w:t>
      </w:r>
      <w:r w:rsidRPr="003F1AF9">
        <w:t xml:space="preserve"> to “appropriate” </w:t>
      </w:r>
      <w:r w:rsidR="003B4CF9" w:rsidRPr="003F1AF9">
        <w:t xml:space="preserve">(or capture) the benefits of increased </w:t>
      </w:r>
      <w:r w:rsidRPr="003F1AF9">
        <w:t>heat pump operating efficiency is also a major factor that drives some heat pump purchase</w:t>
      </w:r>
      <w:r w:rsidR="00A84714" w:rsidRPr="003F1AF9">
        <w:t>r</w:t>
      </w:r>
      <w:r w:rsidRPr="003F1AF9">
        <w:t xml:space="preserve">s to focus </w:t>
      </w:r>
      <w:r w:rsidRPr="003F1AF9">
        <w:lastRenderedPageBreak/>
        <w:t>only on first cost.</w:t>
      </w:r>
      <w:r w:rsidR="0078120E">
        <w:t xml:space="preserve"> </w:t>
      </w:r>
      <w:r w:rsidRPr="003F1AF9">
        <w:t>“Appropriability” is especially a problem in residential or commercial “spec construction” where a developer constructs a building on the “speculation” that he can sell it.</w:t>
      </w:r>
      <w:r w:rsidR="0078120E">
        <w:t xml:space="preserve"> </w:t>
      </w:r>
      <w:r w:rsidRPr="003F1AF9">
        <w:t xml:space="preserve">Spec construction tends to be intensely driven by first cost because the developer’s focus is minimizing </w:t>
      </w:r>
      <w:r w:rsidR="00A84714" w:rsidRPr="003F1AF9">
        <w:t>their</w:t>
      </w:r>
      <w:r w:rsidRPr="003F1AF9">
        <w:t xml:space="preserve"> first cost, not future operating cost – which the building owner will face.</w:t>
      </w:r>
      <w:r w:rsidR="0078120E">
        <w:t xml:space="preserve"> </w:t>
      </w:r>
      <w:r w:rsidRPr="003F1AF9">
        <w:t xml:space="preserve">A similar issue </w:t>
      </w:r>
      <w:r w:rsidR="00A84714" w:rsidRPr="003F1AF9">
        <w:t>arises in</w:t>
      </w:r>
      <w:r w:rsidRPr="003F1AF9">
        <w:t xml:space="preserve"> tenant-occupied buildings.</w:t>
      </w:r>
      <w:r w:rsidR="0078120E">
        <w:t xml:space="preserve"> </w:t>
      </w:r>
      <w:r w:rsidRPr="003F1AF9">
        <w:t>Often the tenant is responsible for energy operating costs but lacks the power to alter the HVAC system.</w:t>
      </w:r>
      <w:r w:rsidR="0078120E">
        <w:t xml:space="preserve"> </w:t>
      </w:r>
      <w:r w:rsidRPr="003F1AF9">
        <w:t xml:space="preserve">The builder and the landlord don’t pay operating costs and so </w:t>
      </w:r>
      <w:r w:rsidR="00D3497F" w:rsidRPr="003F1AF9">
        <w:t>may</w:t>
      </w:r>
      <w:r w:rsidRPr="003F1AF9">
        <w:t xml:space="preserve"> not </w:t>
      </w:r>
      <w:r w:rsidR="00D3497F" w:rsidRPr="003F1AF9">
        <w:t xml:space="preserve">be </w:t>
      </w:r>
      <w:r w:rsidRPr="003F1AF9">
        <w:t>concerned about energy efficiency – unless it affects occupancy.</w:t>
      </w:r>
      <w:r w:rsidR="0078120E">
        <w:t xml:space="preserve"> </w:t>
      </w:r>
    </w:p>
    <w:p w14:paraId="611B18CE" w14:textId="334316C9" w:rsidR="00532271" w:rsidRPr="003F1AF9" w:rsidRDefault="00532271" w:rsidP="00532271">
      <w:pPr>
        <w:pStyle w:val="ListParagraph"/>
        <w:numPr>
          <w:ilvl w:val="0"/>
          <w:numId w:val="16"/>
        </w:numPr>
      </w:pPr>
      <w:r w:rsidRPr="003F1AF9">
        <w:rPr>
          <w:b/>
        </w:rPr>
        <w:t>Cold weather performance.</w:t>
      </w:r>
      <w:r w:rsidR="0078120E">
        <w:t xml:space="preserve"> </w:t>
      </w:r>
      <w:r w:rsidRPr="003F1AF9">
        <w:t>ASHPs suffer reduced efficiency and low heating capacity at very low outdoor air temperatures, just when heat is needed most.</w:t>
      </w:r>
      <w:r w:rsidR="0078120E">
        <w:t xml:space="preserve"> </w:t>
      </w:r>
      <w:r w:rsidR="00F02421" w:rsidRPr="003F1AF9">
        <w:t>Historically, this has limited the viability of ASHPs in very cold climates and led to reduced heat pump lifetimes.</w:t>
      </w:r>
      <w:r w:rsidR="0078120E">
        <w:t xml:space="preserve"> </w:t>
      </w:r>
      <w:r w:rsidRPr="003F1AF9">
        <w:t>Performance has improved with the advent of variable speed drives and controls, as well as multi-compressor systems.</w:t>
      </w:r>
      <w:r w:rsidR="0078120E">
        <w:t xml:space="preserve"> </w:t>
      </w:r>
      <w:r w:rsidRPr="003F1AF9">
        <w:t xml:space="preserve">But improving cold weather performance is still an </w:t>
      </w:r>
      <w:r w:rsidR="00D3497F" w:rsidRPr="003F1AF9">
        <w:t xml:space="preserve">important </w:t>
      </w:r>
      <w:r w:rsidRPr="003F1AF9">
        <w:t>active research topic</w:t>
      </w:r>
      <w:r w:rsidR="0078120E">
        <w:t xml:space="preserve"> </w:t>
      </w:r>
      <w:r w:rsidRPr="003F1AF9">
        <w:t>(IEA, HPT TCP Annex 41 Final report Cold Climate Heat Pumps, 2017)</w:t>
      </w:r>
      <w:r w:rsidR="000E62BE">
        <w:t>.</w:t>
      </w:r>
      <w:r w:rsidRPr="003F1AF9">
        <w:t xml:space="preserve"> </w:t>
      </w:r>
    </w:p>
    <w:p w14:paraId="0055EC79" w14:textId="70417ECE" w:rsidR="00A84714" w:rsidRPr="003F1AF9" w:rsidRDefault="00532271" w:rsidP="00532271">
      <w:pPr>
        <w:pStyle w:val="ListParagraph"/>
        <w:numPr>
          <w:ilvl w:val="0"/>
          <w:numId w:val="16"/>
        </w:numPr>
      </w:pPr>
      <w:r w:rsidRPr="003F1AF9">
        <w:rPr>
          <w:b/>
        </w:rPr>
        <w:t>Lack of design / installation experience</w:t>
      </w:r>
      <w:r w:rsidRPr="003F1AF9">
        <w:t>.</w:t>
      </w:r>
      <w:r w:rsidR="0078120E">
        <w:t xml:space="preserve"> </w:t>
      </w:r>
      <w:r w:rsidRPr="003F1AF9">
        <w:t>Obtaining skilled installers and operating technicians can be a problem in locations with a low installed heat pump base.</w:t>
      </w:r>
      <w:r w:rsidR="0078120E">
        <w:t xml:space="preserve"> </w:t>
      </w:r>
      <w:r w:rsidRPr="003F1AF9">
        <w:t>This is mostly a problem in developing countries today.</w:t>
      </w:r>
      <w:r w:rsidR="0078120E">
        <w:t xml:space="preserve"> </w:t>
      </w:r>
    </w:p>
    <w:p w14:paraId="7C5452D9" w14:textId="568E9851" w:rsidR="00532271" w:rsidRPr="003F1AF9" w:rsidRDefault="00532271" w:rsidP="00807899">
      <w:pPr>
        <w:pStyle w:val="ListParagraph"/>
        <w:numPr>
          <w:ilvl w:val="0"/>
          <w:numId w:val="16"/>
        </w:numPr>
      </w:pPr>
      <w:r w:rsidRPr="003F1AF9">
        <w:rPr>
          <w:b/>
        </w:rPr>
        <w:t>Access to</w:t>
      </w:r>
      <w:r w:rsidR="00D3497F" w:rsidRPr="003F1AF9">
        <w:rPr>
          <w:b/>
        </w:rPr>
        <w:t xml:space="preserve"> “ambient heat”.</w:t>
      </w:r>
      <w:r w:rsidR="0078120E">
        <w:t xml:space="preserve"> </w:t>
      </w:r>
      <w:r w:rsidR="00F06A16" w:rsidRPr="003F1AF9">
        <w:t>Access to t</w:t>
      </w:r>
      <w:r w:rsidRPr="003F1AF9">
        <w:t xml:space="preserve">he ground or </w:t>
      </w:r>
      <w:r w:rsidR="00F06A16" w:rsidRPr="003F1AF9">
        <w:t xml:space="preserve">to </w:t>
      </w:r>
      <w:r w:rsidRPr="003F1AF9">
        <w:t xml:space="preserve">a suitable body of water </w:t>
      </w:r>
      <w:r w:rsidR="00A84714" w:rsidRPr="003F1AF9">
        <w:t>are barriers to</w:t>
      </w:r>
      <w:r w:rsidRPr="003F1AF9">
        <w:t xml:space="preserve"> high-efficiency GSHP and WSHP systems:</w:t>
      </w:r>
      <w:r w:rsidR="0078120E">
        <w:t xml:space="preserve"> </w:t>
      </w:r>
    </w:p>
    <w:p w14:paraId="702F1EFA" w14:textId="4F72C604" w:rsidR="004F5FB0" w:rsidRPr="003F1AF9" w:rsidRDefault="00A84714" w:rsidP="00807899">
      <w:r w:rsidRPr="003F1AF9">
        <w:t>Going forward, HEHPs will need to address several additional new challenges if they are to achieve the ubiquity that has been forecast for them:</w:t>
      </w:r>
      <w:r w:rsidR="0078120E">
        <w:t xml:space="preserve"> </w:t>
      </w:r>
    </w:p>
    <w:p w14:paraId="0D2091E4" w14:textId="62394B1C" w:rsidR="00481FCB" w:rsidRPr="003F1AF9" w:rsidRDefault="00A84714" w:rsidP="00F436B3">
      <w:pPr>
        <w:pStyle w:val="ListParagraph"/>
        <w:numPr>
          <w:ilvl w:val="0"/>
          <w:numId w:val="21"/>
        </w:numPr>
      </w:pPr>
      <w:r w:rsidRPr="003F1AF9">
        <w:rPr>
          <w:b/>
        </w:rPr>
        <w:t>Availability of r</w:t>
      </w:r>
      <w:r w:rsidR="00481FCB" w:rsidRPr="003F1AF9">
        <w:rPr>
          <w:b/>
        </w:rPr>
        <w:t>enewably-generated electricity</w:t>
      </w:r>
      <w:r w:rsidR="00481FCB" w:rsidRPr="003F1AF9">
        <w:t>.</w:t>
      </w:r>
      <w:r w:rsidR="0078120E">
        <w:t xml:space="preserve"> </w:t>
      </w:r>
      <w:r w:rsidR="00481FCB" w:rsidRPr="003F1AF9">
        <w:t xml:space="preserve">Electric heat pumps have unique </w:t>
      </w:r>
      <w:r w:rsidR="00481FCB" w:rsidRPr="003F1AF9">
        <w:rPr>
          <w:i/>
        </w:rPr>
        <w:t>potential</w:t>
      </w:r>
      <w:r w:rsidR="00481FCB" w:rsidRPr="003F1AF9">
        <w:t xml:space="preserve"> to reduce GHG emissions, but a 3.5 SCOP heat pump driven by fossil-generated electricity produces only marginally lower GHG emissions than a high-efficiency gas furnace.</w:t>
      </w:r>
      <w:r w:rsidR="0078120E">
        <w:t xml:space="preserve"> </w:t>
      </w:r>
      <w:r w:rsidR="00481FCB" w:rsidRPr="003F1AF9">
        <w:t>If the electr</w:t>
      </w:r>
      <w:r w:rsidR="00D164DA" w:rsidRPr="003F1AF9">
        <w:t>icity is coal-generated, HEHP GH</w:t>
      </w:r>
      <w:r w:rsidR="00481FCB" w:rsidRPr="003F1AF9">
        <w:t>G emissions could actually be higher than a high-efficiency gas boiler.</w:t>
      </w:r>
      <w:r w:rsidR="0078120E">
        <w:t xml:space="preserve"> </w:t>
      </w:r>
      <w:r w:rsidR="009E4666" w:rsidRPr="003F1AF9">
        <w:t>So, availability of renewable electricity</w:t>
      </w:r>
      <w:r w:rsidRPr="003F1AF9">
        <w:t xml:space="preserve">, while </w:t>
      </w:r>
      <w:r w:rsidR="009E4666" w:rsidRPr="003F1AF9">
        <w:t xml:space="preserve">not a barrier to HEHPs per se, </w:t>
      </w:r>
      <w:r w:rsidRPr="003F1AF9">
        <w:t xml:space="preserve">is </w:t>
      </w:r>
      <w:r w:rsidR="009E4666" w:rsidRPr="003F1AF9">
        <w:t>an impediment to achieving</w:t>
      </w:r>
      <w:r w:rsidR="00ED7EE0" w:rsidRPr="003F1AF9">
        <w:t xml:space="preserve"> </w:t>
      </w:r>
      <w:r w:rsidR="008E08A7" w:rsidRPr="003F1AF9">
        <w:t xml:space="preserve">the ultimate </w:t>
      </w:r>
      <w:r w:rsidR="00ED7EE0" w:rsidRPr="003F1AF9">
        <w:t>objective –</w:t>
      </w:r>
      <w:r w:rsidR="0078120E">
        <w:t xml:space="preserve"> </w:t>
      </w:r>
      <w:r w:rsidR="009E4666" w:rsidRPr="003F1AF9">
        <w:t>GHG emissions reduction.</w:t>
      </w:r>
      <w:r w:rsidR="0078120E">
        <w:t xml:space="preserve"> </w:t>
      </w:r>
    </w:p>
    <w:p w14:paraId="5B0EE288" w14:textId="7A6B3558" w:rsidR="00E44D5C" w:rsidRPr="003F1AF9" w:rsidRDefault="009E4666" w:rsidP="00F436B3">
      <w:pPr>
        <w:pStyle w:val="ListParagraph"/>
        <w:numPr>
          <w:ilvl w:val="0"/>
          <w:numId w:val="7"/>
        </w:numPr>
      </w:pPr>
      <w:r w:rsidRPr="003F1AF9">
        <w:rPr>
          <w:b/>
        </w:rPr>
        <w:t xml:space="preserve">Other electrical grid </w:t>
      </w:r>
      <w:r w:rsidR="00A84714" w:rsidRPr="003F1AF9">
        <w:rPr>
          <w:b/>
        </w:rPr>
        <w:t>challenges</w:t>
      </w:r>
      <w:r w:rsidRPr="003F1AF9">
        <w:rPr>
          <w:b/>
        </w:rPr>
        <w:t>.</w:t>
      </w:r>
      <w:r w:rsidR="0078120E">
        <w:t xml:space="preserve"> </w:t>
      </w:r>
      <w:r w:rsidR="00FF6EF1" w:rsidRPr="003F1AF9">
        <w:t>Providing only 3% of space heating worldwide</w:t>
      </w:r>
      <w:r w:rsidR="00F06A16" w:rsidRPr="003F1AF9">
        <w:t xml:space="preserve"> today</w:t>
      </w:r>
      <w:r w:rsidR="00FF6EF1" w:rsidRPr="003F1AF9">
        <w:t>, heat pumps have not had a major impact on the electric grid.</w:t>
      </w:r>
      <w:r w:rsidR="0078120E">
        <w:t xml:space="preserve"> </w:t>
      </w:r>
      <w:r w:rsidR="00FF6EF1" w:rsidRPr="003F1AF9">
        <w:t>Space cooling, on the other hand, already drives peak electricity demand in most of the US.</w:t>
      </w:r>
      <w:r w:rsidR="0078120E">
        <w:t xml:space="preserve"> </w:t>
      </w:r>
      <w:r w:rsidR="00FF6EF1" w:rsidRPr="003F1AF9">
        <w:t xml:space="preserve">So, substantial penetration of HEHPs worldwide would have major impact on the electric grid, </w:t>
      </w:r>
      <w:r w:rsidR="00ED7EE0" w:rsidRPr="003F1AF9">
        <w:t>increas</w:t>
      </w:r>
      <w:r w:rsidR="00FF6EF1" w:rsidRPr="003F1AF9">
        <w:t>ing</w:t>
      </w:r>
      <w:r w:rsidR="00ED7EE0" w:rsidRPr="003F1AF9">
        <w:t xml:space="preserve"> overall electricity demand and </w:t>
      </w:r>
      <w:r w:rsidRPr="003F1AF9">
        <w:t>alter</w:t>
      </w:r>
      <w:r w:rsidR="00FF6EF1" w:rsidRPr="003F1AF9">
        <w:t>ing</w:t>
      </w:r>
      <w:r w:rsidRPr="003F1AF9">
        <w:t xml:space="preserve"> seasonal and diurnal peak loads for many utilities.</w:t>
      </w:r>
      <w:r w:rsidR="0078120E">
        <w:t xml:space="preserve"> </w:t>
      </w:r>
      <w:r w:rsidR="00506C95" w:rsidRPr="003F1AF9">
        <w:t>For s</w:t>
      </w:r>
      <w:r w:rsidR="00ED7EE0" w:rsidRPr="003F1AF9">
        <w:t>pace cooling</w:t>
      </w:r>
      <w:r w:rsidR="00506C95" w:rsidRPr="003F1AF9">
        <w:t>,</w:t>
      </w:r>
      <w:r w:rsidR="00ED7EE0" w:rsidRPr="003F1AF9">
        <w:t xml:space="preserve"> </w:t>
      </w:r>
      <w:r w:rsidR="00A87490" w:rsidRPr="003F1AF9">
        <w:t>a shift to</w:t>
      </w:r>
      <w:r w:rsidR="00506C95" w:rsidRPr="003F1AF9">
        <w:t xml:space="preserve"> higher efficiency heat pumps will </w:t>
      </w:r>
      <w:r w:rsidR="00506C95" w:rsidRPr="003F1AF9">
        <w:rPr>
          <w:i/>
        </w:rPr>
        <w:t>reduce</w:t>
      </w:r>
      <w:r w:rsidR="00506C95" w:rsidRPr="003F1AF9">
        <w:t xml:space="preserve"> peak loads (which are highest in summer in most locations), but</w:t>
      </w:r>
      <w:r w:rsidR="00ED7EE0" w:rsidRPr="003F1AF9">
        <w:t xml:space="preserve"> </w:t>
      </w:r>
      <w:r w:rsidR="00506C95" w:rsidRPr="003F1AF9">
        <w:t xml:space="preserve">continued growth of space cooling demand could </w:t>
      </w:r>
      <w:r w:rsidR="00E40FBA" w:rsidRPr="003F1AF9">
        <w:t xml:space="preserve">ultimately </w:t>
      </w:r>
      <w:r w:rsidR="00506C95" w:rsidRPr="003F1AF9">
        <w:rPr>
          <w:i/>
        </w:rPr>
        <w:t>increase</w:t>
      </w:r>
      <w:r w:rsidR="00506C95" w:rsidRPr="003F1AF9">
        <w:t xml:space="preserve"> peak loads and</w:t>
      </w:r>
      <w:r w:rsidR="00ED7EE0" w:rsidRPr="003F1AF9">
        <w:t xml:space="preserve"> </w:t>
      </w:r>
      <w:r w:rsidR="00E40FBA" w:rsidRPr="003F1AF9">
        <w:t xml:space="preserve">stress </w:t>
      </w:r>
      <w:r w:rsidR="00ED7EE0" w:rsidRPr="003F1AF9">
        <w:t xml:space="preserve">grids in many </w:t>
      </w:r>
      <w:r w:rsidR="00ED7EE0" w:rsidRPr="003F1AF9">
        <w:lastRenderedPageBreak/>
        <w:t>countries.</w:t>
      </w:r>
      <w:r w:rsidR="0078120E">
        <w:t xml:space="preserve"> </w:t>
      </w:r>
      <w:r w:rsidRPr="003F1AF9">
        <w:t>A</w:t>
      </w:r>
      <w:r w:rsidR="00E40FBA" w:rsidRPr="003F1AF9">
        <w:t>lternatives for a</w:t>
      </w:r>
      <w:r w:rsidRPr="003F1AF9">
        <w:t xml:space="preserve">ddressing </w:t>
      </w:r>
      <w:r w:rsidR="00ED7EE0" w:rsidRPr="003F1AF9">
        <w:t>these</w:t>
      </w:r>
      <w:r w:rsidRPr="003F1AF9">
        <w:t xml:space="preserve"> impact</w:t>
      </w:r>
      <w:r w:rsidR="00ED7EE0" w:rsidRPr="003F1AF9">
        <w:t>s</w:t>
      </w:r>
      <w:r w:rsidRPr="003F1AF9">
        <w:t xml:space="preserve"> </w:t>
      </w:r>
      <w:r w:rsidR="00E40FBA" w:rsidRPr="003F1AF9">
        <w:t>include</w:t>
      </w:r>
      <w:r w:rsidRPr="003F1AF9">
        <w:t xml:space="preserve"> </w:t>
      </w:r>
      <w:r w:rsidR="00B36750" w:rsidRPr="003F1AF9">
        <w:t>active</w:t>
      </w:r>
      <w:r w:rsidRPr="003F1AF9">
        <w:t xml:space="preserve"> planning</w:t>
      </w:r>
      <w:r w:rsidR="00E40FBA" w:rsidRPr="003F1AF9">
        <w:t xml:space="preserve">, demand management, and </w:t>
      </w:r>
      <w:r w:rsidR="00B36750" w:rsidRPr="003F1AF9">
        <w:t>creative use of energy storage, electrical or thermal.</w:t>
      </w:r>
      <w:r w:rsidR="0078120E">
        <w:t xml:space="preserve"> </w:t>
      </w:r>
    </w:p>
    <w:p w14:paraId="46FF34AC" w14:textId="2FCDF74F" w:rsidR="00FF6EF1" w:rsidRPr="003F1AF9" w:rsidRDefault="0011307D" w:rsidP="00F436B3">
      <w:pPr>
        <w:pStyle w:val="ListParagraph"/>
        <w:numPr>
          <w:ilvl w:val="0"/>
          <w:numId w:val="7"/>
        </w:numPr>
      </w:pPr>
      <w:r w:rsidRPr="003F1AF9">
        <w:rPr>
          <w:b/>
        </w:rPr>
        <w:t>Refrigerant impact on GHG emissions</w:t>
      </w:r>
      <w:r w:rsidR="00B36750" w:rsidRPr="003F1AF9">
        <w:t>.</w:t>
      </w:r>
      <w:r w:rsidR="0078120E">
        <w:t xml:space="preserve"> </w:t>
      </w:r>
      <w:r w:rsidR="00B36750" w:rsidRPr="003F1AF9">
        <w:t>In addition to</w:t>
      </w:r>
      <w:r w:rsidR="009546EE" w:rsidRPr="003F1AF9">
        <w:t xml:space="preserve"> indirect emissions through fossil fuel combustion for electricity generation, heat pumps contribute to GHG emissions through</w:t>
      </w:r>
      <w:r w:rsidR="007B6507" w:rsidRPr="003F1AF9">
        <w:t xml:space="preserve"> refrigerant</w:t>
      </w:r>
      <w:r w:rsidR="009546EE" w:rsidRPr="003F1AF9">
        <w:t xml:space="preserve"> leakage</w:t>
      </w:r>
      <w:r w:rsidR="00793C5B" w:rsidRPr="003F1AF9">
        <w:t>.</w:t>
      </w:r>
      <w:r w:rsidR="0078120E">
        <w:t xml:space="preserve"> </w:t>
      </w:r>
      <w:r w:rsidR="00793C5B" w:rsidRPr="003F1AF9">
        <w:t xml:space="preserve">Current refrigerants, in fact, </w:t>
      </w:r>
      <w:r w:rsidR="009546EE" w:rsidRPr="003F1AF9">
        <w:t>have GWP</w:t>
      </w:r>
      <w:r w:rsidR="00B36750" w:rsidRPr="003F1AF9">
        <w:t xml:space="preserve"> </w:t>
      </w:r>
      <w:r w:rsidR="009546EE" w:rsidRPr="003F1AF9">
        <w:t xml:space="preserve">thousands of times higher than </w:t>
      </w:r>
      <w:r w:rsidR="00D164DA" w:rsidRPr="003F1AF9">
        <w:t>CO</w:t>
      </w:r>
      <w:r w:rsidR="00D164DA" w:rsidRPr="003F1AF9">
        <w:rPr>
          <w:vertAlign w:val="subscript"/>
        </w:rPr>
        <w:t>2</w:t>
      </w:r>
      <w:r w:rsidR="009546EE" w:rsidRPr="003F1AF9">
        <w:t>.</w:t>
      </w:r>
      <w:r w:rsidR="0078120E">
        <w:t xml:space="preserve"> </w:t>
      </w:r>
      <w:r w:rsidR="000E210A" w:rsidRPr="003F1AF9">
        <w:t>The world is moving to low-GWP refrigerants, but if the number of heat pump</w:t>
      </w:r>
      <w:r w:rsidR="00506C95" w:rsidRPr="003F1AF9">
        <w:t xml:space="preserve"> installation</w:t>
      </w:r>
      <w:r w:rsidR="000E210A" w:rsidRPr="003F1AF9">
        <w:t>s</w:t>
      </w:r>
      <w:r w:rsidR="008E08A7" w:rsidRPr="003F1AF9">
        <w:t xml:space="preserve"> increases dramatically</w:t>
      </w:r>
      <w:r w:rsidR="00506C95" w:rsidRPr="003F1AF9">
        <w:t xml:space="preserve"> – </w:t>
      </w:r>
      <w:r w:rsidR="000E210A" w:rsidRPr="003F1AF9">
        <w:t>many in places with limited maintenance capabilitie</w:t>
      </w:r>
      <w:r w:rsidR="00506C95" w:rsidRPr="003F1AF9">
        <w:t xml:space="preserve">s – controlling </w:t>
      </w:r>
      <w:r w:rsidR="00861CFD" w:rsidRPr="003F1AF9">
        <w:t>refrigerant leakage</w:t>
      </w:r>
      <w:r w:rsidR="00506C95" w:rsidRPr="003F1AF9">
        <w:t xml:space="preserve"> will become a major challenge</w:t>
      </w:r>
      <w:r w:rsidR="000E210A" w:rsidRPr="003F1AF9">
        <w:t>.</w:t>
      </w:r>
      <w:r w:rsidR="0078120E">
        <w:t xml:space="preserve"> </w:t>
      </w:r>
      <w:r w:rsidR="00793C5B" w:rsidRPr="003F1AF9">
        <w:t>There is reason for optimism:</w:t>
      </w:r>
      <w:r w:rsidR="0078120E">
        <w:t xml:space="preserve"> </w:t>
      </w:r>
      <w:r w:rsidR="00793C5B" w:rsidRPr="003F1AF9">
        <w:t>The Montreal Protocol has proven to be a successful framework for addressing previous ozone-depleting refrigerants (</w:t>
      </w:r>
      <w:proofErr w:type="spellStart"/>
      <w:r w:rsidR="00793C5B" w:rsidRPr="003F1AF9">
        <w:t>Goetzler</w:t>
      </w:r>
      <w:proofErr w:type="spellEnd"/>
      <w:r w:rsidR="00793C5B" w:rsidRPr="003F1AF9">
        <w:t>, 2018, p. 57)</w:t>
      </w:r>
      <w:r w:rsidR="000E62BE">
        <w:t>.</w:t>
      </w:r>
      <w:r w:rsidR="0078120E">
        <w:t xml:space="preserve"> </w:t>
      </w:r>
      <w:r w:rsidR="00793C5B" w:rsidRPr="003F1AF9">
        <w:t>But GWP is a major concern with such a vast scale up</w:t>
      </w:r>
      <w:r w:rsidR="000E62BE">
        <w:t xml:space="preserve"> of</w:t>
      </w:r>
      <w:r w:rsidR="00793C5B" w:rsidRPr="003F1AF9">
        <w:t xml:space="preserve"> vapor compression heat pumps.</w:t>
      </w:r>
      <w:r w:rsidR="0078120E">
        <w:t xml:space="preserve"> </w:t>
      </w:r>
    </w:p>
    <w:p w14:paraId="70075DBE" w14:textId="6957BF37" w:rsidR="00873C16" w:rsidRPr="003F1AF9" w:rsidRDefault="00873C16" w:rsidP="00F0779C">
      <w:pPr>
        <w:rPr>
          <w:rFonts w:asciiTheme="majorHAnsi" w:eastAsiaTheme="majorEastAsia" w:hAnsiTheme="majorHAnsi" w:cstheme="majorBidi"/>
          <w:b/>
          <w:bCs/>
          <w:color w:val="244061" w:themeColor="accent1" w:themeShade="80"/>
        </w:rPr>
      </w:pPr>
    </w:p>
    <w:p w14:paraId="2418EE76" w14:textId="77777777" w:rsidR="00FF6EF1" w:rsidRPr="003F1AF9" w:rsidRDefault="00FF6EF1">
      <w:pPr>
        <w:spacing w:after="160" w:line="259" w:lineRule="auto"/>
        <w:jc w:val="left"/>
        <w:rPr>
          <w:rFonts w:asciiTheme="majorHAnsi" w:eastAsiaTheme="majorEastAsia" w:hAnsiTheme="majorHAnsi" w:cstheme="majorBidi"/>
          <w:b/>
          <w:bCs/>
          <w:color w:val="244061" w:themeColor="accent1" w:themeShade="80"/>
        </w:rPr>
      </w:pPr>
      <w:bookmarkStart w:id="293" w:name="_Toc2156681"/>
      <w:r w:rsidRPr="003F1AF9">
        <w:br w:type="page"/>
      </w:r>
    </w:p>
    <w:p w14:paraId="7A2E2035" w14:textId="152A5E44" w:rsidR="001E11CB" w:rsidRPr="003F1AF9" w:rsidRDefault="00806D0A" w:rsidP="00F0779C">
      <w:pPr>
        <w:pStyle w:val="Heading3"/>
      </w:pPr>
      <w:bookmarkStart w:id="294" w:name="_Toc536442451"/>
      <w:bookmarkStart w:id="295" w:name="_Toc536607069"/>
      <w:bookmarkStart w:id="296" w:name="_Toc536607165"/>
      <w:bookmarkStart w:id="297" w:name="_Toc2597618"/>
      <w:bookmarkStart w:id="298" w:name="_Toc2701334"/>
      <w:bookmarkStart w:id="299" w:name="_Toc5112405"/>
      <w:bookmarkStart w:id="300" w:name="_Toc42289709"/>
      <w:bookmarkEnd w:id="293"/>
      <w:bookmarkEnd w:id="294"/>
      <w:bookmarkEnd w:id="295"/>
      <w:bookmarkEnd w:id="296"/>
      <w:bookmarkEnd w:id="297"/>
      <w:bookmarkEnd w:id="298"/>
      <w:bookmarkEnd w:id="299"/>
      <w:r w:rsidRPr="003F1AF9">
        <w:lastRenderedPageBreak/>
        <w:t>Adoption Potential</w:t>
      </w:r>
      <w:bookmarkEnd w:id="300"/>
    </w:p>
    <w:p w14:paraId="3786EFE4" w14:textId="0B9566D2" w:rsidR="0072738A" w:rsidRPr="003F1AF9" w:rsidRDefault="0072738A" w:rsidP="0072738A">
      <w:r w:rsidRPr="003F1AF9">
        <w:t>A review of the literature makes it clear that high-efficiency heat pumps, using technology that is commercially</w:t>
      </w:r>
      <w:r w:rsidR="000E62BE">
        <w:t xml:space="preserve"> </w:t>
      </w:r>
      <w:r w:rsidRPr="003F1AF9">
        <w:t>available today, have the potential to dramatically reduce building energy consumption and GHG emissions.</w:t>
      </w:r>
      <w:r w:rsidR="0078120E">
        <w:t xml:space="preserve"> </w:t>
      </w:r>
    </w:p>
    <w:p w14:paraId="19A90A61" w14:textId="5840E717" w:rsidR="00532271" w:rsidRPr="003F1AF9" w:rsidRDefault="0072738A" w:rsidP="00532271">
      <w:r w:rsidRPr="003F1AF9">
        <w:t xml:space="preserve">A prime example is the </w:t>
      </w:r>
      <w:r w:rsidR="00532271" w:rsidRPr="003F1AF9">
        <w:t>IEA Energy Technology Perspectives 2017 report (IEA ETP, 2017)</w:t>
      </w:r>
      <w:r w:rsidRPr="003F1AF9">
        <w:t xml:space="preserve">, </w:t>
      </w:r>
      <w:r w:rsidR="00532271" w:rsidRPr="003F1AF9">
        <w:t>one of the most recent and most comprehensive prognostications of global future energy use and GHG emissions.</w:t>
      </w:r>
      <w:r w:rsidR="0078120E">
        <w:t xml:space="preserve"> </w:t>
      </w:r>
      <w:r w:rsidR="00532271" w:rsidRPr="003F1AF9">
        <w:t xml:space="preserve">IEA ETP forecasts are organized into 3 future scenarios: (IEA ETP, 2017, p. 23) </w:t>
      </w:r>
    </w:p>
    <w:p w14:paraId="07123230" w14:textId="6CAB0999" w:rsidR="0072738A" w:rsidRPr="003F1AF9" w:rsidRDefault="00532271">
      <w:pPr>
        <w:pStyle w:val="ListParagraph"/>
        <w:numPr>
          <w:ilvl w:val="0"/>
          <w:numId w:val="17"/>
        </w:numPr>
      </w:pPr>
      <w:r w:rsidRPr="003F1AF9">
        <w:rPr>
          <w:b/>
        </w:rPr>
        <w:t>Reference Technology Scenario (RTS)</w:t>
      </w:r>
      <w:r w:rsidR="0072738A" w:rsidRPr="003F1AF9">
        <w:t xml:space="preserve">, which </w:t>
      </w:r>
      <w:r w:rsidRPr="003F1AF9">
        <w:t>represents a major shift from a historic</w:t>
      </w:r>
      <w:r w:rsidR="0072738A" w:rsidRPr="003F1AF9">
        <w:t xml:space="preserve">al “business as usual” approach, </w:t>
      </w:r>
      <w:r w:rsidRPr="003F1AF9">
        <w:t>requires significant changes in policy and technologies in the period to 2060 as well as substantial additional cuts in emissions thereafter.</w:t>
      </w:r>
      <w:r w:rsidR="0078120E">
        <w:t xml:space="preserve"> </w:t>
      </w:r>
    </w:p>
    <w:p w14:paraId="66B3E84A" w14:textId="17C5E3D7" w:rsidR="00532271" w:rsidRPr="003F1AF9" w:rsidRDefault="00532271">
      <w:pPr>
        <w:pStyle w:val="ListParagraph"/>
        <w:numPr>
          <w:ilvl w:val="0"/>
          <w:numId w:val="17"/>
        </w:numPr>
      </w:pPr>
      <w:r w:rsidRPr="003F1AF9">
        <w:rPr>
          <w:b/>
        </w:rPr>
        <w:t>2°C Scenario (2DS)</w:t>
      </w:r>
      <w:r w:rsidR="0072738A" w:rsidRPr="003F1AF9">
        <w:t>, which</w:t>
      </w:r>
      <w:r w:rsidRPr="003F1AF9">
        <w:t xml:space="preserve"> lays ou</w:t>
      </w:r>
      <w:r w:rsidR="0072738A" w:rsidRPr="003F1AF9">
        <w:t>t an energy systems pathway and</w:t>
      </w:r>
      <w:r w:rsidRPr="003F1AF9">
        <w:t xml:space="preserve"> CO</w:t>
      </w:r>
      <w:r w:rsidRPr="003F1AF9">
        <w:rPr>
          <w:vertAlign w:val="subscript"/>
        </w:rPr>
        <w:t>2</w:t>
      </w:r>
      <w:r w:rsidRPr="003F1AF9">
        <w:t xml:space="preserve"> emissions trajectory consistent with at least a 50% chance of limiting the average global temp</w:t>
      </w:r>
      <w:r w:rsidR="0072738A" w:rsidRPr="003F1AF9">
        <w:t>erature increase to 2°C by 2100,</w:t>
      </w:r>
      <w:r w:rsidRPr="003F1AF9">
        <w:t xml:space="preserve"> represents a highly ambitious and challenging transformat</w:t>
      </w:r>
      <w:r w:rsidR="0072738A" w:rsidRPr="003F1AF9">
        <w:t xml:space="preserve">ion of the global energy sector – </w:t>
      </w:r>
      <w:r w:rsidRPr="003F1AF9">
        <w:t xml:space="preserve">substantially </w:t>
      </w:r>
      <w:r w:rsidR="0072738A" w:rsidRPr="003F1AF9">
        <w:t>stronger than</w:t>
      </w:r>
      <w:r w:rsidRPr="003F1AF9">
        <w:t xml:space="preserve"> today’s efforts.</w:t>
      </w:r>
      <w:r w:rsidR="0078120E">
        <w:t xml:space="preserve"> </w:t>
      </w:r>
    </w:p>
    <w:p w14:paraId="1EE3490F" w14:textId="47A2A4E7" w:rsidR="00532271" w:rsidRPr="003F1AF9" w:rsidRDefault="00532271">
      <w:pPr>
        <w:pStyle w:val="ListParagraph"/>
        <w:numPr>
          <w:ilvl w:val="0"/>
          <w:numId w:val="17"/>
        </w:numPr>
      </w:pPr>
      <w:r w:rsidRPr="003F1AF9">
        <w:rPr>
          <w:b/>
        </w:rPr>
        <w:t>Beyond 2°C Scenario (B2DS)</w:t>
      </w:r>
      <w:r w:rsidR="0072738A" w:rsidRPr="003F1AF9">
        <w:t xml:space="preserve">, which </w:t>
      </w:r>
      <w:r w:rsidRPr="003F1AF9">
        <w:t xml:space="preserve">explores how far deployment of technologies </w:t>
      </w:r>
      <w:r w:rsidR="0035382B" w:rsidRPr="003F1AF9">
        <w:t>already</w:t>
      </w:r>
      <w:r w:rsidRPr="003F1AF9">
        <w:t xml:space="preserve"> available or in the innovation pipeline </w:t>
      </w:r>
      <w:r w:rsidR="0072738A" w:rsidRPr="003F1AF9">
        <w:t>can be pushed to</w:t>
      </w:r>
      <w:r w:rsidRPr="003F1AF9">
        <w:t xml:space="preserve"> take us beyond </w:t>
      </w:r>
      <w:r w:rsidR="0072738A" w:rsidRPr="003F1AF9">
        <w:t xml:space="preserve">2DS, </w:t>
      </w:r>
      <w:r w:rsidRPr="003F1AF9">
        <w:t xml:space="preserve">is </w:t>
      </w:r>
      <w:r w:rsidR="00BF2CFA" w:rsidRPr="003F1AF9">
        <w:t>geared to achiev</w:t>
      </w:r>
      <w:r w:rsidR="00575BC5" w:rsidRPr="003F1AF9">
        <w:t xml:space="preserve">ing </w:t>
      </w:r>
      <w:r w:rsidRPr="003F1AF9">
        <w:t>a 50% chance of limiting average future t</w:t>
      </w:r>
      <w:r w:rsidR="00BF2CFA" w:rsidRPr="003F1AF9">
        <w:t>emperature increases to 1.75°C and 2060 energy</w:t>
      </w:r>
      <w:r w:rsidRPr="003F1AF9">
        <w:t xml:space="preserve"> sector emissions </w:t>
      </w:r>
      <w:r w:rsidR="00BF2CFA" w:rsidRPr="003F1AF9">
        <w:t>of</w:t>
      </w:r>
      <w:r w:rsidRPr="003F1AF9">
        <w:t xml:space="preserve"> net zero</w:t>
      </w:r>
      <w:r w:rsidR="00BF2CFA" w:rsidRPr="003F1AF9">
        <w:t>.</w:t>
      </w:r>
      <w:r w:rsidR="0078120E">
        <w:t xml:space="preserve"> </w:t>
      </w:r>
    </w:p>
    <w:p w14:paraId="107686B0" w14:textId="7D9646F3" w:rsidR="00532271" w:rsidRPr="003F1AF9" w:rsidRDefault="00532271" w:rsidP="00532271">
      <w:r w:rsidRPr="003F1AF9">
        <w:rPr>
          <w:b/>
        </w:rPr>
        <w:t>What do the IEA ETP scenarios forecast for HEHPs?</w:t>
      </w:r>
      <w:r w:rsidR="0078120E">
        <w:rPr>
          <w:b/>
        </w:rPr>
        <w:t xml:space="preserve"> </w:t>
      </w:r>
      <w:r w:rsidRPr="003F1AF9">
        <w:t>Heat pump technology is projected to play a “vital role” over the next 40+ years, with performance increasing 250% to over 400%, helping to reduce 2060 building heating and cooling energy demand 32% in the 2DS scenario, and 45% in the more aggressive B2DS, compared with the RTS base case (IEA ETP, 2017, p. 130)</w:t>
      </w:r>
      <w:r w:rsidR="000E62BE">
        <w:t>.</w:t>
      </w:r>
      <w:r w:rsidR="0078120E">
        <w:t xml:space="preserve"> </w:t>
      </w:r>
    </w:p>
    <w:p w14:paraId="2E19D74B" w14:textId="092CCF1E" w:rsidR="00532271" w:rsidRPr="003F1AF9" w:rsidRDefault="00532271" w:rsidP="00532271">
      <w:r w:rsidRPr="003F1AF9">
        <w:t>For space heating, in the base RTS scenario</w:t>
      </w:r>
      <w:r w:rsidR="000E62BE">
        <w:t>,</w:t>
      </w:r>
      <w:r w:rsidRPr="003F1AF9">
        <w:t xml:space="preserve"> final energy consumption is forecast to fall from 32% of 2014 total building energy use to 20% by 2060; the drop is partly due to building envelope improvements and partly a result of higher heat pump efficiency.</w:t>
      </w:r>
      <w:r w:rsidR="0078120E">
        <w:t xml:space="preserve"> </w:t>
      </w:r>
      <w:r w:rsidRPr="003F1AF9">
        <w:t xml:space="preserve">In the 2DS </w:t>
      </w:r>
      <w:r w:rsidR="007D0504" w:rsidRPr="003F1AF9">
        <w:t>scenario</w:t>
      </w:r>
      <w:r w:rsidRPr="003F1AF9">
        <w:t>, where high-efficiency gas condensing boilers still play a big role, heating final energy is expected to drop to 18% of building energy use.</w:t>
      </w:r>
      <w:r w:rsidR="0078120E">
        <w:t xml:space="preserve"> </w:t>
      </w:r>
      <w:r w:rsidRPr="003F1AF9">
        <w:t xml:space="preserve">In the aggressive B2DS case, where nearly all coal, oil and gas </w:t>
      </w:r>
      <w:r w:rsidR="0083415A" w:rsidRPr="003F1AF9">
        <w:t>are</w:t>
      </w:r>
      <w:r w:rsidRPr="003F1AF9">
        <w:t xml:space="preserve"> eliminated from buildings, this fraction drops to 16% - only half of the 2014 ratio – and high-efficiency heat pumps with COPs of 4.0 to 4.5+ grow to comprise 47% of all installed space- and water-heating equipment, driven by MEPS of 150%</w:t>
      </w:r>
      <w:r w:rsidR="0078120E">
        <w:t xml:space="preserve"> </w:t>
      </w:r>
      <w:r w:rsidRPr="003F1AF9">
        <w:t>(IEA HTP, 2017, p. 145, p. 157)</w:t>
      </w:r>
      <w:r w:rsidR="000E62BE">
        <w:t>.</w:t>
      </w:r>
    </w:p>
    <w:p w14:paraId="30652B6B" w14:textId="198FA1D0" w:rsidR="00532271" w:rsidRPr="003F1AF9" w:rsidRDefault="00532271" w:rsidP="00532271">
      <w:r w:rsidRPr="003F1AF9">
        <w:t>Spurred by growth in hot developing countries, space cooling is expected to grow from 5% of building final energy use in 2014 to 12% in 2060 in the RTS scenario.</w:t>
      </w:r>
      <w:r w:rsidR="0078120E">
        <w:t xml:space="preserve"> </w:t>
      </w:r>
      <w:r w:rsidRPr="003F1AF9">
        <w:t xml:space="preserve">The HP final energy fraction is forecast to be only </w:t>
      </w:r>
      <w:r w:rsidRPr="003F1AF9">
        <w:lastRenderedPageBreak/>
        <w:t>10% in 2DS or B2DS – measured against a much-reduced energy basis.</w:t>
      </w:r>
      <w:r w:rsidR="0078120E">
        <w:t xml:space="preserve"> </w:t>
      </w:r>
      <w:r w:rsidRPr="003F1AF9">
        <w:t>In the B2DS</w:t>
      </w:r>
      <w:r w:rsidR="000E62BE">
        <w:t>,</w:t>
      </w:r>
      <w:r w:rsidRPr="003F1AF9">
        <w:t xml:space="preserve"> case heat pump efficiencies are assumed to increase over 400% by 2060.</w:t>
      </w:r>
      <w:r w:rsidR="0078120E">
        <w:t xml:space="preserve"> </w:t>
      </w:r>
    </w:p>
    <w:p w14:paraId="343F732D" w14:textId="1D2C5F7C" w:rsidR="00532271" w:rsidRPr="003F1AF9" w:rsidRDefault="00532271" w:rsidP="00532271">
      <w:r w:rsidRPr="003F1AF9">
        <w:rPr>
          <w:b/>
        </w:rPr>
        <w:t>What do the IEA ETP scenarios say about the impact of high-efficiency heat pumps on final energy consumption and CO</w:t>
      </w:r>
      <w:r w:rsidRPr="003F1AF9">
        <w:rPr>
          <w:b/>
          <w:vertAlign w:val="subscript"/>
        </w:rPr>
        <w:t>2</w:t>
      </w:r>
      <w:r w:rsidR="0090115F" w:rsidRPr="003F1AF9">
        <w:rPr>
          <w:b/>
        </w:rPr>
        <w:t xml:space="preserve"> emissions?</w:t>
      </w:r>
      <w:r w:rsidR="0078120E">
        <w:t xml:space="preserve"> </w:t>
      </w:r>
      <w:r w:rsidR="0090115F" w:rsidRPr="003F1AF9">
        <w:fldChar w:fldCharType="begin"/>
      </w:r>
      <w:r w:rsidR="0090115F" w:rsidRPr="003F1AF9">
        <w:instrText xml:space="preserve"> REF _Ref2277514 \h </w:instrText>
      </w:r>
      <w:r w:rsidR="0090115F" w:rsidRPr="003F1AF9">
        <w:fldChar w:fldCharType="separate"/>
      </w:r>
      <w:r w:rsidR="00E60668" w:rsidRPr="003F1AF9">
        <w:t xml:space="preserve">Table </w:t>
      </w:r>
      <w:r w:rsidR="00E60668">
        <w:rPr>
          <w:noProof/>
        </w:rPr>
        <w:t>1</w:t>
      </w:r>
      <w:r w:rsidR="00E60668" w:rsidRPr="003F1AF9">
        <w:t>.</w:t>
      </w:r>
      <w:r w:rsidR="00E60668">
        <w:rPr>
          <w:noProof/>
        </w:rPr>
        <w:t>3</w:t>
      </w:r>
      <w:r w:rsidR="0090115F" w:rsidRPr="003F1AF9">
        <w:fldChar w:fldCharType="end"/>
      </w:r>
      <w:r w:rsidR="0090115F" w:rsidRPr="003F1AF9">
        <w:t xml:space="preserve"> and</w:t>
      </w:r>
      <w:r w:rsidRPr="003F1AF9">
        <w:t xml:space="preserve"> </w:t>
      </w:r>
      <w:r w:rsidR="0090115F" w:rsidRPr="003F1AF9">
        <w:fldChar w:fldCharType="begin"/>
      </w:r>
      <w:r w:rsidR="0090115F" w:rsidRPr="003F1AF9">
        <w:instrText xml:space="preserve"> REF _Ref2277528 \h </w:instrText>
      </w:r>
      <w:r w:rsidR="0090115F" w:rsidRPr="003F1AF9">
        <w:fldChar w:fldCharType="separate"/>
      </w:r>
      <w:r w:rsidR="00E60668" w:rsidRPr="003F1AF9">
        <w:t xml:space="preserve">Table </w:t>
      </w:r>
      <w:r w:rsidR="00E60668">
        <w:rPr>
          <w:noProof/>
        </w:rPr>
        <w:t>1</w:t>
      </w:r>
      <w:r w:rsidR="00E60668" w:rsidRPr="003F1AF9">
        <w:t>.</w:t>
      </w:r>
      <w:r w:rsidR="00E60668">
        <w:rPr>
          <w:noProof/>
        </w:rPr>
        <w:t>4</w:t>
      </w:r>
      <w:r w:rsidR="0090115F" w:rsidRPr="003F1AF9">
        <w:fldChar w:fldCharType="end"/>
      </w:r>
      <w:r w:rsidR="0090115F" w:rsidRPr="003F1AF9">
        <w:t xml:space="preserve"> </w:t>
      </w:r>
      <w:r w:rsidRPr="003F1AF9">
        <w:t>provide insights based on IEA ETP forecasts.</w:t>
      </w:r>
      <w:r w:rsidR="0078120E">
        <w:t xml:space="preserve"> </w:t>
      </w:r>
    </w:p>
    <w:p w14:paraId="41154B9B" w14:textId="1894CAA9" w:rsidR="00DF021F" w:rsidRPr="003F1AF9" w:rsidRDefault="00532271" w:rsidP="00532271">
      <w:pPr>
        <w:pStyle w:val="Caption"/>
        <w:keepNext/>
        <w:rPr>
          <w:vanish/>
          <w:specVanish/>
        </w:rPr>
      </w:pPr>
      <w:bookmarkStart w:id="301" w:name="_Ref2277514"/>
      <w:bookmarkStart w:id="302" w:name="_Toc42289745"/>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1</w:t>
      </w:r>
      <w:r w:rsidR="00C0437B" w:rsidRPr="003F1AF9">
        <w:rPr>
          <w:noProof/>
        </w:rPr>
        <w:fldChar w:fldCharType="end"/>
      </w:r>
      <w:r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3</w:t>
      </w:r>
      <w:r w:rsidR="00C0437B" w:rsidRPr="003F1AF9">
        <w:rPr>
          <w:noProof/>
        </w:rPr>
        <w:fldChar w:fldCharType="end"/>
      </w:r>
      <w:bookmarkEnd w:id="301"/>
      <w:r w:rsidRPr="003F1AF9">
        <w:t xml:space="preserve"> Space cooling final energy consumption and CO2 emissions</w:t>
      </w:r>
      <w:bookmarkEnd w:id="302"/>
    </w:p>
    <w:p w14:paraId="01324DE2" w14:textId="3F29C91E" w:rsidR="00532271" w:rsidRPr="003F1AF9" w:rsidRDefault="00532271" w:rsidP="00532271">
      <w:pPr>
        <w:pStyle w:val="Caption"/>
        <w:keepNext/>
      </w:pPr>
      <w:r w:rsidRPr="003F1AF9">
        <w:t xml:space="preserve"> for 2014 and 2060 in IEA ETP RTS, 2DS, and B2DS </w:t>
      </w:r>
    </w:p>
    <w:tbl>
      <w:tblPr>
        <w:tblW w:w="9177" w:type="dxa"/>
        <w:tblInd w:w="93" w:type="dxa"/>
        <w:tblLayout w:type="fixed"/>
        <w:tblLook w:val="04A0" w:firstRow="1" w:lastRow="0" w:firstColumn="1" w:lastColumn="0" w:noHBand="0" w:noVBand="1"/>
      </w:tblPr>
      <w:tblGrid>
        <w:gridCol w:w="5122"/>
        <w:gridCol w:w="1013"/>
        <w:gridCol w:w="1014"/>
        <w:gridCol w:w="1014"/>
        <w:gridCol w:w="1014"/>
      </w:tblGrid>
      <w:tr w:rsidR="0083415A" w:rsidRPr="003F1AF9" w14:paraId="2118C18D" w14:textId="77777777" w:rsidTr="0083415A">
        <w:trPr>
          <w:cantSplit/>
          <w:trHeight w:val="600"/>
          <w:tblHeader/>
        </w:trPr>
        <w:tc>
          <w:tcPr>
            <w:tcW w:w="5122"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1E283FD" w14:textId="77777777" w:rsidR="0083415A" w:rsidRPr="003F1AF9" w:rsidRDefault="0083415A"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Building Space Cooling</w:t>
            </w:r>
          </w:p>
        </w:tc>
        <w:tc>
          <w:tcPr>
            <w:tcW w:w="1013"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69EE2CD1" w14:textId="77777777" w:rsidR="0083415A" w:rsidRPr="003F1AF9" w:rsidRDefault="0083415A"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RTS 2014</w:t>
            </w:r>
          </w:p>
        </w:tc>
        <w:tc>
          <w:tcPr>
            <w:tcW w:w="1014"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713A4432" w14:textId="77777777" w:rsidR="0083415A" w:rsidRPr="003F1AF9" w:rsidRDefault="0083415A"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RTS 2060</w:t>
            </w:r>
          </w:p>
        </w:tc>
        <w:tc>
          <w:tcPr>
            <w:tcW w:w="1014"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635723D4" w14:textId="77777777" w:rsidR="0083415A" w:rsidRPr="003F1AF9" w:rsidRDefault="0083415A"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2DS 2060</w:t>
            </w:r>
          </w:p>
        </w:tc>
        <w:tc>
          <w:tcPr>
            <w:tcW w:w="1014"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21066AFD" w14:textId="77777777" w:rsidR="0083415A" w:rsidRPr="003F1AF9" w:rsidRDefault="0083415A"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B2DS 2060</w:t>
            </w:r>
          </w:p>
        </w:tc>
      </w:tr>
      <w:tr w:rsidR="0083415A" w:rsidRPr="003F1AF9" w14:paraId="07FDB202" w14:textId="77777777" w:rsidTr="0083415A">
        <w:trPr>
          <w:trHeight w:val="900"/>
        </w:trPr>
        <w:tc>
          <w:tcPr>
            <w:tcW w:w="5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5F85E" w14:textId="77777777" w:rsidR="0083415A" w:rsidRPr="003F1AF9" w:rsidRDefault="0083415A"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Final Energy Consumption (PJ)</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60631" w14:textId="77777777" w:rsidR="0083415A" w:rsidRPr="003F1AF9" w:rsidRDefault="0083415A"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5,978</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849B0" w14:textId="77777777" w:rsidR="0083415A" w:rsidRPr="003F1AF9" w:rsidRDefault="0083415A"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20,184</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FAE25" w14:textId="77777777" w:rsidR="0083415A" w:rsidRPr="003F1AF9" w:rsidRDefault="0083415A"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13,047</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886AC" w14:textId="77777777" w:rsidR="0083415A" w:rsidRPr="003F1AF9" w:rsidRDefault="0083415A"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11,687</w:t>
            </w:r>
          </w:p>
        </w:tc>
      </w:tr>
      <w:tr w:rsidR="0083415A" w:rsidRPr="003F1AF9" w14:paraId="7D3684C0" w14:textId="77777777" w:rsidTr="0083415A">
        <w:trPr>
          <w:trHeight w:val="900"/>
        </w:trPr>
        <w:tc>
          <w:tcPr>
            <w:tcW w:w="5122" w:type="dxa"/>
            <w:tcBorders>
              <w:top w:val="single" w:sz="4" w:space="0" w:color="auto"/>
              <w:left w:val="single" w:sz="4" w:space="0" w:color="auto"/>
              <w:bottom w:val="single" w:sz="4" w:space="0" w:color="auto"/>
              <w:right w:val="single" w:sz="4" w:space="0" w:color="auto"/>
            </w:tcBorders>
            <w:shd w:val="clear" w:color="auto" w:fill="auto"/>
            <w:vAlign w:val="center"/>
          </w:tcPr>
          <w:p w14:paraId="00667FC7" w14:textId="727C280B" w:rsidR="0083415A" w:rsidRPr="003F1AF9" w:rsidRDefault="0083415A" w:rsidP="0083415A">
            <w:pPr>
              <w:spacing w:after="0" w:line="240" w:lineRule="auto"/>
              <w:ind w:firstLine="336"/>
              <w:jc w:val="left"/>
              <w:rPr>
                <w:rFonts w:eastAsia="Times New Roman" w:cs="Times New Roman"/>
                <w:sz w:val="21"/>
                <w:szCs w:val="21"/>
                <w:lang w:eastAsia="en-US"/>
              </w:rPr>
            </w:pPr>
            <w:r w:rsidRPr="003F1AF9">
              <w:rPr>
                <w:rFonts w:eastAsia="Times New Roman" w:cs="Times New Roman"/>
                <w:sz w:val="21"/>
                <w:szCs w:val="21"/>
                <w:lang w:eastAsia="en-US"/>
              </w:rPr>
              <w:t>Relative Final Energy Consumption (% RTS 2060)</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40A4B8" w14:textId="30813842"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N/A</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C263A" w14:textId="6ABC1CD0"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N/A</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338D7" w14:textId="076CA4A6"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65%</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86BAB" w14:textId="6DF520CF"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58%</w:t>
            </w:r>
          </w:p>
        </w:tc>
      </w:tr>
      <w:tr w:rsidR="0083415A" w:rsidRPr="003F1AF9" w14:paraId="35E88B7E" w14:textId="77777777" w:rsidTr="0083415A">
        <w:trPr>
          <w:trHeight w:val="600"/>
        </w:trPr>
        <w:tc>
          <w:tcPr>
            <w:tcW w:w="5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A2B764" w14:textId="77777777"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Electric Heat Pump Adoption (%)</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247CD" w14:textId="77777777"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100%</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696076" w14:textId="77777777"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100%</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6524E" w14:textId="77777777"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100.0%</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04018" w14:textId="77777777"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100.0%</w:t>
            </w:r>
          </w:p>
        </w:tc>
      </w:tr>
      <w:tr w:rsidR="0083415A" w:rsidRPr="003F1AF9" w14:paraId="7674028A" w14:textId="77777777" w:rsidTr="0083415A">
        <w:trPr>
          <w:trHeight w:val="600"/>
        </w:trPr>
        <w:tc>
          <w:tcPr>
            <w:tcW w:w="5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C2D80" w14:textId="77777777"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Emissions (MtCO2)</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A6156" w14:textId="77777777"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 xml:space="preserve"> 20</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51848" w14:textId="77777777"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 xml:space="preserve"> 9</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1352E" w14:textId="77777777"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 xml:space="preserve"> 3</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21A4D" w14:textId="77777777"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 xml:space="preserve"> 2</w:t>
            </w:r>
          </w:p>
        </w:tc>
      </w:tr>
      <w:tr w:rsidR="0083415A" w:rsidRPr="003F1AF9" w14:paraId="27A795B8" w14:textId="77777777" w:rsidTr="0083415A">
        <w:trPr>
          <w:trHeight w:val="600"/>
        </w:trPr>
        <w:tc>
          <w:tcPr>
            <w:tcW w:w="5122" w:type="dxa"/>
            <w:tcBorders>
              <w:top w:val="single" w:sz="4" w:space="0" w:color="auto"/>
              <w:left w:val="single" w:sz="4" w:space="0" w:color="auto"/>
              <w:bottom w:val="single" w:sz="4" w:space="0" w:color="auto"/>
              <w:right w:val="single" w:sz="4" w:space="0" w:color="auto"/>
            </w:tcBorders>
            <w:shd w:val="clear" w:color="auto" w:fill="auto"/>
            <w:vAlign w:val="center"/>
          </w:tcPr>
          <w:p w14:paraId="7E335248" w14:textId="2793E6D4" w:rsidR="0083415A" w:rsidRPr="003F1AF9" w:rsidRDefault="0083415A" w:rsidP="0083415A">
            <w:pPr>
              <w:spacing w:after="0" w:line="240" w:lineRule="auto"/>
              <w:ind w:firstLine="336"/>
              <w:jc w:val="left"/>
              <w:rPr>
                <w:rFonts w:eastAsia="Times New Roman" w:cs="Times New Roman"/>
                <w:sz w:val="21"/>
                <w:szCs w:val="21"/>
                <w:lang w:eastAsia="en-US"/>
              </w:rPr>
            </w:pPr>
            <w:r w:rsidRPr="003F1AF9">
              <w:rPr>
                <w:rFonts w:eastAsia="Times New Roman" w:cs="Times New Roman"/>
                <w:sz w:val="21"/>
                <w:szCs w:val="21"/>
                <w:lang w:eastAsia="en-US"/>
              </w:rPr>
              <w:t>Relative Emissions (% RTS 2060)</w:t>
            </w:r>
          </w:p>
        </w:tc>
        <w:tc>
          <w:tcPr>
            <w:tcW w:w="10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8842D" w14:textId="7AB96589"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N/A</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37B1B" w14:textId="35793B25"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N/A</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367C99" w14:textId="5F8FA2EC"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32%</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6BF7E" w14:textId="246A2BE0" w:rsidR="0083415A" w:rsidRPr="003F1AF9" w:rsidRDefault="0083415A" w:rsidP="0083415A">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23%</w:t>
            </w:r>
          </w:p>
        </w:tc>
      </w:tr>
    </w:tbl>
    <w:p w14:paraId="3995AC64" w14:textId="0B2201FE" w:rsidR="00532271" w:rsidRPr="003F1AF9" w:rsidRDefault="00532271" w:rsidP="00532271">
      <w:r w:rsidRPr="003F1AF9">
        <w:t>Source:</w:t>
      </w:r>
      <w:r w:rsidR="0078120E">
        <w:t xml:space="preserve"> </w:t>
      </w:r>
      <w:r w:rsidRPr="003F1AF9">
        <w:t>Calculation based on data from IEA ETP, 2017</w:t>
      </w:r>
    </w:p>
    <w:p w14:paraId="3E0353D1" w14:textId="38A58EF2" w:rsidR="00532271" w:rsidRPr="003F1AF9" w:rsidRDefault="00532271" w:rsidP="00532271">
      <w:r w:rsidRPr="003F1AF9">
        <w:rPr>
          <w:b/>
        </w:rPr>
        <w:t>Space cooling.</w:t>
      </w:r>
      <w:r w:rsidR="0078120E">
        <w:t xml:space="preserve"> </w:t>
      </w:r>
      <w:r w:rsidRPr="003F1AF9">
        <w:t>Electrically</w:t>
      </w:r>
      <w:r w:rsidR="000A4E47">
        <w:t xml:space="preserve"> </w:t>
      </w:r>
      <w:r w:rsidRPr="003F1AF9">
        <w:t>driven vapor compression heat pumps, now and for the foreseeable future, provide 95+% of all space cooling.</w:t>
      </w:r>
      <w:r w:rsidR="0078120E">
        <w:t xml:space="preserve"> </w:t>
      </w:r>
      <w:r w:rsidR="008B5AFC" w:rsidRPr="003F1AF9">
        <w:fldChar w:fldCharType="begin"/>
      </w:r>
      <w:r w:rsidR="008B5AFC" w:rsidRPr="003F1AF9">
        <w:instrText xml:space="preserve"> REF _Ref2277514 \h </w:instrText>
      </w:r>
      <w:r w:rsidR="008B5AFC" w:rsidRPr="003F1AF9">
        <w:fldChar w:fldCharType="separate"/>
      </w:r>
      <w:r w:rsidR="00E60668" w:rsidRPr="003F1AF9">
        <w:t xml:space="preserve">Table </w:t>
      </w:r>
      <w:r w:rsidR="00E60668">
        <w:rPr>
          <w:noProof/>
        </w:rPr>
        <w:t>1</w:t>
      </w:r>
      <w:r w:rsidR="00E60668" w:rsidRPr="003F1AF9">
        <w:t>.</w:t>
      </w:r>
      <w:r w:rsidR="00E60668">
        <w:rPr>
          <w:noProof/>
        </w:rPr>
        <w:t>3</w:t>
      </w:r>
      <w:r w:rsidR="008B5AFC" w:rsidRPr="003F1AF9">
        <w:fldChar w:fldCharType="end"/>
      </w:r>
      <w:r w:rsidRPr="003F1AF9">
        <w:t xml:space="preserve"> summarizes global space cooling final energy consumption, electric heat pump adoption (which is close to 100%) and corresponding CO</w:t>
      </w:r>
      <w:r w:rsidRPr="003F1AF9">
        <w:rPr>
          <w:vertAlign w:val="subscript"/>
        </w:rPr>
        <w:t>2</w:t>
      </w:r>
      <w:r w:rsidRPr="003F1AF9">
        <w:t xml:space="preserve"> emission</w:t>
      </w:r>
      <w:r w:rsidR="00F65F73" w:rsidRPr="003F1AF9">
        <w:t>s</w:t>
      </w:r>
      <w:r w:rsidRPr="003F1AF9">
        <w:t>.</w:t>
      </w:r>
      <w:r w:rsidR="0078120E">
        <w:t xml:space="preserve"> </w:t>
      </w:r>
      <w:r w:rsidRPr="003F1AF9">
        <w:t xml:space="preserve">As </w:t>
      </w:r>
      <w:r w:rsidR="008B5AFC" w:rsidRPr="003F1AF9">
        <w:fldChar w:fldCharType="begin"/>
      </w:r>
      <w:r w:rsidR="008B5AFC" w:rsidRPr="003F1AF9">
        <w:instrText xml:space="preserve"> REF _Ref2277514 \h </w:instrText>
      </w:r>
      <w:r w:rsidR="008B5AFC" w:rsidRPr="003F1AF9">
        <w:fldChar w:fldCharType="separate"/>
      </w:r>
      <w:r w:rsidR="00E60668" w:rsidRPr="003F1AF9">
        <w:t xml:space="preserve">Table </w:t>
      </w:r>
      <w:r w:rsidR="00E60668">
        <w:rPr>
          <w:noProof/>
        </w:rPr>
        <w:t>1</w:t>
      </w:r>
      <w:r w:rsidR="00E60668" w:rsidRPr="003F1AF9">
        <w:t>.</w:t>
      </w:r>
      <w:r w:rsidR="00E60668">
        <w:rPr>
          <w:noProof/>
        </w:rPr>
        <w:t>3</w:t>
      </w:r>
      <w:r w:rsidR="008B5AFC" w:rsidRPr="003F1AF9">
        <w:fldChar w:fldCharType="end"/>
      </w:r>
      <w:r w:rsidRPr="003F1AF9">
        <w:t xml:space="preserve"> shows, despite some building envelope efficiencies, cooling demand actually </w:t>
      </w:r>
      <w:r w:rsidRPr="003F1AF9">
        <w:rPr>
          <w:i/>
        </w:rPr>
        <w:t>increases</w:t>
      </w:r>
      <w:r w:rsidRPr="003F1AF9">
        <w:t xml:space="preserve"> final energy consumption </w:t>
      </w:r>
      <w:r w:rsidR="00F65F73" w:rsidRPr="003F1AF9">
        <w:t>by almost</w:t>
      </w:r>
      <w:r w:rsidRPr="003F1AF9">
        <w:t xml:space="preserve"> 300% under the RTS scenario from 6,000 PJ in 2014 to over 20,000 PJ in 2060.</w:t>
      </w:r>
      <w:r w:rsidR="0078120E">
        <w:t xml:space="preserve"> </w:t>
      </w:r>
      <w:r w:rsidRPr="003F1AF9">
        <w:t>In the 2DS and B2DS scenarios</w:t>
      </w:r>
      <w:r w:rsidR="000A4E47">
        <w:t>,</w:t>
      </w:r>
      <w:r w:rsidRPr="003F1AF9">
        <w:t xml:space="preserve"> 2060 final energy consumption is reduced to 65% and 58%, respectively, of the 2060 RTS value due to improved building envelope and increased heat pump efficienc</w:t>
      </w:r>
      <w:r w:rsidR="000A4E47">
        <w:t>ies</w:t>
      </w:r>
      <w:r w:rsidRPr="003F1AF9">
        <w:t>.</w:t>
      </w:r>
      <w:r w:rsidR="0078120E">
        <w:t xml:space="preserve"> </w:t>
      </w:r>
      <w:r w:rsidRPr="003F1AF9">
        <w:t>CO</w:t>
      </w:r>
      <w:r w:rsidRPr="003F1AF9">
        <w:rPr>
          <w:vertAlign w:val="subscript"/>
        </w:rPr>
        <w:t>2</w:t>
      </w:r>
      <w:r w:rsidRPr="003F1AF9">
        <w:t xml:space="preserve"> emission reductions are even larger, with 2060 emissions only 32% and 23% of the 2060 RTS value.</w:t>
      </w:r>
      <w:r w:rsidR="0078120E">
        <w:t xml:space="preserve"> </w:t>
      </w:r>
      <w:r w:rsidRPr="003F1AF9">
        <w:t>There are three takeaways:</w:t>
      </w:r>
      <w:r w:rsidR="0078120E">
        <w:t xml:space="preserve"> </w:t>
      </w:r>
    </w:p>
    <w:p w14:paraId="20B34A73" w14:textId="626CD6F8" w:rsidR="00532271" w:rsidRPr="003F1AF9" w:rsidRDefault="00532271" w:rsidP="00532271">
      <w:pPr>
        <w:pStyle w:val="ListParagraph"/>
        <w:numPr>
          <w:ilvl w:val="0"/>
          <w:numId w:val="18"/>
        </w:numPr>
      </w:pPr>
      <w:r w:rsidRPr="003F1AF9">
        <w:t xml:space="preserve">High-efficiency heat pumps (along with building envelope improvements) </w:t>
      </w:r>
      <w:r w:rsidR="000A4E47">
        <w:t>are</w:t>
      </w:r>
      <w:r w:rsidRPr="003F1AF9">
        <w:t xml:space="preserve"> a major </w:t>
      </w:r>
      <w:r w:rsidR="000A4E47">
        <w:t>factor</w:t>
      </w:r>
      <w:r w:rsidR="000A4E47" w:rsidRPr="003F1AF9">
        <w:t xml:space="preserve"> </w:t>
      </w:r>
      <w:r w:rsidRPr="003F1AF9">
        <w:t>to reducing final energy consumption by 35% to 42% below 2060 RTS energy consumption in the 2DS and B2DS scenarios – despite greatly increased cooling demand.</w:t>
      </w:r>
      <w:r w:rsidR="0078120E">
        <w:t xml:space="preserve"> </w:t>
      </w:r>
    </w:p>
    <w:p w14:paraId="193BE93C" w14:textId="047FE4C7" w:rsidR="00532271" w:rsidRPr="003F1AF9" w:rsidRDefault="00532271" w:rsidP="00532271">
      <w:pPr>
        <w:pStyle w:val="ListParagraph"/>
        <w:numPr>
          <w:ilvl w:val="0"/>
          <w:numId w:val="18"/>
        </w:numPr>
      </w:pPr>
      <w:r w:rsidRPr="003F1AF9">
        <w:t>High adoption of HEHPs play a critical role in reducing 2060 GHG emissions by up to 77% from the 2060 RTS.</w:t>
      </w:r>
      <w:r w:rsidR="0078120E">
        <w:t xml:space="preserve"> </w:t>
      </w:r>
      <w:r w:rsidRPr="003F1AF9">
        <w:t>And B2DS 2060 CO</w:t>
      </w:r>
      <w:r w:rsidRPr="003F1AF9">
        <w:rPr>
          <w:vertAlign w:val="subscript"/>
        </w:rPr>
        <w:t xml:space="preserve">2 </w:t>
      </w:r>
      <w:r w:rsidRPr="003F1AF9">
        <w:t>emissions are only about 10% of 2014 emissions – despite a doubling in final energy demand.</w:t>
      </w:r>
      <w:r w:rsidR="0078120E">
        <w:t xml:space="preserve"> </w:t>
      </w:r>
    </w:p>
    <w:p w14:paraId="2A6F52E7" w14:textId="19E22B3B" w:rsidR="00532271" w:rsidRPr="003F1AF9" w:rsidRDefault="00532271" w:rsidP="00532271">
      <w:pPr>
        <w:pStyle w:val="ListParagraph"/>
        <w:numPr>
          <w:ilvl w:val="0"/>
          <w:numId w:val="18"/>
        </w:numPr>
      </w:pPr>
      <w:r w:rsidRPr="003F1AF9">
        <w:lastRenderedPageBreak/>
        <w:t>“Greening” the grid plays a critical role in reducing CO</w:t>
      </w:r>
      <w:r w:rsidRPr="003F1AF9">
        <w:rPr>
          <w:vertAlign w:val="subscript"/>
        </w:rPr>
        <w:t>2</w:t>
      </w:r>
      <w:r w:rsidRPr="003F1AF9">
        <w:t xml:space="preserve"> emissions.</w:t>
      </w:r>
      <w:r w:rsidR="0078120E">
        <w:t xml:space="preserve"> </w:t>
      </w:r>
      <w:r w:rsidRPr="003F1AF9">
        <w:t xml:space="preserve">This is clear from </w:t>
      </w:r>
      <w:r w:rsidR="008B5AFC" w:rsidRPr="003F1AF9">
        <w:fldChar w:fldCharType="begin"/>
      </w:r>
      <w:r w:rsidR="008B5AFC" w:rsidRPr="003F1AF9">
        <w:instrText xml:space="preserve"> REF _Ref2277514 \h </w:instrText>
      </w:r>
      <w:r w:rsidR="008B5AFC" w:rsidRPr="003F1AF9">
        <w:fldChar w:fldCharType="separate"/>
      </w:r>
      <w:r w:rsidR="00E60668" w:rsidRPr="003F1AF9">
        <w:t xml:space="preserve">Table </w:t>
      </w:r>
      <w:r w:rsidR="00E60668">
        <w:rPr>
          <w:noProof/>
        </w:rPr>
        <w:t>1</w:t>
      </w:r>
      <w:r w:rsidR="00E60668" w:rsidRPr="003F1AF9">
        <w:t>.</w:t>
      </w:r>
      <w:r w:rsidR="00E60668">
        <w:rPr>
          <w:noProof/>
        </w:rPr>
        <w:t>3</w:t>
      </w:r>
      <w:r w:rsidR="008B5AFC" w:rsidRPr="003F1AF9">
        <w:fldChar w:fldCharType="end"/>
      </w:r>
      <w:r w:rsidRPr="003F1AF9">
        <w:t xml:space="preserve"> since 2060 GHG emissions are reduced far more than final (electricity) energy consumption in the 2DS and B2DS scenarios.</w:t>
      </w:r>
      <w:r w:rsidR="0078120E">
        <w:t xml:space="preserve"> </w:t>
      </w:r>
    </w:p>
    <w:p w14:paraId="7412F6DD" w14:textId="241B1A77" w:rsidR="00DF021F" w:rsidRPr="003F1AF9" w:rsidRDefault="00532271" w:rsidP="00D125AA">
      <w:pPr>
        <w:pStyle w:val="Caption"/>
        <w:keepNext/>
        <w:jc w:val="center"/>
        <w:rPr>
          <w:vanish/>
          <w:specVanish/>
        </w:rPr>
      </w:pPr>
      <w:bookmarkStart w:id="303" w:name="_Ref2277528"/>
      <w:bookmarkStart w:id="304" w:name="_Toc42289746"/>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1</w:t>
      </w:r>
      <w:r w:rsidR="00C0437B" w:rsidRPr="003F1AF9">
        <w:rPr>
          <w:noProof/>
        </w:rPr>
        <w:fldChar w:fldCharType="end"/>
      </w:r>
      <w:r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4</w:t>
      </w:r>
      <w:r w:rsidR="00C0437B" w:rsidRPr="003F1AF9">
        <w:rPr>
          <w:noProof/>
        </w:rPr>
        <w:fldChar w:fldCharType="end"/>
      </w:r>
      <w:bookmarkEnd w:id="303"/>
      <w:r w:rsidRPr="003F1AF9">
        <w:t xml:space="preserve"> Space heating final energy consumption and CO2 emissions</w:t>
      </w:r>
      <w:bookmarkEnd w:id="304"/>
    </w:p>
    <w:p w14:paraId="0BCC32ED" w14:textId="16DB3F2A" w:rsidR="00532271" w:rsidRPr="003F1AF9" w:rsidRDefault="00532271" w:rsidP="00D125AA">
      <w:pPr>
        <w:pStyle w:val="Caption"/>
        <w:keepNext/>
        <w:jc w:val="center"/>
      </w:pPr>
      <w:r w:rsidRPr="003F1AF9">
        <w:t xml:space="preserve"> for 2014 and 2060 in IEA ETP RTS, 2DS, and B2DS</w:t>
      </w:r>
    </w:p>
    <w:tbl>
      <w:tblPr>
        <w:tblW w:w="9860" w:type="dxa"/>
        <w:tblInd w:w="93" w:type="dxa"/>
        <w:tblLayout w:type="fixed"/>
        <w:tblLook w:val="04A0" w:firstRow="1" w:lastRow="0" w:firstColumn="1" w:lastColumn="0" w:noHBand="0" w:noVBand="1"/>
      </w:tblPr>
      <w:tblGrid>
        <w:gridCol w:w="1625"/>
        <w:gridCol w:w="992"/>
        <w:gridCol w:w="993"/>
        <w:gridCol w:w="992"/>
        <w:gridCol w:w="993"/>
        <w:gridCol w:w="2105"/>
        <w:gridCol w:w="1080"/>
        <w:gridCol w:w="1080"/>
      </w:tblGrid>
      <w:tr w:rsidR="00532271" w:rsidRPr="003F1AF9" w14:paraId="52BB7A45" w14:textId="77777777" w:rsidTr="00532271">
        <w:trPr>
          <w:trHeight w:val="900"/>
        </w:trPr>
        <w:tc>
          <w:tcPr>
            <w:tcW w:w="1625"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33CA5AC2" w14:textId="77777777" w:rsidR="00532271" w:rsidRPr="003F1AF9" w:rsidRDefault="00532271"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Building Space Heating &amp; Water Heating</w:t>
            </w:r>
          </w:p>
        </w:tc>
        <w:tc>
          <w:tcPr>
            <w:tcW w:w="992"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750881D7" w14:textId="77777777" w:rsidR="00532271" w:rsidRPr="003F1AF9" w:rsidRDefault="00532271"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RTS 2014</w:t>
            </w:r>
          </w:p>
        </w:tc>
        <w:tc>
          <w:tcPr>
            <w:tcW w:w="993"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626A0C3D" w14:textId="77777777" w:rsidR="00532271" w:rsidRPr="003F1AF9" w:rsidRDefault="00532271"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RTS 2060</w:t>
            </w:r>
          </w:p>
        </w:tc>
        <w:tc>
          <w:tcPr>
            <w:tcW w:w="992"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19647906" w14:textId="77777777" w:rsidR="00532271" w:rsidRPr="003F1AF9" w:rsidRDefault="00532271"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2DS 2060</w:t>
            </w:r>
          </w:p>
        </w:tc>
        <w:tc>
          <w:tcPr>
            <w:tcW w:w="993"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3E838E22" w14:textId="77777777" w:rsidR="00532271" w:rsidRPr="003F1AF9" w:rsidRDefault="00532271"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B2DS 2060</w:t>
            </w:r>
          </w:p>
        </w:tc>
        <w:tc>
          <w:tcPr>
            <w:tcW w:w="2105"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57F0759B" w14:textId="77777777" w:rsidR="00532271" w:rsidRPr="003F1AF9" w:rsidRDefault="00532271"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 Relative Building Space Heating &amp; Water Heating</w:t>
            </w:r>
          </w:p>
        </w:tc>
        <w:tc>
          <w:tcPr>
            <w:tcW w:w="1080"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3EDCB18C" w14:textId="77777777" w:rsidR="00532271" w:rsidRPr="003F1AF9" w:rsidRDefault="00532271"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2DS 2060</w:t>
            </w:r>
          </w:p>
        </w:tc>
        <w:tc>
          <w:tcPr>
            <w:tcW w:w="1080"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33941377" w14:textId="77777777" w:rsidR="00532271" w:rsidRPr="003F1AF9" w:rsidRDefault="00532271" w:rsidP="00532271">
            <w:pPr>
              <w:spacing w:after="0" w:line="240" w:lineRule="auto"/>
              <w:jc w:val="center"/>
              <w:rPr>
                <w:rFonts w:eastAsia="Times New Roman" w:cs="Times New Roman"/>
                <w:b/>
                <w:color w:val="FFFFFF" w:themeColor="background1"/>
                <w:sz w:val="21"/>
                <w:szCs w:val="21"/>
                <w:lang w:eastAsia="en-US"/>
              </w:rPr>
            </w:pPr>
            <w:r w:rsidRPr="003F1AF9">
              <w:rPr>
                <w:rFonts w:eastAsia="Times New Roman" w:cs="Times New Roman"/>
                <w:b/>
                <w:color w:val="FFFFFF" w:themeColor="background1"/>
                <w:sz w:val="21"/>
                <w:szCs w:val="21"/>
                <w:lang w:eastAsia="en-US"/>
              </w:rPr>
              <w:t>B2DS 2060</w:t>
            </w:r>
          </w:p>
        </w:tc>
      </w:tr>
      <w:tr w:rsidR="00532271" w:rsidRPr="003F1AF9" w14:paraId="7F8DF716" w14:textId="77777777" w:rsidTr="00532271">
        <w:trPr>
          <w:trHeight w:val="900"/>
        </w:trPr>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4E9230" w14:textId="77777777"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Final Energy Consumption (PJ)</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B3592"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62,746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2FEBA"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61,773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2F380"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48,241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42561"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38,543</w:t>
            </w:r>
          </w:p>
        </w:tc>
        <w:tc>
          <w:tcPr>
            <w:tcW w:w="2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AD6B4" w14:textId="77777777"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Final Energy Consumption (% RTS 2060)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B706A"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78%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44EC0"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62%</w:t>
            </w:r>
          </w:p>
        </w:tc>
      </w:tr>
      <w:tr w:rsidR="00532271" w:rsidRPr="003F1AF9" w14:paraId="71CAC3BF" w14:textId="77777777" w:rsidTr="00532271">
        <w:trPr>
          <w:trHeight w:val="600"/>
        </w:trPr>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4CF0F2" w14:textId="77777777"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Heat Pump Adoption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42140"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C439A"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A635C"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19%</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C27001"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47%</w:t>
            </w:r>
          </w:p>
        </w:tc>
        <w:tc>
          <w:tcPr>
            <w:tcW w:w="2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F96F5" w14:textId="77777777"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Heat Pump Adoption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ED825"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19%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6E48E"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47%</w:t>
            </w:r>
          </w:p>
        </w:tc>
      </w:tr>
      <w:tr w:rsidR="00532271" w:rsidRPr="003F1AF9" w14:paraId="4E8E8A76" w14:textId="77777777" w:rsidTr="00532271">
        <w:trPr>
          <w:trHeight w:val="600"/>
        </w:trPr>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45E05" w14:textId="77777777"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Emissions (MtCO2)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791F3"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2,183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6F097"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1,420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8BE79"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 xml:space="preserve"> 750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01E45"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 xml:space="preserve"> 249</w:t>
            </w:r>
          </w:p>
        </w:tc>
        <w:tc>
          <w:tcPr>
            <w:tcW w:w="2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60FA3" w14:textId="77777777" w:rsidR="00532271" w:rsidRPr="003F1AF9" w:rsidRDefault="00532271" w:rsidP="00532271">
            <w:pPr>
              <w:spacing w:after="0" w:line="240" w:lineRule="auto"/>
              <w:jc w:val="left"/>
              <w:rPr>
                <w:rFonts w:eastAsia="Times New Roman" w:cs="Times New Roman"/>
                <w:sz w:val="21"/>
                <w:szCs w:val="21"/>
                <w:lang w:eastAsia="en-US"/>
              </w:rPr>
            </w:pPr>
            <w:r w:rsidRPr="003F1AF9">
              <w:rPr>
                <w:rFonts w:eastAsia="Times New Roman" w:cs="Times New Roman"/>
                <w:sz w:val="21"/>
                <w:szCs w:val="21"/>
                <w:lang w:eastAsia="en-US"/>
              </w:rPr>
              <w:t>Emissions (% RTS 2060)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2C07F"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53%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FB1A3" w14:textId="77777777" w:rsidR="00532271" w:rsidRPr="003F1AF9" w:rsidRDefault="00532271" w:rsidP="00532271">
            <w:pPr>
              <w:spacing w:after="0" w:line="240" w:lineRule="auto"/>
              <w:jc w:val="right"/>
              <w:rPr>
                <w:rFonts w:eastAsia="Times New Roman" w:cs="Times New Roman"/>
                <w:sz w:val="21"/>
                <w:szCs w:val="21"/>
                <w:lang w:eastAsia="en-US"/>
              </w:rPr>
            </w:pPr>
            <w:r w:rsidRPr="003F1AF9">
              <w:rPr>
                <w:rFonts w:eastAsia="Times New Roman" w:cs="Times New Roman"/>
                <w:sz w:val="21"/>
                <w:szCs w:val="21"/>
                <w:lang w:eastAsia="en-US"/>
              </w:rPr>
              <w:t>18%</w:t>
            </w:r>
          </w:p>
        </w:tc>
      </w:tr>
    </w:tbl>
    <w:p w14:paraId="4D62BF50" w14:textId="779442E0" w:rsidR="00532271" w:rsidRPr="003F1AF9" w:rsidRDefault="00532271" w:rsidP="00532271">
      <w:r w:rsidRPr="003F1AF9">
        <w:t>Source:</w:t>
      </w:r>
      <w:r w:rsidR="0078120E">
        <w:t xml:space="preserve"> </w:t>
      </w:r>
      <w:r w:rsidRPr="003F1AF9">
        <w:t>Calculation based on data from IEA ETP, 2017</w:t>
      </w:r>
    </w:p>
    <w:p w14:paraId="60522FDC" w14:textId="7192EAAE" w:rsidR="00532271" w:rsidRPr="003F1AF9" w:rsidRDefault="00532271" w:rsidP="00532271">
      <w:r w:rsidRPr="003F1AF9">
        <w:rPr>
          <w:b/>
        </w:rPr>
        <w:t>Space- and water-heating.</w:t>
      </w:r>
      <w:r w:rsidR="0078120E">
        <w:t xml:space="preserve"> </w:t>
      </w:r>
      <w:r w:rsidR="008B5AFC" w:rsidRPr="003F1AF9">
        <w:fldChar w:fldCharType="begin"/>
      </w:r>
      <w:r w:rsidR="008B5AFC" w:rsidRPr="003F1AF9">
        <w:instrText xml:space="preserve"> REF _Ref2277528 \h </w:instrText>
      </w:r>
      <w:r w:rsidR="008B5AFC" w:rsidRPr="003F1AF9">
        <w:fldChar w:fldCharType="separate"/>
      </w:r>
      <w:r w:rsidR="00E60668" w:rsidRPr="003F1AF9">
        <w:t xml:space="preserve">Table </w:t>
      </w:r>
      <w:r w:rsidR="00E60668">
        <w:rPr>
          <w:noProof/>
        </w:rPr>
        <w:t>1</w:t>
      </w:r>
      <w:r w:rsidR="00E60668" w:rsidRPr="003F1AF9">
        <w:t>.</w:t>
      </w:r>
      <w:r w:rsidR="00E60668">
        <w:rPr>
          <w:noProof/>
        </w:rPr>
        <w:t>4</w:t>
      </w:r>
      <w:r w:rsidR="008B5AFC" w:rsidRPr="003F1AF9">
        <w:fldChar w:fldCharType="end"/>
      </w:r>
      <w:r w:rsidRPr="003F1AF9">
        <w:t xml:space="preserve"> summarizes global combined space- and water-heating final energy consumption, electric heat pump adoption, and corresponding CO</w:t>
      </w:r>
      <w:r w:rsidRPr="003F1AF9">
        <w:rPr>
          <w:vertAlign w:val="subscript"/>
        </w:rPr>
        <w:t>2</w:t>
      </w:r>
      <w:r w:rsidRPr="003F1AF9">
        <w:t xml:space="preserve"> emission</w:t>
      </w:r>
      <w:r w:rsidR="00C73DD5" w:rsidRPr="003F1AF9">
        <w:t>s across IEA’s three scenarios</w:t>
      </w:r>
      <w:r w:rsidRPr="003F1AF9">
        <w:t>.</w:t>
      </w:r>
      <w:r w:rsidR="0078120E">
        <w:t xml:space="preserve"> </w:t>
      </w:r>
      <w:r w:rsidRPr="003F1AF9">
        <w:t>In IEA’s prognostication, heat pumps could increase their share of the installed building heating equipment base more than 15X, growing from 3% in 2014 to 7% in RTS 2060, to 19% in 2DS 2060, and to 47% in B2DS 2060.</w:t>
      </w:r>
      <w:r w:rsidR="0078120E">
        <w:t xml:space="preserve"> </w:t>
      </w:r>
      <w:r w:rsidRPr="003F1AF9">
        <w:t>For the most aggressive B2DS case, this lowers 2060 final energy consumption to 62% of the RTS 2060 value (which is similar to RTS 2014) and reduces 2060 CO2 emissions to only 18% of RTS 2060 (only 12% of 2014 emissions).</w:t>
      </w:r>
      <w:r w:rsidR="0078120E">
        <w:t xml:space="preserve"> </w:t>
      </w:r>
      <w:r w:rsidRPr="003F1AF9">
        <w:t>Important conclusions:</w:t>
      </w:r>
      <w:r w:rsidR="0078120E">
        <w:t xml:space="preserve"> </w:t>
      </w:r>
    </w:p>
    <w:p w14:paraId="4C02F5EB" w14:textId="7FFFDB2D" w:rsidR="00532271" w:rsidRPr="003F1AF9" w:rsidRDefault="00532271" w:rsidP="00532271">
      <w:pPr>
        <w:pStyle w:val="ListParagraph"/>
        <w:numPr>
          <w:ilvl w:val="0"/>
          <w:numId w:val="19"/>
        </w:numPr>
      </w:pPr>
      <w:r w:rsidRPr="003F1AF9">
        <w:t>High-efficiency heat pumps (along with building envelope improvements) play a major role in reducing building heating final energy consumption in the 2DS and B2DS scenarios.</w:t>
      </w:r>
      <w:r w:rsidR="0078120E">
        <w:t xml:space="preserve"> </w:t>
      </w:r>
    </w:p>
    <w:p w14:paraId="28A120E6" w14:textId="2A3BFEBA" w:rsidR="00532271" w:rsidRPr="003F1AF9" w:rsidRDefault="00532271" w:rsidP="00532271">
      <w:pPr>
        <w:pStyle w:val="ListParagraph"/>
        <w:numPr>
          <w:ilvl w:val="0"/>
          <w:numId w:val="19"/>
        </w:numPr>
      </w:pPr>
      <w:r w:rsidRPr="003F1AF9">
        <w:t>High adoption of HEHPs has a transformational impact on reducing GHG emissions that fossil-combustion space heating cannot match.</w:t>
      </w:r>
      <w:r w:rsidR="0078120E">
        <w:t xml:space="preserve"> </w:t>
      </w:r>
      <w:r w:rsidRPr="003F1AF9">
        <w:t>The 2DS scenario, which still contains extensive primary fossil fuel combustion (albeit “high efficiency”) has only 26% more energy consumption than B2DS, but almost 3X the CO</w:t>
      </w:r>
      <w:r w:rsidRPr="003F1AF9">
        <w:rPr>
          <w:vertAlign w:val="subscript"/>
        </w:rPr>
        <w:t>2</w:t>
      </w:r>
      <w:r w:rsidRPr="003F1AF9">
        <w:t xml:space="preserve"> emissions of B2DS (where building fossil fuel is eliminated) in 2060.</w:t>
      </w:r>
    </w:p>
    <w:p w14:paraId="4877D9F1" w14:textId="16BBE6A5" w:rsidR="00532271" w:rsidRPr="003F1AF9" w:rsidRDefault="00532271" w:rsidP="00532271">
      <w:pPr>
        <w:pStyle w:val="ListParagraph"/>
        <w:numPr>
          <w:ilvl w:val="0"/>
          <w:numId w:val="19"/>
        </w:numPr>
      </w:pPr>
      <w:r w:rsidRPr="003F1AF9">
        <w:t>As with space cooling, “greening” the grid plays an important role in reducing CO</w:t>
      </w:r>
      <w:r w:rsidRPr="003F1AF9">
        <w:rPr>
          <w:vertAlign w:val="subscript"/>
        </w:rPr>
        <w:t>2</w:t>
      </w:r>
      <w:r w:rsidRPr="003F1AF9">
        <w:t xml:space="preserve"> emissions.</w:t>
      </w:r>
      <w:r w:rsidR="0078120E">
        <w:t xml:space="preserve"> </w:t>
      </w:r>
      <w:r w:rsidRPr="003F1AF9">
        <w:t>This is clear since the reduction of 2060 GHG emissions between 2DS and B2DS (or between RTS and B2DS) is far greater than the final energy consumption reduction.</w:t>
      </w:r>
      <w:r w:rsidR="0078120E">
        <w:t xml:space="preserve"> </w:t>
      </w:r>
    </w:p>
    <w:p w14:paraId="020B8216" w14:textId="06A52222" w:rsidR="00532271" w:rsidRPr="003F1AF9" w:rsidRDefault="008B5AFC">
      <w:r w:rsidRPr="003F1AF9">
        <w:fldChar w:fldCharType="begin"/>
      </w:r>
      <w:r w:rsidRPr="003F1AF9">
        <w:instrText xml:space="preserve"> REF _Ref536182449 \h </w:instrText>
      </w:r>
      <w:r w:rsidRPr="003F1AF9">
        <w:fldChar w:fldCharType="separate"/>
      </w:r>
      <w:r w:rsidR="00E60668" w:rsidRPr="003F1AF9">
        <w:t xml:space="preserve">Table </w:t>
      </w:r>
      <w:r w:rsidR="00E60668">
        <w:rPr>
          <w:noProof/>
        </w:rPr>
        <w:t>1</w:t>
      </w:r>
      <w:r w:rsidR="00E60668" w:rsidRPr="003F1AF9">
        <w:t>.</w:t>
      </w:r>
      <w:r w:rsidR="00E60668">
        <w:rPr>
          <w:noProof/>
        </w:rPr>
        <w:t>5</w:t>
      </w:r>
      <w:r w:rsidRPr="003F1AF9">
        <w:fldChar w:fldCharType="end"/>
      </w:r>
      <w:r w:rsidRPr="003F1AF9">
        <w:t xml:space="preserve"> summarizes the adoption potential for high efficiency heat pumps.</w:t>
      </w:r>
      <w:r w:rsidR="0078120E">
        <w:t xml:space="preserve"> </w:t>
      </w:r>
      <w:r w:rsidRPr="003F1AF9">
        <w:t>IEA anticipates that heat pumps have the potential to grow to 47% of heating equipment building stock by 2060</w:t>
      </w:r>
      <w:r w:rsidR="000A4E47">
        <w:t>.</w:t>
      </w:r>
      <w:r w:rsidRPr="003F1AF9">
        <w:t xml:space="preserve"> </w:t>
      </w:r>
      <w:r w:rsidR="000A4E47">
        <w:t>E</w:t>
      </w:r>
      <w:r w:rsidRPr="003F1AF9">
        <w:t>lectrically</w:t>
      </w:r>
      <w:r w:rsidR="000A4E47">
        <w:t xml:space="preserve"> </w:t>
      </w:r>
      <w:r w:rsidRPr="003F1AF9">
        <w:t xml:space="preserve">driven </w:t>
      </w:r>
      <w:r w:rsidRPr="003F1AF9">
        <w:lastRenderedPageBreak/>
        <w:t>heat pumps will continue to provide virtually all space conditioning, though IEA anticipates some penetration of non-vapor compression cycles and gas-powered units.</w:t>
      </w:r>
      <w:r w:rsidR="0078120E">
        <w:t xml:space="preserve"> </w:t>
      </w:r>
    </w:p>
    <w:p w14:paraId="10DA333B" w14:textId="4C504FA2" w:rsidR="005110E8" w:rsidRPr="003F1AF9" w:rsidRDefault="005110E8" w:rsidP="00B11449">
      <w:pPr>
        <w:pStyle w:val="Caption"/>
        <w:keepNext/>
        <w:jc w:val="center"/>
      </w:pPr>
      <w:bookmarkStart w:id="305" w:name="_Ref536182449"/>
      <w:bookmarkStart w:id="306" w:name="_Toc42289747"/>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1</w:t>
      </w:r>
      <w:r w:rsidR="00C0437B" w:rsidRPr="003F1AF9">
        <w:rPr>
          <w:noProof/>
        </w:rPr>
        <w:fldChar w:fldCharType="end"/>
      </w:r>
      <w:r w:rsidR="00905204"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5</w:t>
      </w:r>
      <w:r w:rsidR="00C0437B" w:rsidRPr="003F1AF9">
        <w:rPr>
          <w:noProof/>
        </w:rPr>
        <w:fldChar w:fldCharType="end"/>
      </w:r>
      <w:bookmarkEnd w:id="305"/>
      <w:r w:rsidRPr="003F1AF9">
        <w:t xml:space="preserve"> Adoption Potential Summary for High-Efficiency Heat Pumps Using the B2DS Scenario</w:t>
      </w:r>
      <w:bookmarkEnd w:id="306"/>
      <w:r w:rsidRPr="003F1AF9">
        <w:t xml:space="preserve"> </w:t>
      </w:r>
    </w:p>
    <w:tbl>
      <w:tblPr>
        <w:tblStyle w:val="MediumGrid3-Accent5"/>
        <w:tblW w:w="9375" w:type="dxa"/>
        <w:jc w:val="center"/>
        <w:tblLook w:val="04A0" w:firstRow="1" w:lastRow="0" w:firstColumn="1" w:lastColumn="0" w:noHBand="0" w:noVBand="1"/>
      </w:tblPr>
      <w:tblGrid>
        <w:gridCol w:w="1687"/>
        <w:gridCol w:w="1407"/>
        <w:gridCol w:w="1407"/>
        <w:gridCol w:w="1485"/>
        <w:gridCol w:w="1904"/>
        <w:gridCol w:w="1485"/>
      </w:tblGrid>
      <w:tr w:rsidR="00873C16" w:rsidRPr="003F1AF9" w14:paraId="1F868A74" w14:textId="77777777" w:rsidTr="00D450A0">
        <w:trPr>
          <w:cnfStyle w:val="100000000000" w:firstRow="1" w:lastRow="0" w:firstColumn="0" w:lastColumn="0" w:oddVBand="0" w:evenVBand="0" w:oddHBand="0" w:evenHBand="0" w:firstRowFirstColumn="0" w:firstRowLastColumn="0" w:lastRowFirstColumn="0" w:lastRowLastColumn="0"/>
          <w:trHeight w:val="988"/>
          <w:jc w:val="center"/>
        </w:trPr>
        <w:tc>
          <w:tcPr>
            <w:cnfStyle w:val="001000000000" w:firstRow="0" w:lastRow="0" w:firstColumn="1" w:lastColumn="0" w:oddVBand="0" w:evenVBand="0" w:oddHBand="0" w:evenHBand="0" w:firstRowFirstColumn="0" w:firstRowLastColumn="0" w:lastRowFirstColumn="0" w:lastRowLastColumn="0"/>
            <w:tcW w:w="1687"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77F3FB9" w14:textId="3E86A4D7" w:rsidR="00873C16" w:rsidRPr="003F1AF9" w:rsidRDefault="00873C16" w:rsidP="00132E27">
            <w:pPr>
              <w:spacing w:after="0" w:line="240" w:lineRule="auto"/>
              <w:jc w:val="center"/>
              <w:rPr>
                <w:rFonts w:eastAsia="Times New Roman" w:cs="Times New Roman"/>
                <w:sz w:val="21"/>
                <w:szCs w:val="21"/>
                <w:lang w:eastAsia="en-US"/>
              </w:rPr>
            </w:pPr>
            <w:r w:rsidRPr="003F1AF9">
              <w:rPr>
                <w:rFonts w:eastAsia="Times New Roman" w:cs="Times New Roman"/>
                <w:sz w:val="21"/>
                <w:szCs w:val="21"/>
                <w:lang w:eastAsia="en-US"/>
              </w:rPr>
              <w:t>Building Application</w:t>
            </w:r>
          </w:p>
        </w:tc>
        <w:tc>
          <w:tcPr>
            <w:tcW w:w="1407"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17BC8B67" w14:textId="77777777" w:rsidR="00873C16" w:rsidRPr="003F1AF9" w:rsidRDefault="00873C16" w:rsidP="00132E2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2014 Heat Pump Adoption (%)</w:t>
            </w:r>
          </w:p>
        </w:tc>
        <w:tc>
          <w:tcPr>
            <w:tcW w:w="1407"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373CB72D" w14:textId="77777777" w:rsidR="00873C16" w:rsidRPr="003F1AF9" w:rsidRDefault="00873C16" w:rsidP="00132E2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B2DS 2060 Heat Pump Adoption (%)</w:t>
            </w:r>
          </w:p>
        </w:tc>
        <w:tc>
          <w:tcPr>
            <w:tcW w:w="1485"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2F4BFB23" w14:textId="2E832A84" w:rsidR="00873C16" w:rsidRPr="003F1AF9" w:rsidRDefault="00462171" w:rsidP="00132E2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 xml:space="preserve">2060 </w:t>
            </w:r>
            <w:r w:rsidR="00873C16" w:rsidRPr="003F1AF9">
              <w:rPr>
                <w:rFonts w:eastAsia="Times New Roman" w:cs="Times New Roman"/>
                <w:sz w:val="21"/>
                <w:szCs w:val="21"/>
                <w:lang w:eastAsia="en-US"/>
              </w:rPr>
              <w:t>Heat Pump Stock Efficiency</w:t>
            </w:r>
            <w:r w:rsidRPr="003F1AF9">
              <w:rPr>
                <w:rFonts w:eastAsia="Times New Roman" w:cs="Times New Roman"/>
                <w:sz w:val="21"/>
                <w:szCs w:val="21"/>
                <w:lang w:eastAsia="en-US"/>
              </w:rPr>
              <w:t xml:space="preserve"> (</w:t>
            </w:r>
            <w:proofErr w:type="spellStart"/>
            <w:r w:rsidRPr="003F1AF9">
              <w:rPr>
                <w:rFonts w:eastAsia="Times New Roman" w:cs="Times New Roman"/>
                <w:sz w:val="21"/>
                <w:szCs w:val="21"/>
                <w:lang w:eastAsia="en-US"/>
              </w:rPr>
              <w:t>Wh</w:t>
            </w:r>
            <w:proofErr w:type="spellEnd"/>
            <w:r w:rsidRPr="003F1AF9">
              <w:rPr>
                <w:rFonts w:eastAsia="Times New Roman" w:cs="Times New Roman"/>
                <w:sz w:val="21"/>
                <w:szCs w:val="21"/>
                <w:lang w:eastAsia="en-US"/>
              </w:rPr>
              <w:t>/</w:t>
            </w:r>
            <w:proofErr w:type="spellStart"/>
            <w:r w:rsidRPr="003F1AF9">
              <w:rPr>
                <w:rFonts w:eastAsia="Times New Roman" w:cs="Times New Roman"/>
                <w:sz w:val="21"/>
                <w:szCs w:val="21"/>
                <w:lang w:eastAsia="en-US"/>
              </w:rPr>
              <w:t>Wh</w:t>
            </w:r>
            <w:proofErr w:type="spellEnd"/>
            <w:r w:rsidRPr="003F1AF9">
              <w:rPr>
                <w:rFonts w:eastAsia="Times New Roman" w:cs="Times New Roman"/>
                <w:sz w:val="21"/>
                <w:szCs w:val="21"/>
                <w:lang w:eastAsia="en-US"/>
              </w:rPr>
              <w:t>)</w:t>
            </w:r>
          </w:p>
        </w:tc>
        <w:tc>
          <w:tcPr>
            <w:tcW w:w="1904"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10EE33A0" w14:textId="77777777" w:rsidR="00873C16" w:rsidRPr="003F1AF9" w:rsidRDefault="00873C16" w:rsidP="00132E2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Final Energy Consumption (% RTS 2060)</w:t>
            </w:r>
          </w:p>
        </w:tc>
        <w:tc>
          <w:tcPr>
            <w:tcW w:w="1485"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4642820E" w14:textId="5428F56D" w:rsidR="00873C16" w:rsidRPr="003F1AF9" w:rsidRDefault="00873C16" w:rsidP="00132E2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GHG Emissions</w:t>
            </w:r>
          </w:p>
          <w:p w14:paraId="1D3F46A9" w14:textId="008431B9" w:rsidR="00873C16" w:rsidRPr="003F1AF9" w:rsidRDefault="00873C16" w:rsidP="00132E2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 RTS 2060)</w:t>
            </w:r>
          </w:p>
        </w:tc>
      </w:tr>
      <w:tr w:rsidR="00873C16" w:rsidRPr="003F1AF9" w14:paraId="74718871" w14:textId="77777777" w:rsidTr="00D450A0">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A3B71" w14:textId="77777777" w:rsidR="00873C16" w:rsidRPr="003F1AF9" w:rsidRDefault="00873C16" w:rsidP="00132E27">
            <w:pPr>
              <w:spacing w:after="0" w:line="240" w:lineRule="auto"/>
              <w:jc w:val="center"/>
              <w:rPr>
                <w:rFonts w:eastAsia="Times New Roman" w:cs="Times New Roman"/>
                <w:b w:val="0"/>
                <w:color w:val="auto"/>
                <w:sz w:val="21"/>
                <w:szCs w:val="21"/>
                <w:lang w:eastAsia="en-US"/>
              </w:rPr>
            </w:pPr>
            <w:r w:rsidRPr="003F1AF9">
              <w:rPr>
                <w:rFonts w:eastAsia="Times New Roman" w:cs="Times New Roman"/>
                <w:color w:val="auto"/>
                <w:sz w:val="21"/>
                <w:szCs w:val="21"/>
                <w:lang w:eastAsia="en-US"/>
              </w:rPr>
              <w:t>Space Heating &amp; Water Heating</w:t>
            </w: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71379" w14:textId="77777777" w:rsidR="00873C16" w:rsidRPr="003F1AF9" w:rsidRDefault="00873C16" w:rsidP="00132E2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3%</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C2F659" w14:textId="77777777" w:rsidR="00873C16" w:rsidRPr="003F1AF9" w:rsidRDefault="00873C16" w:rsidP="00132E2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47%</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1BC07" w14:textId="7902E8F6" w:rsidR="00873C16" w:rsidRPr="003F1AF9" w:rsidRDefault="00873C16" w:rsidP="00132E2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 xml:space="preserve">4.0 to 4.5 </w:t>
            </w:r>
            <w:proofErr w:type="spellStart"/>
            <w:r w:rsidR="00462171" w:rsidRPr="003F1AF9">
              <w:rPr>
                <w:rFonts w:eastAsia="Times New Roman" w:cs="Times New Roman"/>
                <w:sz w:val="21"/>
                <w:szCs w:val="21"/>
                <w:lang w:eastAsia="en-US"/>
              </w:rPr>
              <w:t>Wh</w:t>
            </w:r>
            <w:proofErr w:type="spellEnd"/>
            <w:r w:rsidR="00462171" w:rsidRPr="003F1AF9">
              <w:rPr>
                <w:rFonts w:eastAsia="Times New Roman" w:cs="Times New Roman"/>
                <w:sz w:val="21"/>
                <w:szCs w:val="21"/>
                <w:lang w:eastAsia="en-US"/>
              </w:rPr>
              <w:t>/</w:t>
            </w:r>
            <w:proofErr w:type="spellStart"/>
            <w:r w:rsidR="00462171" w:rsidRPr="003F1AF9">
              <w:rPr>
                <w:rFonts w:eastAsia="Times New Roman" w:cs="Times New Roman"/>
                <w:sz w:val="21"/>
                <w:szCs w:val="21"/>
                <w:lang w:eastAsia="en-US"/>
              </w:rPr>
              <w:t>Wh</w:t>
            </w:r>
            <w:proofErr w:type="spellEnd"/>
            <w:r w:rsidR="00462171" w:rsidRPr="003F1AF9">
              <w:rPr>
                <w:rFonts w:eastAsia="Times New Roman" w:cs="Times New Roman"/>
                <w:sz w:val="21"/>
                <w:szCs w:val="21"/>
                <w:lang w:eastAsia="en-US"/>
              </w:rPr>
              <w:t xml:space="preserve"> </w:t>
            </w:r>
            <w:r w:rsidRPr="003F1AF9">
              <w:rPr>
                <w:rFonts w:eastAsia="Times New Roman" w:cs="Times New Roman"/>
                <w:sz w:val="21"/>
                <w:szCs w:val="21"/>
                <w:lang w:eastAsia="en-US"/>
              </w:rPr>
              <w:t>SCOP</w:t>
            </w:r>
          </w:p>
        </w:tc>
        <w:tc>
          <w:tcPr>
            <w:tcW w:w="19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473095" w14:textId="77777777" w:rsidR="00873C16" w:rsidRPr="003F1AF9" w:rsidRDefault="00873C16" w:rsidP="00132E2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62%</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1FAE60" w14:textId="77777777" w:rsidR="00873C16" w:rsidRPr="003F1AF9" w:rsidRDefault="00873C16" w:rsidP="00132E2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18%</w:t>
            </w:r>
          </w:p>
        </w:tc>
      </w:tr>
      <w:tr w:rsidR="00873C16" w:rsidRPr="003F1AF9" w14:paraId="1BE6F332" w14:textId="77777777" w:rsidTr="00D450A0">
        <w:trPr>
          <w:trHeight w:val="600"/>
          <w:jc w:val="center"/>
        </w:trPr>
        <w:tc>
          <w:tcPr>
            <w:cnfStyle w:val="001000000000" w:firstRow="0" w:lastRow="0" w:firstColumn="1" w:lastColumn="0" w:oddVBand="0" w:evenVBand="0" w:oddHBand="0" w:evenHBand="0" w:firstRowFirstColumn="0" w:firstRowLastColumn="0" w:lastRowFirstColumn="0" w:lastRowLastColumn="0"/>
            <w:tcW w:w="16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C42A6" w14:textId="77777777" w:rsidR="00873C16" w:rsidRPr="003F1AF9" w:rsidRDefault="00873C16" w:rsidP="00132E27">
            <w:pPr>
              <w:spacing w:after="0" w:line="240" w:lineRule="auto"/>
              <w:jc w:val="center"/>
              <w:rPr>
                <w:rFonts w:eastAsia="Times New Roman" w:cs="Times New Roman"/>
                <w:b w:val="0"/>
                <w:color w:val="auto"/>
                <w:sz w:val="21"/>
                <w:szCs w:val="21"/>
                <w:lang w:eastAsia="en-US"/>
              </w:rPr>
            </w:pPr>
            <w:r w:rsidRPr="003F1AF9">
              <w:rPr>
                <w:rFonts w:eastAsia="Times New Roman" w:cs="Times New Roman"/>
                <w:color w:val="auto"/>
                <w:sz w:val="21"/>
                <w:szCs w:val="21"/>
                <w:lang w:eastAsia="en-US"/>
              </w:rPr>
              <w:t>Space Cooling</w:t>
            </w:r>
          </w:p>
        </w:tc>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5ADDA" w14:textId="77777777" w:rsidR="00873C16" w:rsidRPr="003F1AF9" w:rsidRDefault="00873C16" w:rsidP="00132E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95%+</w:t>
            </w:r>
          </w:p>
        </w:tc>
        <w:tc>
          <w:tcPr>
            <w:tcW w:w="14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B4BFB" w14:textId="77777777" w:rsidR="00873C16" w:rsidRPr="003F1AF9" w:rsidRDefault="00873C16" w:rsidP="00132E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95%+</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E901C" w14:textId="7FB00B7E" w:rsidR="00873C16" w:rsidRPr="003F1AF9" w:rsidRDefault="002929B9" w:rsidP="00132E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 xml:space="preserve">8.0 to 9.0 </w:t>
            </w:r>
            <w:proofErr w:type="spellStart"/>
            <w:r w:rsidR="00462171" w:rsidRPr="003F1AF9">
              <w:rPr>
                <w:rFonts w:eastAsia="Times New Roman" w:cs="Times New Roman"/>
                <w:sz w:val="21"/>
                <w:szCs w:val="21"/>
                <w:lang w:eastAsia="en-US"/>
              </w:rPr>
              <w:t>Wh</w:t>
            </w:r>
            <w:proofErr w:type="spellEnd"/>
            <w:r w:rsidR="00462171" w:rsidRPr="003F1AF9">
              <w:rPr>
                <w:rFonts w:eastAsia="Times New Roman" w:cs="Times New Roman"/>
                <w:sz w:val="21"/>
                <w:szCs w:val="21"/>
                <w:lang w:eastAsia="en-US"/>
              </w:rPr>
              <w:t>/</w:t>
            </w:r>
            <w:proofErr w:type="spellStart"/>
            <w:r w:rsidR="00462171" w:rsidRPr="003F1AF9">
              <w:rPr>
                <w:rFonts w:eastAsia="Times New Roman" w:cs="Times New Roman"/>
                <w:sz w:val="21"/>
                <w:szCs w:val="21"/>
                <w:lang w:eastAsia="en-US"/>
              </w:rPr>
              <w:t>Wh</w:t>
            </w:r>
            <w:proofErr w:type="spellEnd"/>
            <w:r w:rsidR="00462171" w:rsidRPr="003F1AF9">
              <w:rPr>
                <w:rFonts w:eastAsia="Times New Roman" w:cs="Times New Roman"/>
                <w:sz w:val="21"/>
                <w:szCs w:val="21"/>
                <w:lang w:eastAsia="en-US"/>
              </w:rPr>
              <w:t xml:space="preserve"> </w:t>
            </w:r>
            <w:r w:rsidR="00873C16" w:rsidRPr="003F1AF9">
              <w:rPr>
                <w:rFonts w:eastAsia="Times New Roman" w:cs="Times New Roman"/>
                <w:sz w:val="21"/>
                <w:szCs w:val="21"/>
                <w:lang w:eastAsia="en-US"/>
              </w:rPr>
              <w:t>SEER</w:t>
            </w:r>
          </w:p>
        </w:tc>
        <w:tc>
          <w:tcPr>
            <w:tcW w:w="19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DB574A" w14:textId="77777777" w:rsidR="00873C16" w:rsidRPr="003F1AF9" w:rsidRDefault="00873C16" w:rsidP="00132E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58%</w:t>
            </w:r>
          </w:p>
        </w:tc>
        <w:tc>
          <w:tcPr>
            <w:tcW w:w="14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B098EA" w14:textId="77777777" w:rsidR="00873C16" w:rsidRPr="003F1AF9" w:rsidRDefault="00873C16" w:rsidP="00132E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23%</w:t>
            </w:r>
          </w:p>
        </w:tc>
      </w:tr>
    </w:tbl>
    <w:p w14:paraId="68C917F8" w14:textId="43131C54" w:rsidR="00873C16" w:rsidRPr="00C674A8" w:rsidRDefault="009314BF" w:rsidP="00D450A0">
      <w:pPr>
        <w:pStyle w:val="NoSpacing"/>
        <w:rPr>
          <w:rFonts w:ascii="Times New Roman" w:hAnsi="Times New Roman" w:cs="Times New Roman"/>
          <w:sz w:val="20"/>
        </w:rPr>
      </w:pPr>
      <w:r w:rsidRPr="00C674A8">
        <w:rPr>
          <w:rFonts w:ascii="Times New Roman" w:hAnsi="Times New Roman" w:cs="Times New Roman"/>
          <w:sz w:val="20"/>
        </w:rPr>
        <w:t>Source:</w:t>
      </w:r>
      <w:r w:rsidR="0078120E">
        <w:rPr>
          <w:rFonts w:ascii="Times New Roman" w:hAnsi="Times New Roman" w:cs="Times New Roman"/>
          <w:sz w:val="20"/>
        </w:rPr>
        <w:t xml:space="preserve"> </w:t>
      </w:r>
      <w:r w:rsidRPr="00C674A8">
        <w:rPr>
          <w:rFonts w:ascii="Times New Roman" w:hAnsi="Times New Roman" w:cs="Times New Roman"/>
          <w:sz w:val="20"/>
        </w:rPr>
        <w:t>Based on data from IEA ETP, 2017; IEA Future of Cooling, p. 67 “Efficient Cooling Scenario”, 2018</w:t>
      </w:r>
    </w:p>
    <w:p w14:paraId="51369186" w14:textId="77777777" w:rsidR="009314BF" w:rsidRPr="003F1AF9" w:rsidRDefault="009314BF" w:rsidP="00061EF1"/>
    <w:p w14:paraId="7E8E3D6C" w14:textId="3E2BCF79" w:rsidR="002D331B" w:rsidRPr="003F1AF9" w:rsidRDefault="001E11CB" w:rsidP="00E44D5C">
      <w:r w:rsidRPr="003F1AF9">
        <w:t>In 2060</w:t>
      </w:r>
      <w:r w:rsidR="000A4E47">
        <w:t>,</w:t>
      </w:r>
      <w:r w:rsidRPr="003F1AF9">
        <w:t xml:space="preserve"> </w:t>
      </w:r>
      <w:r w:rsidR="00462171" w:rsidRPr="003F1AF9">
        <w:t xml:space="preserve">IEA forecasts that </w:t>
      </w:r>
      <w:r w:rsidRPr="003F1AF9">
        <w:t xml:space="preserve">virtually all </w:t>
      </w:r>
      <w:r w:rsidR="00D164DA" w:rsidRPr="003F1AF9">
        <w:t xml:space="preserve">new </w:t>
      </w:r>
      <w:r w:rsidR="00061EF1" w:rsidRPr="003F1AF9">
        <w:t xml:space="preserve">heat pumps </w:t>
      </w:r>
      <w:r w:rsidR="00462171" w:rsidRPr="003F1AF9">
        <w:t>will</w:t>
      </w:r>
      <w:r w:rsidR="00061EF1" w:rsidRPr="003F1AF9">
        <w:t xml:space="preserve"> be high efficiency, with heating seasonal efficiencies on the range of 4.0 to 4.5 SCOP and cooling seasonal efficiencies of </w:t>
      </w:r>
      <w:r w:rsidR="00304036" w:rsidRPr="003F1AF9">
        <w:t>8</w:t>
      </w:r>
      <w:r w:rsidR="00061EF1" w:rsidRPr="003F1AF9">
        <w:t xml:space="preserve"> to </w:t>
      </w:r>
      <w:r w:rsidR="00304036" w:rsidRPr="003F1AF9">
        <w:t>9</w:t>
      </w:r>
      <w:r w:rsidR="00061EF1" w:rsidRPr="003F1AF9">
        <w:t xml:space="preserve"> SEER</w:t>
      </w:r>
      <w:r w:rsidRPr="003F1AF9">
        <w:t>.</w:t>
      </w:r>
      <w:r w:rsidR="0078120E">
        <w:t xml:space="preserve"> </w:t>
      </w:r>
      <w:r w:rsidRPr="003F1AF9">
        <w:t xml:space="preserve">These ranges are higher than </w:t>
      </w:r>
      <w:r w:rsidR="00ED34E3" w:rsidRPr="003F1AF9">
        <w:t xml:space="preserve">the </w:t>
      </w:r>
      <w:r w:rsidRPr="003F1AF9">
        <w:t xml:space="preserve">definition of </w:t>
      </w:r>
      <w:r w:rsidR="007529A9" w:rsidRPr="003F1AF9">
        <w:t>“high efficiency”</w:t>
      </w:r>
      <w:r w:rsidRPr="003F1AF9">
        <w:t xml:space="preserve"> </w:t>
      </w:r>
      <w:r w:rsidR="00ED34E3" w:rsidRPr="003F1AF9">
        <w:t xml:space="preserve">used in this report </w:t>
      </w:r>
      <w:r w:rsidRPr="003F1AF9">
        <w:t>(3.5 heating SCOP and 5.9 cooling SEER) but are consistent with the highest efficiency heat pumps available today.</w:t>
      </w:r>
      <w:r w:rsidR="0078120E">
        <w:t xml:space="preserve"> </w:t>
      </w:r>
      <w:r w:rsidRPr="003F1AF9">
        <w:t>So,</w:t>
      </w:r>
      <w:r w:rsidR="002D331B" w:rsidRPr="003F1AF9">
        <w:t xml:space="preserve"> achieving the potential forecast for HEHPs</w:t>
      </w:r>
      <w:r w:rsidR="007529A9" w:rsidRPr="003F1AF9">
        <w:t xml:space="preserve"> even 40 years in the future</w:t>
      </w:r>
      <w:r w:rsidR="002D331B" w:rsidRPr="003F1AF9">
        <w:t xml:space="preserve"> involves </w:t>
      </w:r>
      <w:r w:rsidR="002D331B" w:rsidRPr="003F1AF9">
        <w:rPr>
          <w:i/>
        </w:rPr>
        <w:t>application</w:t>
      </w:r>
      <w:r w:rsidR="002D331B" w:rsidRPr="003F1AF9">
        <w:t xml:space="preserve"> of technology that already exists, not development of new technology.</w:t>
      </w:r>
      <w:r w:rsidR="0078120E">
        <w:t xml:space="preserve"> </w:t>
      </w:r>
    </w:p>
    <w:p w14:paraId="194BD0CF" w14:textId="453111F0" w:rsidR="00E44D5C" w:rsidRPr="003F1AF9" w:rsidRDefault="00C73DD5" w:rsidP="00E44D5C">
      <w:r w:rsidRPr="003F1AF9">
        <w:t xml:space="preserve">IEA’s </w:t>
      </w:r>
      <w:r w:rsidR="001E11CB" w:rsidRPr="003F1AF9">
        <w:t xml:space="preserve">result </w:t>
      </w:r>
      <w:r w:rsidR="002D331B" w:rsidRPr="003F1AF9">
        <w:t>for</w:t>
      </w:r>
      <w:r w:rsidR="001E11CB" w:rsidRPr="003F1AF9">
        <w:t xml:space="preserve"> both </w:t>
      </w:r>
      <w:r w:rsidR="002D331B" w:rsidRPr="003F1AF9">
        <w:t>heating and cooling</w:t>
      </w:r>
      <w:r w:rsidR="001E11CB" w:rsidRPr="003F1AF9">
        <w:t xml:space="preserve"> i</w:t>
      </w:r>
      <w:r w:rsidR="00C674A8">
        <w:t>n</w:t>
      </w:r>
      <w:r w:rsidR="001E11CB" w:rsidRPr="003F1AF9">
        <w:t xml:space="preserve"> 2060 </w:t>
      </w:r>
      <w:r w:rsidR="00C674A8">
        <w:t xml:space="preserve">show final </w:t>
      </w:r>
      <w:r w:rsidR="001E11CB" w:rsidRPr="003F1AF9">
        <w:t xml:space="preserve">energy consumption </w:t>
      </w:r>
      <w:r w:rsidR="00C674A8">
        <w:t>around</w:t>
      </w:r>
      <w:r w:rsidR="001E11CB" w:rsidRPr="003F1AF9">
        <w:t xml:space="preserve"> 40% below the 2060 reference case and GHG emissions about 80% below the </w:t>
      </w:r>
      <w:r w:rsidR="00C47563" w:rsidRPr="003F1AF9">
        <w:t xml:space="preserve">2060 reference case. </w:t>
      </w:r>
    </w:p>
    <w:p w14:paraId="3AC935C2" w14:textId="127A28DC" w:rsidR="00DF1480" w:rsidRPr="003F1AF9" w:rsidRDefault="00C47563" w:rsidP="00B11449">
      <w:pPr>
        <w:rPr>
          <w:rFonts w:asciiTheme="majorHAnsi" w:eastAsiaTheme="majorEastAsia" w:hAnsiTheme="majorHAnsi" w:cstheme="majorBidi"/>
          <w:b/>
          <w:bCs/>
          <w:smallCaps/>
          <w:color w:val="365F91" w:themeColor="accent1" w:themeShade="BF"/>
          <w:sz w:val="28"/>
          <w:szCs w:val="28"/>
        </w:rPr>
      </w:pPr>
      <w:r w:rsidRPr="003F1AF9">
        <w:t xml:space="preserve">This result is </w:t>
      </w:r>
      <w:r w:rsidR="008E5CD2" w:rsidRPr="003F1AF9">
        <w:t xml:space="preserve">reasonably </w:t>
      </w:r>
      <w:r w:rsidRPr="003F1AF9">
        <w:t xml:space="preserve">consistent with other </w:t>
      </w:r>
      <w:r w:rsidR="00933894" w:rsidRPr="003F1AF9">
        <w:t xml:space="preserve">earlier and </w:t>
      </w:r>
      <w:r w:rsidRPr="003F1AF9">
        <w:t>higher-level forecasts of building energy efficiency.</w:t>
      </w:r>
      <w:r w:rsidR="0078120E">
        <w:t xml:space="preserve"> </w:t>
      </w:r>
      <w:r w:rsidRPr="003F1AF9">
        <w:t>Urge-</w:t>
      </w:r>
      <w:proofErr w:type="spellStart"/>
      <w:r w:rsidRPr="003F1AF9">
        <w:t>Vorsatz</w:t>
      </w:r>
      <w:proofErr w:type="spellEnd"/>
      <w:r w:rsidRPr="003F1AF9">
        <w:t xml:space="preserve"> et al</w:t>
      </w:r>
      <w:r w:rsidR="000C53EC">
        <w:t>.</w:t>
      </w:r>
      <w:r w:rsidR="00C674A8">
        <w:t xml:space="preserve"> (2012)</w:t>
      </w:r>
      <w:r w:rsidRPr="003F1AF9">
        <w:t xml:space="preserve"> in their “Deep Efficiency” scenario found a 34% reduction in building HVAC energy use between 2005 and 2050, </w:t>
      </w:r>
      <w:r w:rsidR="000C53EC">
        <w:t xml:space="preserve">which is </w:t>
      </w:r>
      <w:r w:rsidRPr="003F1AF9">
        <w:t xml:space="preserve">pretty </w:t>
      </w:r>
      <w:r w:rsidR="008E5CD2" w:rsidRPr="003F1AF9">
        <w:t xml:space="preserve">consistent </w:t>
      </w:r>
      <w:r w:rsidRPr="003F1AF9">
        <w:t>with IEA ETP results</w:t>
      </w:r>
      <w:r w:rsidR="008E5CD2" w:rsidRPr="003F1AF9">
        <w:t xml:space="preserve"> for that timeframe</w:t>
      </w:r>
      <w:r w:rsidRPr="003F1AF9">
        <w:t>.</w:t>
      </w:r>
      <w:r w:rsidR="0078120E">
        <w:t xml:space="preserve"> </w:t>
      </w:r>
      <w:r w:rsidR="008E5CD2" w:rsidRPr="003F1AF9">
        <w:t>In their Global Energy Assessment, the International Institute for Applied Systems Analysis demonstrated that</w:t>
      </w:r>
      <w:r w:rsidR="00933894" w:rsidRPr="003F1AF9">
        <w:t>,</w:t>
      </w:r>
      <w:r w:rsidR="008E5CD2" w:rsidRPr="003F1AF9">
        <w:t xml:space="preserve"> </w:t>
      </w:r>
      <w:r w:rsidR="00933894" w:rsidRPr="003F1AF9">
        <w:t xml:space="preserve">with a somewhat more aggressive implementation of state-of-the-art building performance levels, </w:t>
      </w:r>
      <w:r w:rsidR="008E5CD2" w:rsidRPr="003F1AF9">
        <w:t xml:space="preserve">a reduction of roughly 46% of 2005 global heating and cooling final energy use is possible by 2050 </w:t>
      </w:r>
      <w:r w:rsidR="00933894" w:rsidRPr="003F1AF9">
        <w:t>(IIASA GEA, 2012)</w:t>
      </w:r>
      <w:r w:rsidR="000C53EC">
        <w:t>.</w:t>
      </w:r>
      <w:r w:rsidR="0078120E">
        <w:t xml:space="preserve"> </w:t>
      </w:r>
    </w:p>
    <w:p w14:paraId="53E5803F" w14:textId="53EF72C7" w:rsidR="00260599" w:rsidRPr="003F1AF9" w:rsidRDefault="00260599">
      <w:pPr>
        <w:pStyle w:val="Heading2"/>
      </w:pPr>
      <w:bookmarkStart w:id="307" w:name="_Toc526981539"/>
      <w:bookmarkStart w:id="308" w:name="_Toc42289710"/>
      <w:r w:rsidRPr="003F1AF9">
        <w:t>Advantages and disadvantages of</w:t>
      </w:r>
      <w:bookmarkEnd w:id="307"/>
      <w:r w:rsidRPr="003F1AF9">
        <w:t xml:space="preserve"> High-Efficiency Heat Pumps</w:t>
      </w:r>
      <w:bookmarkEnd w:id="308"/>
    </w:p>
    <w:p w14:paraId="2675D54B" w14:textId="77777777" w:rsidR="00260599" w:rsidRPr="003F1AF9" w:rsidRDefault="00260599">
      <w:pPr>
        <w:pStyle w:val="Heading3"/>
      </w:pPr>
      <w:bookmarkStart w:id="309" w:name="_Toc526981540"/>
      <w:bookmarkStart w:id="310" w:name="_Toc42289711"/>
      <w:r w:rsidRPr="003F1AF9">
        <w:t>Similar Solutions</w:t>
      </w:r>
      <w:bookmarkEnd w:id="309"/>
      <w:bookmarkEnd w:id="310"/>
    </w:p>
    <w:p w14:paraId="4B7E1885" w14:textId="737E38F1" w:rsidR="00CB0DC9" w:rsidRPr="003F1AF9" w:rsidRDefault="00B35A81" w:rsidP="00132E27">
      <w:r w:rsidRPr="003F1AF9">
        <w:t>HEHPs represent the only scalable a</w:t>
      </w:r>
      <w:r w:rsidR="00462171" w:rsidRPr="003F1AF9">
        <w:t>nd commercially</w:t>
      </w:r>
      <w:r w:rsidR="000C53EC">
        <w:t xml:space="preserve"> </w:t>
      </w:r>
      <w:r w:rsidRPr="003F1AF9">
        <w:t xml:space="preserve">proven </w:t>
      </w:r>
      <w:r w:rsidR="00CB0DC9" w:rsidRPr="003F1AF9">
        <w:t xml:space="preserve">in-building </w:t>
      </w:r>
      <w:r w:rsidRPr="003F1AF9">
        <w:t>solution for reducing space heating and cooling GHG emissions for the next several decades.</w:t>
      </w:r>
      <w:r w:rsidR="0078120E">
        <w:t xml:space="preserve"> </w:t>
      </w:r>
    </w:p>
    <w:p w14:paraId="5F63C7BE" w14:textId="5DCA9C67" w:rsidR="00DF1480" w:rsidRPr="003F1AF9" w:rsidRDefault="00260599" w:rsidP="00132E27">
      <w:r w:rsidRPr="003F1AF9">
        <w:lastRenderedPageBreak/>
        <w:t>Major c</w:t>
      </w:r>
      <w:r w:rsidR="00DF1480" w:rsidRPr="003F1AF9">
        <w:t>ompeting solutions to high-efficiency heat pumps include:</w:t>
      </w:r>
    </w:p>
    <w:p w14:paraId="438204D2" w14:textId="2303B7A1" w:rsidR="00DF1480" w:rsidRPr="003F1AF9" w:rsidRDefault="00DF1480" w:rsidP="00F436B3">
      <w:pPr>
        <w:pStyle w:val="ListParagraph"/>
        <w:numPr>
          <w:ilvl w:val="0"/>
          <w:numId w:val="22"/>
        </w:numPr>
      </w:pPr>
      <w:r w:rsidRPr="003F1AF9">
        <w:t>Fossil fuel combustion furnaces and boilers</w:t>
      </w:r>
      <w:r w:rsidR="00462171" w:rsidRPr="003F1AF9">
        <w:t xml:space="preserve"> for space heating</w:t>
      </w:r>
    </w:p>
    <w:p w14:paraId="52BC3EEA" w14:textId="1AC68801" w:rsidR="00EC7288" w:rsidRPr="003F1AF9" w:rsidRDefault="00EC7288" w:rsidP="00F436B3">
      <w:pPr>
        <w:pStyle w:val="ListParagraph"/>
        <w:numPr>
          <w:ilvl w:val="0"/>
          <w:numId w:val="22"/>
        </w:numPr>
      </w:pPr>
      <w:r w:rsidRPr="003F1AF9">
        <w:t>Electric resistance heating</w:t>
      </w:r>
    </w:p>
    <w:p w14:paraId="667EE3DD" w14:textId="07162089" w:rsidR="00DF1480" w:rsidRPr="003F1AF9" w:rsidRDefault="00DF1480" w:rsidP="00F436B3">
      <w:pPr>
        <w:pStyle w:val="ListParagraph"/>
        <w:numPr>
          <w:ilvl w:val="0"/>
          <w:numId w:val="22"/>
        </w:numPr>
      </w:pPr>
      <w:r w:rsidRPr="003F1AF9">
        <w:t>Fossil fuel-driven heat pumps</w:t>
      </w:r>
    </w:p>
    <w:p w14:paraId="76EAE86E" w14:textId="37820119" w:rsidR="00DF1480" w:rsidRPr="003F1AF9" w:rsidRDefault="00DF1480" w:rsidP="00F436B3">
      <w:pPr>
        <w:pStyle w:val="ListParagraph"/>
        <w:numPr>
          <w:ilvl w:val="0"/>
          <w:numId w:val="22"/>
        </w:numPr>
      </w:pPr>
      <w:r w:rsidRPr="003F1AF9">
        <w:t>Advanced non-vapor compression heat pumps</w:t>
      </w:r>
    </w:p>
    <w:p w14:paraId="2CE3BACC" w14:textId="1170DF85" w:rsidR="00DF1480" w:rsidRPr="003F1AF9" w:rsidRDefault="00DF1480" w:rsidP="00F436B3">
      <w:pPr>
        <w:pStyle w:val="ListParagraph"/>
        <w:numPr>
          <w:ilvl w:val="0"/>
          <w:numId w:val="22"/>
        </w:numPr>
      </w:pPr>
      <w:r w:rsidRPr="003F1AF9">
        <w:t>District heating and cooling systems</w:t>
      </w:r>
    </w:p>
    <w:p w14:paraId="61811DA6" w14:textId="315B605E" w:rsidR="00260599" w:rsidRPr="003F1AF9" w:rsidRDefault="00260599" w:rsidP="00F436B3">
      <w:pPr>
        <w:pStyle w:val="ListParagraph"/>
        <w:numPr>
          <w:ilvl w:val="0"/>
          <w:numId w:val="22"/>
        </w:numPr>
      </w:pPr>
      <w:r w:rsidRPr="003F1AF9">
        <w:t>Solar heating and cooling systems</w:t>
      </w:r>
    </w:p>
    <w:p w14:paraId="495867F7" w14:textId="3961331B" w:rsidR="00EC7288" w:rsidRPr="003F1AF9" w:rsidRDefault="00B32D1C" w:rsidP="00132E27">
      <w:r w:rsidRPr="003F1AF9">
        <w:t>In terms of other</w:t>
      </w:r>
      <w:r w:rsidR="00910644" w:rsidRPr="003F1AF9">
        <w:t xml:space="preserve"> high-efficiency</w:t>
      </w:r>
      <w:r w:rsidRPr="003F1AF9">
        <w:t xml:space="preserve"> alternatives:</w:t>
      </w:r>
      <w:r w:rsidR="0078120E">
        <w:t xml:space="preserve"> </w:t>
      </w:r>
      <w:r w:rsidR="00126E78" w:rsidRPr="003F1AF9">
        <w:t xml:space="preserve">Modern district heating systems, primarily seen in European urban centers and on large campuses, can be very energy efficient with low GHG emissions if they </w:t>
      </w:r>
      <w:r w:rsidR="008614E5" w:rsidRPr="003F1AF9">
        <w:t>use</w:t>
      </w:r>
      <w:r w:rsidR="00126E78" w:rsidRPr="003F1AF9">
        <w:t xml:space="preserve"> renewable</w:t>
      </w:r>
      <w:r w:rsidR="008614E5" w:rsidRPr="003F1AF9">
        <w:t xml:space="preserve"> energy,</w:t>
      </w:r>
      <w:r w:rsidR="00126E78" w:rsidRPr="003F1AF9">
        <w:t xml:space="preserve"> or </w:t>
      </w:r>
      <w:r w:rsidR="008614E5" w:rsidRPr="003F1AF9">
        <w:t xml:space="preserve">draw on available “ambient” </w:t>
      </w:r>
      <w:r w:rsidR="00126E78" w:rsidRPr="003F1AF9">
        <w:t xml:space="preserve">thermal </w:t>
      </w:r>
      <w:r w:rsidRPr="003F1AF9">
        <w:t>energy</w:t>
      </w:r>
      <w:r w:rsidR="008614E5" w:rsidRPr="003F1AF9">
        <w:t xml:space="preserve"> sources (such as rivers, oceans, or warm sewage water) using central heat pumps</w:t>
      </w:r>
      <w:r w:rsidR="00126E78" w:rsidRPr="003F1AF9">
        <w:t>.</w:t>
      </w:r>
      <w:r w:rsidR="0078120E">
        <w:t xml:space="preserve"> </w:t>
      </w:r>
      <w:r w:rsidR="006104EA" w:rsidRPr="003F1AF9">
        <w:t>District heating and cooling (</w:t>
      </w:r>
      <w:r w:rsidR="006B1EBE" w:rsidRPr="003F1AF9">
        <w:t>DHC</w:t>
      </w:r>
      <w:r w:rsidR="006104EA" w:rsidRPr="003F1AF9">
        <w:t>)</w:t>
      </w:r>
      <w:r w:rsidR="006B1EBE" w:rsidRPr="003F1AF9">
        <w:t xml:space="preserve"> systems are limited to high energy density locations </w:t>
      </w:r>
      <w:r w:rsidR="008614E5" w:rsidRPr="003F1AF9">
        <w:t xml:space="preserve">and to campuses </w:t>
      </w:r>
      <w:r w:rsidR="006B1EBE" w:rsidRPr="003F1AF9">
        <w:t>with a single owner.</w:t>
      </w:r>
      <w:r w:rsidR="0078120E">
        <w:t xml:space="preserve"> </w:t>
      </w:r>
      <w:r w:rsidR="00EC7288" w:rsidRPr="003F1AF9">
        <w:t>For HEHPs</w:t>
      </w:r>
      <w:r w:rsidR="006104EA" w:rsidRPr="003F1AF9">
        <w:t>, DHC</w:t>
      </w:r>
      <w:r w:rsidR="00126E78" w:rsidRPr="003F1AF9">
        <w:t xml:space="preserve"> systems</w:t>
      </w:r>
      <w:r w:rsidR="00EC7288" w:rsidRPr="003F1AF9">
        <w:t xml:space="preserve"> represent both a</w:t>
      </w:r>
      <w:r w:rsidRPr="003F1AF9">
        <w:t xml:space="preserve"> partner and a</w:t>
      </w:r>
      <w:r w:rsidR="00EC7288" w:rsidRPr="003F1AF9">
        <w:t xml:space="preserve"> competitor.</w:t>
      </w:r>
      <w:r w:rsidR="0078120E">
        <w:t xml:space="preserve"> </w:t>
      </w:r>
      <w:r w:rsidR="00EC7288" w:rsidRPr="003F1AF9">
        <w:t xml:space="preserve">Some of the most advanced </w:t>
      </w:r>
      <w:r w:rsidR="00126E78" w:rsidRPr="003F1AF9">
        <w:t xml:space="preserve">high-efficiency DHC systems </w:t>
      </w:r>
      <w:r w:rsidR="00EC7288" w:rsidRPr="003F1AF9">
        <w:t>employ heat pu</w:t>
      </w:r>
      <w:r w:rsidR="00126E78" w:rsidRPr="003F1AF9">
        <w:t xml:space="preserve">mps for heat recovery (to </w:t>
      </w:r>
      <w:r w:rsidR="008614E5" w:rsidRPr="003F1AF9">
        <w:t xml:space="preserve">boost ambient </w:t>
      </w:r>
      <w:r w:rsidR="00126E78" w:rsidRPr="003F1AF9">
        <w:t>heat for space heating) and for temperature boosting</w:t>
      </w:r>
      <w:r w:rsidR="008614E5" w:rsidRPr="003F1AF9">
        <w:t xml:space="preserve"> to meet hot water needs</w:t>
      </w:r>
      <w:r w:rsidR="00126E78" w:rsidRPr="003F1AF9">
        <w:t xml:space="preserve"> </w:t>
      </w:r>
      <w:r w:rsidR="002C33BD" w:rsidRPr="003F1AF9">
        <w:t>(e.g., see Stanford Energy Systems Innovation webpage)</w:t>
      </w:r>
      <w:r w:rsidR="000C53EC">
        <w:t>.</w:t>
      </w:r>
      <w:r w:rsidR="0078120E">
        <w:t xml:space="preserve"> </w:t>
      </w:r>
      <w:r w:rsidR="00126E78" w:rsidRPr="003F1AF9">
        <w:t xml:space="preserve">But heat pump advocates sometimes </w:t>
      </w:r>
      <w:r w:rsidRPr="003F1AF9">
        <w:t>view</w:t>
      </w:r>
      <w:r w:rsidR="00126E78" w:rsidRPr="003F1AF9">
        <w:t xml:space="preserve"> DHC as a competitor, especially when the DHC manager also controls electricity distribution (EHPA, 2014, p. 46, 73, 149, 150)</w:t>
      </w:r>
      <w:r w:rsidR="000C53EC">
        <w:t>.</w:t>
      </w:r>
      <w:r w:rsidR="0078120E">
        <w:t xml:space="preserve"> </w:t>
      </w:r>
      <w:r w:rsidR="00126E78" w:rsidRPr="003F1AF9">
        <w:t xml:space="preserve">Deciding between DHC and heat pumps – or a combination of the two – comes down to a detailed analysis of energy consumption, GHG emissions, and </w:t>
      </w:r>
      <w:r w:rsidR="006B1EBE" w:rsidRPr="003F1AF9">
        <w:t>cost.</w:t>
      </w:r>
      <w:r w:rsidR="0078120E">
        <w:t xml:space="preserve"> </w:t>
      </w:r>
    </w:p>
    <w:p w14:paraId="595DB9BE" w14:textId="01BF26C6" w:rsidR="006B1EBE" w:rsidRPr="003F1AF9" w:rsidRDefault="006B1EBE" w:rsidP="00132E27">
      <w:r w:rsidRPr="003F1AF9">
        <w:t>The other technologically-advanced alternatives to heat pumps – gas-fired heat pumps, new non-vapor compression cycles, and solar heating and cooling systems – all have small niches today.</w:t>
      </w:r>
      <w:r w:rsidR="0078120E">
        <w:t xml:space="preserve"> </w:t>
      </w:r>
      <w:r w:rsidRPr="003F1AF9">
        <w:t xml:space="preserve">But, unlike </w:t>
      </w:r>
      <w:r w:rsidR="006009B9">
        <w:t>air source heat pumps (</w:t>
      </w:r>
      <w:r w:rsidRPr="003F1AF9">
        <w:t>ASHPs</w:t>
      </w:r>
      <w:r w:rsidR="006009B9">
        <w:t>)</w:t>
      </w:r>
      <w:r w:rsidRPr="003F1AF9">
        <w:t>, they do not represent practical, scalable commercial</w:t>
      </w:r>
      <w:r w:rsidR="006104EA" w:rsidRPr="003F1AF9">
        <w:t>ly</w:t>
      </w:r>
      <w:r w:rsidR="000C53EC">
        <w:t xml:space="preserve"> </w:t>
      </w:r>
      <w:r w:rsidR="006104EA" w:rsidRPr="003F1AF9">
        <w:t>avai</w:t>
      </w:r>
      <w:r w:rsidR="00BE6288" w:rsidRPr="003F1AF9">
        <w:t>lable</w:t>
      </w:r>
      <w:r w:rsidRPr="003F1AF9">
        <w:t xml:space="preserve"> solutions today or in the foreseeable future.</w:t>
      </w:r>
      <w:r w:rsidR="0078120E">
        <w:t xml:space="preserve"> </w:t>
      </w:r>
    </w:p>
    <w:p w14:paraId="66FEF337" w14:textId="77777777" w:rsidR="000330C6" w:rsidRPr="003F1AF9" w:rsidRDefault="551A77D0">
      <w:pPr>
        <w:pStyle w:val="Heading3"/>
      </w:pPr>
      <w:bookmarkStart w:id="311" w:name="_Toc535397931"/>
      <w:bookmarkStart w:id="312" w:name="_Toc535398444"/>
      <w:bookmarkStart w:id="313" w:name="_Toc535398622"/>
      <w:bookmarkStart w:id="314" w:name="_Toc535398691"/>
      <w:bookmarkStart w:id="315" w:name="_Toc535398781"/>
      <w:bookmarkStart w:id="316" w:name="_Toc535397932"/>
      <w:bookmarkStart w:id="317" w:name="_Toc535398445"/>
      <w:bookmarkStart w:id="318" w:name="_Toc535398623"/>
      <w:bookmarkStart w:id="319" w:name="_Toc535398692"/>
      <w:bookmarkStart w:id="320" w:name="_Toc535398782"/>
      <w:bookmarkStart w:id="321" w:name="_Toc42289712"/>
      <w:bookmarkEnd w:id="311"/>
      <w:bookmarkEnd w:id="312"/>
      <w:bookmarkEnd w:id="313"/>
      <w:bookmarkEnd w:id="314"/>
      <w:bookmarkEnd w:id="315"/>
      <w:bookmarkEnd w:id="316"/>
      <w:bookmarkEnd w:id="317"/>
      <w:bookmarkEnd w:id="318"/>
      <w:bookmarkEnd w:id="319"/>
      <w:bookmarkEnd w:id="320"/>
      <w:r w:rsidRPr="003F1AF9">
        <w:t>Arguments for Adoption</w:t>
      </w:r>
      <w:bookmarkEnd w:id="321"/>
    </w:p>
    <w:p w14:paraId="5582BCA4" w14:textId="5F41BEB9" w:rsidR="005C5815" w:rsidRPr="003F1AF9" w:rsidRDefault="00253698" w:rsidP="005C5815">
      <w:r w:rsidRPr="003F1AF9">
        <w:t>High-efficiency heat pumps</w:t>
      </w:r>
      <w:r w:rsidR="000C53EC">
        <w:t>,</w:t>
      </w:r>
      <w:r w:rsidRPr="003F1AF9">
        <w:t xml:space="preserve"> driven by renewably</w:t>
      </w:r>
      <w:r w:rsidR="000C53EC">
        <w:t xml:space="preserve"> </w:t>
      </w:r>
      <w:r w:rsidRPr="003F1AF9">
        <w:t>generated electricity</w:t>
      </w:r>
      <w:r w:rsidR="000C53EC">
        <w:t>,</w:t>
      </w:r>
      <w:r w:rsidRPr="003F1AF9">
        <w:t xml:space="preserve"> represent a major vector for reducing GHG emissions.</w:t>
      </w:r>
      <w:r w:rsidR="0078120E">
        <w:t xml:space="preserve"> </w:t>
      </w:r>
      <w:r w:rsidR="00DF7508" w:rsidRPr="003F1AF9">
        <w:t xml:space="preserve">As quantified above, </w:t>
      </w:r>
      <w:r w:rsidR="001D3EE5" w:rsidRPr="003F1AF9">
        <w:t>fossil fuel combustion</w:t>
      </w:r>
      <w:r w:rsidR="00971B85" w:rsidRPr="003F1AF9">
        <w:t xml:space="preserve"> </w:t>
      </w:r>
      <w:r w:rsidR="001D3EE5" w:rsidRPr="003F1AF9">
        <w:t xml:space="preserve">for </w:t>
      </w:r>
      <w:r w:rsidR="00971B85" w:rsidRPr="003F1AF9">
        <w:t xml:space="preserve">space heating </w:t>
      </w:r>
      <w:r w:rsidR="00460465" w:rsidRPr="003F1AF9">
        <w:t xml:space="preserve">is one of the greatest </w:t>
      </w:r>
      <w:r w:rsidR="001D3EE5" w:rsidRPr="003F1AF9">
        <w:t xml:space="preserve">wastes of natural resources and one of the largest </w:t>
      </w:r>
      <w:r w:rsidR="00460465" w:rsidRPr="003F1AF9">
        <w:t xml:space="preserve">sources of </w:t>
      </w:r>
      <w:r w:rsidR="001D3EE5" w:rsidRPr="003F1AF9">
        <w:t>GHG emissions in the world.</w:t>
      </w:r>
      <w:r w:rsidR="0078120E">
        <w:t xml:space="preserve"> </w:t>
      </w:r>
      <w:r w:rsidR="001D3EE5" w:rsidRPr="003F1AF9">
        <w:t xml:space="preserve">HEHPs </w:t>
      </w:r>
      <w:r w:rsidRPr="003F1AF9">
        <w:t xml:space="preserve">can </w:t>
      </w:r>
      <w:r w:rsidR="001D3EE5" w:rsidRPr="003F1AF9">
        <w:t xml:space="preserve">easily deliver the </w:t>
      </w:r>
      <w:r w:rsidR="00C144A8" w:rsidRPr="003F1AF9">
        <w:t>low-quality</w:t>
      </w:r>
      <w:r w:rsidR="003018BC" w:rsidRPr="003F1AF9">
        <w:t xml:space="preserve"> energy </w:t>
      </w:r>
      <w:r w:rsidR="001D3EE5" w:rsidRPr="003F1AF9">
        <w:t>needed, typically warm air or water at 50C to 80C</w:t>
      </w:r>
      <w:r w:rsidR="00FF3BD1" w:rsidRPr="003F1AF9">
        <w:t>,</w:t>
      </w:r>
      <w:r w:rsidR="001D3EE5" w:rsidRPr="003F1AF9">
        <w:t xml:space="preserve"> at efficiencies of </w:t>
      </w:r>
      <w:r w:rsidR="00BE6288" w:rsidRPr="003F1AF9">
        <w:t>350</w:t>
      </w:r>
      <w:r w:rsidR="003245C4" w:rsidRPr="003F1AF9">
        <w:t>%</w:t>
      </w:r>
      <w:r w:rsidRPr="003F1AF9">
        <w:t xml:space="preserve">+ </w:t>
      </w:r>
      <w:r w:rsidR="003245C4" w:rsidRPr="003F1AF9">
        <w:t xml:space="preserve">that fossil </w:t>
      </w:r>
      <w:r w:rsidRPr="003F1AF9">
        <w:t xml:space="preserve">fuel </w:t>
      </w:r>
      <w:r w:rsidR="003245C4" w:rsidRPr="003F1AF9">
        <w:t>combustion cannot match.</w:t>
      </w:r>
      <w:r w:rsidR="0078120E">
        <w:t xml:space="preserve"> </w:t>
      </w:r>
      <w:r w:rsidRPr="003F1AF9">
        <w:t>HEHPs</w:t>
      </w:r>
      <w:r w:rsidR="00716B54" w:rsidRPr="003F1AF9">
        <w:t xml:space="preserve"> thus</w:t>
      </w:r>
      <w:r w:rsidRPr="003F1AF9">
        <w:t xml:space="preserve"> provide a low-risk, technically</w:t>
      </w:r>
      <w:r w:rsidR="000C53EC">
        <w:t xml:space="preserve"> </w:t>
      </w:r>
      <w:r w:rsidRPr="003F1AF9">
        <w:t>proven path for replacing fossil fuel-based space heating equipment, and dramatically reducing primary energy consumption and GHG emissions.</w:t>
      </w:r>
      <w:r w:rsidR="0078120E">
        <w:t xml:space="preserve"> </w:t>
      </w:r>
      <w:r w:rsidR="005C5815" w:rsidRPr="003F1AF9">
        <w:t xml:space="preserve">In addition to their environmental advantages, air-source HEHPs also score high on the </w:t>
      </w:r>
      <w:r w:rsidR="000C53EC">
        <w:t xml:space="preserve">following </w:t>
      </w:r>
      <w:r w:rsidR="005C5815" w:rsidRPr="003F1AF9">
        <w:t>practicalities:</w:t>
      </w:r>
      <w:r w:rsidR="0078120E">
        <w:t xml:space="preserve"> </w:t>
      </w:r>
    </w:p>
    <w:p w14:paraId="138BB66C" w14:textId="77777777" w:rsidR="005C5815" w:rsidRPr="003F1AF9" w:rsidRDefault="005C5815" w:rsidP="005C5815">
      <w:pPr>
        <w:pStyle w:val="ListParagraph"/>
        <w:numPr>
          <w:ilvl w:val="0"/>
          <w:numId w:val="23"/>
        </w:numPr>
      </w:pPr>
      <w:r w:rsidRPr="003F1AF9">
        <w:t>Applicability to every building type and size</w:t>
      </w:r>
    </w:p>
    <w:p w14:paraId="71E214B7" w14:textId="77777777" w:rsidR="005C5815" w:rsidRPr="003F1AF9" w:rsidRDefault="005C5815" w:rsidP="005C5815">
      <w:pPr>
        <w:pStyle w:val="ListParagraph"/>
        <w:numPr>
          <w:ilvl w:val="0"/>
          <w:numId w:val="23"/>
        </w:numPr>
      </w:pPr>
      <w:r w:rsidRPr="003F1AF9">
        <w:lastRenderedPageBreak/>
        <w:t>Applicability to almost all climates, possibly excepting very cold climates (some of which have employed ground-source heat pumps successfully, e.g., Sweden)</w:t>
      </w:r>
    </w:p>
    <w:p w14:paraId="09419543" w14:textId="77777777" w:rsidR="005C5815" w:rsidRPr="003F1AF9" w:rsidRDefault="005C5815" w:rsidP="005C5815">
      <w:pPr>
        <w:pStyle w:val="ListParagraph"/>
        <w:numPr>
          <w:ilvl w:val="0"/>
          <w:numId w:val="23"/>
        </w:numPr>
      </w:pPr>
      <w:r w:rsidRPr="003F1AF9">
        <w:t>Excellent life cycle economics</w:t>
      </w:r>
    </w:p>
    <w:p w14:paraId="09E9347C" w14:textId="6B0812EE" w:rsidR="001D3EE5" w:rsidRPr="003F1AF9" w:rsidRDefault="005C5815" w:rsidP="00FC05C0">
      <w:pPr>
        <w:pStyle w:val="ListParagraph"/>
        <w:numPr>
          <w:ilvl w:val="0"/>
          <w:numId w:val="23"/>
        </w:numPr>
      </w:pPr>
      <w:r w:rsidRPr="003F1AF9">
        <w:t>Existing installation and operating expertise</w:t>
      </w:r>
    </w:p>
    <w:p w14:paraId="631C1215" w14:textId="3D7A79A0" w:rsidR="006D6012" w:rsidRPr="003F1AF9" w:rsidRDefault="551A77D0">
      <w:pPr>
        <w:pStyle w:val="Heading3"/>
      </w:pPr>
      <w:bookmarkStart w:id="322" w:name="_Toc535397934"/>
      <w:bookmarkStart w:id="323" w:name="_Toc535398447"/>
      <w:bookmarkStart w:id="324" w:name="_Toc535398625"/>
      <w:bookmarkStart w:id="325" w:name="_Toc535398694"/>
      <w:bookmarkStart w:id="326" w:name="_Toc535398784"/>
      <w:bookmarkStart w:id="327" w:name="_Toc535397935"/>
      <w:bookmarkStart w:id="328" w:name="_Toc535398448"/>
      <w:bookmarkStart w:id="329" w:name="_Toc535398626"/>
      <w:bookmarkStart w:id="330" w:name="_Toc535398695"/>
      <w:bookmarkStart w:id="331" w:name="_Toc535398785"/>
      <w:bookmarkStart w:id="332" w:name="_Toc535397936"/>
      <w:bookmarkStart w:id="333" w:name="_Toc535398449"/>
      <w:bookmarkStart w:id="334" w:name="_Toc535398627"/>
      <w:bookmarkStart w:id="335" w:name="_Toc535398696"/>
      <w:bookmarkStart w:id="336" w:name="_Toc535398786"/>
      <w:bookmarkStart w:id="337" w:name="_Toc535397937"/>
      <w:bookmarkStart w:id="338" w:name="_Toc535398450"/>
      <w:bookmarkStart w:id="339" w:name="_Toc535398628"/>
      <w:bookmarkStart w:id="340" w:name="_Toc535398697"/>
      <w:bookmarkStart w:id="341" w:name="_Toc535398787"/>
      <w:bookmarkStart w:id="342" w:name="_Toc42289713"/>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r w:rsidRPr="003F1AF9">
        <w:t>Additional Benefits and Burdens</w:t>
      </w:r>
      <w:bookmarkEnd w:id="342"/>
    </w:p>
    <w:p w14:paraId="1E6E1E6F" w14:textId="4E17E77E" w:rsidR="00EF55DB" w:rsidRPr="003F1AF9" w:rsidRDefault="00EF55DB" w:rsidP="00132E27">
      <w:pPr>
        <w:rPr>
          <w:b/>
        </w:rPr>
      </w:pPr>
      <w:r w:rsidRPr="003F1AF9">
        <w:t xml:space="preserve">Additional benefits resulting for </w:t>
      </w:r>
      <w:r w:rsidR="001972FB" w:rsidRPr="003F1AF9">
        <w:t>extensive</w:t>
      </w:r>
      <w:r w:rsidRPr="003F1AF9">
        <w:t xml:space="preserve"> implementation of high-efficiency heat pumps include:</w:t>
      </w:r>
      <w:r w:rsidR="0078120E">
        <w:t xml:space="preserve"> </w:t>
      </w:r>
    </w:p>
    <w:p w14:paraId="11947181" w14:textId="7C26D669" w:rsidR="00FC4943" w:rsidRPr="003F1AF9" w:rsidRDefault="00EF55DB" w:rsidP="00F436B3">
      <w:pPr>
        <w:pStyle w:val="ListParagraph"/>
        <w:numPr>
          <w:ilvl w:val="0"/>
          <w:numId w:val="9"/>
        </w:numPr>
      </w:pPr>
      <w:r w:rsidRPr="003F1AF9">
        <w:t>Reduced</w:t>
      </w:r>
      <w:r w:rsidR="00FC4943" w:rsidRPr="003F1AF9">
        <w:t xml:space="preserve"> </w:t>
      </w:r>
      <w:r w:rsidRPr="003F1AF9">
        <w:t>investment in fossil fuel-related infrastructure, especially natural gas transport and distribution</w:t>
      </w:r>
      <w:r w:rsidR="00F6042A" w:rsidRPr="003F1AF9">
        <w:t>,</w:t>
      </w:r>
      <w:r w:rsidRPr="003F1AF9">
        <w:t xml:space="preserve"> and in-house </w:t>
      </w:r>
      <w:r w:rsidR="00F6042A" w:rsidRPr="003F1AF9">
        <w:t>gas</w:t>
      </w:r>
      <w:r w:rsidRPr="003F1AF9">
        <w:t xml:space="preserve"> piping.</w:t>
      </w:r>
      <w:r w:rsidR="0078120E">
        <w:t xml:space="preserve"> </w:t>
      </w:r>
    </w:p>
    <w:p w14:paraId="21960C30" w14:textId="05C99E4B" w:rsidR="00D92FB5" w:rsidRPr="003F1AF9" w:rsidRDefault="00D06C81" w:rsidP="00F436B3">
      <w:pPr>
        <w:pStyle w:val="ListParagraph"/>
        <w:numPr>
          <w:ilvl w:val="0"/>
          <w:numId w:val="9"/>
        </w:numPr>
      </w:pPr>
      <w:r w:rsidRPr="003F1AF9">
        <w:t>Health</w:t>
      </w:r>
      <w:r w:rsidR="00EF55DB" w:rsidRPr="003F1AF9">
        <w:t xml:space="preserve"> benefit</w:t>
      </w:r>
      <w:r w:rsidRPr="003F1AF9">
        <w:t>s</w:t>
      </w:r>
      <w:r w:rsidR="00D92FB5" w:rsidRPr="003F1AF9">
        <w:t xml:space="preserve"> </w:t>
      </w:r>
      <w:r w:rsidRPr="003F1AF9">
        <w:t>of reduced</w:t>
      </w:r>
      <w:r w:rsidR="00D92FB5" w:rsidRPr="003F1AF9">
        <w:t xml:space="preserve"> respiratory disease and </w:t>
      </w:r>
      <w:r w:rsidR="007529A9" w:rsidRPr="003F1AF9">
        <w:t xml:space="preserve">fire </w:t>
      </w:r>
      <w:r w:rsidR="00D92FB5" w:rsidRPr="003F1AF9">
        <w:t>risk</w:t>
      </w:r>
      <w:r w:rsidR="00EF55DB" w:rsidRPr="003F1AF9">
        <w:t>, especially for buildings now heated by coal or wood.</w:t>
      </w:r>
      <w:r w:rsidR="0078120E">
        <w:t xml:space="preserve"> </w:t>
      </w:r>
    </w:p>
    <w:p w14:paraId="603C9DED" w14:textId="48DDB853" w:rsidR="00FC4943" w:rsidRPr="003F1AF9" w:rsidRDefault="00D92FB5" w:rsidP="00CB0DC9">
      <w:r w:rsidRPr="003F1AF9">
        <w:t xml:space="preserve">Additional burdens </w:t>
      </w:r>
      <w:r w:rsidR="00716B54" w:rsidRPr="003F1AF9">
        <w:t>and r</w:t>
      </w:r>
      <w:r w:rsidR="00FC4943" w:rsidRPr="003F1AF9">
        <w:t>isks of HEHPs for space heating</w:t>
      </w:r>
      <w:r w:rsidRPr="003F1AF9">
        <w:t xml:space="preserve"> and cooling are:</w:t>
      </w:r>
      <w:r w:rsidR="0078120E">
        <w:t xml:space="preserve"> </w:t>
      </w:r>
    </w:p>
    <w:p w14:paraId="054A7782" w14:textId="64848F2A" w:rsidR="00D92FB5" w:rsidRPr="003F1AF9" w:rsidRDefault="007529A9" w:rsidP="00F436B3">
      <w:pPr>
        <w:pStyle w:val="ListParagraph"/>
        <w:numPr>
          <w:ilvl w:val="0"/>
          <w:numId w:val="11"/>
        </w:numPr>
      </w:pPr>
      <w:r w:rsidRPr="003F1AF9">
        <w:t>Where</w:t>
      </w:r>
      <w:r w:rsidR="00D92FB5" w:rsidRPr="003F1AF9">
        <w:t xml:space="preserve"> electricity is fossil generated, </w:t>
      </w:r>
      <w:r w:rsidRPr="003F1AF9">
        <w:t xml:space="preserve">especially if by coal, </w:t>
      </w:r>
      <w:r w:rsidR="00D92FB5" w:rsidRPr="003F1AF9">
        <w:t xml:space="preserve">growth of HEHPs could actually </w:t>
      </w:r>
      <w:r w:rsidR="00D92FB5" w:rsidRPr="003F1AF9">
        <w:rPr>
          <w:i/>
        </w:rPr>
        <w:t>increase</w:t>
      </w:r>
      <w:r w:rsidR="00D92FB5" w:rsidRPr="003F1AF9">
        <w:t xml:space="preserve"> GHG emissions compared to high-efficiency gas furnaces and boilers.</w:t>
      </w:r>
      <w:r w:rsidR="0078120E">
        <w:t xml:space="preserve"> </w:t>
      </w:r>
    </w:p>
    <w:p w14:paraId="26074381" w14:textId="2AA2D7BE" w:rsidR="00FC4943" w:rsidRPr="003F1AF9" w:rsidRDefault="00D92FB5" w:rsidP="00F436B3">
      <w:pPr>
        <w:pStyle w:val="ListParagraph"/>
        <w:numPr>
          <w:ilvl w:val="0"/>
          <w:numId w:val="11"/>
        </w:numPr>
        <w:rPr>
          <w:b/>
        </w:rPr>
      </w:pPr>
      <w:r w:rsidRPr="003F1AF9">
        <w:t>Widespread HEHP deployment</w:t>
      </w:r>
      <w:r w:rsidR="00FC4943" w:rsidRPr="003F1AF9">
        <w:t xml:space="preserve"> </w:t>
      </w:r>
      <w:r w:rsidRPr="003F1AF9">
        <w:t>could reduce</w:t>
      </w:r>
      <w:r w:rsidR="00FC4943" w:rsidRPr="003F1AF9">
        <w:t xml:space="preserve"> energy source diversity and reduce resilience to a single point of failure, e.g., a grid outage.</w:t>
      </w:r>
      <w:r w:rsidR="0078120E">
        <w:t xml:space="preserve"> </w:t>
      </w:r>
      <w:r w:rsidRPr="003F1AF9">
        <w:t>This suggests the need for decentralized generation and storage resources.</w:t>
      </w:r>
      <w:r w:rsidR="0078120E">
        <w:t xml:space="preserve"> </w:t>
      </w:r>
    </w:p>
    <w:p w14:paraId="730FAD57" w14:textId="0681F7C6" w:rsidR="006E706F" w:rsidRPr="003F1AF9" w:rsidRDefault="00D92FB5" w:rsidP="00132E27">
      <w:r w:rsidRPr="003F1AF9">
        <w:t>The availability of lower-cost, high efficiency space heating and cooling</w:t>
      </w:r>
      <w:r w:rsidR="00FC4943" w:rsidRPr="003F1AF9">
        <w:t xml:space="preserve"> </w:t>
      </w:r>
      <w:r w:rsidRPr="003F1AF9">
        <w:t xml:space="preserve">offers the risk of a </w:t>
      </w:r>
      <w:r w:rsidR="00FC4943" w:rsidRPr="003F1AF9">
        <w:t>“rebound” due to increased demand</w:t>
      </w:r>
      <w:r w:rsidR="00B045AB" w:rsidRPr="003F1AF9">
        <w:t>.</w:t>
      </w:r>
      <w:r w:rsidR="0078120E">
        <w:t xml:space="preserve"> </w:t>
      </w:r>
      <w:r w:rsidR="00B045AB" w:rsidRPr="003F1AF9">
        <w:t>This could occur in buildings that</w:t>
      </w:r>
      <w:r w:rsidRPr="003F1AF9">
        <w:t>, for example,</w:t>
      </w:r>
      <w:r w:rsidR="00B045AB" w:rsidRPr="003F1AF9">
        <w:t xml:space="preserve"> previously had </w:t>
      </w:r>
      <w:r w:rsidRPr="003F1AF9">
        <w:t>inconvenient</w:t>
      </w:r>
      <w:r w:rsidR="006E706F" w:rsidRPr="003F1AF9">
        <w:t>, inefficient</w:t>
      </w:r>
      <w:r w:rsidRPr="003F1AF9">
        <w:t xml:space="preserve"> space heating or </w:t>
      </w:r>
      <w:r w:rsidR="00B045AB" w:rsidRPr="003F1AF9">
        <w:t xml:space="preserve">no space cooling and now, with a heat pump installed, </w:t>
      </w:r>
      <w:r w:rsidR="00FC4943" w:rsidRPr="003F1AF9">
        <w:t xml:space="preserve">for the first time </w:t>
      </w:r>
      <w:r w:rsidR="006104EA" w:rsidRPr="003F1AF9">
        <w:t>have</w:t>
      </w:r>
      <w:r w:rsidR="00C27314" w:rsidRPr="003F1AF9">
        <w:t xml:space="preserve"> efficient and cost-effective equipment</w:t>
      </w:r>
      <w:r w:rsidR="00FC4943" w:rsidRPr="003F1AF9">
        <w:t>.</w:t>
      </w:r>
      <w:r w:rsidR="0078120E">
        <w:t xml:space="preserve"> </w:t>
      </w:r>
      <w:r w:rsidR="00FC4943" w:rsidRPr="003F1AF9">
        <w:t xml:space="preserve">This </w:t>
      </w:r>
      <w:r w:rsidR="006E706F" w:rsidRPr="003F1AF9">
        <w:t>could</w:t>
      </w:r>
      <w:r w:rsidR="00FC4943" w:rsidRPr="003F1AF9">
        <w:t xml:space="preserve"> increase electricity demand</w:t>
      </w:r>
      <w:r w:rsidR="006E706F" w:rsidRPr="003F1AF9">
        <w:t xml:space="preserve"> beyond capacity, especially</w:t>
      </w:r>
      <w:r w:rsidR="00FC4943" w:rsidRPr="003F1AF9">
        <w:t xml:space="preserve"> in developing countries where the grid is </w:t>
      </w:r>
      <w:r w:rsidR="006F53DB" w:rsidRPr="003F1AF9">
        <w:t>weak and powered by fossil fuel</w:t>
      </w:r>
      <w:r w:rsidR="00FC4943" w:rsidRPr="003F1AF9">
        <w:t>.</w:t>
      </w:r>
      <w:r w:rsidR="0078120E">
        <w:t xml:space="preserve"> </w:t>
      </w:r>
    </w:p>
    <w:p w14:paraId="2E37490B" w14:textId="32CE249C" w:rsidR="00807F0E" w:rsidRPr="003F1AF9" w:rsidRDefault="00BD3252" w:rsidP="00DA7530">
      <w:pPr>
        <w:autoSpaceDE w:val="0"/>
        <w:spacing w:after="0"/>
        <w:rPr>
          <w:rFonts w:eastAsia="Times New Roman" w:cs="Times New Roman"/>
          <w:color w:val="000000"/>
        </w:rPr>
      </w:pPr>
      <w:r w:rsidRPr="003F1AF9">
        <w:rPr>
          <w:rFonts w:eastAsia="Times New Roman" w:cs="Times New Roman"/>
          <w:color w:val="000000"/>
        </w:rPr>
        <w:fldChar w:fldCharType="begin"/>
      </w:r>
      <w:r w:rsidRPr="003F1AF9">
        <w:rPr>
          <w:rFonts w:eastAsia="Times New Roman" w:cs="Times New Roman"/>
          <w:color w:val="000000"/>
        </w:rPr>
        <w:instrText xml:space="preserve"> REF _Ref536182487 \h </w:instrText>
      </w:r>
      <w:r w:rsidR="00C91367" w:rsidRPr="003F1AF9">
        <w:rPr>
          <w:rFonts w:eastAsia="Times New Roman" w:cs="Times New Roman"/>
          <w:color w:val="000000"/>
        </w:rPr>
        <w:instrText xml:space="preserve"> \* MERGEFORMAT </w:instrText>
      </w:r>
      <w:r w:rsidRPr="003F1AF9">
        <w:rPr>
          <w:rFonts w:eastAsia="Times New Roman" w:cs="Times New Roman"/>
          <w:color w:val="000000"/>
        </w:rPr>
      </w:r>
      <w:r w:rsidRPr="003F1AF9">
        <w:rPr>
          <w:rFonts w:eastAsia="Times New Roman" w:cs="Times New Roman"/>
          <w:color w:val="000000"/>
        </w:rPr>
        <w:fldChar w:fldCharType="separate"/>
      </w:r>
      <w:r w:rsidR="00E60668" w:rsidRPr="00E60668">
        <w:rPr>
          <w:rFonts w:cs="Times New Roman"/>
        </w:rPr>
        <w:t xml:space="preserve">Table </w:t>
      </w:r>
      <w:r w:rsidR="00E60668" w:rsidRPr="00E60668">
        <w:rPr>
          <w:rFonts w:cs="Times New Roman"/>
          <w:noProof/>
        </w:rPr>
        <w:t>1.6</w:t>
      </w:r>
      <w:r w:rsidRPr="003F1AF9">
        <w:rPr>
          <w:rFonts w:eastAsia="Times New Roman" w:cs="Times New Roman"/>
          <w:color w:val="000000"/>
        </w:rPr>
        <w:fldChar w:fldCharType="end"/>
      </w:r>
      <w:r w:rsidRPr="003F1AF9">
        <w:rPr>
          <w:rFonts w:eastAsia="Times New Roman" w:cs="Times New Roman"/>
          <w:color w:val="000000"/>
        </w:rPr>
        <w:t xml:space="preserve"> </w:t>
      </w:r>
      <w:r w:rsidR="00DA7530" w:rsidRPr="003F1AF9">
        <w:rPr>
          <w:rFonts w:eastAsia="Times New Roman" w:cs="Times New Roman"/>
          <w:color w:val="000000"/>
        </w:rPr>
        <w:t xml:space="preserve">compares HEHPs </w:t>
      </w:r>
      <w:r w:rsidR="0083366D" w:rsidRPr="003F1AF9">
        <w:rPr>
          <w:rFonts w:eastAsia="Times New Roman" w:cs="Times New Roman"/>
          <w:color w:val="000000"/>
        </w:rPr>
        <w:t xml:space="preserve">(“High efficiency heat pump”; ratings </w:t>
      </w:r>
      <w:r w:rsidR="00905204" w:rsidRPr="003F1AF9">
        <w:rPr>
          <w:rFonts w:eastAsia="Times New Roman" w:cs="Times New Roman"/>
          <w:color w:val="000000"/>
        </w:rPr>
        <w:t>explained in</w:t>
      </w:r>
      <w:r w:rsidR="00905204" w:rsidRPr="003F1AF9">
        <w:rPr>
          <w:rFonts w:eastAsia="Times New Roman" w:cs="Times New Roman"/>
          <w:b/>
          <w:color w:val="000000"/>
        </w:rPr>
        <w:t xml:space="preserve"> </w:t>
      </w:r>
      <w:r w:rsidR="00905204" w:rsidRPr="003F1AF9">
        <w:rPr>
          <w:rFonts w:eastAsia="Times New Roman" w:cs="Times New Roman"/>
          <w:b/>
          <w:color w:val="000000"/>
        </w:rPr>
        <w:fldChar w:fldCharType="begin"/>
      </w:r>
      <w:r w:rsidR="00905204" w:rsidRPr="003F1AF9">
        <w:rPr>
          <w:rFonts w:eastAsia="Times New Roman" w:cs="Times New Roman"/>
          <w:b/>
          <w:color w:val="000000"/>
        </w:rPr>
        <w:instrText xml:space="preserve"> REF _Ref536184151 \h </w:instrText>
      </w:r>
      <w:r w:rsidR="00C91367" w:rsidRPr="003F1AF9">
        <w:rPr>
          <w:rFonts w:eastAsia="Times New Roman" w:cs="Times New Roman"/>
          <w:b/>
          <w:color w:val="000000"/>
        </w:rPr>
        <w:instrText xml:space="preserve"> \* MERGEFORMAT </w:instrText>
      </w:r>
      <w:r w:rsidR="00905204" w:rsidRPr="003F1AF9">
        <w:rPr>
          <w:rFonts w:eastAsia="Times New Roman" w:cs="Times New Roman"/>
          <w:b/>
          <w:color w:val="000000"/>
        </w:rPr>
      </w:r>
      <w:r w:rsidR="00905204" w:rsidRPr="003F1AF9">
        <w:rPr>
          <w:rFonts w:eastAsia="Times New Roman" w:cs="Times New Roman"/>
          <w:b/>
          <w:color w:val="000000"/>
        </w:rPr>
        <w:fldChar w:fldCharType="separate"/>
      </w:r>
      <w:r w:rsidR="00E60668" w:rsidRPr="00E60668">
        <w:rPr>
          <w:rFonts w:cs="Times New Roman"/>
        </w:rPr>
        <w:t xml:space="preserve">Table </w:t>
      </w:r>
      <w:r w:rsidR="00E60668" w:rsidRPr="00E60668">
        <w:rPr>
          <w:rFonts w:cs="Times New Roman"/>
          <w:noProof/>
        </w:rPr>
        <w:t>1.7</w:t>
      </w:r>
      <w:r w:rsidR="00905204" w:rsidRPr="003F1AF9">
        <w:rPr>
          <w:rFonts w:eastAsia="Times New Roman" w:cs="Times New Roman"/>
          <w:b/>
          <w:color w:val="000000"/>
        </w:rPr>
        <w:fldChar w:fldCharType="end"/>
      </w:r>
      <w:r w:rsidR="0083366D" w:rsidRPr="003F1AF9">
        <w:rPr>
          <w:rFonts w:eastAsia="Times New Roman" w:cs="Times New Roman"/>
          <w:color w:val="000000"/>
        </w:rPr>
        <w:t xml:space="preserve">) </w:t>
      </w:r>
      <w:r w:rsidR="00DA7530" w:rsidRPr="003F1AF9">
        <w:rPr>
          <w:rFonts w:eastAsia="Times New Roman" w:cs="Times New Roman"/>
          <w:color w:val="000000"/>
        </w:rPr>
        <w:t>with other space heating and cooling alternatives</w:t>
      </w:r>
      <w:r w:rsidR="0083366D" w:rsidRPr="003F1AF9">
        <w:rPr>
          <w:rFonts w:eastAsia="Times New Roman" w:cs="Times New Roman"/>
          <w:color w:val="000000"/>
        </w:rPr>
        <w:t xml:space="preserve"> in terms of breadth of application, GHG emissions, fossil energy reduction, cost, comfort and heath, and resilience.</w:t>
      </w:r>
      <w:r w:rsidR="0078120E">
        <w:rPr>
          <w:rFonts w:eastAsia="Times New Roman" w:cs="Times New Roman"/>
          <w:color w:val="000000"/>
        </w:rPr>
        <w:t xml:space="preserve"> </w:t>
      </w:r>
      <w:r w:rsidR="0083366D" w:rsidRPr="003F1AF9">
        <w:rPr>
          <w:rFonts w:eastAsia="Times New Roman" w:cs="Times New Roman"/>
          <w:color w:val="000000"/>
        </w:rPr>
        <w:t xml:space="preserve">Compared with the “conventional” options that are common in developed countries (gas furnace and low-efficiency heat pump), HEHPs provide equivalent service and comfort across almost all building types, with </w:t>
      </w:r>
      <w:r w:rsidR="006104EA" w:rsidRPr="003F1AF9">
        <w:rPr>
          <w:rFonts w:eastAsia="Times New Roman" w:cs="Times New Roman"/>
          <w:color w:val="000000"/>
        </w:rPr>
        <w:t>far</w:t>
      </w:r>
      <w:r w:rsidR="0083366D" w:rsidRPr="003F1AF9">
        <w:rPr>
          <w:rFonts w:eastAsia="Times New Roman" w:cs="Times New Roman"/>
          <w:color w:val="000000"/>
        </w:rPr>
        <w:t xml:space="preserve"> greater reduction of GHG emissions and lower life-cycle cost.</w:t>
      </w:r>
      <w:r w:rsidR="0078120E">
        <w:rPr>
          <w:rFonts w:eastAsia="Times New Roman" w:cs="Times New Roman"/>
          <w:color w:val="000000"/>
        </w:rPr>
        <w:t xml:space="preserve"> </w:t>
      </w:r>
    </w:p>
    <w:p w14:paraId="3E153D77" w14:textId="69D7D3AB" w:rsidR="00DA7530" w:rsidRPr="003F1AF9" w:rsidRDefault="0083366D" w:rsidP="00DA7530">
      <w:pPr>
        <w:autoSpaceDE w:val="0"/>
        <w:spacing w:after="0"/>
        <w:rPr>
          <w:rFonts w:eastAsia="Times New Roman" w:cs="Times New Roman"/>
          <w:color w:val="000000"/>
        </w:rPr>
      </w:pPr>
      <w:r w:rsidRPr="003F1AF9">
        <w:rPr>
          <w:rFonts w:eastAsia="Times New Roman" w:cs="Times New Roman"/>
          <w:color w:val="000000"/>
        </w:rPr>
        <w:t>Compared with “Coal or wood combustion”, HEHPs offer, in addition, higher breadth of application</w:t>
      </w:r>
      <w:r w:rsidR="00807F0E" w:rsidRPr="003F1AF9">
        <w:rPr>
          <w:rFonts w:eastAsia="Times New Roman" w:cs="Times New Roman"/>
          <w:color w:val="000000"/>
        </w:rPr>
        <w:t xml:space="preserve"> and much higher comfort, safety</w:t>
      </w:r>
      <w:r w:rsidR="000C53EC">
        <w:rPr>
          <w:rFonts w:eastAsia="Times New Roman" w:cs="Times New Roman"/>
          <w:color w:val="000000"/>
        </w:rPr>
        <w:t>,</w:t>
      </w:r>
      <w:r w:rsidR="00807F0E" w:rsidRPr="003F1AF9">
        <w:rPr>
          <w:rFonts w:eastAsia="Times New Roman" w:cs="Times New Roman"/>
          <w:color w:val="000000"/>
        </w:rPr>
        <w:t xml:space="preserve"> and health.</w:t>
      </w:r>
      <w:r w:rsidR="0078120E">
        <w:rPr>
          <w:rFonts w:eastAsia="Times New Roman" w:cs="Times New Roman"/>
          <w:color w:val="000000"/>
        </w:rPr>
        <w:t xml:space="preserve"> </w:t>
      </w:r>
      <w:r w:rsidR="00807F0E" w:rsidRPr="003F1AF9">
        <w:rPr>
          <w:rFonts w:eastAsia="Times New Roman" w:cs="Times New Roman"/>
          <w:color w:val="000000"/>
        </w:rPr>
        <w:t>The one area of potential weakness is resilience due to complete dependence on the electric grid.</w:t>
      </w:r>
      <w:r w:rsidR="0078120E">
        <w:rPr>
          <w:rFonts w:eastAsia="Times New Roman" w:cs="Times New Roman"/>
          <w:color w:val="000000"/>
        </w:rPr>
        <w:t xml:space="preserve"> </w:t>
      </w:r>
    </w:p>
    <w:p w14:paraId="5C06CE6A" w14:textId="783EACD3" w:rsidR="0083366D" w:rsidRPr="003F1AF9" w:rsidRDefault="00807F0E" w:rsidP="00DA7530">
      <w:pPr>
        <w:autoSpaceDE w:val="0"/>
        <w:spacing w:after="0"/>
        <w:rPr>
          <w:rFonts w:eastAsia="Times New Roman" w:cs="Times New Roman"/>
          <w:color w:val="000000"/>
        </w:rPr>
      </w:pPr>
      <w:r w:rsidRPr="003F1AF9">
        <w:rPr>
          <w:rFonts w:eastAsia="Times New Roman" w:cs="Times New Roman"/>
          <w:color w:val="000000"/>
        </w:rPr>
        <w:lastRenderedPageBreak/>
        <w:t>HEHPs, which can be installed in virtually any building, offer much broader breadth of application than district heating and cooling.</w:t>
      </w:r>
      <w:r w:rsidR="0078120E">
        <w:rPr>
          <w:rFonts w:eastAsia="Times New Roman" w:cs="Times New Roman"/>
          <w:color w:val="000000"/>
        </w:rPr>
        <w:t xml:space="preserve"> </w:t>
      </w:r>
      <w:r w:rsidRPr="003F1AF9">
        <w:rPr>
          <w:rFonts w:eastAsia="Times New Roman" w:cs="Times New Roman"/>
          <w:color w:val="000000"/>
        </w:rPr>
        <w:t>But district heating and cooling, where available, can be a low cost and highly</w:t>
      </w:r>
      <w:r w:rsidR="000C53EC">
        <w:rPr>
          <w:rFonts w:eastAsia="Times New Roman" w:cs="Times New Roman"/>
          <w:color w:val="000000"/>
        </w:rPr>
        <w:t xml:space="preserve"> </w:t>
      </w:r>
      <w:r w:rsidRPr="003F1AF9">
        <w:rPr>
          <w:rFonts w:eastAsia="Times New Roman" w:cs="Times New Roman"/>
          <w:color w:val="000000"/>
        </w:rPr>
        <w:t>resilient option.</w:t>
      </w:r>
      <w:r w:rsidR="0078120E">
        <w:rPr>
          <w:rFonts w:eastAsia="Times New Roman" w:cs="Times New Roman"/>
          <w:color w:val="000000"/>
        </w:rPr>
        <w:t xml:space="preserve"> </w:t>
      </w:r>
      <w:r w:rsidRPr="003F1AF9">
        <w:rPr>
          <w:rFonts w:eastAsia="Times New Roman" w:cs="Times New Roman"/>
          <w:color w:val="000000"/>
        </w:rPr>
        <w:t>The advanced options are at present high-cost niche alternatives.</w:t>
      </w:r>
      <w:r w:rsidR="0078120E">
        <w:rPr>
          <w:rFonts w:eastAsia="Times New Roman" w:cs="Times New Roman"/>
          <w:color w:val="000000"/>
        </w:rPr>
        <w:t xml:space="preserve"> </w:t>
      </w:r>
    </w:p>
    <w:p w14:paraId="1824F225" w14:textId="58DB94FA" w:rsidR="006104EA" w:rsidRPr="003F1AF9" w:rsidRDefault="006104EA">
      <w:pPr>
        <w:spacing w:after="160" w:line="259" w:lineRule="auto"/>
        <w:jc w:val="left"/>
        <w:rPr>
          <w:i/>
          <w:iCs/>
          <w:color w:val="1F497D" w:themeColor="text2"/>
          <w:sz w:val="18"/>
          <w:szCs w:val="18"/>
        </w:rPr>
      </w:pPr>
    </w:p>
    <w:p w14:paraId="3CE26900" w14:textId="094B768B" w:rsidR="005110E8" w:rsidRPr="003F1AF9" w:rsidRDefault="005110E8" w:rsidP="005C3DCF">
      <w:pPr>
        <w:pStyle w:val="Caption"/>
        <w:keepNext/>
        <w:jc w:val="center"/>
      </w:pPr>
      <w:bookmarkStart w:id="343" w:name="_Ref536182487"/>
      <w:bookmarkStart w:id="344" w:name="_Toc42289748"/>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1</w:t>
      </w:r>
      <w:r w:rsidR="00C0437B" w:rsidRPr="003F1AF9">
        <w:rPr>
          <w:noProof/>
        </w:rPr>
        <w:fldChar w:fldCharType="end"/>
      </w:r>
      <w:r w:rsidR="00905204"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6</w:t>
      </w:r>
      <w:r w:rsidR="00C0437B" w:rsidRPr="003F1AF9">
        <w:rPr>
          <w:noProof/>
        </w:rPr>
        <w:fldChar w:fldCharType="end"/>
      </w:r>
      <w:bookmarkEnd w:id="343"/>
      <w:r w:rsidRPr="003F1AF9">
        <w:t xml:space="preserve"> High-Efficiency Heat Pump Solution Comparison</w:t>
      </w:r>
      <w:bookmarkEnd w:id="344"/>
    </w:p>
    <w:tbl>
      <w:tblPr>
        <w:tblStyle w:val="MediumGrid3-Accent5"/>
        <w:tblW w:w="11844" w:type="dxa"/>
        <w:jc w:val="center"/>
        <w:tblLook w:val="04A0" w:firstRow="1" w:lastRow="0" w:firstColumn="1" w:lastColumn="0" w:noHBand="0" w:noVBand="1"/>
      </w:tblPr>
      <w:tblGrid>
        <w:gridCol w:w="1826"/>
        <w:gridCol w:w="1558"/>
        <w:gridCol w:w="1348"/>
        <w:gridCol w:w="1021"/>
        <w:gridCol w:w="1021"/>
        <w:gridCol w:w="1348"/>
        <w:gridCol w:w="1313"/>
        <w:gridCol w:w="1056"/>
        <w:gridCol w:w="1353"/>
      </w:tblGrid>
      <w:tr w:rsidR="008D3481" w:rsidRPr="003F1AF9" w14:paraId="32243305" w14:textId="77777777" w:rsidTr="00CC01F9">
        <w:trPr>
          <w:cnfStyle w:val="100000000000" w:firstRow="1" w:lastRow="0" w:firstColumn="0" w:lastColumn="0" w:oddVBand="0" w:evenVBand="0" w:oddHBand="0" w:evenHBand="0" w:firstRowFirstColumn="0" w:firstRowLastColumn="0" w:lastRowFirstColumn="0" w:lastRowLastColumn="0"/>
          <w:cantSplit/>
          <w:trHeight w:val="594"/>
          <w:tblHeader/>
          <w:jc w:val="center"/>
        </w:trPr>
        <w:tc>
          <w:tcPr>
            <w:cnfStyle w:val="001000000000" w:firstRow="0" w:lastRow="0" w:firstColumn="1" w:lastColumn="0" w:oddVBand="0" w:evenVBand="0" w:oddHBand="0" w:evenHBand="0" w:firstRowFirstColumn="0" w:firstRowLastColumn="0" w:lastRowFirstColumn="0" w:lastRowLastColumn="0"/>
            <w:tcW w:w="1826"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72B9DE26" w14:textId="3A96E4E5" w:rsidR="00C8497D" w:rsidRPr="003F1AF9" w:rsidRDefault="00CC01F9" w:rsidP="005C3DCF">
            <w:pPr>
              <w:spacing w:after="0" w:line="240" w:lineRule="auto"/>
              <w:jc w:val="center"/>
              <w:rPr>
                <w:rFonts w:eastAsia="Times New Roman" w:cs="Times New Roman"/>
                <w:sz w:val="21"/>
                <w:szCs w:val="21"/>
                <w:lang w:eastAsia="en-US"/>
              </w:rPr>
            </w:pPr>
            <w:r w:rsidRPr="003F1AF9">
              <w:rPr>
                <w:rFonts w:eastAsia="Times New Roman" w:cs="Times New Roman"/>
                <w:sz w:val="21"/>
                <w:szCs w:val="21"/>
                <w:lang w:eastAsia="en-US"/>
              </w:rPr>
              <w:t>Technology</w:t>
            </w:r>
          </w:p>
        </w:tc>
        <w:tc>
          <w:tcPr>
            <w:tcW w:w="1558"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5F8C48A5" w14:textId="732DFE10" w:rsidR="00C8497D" w:rsidRPr="003F1AF9" w:rsidRDefault="00C8497D" w:rsidP="005C3DC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Service (Heating / Cooling)</w:t>
            </w:r>
          </w:p>
        </w:tc>
        <w:tc>
          <w:tcPr>
            <w:tcW w:w="1348"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23CBD0EA" w14:textId="5CD5B88B" w:rsidR="00C8497D" w:rsidRPr="003F1AF9" w:rsidRDefault="00C8497D" w:rsidP="005C3DC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 xml:space="preserve">Breadth of Application </w:t>
            </w:r>
          </w:p>
        </w:tc>
        <w:tc>
          <w:tcPr>
            <w:tcW w:w="1021"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5D1A54DB" w14:textId="6CBE3A25" w:rsidR="00C8497D" w:rsidRPr="003F1AF9" w:rsidRDefault="00C8497D" w:rsidP="005C3DC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GHG Emissions Reduction</w:t>
            </w:r>
          </w:p>
        </w:tc>
        <w:tc>
          <w:tcPr>
            <w:tcW w:w="1021"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56364A12" w14:textId="023470EC" w:rsidR="00C8497D" w:rsidRPr="003F1AF9" w:rsidRDefault="00C8497D" w:rsidP="005C3DC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Fossil Energy Reduction</w:t>
            </w:r>
          </w:p>
        </w:tc>
        <w:tc>
          <w:tcPr>
            <w:tcW w:w="1348"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7BC47FAF" w14:textId="5109DB71" w:rsidR="00C8497D" w:rsidRPr="003F1AF9" w:rsidRDefault="00C8497D" w:rsidP="005C3DC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First Cost</w:t>
            </w:r>
          </w:p>
        </w:tc>
        <w:tc>
          <w:tcPr>
            <w:tcW w:w="1313"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3C635309" w14:textId="5F0433E0" w:rsidR="00C8497D" w:rsidRPr="003F1AF9" w:rsidRDefault="00C8497D" w:rsidP="005C3DC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Life Cycle Cost</w:t>
            </w:r>
          </w:p>
        </w:tc>
        <w:tc>
          <w:tcPr>
            <w:tcW w:w="1056"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497560DA" w14:textId="22051956" w:rsidR="00C8497D" w:rsidRPr="003F1AF9" w:rsidRDefault="00C8497D" w:rsidP="005C3DC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Comfort</w:t>
            </w:r>
            <w:r w:rsidR="00A20684" w:rsidRPr="003F1AF9">
              <w:rPr>
                <w:rFonts w:eastAsia="Times New Roman" w:cs="Times New Roman"/>
                <w:sz w:val="21"/>
                <w:szCs w:val="21"/>
                <w:lang w:eastAsia="en-US"/>
              </w:rPr>
              <w:t xml:space="preserve"> and Health</w:t>
            </w:r>
          </w:p>
        </w:tc>
        <w:tc>
          <w:tcPr>
            <w:tcW w:w="1348"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37116A35" w14:textId="7C90EDEA" w:rsidR="00C8497D" w:rsidRPr="003F1AF9" w:rsidRDefault="00C8497D" w:rsidP="005C3DC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Resilience</w:t>
            </w:r>
          </w:p>
        </w:tc>
      </w:tr>
      <w:tr w:rsidR="00CC01F9" w:rsidRPr="003F1AF9" w14:paraId="0727B38C" w14:textId="77777777" w:rsidTr="00CC01F9">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18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C61066" w14:textId="5A4904A6" w:rsidR="00CC01F9" w:rsidRPr="003F1AF9" w:rsidRDefault="00CC01F9" w:rsidP="00CC01F9">
            <w:pPr>
              <w:spacing w:line="240" w:lineRule="auto"/>
              <w:jc w:val="center"/>
              <w:rPr>
                <w:rFonts w:cs="Times New Roman"/>
                <w:b w:val="0"/>
                <w:color w:val="auto"/>
                <w:sz w:val="21"/>
                <w:szCs w:val="21"/>
              </w:rPr>
            </w:pPr>
            <w:r w:rsidRPr="003F1AF9">
              <w:rPr>
                <w:rFonts w:cs="Times New Roman"/>
                <w:b w:val="0"/>
                <w:color w:val="auto"/>
                <w:sz w:val="21"/>
                <w:szCs w:val="21"/>
              </w:rPr>
              <w:t>High-efficiency heat pump</w:t>
            </w:r>
          </w:p>
        </w:tc>
        <w:tc>
          <w:tcPr>
            <w:tcW w:w="1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6FDAC5" w14:textId="3E444BAA"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Heating / Cooling</w:t>
            </w:r>
          </w:p>
        </w:tc>
        <w:tc>
          <w:tcPr>
            <w:tcW w:w="13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287681" w14:textId="5D8594AF"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5722E2" w14:textId="68A5EF63"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E200C9" w14:textId="40DDA5CC"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3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44D9D6" w14:textId="122E4E1E"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Medium to High</w:t>
            </w:r>
          </w:p>
        </w:tc>
        <w:tc>
          <w:tcPr>
            <w:tcW w:w="131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65D723" w14:textId="49EBD70A"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Low</w:t>
            </w:r>
          </w:p>
        </w:tc>
        <w:tc>
          <w:tcPr>
            <w:tcW w:w="10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FB1EE0" w14:textId="77A58999"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3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DC43F3" w14:textId="249CB329"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Medium</w:t>
            </w:r>
          </w:p>
        </w:tc>
      </w:tr>
      <w:tr w:rsidR="00CC01F9" w:rsidRPr="003F1AF9" w14:paraId="53247A12" w14:textId="77777777" w:rsidTr="00B80E57">
        <w:trPr>
          <w:cantSplit/>
          <w:trHeight w:val="334"/>
          <w:jc w:val="center"/>
        </w:trPr>
        <w:tc>
          <w:tcPr>
            <w:cnfStyle w:val="001000000000" w:firstRow="0" w:lastRow="0" w:firstColumn="1" w:lastColumn="0" w:oddVBand="0" w:evenVBand="0" w:oddHBand="0" w:evenHBand="0" w:firstRowFirstColumn="0" w:firstRowLastColumn="0" w:lastRowFirstColumn="0" w:lastRowLastColumn="0"/>
            <w:tcW w:w="1826" w:type="dxa"/>
            <w:tcBorders>
              <w:top w:val="single" w:sz="4" w:space="0" w:color="auto"/>
              <w:left w:val="single" w:sz="4" w:space="0" w:color="auto"/>
              <w:bottom w:val="single" w:sz="4" w:space="0" w:color="auto"/>
              <w:right w:val="single" w:sz="4" w:space="0" w:color="auto"/>
            </w:tcBorders>
            <w:shd w:val="clear" w:color="auto" w:fill="auto"/>
            <w:vAlign w:val="center"/>
          </w:tcPr>
          <w:p w14:paraId="50449152" w14:textId="7019C6BB" w:rsidR="00CC01F9" w:rsidRPr="003F1AF9" w:rsidRDefault="00CC01F9" w:rsidP="00CC01F9">
            <w:pPr>
              <w:spacing w:line="240" w:lineRule="auto"/>
              <w:jc w:val="center"/>
              <w:rPr>
                <w:rFonts w:cs="Times New Roman"/>
                <w:b w:val="0"/>
                <w:color w:val="000000" w:themeColor="text1"/>
                <w:sz w:val="21"/>
                <w:szCs w:val="21"/>
              </w:rPr>
            </w:pPr>
            <w:r w:rsidRPr="003F1AF9">
              <w:rPr>
                <w:rFonts w:cs="Times New Roman"/>
                <w:color w:val="000000" w:themeColor="text1"/>
                <w:sz w:val="21"/>
                <w:szCs w:val="21"/>
              </w:rPr>
              <w:t>Gas furnace</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7187DD23" w14:textId="6D467E6F"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Heating</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043B8C91" w14:textId="446D69E0"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Medium</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7B8C4C19" w14:textId="34839277"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Low</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5050487A" w14:textId="36969BC6"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Low</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32F951A7" w14:textId="4AE2CBC7"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Medium</w:t>
            </w:r>
          </w:p>
        </w:tc>
        <w:tc>
          <w:tcPr>
            <w:tcW w:w="1313" w:type="dxa"/>
            <w:tcBorders>
              <w:top w:val="single" w:sz="4" w:space="0" w:color="auto"/>
              <w:left w:val="single" w:sz="4" w:space="0" w:color="auto"/>
              <w:bottom w:val="single" w:sz="4" w:space="0" w:color="auto"/>
              <w:right w:val="single" w:sz="4" w:space="0" w:color="auto"/>
            </w:tcBorders>
            <w:shd w:val="clear" w:color="auto" w:fill="auto"/>
            <w:vAlign w:val="center"/>
          </w:tcPr>
          <w:p w14:paraId="21BE4BA3" w14:textId="79B06AC1"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Medium</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1C686922" w14:textId="7FFC69AB"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6C960AAD" w14:textId="116EB332"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High</w:t>
            </w:r>
          </w:p>
        </w:tc>
      </w:tr>
      <w:tr w:rsidR="008D3481" w:rsidRPr="003F1AF9" w14:paraId="7A4348C5" w14:textId="77777777" w:rsidTr="00CC01F9">
        <w:trPr>
          <w:cnfStyle w:val="000000100000" w:firstRow="0" w:lastRow="0" w:firstColumn="0" w:lastColumn="0" w:oddVBand="0" w:evenVBand="0" w:oddHBand="1" w:evenHBand="0" w:firstRowFirstColumn="0" w:firstRowLastColumn="0" w:lastRowFirstColumn="0" w:lastRowLastColumn="0"/>
          <w:cantSplit/>
          <w:trHeight w:val="315"/>
          <w:jc w:val="center"/>
        </w:trPr>
        <w:tc>
          <w:tcPr>
            <w:cnfStyle w:val="001000000000" w:firstRow="0" w:lastRow="0" w:firstColumn="1" w:lastColumn="0" w:oddVBand="0" w:evenVBand="0" w:oddHBand="0" w:evenHBand="0" w:firstRowFirstColumn="0" w:firstRowLastColumn="0" w:lastRowFirstColumn="0" w:lastRowLastColumn="0"/>
            <w:tcW w:w="1826" w:type="dxa"/>
            <w:tcBorders>
              <w:top w:val="single" w:sz="4" w:space="0" w:color="auto"/>
              <w:left w:val="single" w:sz="4" w:space="0" w:color="auto"/>
              <w:bottom w:val="single" w:sz="4" w:space="0" w:color="auto"/>
              <w:right w:val="single" w:sz="4" w:space="0" w:color="auto"/>
            </w:tcBorders>
            <w:shd w:val="clear" w:color="auto" w:fill="auto"/>
            <w:vAlign w:val="center"/>
          </w:tcPr>
          <w:p w14:paraId="191FB57D" w14:textId="1E91456E" w:rsidR="00CC01F9" w:rsidRPr="003F1AF9" w:rsidRDefault="00CC01F9" w:rsidP="00CC01F9">
            <w:pPr>
              <w:spacing w:line="240" w:lineRule="auto"/>
              <w:jc w:val="center"/>
              <w:rPr>
                <w:rFonts w:cs="Times New Roman"/>
                <w:b w:val="0"/>
                <w:color w:val="000000" w:themeColor="text1"/>
                <w:sz w:val="21"/>
                <w:szCs w:val="21"/>
              </w:rPr>
            </w:pPr>
            <w:r w:rsidRPr="003F1AF9">
              <w:rPr>
                <w:rFonts w:cs="Times New Roman"/>
                <w:color w:val="000000" w:themeColor="text1"/>
                <w:sz w:val="21"/>
                <w:szCs w:val="21"/>
              </w:rPr>
              <w:t>Coal or wood combustion</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708235A7" w14:textId="213EE60F"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Heating</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4E513F2E" w14:textId="12FD48BD"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Low to Medium</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1DF196C3" w14:textId="40CD0487"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Low</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58318284" w14:textId="39F2424B"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Low</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7E68ED52" w14:textId="1483DEFD"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Low</w:t>
            </w:r>
          </w:p>
        </w:tc>
        <w:tc>
          <w:tcPr>
            <w:tcW w:w="1313" w:type="dxa"/>
            <w:tcBorders>
              <w:top w:val="single" w:sz="4" w:space="0" w:color="auto"/>
              <w:left w:val="single" w:sz="4" w:space="0" w:color="auto"/>
              <w:bottom w:val="single" w:sz="4" w:space="0" w:color="auto"/>
              <w:right w:val="single" w:sz="4" w:space="0" w:color="auto"/>
            </w:tcBorders>
            <w:shd w:val="clear" w:color="auto" w:fill="auto"/>
            <w:vAlign w:val="center"/>
          </w:tcPr>
          <w:p w14:paraId="1A656E29" w14:textId="4585D86A"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Medium</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403FC8AD" w14:textId="57A9A61C"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Low</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6A026E03" w14:textId="5355EB78"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High</w:t>
            </w:r>
          </w:p>
        </w:tc>
      </w:tr>
      <w:tr w:rsidR="008D3481" w:rsidRPr="003F1AF9" w14:paraId="660CCED7" w14:textId="77777777" w:rsidTr="00CC01F9">
        <w:trPr>
          <w:cantSplit/>
          <w:trHeight w:val="352"/>
          <w:jc w:val="center"/>
        </w:trPr>
        <w:tc>
          <w:tcPr>
            <w:cnfStyle w:val="001000000000" w:firstRow="0" w:lastRow="0" w:firstColumn="1" w:lastColumn="0" w:oddVBand="0" w:evenVBand="0" w:oddHBand="0" w:evenHBand="0" w:firstRowFirstColumn="0" w:firstRowLastColumn="0" w:lastRowFirstColumn="0" w:lastRowLastColumn="0"/>
            <w:tcW w:w="1826" w:type="dxa"/>
            <w:tcBorders>
              <w:top w:val="single" w:sz="4" w:space="0" w:color="auto"/>
              <w:left w:val="single" w:sz="4" w:space="0" w:color="auto"/>
              <w:bottom w:val="single" w:sz="4" w:space="0" w:color="auto"/>
              <w:right w:val="single" w:sz="4" w:space="0" w:color="auto"/>
            </w:tcBorders>
            <w:shd w:val="clear" w:color="auto" w:fill="auto"/>
            <w:vAlign w:val="center"/>
          </w:tcPr>
          <w:p w14:paraId="339E0D48" w14:textId="288B5E67" w:rsidR="00CC01F9" w:rsidRPr="003F1AF9" w:rsidRDefault="00CC01F9" w:rsidP="00CC01F9">
            <w:pPr>
              <w:spacing w:line="240" w:lineRule="auto"/>
              <w:jc w:val="center"/>
              <w:rPr>
                <w:rFonts w:cs="Times New Roman"/>
                <w:b w:val="0"/>
                <w:color w:val="000000" w:themeColor="text1"/>
                <w:sz w:val="21"/>
                <w:szCs w:val="21"/>
              </w:rPr>
            </w:pPr>
            <w:r w:rsidRPr="003F1AF9">
              <w:rPr>
                <w:rFonts w:cs="Times New Roman"/>
                <w:color w:val="000000" w:themeColor="text1"/>
                <w:sz w:val="21"/>
                <w:szCs w:val="21"/>
              </w:rPr>
              <w:t>Low-efficiency heat pump</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17046BE" w14:textId="7EDBB6A5"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Heating / Cooling</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5B56BAB8" w14:textId="648877C7"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2945FA90" w14:textId="143380A5"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Low to Medium</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7CAA385B" w14:textId="7CD4A4DA"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Low to Medium</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2940F74B" w14:textId="19896FA3"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Medium</w:t>
            </w:r>
          </w:p>
        </w:tc>
        <w:tc>
          <w:tcPr>
            <w:tcW w:w="1313" w:type="dxa"/>
            <w:tcBorders>
              <w:top w:val="single" w:sz="4" w:space="0" w:color="auto"/>
              <w:left w:val="single" w:sz="4" w:space="0" w:color="auto"/>
              <w:bottom w:val="single" w:sz="4" w:space="0" w:color="auto"/>
              <w:right w:val="single" w:sz="4" w:space="0" w:color="auto"/>
            </w:tcBorders>
            <w:shd w:val="clear" w:color="auto" w:fill="auto"/>
            <w:vAlign w:val="center"/>
          </w:tcPr>
          <w:p w14:paraId="3C5BB1DE" w14:textId="3ACC3D1D"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Medium</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24C35F47" w14:textId="6A16F025"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762AE129" w14:textId="22372D51"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Medium-High</w:t>
            </w:r>
          </w:p>
        </w:tc>
      </w:tr>
      <w:tr w:rsidR="008D3481" w:rsidRPr="003F1AF9" w14:paraId="7052A9E4" w14:textId="77777777" w:rsidTr="00CC01F9">
        <w:trPr>
          <w:cnfStyle w:val="000000100000" w:firstRow="0" w:lastRow="0" w:firstColumn="0" w:lastColumn="0" w:oddVBand="0" w:evenVBand="0" w:oddHBand="1" w:evenHBand="0" w:firstRowFirstColumn="0" w:firstRowLastColumn="0" w:lastRowFirstColumn="0" w:lastRowLastColumn="0"/>
          <w:cantSplit/>
          <w:trHeight w:val="352"/>
          <w:jc w:val="center"/>
        </w:trPr>
        <w:tc>
          <w:tcPr>
            <w:cnfStyle w:val="001000000000" w:firstRow="0" w:lastRow="0" w:firstColumn="1" w:lastColumn="0" w:oddVBand="0" w:evenVBand="0" w:oddHBand="0" w:evenHBand="0" w:firstRowFirstColumn="0" w:firstRowLastColumn="0" w:lastRowFirstColumn="0" w:lastRowLastColumn="0"/>
            <w:tcW w:w="1826" w:type="dxa"/>
            <w:tcBorders>
              <w:top w:val="single" w:sz="4" w:space="0" w:color="auto"/>
              <w:left w:val="single" w:sz="4" w:space="0" w:color="auto"/>
              <w:bottom w:val="single" w:sz="4" w:space="0" w:color="auto"/>
              <w:right w:val="single" w:sz="4" w:space="0" w:color="auto"/>
            </w:tcBorders>
            <w:shd w:val="clear" w:color="auto" w:fill="auto"/>
            <w:vAlign w:val="center"/>
          </w:tcPr>
          <w:p w14:paraId="25134018" w14:textId="5A98E5F1" w:rsidR="00CC01F9" w:rsidRPr="003F1AF9" w:rsidRDefault="00CC01F9" w:rsidP="00CC01F9">
            <w:pPr>
              <w:spacing w:line="240" w:lineRule="auto"/>
              <w:jc w:val="center"/>
              <w:rPr>
                <w:rFonts w:cs="Times New Roman"/>
                <w:b w:val="0"/>
                <w:color w:val="000000" w:themeColor="text1"/>
                <w:sz w:val="21"/>
                <w:szCs w:val="21"/>
              </w:rPr>
            </w:pPr>
            <w:r w:rsidRPr="003F1AF9">
              <w:rPr>
                <w:rFonts w:cs="Times New Roman"/>
                <w:color w:val="000000" w:themeColor="text1"/>
                <w:sz w:val="21"/>
                <w:szCs w:val="21"/>
              </w:rPr>
              <w:t>District heating and cooling</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E8E9CD3" w14:textId="1FA286D5"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Heating / Cooling</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70234F1F" w14:textId="47A50D89"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Low</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159F5DDD" w14:textId="3E9D729E"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1DE095AB" w14:textId="2CCA5F66"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4BDA854E" w14:textId="7F5BB100"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313" w:type="dxa"/>
            <w:tcBorders>
              <w:top w:val="single" w:sz="4" w:space="0" w:color="auto"/>
              <w:left w:val="single" w:sz="4" w:space="0" w:color="auto"/>
              <w:bottom w:val="single" w:sz="4" w:space="0" w:color="auto"/>
              <w:right w:val="single" w:sz="4" w:space="0" w:color="auto"/>
            </w:tcBorders>
            <w:shd w:val="clear" w:color="auto" w:fill="auto"/>
            <w:vAlign w:val="center"/>
          </w:tcPr>
          <w:p w14:paraId="1938E66B" w14:textId="584B7110"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Low to Medium</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36EC4B9F" w14:textId="76B7318E" w:rsidR="00CC01F9" w:rsidRPr="003F1AF9" w:rsidRDefault="00CC01F9" w:rsidP="00CC01F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221DE7CF" w14:textId="186E0A2A" w:rsidR="00CC01F9" w:rsidRPr="003F1AF9" w:rsidRDefault="00CC01F9" w:rsidP="00B80E5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High</w:t>
            </w:r>
          </w:p>
        </w:tc>
      </w:tr>
      <w:tr w:rsidR="00CC01F9" w:rsidRPr="003F1AF9" w14:paraId="197794F4" w14:textId="77777777" w:rsidTr="00B80E57">
        <w:trPr>
          <w:cantSplit/>
          <w:trHeight w:val="352"/>
          <w:jc w:val="center"/>
        </w:trPr>
        <w:tc>
          <w:tcPr>
            <w:cnfStyle w:val="001000000000" w:firstRow="0" w:lastRow="0" w:firstColumn="1" w:lastColumn="0" w:oddVBand="0" w:evenVBand="0" w:oddHBand="0" w:evenHBand="0" w:firstRowFirstColumn="0" w:firstRowLastColumn="0" w:lastRowFirstColumn="0" w:lastRowLastColumn="0"/>
            <w:tcW w:w="1826" w:type="dxa"/>
            <w:tcBorders>
              <w:top w:val="single" w:sz="4" w:space="0" w:color="auto"/>
              <w:left w:val="single" w:sz="4" w:space="0" w:color="auto"/>
              <w:bottom w:val="single" w:sz="4" w:space="0" w:color="auto"/>
              <w:right w:val="single" w:sz="4" w:space="0" w:color="auto"/>
            </w:tcBorders>
            <w:shd w:val="clear" w:color="auto" w:fill="auto"/>
            <w:vAlign w:val="center"/>
          </w:tcPr>
          <w:p w14:paraId="6D408863" w14:textId="54633681" w:rsidR="00CC01F9" w:rsidRPr="003F1AF9" w:rsidRDefault="00CC01F9" w:rsidP="00CC01F9">
            <w:pPr>
              <w:spacing w:line="240" w:lineRule="auto"/>
              <w:jc w:val="center"/>
              <w:rPr>
                <w:rFonts w:cs="Times New Roman"/>
                <w:b w:val="0"/>
                <w:color w:val="000000" w:themeColor="text1"/>
                <w:sz w:val="21"/>
                <w:szCs w:val="21"/>
              </w:rPr>
            </w:pPr>
            <w:r w:rsidRPr="003F1AF9">
              <w:rPr>
                <w:rFonts w:cs="Times New Roman"/>
                <w:color w:val="000000" w:themeColor="text1"/>
                <w:sz w:val="21"/>
                <w:szCs w:val="21"/>
              </w:rPr>
              <w:t>Advanced heat pump cycles; Solar heating and cooling</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FBD1F98" w14:textId="391B565F"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Heating / Cooling</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7571FE21" w14:textId="329A2CFD"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Low</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312F381E" w14:textId="3942E699"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021" w:type="dxa"/>
            <w:tcBorders>
              <w:top w:val="single" w:sz="4" w:space="0" w:color="auto"/>
              <w:left w:val="single" w:sz="4" w:space="0" w:color="auto"/>
              <w:bottom w:val="single" w:sz="4" w:space="0" w:color="auto"/>
              <w:right w:val="single" w:sz="4" w:space="0" w:color="auto"/>
            </w:tcBorders>
            <w:shd w:val="clear" w:color="auto" w:fill="auto"/>
            <w:vAlign w:val="center"/>
          </w:tcPr>
          <w:p w14:paraId="7B88A199" w14:textId="6ABA9F73"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43AC6E75" w14:textId="7BA246FB"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313" w:type="dxa"/>
            <w:tcBorders>
              <w:top w:val="single" w:sz="4" w:space="0" w:color="auto"/>
              <w:left w:val="single" w:sz="4" w:space="0" w:color="auto"/>
              <w:bottom w:val="single" w:sz="4" w:space="0" w:color="auto"/>
              <w:right w:val="single" w:sz="4" w:space="0" w:color="auto"/>
            </w:tcBorders>
            <w:shd w:val="clear" w:color="auto" w:fill="auto"/>
            <w:vAlign w:val="center"/>
          </w:tcPr>
          <w:p w14:paraId="49164C5B" w14:textId="613D489B"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777C0E54" w14:textId="6CF50C9E"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High</w:t>
            </w:r>
          </w:p>
        </w:tc>
        <w:tc>
          <w:tcPr>
            <w:tcW w:w="1353" w:type="dxa"/>
            <w:tcBorders>
              <w:top w:val="single" w:sz="4" w:space="0" w:color="auto"/>
              <w:left w:val="single" w:sz="4" w:space="0" w:color="auto"/>
              <w:bottom w:val="single" w:sz="4" w:space="0" w:color="auto"/>
              <w:right w:val="single" w:sz="4" w:space="0" w:color="auto"/>
            </w:tcBorders>
            <w:shd w:val="clear" w:color="auto" w:fill="auto"/>
            <w:vAlign w:val="center"/>
          </w:tcPr>
          <w:p w14:paraId="6D3EB376" w14:textId="256C02A7" w:rsidR="00CC01F9" w:rsidRPr="003F1AF9" w:rsidRDefault="00CC01F9" w:rsidP="00CC01F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High</w:t>
            </w:r>
          </w:p>
        </w:tc>
      </w:tr>
    </w:tbl>
    <w:p w14:paraId="5992C1C1" w14:textId="77777777" w:rsidR="006E706F" w:rsidRPr="003F1AF9" w:rsidRDefault="006E706F" w:rsidP="00132E27"/>
    <w:p w14:paraId="5D38CB7D" w14:textId="2ABAFFB3" w:rsidR="00905204" w:rsidRPr="003F1AF9" w:rsidRDefault="00905204" w:rsidP="00B80E57">
      <w:pPr>
        <w:pStyle w:val="Caption"/>
        <w:keepNext/>
        <w:jc w:val="center"/>
      </w:pPr>
      <w:bookmarkStart w:id="345" w:name="_Ref536184151"/>
      <w:bookmarkStart w:id="346" w:name="_Toc42289749"/>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1</w:t>
      </w:r>
      <w:r w:rsidR="00C0437B" w:rsidRPr="003F1AF9">
        <w:rPr>
          <w:noProof/>
        </w:rPr>
        <w:fldChar w:fldCharType="end"/>
      </w:r>
      <w:r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7</w:t>
      </w:r>
      <w:r w:rsidR="00C0437B" w:rsidRPr="003F1AF9">
        <w:rPr>
          <w:noProof/>
        </w:rPr>
        <w:fldChar w:fldCharType="end"/>
      </w:r>
      <w:bookmarkEnd w:id="345"/>
      <w:r w:rsidRPr="003F1AF9">
        <w:t xml:space="preserve"> Ratings Key for High-Efficiency Heat Pump Solution Comparison</w:t>
      </w:r>
      <w:bookmarkEnd w:id="346"/>
    </w:p>
    <w:tbl>
      <w:tblPr>
        <w:tblStyle w:val="MediumGrid3-Accent5"/>
        <w:tblW w:w="8451" w:type="dxa"/>
        <w:jc w:val="center"/>
        <w:tblLook w:val="04A0" w:firstRow="1" w:lastRow="0" w:firstColumn="1" w:lastColumn="0" w:noHBand="0" w:noVBand="1"/>
      </w:tblPr>
      <w:tblGrid>
        <w:gridCol w:w="991"/>
        <w:gridCol w:w="1288"/>
        <w:gridCol w:w="1157"/>
        <w:gridCol w:w="1157"/>
        <w:gridCol w:w="861"/>
        <w:gridCol w:w="861"/>
        <w:gridCol w:w="1002"/>
        <w:gridCol w:w="1134"/>
      </w:tblGrid>
      <w:tr w:rsidR="00152589" w:rsidRPr="003F1AF9" w14:paraId="233FA85B" w14:textId="77777777" w:rsidTr="00B80E57">
        <w:trPr>
          <w:cnfStyle w:val="100000000000" w:firstRow="1" w:lastRow="0" w:firstColumn="0" w:lastColumn="0" w:oddVBand="0" w:evenVBand="0" w:oddHBand="0"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62EFD83" w14:textId="22420A57" w:rsidR="00152589" w:rsidRPr="003F1AF9" w:rsidRDefault="00152589" w:rsidP="00B80E57">
            <w:pPr>
              <w:spacing w:after="0" w:line="240" w:lineRule="auto"/>
              <w:jc w:val="center"/>
              <w:rPr>
                <w:rFonts w:eastAsia="Times New Roman" w:cs="Times New Roman"/>
                <w:sz w:val="21"/>
                <w:szCs w:val="21"/>
                <w:lang w:eastAsia="en-US"/>
              </w:rPr>
            </w:pPr>
            <w:r w:rsidRPr="003F1AF9">
              <w:rPr>
                <w:rFonts w:eastAsia="Times New Roman" w:cs="Times New Roman"/>
                <w:sz w:val="21"/>
                <w:szCs w:val="21"/>
                <w:lang w:eastAsia="en-US"/>
              </w:rPr>
              <w:t>Level</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7A99B66F" w14:textId="77777777" w:rsidR="00152589" w:rsidRPr="003F1AF9" w:rsidRDefault="00152589" w:rsidP="00B80E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Breadth of Application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75F8C4B8" w14:textId="77777777" w:rsidR="00152589" w:rsidRPr="003F1AF9" w:rsidRDefault="00152589" w:rsidP="00B80E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GHG Emissions Reduction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39FC58C" w14:textId="77777777" w:rsidR="00152589" w:rsidRPr="003F1AF9" w:rsidRDefault="00152589" w:rsidP="00B80E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Fossil Energy Reduction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036A6BB2" w14:textId="77777777" w:rsidR="00152589" w:rsidRPr="003F1AF9" w:rsidRDefault="00152589" w:rsidP="00B80E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First Cost</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4B24B5B" w14:textId="77777777" w:rsidR="00152589" w:rsidRPr="003F1AF9" w:rsidRDefault="00152589" w:rsidP="00B80E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Life Cycle Cost</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701A4AB" w14:textId="2245F9E4" w:rsidR="00152589" w:rsidRPr="003F1AF9" w:rsidRDefault="00152589" w:rsidP="00B80E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Comfort and Health</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5172051" w14:textId="77777777" w:rsidR="00152589" w:rsidRPr="003F1AF9" w:rsidRDefault="00152589" w:rsidP="00B80E5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Resilience</w:t>
            </w:r>
          </w:p>
        </w:tc>
      </w:tr>
      <w:tr w:rsidR="00152589" w:rsidRPr="003F1AF9" w14:paraId="2918E6EA" w14:textId="77777777" w:rsidTr="00B80E57">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C2A783C" w14:textId="0EB25844" w:rsidR="00152589" w:rsidRPr="003F1AF9" w:rsidRDefault="00152589" w:rsidP="005B7EAB">
            <w:pPr>
              <w:spacing w:line="240" w:lineRule="auto"/>
              <w:jc w:val="center"/>
              <w:rPr>
                <w:rFonts w:cs="Times New Roman"/>
                <w:b w:val="0"/>
                <w:color w:val="000000" w:themeColor="text1"/>
                <w:sz w:val="21"/>
                <w:szCs w:val="21"/>
              </w:rPr>
            </w:pPr>
            <w:r w:rsidRPr="003F1AF9">
              <w:rPr>
                <w:rFonts w:cs="Times New Roman"/>
                <w:color w:val="000000" w:themeColor="text1"/>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072CBEF" w14:textId="56132AF7" w:rsidR="00152589" w:rsidRPr="003F1AF9" w:rsidRDefault="00152589" w:rsidP="005B7EA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67% to 100% of buildings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F0691D2" w14:textId="6C724FFC" w:rsidR="00152589" w:rsidRPr="003F1AF9" w:rsidRDefault="00152589" w:rsidP="005B7EA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67% to 100%</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A152B30" w14:textId="07951FE7" w:rsidR="00152589" w:rsidRPr="003F1AF9" w:rsidRDefault="00152589" w:rsidP="005B7EA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67% to 100%</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9269AB1" w14:textId="7D7D9DBC" w:rsidR="00152589" w:rsidRPr="003F1AF9" w:rsidRDefault="00152589" w:rsidP="005B7EA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Top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909525E" w14:textId="62E8091E" w:rsidR="00152589" w:rsidRPr="003F1AF9" w:rsidRDefault="00152589" w:rsidP="005B7EA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Top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5A9A05D" w14:textId="5934C7A0" w:rsidR="00152589" w:rsidRPr="003F1AF9" w:rsidRDefault="00152589" w:rsidP="005B7EA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Top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779DCD0" w14:textId="063DFC7B" w:rsidR="00152589" w:rsidRPr="003F1AF9" w:rsidRDefault="0015258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Little or no risk of disruption</w:t>
            </w:r>
          </w:p>
        </w:tc>
      </w:tr>
      <w:tr w:rsidR="00152589" w:rsidRPr="003F1AF9" w14:paraId="6B166638" w14:textId="77777777" w:rsidTr="00B80E57">
        <w:trPr>
          <w:trHeight w:val="315"/>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B5F6032" w14:textId="1A9185E6" w:rsidR="00152589" w:rsidRPr="003F1AF9" w:rsidRDefault="00152589" w:rsidP="005B7EAB">
            <w:pPr>
              <w:spacing w:line="240" w:lineRule="auto"/>
              <w:jc w:val="center"/>
              <w:rPr>
                <w:rFonts w:cs="Times New Roman"/>
                <w:b w:val="0"/>
                <w:color w:val="000000" w:themeColor="text1"/>
                <w:sz w:val="21"/>
                <w:szCs w:val="21"/>
              </w:rPr>
            </w:pPr>
            <w:r w:rsidRPr="003F1AF9">
              <w:rPr>
                <w:rFonts w:cs="Times New Roman"/>
                <w:color w:val="000000" w:themeColor="text1"/>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E6B8E3A" w14:textId="6C2293A7" w:rsidR="00152589" w:rsidRPr="003F1AF9" w:rsidRDefault="00152589" w:rsidP="005B7EAB">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33% to 66% of buildings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F3C0D21" w14:textId="2512545F" w:rsidR="00152589" w:rsidRPr="003F1AF9" w:rsidRDefault="00152589" w:rsidP="005B7EAB">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33% to 66%</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DD07E75" w14:textId="7EF59AE9" w:rsidR="00152589" w:rsidRPr="003F1AF9" w:rsidRDefault="00152589" w:rsidP="005B7EAB">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33% to 66%</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29035AF" w14:textId="57192B15" w:rsidR="00152589" w:rsidRPr="003F1AF9" w:rsidRDefault="00152589" w:rsidP="005B7EAB">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Middle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16832A0" w14:textId="7AB2B629" w:rsidR="00152589" w:rsidRPr="003F1AF9" w:rsidRDefault="00152589" w:rsidP="005B7EAB">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Middle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56AD281" w14:textId="58DB1A64" w:rsidR="00152589" w:rsidRPr="003F1AF9" w:rsidRDefault="00152589" w:rsidP="005B7EAB">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Middle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E1A8969" w14:textId="2884A7C1" w:rsidR="00152589" w:rsidRPr="003F1AF9" w:rsidRDefault="00152589">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Moderate risk of disruption</w:t>
            </w:r>
          </w:p>
        </w:tc>
      </w:tr>
      <w:tr w:rsidR="00152589" w:rsidRPr="003F1AF9" w14:paraId="22E1F71F" w14:textId="77777777" w:rsidTr="00B80E57">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55C73D2" w14:textId="3C9F0660" w:rsidR="00152589" w:rsidRPr="003F1AF9" w:rsidRDefault="00152589" w:rsidP="005B7EAB">
            <w:pPr>
              <w:spacing w:line="240" w:lineRule="auto"/>
              <w:jc w:val="center"/>
              <w:rPr>
                <w:rFonts w:cs="Times New Roman"/>
                <w:b w:val="0"/>
                <w:color w:val="000000" w:themeColor="text1"/>
                <w:sz w:val="21"/>
                <w:szCs w:val="21"/>
              </w:rPr>
            </w:pPr>
            <w:r w:rsidRPr="003F1AF9">
              <w:rPr>
                <w:rFonts w:cs="Times New Roman"/>
                <w:color w:val="000000" w:themeColor="text1"/>
                <w:sz w:val="21"/>
                <w:szCs w:val="21"/>
              </w:rPr>
              <w:t>Low</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11CE0F0" w14:textId="1E499A1C" w:rsidR="00152589" w:rsidRPr="003F1AF9" w:rsidRDefault="00152589" w:rsidP="005B7EA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0% to 33% of buildings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BEE2BC7" w14:textId="3307DA63" w:rsidR="00152589" w:rsidRPr="003F1AF9" w:rsidRDefault="00152589" w:rsidP="005B7EA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0% to 33%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B127445" w14:textId="2F44CD1D" w:rsidR="00152589" w:rsidRPr="003F1AF9" w:rsidRDefault="00152589" w:rsidP="005B7EA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0% to 33%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E034205" w14:textId="7B96B325" w:rsidR="00152589" w:rsidRPr="003F1AF9" w:rsidRDefault="00152589" w:rsidP="005B7EA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Bottom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E08BA8B" w14:textId="3503432C" w:rsidR="00152589" w:rsidRPr="003F1AF9" w:rsidRDefault="00152589" w:rsidP="005B7EA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Bottom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FE94296" w14:textId="6890634A" w:rsidR="00152589" w:rsidRPr="003F1AF9" w:rsidRDefault="00152589" w:rsidP="005B7EAB">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Bottom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2AC310A" w14:textId="32CEC87D" w:rsidR="00152589" w:rsidRPr="003F1AF9" w:rsidRDefault="00152589">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Large risk of disruption</w:t>
            </w:r>
          </w:p>
        </w:tc>
      </w:tr>
    </w:tbl>
    <w:p w14:paraId="1CCB0A60" w14:textId="77777777" w:rsidR="00C8497D" w:rsidRPr="003F1AF9" w:rsidRDefault="00C8497D" w:rsidP="00132E27"/>
    <w:p w14:paraId="58D827DE" w14:textId="73571849" w:rsidR="00F52595" w:rsidRPr="003F1AF9" w:rsidRDefault="00F52595" w:rsidP="00EB247F">
      <w:pPr>
        <w:autoSpaceDE w:val="0"/>
        <w:spacing w:after="0"/>
        <w:rPr>
          <w:rFonts w:asciiTheme="majorHAnsi" w:eastAsiaTheme="majorEastAsia" w:hAnsiTheme="majorHAnsi" w:cstheme="majorBidi"/>
          <w:b/>
          <w:bCs/>
          <w:smallCaps/>
          <w:color w:val="000000" w:themeColor="text1"/>
          <w:sz w:val="36"/>
          <w:szCs w:val="36"/>
        </w:rPr>
        <w:sectPr w:rsidR="00F52595" w:rsidRPr="003F1AF9" w:rsidSect="00C44058">
          <w:footerReference w:type="default" r:id="rId18"/>
          <w:pgSz w:w="12240" w:h="15840"/>
          <w:pgMar w:top="1440" w:right="1440" w:bottom="1440" w:left="1440" w:header="720" w:footer="720" w:gutter="0"/>
          <w:pgNumType w:start="1"/>
          <w:cols w:space="720"/>
        </w:sectPr>
      </w:pPr>
    </w:p>
    <w:p w14:paraId="756DEC01" w14:textId="2A9B7491" w:rsidR="00966563" w:rsidRPr="003F1AF9" w:rsidRDefault="551A77D0" w:rsidP="00F436B3">
      <w:pPr>
        <w:pStyle w:val="Heading1"/>
      </w:pPr>
      <w:bookmarkStart w:id="347" w:name="_Ref536182998"/>
      <w:bookmarkStart w:id="348" w:name="_Toc42289714"/>
      <w:r w:rsidRPr="003F1AF9">
        <w:lastRenderedPageBreak/>
        <w:t>Methodology</w:t>
      </w:r>
      <w:bookmarkEnd w:id="347"/>
      <w:bookmarkEnd w:id="348"/>
    </w:p>
    <w:p w14:paraId="567926D6" w14:textId="2E842B8D" w:rsidR="00BD136D" w:rsidRPr="003F1AF9" w:rsidRDefault="00686965">
      <w:pPr>
        <w:pStyle w:val="Heading2"/>
        <w:numPr>
          <w:ilvl w:val="1"/>
          <w:numId w:val="5"/>
        </w:numPr>
      </w:pPr>
      <w:bookmarkStart w:id="349" w:name="_Toc42289715"/>
      <w:r w:rsidRPr="003F1AF9">
        <w:t>Introduction</w:t>
      </w:r>
      <w:bookmarkEnd w:id="349"/>
    </w:p>
    <w:p w14:paraId="1AE6AC07" w14:textId="1A5FEFE7" w:rsidR="005B7EAB" w:rsidRPr="003F1AF9" w:rsidRDefault="005B7EAB" w:rsidP="00132E27">
      <w:r w:rsidRPr="003F1AF9">
        <w:t xml:space="preserve">Project Drawdown’s models are developed in Microsoft Excel using standard templates that allow easier integration since integration is critical to the bottom-up approach used. The template used for this solution was the Reduction and Replacement Solutions (RRS) </w:t>
      </w:r>
      <w:r w:rsidR="000C53EC">
        <w:t xml:space="preserve">model </w:t>
      </w:r>
      <w:r w:rsidRPr="003F1AF9">
        <w:t>which accounts for reductions in energy consumption and emissions generation for a solution relative to a conventional technology.</w:t>
      </w:r>
      <w:r w:rsidR="0078120E">
        <w:t xml:space="preserve"> </w:t>
      </w:r>
      <w:r w:rsidRPr="003F1AF9">
        <w:t>These technologies are assumed to compete in markets to supply the final functional demand which is exogenous to the model, but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2015 to 2060 (from a base year of 2014) and the comparison of these scenarios (for the 2020-2050 segment</w:t>
      </w:r>
      <w:r w:rsidR="000314B1" w:rsidRPr="003F1AF9">
        <w:rPr>
          <w:vertAlign w:val="superscript"/>
        </w:rPr>
        <w:footnoteReference w:id="2"/>
      </w:r>
      <w:r w:rsidRPr="003F1AF9">
        <w:t>) is what constituted the results.</w:t>
      </w:r>
    </w:p>
    <w:p w14:paraId="0D598CBD" w14:textId="495BA536" w:rsidR="00AF3449" w:rsidRPr="003F1AF9" w:rsidRDefault="008E08A7" w:rsidP="00E542F5">
      <w:r w:rsidRPr="003F1AF9">
        <w:t>The</w:t>
      </w:r>
      <w:r w:rsidR="009E4471" w:rsidRPr="003F1AF9">
        <w:t xml:space="preserve"> solution </w:t>
      </w:r>
      <w:r w:rsidRPr="003F1AF9">
        <w:t xml:space="preserve">selected for this Technical Assessment is </w:t>
      </w:r>
      <w:r w:rsidR="009E4471" w:rsidRPr="003F1AF9">
        <w:t>high-efficiency heat pumps (HEHPs) for space heating and cooling</w:t>
      </w:r>
      <w:r w:rsidR="007B3DE2" w:rsidRPr="003F1AF9">
        <w:t>.</w:t>
      </w:r>
      <w:r w:rsidR="0078120E">
        <w:t xml:space="preserve"> </w:t>
      </w:r>
      <w:r w:rsidR="000D6606" w:rsidRPr="003F1AF9">
        <w:t>The objective is to model the potential climate and financial impacts of a high adoption of high-efficiency heat pumps.</w:t>
      </w:r>
      <w:r w:rsidR="0078120E">
        <w:t xml:space="preserve"> </w:t>
      </w:r>
      <w:r w:rsidRPr="003F1AF9">
        <w:t xml:space="preserve">The </w:t>
      </w:r>
      <w:r w:rsidR="007B3DE2" w:rsidRPr="003F1AF9">
        <w:t>initial focus is on heat pumps for space heating</w:t>
      </w:r>
      <w:r w:rsidR="000D6606" w:rsidRPr="003F1AF9">
        <w:t>;</w:t>
      </w:r>
      <w:r w:rsidR="00064519" w:rsidRPr="003F1AF9">
        <w:t xml:space="preserve"> a high efficiency heat pump is defined as one with </w:t>
      </w:r>
      <w:r w:rsidR="000D6606" w:rsidRPr="003F1AF9">
        <w:t xml:space="preserve">heating </w:t>
      </w:r>
      <w:r w:rsidR="00064519" w:rsidRPr="003F1AF9">
        <w:t xml:space="preserve">SCOP of at least 3.5 </w:t>
      </w:r>
      <w:proofErr w:type="spellStart"/>
      <w:r w:rsidR="00064519" w:rsidRPr="003F1AF9">
        <w:t>Wh</w:t>
      </w:r>
      <w:proofErr w:type="spellEnd"/>
      <w:r w:rsidR="00064519" w:rsidRPr="003F1AF9">
        <w:t>/Wh</w:t>
      </w:r>
      <w:r w:rsidR="009E4471" w:rsidRPr="003F1AF9">
        <w:t>.</w:t>
      </w:r>
      <w:r w:rsidR="0078120E">
        <w:t xml:space="preserve"> </w:t>
      </w:r>
    </w:p>
    <w:p w14:paraId="0ADC3BE3" w14:textId="77777777" w:rsidR="007422C9" w:rsidRPr="003F1AF9" w:rsidRDefault="007422C9">
      <w:pPr>
        <w:spacing w:after="160" w:line="259" w:lineRule="auto"/>
        <w:jc w:val="left"/>
      </w:pPr>
      <w:r w:rsidRPr="003F1AF9">
        <w:br w:type="page"/>
      </w:r>
    </w:p>
    <w:p w14:paraId="3E7CDAA0" w14:textId="4C6DAFEA" w:rsidR="003935CD" w:rsidRPr="003F1AF9" w:rsidRDefault="00064519" w:rsidP="00CD165E">
      <w:r w:rsidRPr="003F1AF9">
        <w:lastRenderedPageBreak/>
        <w:fldChar w:fldCharType="begin"/>
      </w:r>
      <w:r w:rsidRPr="003F1AF9">
        <w:instrText xml:space="preserve"> REF _Ref536524432 \h </w:instrText>
      </w:r>
      <w:r w:rsidRPr="003F1AF9">
        <w:fldChar w:fldCharType="separate"/>
      </w:r>
      <w:r w:rsidR="00E60668" w:rsidRPr="003F1AF9">
        <w:t xml:space="preserve">Table </w:t>
      </w:r>
      <w:r w:rsidR="00E60668">
        <w:rPr>
          <w:noProof/>
        </w:rPr>
        <w:t>2</w:t>
      </w:r>
      <w:r w:rsidR="00E60668" w:rsidRPr="003F1AF9">
        <w:t>.</w:t>
      </w:r>
      <w:r w:rsidR="00E60668">
        <w:rPr>
          <w:noProof/>
        </w:rPr>
        <w:t>1</w:t>
      </w:r>
      <w:r w:rsidRPr="003F1AF9">
        <w:fldChar w:fldCharType="end"/>
      </w:r>
      <w:r w:rsidR="004F4BC1" w:rsidRPr="003F1AF9">
        <w:t xml:space="preserve"> summarizes the heating and cooling equipment that high-efficiency heat pumps </w:t>
      </w:r>
      <w:r w:rsidR="00E542F5" w:rsidRPr="003F1AF9">
        <w:t xml:space="preserve">are assumed to </w:t>
      </w:r>
      <w:r w:rsidR="004F4BC1" w:rsidRPr="003F1AF9">
        <w:t>replace</w:t>
      </w:r>
      <w:r w:rsidR="00C50F2C">
        <w:t>.</w:t>
      </w:r>
      <w:r w:rsidR="004F4BC1" w:rsidRPr="003F1AF9">
        <w:t xml:space="preserve"> </w:t>
      </w:r>
    </w:p>
    <w:p w14:paraId="6641FBEC" w14:textId="6DA22A42" w:rsidR="005110E8" w:rsidRPr="003F1AF9" w:rsidRDefault="005110E8" w:rsidP="00B11449">
      <w:pPr>
        <w:pStyle w:val="Caption"/>
        <w:keepNext/>
        <w:jc w:val="center"/>
      </w:pPr>
      <w:bookmarkStart w:id="351" w:name="_Ref536524432"/>
      <w:bookmarkStart w:id="352" w:name="_Toc42289750"/>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2</w:t>
      </w:r>
      <w:r w:rsidR="00C0437B" w:rsidRPr="003F1AF9">
        <w:rPr>
          <w:noProof/>
        </w:rPr>
        <w:fldChar w:fldCharType="end"/>
      </w:r>
      <w:r w:rsidR="00905204"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1</w:t>
      </w:r>
      <w:r w:rsidR="00C0437B" w:rsidRPr="003F1AF9">
        <w:rPr>
          <w:noProof/>
        </w:rPr>
        <w:fldChar w:fldCharType="end"/>
      </w:r>
      <w:bookmarkEnd w:id="351"/>
      <w:r w:rsidRPr="003F1AF9">
        <w:t xml:space="preserve"> High-efficiency heat pump replacement of conventional space heating and cooling equipment</w:t>
      </w:r>
      <w:bookmarkEnd w:id="352"/>
    </w:p>
    <w:tbl>
      <w:tblPr>
        <w:tblStyle w:val="MediumGrid3-Accent5"/>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F81BD" w:themeFill="accent1"/>
        <w:tblLook w:val="04A0" w:firstRow="1" w:lastRow="0" w:firstColumn="1" w:lastColumn="0" w:noHBand="0" w:noVBand="1"/>
      </w:tblPr>
      <w:tblGrid>
        <w:gridCol w:w="1584"/>
        <w:gridCol w:w="3690"/>
        <w:gridCol w:w="3474"/>
      </w:tblGrid>
      <w:tr w:rsidR="00C144A8" w:rsidRPr="003F1AF9" w14:paraId="131E27D9" w14:textId="77777777" w:rsidTr="00B80E57">
        <w:trPr>
          <w:cnfStyle w:val="100000000000" w:firstRow="1" w:lastRow="0" w:firstColumn="0" w:lastColumn="0" w:oddVBand="0" w:evenVBand="0" w:oddHBand="0" w:evenHBand="0" w:firstRowFirstColumn="0" w:firstRowLastColumn="0" w:lastRowFirstColumn="0" w:lastRowLastColumn="0"/>
          <w:trHeight w:val="988"/>
          <w:jc w:val="center"/>
        </w:trPr>
        <w:tc>
          <w:tcPr>
            <w:cnfStyle w:val="001000000000" w:firstRow="0" w:lastRow="0" w:firstColumn="1" w:lastColumn="0" w:oddVBand="0" w:evenVBand="0" w:oddHBand="0" w:evenHBand="0" w:firstRowFirstColumn="0" w:firstRowLastColumn="0" w:lastRowFirstColumn="0" w:lastRowLastColumn="0"/>
            <w:tcW w:w="1584"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F701E06" w14:textId="77777777" w:rsidR="004F4BC1" w:rsidRPr="003F1AF9" w:rsidRDefault="004F4BC1" w:rsidP="00637D6E">
            <w:pPr>
              <w:spacing w:after="0" w:line="240" w:lineRule="auto"/>
              <w:jc w:val="center"/>
              <w:rPr>
                <w:rFonts w:eastAsia="Times New Roman" w:cs="Times New Roman"/>
                <w:lang w:eastAsia="en-US"/>
              </w:rPr>
            </w:pPr>
            <w:r w:rsidRPr="003F1AF9">
              <w:rPr>
                <w:rFonts w:eastAsia="Times New Roman" w:cs="Times New Roman"/>
                <w:lang w:eastAsia="en-US"/>
              </w:rPr>
              <w:t>Building Application</w:t>
            </w:r>
          </w:p>
        </w:tc>
        <w:tc>
          <w:tcPr>
            <w:tcW w:w="369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5B3C7ED4" w14:textId="52AA256A" w:rsidR="004F4BC1" w:rsidRPr="003F1AF9" w:rsidRDefault="004F4BC1" w:rsidP="00637D6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US"/>
              </w:rPr>
            </w:pPr>
            <w:r w:rsidRPr="003F1AF9">
              <w:rPr>
                <w:rFonts w:eastAsia="Times New Roman" w:cs="Times New Roman"/>
                <w:lang w:eastAsia="en-US"/>
              </w:rPr>
              <w:t>Conventional Equipment</w:t>
            </w:r>
          </w:p>
        </w:tc>
        <w:tc>
          <w:tcPr>
            <w:tcW w:w="3474"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3ADA8320" w14:textId="5FE4F849" w:rsidR="004F4BC1" w:rsidRPr="003F1AF9" w:rsidRDefault="004F4BC1" w:rsidP="00637D6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US"/>
              </w:rPr>
            </w:pPr>
            <w:r w:rsidRPr="003F1AF9">
              <w:rPr>
                <w:rFonts w:eastAsia="Times New Roman" w:cs="Times New Roman"/>
                <w:lang w:eastAsia="en-US"/>
              </w:rPr>
              <w:t>HEHP Solution</w:t>
            </w:r>
          </w:p>
        </w:tc>
      </w:tr>
      <w:tr w:rsidR="004F4BC1" w:rsidRPr="003F1AF9" w14:paraId="6F3824A0" w14:textId="77777777" w:rsidTr="00B80E5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584" w:type="dxa"/>
            <w:tcBorders>
              <w:top w:val="single" w:sz="4" w:space="0" w:color="auto"/>
              <w:left w:val="none" w:sz="0" w:space="0" w:color="auto"/>
              <w:bottom w:val="none" w:sz="0" w:space="0" w:color="auto"/>
              <w:right w:val="none" w:sz="0" w:space="0" w:color="auto"/>
            </w:tcBorders>
            <w:shd w:val="clear" w:color="auto" w:fill="auto"/>
            <w:vAlign w:val="center"/>
            <w:hideMark/>
          </w:tcPr>
          <w:p w14:paraId="06EB603D" w14:textId="54D7D68D" w:rsidR="004F4BC1" w:rsidRPr="003F1AF9" w:rsidRDefault="004F4BC1">
            <w:pPr>
              <w:spacing w:after="0" w:line="240" w:lineRule="auto"/>
              <w:jc w:val="center"/>
              <w:rPr>
                <w:rFonts w:eastAsia="Times New Roman" w:cs="Times New Roman"/>
                <w:b w:val="0"/>
                <w:color w:val="000000"/>
                <w:lang w:eastAsia="en-US"/>
              </w:rPr>
            </w:pPr>
            <w:r w:rsidRPr="003F1AF9">
              <w:rPr>
                <w:rFonts w:eastAsia="Times New Roman" w:cs="Times New Roman"/>
                <w:color w:val="000000"/>
                <w:lang w:eastAsia="en-US"/>
              </w:rPr>
              <w:t xml:space="preserve">Space Heating </w:t>
            </w:r>
          </w:p>
        </w:tc>
        <w:tc>
          <w:tcPr>
            <w:tcW w:w="3690" w:type="dxa"/>
            <w:tcBorders>
              <w:top w:val="single" w:sz="4" w:space="0" w:color="auto"/>
              <w:left w:val="none" w:sz="0" w:space="0" w:color="auto"/>
              <w:bottom w:val="none" w:sz="0" w:space="0" w:color="auto"/>
              <w:right w:val="none" w:sz="0" w:space="0" w:color="auto"/>
            </w:tcBorders>
            <w:shd w:val="clear" w:color="auto" w:fill="auto"/>
            <w:noWrap/>
            <w:vAlign w:val="center"/>
            <w:hideMark/>
          </w:tcPr>
          <w:p w14:paraId="28793AC1" w14:textId="5AA29512" w:rsidR="00113936" w:rsidRPr="003F1AF9" w:rsidRDefault="00113936" w:rsidP="00F436B3">
            <w:pPr>
              <w:pStyle w:val="ListParagraph"/>
              <w:numPr>
                <w:ilvl w:val="0"/>
                <w:numId w:val="26"/>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US"/>
              </w:rPr>
            </w:pPr>
            <w:r w:rsidRPr="003F1AF9">
              <w:rPr>
                <w:rFonts w:eastAsia="Times New Roman" w:cs="Times New Roman"/>
                <w:lang w:eastAsia="en-US"/>
              </w:rPr>
              <w:t>Combustion equipment</w:t>
            </w:r>
            <w:r w:rsidR="003A7F10" w:rsidRPr="003F1AF9">
              <w:rPr>
                <w:rFonts w:eastAsia="Times New Roman" w:cs="Times New Roman"/>
                <w:lang w:eastAsia="en-US"/>
              </w:rPr>
              <w:t xml:space="preserve"> including r</w:t>
            </w:r>
            <w:r w:rsidRPr="003F1AF9">
              <w:rPr>
                <w:rFonts w:eastAsia="Times New Roman" w:cs="Times New Roman"/>
                <w:lang w:eastAsia="en-US"/>
              </w:rPr>
              <w:t xml:space="preserve">esidential and commercial </w:t>
            </w:r>
            <w:r w:rsidR="003A7F10" w:rsidRPr="003F1AF9">
              <w:rPr>
                <w:rFonts w:eastAsia="Times New Roman" w:cs="Times New Roman"/>
                <w:lang w:eastAsia="en-US"/>
              </w:rPr>
              <w:t xml:space="preserve">gas-fired and oil-fired boilers, </w:t>
            </w:r>
            <w:r w:rsidRPr="003F1AF9">
              <w:rPr>
                <w:rFonts w:eastAsia="Times New Roman" w:cs="Times New Roman"/>
                <w:lang w:eastAsia="en-US"/>
              </w:rPr>
              <w:t>furnaces</w:t>
            </w:r>
            <w:r w:rsidR="003A7F10" w:rsidRPr="003F1AF9">
              <w:rPr>
                <w:rFonts w:eastAsia="Times New Roman" w:cs="Times New Roman"/>
                <w:lang w:eastAsia="en-US"/>
              </w:rPr>
              <w:t xml:space="preserve"> and unit heaters</w:t>
            </w:r>
            <w:r w:rsidR="00D83D24">
              <w:rPr>
                <w:rFonts w:eastAsia="Times New Roman" w:cs="Times New Roman"/>
                <w:lang w:eastAsia="en-US"/>
              </w:rPr>
              <w:t>.</w:t>
            </w:r>
          </w:p>
          <w:p w14:paraId="6B5DBDF5" w14:textId="2A3DB1BA" w:rsidR="003A7F10" w:rsidRPr="003F1AF9" w:rsidRDefault="003A7F10" w:rsidP="00F436B3">
            <w:pPr>
              <w:pStyle w:val="ListParagraph"/>
              <w:numPr>
                <w:ilvl w:val="0"/>
                <w:numId w:val="26"/>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US"/>
              </w:rPr>
            </w:pPr>
            <w:r w:rsidRPr="003F1AF9">
              <w:rPr>
                <w:rFonts w:eastAsia="Times New Roman" w:cs="Times New Roman"/>
                <w:lang w:eastAsia="en-US"/>
              </w:rPr>
              <w:t>Electric resistance furnaces and unit heaters</w:t>
            </w:r>
            <w:r w:rsidR="00D83D24">
              <w:rPr>
                <w:rFonts w:eastAsia="Times New Roman" w:cs="Times New Roman"/>
                <w:lang w:eastAsia="en-US"/>
              </w:rPr>
              <w:t>.</w:t>
            </w:r>
          </w:p>
          <w:p w14:paraId="0ED7C4AD" w14:textId="51427CAF" w:rsidR="00113936" w:rsidRPr="003F1AF9" w:rsidRDefault="00113936" w:rsidP="001667EA">
            <w:pPr>
              <w:pStyle w:val="ListParagraph"/>
              <w:spacing w:after="0" w:line="240" w:lineRule="auto"/>
              <w:ind w:left="360"/>
              <w:jc w:val="left"/>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US"/>
              </w:rPr>
            </w:pPr>
          </w:p>
        </w:tc>
        <w:tc>
          <w:tcPr>
            <w:tcW w:w="3474" w:type="dxa"/>
            <w:tcBorders>
              <w:top w:val="single" w:sz="4" w:space="0" w:color="auto"/>
              <w:left w:val="none" w:sz="0" w:space="0" w:color="auto"/>
              <w:bottom w:val="none" w:sz="0" w:space="0" w:color="auto"/>
              <w:right w:val="none" w:sz="0" w:space="0" w:color="auto"/>
            </w:tcBorders>
            <w:shd w:val="clear" w:color="auto" w:fill="auto"/>
            <w:vAlign w:val="center"/>
            <w:hideMark/>
          </w:tcPr>
          <w:p w14:paraId="740D0365" w14:textId="68570A6B" w:rsidR="004F4BC1" w:rsidRPr="003F1AF9" w:rsidRDefault="004F4BC1" w:rsidP="00132E27">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US"/>
              </w:rPr>
            </w:pPr>
            <w:r w:rsidRPr="003F1AF9">
              <w:rPr>
                <w:rFonts w:eastAsia="Times New Roman" w:cs="Times New Roman"/>
                <w:lang w:eastAsia="en-US"/>
              </w:rPr>
              <w:t xml:space="preserve">High-efficiency heat pumps (SCOP of 3.5+ </w:t>
            </w:r>
            <w:proofErr w:type="spellStart"/>
            <w:r w:rsidRPr="003F1AF9">
              <w:rPr>
                <w:rFonts w:eastAsia="Times New Roman" w:cs="Times New Roman"/>
                <w:lang w:eastAsia="en-US"/>
              </w:rPr>
              <w:t>Wh</w:t>
            </w:r>
            <w:proofErr w:type="spellEnd"/>
            <w:r w:rsidRPr="003F1AF9">
              <w:rPr>
                <w:rFonts w:eastAsia="Times New Roman" w:cs="Times New Roman"/>
                <w:lang w:eastAsia="en-US"/>
              </w:rPr>
              <w:t>/</w:t>
            </w:r>
            <w:proofErr w:type="spellStart"/>
            <w:r w:rsidRPr="003F1AF9">
              <w:rPr>
                <w:rFonts w:eastAsia="Times New Roman" w:cs="Times New Roman"/>
                <w:lang w:eastAsia="en-US"/>
              </w:rPr>
              <w:t>Wh</w:t>
            </w:r>
            <w:proofErr w:type="spellEnd"/>
            <w:r w:rsidRPr="003F1AF9">
              <w:rPr>
                <w:rFonts w:eastAsia="Times New Roman" w:cs="Times New Roman"/>
                <w:lang w:eastAsia="en-US"/>
              </w:rPr>
              <w:t>)</w:t>
            </w:r>
            <w:r w:rsidR="00EE1532" w:rsidRPr="003F1AF9">
              <w:rPr>
                <w:rFonts w:eastAsia="Times New Roman" w:cs="Times New Roman"/>
                <w:lang w:eastAsia="en-US"/>
              </w:rPr>
              <w:t>, both central and room units:</w:t>
            </w:r>
            <w:r w:rsidR="0078120E">
              <w:rPr>
                <w:rFonts w:eastAsia="Times New Roman" w:cs="Times New Roman"/>
                <w:lang w:eastAsia="en-US"/>
              </w:rPr>
              <w:t xml:space="preserve"> </w:t>
            </w:r>
          </w:p>
          <w:p w14:paraId="14809ECB" w14:textId="037FD397" w:rsidR="004F4BC1" w:rsidRPr="003F1AF9" w:rsidRDefault="004F4BC1" w:rsidP="00F436B3">
            <w:pPr>
              <w:pStyle w:val="ListParagraph"/>
              <w:numPr>
                <w:ilvl w:val="0"/>
                <w:numId w:val="2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US"/>
              </w:rPr>
            </w:pPr>
            <w:r w:rsidRPr="003F1AF9">
              <w:rPr>
                <w:rFonts w:eastAsia="Times New Roman" w:cs="Times New Roman"/>
                <w:lang w:eastAsia="en-US"/>
              </w:rPr>
              <w:t xml:space="preserve">Residential </w:t>
            </w:r>
            <w:r w:rsidR="00113936" w:rsidRPr="003F1AF9">
              <w:rPr>
                <w:rFonts w:eastAsia="Times New Roman" w:cs="Times New Roman"/>
                <w:lang w:eastAsia="en-US"/>
              </w:rPr>
              <w:t xml:space="preserve">and commercial </w:t>
            </w:r>
            <w:r w:rsidRPr="003F1AF9">
              <w:rPr>
                <w:rFonts w:eastAsia="Times New Roman" w:cs="Times New Roman"/>
                <w:lang w:eastAsia="en-US"/>
              </w:rPr>
              <w:t xml:space="preserve">air-source heat pumps </w:t>
            </w:r>
          </w:p>
          <w:p w14:paraId="06A0E363" w14:textId="09650353" w:rsidR="004F4BC1" w:rsidRPr="003F1AF9" w:rsidRDefault="00113936" w:rsidP="00F436B3">
            <w:pPr>
              <w:pStyle w:val="ListParagraph"/>
              <w:numPr>
                <w:ilvl w:val="0"/>
                <w:numId w:val="25"/>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3F3F76"/>
                <w:lang w:eastAsia="en-US"/>
              </w:rPr>
            </w:pPr>
            <w:r w:rsidRPr="003F1AF9">
              <w:rPr>
                <w:rFonts w:eastAsia="Times New Roman" w:cs="Times New Roman"/>
                <w:lang w:eastAsia="en-US"/>
              </w:rPr>
              <w:t>Residential and c</w:t>
            </w:r>
            <w:r w:rsidR="004F4BC1" w:rsidRPr="003F1AF9">
              <w:rPr>
                <w:rFonts w:eastAsia="Times New Roman" w:cs="Times New Roman"/>
                <w:lang w:eastAsia="en-US"/>
              </w:rPr>
              <w:t xml:space="preserve">ommercial </w:t>
            </w:r>
            <w:r w:rsidRPr="003F1AF9">
              <w:rPr>
                <w:rFonts w:eastAsia="Times New Roman" w:cs="Times New Roman"/>
                <w:lang w:eastAsia="en-US"/>
              </w:rPr>
              <w:t>ground</w:t>
            </w:r>
            <w:r w:rsidR="004F4BC1" w:rsidRPr="003F1AF9">
              <w:rPr>
                <w:rFonts w:eastAsia="Times New Roman" w:cs="Times New Roman"/>
                <w:lang w:eastAsia="en-US"/>
              </w:rPr>
              <w:t>-source heat pumps</w:t>
            </w:r>
          </w:p>
        </w:tc>
      </w:tr>
      <w:tr w:rsidR="004F4BC1" w:rsidRPr="003F1AF9" w14:paraId="3D49D819" w14:textId="77777777" w:rsidTr="00B80E57">
        <w:trPr>
          <w:trHeight w:val="600"/>
          <w:jc w:val="center"/>
        </w:trPr>
        <w:tc>
          <w:tcPr>
            <w:cnfStyle w:val="001000000000" w:firstRow="0" w:lastRow="0" w:firstColumn="1" w:lastColumn="0" w:oddVBand="0" w:evenVBand="0" w:oddHBand="0" w:evenHBand="0" w:firstRowFirstColumn="0" w:firstRowLastColumn="0" w:lastRowFirstColumn="0" w:lastRowLastColumn="0"/>
            <w:tcW w:w="1584" w:type="dxa"/>
            <w:tcBorders>
              <w:left w:val="none" w:sz="0" w:space="0" w:color="auto"/>
              <w:right w:val="none" w:sz="0" w:space="0" w:color="auto"/>
            </w:tcBorders>
            <w:shd w:val="clear" w:color="auto" w:fill="auto"/>
            <w:vAlign w:val="center"/>
            <w:hideMark/>
          </w:tcPr>
          <w:p w14:paraId="57E2020A" w14:textId="774EB011" w:rsidR="004F4BC1" w:rsidRPr="003F1AF9" w:rsidRDefault="004F4BC1">
            <w:pPr>
              <w:spacing w:after="0" w:line="240" w:lineRule="auto"/>
              <w:jc w:val="center"/>
              <w:rPr>
                <w:rFonts w:eastAsia="Times New Roman" w:cs="Times New Roman"/>
                <w:b w:val="0"/>
                <w:color w:val="000000"/>
                <w:lang w:eastAsia="en-US"/>
              </w:rPr>
            </w:pPr>
            <w:r w:rsidRPr="003F1AF9">
              <w:rPr>
                <w:rFonts w:eastAsia="Times New Roman" w:cs="Times New Roman"/>
                <w:color w:val="000000"/>
                <w:lang w:eastAsia="en-US"/>
              </w:rPr>
              <w:t xml:space="preserve">Space Cooling </w:t>
            </w:r>
          </w:p>
        </w:tc>
        <w:tc>
          <w:tcPr>
            <w:tcW w:w="3690" w:type="dxa"/>
            <w:shd w:val="clear" w:color="auto" w:fill="auto"/>
            <w:noWrap/>
            <w:vAlign w:val="center"/>
            <w:hideMark/>
          </w:tcPr>
          <w:p w14:paraId="43C5BBC2" w14:textId="1BD7EC69" w:rsidR="003A7F10" w:rsidRPr="003F1AF9" w:rsidRDefault="003A7F10" w:rsidP="00F436B3">
            <w:pPr>
              <w:pStyle w:val="ListParagraph"/>
              <w:numPr>
                <w:ilvl w:val="0"/>
                <w:numId w:val="2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US"/>
              </w:rPr>
            </w:pPr>
            <w:r w:rsidRPr="003F1AF9">
              <w:rPr>
                <w:rFonts w:eastAsia="Times New Roman" w:cs="Times New Roman"/>
                <w:lang w:eastAsia="en-US"/>
              </w:rPr>
              <w:t xml:space="preserve">Low-efficiency residential and commercial air-source heat pumps and air conditioners, </w:t>
            </w:r>
            <w:r w:rsidR="00EE1532" w:rsidRPr="003F1AF9">
              <w:rPr>
                <w:rFonts w:eastAsia="Times New Roman" w:cs="Times New Roman"/>
                <w:lang w:eastAsia="en-US"/>
              </w:rPr>
              <w:t xml:space="preserve">both </w:t>
            </w:r>
            <w:r w:rsidRPr="003F1AF9">
              <w:rPr>
                <w:rFonts w:eastAsia="Times New Roman" w:cs="Times New Roman"/>
                <w:lang w:eastAsia="en-US"/>
              </w:rPr>
              <w:t>central and room units</w:t>
            </w:r>
            <w:r w:rsidR="00D83D24">
              <w:rPr>
                <w:rFonts w:eastAsia="Times New Roman" w:cs="Times New Roman"/>
                <w:lang w:eastAsia="en-US"/>
              </w:rPr>
              <w:t>.</w:t>
            </w:r>
          </w:p>
          <w:p w14:paraId="1475137A" w14:textId="5B78C90C" w:rsidR="004F4BC1" w:rsidRPr="003F1AF9" w:rsidRDefault="004F4BC1" w:rsidP="00132E2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US"/>
              </w:rPr>
            </w:pPr>
          </w:p>
        </w:tc>
        <w:tc>
          <w:tcPr>
            <w:tcW w:w="3474" w:type="dxa"/>
            <w:shd w:val="clear" w:color="auto" w:fill="auto"/>
            <w:vAlign w:val="center"/>
            <w:hideMark/>
          </w:tcPr>
          <w:p w14:paraId="0523EAE9" w14:textId="65972D02" w:rsidR="004F4BC1" w:rsidRPr="003F1AF9" w:rsidRDefault="004F4BC1" w:rsidP="00132E2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US"/>
              </w:rPr>
            </w:pPr>
            <w:r w:rsidRPr="003F1AF9">
              <w:rPr>
                <w:rFonts w:eastAsia="Times New Roman" w:cs="Times New Roman"/>
                <w:lang w:eastAsia="en-US"/>
              </w:rPr>
              <w:t xml:space="preserve">High-efficiency heat pumps and air conditioners (SEER of 5.9+ </w:t>
            </w:r>
            <w:proofErr w:type="spellStart"/>
            <w:r w:rsidRPr="003F1AF9">
              <w:rPr>
                <w:rFonts w:eastAsia="Times New Roman" w:cs="Times New Roman"/>
                <w:lang w:eastAsia="en-US"/>
              </w:rPr>
              <w:t>Wh</w:t>
            </w:r>
            <w:proofErr w:type="spellEnd"/>
            <w:r w:rsidRPr="003F1AF9">
              <w:rPr>
                <w:rFonts w:eastAsia="Times New Roman" w:cs="Times New Roman"/>
                <w:lang w:eastAsia="en-US"/>
              </w:rPr>
              <w:t>/</w:t>
            </w:r>
            <w:proofErr w:type="spellStart"/>
            <w:r w:rsidRPr="003F1AF9">
              <w:rPr>
                <w:rFonts w:eastAsia="Times New Roman" w:cs="Times New Roman"/>
                <w:lang w:eastAsia="en-US"/>
              </w:rPr>
              <w:t>Wh</w:t>
            </w:r>
            <w:proofErr w:type="spellEnd"/>
            <w:r w:rsidRPr="003F1AF9">
              <w:rPr>
                <w:rFonts w:eastAsia="Times New Roman" w:cs="Times New Roman"/>
                <w:lang w:eastAsia="en-US"/>
              </w:rPr>
              <w:t>)</w:t>
            </w:r>
            <w:r w:rsidR="00EE1532" w:rsidRPr="003F1AF9">
              <w:rPr>
                <w:rFonts w:eastAsia="Times New Roman" w:cs="Times New Roman"/>
                <w:lang w:eastAsia="en-US"/>
              </w:rPr>
              <w:t>, both central and room units:</w:t>
            </w:r>
            <w:r w:rsidR="0078120E">
              <w:rPr>
                <w:rFonts w:eastAsia="Times New Roman" w:cs="Times New Roman"/>
                <w:lang w:eastAsia="en-US"/>
              </w:rPr>
              <w:t xml:space="preserve"> </w:t>
            </w:r>
          </w:p>
          <w:p w14:paraId="7460AD6E" w14:textId="2376B02F" w:rsidR="00113936" w:rsidRPr="003F1AF9" w:rsidRDefault="00113936" w:rsidP="00F436B3">
            <w:pPr>
              <w:pStyle w:val="ListParagraph"/>
              <w:numPr>
                <w:ilvl w:val="0"/>
                <w:numId w:val="2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US"/>
              </w:rPr>
            </w:pPr>
            <w:r w:rsidRPr="003F1AF9">
              <w:rPr>
                <w:rFonts w:eastAsia="Times New Roman" w:cs="Times New Roman"/>
                <w:lang w:eastAsia="en-US"/>
              </w:rPr>
              <w:t>Residential and commercial air-source heat pumps and air conditioners</w:t>
            </w:r>
          </w:p>
          <w:p w14:paraId="6A78DAA0" w14:textId="1B51CF25" w:rsidR="00113936" w:rsidRPr="003F1AF9" w:rsidRDefault="00113936" w:rsidP="00F436B3">
            <w:pPr>
              <w:pStyle w:val="ListParagraph"/>
              <w:numPr>
                <w:ilvl w:val="0"/>
                <w:numId w:val="25"/>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US"/>
              </w:rPr>
            </w:pPr>
            <w:r w:rsidRPr="003F1AF9">
              <w:rPr>
                <w:rFonts w:eastAsia="Times New Roman" w:cs="Times New Roman"/>
                <w:lang w:eastAsia="en-US"/>
              </w:rPr>
              <w:t>Residential and commercial ground-source heat pumps and air conditioners</w:t>
            </w:r>
          </w:p>
        </w:tc>
      </w:tr>
    </w:tbl>
    <w:p w14:paraId="7BAFB588" w14:textId="77777777" w:rsidR="006833F8" w:rsidRPr="003F1AF9" w:rsidRDefault="006833F8" w:rsidP="004F4BC1"/>
    <w:p w14:paraId="32B65247" w14:textId="02AAFAE9" w:rsidR="00EE1532" w:rsidRPr="003F1AF9" w:rsidRDefault="006009B9" w:rsidP="00EE1532">
      <w:r>
        <w:t>T</w:t>
      </w:r>
      <w:r w:rsidR="008E08A7" w:rsidRPr="003F1AF9">
        <w:t>he implementation unit is one</w:t>
      </w:r>
      <w:r w:rsidR="006833F8" w:rsidRPr="003F1AF9">
        <w:t xml:space="preserve"> </w:t>
      </w:r>
      <w:r w:rsidRPr="006009B9">
        <w:rPr>
          <w:i/>
        </w:rPr>
        <w:t>Heat Pump</w:t>
      </w:r>
      <w:r>
        <w:t xml:space="preserve"> </w:t>
      </w:r>
      <w:r w:rsidR="006833F8" w:rsidRPr="003F1AF9">
        <w:rPr>
          <w:i/>
        </w:rPr>
        <w:t>Installation Unit</w:t>
      </w:r>
      <w:r w:rsidR="00EE1532" w:rsidRPr="003F1AF9">
        <w:t xml:space="preserve">. This unit of measure offers a clear representation of both the analytical implementation of the model as well as potential real-world applications of the model. For modeling purposes, </w:t>
      </w:r>
      <w:r w:rsidR="00FC2FDA" w:rsidRPr="003F1AF9">
        <w:t xml:space="preserve">this report </w:t>
      </w:r>
      <w:r w:rsidR="00EE1532" w:rsidRPr="003F1AF9">
        <w:t>analyze</w:t>
      </w:r>
      <w:r w:rsidR="00FC2FDA" w:rsidRPr="003F1AF9">
        <w:t>s</w:t>
      </w:r>
      <w:r w:rsidR="00EE1532" w:rsidRPr="003F1AF9">
        <w:t xml:space="preserve"> </w:t>
      </w:r>
      <w:r w:rsidR="00D83D24">
        <w:t xml:space="preserve">both </w:t>
      </w:r>
      <w:r w:rsidR="00EE1532" w:rsidRPr="003F1AF9">
        <w:t>installation units for residential and commercial applications the same</w:t>
      </w:r>
      <w:r w:rsidR="00D50A31" w:rsidRPr="003F1AF9">
        <w:t>,</w:t>
      </w:r>
      <w:r w:rsidR="00EE1532" w:rsidRPr="003F1AF9">
        <w:t xml:space="preserve"> as small distributed heat pumps</w:t>
      </w:r>
      <w:r w:rsidR="00242445" w:rsidRPr="003F1AF9">
        <w:t xml:space="preserve"> (</w:t>
      </w:r>
      <w:r w:rsidR="001C37D3" w:rsidRPr="003F1AF9">
        <w:t>approximately 2-20</w:t>
      </w:r>
      <w:r w:rsidR="00242445" w:rsidRPr="003F1AF9">
        <w:t xml:space="preserve"> kW)</w:t>
      </w:r>
      <w:r w:rsidR="00EE1532" w:rsidRPr="003F1AF9">
        <w:t>.</w:t>
      </w:r>
      <w:r w:rsidR="0078120E">
        <w:t xml:space="preserve"> </w:t>
      </w:r>
      <w:r w:rsidR="000A6521" w:rsidRPr="003F1AF9">
        <w:t xml:space="preserve">Nevertheless, </w:t>
      </w:r>
      <w:r w:rsidR="008E08A7" w:rsidRPr="003F1AF9">
        <w:t xml:space="preserve">the </w:t>
      </w:r>
      <w:r>
        <w:t>total addressable market (</w:t>
      </w:r>
      <w:r w:rsidR="000A6521" w:rsidRPr="003F1AF9">
        <w:t>TAM</w:t>
      </w:r>
      <w:r>
        <w:t>)</w:t>
      </w:r>
      <w:r w:rsidR="000A6521" w:rsidRPr="003F1AF9">
        <w:t xml:space="preserve"> and adoption analyses include all building sizes.</w:t>
      </w:r>
      <w:r w:rsidR="0078120E">
        <w:t xml:space="preserve"> </w:t>
      </w:r>
      <w:r w:rsidR="008E08A7" w:rsidRPr="003F1AF9">
        <w:t>This</w:t>
      </w:r>
      <w:r w:rsidR="006833F8" w:rsidRPr="003F1AF9">
        <w:t xml:space="preserve"> simplification </w:t>
      </w:r>
      <w:r w:rsidR="008E08A7" w:rsidRPr="003F1AF9">
        <w:t xml:space="preserve">is justified </w:t>
      </w:r>
      <w:r w:rsidR="006833F8" w:rsidRPr="003F1AF9">
        <w:t>by observing the relative insensitivity of heat pump efficiency to unit size (</w:t>
      </w:r>
      <w:r w:rsidR="003935CD" w:rsidRPr="003F1AF9">
        <w:t>with the possible exception of</w:t>
      </w:r>
      <w:r w:rsidR="006833F8" w:rsidRPr="003F1AF9">
        <w:t xml:space="preserve"> very large water-cooled chillers) as the </w:t>
      </w:r>
      <w:r w:rsidR="00F95B1B" w:rsidRPr="003F1AF9">
        <w:fldChar w:fldCharType="begin"/>
      </w:r>
      <w:r w:rsidR="00F95B1B" w:rsidRPr="003F1AF9">
        <w:instrText xml:space="preserve"> REF _Ref536183045 \h </w:instrText>
      </w:r>
      <w:r w:rsidR="00F95B1B" w:rsidRPr="003F1AF9">
        <w:fldChar w:fldCharType="separate"/>
      </w:r>
      <w:r w:rsidR="00E60668" w:rsidRPr="003F1AF9">
        <w:t>Literature Review</w:t>
      </w:r>
      <w:r w:rsidR="00F95B1B" w:rsidRPr="003F1AF9">
        <w:fldChar w:fldCharType="end"/>
      </w:r>
      <w:r w:rsidR="00F95B1B" w:rsidRPr="003F1AF9">
        <w:t xml:space="preserve"> </w:t>
      </w:r>
      <w:r w:rsidR="006833F8" w:rsidRPr="003F1AF9">
        <w:t xml:space="preserve">in Section </w:t>
      </w:r>
      <w:r w:rsidR="00BD3252" w:rsidRPr="003F1AF9">
        <w:fldChar w:fldCharType="begin"/>
      </w:r>
      <w:r w:rsidR="00BD3252" w:rsidRPr="003F1AF9">
        <w:instrText xml:space="preserve"> REF _Ref536183045 \r \h </w:instrText>
      </w:r>
      <w:r w:rsidR="00BD3252" w:rsidRPr="003F1AF9">
        <w:fldChar w:fldCharType="separate"/>
      </w:r>
      <w:r w:rsidR="00E60668">
        <w:t>1</w:t>
      </w:r>
      <w:r w:rsidR="00BD3252" w:rsidRPr="003F1AF9">
        <w:fldChar w:fldCharType="end"/>
      </w:r>
      <w:r w:rsidR="006833F8" w:rsidRPr="003F1AF9">
        <w:t xml:space="preserve"> demonstrates.</w:t>
      </w:r>
      <w:r w:rsidR="0078120E">
        <w:t xml:space="preserve"> </w:t>
      </w:r>
    </w:p>
    <w:p w14:paraId="177F447D" w14:textId="006D108E" w:rsidR="00EE1532" w:rsidRPr="003F1AF9" w:rsidRDefault="003935CD" w:rsidP="00EE1532">
      <w:r w:rsidRPr="003F1AF9">
        <w:t xml:space="preserve">In a departure from previous analyses, </w:t>
      </w:r>
      <w:r w:rsidRPr="003F1AF9">
        <w:rPr>
          <w:i/>
        </w:rPr>
        <w:t>delivered thermal energy</w:t>
      </w:r>
      <w:r w:rsidRPr="003F1AF9">
        <w:t xml:space="preserve"> – either space heating or space cooling –</w:t>
      </w:r>
      <w:r w:rsidR="007062D6" w:rsidRPr="003F1AF9">
        <w:t xml:space="preserve"> </w:t>
      </w:r>
      <w:r w:rsidR="008E08A7" w:rsidRPr="003F1AF9">
        <w:t xml:space="preserve">has been selected </w:t>
      </w:r>
      <w:r w:rsidR="006833F8" w:rsidRPr="003F1AF9">
        <w:t xml:space="preserve">as </w:t>
      </w:r>
      <w:r w:rsidR="008E08A7" w:rsidRPr="003F1AF9">
        <w:t xml:space="preserve">the </w:t>
      </w:r>
      <w:r w:rsidR="009F52C1" w:rsidRPr="003F1AF9">
        <w:rPr>
          <w:i/>
        </w:rPr>
        <w:t>Functional U</w:t>
      </w:r>
      <w:r w:rsidRPr="003F1AF9">
        <w:rPr>
          <w:i/>
        </w:rPr>
        <w:t>nit</w:t>
      </w:r>
      <w:r w:rsidRPr="003F1AF9">
        <w:t xml:space="preserve"> of measure</w:t>
      </w:r>
      <w:r w:rsidR="007062D6" w:rsidRPr="003F1AF9">
        <w:t xml:space="preserve">, consistent with other Project Drawdown building technology solution </w:t>
      </w:r>
      <w:r w:rsidR="002E4141" w:rsidRPr="003F1AF9">
        <w:t>models</w:t>
      </w:r>
      <w:r w:rsidRPr="003F1AF9">
        <w:t>.</w:t>
      </w:r>
      <w:r w:rsidR="0078120E">
        <w:t xml:space="preserve"> </w:t>
      </w:r>
      <w:r w:rsidR="007062D6" w:rsidRPr="003F1AF9">
        <w:t>D</w:t>
      </w:r>
      <w:r w:rsidRPr="003F1AF9">
        <w:t>elivered energy corresponds with the functional purpose of HEHPs</w:t>
      </w:r>
      <w:r w:rsidR="009F52C1" w:rsidRPr="003F1AF9">
        <w:t xml:space="preserve"> – </w:t>
      </w:r>
      <w:r w:rsidRPr="003F1AF9">
        <w:t>providing space heating or cooling comfort</w:t>
      </w:r>
      <w:r w:rsidR="007062D6" w:rsidRPr="003F1AF9">
        <w:t>.</w:t>
      </w:r>
      <w:r w:rsidR="0078120E">
        <w:t xml:space="preserve"> </w:t>
      </w:r>
      <w:r w:rsidR="001D524D">
        <w:t>E</w:t>
      </w:r>
      <w:r w:rsidR="00EE1532" w:rsidRPr="003F1AF9">
        <w:t xml:space="preserve">nergy use </w:t>
      </w:r>
      <w:r w:rsidR="008E08A7" w:rsidRPr="003F1AF9">
        <w:t xml:space="preserve">is aggregated </w:t>
      </w:r>
      <w:r w:rsidR="001D524D">
        <w:t>in</w:t>
      </w:r>
      <w:r w:rsidR="00EE1532" w:rsidRPr="003F1AF9">
        <w:t xml:space="preserve"> </w:t>
      </w:r>
      <w:r w:rsidR="007062D6" w:rsidRPr="003F1AF9">
        <w:t>terawatt hour</w:t>
      </w:r>
      <w:r w:rsidR="00E13790" w:rsidRPr="003F1AF9">
        <w:t xml:space="preserve"> </w:t>
      </w:r>
      <w:proofErr w:type="spellStart"/>
      <w:r w:rsidR="00E13790" w:rsidRPr="003F1AF9">
        <w:t>therm</w:t>
      </w:r>
      <w:r w:rsidR="007062D6" w:rsidRPr="003F1AF9">
        <w:t>s</w:t>
      </w:r>
      <w:proofErr w:type="spellEnd"/>
      <w:r w:rsidR="007062D6" w:rsidRPr="003F1AF9">
        <w:t xml:space="preserve"> (</w:t>
      </w:r>
      <w:r w:rsidRPr="003F1AF9">
        <w:t>TWh</w:t>
      </w:r>
      <w:r w:rsidR="00E13790" w:rsidRPr="003F1AF9">
        <w:t xml:space="preserve"> (</w:t>
      </w:r>
      <w:proofErr w:type="spellStart"/>
      <w:r w:rsidR="00E13790" w:rsidRPr="003F1AF9">
        <w:t>th</w:t>
      </w:r>
      <w:proofErr w:type="spellEnd"/>
      <w:r w:rsidR="00E13790" w:rsidRPr="003F1AF9">
        <w:t>)</w:t>
      </w:r>
      <w:r w:rsidR="007062D6" w:rsidRPr="003F1AF9">
        <w:t>)</w:t>
      </w:r>
      <w:r w:rsidR="00EE1532" w:rsidRPr="003F1AF9">
        <w:t>.</w:t>
      </w:r>
      <w:r w:rsidR="0078120E">
        <w:t xml:space="preserve"> </w:t>
      </w:r>
    </w:p>
    <w:p w14:paraId="298F46AB" w14:textId="0BBD13AE" w:rsidR="00F52595" w:rsidRPr="003F1AF9" w:rsidRDefault="007062D6">
      <w:pPr>
        <w:pStyle w:val="Heading2"/>
      </w:pPr>
      <w:r w:rsidRPr="003F1AF9" w:rsidDel="007062D6">
        <w:lastRenderedPageBreak/>
        <w:t xml:space="preserve"> </w:t>
      </w:r>
      <w:bookmarkStart w:id="353" w:name="_Toc535330039"/>
      <w:bookmarkStart w:id="354" w:name="_Toc535330496"/>
      <w:bookmarkStart w:id="355" w:name="_Toc535330883"/>
      <w:bookmarkStart w:id="356" w:name="_Toc535330949"/>
      <w:bookmarkStart w:id="357" w:name="_Toc535331060"/>
      <w:bookmarkStart w:id="358" w:name="_Toc535331526"/>
      <w:bookmarkStart w:id="359" w:name="_Toc535331579"/>
      <w:bookmarkStart w:id="360" w:name="_Toc535332821"/>
      <w:bookmarkStart w:id="361" w:name="_Toc535333299"/>
      <w:bookmarkStart w:id="362" w:name="_Toc535349641"/>
      <w:bookmarkStart w:id="363" w:name="_Toc535396787"/>
      <w:bookmarkStart w:id="364" w:name="_Toc535396832"/>
      <w:bookmarkStart w:id="365" w:name="_Toc535396877"/>
      <w:bookmarkStart w:id="366" w:name="_Toc535397941"/>
      <w:bookmarkStart w:id="367" w:name="_Toc535398454"/>
      <w:bookmarkStart w:id="368" w:name="_Toc535398632"/>
      <w:bookmarkStart w:id="369" w:name="_Toc535398701"/>
      <w:bookmarkStart w:id="370" w:name="_Toc535398791"/>
      <w:bookmarkStart w:id="371" w:name="_Toc535330040"/>
      <w:bookmarkStart w:id="372" w:name="_Toc535330497"/>
      <w:bookmarkStart w:id="373" w:name="_Toc535330884"/>
      <w:bookmarkStart w:id="374" w:name="_Toc535330950"/>
      <w:bookmarkStart w:id="375" w:name="_Toc535331061"/>
      <w:bookmarkStart w:id="376" w:name="_Toc535331527"/>
      <w:bookmarkStart w:id="377" w:name="_Toc535331580"/>
      <w:bookmarkStart w:id="378" w:name="_Toc535332822"/>
      <w:bookmarkStart w:id="379" w:name="_Toc535333300"/>
      <w:bookmarkStart w:id="380" w:name="_Toc535349642"/>
      <w:bookmarkStart w:id="381" w:name="_Toc535396788"/>
      <w:bookmarkStart w:id="382" w:name="_Toc535396833"/>
      <w:bookmarkStart w:id="383" w:name="_Toc535396878"/>
      <w:bookmarkStart w:id="384" w:name="_Toc535397942"/>
      <w:bookmarkStart w:id="385" w:name="_Toc535398455"/>
      <w:bookmarkStart w:id="386" w:name="_Toc535398633"/>
      <w:bookmarkStart w:id="387" w:name="_Toc535398702"/>
      <w:bookmarkStart w:id="388" w:name="_Toc535398792"/>
      <w:bookmarkStart w:id="389" w:name="_Toc535330042"/>
      <w:bookmarkStart w:id="390" w:name="_Toc535330499"/>
      <w:bookmarkStart w:id="391" w:name="_Toc535330886"/>
      <w:bookmarkStart w:id="392" w:name="_Toc535330952"/>
      <w:bookmarkStart w:id="393" w:name="_Toc535331063"/>
      <w:bookmarkStart w:id="394" w:name="_Toc535331529"/>
      <w:bookmarkStart w:id="395" w:name="_Toc535331582"/>
      <w:bookmarkStart w:id="396" w:name="_Toc535332824"/>
      <w:bookmarkStart w:id="397" w:name="_Toc535333302"/>
      <w:bookmarkStart w:id="398" w:name="_Toc535349644"/>
      <w:bookmarkStart w:id="399" w:name="_Toc535396790"/>
      <w:bookmarkStart w:id="400" w:name="_Toc535396835"/>
      <w:bookmarkStart w:id="401" w:name="_Toc535396880"/>
      <w:bookmarkStart w:id="402" w:name="_Toc535397944"/>
      <w:bookmarkStart w:id="403" w:name="_Toc535398457"/>
      <w:bookmarkStart w:id="404" w:name="_Toc535398635"/>
      <w:bookmarkStart w:id="405" w:name="_Toc535398704"/>
      <w:bookmarkStart w:id="406" w:name="_Toc535398794"/>
      <w:bookmarkStart w:id="407" w:name="_Toc535330043"/>
      <w:bookmarkStart w:id="408" w:name="_Toc535330500"/>
      <w:bookmarkStart w:id="409" w:name="_Toc535330887"/>
      <w:bookmarkStart w:id="410" w:name="_Toc535330953"/>
      <w:bookmarkStart w:id="411" w:name="_Toc535331064"/>
      <w:bookmarkStart w:id="412" w:name="_Toc535331530"/>
      <w:bookmarkStart w:id="413" w:name="_Toc535331583"/>
      <w:bookmarkStart w:id="414" w:name="_Toc535332825"/>
      <w:bookmarkStart w:id="415" w:name="_Toc535333303"/>
      <w:bookmarkStart w:id="416" w:name="_Toc535349645"/>
      <w:bookmarkStart w:id="417" w:name="_Toc535396791"/>
      <w:bookmarkStart w:id="418" w:name="_Toc535396836"/>
      <w:bookmarkStart w:id="419" w:name="_Toc535396881"/>
      <w:bookmarkStart w:id="420" w:name="_Toc535397945"/>
      <w:bookmarkStart w:id="421" w:name="_Toc535398458"/>
      <w:bookmarkStart w:id="422" w:name="_Toc535398636"/>
      <w:bookmarkStart w:id="423" w:name="_Toc535398705"/>
      <w:bookmarkStart w:id="424" w:name="_Toc535398795"/>
      <w:bookmarkStart w:id="425" w:name="_Toc42289716"/>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rsidR="00686965" w:rsidRPr="003F1AF9">
        <w:t>Data Sources</w:t>
      </w:r>
      <w:bookmarkEnd w:id="425"/>
    </w:p>
    <w:p w14:paraId="0E0F8432" w14:textId="364AA58E" w:rsidR="00A62695" w:rsidRPr="003F1AF9" w:rsidRDefault="00A62695" w:rsidP="005B7EAB">
      <w:pPr>
        <w:rPr>
          <w:rFonts w:cs="Times New Roman"/>
        </w:rPr>
      </w:pPr>
      <w:r w:rsidRPr="003F1AF9">
        <w:rPr>
          <w:rFonts w:cs="Times New Roman"/>
        </w:rPr>
        <w:t>P</w:t>
      </w:r>
      <w:r w:rsidR="005B7EAB" w:rsidRPr="003F1AF9">
        <w:rPr>
          <w:rFonts w:cs="Times New Roman"/>
        </w:rPr>
        <w:t xml:space="preserve">rimary sources for energy use and financial </w:t>
      </w:r>
      <w:r w:rsidR="00F33DD6" w:rsidRPr="003F1AF9">
        <w:rPr>
          <w:rFonts w:cs="Times New Roman"/>
        </w:rPr>
        <w:t>data, and data forecasts</w:t>
      </w:r>
      <w:r w:rsidR="005B7EAB" w:rsidRPr="003F1AF9">
        <w:rPr>
          <w:rFonts w:cs="Times New Roman"/>
        </w:rPr>
        <w:t xml:space="preserve"> </w:t>
      </w:r>
      <w:r w:rsidR="00F33DD6" w:rsidRPr="003F1AF9">
        <w:rPr>
          <w:rFonts w:cs="Times New Roman"/>
        </w:rPr>
        <w:t>of</w:t>
      </w:r>
      <w:r w:rsidR="005B7EAB" w:rsidRPr="003F1AF9">
        <w:rPr>
          <w:rFonts w:cs="Times New Roman"/>
        </w:rPr>
        <w:t xml:space="preserve"> conventional </w:t>
      </w:r>
      <w:r w:rsidRPr="003F1AF9">
        <w:rPr>
          <w:rFonts w:cs="Times New Roman"/>
        </w:rPr>
        <w:t xml:space="preserve">equipment </w:t>
      </w:r>
      <w:r w:rsidR="005B7EAB" w:rsidRPr="003F1AF9">
        <w:rPr>
          <w:rFonts w:cs="Times New Roman"/>
        </w:rPr>
        <w:t xml:space="preserve">and </w:t>
      </w:r>
      <w:r w:rsidRPr="003F1AF9">
        <w:rPr>
          <w:rFonts w:cs="Times New Roman"/>
        </w:rPr>
        <w:t>solution</w:t>
      </w:r>
      <w:r w:rsidR="005B7EAB" w:rsidRPr="003F1AF9">
        <w:rPr>
          <w:rFonts w:cs="Times New Roman"/>
        </w:rPr>
        <w:t xml:space="preserve"> technologies</w:t>
      </w:r>
      <w:r w:rsidR="00D83D24">
        <w:rPr>
          <w:rFonts w:cs="Times New Roman"/>
        </w:rPr>
        <w:t>,</w:t>
      </w:r>
      <w:r w:rsidR="005B7EAB" w:rsidRPr="003F1AF9">
        <w:rPr>
          <w:rFonts w:cs="Times New Roman"/>
        </w:rPr>
        <w:t xml:space="preserve"> </w:t>
      </w:r>
      <w:r w:rsidRPr="003F1AF9">
        <w:rPr>
          <w:rFonts w:cs="Times New Roman"/>
        </w:rPr>
        <w:t xml:space="preserve">include </w:t>
      </w:r>
      <w:r w:rsidR="005B7EAB" w:rsidRPr="003F1AF9">
        <w:rPr>
          <w:rFonts w:cs="Times New Roman"/>
        </w:rPr>
        <w:t>assessments and studies from</w:t>
      </w:r>
      <w:r w:rsidRPr="003F1AF9">
        <w:rPr>
          <w:rFonts w:cs="Times New Roman"/>
        </w:rPr>
        <w:t xml:space="preserve"> the International Energy Agency (IEA), </w:t>
      </w:r>
      <w:r w:rsidR="005B7EAB" w:rsidRPr="003F1AF9">
        <w:rPr>
          <w:rFonts w:cs="Times New Roman"/>
        </w:rPr>
        <w:t>th</w:t>
      </w:r>
      <w:r w:rsidRPr="003F1AF9">
        <w:rPr>
          <w:rFonts w:cs="Times New Roman"/>
        </w:rPr>
        <w:t>e US Department of Energy (DOE) and</w:t>
      </w:r>
      <w:r w:rsidR="005B7EAB" w:rsidRPr="003F1AF9">
        <w:rPr>
          <w:rFonts w:cs="Times New Roman"/>
        </w:rPr>
        <w:t xml:space="preserve"> the US Energy Information Agency (EIA), </w:t>
      </w:r>
      <w:r w:rsidRPr="003F1AF9">
        <w:rPr>
          <w:rFonts w:cs="Times New Roman"/>
        </w:rPr>
        <w:t xml:space="preserve">the European Heat Pump Association (EHPA), </w:t>
      </w:r>
      <w:r w:rsidR="005B7EAB" w:rsidRPr="003F1AF9">
        <w:rPr>
          <w:rFonts w:cs="Times New Roman"/>
        </w:rPr>
        <w:t>Lawrence Berkeley National Laboratory (LBNL), and International Renewable Energy Agency (IRENA).</w:t>
      </w:r>
      <w:r w:rsidR="0078120E">
        <w:rPr>
          <w:rFonts w:cs="Times New Roman"/>
        </w:rPr>
        <w:t xml:space="preserve"> </w:t>
      </w:r>
      <w:r w:rsidR="008E08A7" w:rsidRPr="003F1AF9">
        <w:rPr>
          <w:rFonts w:cs="Times New Roman"/>
        </w:rPr>
        <w:t>These</w:t>
      </w:r>
      <w:r w:rsidR="005B7EAB" w:rsidRPr="003F1AF9">
        <w:rPr>
          <w:rFonts w:cs="Times New Roman"/>
        </w:rPr>
        <w:t xml:space="preserve"> data sources</w:t>
      </w:r>
      <w:r w:rsidR="008E08A7" w:rsidRPr="003F1AF9">
        <w:rPr>
          <w:rFonts w:cs="Times New Roman"/>
        </w:rPr>
        <w:t xml:space="preserve"> have been generalized</w:t>
      </w:r>
      <w:r w:rsidR="005B7EAB" w:rsidRPr="003F1AF9">
        <w:rPr>
          <w:rFonts w:cs="Times New Roman"/>
        </w:rPr>
        <w:t xml:space="preserve"> to different regions using projections and other sources, primarily agencies like IEA for building energy use, and from there to space heating and cooling using </w:t>
      </w:r>
      <w:proofErr w:type="spellStart"/>
      <w:r w:rsidR="005B7EAB" w:rsidRPr="003F1AF9">
        <w:rPr>
          <w:rFonts w:cs="Times New Roman"/>
        </w:rPr>
        <w:t>Ürge-Vorsatz</w:t>
      </w:r>
      <w:proofErr w:type="spellEnd"/>
      <w:r w:rsidR="005B7EAB" w:rsidRPr="003F1AF9">
        <w:rPr>
          <w:rFonts w:cs="Times New Roman"/>
        </w:rPr>
        <w:t xml:space="preserve"> et</w:t>
      </w:r>
      <w:r w:rsidR="00D83D24">
        <w:rPr>
          <w:rFonts w:cs="Times New Roman"/>
        </w:rPr>
        <w:t>.</w:t>
      </w:r>
      <w:r w:rsidR="005B7EAB" w:rsidRPr="003F1AF9">
        <w:rPr>
          <w:rFonts w:cs="Times New Roman"/>
        </w:rPr>
        <w:t xml:space="preserve"> al</w:t>
      </w:r>
      <w:r w:rsidR="00D83D24">
        <w:rPr>
          <w:rFonts w:cs="Times New Roman"/>
        </w:rPr>
        <w:t>.</w:t>
      </w:r>
      <w:r w:rsidR="005B7EAB" w:rsidRPr="003F1AF9">
        <w:rPr>
          <w:rFonts w:cs="Times New Roman"/>
        </w:rPr>
        <w:t xml:space="preserve"> (2015). </w:t>
      </w:r>
      <w:r w:rsidR="008E08A7" w:rsidRPr="003F1AF9">
        <w:rPr>
          <w:rFonts w:cs="Times New Roman"/>
        </w:rPr>
        <w:t>The</w:t>
      </w:r>
      <w:r w:rsidR="005B7EAB" w:rsidRPr="003F1AF9">
        <w:rPr>
          <w:rFonts w:cs="Times New Roman"/>
        </w:rPr>
        <w:t xml:space="preserve"> results </w:t>
      </w:r>
      <w:r w:rsidR="008E08A7" w:rsidRPr="003F1AF9">
        <w:rPr>
          <w:rFonts w:cs="Times New Roman"/>
        </w:rPr>
        <w:t xml:space="preserve">were aggregated </w:t>
      </w:r>
      <w:r w:rsidR="005B7EAB" w:rsidRPr="003F1AF9">
        <w:rPr>
          <w:rFonts w:cs="Times New Roman"/>
        </w:rPr>
        <w:t>for each equipment type to form the total first costs and energy use for each.</w:t>
      </w:r>
      <w:r w:rsidR="0078120E">
        <w:rPr>
          <w:rFonts w:cs="Times New Roman"/>
        </w:rPr>
        <w:t xml:space="preserve"> </w:t>
      </w:r>
    </w:p>
    <w:p w14:paraId="5D5FEC19" w14:textId="1A71941A" w:rsidR="00782F18" w:rsidRPr="003F1AF9" w:rsidRDefault="005B7EAB" w:rsidP="00132E27">
      <w:pPr>
        <w:rPr>
          <w:rFonts w:cs="Times New Roman"/>
        </w:rPr>
      </w:pPr>
      <w:r w:rsidRPr="003F1AF9">
        <w:rPr>
          <w:rFonts w:cs="Times New Roman"/>
        </w:rPr>
        <w:t>In most cases, US cost data</w:t>
      </w:r>
      <w:r w:rsidR="008E08A7" w:rsidRPr="003F1AF9">
        <w:rPr>
          <w:rFonts w:cs="Times New Roman"/>
        </w:rPr>
        <w:t xml:space="preserve"> have been used</w:t>
      </w:r>
      <w:r w:rsidRPr="003F1AF9">
        <w:rPr>
          <w:rFonts w:cs="Times New Roman"/>
        </w:rPr>
        <w:t xml:space="preserve">, as </w:t>
      </w:r>
      <w:r w:rsidR="00B636ED" w:rsidRPr="003F1AF9">
        <w:rPr>
          <w:rFonts w:cs="Times New Roman"/>
        </w:rPr>
        <w:t>US costs</w:t>
      </w:r>
      <w:r w:rsidRPr="003F1AF9">
        <w:rPr>
          <w:rFonts w:cs="Times New Roman"/>
        </w:rPr>
        <w:t xml:space="preserve"> are t</w:t>
      </w:r>
      <w:r w:rsidR="00B636ED" w:rsidRPr="003F1AF9">
        <w:rPr>
          <w:rFonts w:cs="Times New Roman"/>
        </w:rPr>
        <w:t xml:space="preserve">ypically higher than </w:t>
      </w:r>
      <w:r w:rsidR="00782F18" w:rsidRPr="003F1AF9">
        <w:rPr>
          <w:rFonts w:cs="Times New Roman"/>
        </w:rPr>
        <w:t>elsewhere</w:t>
      </w:r>
      <w:r w:rsidRPr="003F1AF9">
        <w:rPr>
          <w:rFonts w:cs="Times New Roman"/>
        </w:rPr>
        <w:t xml:space="preserve">. This serves to form a </w:t>
      </w:r>
      <w:r w:rsidR="00782F18" w:rsidRPr="003F1AF9">
        <w:rPr>
          <w:rFonts w:cs="Times New Roman"/>
        </w:rPr>
        <w:t>conservative</w:t>
      </w:r>
      <w:r w:rsidRPr="003F1AF9">
        <w:rPr>
          <w:rFonts w:cs="Times New Roman"/>
        </w:rPr>
        <w:t xml:space="preserve"> understated calculation of </w:t>
      </w:r>
      <w:r w:rsidR="006009B9">
        <w:rPr>
          <w:rFonts w:cs="Times New Roman"/>
        </w:rPr>
        <w:t>the net present value (</w:t>
      </w:r>
      <w:r w:rsidRPr="003F1AF9">
        <w:rPr>
          <w:rFonts w:cs="Times New Roman"/>
        </w:rPr>
        <w:t>NPV</w:t>
      </w:r>
      <w:r w:rsidR="006009B9">
        <w:rPr>
          <w:rFonts w:cs="Times New Roman"/>
        </w:rPr>
        <w:t>)</w:t>
      </w:r>
      <w:r w:rsidR="00A62695" w:rsidRPr="003F1AF9">
        <w:rPr>
          <w:rFonts w:cs="Times New Roman"/>
        </w:rPr>
        <w:t>,</w:t>
      </w:r>
      <w:r w:rsidRPr="003F1AF9">
        <w:rPr>
          <w:rFonts w:cs="Times New Roman"/>
        </w:rPr>
        <w:t xml:space="preserve"> as first costs </w:t>
      </w:r>
      <w:r w:rsidR="00D83D24">
        <w:rPr>
          <w:rFonts w:cs="Times New Roman"/>
        </w:rPr>
        <w:t xml:space="preserve">are </w:t>
      </w:r>
      <w:r w:rsidR="00A62695" w:rsidRPr="003F1AF9">
        <w:rPr>
          <w:rFonts w:cs="Times New Roman"/>
        </w:rPr>
        <w:t xml:space="preserve">likely </w:t>
      </w:r>
      <w:r w:rsidR="00D83D24">
        <w:rPr>
          <w:rFonts w:cs="Times New Roman"/>
        </w:rPr>
        <w:t>to</w:t>
      </w:r>
      <w:r w:rsidR="00D83D24" w:rsidRPr="003F1AF9">
        <w:rPr>
          <w:rFonts w:cs="Times New Roman"/>
        </w:rPr>
        <w:t xml:space="preserve"> </w:t>
      </w:r>
      <w:r w:rsidRPr="003F1AF9">
        <w:rPr>
          <w:rFonts w:cs="Times New Roman"/>
        </w:rPr>
        <w:t>be low</w:t>
      </w:r>
      <w:r w:rsidR="00A62695" w:rsidRPr="003F1AF9">
        <w:rPr>
          <w:rFonts w:cs="Times New Roman"/>
        </w:rPr>
        <w:t>er, and energy prices</w:t>
      </w:r>
      <w:r w:rsidR="00D83D24">
        <w:rPr>
          <w:rFonts w:cs="Times New Roman"/>
        </w:rPr>
        <w:t>.</w:t>
      </w:r>
      <w:r w:rsidR="00A62695" w:rsidRPr="003F1AF9">
        <w:rPr>
          <w:rFonts w:cs="Times New Roman"/>
        </w:rPr>
        <w:t xml:space="preserve"> </w:t>
      </w:r>
      <w:r w:rsidRPr="003F1AF9">
        <w:rPr>
          <w:rFonts w:cs="Times New Roman"/>
        </w:rPr>
        <w:t xml:space="preserve">and </w:t>
      </w:r>
      <w:r w:rsidR="00D83D24" w:rsidRPr="003F1AF9">
        <w:rPr>
          <w:rFonts w:cs="Times New Roman"/>
        </w:rPr>
        <w:t>thus,</w:t>
      </w:r>
      <w:r w:rsidRPr="003F1AF9">
        <w:rPr>
          <w:rFonts w:cs="Times New Roman"/>
        </w:rPr>
        <w:t xml:space="preserve"> operating cost savings</w:t>
      </w:r>
      <w:r w:rsidR="00D83D24">
        <w:rPr>
          <w:rFonts w:cs="Times New Roman"/>
        </w:rPr>
        <w:t>,</w:t>
      </w:r>
      <w:r w:rsidRPr="003F1AF9">
        <w:rPr>
          <w:rFonts w:cs="Times New Roman"/>
        </w:rPr>
        <w:t xml:space="preserve"> </w:t>
      </w:r>
      <w:r w:rsidR="00A62695" w:rsidRPr="003F1AF9">
        <w:rPr>
          <w:rFonts w:cs="Times New Roman"/>
        </w:rPr>
        <w:t>would</w:t>
      </w:r>
      <w:r w:rsidRPr="003F1AF9">
        <w:rPr>
          <w:rFonts w:cs="Times New Roman"/>
        </w:rPr>
        <w:t xml:space="preserve"> </w:t>
      </w:r>
      <w:r w:rsidR="00A62695" w:rsidRPr="003F1AF9">
        <w:rPr>
          <w:rFonts w:cs="Times New Roman"/>
        </w:rPr>
        <w:t>likely be</w:t>
      </w:r>
      <w:r w:rsidRPr="003F1AF9">
        <w:rPr>
          <w:rFonts w:cs="Times New Roman"/>
        </w:rPr>
        <w:t xml:space="preserve"> higher. A k</w:t>
      </w:r>
      <w:r w:rsidR="00782F18" w:rsidRPr="003F1AF9">
        <w:rPr>
          <w:rFonts w:cs="Times New Roman"/>
        </w:rPr>
        <w:t xml:space="preserve">ey underlying assumption in estimating adoption potential </w:t>
      </w:r>
      <w:r w:rsidRPr="003F1AF9">
        <w:rPr>
          <w:rFonts w:cs="Times New Roman"/>
        </w:rPr>
        <w:t xml:space="preserve">is that consumers will choose to install the most economically viable option. </w:t>
      </w:r>
      <w:r w:rsidR="00A62695" w:rsidRPr="003F1AF9">
        <w:rPr>
          <w:rFonts w:cs="Times New Roman"/>
        </w:rPr>
        <w:t>Often</w:t>
      </w:r>
      <w:r w:rsidRPr="003F1AF9">
        <w:rPr>
          <w:rFonts w:cs="Times New Roman"/>
        </w:rPr>
        <w:t xml:space="preserve">, this means switching to </w:t>
      </w:r>
      <w:r w:rsidR="00B636ED" w:rsidRPr="003F1AF9">
        <w:rPr>
          <w:rFonts w:cs="Times New Roman"/>
        </w:rPr>
        <w:t xml:space="preserve">a </w:t>
      </w:r>
      <w:r w:rsidRPr="003F1AF9">
        <w:rPr>
          <w:rFonts w:cs="Times New Roman"/>
        </w:rPr>
        <w:t>more efficient vers</w:t>
      </w:r>
      <w:r w:rsidR="00B636ED" w:rsidRPr="003F1AF9">
        <w:rPr>
          <w:rFonts w:cs="Times New Roman"/>
        </w:rPr>
        <w:t>ion</w:t>
      </w:r>
      <w:r w:rsidR="00A62695" w:rsidRPr="003F1AF9">
        <w:rPr>
          <w:rFonts w:cs="Times New Roman"/>
        </w:rPr>
        <w:t xml:space="preserve"> of their current equipment (such as from a low-efficiency gas furnace to a </w:t>
      </w:r>
      <w:r w:rsidR="00B636ED" w:rsidRPr="003F1AF9">
        <w:rPr>
          <w:rFonts w:cs="Times New Roman"/>
        </w:rPr>
        <w:t>high-efficiency model</w:t>
      </w:r>
      <w:r w:rsidR="00A62695" w:rsidRPr="003F1AF9">
        <w:rPr>
          <w:rFonts w:cs="Times New Roman"/>
        </w:rPr>
        <w:t>)</w:t>
      </w:r>
      <w:r w:rsidRPr="003F1AF9">
        <w:rPr>
          <w:rFonts w:cs="Times New Roman"/>
        </w:rPr>
        <w:t xml:space="preserve"> as changes to </w:t>
      </w:r>
      <w:r w:rsidR="00B636ED" w:rsidRPr="003F1AF9">
        <w:rPr>
          <w:rFonts w:cs="Times New Roman"/>
        </w:rPr>
        <w:t xml:space="preserve">heat </w:t>
      </w:r>
      <w:r w:rsidRPr="003F1AF9">
        <w:rPr>
          <w:rFonts w:cs="Times New Roman"/>
        </w:rPr>
        <w:t>distribution, flue or other systems are typically very costly. However,</w:t>
      </w:r>
      <w:r w:rsidR="00B636ED" w:rsidRPr="003F1AF9">
        <w:rPr>
          <w:rFonts w:cs="Times New Roman"/>
        </w:rPr>
        <w:t xml:space="preserve"> it is usually easy to switch from a combustion </w:t>
      </w:r>
      <w:r w:rsidR="00782F18" w:rsidRPr="003F1AF9">
        <w:rPr>
          <w:rFonts w:cs="Times New Roman"/>
        </w:rPr>
        <w:t>furnace or room unit</w:t>
      </w:r>
      <w:r w:rsidR="00B636ED" w:rsidRPr="003F1AF9">
        <w:rPr>
          <w:rFonts w:cs="Times New Roman"/>
        </w:rPr>
        <w:t xml:space="preserve"> to an air-source heat pump, the </w:t>
      </w:r>
      <w:r w:rsidR="00782F18" w:rsidRPr="003F1AF9">
        <w:rPr>
          <w:rFonts w:cs="Times New Roman"/>
        </w:rPr>
        <w:t xml:space="preserve">primary </w:t>
      </w:r>
      <w:r w:rsidR="00B636ED" w:rsidRPr="003F1AF9">
        <w:rPr>
          <w:rFonts w:cs="Times New Roman"/>
        </w:rPr>
        <w:t xml:space="preserve">solution </w:t>
      </w:r>
      <w:r w:rsidR="008E08A7" w:rsidRPr="003F1AF9">
        <w:rPr>
          <w:rFonts w:cs="Times New Roman"/>
        </w:rPr>
        <w:t>modeled</w:t>
      </w:r>
      <w:r w:rsidR="00B636ED" w:rsidRPr="003F1AF9">
        <w:rPr>
          <w:rFonts w:cs="Times New Roman"/>
        </w:rPr>
        <w:t xml:space="preserve"> </w:t>
      </w:r>
      <w:r w:rsidRPr="003F1AF9">
        <w:rPr>
          <w:rFonts w:cs="Times New Roman"/>
        </w:rPr>
        <w:t xml:space="preserve">in the PDS scenarios. </w:t>
      </w:r>
    </w:p>
    <w:p w14:paraId="1D8906EE" w14:textId="7F35A964" w:rsidR="00782F18" w:rsidRPr="003F1AF9" w:rsidRDefault="00BD3252" w:rsidP="00782F18">
      <w:r w:rsidRPr="003F1AF9">
        <w:fldChar w:fldCharType="begin"/>
      </w:r>
      <w:r w:rsidRPr="003F1AF9">
        <w:instrText xml:space="preserve"> REF _Ref536182502 \h </w:instrText>
      </w:r>
      <w:r w:rsidRPr="003F1AF9">
        <w:fldChar w:fldCharType="separate"/>
      </w:r>
      <w:r w:rsidR="00E60668" w:rsidRPr="003F1AF9">
        <w:t xml:space="preserve">Table </w:t>
      </w:r>
      <w:r w:rsidR="00E60668">
        <w:rPr>
          <w:noProof/>
        </w:rPr>
        <w:t>2</w:t>
      </w:r>
      <w:r w:rsidR="00E60668" w:rsidRPr="003F1AF9">
        <w:t>.</w:t>
      </w:r>
      <w:r w:rsidR="00E60668">
        <w:rPr>
          <w:noProof/>
        </w:rPr>
        <w:t>2</w:t>
      </w:r>
      <w:r w:rsidRPr="003F1AF9">
        <w:fldChar w:fldCharType="end"/>
      </w:r>
      <w:r w:rsidRPr="003F1AF9">
        <w:t xml:space="preserve"> </w:t>
      </w:r>
      <w:r w:rsidR="00782F18" w:rsidRPr="003F1AF9">
        <w:t xml:space="preserve">summarizes some of the most important data sources </w:t>
      </w:r>
      <w:r w:rsidR="00AC6870" w:rsidRPr="003F1AF9">
        <w:t>incorporated</w:t>
      </w:r>
      <w:r w:rsidR="00782F18" w:rsidRPr="003F1AF9">
        <w:t xml:space="preserve"> in this </w:t>
      </w:r>
      <w:r w:rsidR="008F194E" w:rsidRPr="003F1AF9">
        <w:t>report</w:t>
      </w:r>
      <w:r w:rsidR="00782F18" w:rsidRPr="003F1AF9">
        <w:t>:</w:t>
      </w:r>
      <w:r w:rsidR="0078120E">
        <w:t xml:space="preserve"> </w:t>
      </w:r>
    </w:p>
    <w:p w14:paraId="178AD6BB" w14:textId="49144FD7" w:rsidR="005110E8" w:rsidRPr="003F1AF9" w:rsidRDefault="005110E8" w:rsidP="00B80E57">
      <w:pPr>
        <w:pStyle w:val="Caption"/>
        <w:keepNext/>
        <w:jc w:val="center"/>
      </w:pPr>
      <w:bookmarkStart w:id="426" w:name="_Ref536182502"/>
      <w:bookmarkStart w:id="427" w:name="_Toc42289751"/>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2</w:t>
      </w:r>
      <w:r w:rsidR="00C0437B" w:rsidRPr="003F1AF9">
        <w:rPr>
          <w:noProof/>
        </w:rPr>
        <w:fldChar w:fldCharType="end"/>
      </w:r>
      <w:r w:rsidR="00905204"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2</w:t>
      </w:r>
      <w:r w:rsidR="00C0437B" w:rsidRPr="003F1AF9">
        <w:rPr>
          <w:noProof/>
        </w:rPr>
        <w:fldChar w:fldCharType="end"/>
      </w:r>
      <w:bookmarkEnd w:id="426"/>
      <w:r w:rsidRPr="003F1AF9">
        <w:t xml:space="preserve"> Key data sources incorporated in this update</w:t>
      </w:r>
      <w:bookmarkEnd w:id="427"/>
    </w:p>
    <w:tbl>
      <w:tblPr>
        <w:tblStyle w:val="MediumGrid3-Accent5"/>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048"/>
      </w:tblGrid>
      <w:tr w:rsidR="00F15C5C" w:rsidRPr="003F1AF9" w14:paraId="776D6300" w14:textId="77777777" w:rsidTr="00B80E57">
        <w:trPr>
          <w:cnfStyle w:val="100000000000" w:firstRow="1" w:lastRow="0" w:firstColumn="0" w:lastColumn="0" w:oddVBand="0" w:evenVBand="0" w:oddHBand="0" w:evenHBand="0" w:firstRowFirstColumn="0" w:firstRowLastColumn="0" w:lastRowFirstColumn="0" w:lastRowLastColumn="0"/>
          <w:trHeight w:val="988"/>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DB65C4C" w14:textId="6B44149C" w:rsidR="00782F18" w:rsidRPr="003F1AF9" w:rsidRDefault="00782F18" w:rsidP="00637D6E">
            <w:pPr>
              <w:spacing w:after="0" w:line="240" w:lineRule="auto"/>
              <w:jc w:val="center"/>
              <w:rPr>
                <w:rFonts w:eastAsia="Times New Roman" w:cs="Times New Roman"/>
                <w:sz w:val="21"/>
                <w:szCs w:val="21"/>
                <w:lang w:eastAsia="en-US"/>
              </w:rPr>
            </w:pPr>
            <w:r w:rsidRPr="003F1AF9">
              <w:rPr>
                <w:rFonts w:eastAsia="Times New Roman" w:cs="Times New Roman"/>
                <w:sz w:val="21"/>
                <w:szCs w:val="21"/>
                <w:lang w:eastAsia="en-US"/>
              </w:rPr>
              <w:t>Data Source</w:t>
            </w:r>
          </w:p>
        </w:tc>
        <w:tc>
          <w:tcPr>
            <w:tcW w:w="6048"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7FFB272" w14:textId="4302AC63" w:rsidR="00782F18" w:rsidRPr="003F1AF9" w:rsidRDefault="00782F18" w:rsidP="00637D6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Significance</w:t>
            </w:r>
          </w:p>
        </w:tc>
      </w:tr>
      <w:tr w:rsidR="00782F18" w:rsidRPr="003F1AF9" w14:paraId="432618AD" w14:textId="77777777" w:rsidTr="00B80E5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left w:val="none" w:sz="0" w:space="0" w:color="auto"/>
              <w:bottom w:val="none" w:sz="0" w:space="0" w:color="auto"/>
              <w:right w:val="none" w:sz="0" w:space="0" w:color="auto"/>
            </w:tcBorders>
            <w:shd w:val="clear" w:color="auto" w:fill="auto"/>
            <w:noWrap/>
            <w:vAlign w:val="center"/>
            <w:hideMark/>
          </w:tcPr>
          <w:p w14:paraId="42626512" w14:textId="31DAACD5" w:rsidR="00782F18" w:rsidRPr="003F1AF9" w:rsidRDefault="00782F18" w:rsidP="00132E27">
            <w:pPr>
              <w:spacing w:after="0" w:line="240" w:lineRule="auto"/>
              <w:jc w:val="left"/>
              <w:rPr>
                <w:rFonts w:eastAsia="Times New Roman" w:cs="Times New Roman"/>
                <w:b w:val="0"/>
                <w:color w:val="000000" w:themeColor="text1"/>
                <w:sz w:val="21"/>
                <w:szCs w:val="21"/>
                <w:lang w:eastAsia="en-US"/>
              </w:rPr>
            </w:pPr>
            <w:r w:rsidRPr="003F1AF9">
              <w:rPr>
                <w:rFonts w:eastAsia="Times New Roman" w:cs="Times New Roman"/>
                <w:color w:val="000000" w:themeColor="text1"/>
                <w:sz w:val="21"/>
                <w:szCs w:val="21"/>
                <w:lang w:eastAsia="en-US"/>
              </w:rPr>
              <w:t xml:space="preserve">IEA </w:t>
            </w:r>
            <w:r w:rsidR="008F194E" w:rsidRPr="003F1AF9">
              <w:rPr>
                <w:rFonts w:eastAsia="Times New Roman" w:cs="Times New Roman"/>
                <w:color w:val="000000" w:themeColor="text1"/>
                <w:sz w:val="21"/>
                <w:szCs w:val="21"/>
                <w:lang w:eastAsia="en-US"/>
              </w:rPr>
              <w:t xml:space="preserve">(2017) </w:t>
            </w:r>
          </w:p>
          <w:p w14:paraId="5B367C9C" w14:textId="3DFAD24E" w:rsidR="00782F18" w:rsidRPr="003F1AF9" w:rsidRDefault="00782F18" w:rsidP="00132E27">
            <w:pPr>
              <w:spacing w:after="0" w:line="240" w:lineRule="auto"/>
              <w:jc w:val="left"/>
              <w:rPr>
                <w:rFonts w:eastAsia="Times New Roman" w:cs="Times New Roman"/>
                <w:b w:val="0"/>
                <w:color w:val="000000" w:themeColor="text1"/>
                <w:sz w:val="21"/>
                <w:szCs w:val="21"/>
                <w:lang w:eastAsia="en-US"/>
              </w:rPr>
            </w:pPr>
          </w:p>
        </w:tc>
        <w:tc>
          <w:tcPr>
            <w:tcW w:w="6048" w:type="dxa"/>
            <w:tcBorders>
              <w:top w:val="single" w:sz="4" w:space="0" w:color="auto"/>
              <w:left w:val="none" w:sz="0" w:space="0" w:color="auto"/>
              <w:bottom w:val="none" w:sz="0" w:space="0" w:color="auto"/>
              <w:right w:val="none" w:sz="0" w:space="0" w:color="auto"/>
            </w:tcBorders>
            <w:shd w:val="clear" w:color="auto" w:fill="auto"/>
            <w:vAlign w:val="center"/>
            <w:hideMark/>
          </w:tcPr>
          <w:p w14:paraId="640C4271" w14:textId="77777777" w:rsidR="00D6055A" w:rsidRPr="003F1AF9" w:rsidRDefault="00677E4F" w:rsidP="00F436B3">
            <w:pPr>
              <w:pStyle w:val="ListParagraph"/>
              <w:numPr>
                <w:ilvl w:val="0"/>
                <w:numId w:val="26"/>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 xml:space="preserve">Updated </w:t>
            </w:r>
            <w:r w:rsidR="00D6055A" w:rsidRPr="003F1AF9">
              <w:rPr>
                <w:rFonts w:eastAsia="Times New Roman" w:cs="Times New Roman"/>
                <w:sz w:val="21"/>
                <w:szCs w:val="21"/>
                <w:lang w:eastAsia="en-US"/>
              </w:rPr>
              <w:t xml:space="preserve">global </w:t>
            </w:r>
            <w:r w:rsidRPr="003F1AF9">
              <w:rPr>
                <w:rFonts w:eastAsia="Times New Roman" w:cs="Times New Roman"/>
                <w:sz w:val="21"/>
                <w:szCs w:val="21"/>
                <w:lang w:eastAsia="en-US"/>
              </w:rPr>
              <w:t>data and scenario forecasts on building energy use, especially for space heating and cooling</w:t>
            </w:r>
          </w:p>
          <w:p w14:paraId="3963C269" w14:textId="4FB74FC8" w:rsidR="00782F18" w:rsidRPr="003F1AF9" w:rsidRDefault="00D6055A" w:rsidP="00F436B3">
            <w:pPr>
              <w:pStyle w:val="ListParagraph"/>
              <w:numPr>
                <w:ilvl w:val="0"/>
                <w:numId w:val="26"/>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S</w:t>
            </w:r>
            <w:r w:rsidR="00677E4F" w:rsidRPr="003F1AF9">
              <w:rPr>
                <w:rFonts w:eastAsia="Times New Roman" w:cs="Times New Roman"/>
                <w:sz w:val="21"/>
                <w:szCs w:val="21"/>
                <w:lang w:eastAsia="en-US"/>
              </w:rPr>
              <w:t>pace heating equipment stock</w:t>
            </w:r>
            <w:r w:rsidRPr="003F1AF9">
              <w:rPr>
                <w:rFonts w:eastAsia="Times New Roman" w:cs="Times New Roman"/>
                <w:sz w:val="21"/>
                <w:szCs w:val="21"/>
                <w:lang w:eastAsia="en-US"/>
              </w:rPr>
              <w:t xml:space="preserve"> data and forecasts</w:t>
            </w:r>
          </w:p>
        </w:tc>
      </w:tr>
      <w:tr w:rsidR="00D6055A" w:rsidRPr="003F1AF9" w14:paraId="2B45AA7B" w14:textId="77777777" w:rsidTr="00B80E57">
        <w:trPr>
          <w:trHeight w:val="6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shd w:val="clear" w:color="auto" w:fill="auto"/>
            <w:noWrap/>
            <w:vAlign w:val="center"/>
          </w:tcPr>
          <w:p w14:paraId="3AD53308" w14:textId="04F4FD16" w:rsidR="00D6055A" w:rsidRPr="003F1AF9" w:rsidRDefault="00D6055A" w:rsidP="0000044D">
            <w:pPr>
              <w:spacing w:after="0" w:line="240" w:lineRule="auto"/>
              <w:jc w:val="left"/>
              <w:rPr>
                <w:rFonts w:eastAsia="Times New Roman" w:cs="Times New Roman"/>
                <w:b w:val="0"/>
                <w:bCs w:val="0"/>
                <w:color w:val="000000" w:themeColor="text1"/>
                <w:sz w:val="21"/>
                <w:szCs w:val="21"/>
                <w:lang w:eastAsia="en-US"/>
              </w:rPr>
            </w:pPr>
            <w:r w:rsidRPr="003F1AF9">
              <w:rPr>
                <w:rFonts w:eastAsia="Times New Roman" w:cs="Times New Roman"/>
                <w:color w:val="000000" w:themeColor="text1"/>
                <w:sz w:val="21"/>
                <w:szCs w:val="21"/>
                <w:lang w:eastAsia="en-US"/>
              </w:rPr>
              <w:t>US Department of Energy</w:t>
            </w:r>
            <w:r w:rsidR="008F194E" w:rsidRPr="003F1AF9">
              <w:rPr>
                <w:rFonts w:eastAsia="Times New Roman" w:cs="Times New Roman"/>
                <w:color w:val="000000" w:themeColor="text1"/>
                <w:sz w:val="21"/>
                <w:szCs w:val="21"/>
                <w:lang w:eastAsia="en-US"/>
              </w:rPr>
              <w:t xml:space="preserve"> (</w:t>
            </w:r>
            <w:r w:rsidRPr="003F1AF9">
              <w:rPr>
                <w:rFonts w:eastAsia="Times New Roman" w:cs="Times New Roman"/>
                <w:color w:val="000000" w:themeColor="text1"/>
                <w:sz w:val="21"/>
                <w:szCs w:val="21"/>
                <w:lang w:eastAsia="en-US"/>
              </w:rPr>
              <w:t>2016</w:t>
            </w:r>
            <w:r w:rsidR="008F194E" w:rsidRPr="003F1AF9">
              <w:rPr>
                <w:rFonts w:eastAsia="Times New Roman" w:cs="Times New Roman"/>
                <w:color w:val="000000" w:themeColor="text1"/>
                <w:sz w:val="21"/>
                <w:szCs w:val="21"/>
                <w:lang w:eastAsia="en-US"/>
              </w:rPr>
              <w:t xml:space="preserve">) </w:t>
            </w:r>
          </w:p>
        </w:tc>
        <w:tc>
          <w:tcPr>
            <w:tcW w:w="6048" w:type="dxa"/>
            <w:shd w:val="clear" w:color="auto" w:fill="auto"/>
            <w:vAlign w:val="center"/>
          </w:tcPr>
          <w:p w14:paraId="732438C6" w14:textId="6F49AF98" w:rsidR="00D6055A" w:rsidRPr="003F1AF9" w:rsidRDefault="00D6055A" w:rsidP="00F436B3">
            <w:pPr>
              <w:pStyle w:val="ListParagraph"/>
              <w:numPr>
                <w:ilvl w:val="0"/>
                <w:numId w:val="2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 xml:space="preserve">Data and forecasts on the air conditioning / heat pump market, </w:t>
            </w:r>
            <w:r w:rsidR="0061497A" w:rsidRPr="003F1AF9">
              <w:rPr>
                <w:rFonts w:eastAsia="Times New Roman" w:cs="Times New Roman"/>
                <w:sz w:val="21"/>
                <w:szCs w:val="21"/>
                <w:lang w:eastAsia="en-US"/>
              </w:rPr>
              <w:t xml:space="preserve">including </w:t>
            </w:r>
            <w:r w:rsidRPr="003F1AF9">
              <w:rPr>
                <w:rFonts w:eastAsia="Times New Roman" w:cs="Times New Roman"/>
                <w:sz w:val="21"/>
                <w:szCs w:val="21"/>
                <w:lang w:eastAsia="en-US"/>
              </w:rPr>
              <w:t>equipment efficiencies, costs</w:t>
            </w:r>
            <w:r w:rsidR="00D83D24">
              <w:rPr>
                <w:rFonts w:eastAsia="Times New Roman" w:cs="Times New Roman"/>
                <w:sz w:val="21"/>
                <w:szCs w:val="21"/>
                <w:lang w:eastAsia="en-US"/>
              </w:rPr>
              <w:t>,</w:t>
            </w:r>
            <w:r w:rsidRPr="003F1AF9">
              <w:rPr>
                <w:rFonts w:eastAsia="Times New Roman" w:cs="Times New Roman"/>
                <w:sz w:val="21"/>
                <w:szCs w:val="21"/>
                <w:lang w:eastAsia="en-US"/>
              </w:rPr>
              <w:t xml:space="preserve"> and technology</w:t>
            </w:r>
          </w:p>
          <w:p w14:paraId="20139B9D" w14:textId="78E24E94" w:rsidR="00D6055A" w:rsidRPr="003F1AF9" w:rsidRDefault="00D6055A" w:rsidP="00F436B3">
            <w:pPr>
              <w:pStyle w:val="ListParagraph"/>
              <w:numPr>
                <w:ilvl w:val="0"/>
                <w:numId w:val="2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 xml:space="preserve">Review of </w:t>
            </w:r>
            <w:r w:rsidR="0061497A" w:rsidRPr="003F1AF9">
              <w:rPr>
                <w:rFonts w:eastAsia="Times New Roman" w:cs="Times New Roman"/>
                <w:sz w:val="21"/>
                <w:szCs w:val="21"/>
                <w:lang w:eastAsia="en-US"/>
              </w:rPr>
              <w:t>new refrigerants</w:t>
            </w:r>
            <w:r w:rsidR="00D83D24">
              <w:rPr>
                <w:rFonts w:eastAsia="Times New Roman" w:cs="Times New Roman"/>
                <w:sz w:val="21"/>
                <w:szCs w:val="21"/>
                <w:lang w:eastAsia="en-US"/>
              </w:rPr>
              <w:t>,</w:t>
            </w:r>
            <w:r w:rsidR="0061497A" w:rsidRPr="003F1AF9">
              <w:rPr>
                <w:rFonts w:eastAsia="Times New Roman" w:cs="Times New Roman"/>
                <w:sz w:val="21"/>
                <w:szCs w:val="21"/>
                <w:lang w:eastAsia="en-US"/>
              </w:rPr>
              <w:t xml:space="preserve"> especially</w:t>
            </w:r>
            <w:r w:rsidRPr="003F1AF9">
              <w:rPr>
                <w:rFonts w:eastAsia="Times New Roman" w:cs="Times New Roman"/>
                <w:sz w:val="21"/>
                <w:szCs w:val="21"/>
                <w:lang w:eastAsia="en-US"/>
              </w:rPr>
              <w:t xml:space="preserve"> their global warming potential</w:t>
            </w:r>
          </w:p>
        </w:tc>
      </w:tr>
      <w:tr w:rsidR="00D6055A" w:rsidRPr="003F1AF9" w14:paraId="2785761E" w14:textId="77777777" w:rsidTr="00B80E57">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none" w:sz="0" w:space="0" w:color="auto"/>
              <w:right w:val="none" w:sz="0" w:space="0" w:color="auto"/>
            </w:tcBorders>
            <w:shd w:val="clear" w:color="auto" w:fill="auto"/>
            <w:noWrap/>
            <w:vAlign w:val="center"/>
          </w:tcPr>
          <w:p w14:paraId="281A1C61" w14:textId="04E8CB97" w:rsidR="00D6055A" w:rsidRPr="003F1AF9" w:rsidRDefault="008F194E" w:rsidP="0000044D">
            <w:pPr>
              <w:spacing w:after="0" w:line="240" w:lineRule="auto"/>
              <w:jc w:val="left"/>
              <w:rPr>
                <w:rFonts w:eastAsia="Times New Roman" w:cs="Times New Roman"/>
                <w:b w:val="0"/>
                <w:bCs w:val="0"/>
                <w:color w:val="000000" w:themeColor="text1"/>
                <w:sz w:val="21"/>
                <w:szCs w:val="21"/>
                <w:lang w:eastAsia="en-US"/>
              </w:rPr>
            </w:pPr>
            <w:r w:rsidRPr="003F1AF9">
              <w:rPr>
                <w:rFonts w:eastAsia="Times New Roman" w:cs="Times New Roman"/>
                <w:color w:val="000000" w:themeColor="text1"/>
                <w:sz w:val="21"/>
                <w:szCs w:val="21"/>
                <w:lang w:eastAsia="en-US"/>
              </w:rPr>
              <w:t>IEA (2018)</w:t>
            </w:r>
          </w:p>
        </w:tc>
        <w:tc>
          <w:tcPr>
            <w:tcW w:w="6048" w:type="dxa"/>
            <w:tcBorders>
              <w:top w:val="none" w:sz="0" w:space="0" w:color="auto"/>
              <w:left w:val="none" w:sz="0" w:space="0" w:color="auto"/>
              <w:bottom w:val="none" w:sz="0" w:space="0" w:color="auto"/>
              <w:right w:val="none" w:sz="0" w:space="0" w:color="auto"/>
            </w:tcBorders>
            <w:shd w:val="clear" w:color="auto" w:fill="auto"/>
            <w:vAlign w:val="center"/>
          </w:tcPr>
          <w:p w14:paraId="74D655CD" w14:textId="77777777" w:rsidR="00D6055A" w:rsidRPr="003F1AF9" w:rsidRDefault="00D6055A" w:rsidP="00F436B3">
            <w:pPr>
              <w:pStyle w:val="ListParagraph"/>
              <w:numPr>
                <w:ilvl w:val="0"/>
                <w:numId w:val="26"/>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Updated global data and scenario forecasts on building space cooling needs, and heat pump / air conditioners efficiencies</w:t>
            </w:r>
          </w:p>
          <w:p w14:paraId="0CBF7202" w14:textId="1CED876B" w:rsidR="00D6055A" w:rsidRPr="003F1AF9" w:rsidRDefault="00D6055A" w:rsidP="00F436B3">
            <w:pPr>
              <w:pStyle w:val="ListParagraph"/>
              <w:numPr>
                <w:ilvl w:val="0"/>
                <w:numId w:val="26"/>
              </w:num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Space cooling drivers, outlook</w:t>
            </w:r>
            <w:r w:rsidR="00D83D24">
              <w:rPr>
                <w:rFonts w:eastAsia="Times New Roman" w:cs="Times New Roman"/>
                <w:sz w:val="21"/>
                <w:szCs w:val="21"/>
                <w:lang w:eastAsia="en-US"/>
              </w:rPr>
              <w:t>,</w:t>
            </w:r>
            <w:r w:rsidRPr="003F1AF9">
              <w:rPr>
                <w:rFonts w:eastAsia="Times New Roman" w:cs="Times New Roman"/>
                <w:sz w:val="21"/>
                <w:szCs w:val="21"/>
                <w:lang w:eastAsia="en-US"/>
              </w:rPr>
              <w:t xml:space="preserve"> and policy directions</w:t>
            </w:r>
          </w:p>
        </w:tc>
      </w:tr>
      <w:tr w:rsidR="0061497A" w:rsidRPr="003F1AF9" w14:paraId="277AD594" w14:textId="77777777" w:rsidTr="00B80E57">
        <w:trPr>
          <w:trHeight w:val="6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right w:val="none" w:sz="0" w:space="0" w:color="auto"/>
            </w:tcBorders>
            <w:shd w:val="clear" w:color="auto" w:fill="auto"/>
            <w:noWrap/>
            <w:vAlign w:val="center"/>
          </w:tcPr>
          <w:p w14:paraId="49F44556" w14:textId="59157295" w:rsidR="0061497A" w:rsidRPr="003F1AF9" w:rsidRDefault="0061497A" w:rsidP="0000044D">
            <w:pPr>
              <w:spacing w:after="0" w:line="240" w:lineRule="auto"/>
              <w:jc w:val="left"/>
              <w:rPr>
                <w:rFonts w:eastAsia="Times New Roman" w:cs="Times New Roman"/>
                <w:b w:val="0"/>
                <w:color w:val="000000" w:themeColor="text1"/>
                <w:sz w:val="21"/>
                <w:szCs w:val="21"/>
                <w:lang w:eastAsia="en-US"/>
              </w:rPr>
            </w:pPr>
            <w:r w:rsidRPr="003F1AF9">
              <w:rPr>
                <w:rFonts w:eastAsia="Times New Roman" w:cs="Times New Roman"/>
                <w:color w:val="000000" w:themeColor="text1"/>
                <w:sz w:val="21"/>
                <w:szCs w:val="21"/>
                <w:lang w:eastAsia="en-US"/>
              </w:rPr>
              <w:t>Zhao</w:t>
            </w:r>
            <w:r w:rsidR="008F194E" w:rsidRPr="003F1AF9">
              <w:rPr>
                <w:rFonts w:eastAsia="Times New Roman" w:cs="Times New Roman"/>
                <w:color w:val="000000" w:themeColor="text1"/>
                <w:sz w:val="21"/>
                <w:szCs w:val="21"/>
                <w:lang w:eastAsia="en-US"/>
              </w:rPr>
              <w:t xml:space="preserve"> (</w:t>
            </w:r>
            <w:r w:rsidRPr="003F1AF9">
              <w:rPr>
                <w:rFonts w:eastAsia="Times New Roman" w:cs="Times New Roman"/>
                <w:color w:val="000000" w:themeColor="text1"/>
                <w:sz w:val="21"/>
                <w:szCs w:val="21"/>
                <w:lang w:eastAsia="en-US"/>
              </w:rPr>
              <w:t>2017</w:t>
            </w:r>
            <w:r w:rsidR="008F194E" w:rsidRPr="003F1AF9">
              <w:rPr>
                <w:rFonts w:eastAsia="Times New Roman" w:cs="Times New Roman"/>
                <w:color w:val="000000" w:themeColor="text1"/>
                <w:sz w:val="21"/>
                <w:szCs w:val="21"/>
                <w:lang w:eastAsia="en-US"/>
              </w:rPr>
              <w:t>)</w:t>
            </w:r>
          </w:p>
        </w:tc>
        <w:tc>
          <w:tcPr>
            <w:tcW w:w="6048" w:type="dxa"/>
            <w:shd w:val="clear" w:color="auto" w:fill="auto"/>
            <w:vAlign w:val="center"/>
          </w:tcPr>
          <w:p w14:paraId="3B14C949" w14:textId="5F70CCE4" w:rsidR="0061497A" w:rsidRPr="003F1AF9" w:rsidRDefault="0061497A" w:rsidP="00F436B3">
            <w:pPr>
              <w:pStyle w:val="ListParagraph"/>
              <w:numPr>
                <w:ilvl w:val="0"/>
                <w:numId w:val="26"/>
              </w:num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Data on China heat pump market trends and equipment for space heating, water heating</w:t>
            </w:r>
            <w:r w:rsidR="00D83D24">
              <w:rPr>
                <w:rFonts w:eastAsia="Times New Roman" w:cs="Times New Roman"/>
                <w:sz w:val="21"/>
                <w:szCs w:val="21"/>
                <w:lang w:eastAsia="en-US"/>
              </w:rPr>
              <w:t>,</w:t>
            </w:r>
            <w:r w:rsidRPr="003F1AF9">
              <w:rPr>
                <w:rFonts w:eastAsia="Times New Roman" w:cs="Times New Roman"/>
                <w:sz w:val="21"/>
                <w:szCs w:val="21"/>
                <w:lang w:eastAsia="en-US"/>
              </w:rPr>
              <w:t xml:space="preserve"> and space cooling</w:t>
            </w:r>
          </w:p>
        </w:tc>
      </w:tr>
    </w:tbl>
    <w:p w14:paraId="632B9274" w14:textId="77777777" w:rsidR="00782F18" w:rsidRPr="003F1AF9" w:rsidRDefault="00782F18" w:rsidP="00782F18"/>
    <w:p w14:paraId="3F6B79A0" w14:textId="4C381A8A" w:rsidR="00DF4904" w:rsidRPr="003F1AF9" w:rsidRDefault="00EE018E">
      <w:pPr>
        <w:pStyle w:val="Heading2"/>
      </w:pPr>
      <w:bookmarkStart w:id="428" w:name="_Toc42289717"/>
      <w:r w:rsidRPr="003F1AF9">
        <w:lastRenderedPageBreak/>
        <w:t>Space Heating</w:t>
      </w:r>
      <w:r w:rsidR="007B3DE2" w:rsidRPr="003F1AF9">
        <w:t xml:space="preserve"> Delivered Energy</w:t>
      </w:r>
      <w:r w:rsidRPr="003F1AF9">
        <w:t xml:space="preserve"> </w:t>
      </w:r>
      <w:r w:rsidR="00222399" w:rsidRPr="003F1AF9">
        <w:t xml:space="preserve">Total </w:t>
      </w:r>
      <w:r w:rsidR="00686965" w:rsidRPr="003F1AF9">
        <w:t>Addressable Market</w:t>
      </w:r>
      <w:r w:rsidR="00FB2C53" w:rsidRPr="003F1AF9">
        <w:t xml:space="preserve"> </w:t>
      </w:r>
      <w:r w:rsidR="00080B3D" w:rsidRPr="003F1AF9">
        <w:t>(</w:t>
      </w:r>
      <w:r w:rsidR="00FB2C53" w:rsidRPr="003F1AF9">
        <w:t>T</w:t>
      </w:r>
      <w:r w:rsidR="006D2DB3" w:rsidRPr="003F1AF9">
        <w:t>AM</w:t>
      </w:r>
      <w:r w:rsidR="00080B3D" w:rsidRPr="003F1AF9">
        <w:t>)</w:t>
      </w:r>
      <w:bookmarkEnd w:id="428"/>
    </w:p>
    <w:p w14:paraId="20C0C54B" w14:textId="08788569" w:rsidR="00C156C3" w:rsidRPr="003F1AF9" w:rsidRDefault="002D52D7">
      <w:pPr>
        <w:rPr>
          <w:b/>
        </w:rPr>
      </w:pPr>
      <w:r w:rsidRPr="003F1AF9">
        <w:t>With</w:t>
      </w:r>
      <w:r w:rsidR="00F9445C" w:rsidRPr="003F1AF9">
        <w:t xml:space="preserve"> delivered energy as </w:t>
      </w:r>
      <w:r w:rsidR="00ED34E3" w:rsidRPr="003F1AF9">
        <w:t xml:space="preserve">the </w:t>
      </w:r>
      <w:r w:rsidR="00F9445C" w:rsidRPr="003F1AF9">
        <w:t xml:space="preserve">functional unit, </w:t>
      </w:r>
      <w:r w:rsidR="007B3DE2" w:rsidRPr="003F1AF9">
        <w:t>the</w:t>
      </w:r>
      <w:r w:rsidRPr="003F1AF9">
        <w:t xml:space="preserve"> space heating</w:t>
      </w:r>
      <w:r w:rsidR="007B3DE2" w:rsidRPr="003F1AF9">
        <w:t xml:space="preserve"> </w:t>
      </w:r>
      <w:r w:rsidR="00F9445C" w:rsidRPr="003F1AF9">
        <w:t xml:space="preserve">Total Addressable Market (TAM) </w:t>
      </w:r>
      <w:r w:rsidR="007B3DE2" w:rsidRPr="003F1AF9">
        <w:t>is</w:t>
      </w:r>
      <w:r w:rsidR="00F9445C" w:rsidRPr="003F1AF9">
        <w:t xml:space="preserve"> the total amount of thermal energy delivered for all </w:t>
      </w:r>
      <w:r w:rsidR="00F30206" w:rsidRPr="003F1AF9">
        <w:t xml:space="preserve">residential and commercial </w:t>
      </w:r>
      <w:r w:rsidR="00F9445C" w:rsidRPr="003F1AF9">
        <w:t>building space heating worldwide.</w:t>
      </w:r>
      <w:r w:rsidR="0078120E">
        <w:t xml:space="preserve"> </w:t>
      </w:r>
    </w:p>
    <w:p w14:paraId="4CE53EAF" w14:textId="124B7A12" w:rsidR="001138D3" w:rsidRPr="003F1AF9" w:rsidRDefault="00EC72B5" w:rsidP="00395493">
      <w:r w:rsidRPr="003F1AF9">
        <w:t xml:space="preserve">Since data is </w:t>
      </w:r>
      <w:r w:rsidR="001138D3" w:rsidRPr="003F1AF9">
        <w:t xml:space="preserve">widely </w:t>
      </w:r>
      <w:r w:rsidRPr="003F1AF9">
        <w:t>available for</w:t>
      </w:r>
      <w:r w:rsidR="001138D3" w:rsidRPr="003F1AF9">
        <w:t xml:space="preserve"> space heating </w:t>
      </w:r>
      <w:r w:rsidR="001138D3" w:rsidRPr="003F1AF9">
        <w:rPr>
          <w:i/>
        </w:rPr>
        <w:t>final energy</w:t>
      </w:r>
      <w:r w:rsidR="001138D3" w:rsidRPr="003F1AF9">
        <w:t xml:space="preserve"> (i.e</w:t>
      </w:r>
      <w:r w:rsidRPr="003F1AF9">
        <w:t>., building consumption of natural gas, oil, electricity, etc.)</w:t>
      </w:r>
      <w:r w:rsidR="001138D3" w:rsidRPr="003F1AF9">
        <w:t xml:space="preserve"> from sources such as IEA or the US DOE,</w:t>
      </w:r>
      <w:r w:rsidRPr="003F1AF9">
        <w:t xml:space="preserve"> but </w:t>
      </w:r>
      <w:r w:rsidR="001138D3" w:rsidRPr="003F1AF9">
        <w:t>much less so</w:t>
      </w:r>
      <w:r w:rsidRPr="003F1AF9">
        <w:t xml:space="preserve"> for </w:t>
      </w:r>
      <w:r w:rsidRPr="003F1AF9">
        <w:rPr>
          <w:i/>
        </w:rPr>
        <w:t>delivered energy</w:t>
      </w:r>
      <w:r w:rsidR="001138D3" w:rsidRPr="003F1AF9">
        <w:t>, space heating delivered energy</w:t>
      </w:r>
      <w:r w:rsidR="002D52D7" w:rsidRPr="003F1AF9">
        <w:t xml:space="preserve"> from 2014 to 2060</w:t>
      </w:r>
      <w:r w:rsidR="001138D3" w:rsidRPr="003F1AF9">
        <w:t xml:space="preserve"> </w:t>
      </w:r>
      <w:r w:rsidR="008E08A7" w:rsidRPr="003F1AF9">
        <w:t xml:space="preserve">was calculated </w:t>
      </w:r>
      <w:r w:rsidR="001138D3" w:rsidRPr="003F1AF9">
        <w:t>as the product of final energy and space heating equipment efficiency, using historical data and future forecasts for both</w:t>
      </w:r>
      <w:r w:rsidR="002D52D7" w:rsidRPr="003F1AF9">
        <w:t xml:space="preserve"> quantities</w:t>
      </w:r>
      <w:r w:rsidR="0078120E">
        <w:t xml:space="preserve"> </w:t>
      </w:r>
      <w:r w:rsidR="001138D3" w:rsidRPr="003F1AF9">
        <w:t>(EIA, 2018</w:t>
      </w:r>
      <w:r w:rsidR="002D52D7" w:rsidRPr="003F1AF9">
        <w:t xml:space="preserve">; </w:t>
      </w:r>
      <w:r w:rsidR="001138D3" w:rsidRPr="003F1AF9">
        <w:t>IEA ETP, 2017)</w:t>
      </w:r>
      <w:r w:rsidR="00D83D24">
        <w:t>.</w:t>
      </w:r>
      <w:r w:rsidR="0078120E">
        <w:t xml:space="preserve"> </w:t>
      </w:r>
    </w:p>
    <w:p w14:paraId="7C3BEABC" w14:textId="187C5D2B" w:rsidR="002D52D7" w:rsidRPr="003F1AF9" w:rsidRDefault="00BD3252" w:rsidP="002D52D7">
      <w:r w:rsidRPr="003F1AF9">
        <w:fldChar w:fldCharType="begin"/>
      </w:r>
      <w:r w:rsidRPr="003F1AF9">
        <w:instrText xml:space="preserve"> REF _Ref536182512 \h </w:instrText>
      </w:r>
      <w:r w:rsidRPr="003F1AF9">
        <w:fldChar w:fldCharType="separate"/>
      </w:r>
      <w:r w:rsidR="00E60668" w:rsidRPr="003F1AF9">
        <w:t xml:space="preserve">Table </w:t>
      </w:r>
      <w:r w:rsidR="00E60668">
        <w:rPr>
          <w:noProof/>
        </w:rPr>
        <w:t>2</w:t>
      </w:r>
      <w:r w:rsidR="00E60668" w:rsidRPr="003F1AF9">
        <w:t>.</w:t>
      </w:r>
      <w:r w:rsidR="00E60668">
        <w:rPr>
          <w:noProof/>
        </w:rPr>
        <w:t>3</w:t>
      </w:r>
      <w:r w:rsidRPr="003F1AF9">
        <w:fldChar w:fldCharType="end"/>
      </w:r>
      <w:r w:rsidRPr="003F1AF9">
        <w:t xml:space="preserve"> </w:t>
      </w:r>
      <w:r w:rsidR="00D50A31" w:rsidRPr="003F1AF9">
        <w:t>presents</w:t>
      </w:r>
      <w:r w:rsidR="005D028F" w:rsidRPr="003F1AF9">
        <w:t xml:space="preserve"> the various fuels used to supply</w:t>
      </w:r>
      <w:r w:rsidR="002D52D7" w:rsidRPr="003F1AF9">
        <w:t xml:space="preserve"> 2014 global residential and commercial space heating </w:t>
      </w:r>
      <w:r w:rsidR="00D50A31" w:rsidRPr="003F1AF9">
        <w:t xml:space="preserve">and the corresponding </w:t>
      </w:r>
      <w:r w:rsidR="002D52D7" w:rsidRPr="003F1AF9">
        <w:t>delivered energy TAM</w:t>
      </w:r>
      <w:r w:rsidR="00D50A31" w:rsidRPr="003F1AF9">
        <w:t xml:space="preserve"> for each</w:t>
      </w:r>
      <w:r w:rsidR="002D52D7" w:rsidRPr="003F1AF9">
        <w:t>: (</w:t>
      </w:r>
      <w:r w:rsidR="008C1AC5" w:rsidRPr="003F1AF9">
        <w:t xml:space="preserve">Drawdown Calculation based on </w:t>
      </w:r>
      <w:r w:rsidR="002D52D7" w:rsidRPr="003F1AF9">
        <w:t>IEA ETP 2017)</w:t>
      </w:r>
      <w:r w:rsidR="0078120E">
        <w:t xml:space="preserve"> </w:t>
      </w:r>
    </w:p>
    <w:p w14:paraId="71B37958" w14:textId="39679C7B" w:rsidR="005110E8" w:rsidRPr="003F1AF9" w:rsidRDefault="005110E8" w:rsidP="00FC3402">
      <w:pPr>
        <w:pStyle w:val="Caption"/>
        <w:keepNext/>
        <w:jc w:val="center"/>
      </w:pPr>
      <w:bookmarkStart w:id="429" w:name="_Ref536182512"/>
      <w:bookmarkStart w:id="430" w:name="_Toc42289752"/>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2</w:t>
      </w:r>
      <w:r w:rsidR="00C0437B" w:rsidRPr="003F1AF9">
        <w:rPr>
          <w:noProof/>
        </w:rPr>
        <w:fldChar w:fldCharType="end"/>
      </w:r>
      <w:r w:rsidR="00905204"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3</w:t>
      </w:r>
      <w:r w:rsidR="00C0437B" w:rsidRPr="003F1AF9">
        <w:rPr>
          <w:noProof/>
        </w:rPr>
        <w:fldChar w:fldCharType="end"/>
      </w:r>
      <w:bookmarkEnd w:id="429"/>
      <w:r w:rsidRPr="003F1AF9">
        <w:t xml:space="preserve"> 2014 Space Heating </w:t>
      </w:r>
      <w:r w:rsidR="008A49B2" w:rsidRPr="003F1AF9">
        <w:t>TAM (</w:t>
      </w:r>
      <w:r w:rsidRPr="003F1AF9">
        <w:t>Delivered Energy</w:t>
      </w:r>
      <w:r w:rsidR="008A49B2" w:rsidRPr="003F1AF9">
        <w:t>)</w:t>
      </w:r>
      <w:bookmarkEnd w:id="430"/>
      <w:r w:rsidRPr="003F1AF9">
        <w:t xml:space="preserve"> </w:t>
      </w:r>
    </w:p>
    <w:tbl>
      <w:tblPr>
        <w:tblStyle w:val="MediumGrid3-Accent5"/>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0"/>
        <w:gridCol w:w="1860"/>
        <w:gridCol w:w="1603"/>
      </w:tblGrid>
      <w:tr w:rsidR="0055612F" w:rsidRPr="003F1AF9" w14:paraId="79D5EDC8" w14:textId="77777777" w:rsidTr="00FC3402">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650" w:type="dxa"/>
            <w:shd w:val="clear" w:color="auto" w:fill="4F81BD" w:themeFill="accent1"/>
            <w:noWrap/>
            <w:vAlign w:val="center"/>
          </w:tcPr>
          <w:p w14:paraId="12F099C0" w14:textId="745A91B9" w:rsidR="008A49B2" w:rsidRPr="003F1AF9" w:rsidRDefault="008A49B2" w:rsidP="00FC3402">
            <w:pPr>
              <w:spacing w:after="0" w:line="240" w:lineRule="auto"/>
              <w:jc w:val="center"/>
              <w:rPr>
                <w:rFonts w:eastAsia="Times New Roman" w:cs="Times New Roman"/>
                <w:sz w:val="21"/>
                <w:szCs w:val="21"/>
                <w:lang w:eastAsia="en-US"/>
              </w:rPr>
            </w:pPr>
            <w:r w:rsidRPr="003F1AF9">
              <w:rPr>
                <w:rFonts w:eastAsia="Times New Roman" w:cs="Times New Roman"/>
                <w:sz w:val="21"/>
                <w:szCs w:val="21"/>
                <w:lang w:eastAsia="en-US"/>
              </w:rPr>
              <w:t>Energy Source</w:t>
            </w:r>
          </w:p>
        </w:tc>
        <w:tc>
          <w:tcPr>
            <w:tcW w:w="1860" w:type="dxa"/>
            <w:shd w:val="clear" w:color="auto" w:fill="4F81BD" w:themeFill="accent1"/>
            <w:vAlign w:val="center"/>
          </w:tcPr>
          <w:p w14:paraId="667C7690" w14:textId="52B70712" w:rsidR="008A49B2" w:rsidRPr="003F1AF9" w:rsidRDefault="008A49B2" w:rsidP="002D52D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2014 Space Heating (TWh)</w:t>
            </w:r>
          </w:p>
        </w:tc>
        <w:tc>
          <w:tcPr>
            <w:tcW w:w="1603" w:type="dxa"/>
            <w:shd w:val="clear" w:color="auto" w:fill="4F81BD" w:themeFill="accent1"/>
            <w:vAlign w:val="center"/>
          </w:tcPr>
          <w:p w14:paraId="4FDD5A16" w14:textId="77777777" w:rsidR="008A49B2" w:rsidRPr="003F1AF9" w:rsidRDefault="008A49B2" w:rsidP="002D52D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eastAsia="Times New Roman" w:cs="Times New Roman"/>
                <w:sz w:val="21"/>
                <w:szCs w:val="21"/>
                <w:lang w:eastAsia="en-US"/>
              </w:rPr>
              <w:t>% TAM</w:t>
            </w:r>
          </w:p>
        </w:tc>
      </w:tr>
      <w:tr w:rsidR="008A49B2" w:rsidRPr="003F1AF9" w14:paraId="141ED08C" w14:textId="77777777" w:rsidTr="00FC340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650" w:type="dxa"/>
            <w:tcBorders>
              <w:top w:val="none" w:sz="0" w:space="0" w:color="auto"/>
              <w:left w:val="none" w:sz="0" w:space="0" w:color="auto"/>
              <w:bottom w:val="none" w:sz="0" w:space="0" w:color="auto"/>
              <w:right w:val="none" w:sz="0" w:space="0" w:color="auto"/>
            </w:tcBorders>
            <w:shd w:val="clear" w:color="auto" w:fill="auto"/>
            <w:noWrap/>
            <w:hideMark/>
          </w:tcPr>
          <w:p w14:paraId="1F101229" w14:textId="77777777" w:rsidR="008A49B2" w:rsidRPr="003F1AF9" w:rsidRDefault="008A49B2" w:rsidP="002D52D7">
            <w:pPr>
              <w:spacing w:after="0" w:line="240" w:lineRule="auto"/>
              <w:jc w:val="left"/>
              <w:rPr>
                <w:rFonts w:eastAsia="Times New Roman" w:cs="Times New Roman"/>
                <w:b w:val="0"/>
                <w:color w:val="000000" w:themeColor="text1"/>
                <w:sz w:val="21"/>
                <w:szCs w:val="21"/>
                <w:lang w:eastAsia="en-US"/>
              </w:rPr>
            </w:pPr>
            <w:r w:rsidRPr="003F1AF9">
              <w:rPr>
                <w:rFonts w:eastAsia="Times New Roman" w:cs="Times New Roman"/>
                <w:color w:val="000000" w:themeColor="text1"/>
                <w:sz w:val="21"/>
                <w:szCs w:val="21"/>
                <w:lang w:eastAsia="en-US"/>
              </w:rPr>
              <w:t>Coal</w:t>
            </w:r>
          </w:p>
        </w:tc>
        <w:tc>
          <w:tcPr>
            <w:tcW w:w="1860" w:type="dxa"/>
            <w:tcBorders>
              <w:top w:val="none" w:sz="0" w:space="0" w:color="auto"/>
              <w:left w:val="none" w:sz="0" w:space="0" w:color="auto"/>
              <w:bottom w:val="none" w:sz="0" w:space="0" w:color="auto"/>
              <w:right w:val="none" w:sz="0" w:space="0" w:color="auto"/>
            </w:tcBorders>
            <w:shd w:val="clear" w:color="auto" w:fill="auto"/>
            <w:vAlign w:val="center"/>
          </w:tcPr>
          <w:p w14:paraId="033D1F9A" w14:textId="77777777" w:rsidR="008A49B2" w:rsidRPr="003F1AF9" w:rsidRDefault="008A49B2" w:rsidP="002D52D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cs="Times New Roman"/>
                <w:bCs/>
                <w:color w:val="000000"/>
                <w:sz w:val="21"/>
                <w:szCs w:val="21"/>
              </w:rPr>
              <w:t>673</w:t>
            </w:r>
          </w:p>
        </w:tc>
        <w:tc>
          <w:tcPr>
            <w:tcW w:w="1603" w:type="dxa"/>
            <w:tcBorders>
              <w:top w:val="none" w:sz="0" w:space="0" w:color="auto"/>
              <w:left w:val="none" w:sz="0" w:space="0" w:color="auto"/>
              <w:bottom w:val="none" w:sz="0" w:space="0" w:color="auto"/>
              <w:right w:val="none" w:sz="0" w:space="0" w:color="auto"/>
            </w:tcBorders>
            <w:shd w:val="clear" w:color="auto" w:fill="auto"/>
            <w:vAlign w:val="center"/>
          </w:tcPr>
          <w:p w14:paraId="5AF2150F" w14:textId="77777777" w:rsidR="008A49B2" w:rsidRPr="003F1AF9" w:rsidRDefault="008A49B2" w:rsidP="002D52D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cs="Times New Roman"/>
                <w:bCs/>
                <w:color w:val="000000"/>
                <w:sz w:val="21"/>
                <w:szCs w:val="21"/>
              </w:rPr>
              <w:t>7.4%</w:t>
            </w:r>
          </w:p>
        </w:tc>
      </w:tr>
      <w:tr w:rsidR="008A49B2" w:rsidRPr="003F1AF9" w14:paraId="7BA2D3E6" w14:textId="77777777" w:rsidTr="00FC3402">
        <w:trPr>
          <w:trHeight w:val="280"/>
          <w:jc w:val="center"/>
        </w:trPr>
        <w:tc>
          <w:tcPr>
            <w:cnfStyle w:val="001000000000" w:firstRow="0" w:lastRow="0" w:firstColumn="1" w:lastColumn="0" w:oddVBand="0" w:evenVBand="0" w:oddHBand="0" w:evenHBand="0" w:firstRowFirstColumn="0" w:firstRowLastColumn="0" w:lastRowFirstColumn="0" w:lastRowLastColumn="0"/>
            <w:tcW w:w="2650" w:type="dxa"/>
            <w:tcBorders>
              <w:top w:val="none" w:sz="0" w:space="0" w:color="auto"/>
              <w:left w:val="none" w:sz="0" w:space="0" w:color="auto"/>
              <w:bottom w:val="none" w:sz="0" w:space="0" w:color="auto"/>
              <w:right w:val="none" w:sz="0" w:space="0" w:color="auto"/>
            </w:tcBorders>
            <w:shd w:val="clear" w:color="auto" w:fill="auto"/>
            <w:noWrap/>
            <w:hideMark/>
          </w:tcPr>
          <w:p w14:paraId="7D334B25" w14:textId="77777777" w:rsidR="008A49B2" w:rsidRPr="003F1AF9" w:rsidRDefault="008A49B2" w:rsidP="002D52D7">
            <w:pPr>
              <w:spacing w:after="0" w:line="240" w:lineRule="auto"/>
              <w:jc w:val="left"/>
              <w:rPr>
                <w:rFonts w:eastAsia="Times New Roman" w:cs="Times New Roman"/>
                <w:b w:val="0"/>
                <w:color w:val="000000" w:themeColor="text1"/>
                <w:sz w:val="21"/>
                <w:szCs w:val="21"/>
                <w:lang w:eastAsia="en-US"/>
              </w:rPr>
            </w:pPr>
            <w:r w:rsidRPr="003F1AF9">
              <w:rPr>
                <w:rFonts w:eastAsia="Times New Roman" w:cs="Times New Roman"/>
                <w:color w:val="000000" w:themeColor="text1"/>
                <w:sz w:val="21"/>
                <w:szCs w:val="21"/>
                <w:lang w:eastAsia="en-US"/>
              </w:rPr>
              <w:t>Oil products</w:t>
            </w:r>
          </w:p>
        </w:tc>
        <w:tc>
          <w:tcPr>
            <w:tcW w:w="1860" w:type="dxa"/>
            <w:shd w:val="clear" w:color="auto" w:fill="auto"/>
            <w:vAlign w:val="center"/>
          </w:tcPr>
          <w:p w14:paraId="6DBF15D2" w14:textId="2A7FC53D" w:rsidR="008A49B2" w:rsidRPr="003F1AF9" w:rsidRDefault="008A49B2" w:rsidP="002D52D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cs="Times New Roman"/>
                <w:bCs/>
                <w:color w:val="000000"/>
                <w:sz w:val="21"/>
                <w:szCs w:val="21"/>
              </w:rPr>
              <w:t>1,258</w:t>
            </w:r>
          </w:p>
        </w:tc>
        <w:tc>
          <w:tcPr>
            <w:tcW w:w="1603" w:type="dxa"/>
            <w:shd w:val="clear" w:color="auto" w:fill="auto"/>
            <w:vAlign w:val="center"/>
          </w:tcPr>
          <w:p w14:paraId="56B512E6" w14:textId="77777777" w:rsidR="008A49B2" w:rsidRPr="003F1AF9" w:rsidRDefault="008A49B2" w:rsidP="002D52D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cs="Times New Roman"/>
                <w:bCs/>
                <w:color w:val="000000"/>
                <w:sz w:val="21"/>
                <w:szCs w:val="21"/>
              </w:rPr>
              <w:t>13.8%</w:t>
            </w:r>
          </w:p>
        </w:tc>
      </w:tr>
      <w:tr w:rsidR="008A49B2" w:rsidRPr="003F1AF9" w14:paraId="745A75A9" w14:textId="77777777" w:rsidTr="00FC340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650" w:type="dxa"/>
            <w:tcBorders>
              <w:top w:val="none" w:sz="0" w:space="0" w:color="auto"/>
              <w:left w:val="none" w:sz="0" w:space="0" w:color="auto"/>
              <w:bottom w:val="none" w:sz="0" w:space="0" w:color="auto"/>
              <w:right w:val="none" w:sz="0" w:space="0" w:color="auto"/>
            </w:tcBorders>
            <w:shd w:val="clear" w:color="auto" w:fill="auto"/>
            <w:noWrap/>
            <w:hideMark/>
          </w:tcPr>
          <w:p w14:paraId="30A8104C" w14:textId="77777777" w:rsidR="008A49B2" w:rsidRPr="003F1AF9" w:rsidRDefault="008A49B2" w:rsidP="002D52D7">
            <w:pPr>
              <w:spacing w:after="0" w:line="240" w:lineRule="auto"/>
              <w:jc w:val="left"/>
              <w:rPr>
                <w:rFonts w:eastAsia="Times New Roman" w:cs="Times New Roman"/>
                <w:b w:val="0"/>
                <w:color w:val="000000" w:themeColor="text1"/>
                <w:sz w:val="21"/>
                <w:szCs w:val="21"/>
                <w:lang w:eastAsia="en-US"/>
              </w:rPr>
            </w:pPr>
            <w:r w:rsidRPr="003F1AF9">
              <w:rPr>
                <w:rFonts w:eastAsia="Times New Roman" w:cs="Times New Roman"/>
                <w:color w:val="000000" w:themeColor="text1"/>
                <w:sz w:val="21"/>
                <w:szCs w:val="21"/>
                <w:lang w:eastAsia="en-US"/>
              </w:rPr>
              <w:t>Natural gas</w:t>
            </w:r>
          </w:p>
        </w:tc>
        <w:tc>
          <w:tcPr>
            <w:tcW w:w="1860" w:type="dxa"/>
            <w:tcBorders>
              <w:top w:val="none" w:sz="0" w:space="0" w:color="auto"/>
              <w:left w:val="none" w:sz="0" w:space="0" w:color="auto"/>
              <w:bottom w:val="none" w:sz="0" w:space="0" w:color="auto"/>
              <w:right w:val="none" w:sz="0" w:space="0" w:color="auto"/>
            </w:tcBorders>
            <w:shd w:val="clear" w:color="auto" w:fill="auto"/>
            <w:vAlign w:val="center"/>
          </w:tcPr>
          <w:p w14:paraId="16DAEE42" w14:textId="58BB74E1" w:rsidR="008A49B2" w:rsidRPr="003F1AF9" w:rsidRDefault="008A49B2" w:rsidP="002D52D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cs="Times New Roman"/>
                <w:bCs/>
                <w:color w:val="000000"/>
                <w:sz w:val="21"/>
                <w:szCs w:val="21"/>
              </w:rPr>
              <w:t>3,398</w:t>
            </w:r>
          </w:p>
        </w:tc>
        <w:tc>
          <w:tcPr>
            <w:tcW w:w="1603" w:type="dxa"/>
            <w:tcBorders>
              <w:top w:val="none" w:sz="0" w:space="0" w:color="auto"/>
              <w:left w:val="none" w:sz="0" w:space="0" w:color="auto"/>
              <w:bottom w:val="none" w:sz="0" w:space="0" w:color="auto"/>
              <w:right w:val="none" w:sz="0" w:space="0" w:color="auto"/>
            </w:tcBorders>
            <w:shd w:val="clear" w:color="auto" w:fill="auto"/>
            <w:vAlign w:val="center"/>
          </w:tcPr>
          <w:p w14:paraId="67F31ADD" w14:textId="77777777" w:rsidR="008A49B2" w:rsidRPr="003F1AF9" w:rsidRDefault="008A49B2" w:rsidP="002D52D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cs="Times New Roman"/>
                <w:bCs/>
                <w:color w:val="000000"/>
                <w:sz w:val="21"/>
                <w:szCs w:val="21"/>
              </w:rPr>
              <w:t>37.2%</w:t>
            </w:r>
          </w:p>
        </w:tc>
      </w:tr>
      <w:tr w:rsidR="008A49B2" w:rsidRPr="003F1AF9" w14:paraId="2BFCFD29" w14:textId="77777777" w:rsidTr="00FC3402">
        <w:trPr>
          <w:trHeight w:val="280"/>
          <w:jc w:val="center"/>
        </w:trPr>
        <w:tc>
          <w:tcPr>
            <w:cnfStyle w:val="001000000000" w:firstRow="0" w:lastRow="0" w:firstColumn="1" w:lastColumn="0" w:oddVBand="0" w:evenVBand="0" w:oddHBand="0" w:evenHBand="0" w:firstRowFirstColumn="0" w:firstRowLastColumn="0" w:lastRowFirstColumn="0" w:lastRowLastColumn="0"/>
            <w:tcW w:w="2650" w:type="dxa"/>
            <w:tcBorders>
              <w:top w:val="none" w:sz="0" w:space="0" w:color="auto"/>
              <w:left w:val="none" w:sz="0" w:space="0" w:color="auto"/>
              <w:bottom w:val="none" w:sz="0" w:space="0" w:color="auto"/>
              <w:right w:val="none" w:sz="0" w:space="0" w:color="auto"/>
            </w:tcBorders>
            <w:shd w:val="clear" w:color="auto" w:fill="auto"/>
            <w:noWrap/>
            <w:hideMark/>
          </w:tcPr>
          <w:p w14:paraId="4D60CB61" w14:textId="77777777" w:rsidR="008A49B2" w:rsidRPr="003F1AF9" w:rsidRDefault="008A49B2" w:rsidP="002D52D7">
            <w:pPr>
              <w:spacing w:after="0" w:line="240" w:lineRule="auto"/>
              <w:jc w:val="left"/>
              <w:rPr>
                <w:rFonts w:eastAsia="Times New Roman" w:cs="Times New Roman"/>
                <w:b w:val="0"/>
                <w:color w:val="000000" w:themeColor="text1"/>
                <w:sz w:val="21"/>
                <w:szCs w:val="21"/>
                <w:lang w:eastAsia="en-US"/>
              </w:rPr>
            </w:pPr>
            <w:r w:rsidRPr="003F1AF9">
              <w:rPr>
                <w:rFonts w:eastAsia="Times New Roman" w:cs="Times New Roman"/>
                <w:color w:val="000000" w:themeColor="text1"/>
                <w:sz w:val="21"/>
                <w:szCs w:val="21"/>
                <w:lang w:eastAsia="en-US"/>
              </w:rPr>
              <w:t>Electricity</w:t>
            </w:r>
          </w:p>
        </w:tc>
        <w:tc>
          <w:tcPr>
            <w:tcW w:w="1860" w:type="dxa"/>
            <w:shd w:val="clear" w:color="auto" w:fill="auto"/>
            <w:vAlign w:val="center"/>
          </w:tcPr>
          <w:p w14:paraId="4F9961A6" w14:textId="48895CD7" w:rsidR="008A49B2" w:rsidRPr="003F1AF9" w:rsidRDefault="008A49B2" w:rsidP="002D52D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cs="Times New Roman"/>
                <w:bCs/>
                <w:color w:val="000000"/>
                <w:sz w:val="21"/>
                <w:szCs w:val="21"/>
              </w:rPr>
              <w:t>1,210</w:t>
            </w:r>
          </w:p>
        </w:tc>
        <w:tc>
          <w:tcPr>
            <w:tcW w:w="1603" w:type="dxa"/>
            <w:shd w:val="clear" w:color="auto" w:fill="auto"/>
            <w:vAlign w:val="center"/>
          </w:tcPr>
          <w:p w14:paraId="4A43F439" w14:textId="77777777" w:rsidR="008A49B2" w:rsidRPr="003F1AF9" w:rsidRDefault="008A49B2" w:rsidP="002D52D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cs="Times New Roman"/>
                <w:bCs/>
                <w:color w:val="000000"/>
                <w:sz w:val="21"/>
                <w:szCs w:val="21"/>
              </w:rPr>
              <w:t>13.3%</w:t>
            </w:r>
          </w:p>
        </w:tc>
      </w:tr>
      <w:tr w:rsidR="008A49B2" w:rsidRPr="003F1AF9" w14:paraId="7AE48670" w14:textId="77777777" w:rsidTr="00FC340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650" w:type="dxa"/>
            <w:tcBorders>
              <w:top w:val="none" w:sz="0" w:space="0" w:color="auto"/>
              <w:left w:val="none" w:sz="0" w:space="0" w:color="auto"/>
              <w:bottom w:val="none" w:sz="0" w:space="0" w:color="auto"/>
              <w:right w:val="none" w:sz="0" w:space="0" w:color="auto"/>
            </w:tcBorders>
            <w:shd w:val="clear" w:color="auto" w:fill="auto"/>
            <w:noWrap/>
            <w:hideMark/>
          </w:tcPr>
          <w:p w14:paraId="2388C831" w14:textId="77777777" w:rsidR="008A49B2" w:rsidRPr="003F1AF9" w:rsidRDefault="008A49B2" w:rsidP="002D52D7">
            <w:pPr>
              <w:spacing w:after="0" w:line="240" w:lineRule="auto"/>
              <w:jc w:val="left"/>
              <w:rPr>
                <w:rFonts w:eastAsia="Times New Roman" w:cs="Times New Roman"/>
                <w:b w:val="0"/>
                <w:color w:val="000000" w:themeColor="text1"/>
                <w:sz w:val="21"/>
                <w:szCs w:val="21"/>
                <w:lang w:eastAsia="en-US"/>
              </w:rPr>
            </w:pPr>
            <w:r w:rsidRPr="003F1AF9">
              <w:rPr>
                <w:rFonts w:eastAsia="Times New Roman" w:cs="Times New Roman"/>
                <w:color w:val="000000" w:themeColor="text1"/>
                <w:sz w:val="21"/>
                <w:szCs w:val="21"/>
                <w:lang w:eastAsia="en-US"/>
              </w:rPr>
              <w:t>Biomass, waste and other renewables</w:t>
            </w:r>
          </w:p>
        </w:tc>
        <w:tc>
          <w:tcPr>
            <w:tcW w:w="1860" w:type="dxa"/>
            <w:tcBorders>
              <w:top w:val="none" w:sz="0" w:space="0" w:color="auto"/>
              <w:left w:val="none" w:sz="0" w:space="0" w:color="auto"/>
              <w:bottom w:val="none" w:sz="0" w:space="0" w:color="auto"/>
              <w:right w:val="none" w:sz="0" w:space="0" w:color="auto"/>
            </w:tcBorders>
            <w:shd w:val="clear" w:color="auto" w:fill="auto"/>
            <w:vAlign w:val="center"/>
          </w:tcPr>
          <w:p w14:paraId="6058BCE8" w14:textId="024913CD" w:rsidR="008A49B2" w:rsidRPr="003F1AF9" w:rsidRDefault="008A49B2" w:rsidP="002D52D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cs="Times New Roman"/>
                <w:bCs/>
                <w:color w:val="000000"/>
                <w:sz w:val="21"/>
                <w:szCs w:val="21"/>
              </w:rPr>
              <w:t>1,143</w:t>
            </w:r>
          </w:p>
        </w:tc>
        <w:tc>
          <w:tcPr>
            <w:tcW w:w="1603" w:type="dxa"/>
            <w:tcBorders>
              <w:top w:val="none" w:sz="0" w:space="0" w:color="auto"/>
              <w:left w:val="none" w:sz="0" w:space="0" w:color="auto"/>
              <w:bottom w:val="none" w:sz="0" w:space="0" w:color="auto"/>
              <w:right w:val="none" w:sz="0" w:space="0" w:color="auto"/>
            </w:tcBorders>
            <w:shd w:val="clear" w:color="auto" w:fill="auto"/>
            <w:vAlign w:val="center"/>
          </w:tcPr>
          <w:p w14:paraId="4753F4D6" w14:textId="77777777" w:rsidR="008A49B2" w:rsidRPr="003F1AF9" w:rsidRDefault="008A49B2" w:rsidP="002D52D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1"/>
                <w:szCs w:val="21"/>
                <w:lang w:eastAsia="en-US"/>
              </w:rPr>
            </w:pPr>
            <w:r w:rsidRPr="003F1AF9">
              <w:rPr>
                <w:rFonts w:cs="Times New Roman"/>
                <w:bCs/>
                <w:color w:val="000000"/>
                <w:sz w:val="21"/>
                <w:szCs w:val="21"/>
              </w:rPr>
              <w:t>12.5%</w:t>
            </w:r>
          </w:p>
        </w:tc>
      </w:tr>
      <w:tr w:rsidR="008A49B2" w:rsidRPr="003F1AF9" w14:paraId="0D538AF5" w14:textId="77777777" w:rsidTr="00FC3402">
        <w:trPr>
          <w:trHeight w:val="280"/>
          <w:jc w:val="center"/>
        </w:trPr>
        <w:tc>
          <w:tcPr>
            <w:cnfStyle w:val="001000000000" w:firstRow="0" w:lastRow="0" w:firstColumn="1" w:lastColumn="0" w:oddVBand="0" w:evenVBand="0" w:oddHBand="0" w:evenHBand="0" w:firstRowFirstColumn="0" w:firstRowLastColumn="0" w:lastRowFirstColumn="0" w:lastRowLastColumn="0"/>
            <w:tcW w:w="2650" w:type="dxa"/>
            <w:tcBorders>
              <w:top w:val="none" w:sz="0" w:space="0" w:color="auto"/>
              <w:left w:val="none" w:sz="0" w:space="0" w:color="auto"/>
              <w:bottom w:val="none" w:sz="0" w:space="0" w:color="auto"/>
              <w:right w:val="none" w:sz="0" w:space="0" w:color="auto"/>
            </w:tcBorders>
            <w:shd w:val="clear" w:color="auto" w:fill="auto"/>
            <w:noWrap/>
            <w:hideMark/>
          </w:tcPr>
          <w:p w14:paraId="2C066894" w14:textId="77777777" w:rsidR="008A49B2" w:rsidRPr="003F1AF9" w:rsidRDefault="008A49B2" w:rsidP="002D52D7">
            <w:pPr>
              <w:spacing w:after="0" w:line="240" w:lineRule="auto"/>
              <w:jc w:val="left"/>
              <w:rPr>
                <w:rFonts w:eastAsia="Times New Roman" w:cs="Times New Roman"/>
                <w:b w:val="0"/>
                <w:color w:val="000000" w:themeColor="text1"/>
                <w:sz w:val="21"/>
                <w:szCs w:val="21"/>
                <w:lang w:eastAsia="en-US"/>
              </w:rPr>
            </w:pPr>
            <w:r w:rsidRPr="003F1AF9">
              <w:rPr>
                <w:rFonts w:eastAsia="Times New Roman" w:cs="Times New Roman"/>
                <w:color w:val="000000" w:themeColor="text1"/>
                <w:sz w:val="21"/>
                <w:szCs w:val="21"/>
                <w:lang w:eastAsia="en-US"/>
              </w:rPr>
              <w:t>Commercial heat</w:t>
            </w:r>
          </w:p>
        </w:tc>
        <w:tc>
          <w:tcPr>
            <w:tcW w:w="1860" w:type="dxa"/>
            <w:shd w:val="clear" w:color="auto" w:fill="auto"/>
            <w:vAlign w:val="center"/>
          </w:tcPr>
          <w:p w14:paraId="772BD752" w14:textId="7E28E794" w:rsidR="008A49B2" w:rsidRPr="003F1AF9" w:rsidRDefault="008A49B2" w:rsidP="002D52D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cs="Times New Roman"/>
                <w:bCs/>
                <w:color w:val="000000"/>
                <w:sz w:val="21"/>
                <w:szCs w:val="21"/>
              </w:rPr>
              <w:t>1,449</w:t>
            </w:r>
          </w:p>
        </w:tc>
        <w:tc>
          <w:tcPr>
            <w:tcW w:w="1603" w:type="dxa"/>
            <w:shd w:val="clear" w:color="auto" w:fill="auto"/>
            <w:vAlign w:val="center"/>
          </w:tcPr>
          <w:p w14:paraId="67F06B5C" w14:textId="77777777" w:rsidR="008A49B2" w:rsidRPr="003F1AF9" w:rsidRDefault="008A49B2" w:rsidP="002D52D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3F1AF9">
              <w:rPr>
                <w:rFonts w:cs="Times New Roman"/>
                <w:bCs/>
                <w:color w:val="000000"/>
                <w:sz w:val="21"/>
                <w:szCs w:val="21"/>
              </w:rPr>
              <w:t>15.9%</w:t>
            </w:r>
          </w:p>
        </w:tc>
      </w:tr>
      <w:tr w:rsidR="008A49B2" w:rsidRPr="003F1AF9" w14:paraId="290742B5" w14:textId="77777777" w:rsidTr="00FC3402">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650" w:type="dxa"/>
            <w:tcBorders>
              <w:top w:val="none" w:sz="0" w:space="0" w:color="auto"/>
              <w:left w:val="none" w:sz="0" w:space="0" w:color="auto"/>
              <w:bottom w:val="none" w:sz="0" w:space="0" w:color="auto"/>
              <w:right w:val="none" w:sz="0" w:space="0" w:color="auto"/>
            </w:tcBorders>
            <w:shd w:val="clear" w:color="auto" w:fill="auto"/>
            <w:noWrap/>
            <w:vAlign w:val="center"/>
          </w:tcPr>
          <w:p w14:paraId="59068702" w14:textId="77777777" w:rsidR="008A49B2" w:rsidRPr="003F1AF9" w:rsidRDefault="008A49B2" w:rsidP="002D52D7">
            <w:pPr>
              <w:spacing w:after="0" w:line="240" w:lineRule="auto"/>
              <w:jc w:val="center"/>
              <w:rPr>
                <w:rFonts w:eastAsia="Times New Roman" w:cs="Times New Roman"/>
                <w:b w:val="0"/>
                <w:color w:val="auto"/>
                <w:sz w:val="21"/>
                <w:szCs w:val="21"/>
                <w:lang w:eastAsia="en-US"/>
              </w:rPr>
            </w:pPr>
            <w:r w:rsidRPr="003F1AF9">
              <w:rPr>
                <w:rFonts w:eastAsia="Times New Roman" w:cs="Times New Roman"/>
                <w:sz w:val="21"/>
                <w:szCs w:val="21"/>
                <w:lang w:eastAsia="en-US"/>
              </w:rPr>
              <w:t>Total</w:t>
            </w:r>
          </w:p>
        </w:tc>
        <w:tc>
          <w:tcPr>
            <w:tcW w:w="1860" w:type="dxa"/>
            <w:tcBorders>
              <w:top w:val="none" w:sz="0" w:space="0" w:color="auto"/>
              <w:left w:val="none" w:sz="0" w:space="0" w:color="auto"/>
              <w:bottom w:val="none" w:sz="0" w:space="0" w:color="auto"/>
              <w:right w:val="none" w:sz="0" w:space="0" w:color="auto"/>
            </w:tcBorders>
            <w:shd w:val="clear" w:color="auto" w:fill="auto"/>
            <w:vAlign w:val="center"/>
          </w:tcPr>
          <w:p w14:paraId="4DAC3333" w14:textId="6717CD70" w:rsidR="008A49B2" w:rsidRPr="003F1AF9" w:rsidRDefault="008A49B2" w:rsidP="002D52D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bCs/>
                <w:color w:val="000000"/>
                <w:sz w:val="21"/>
                <w:szCs w:val="21"/>
              </w:rPr>
            </w:pPr>
            <w:r w:rsidRPr="003F1AF9">
              <w:rPr>
                <w:rFonts w:cs="Times New Roman"/>
                <w:b/>
                <w:bCs/>
                <w:color w:val="000000"/>
                <w:sz w:val="21"/>
                <w:szCs w:val="21"/>
              </w:rPr>
              <w:t>9,131</w:t>
            </w:r>
          </w:p>
        </w:tc>
        <w:tc>
          <w:tcPr>
            <w:tcW w:w="1603" w:type="dxa"/>
            <w:tcBorders>
              <w:top w:val="none" w:sz="0" w:space="0" w:color="auto"/>
              <w:left w:val="none" w:sz="0" w:space="0" w:color="auto"/>
              <w:bottom w:val="none" w:sz="0" w:space="0" w:color="auto"/>
              <w:right w:val="none" w:sz="0" w:space="0" w:color="auto"/>
            </w:tcBorders>
            <w:shd w:val="clear" w:color="auto" w:fill="auto"/>
            <w:vAlign w:val="center"/>
          </w:tcPr>
          <w:p w14:paraId="6235122D" w14:textId="77777777" w:rsidR="008A49B2" w:rsidRPr="003F1AF9" w:rsidRDefault="008A49B2" w:rsidP="002D52D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bCs/>
                <w:color w:val="000000"/>
                <w:sz w:val="21"/>
                <w:szCs w:val="21"/>
              </w:rPr>
            </w:pPr>
            <w:r w:rsidRPr="003F1AF9">
              <w:rPr>
                <w:rFonts w:cs="Times New Roman"/>
                <w:b/>
                <w:bCs/>
                <w:color w:val="000000"/>
                <w:sz w:val="21"/>
                <w:szCs w:val="21"/>
              </w:rPr>
              <w:t>100%</w:t>
            </w:r>
          </w:p>
        </w:tc>
      </w:tr>
    </w:tbl>
    <w:p w14:paraId="1696E4FC" w14:textId="3179F2D3" w:rsidR="002D52D7" w:rsidRPr="003F1AF9" w:rsidRDefault="009314BF" w:rsidP="00FC3402">
      <w:pPr>
        <w:jc w:val="center"/>
      </w:pPr>
      <w:r w:rsidRPr="003F1AF9">
        <w:t>Source:</w:t>
      </w:r>
      <w:r w:rsidR="0078120E">
        <w:t xml:space="preserve"> </w:t>
      </w:r>
      <w:r w:rsidRPr="003F1AF9">
        <w:t>Drawdown Calculation based on IEA ETP, 2017</w:t>
      </w:r>
    </w:p>
    <w:p w14:paraId="35DB591C" w14:textId="65542787" w:rsidR="002D52D7" w:rsidRPr="003F1AF9" w:rsidRDefault="002D52D7" w:rsidP="002D52D7">
      <w:r w:rsidRPr="003F1AF9">
        <w:t>2014</w:t>
      </w:r>
      <w:r w:rsidR="00870926" w:rsidRPr="003F1AF9">
        <w:t xml:space="preserve"> delivered energy TAM is about 17</w:t>
      </w:r>
      <w:r w:rsidRPr="003F1AF9">
        <w:t>% lower than final energy use.</w:t>
      </w:r>
      <w:r w:rsidR="0078120E">
        <w:t xml:space="preserve"> </w:t>
      </w:r>
      <w:r w:rsidRPr="003F1AF9">
        <w:t xml:space="preserve">This is due to efficiencies below 100% for </w:t>
      </w:r>
      <w:r w:rsidR="00870926" w:rsidRPr="003F1AF9">
        <w:t>combustion-based</w:t>
      </w:r>
      <w:r w:rsidRPr="003F1AF9">
        <w:t xml:space="preserve"> space heating equipment</w:t>
      </w:r>
      <w:r w:rsidR="008C1AC5" w:rsidRPr="003F1AF9">
        <w:t>, which provides the majority of heating</w:t>
      </w:r>
      <w:r w:rsidR="007026F4" w:rsidRPr="003F1AF9">
        <w:t xml:space="preserve"> final energy, </w:t>
      </w:r>
      <w:r w:rsidRPr="003F1AF9">
        <w:t>compensated somewhat by electric heat pump efficiencies above 100%.</w:t>
      </w:r>
      <w:r w:rsidR="0078120E">
        <w:t xml:space="preserve"> </w:t>
      </w:r>
      <w:r w:rsidRPr="003F1AF9">
        <w:t xml:space="preserve">The share of </w:t>
      </w:r>
      <w:r w:rsidR="00870926" w:rsidRPr="003F1AF9">
        <w:t>space heating delivered energy provided by electrical equipment,</w:t>
      </w:r>
      <w:r w:rsidR="00DC51DF">
        <w:t xml:space="preserve"> the</w:t>
      </w:r>
      <w:r w:rsidR="00870926" w:rsidRPr="003F1AF9">
        <w:t xml:space="preserve"> 13.3%</w:t>
      </w:r>
      <w:r w:rsidR="00DC51DF">
        <w:t xml:space="preserve"> of the TAM</w:t>
      </w:r>
      <w:r w:rsidR="00870926" w:rsidRPr="003F1AF9">
        <w:t>, is ~</w:t>
      </w:r>
      <w:r w:rsidR="007026F4" w:rsidRPr="003F1AF9">
        <w:t>76</w:t>
      </w:r>
      <w:r w:rsidR="00870926" w:rsidRPr="003F1AF9">
        <w:t>% resistance heating and</w:t>
      </w:r>
      <w:r w:rsidRPr="003F1AF9">
        <w:t xml:space="preserve"> </w:t>
      </w:r>
      <w:r w:rsidR="007026F4" w:rsidRPr="003F1AF9">
        <w:t>24</w:t>
      </w:r>
      <w:r w:rsidRPr="003F1AF9">
        <w:t>% heat pumps.</w:t>
      </w:r>
      <w:r w:rsidR="0078120E">
        <w:t xml:space="preserve"> </w:t>
      </w:r>
      <w:r w:rsidR="008E08A7" w:rsidRPr="003F1AF9">
        <w:t>This</w:t>
      </w:r>
      <w:r w:rsidRPr="003F1AF9">
        <w:t xml:space="preserve"> space heating</w:t>
      </w:r>
      <w:r w:rsidR="00870926" w:rsidRPr="003F1AF9">
        <w:t xml:space="preserve"> delivered energy calculation</w:t>
      </w:r>
      <w:r w:rsidRPr="003F1AF9">
        <w:t xml:space="preserve"> (2014 base year)</w:t>
      </w:r>
      <w:r w:rsidR="008E08A7" w:rsidRPr="003F1AF9">
        <w:t xml:space="preserve"> was used </w:t>
      </w:r>
      <w:r w:rsidRPr="003F1AF9">
        <w:t>as a proxy for delivered energy current adoption.</w:t>
      </w:r>
      <w:r w:rsidR="0078120E">
        <w:t xml:space="preserve"> </w:t>
      </w:r>
    </w:p>
    <w:p w14:paraId="0BCDCF0B" w14:textId="7496C918" w:rsidR="00395493" w:rsidRPr="003F1AF9" w:rsidRDefault="00870926" w:rsidP="001E239A">
      <w:r w:rsidRPr="003F1AF9">
        <w:t>To forecast future delivered energy TAM</w:t>
      </w:r>
      <w:r w:rsidR="002D52D7" w:rsidRPr="003F1AF9">
        <w:t xml:space="preserve">, </w:t>
      </w:r>
      <w:r w:rsidR="001138D3" w:rsidRPr="003F1AF9">
        <w:t>four TAM scenario forecast</w:t>
      </w:r>
      <w:r w:rsidR="002D52D7" w:rsidRPr="003F1AF9">
        <w:t>s</w:t>
      </w:r>
      <w:r w:rsidR="008E08A7" w:rsidRPr="003F1AF9">
        <w:t xml:space="preserve"> were developed</w:t>
      </w:r>
      <w:r w:rsidR="007026F4" w:rsidRPr="003F1AF9">
        <w:t xml:space="preserve"> using a similar approach</w:t>
      </w:r>
      <w:r w:rsidR="003A6383">
        <w:t>:</w:t>
      </w:r>
      <w:r w:rsidR="001138D3" w:rsidRPr="003F1AF9">
        <w:t xml:space="preserve"> “reference”, </w:t>
      </w:r>
      <w:r w:rsidR="001E239A" w:rsidRPr="003F1AF9">
        <w:t>“conservative, “ambitious”, and “maximum</w:t>
      </w:r>
      <w:r w:rsidR="00C334A5" w:rsidRPr="003F1AF9">
        <w:t>”</w:t>
      </w:r>
      <w:r w:rsidR="001E239A" w:rsidRPr="003F1AF9">
        <w:t>.</w:t>
      </w:r>
      <w:r w:rsidR="0078120E">
        <w:t xml:space="preserve"> </w:t>
      </w:r>
      <w:r w:rsidR="001E239A" w:rsidRPr="003F1AF9">
        <w:t xml:space="preserve">The </w:t>
      </w:r>
      <w:r w:rsidR="007B3DE2" w:rsidRPr="003F1AF9">
        <w:t>2014 to 2060 TAM</w:t>
      </w:r>
      <w:r w:rsidR="00EE018E" w:rsidRPr="003F1AF9">
        <w:t xml:space="preserve"> forecasts </w:t>
      </w:r>
      <w:r w:rsidR="00395493" w:rsidRPr="003F1AF9">
        <w:t>vary</w:t>
      </w:r>
      <w:r w:rsidR="007B3DE2" w:rsidRPr="003F1AF9">
        <w:t xml:space="preserve"> only</w:t>
      </w:r>
      <w:r w:rsidR="00395493" w:rsidRPr="003F1AF9">
        <w:t xml:space="preserve"> </w:t>
      </w:r>
      <w:r w:rsidR="00222399" w:rsidRPr="003F1AF9">
        <w:t>moderately</w:t>
      </w:r>
      <w:r w:rsidR="00395493" w:rsidRPr="003F1AF9">
        <w:t xml:space="preserve"> across the four scenarios.</w:t>
      </w:r>
      <w:r w:rsidR="0078120E">
        <w:t xml:space="preserve"> </w:t>
      </w:r>
      <w:r w:rsidR="007B3DE2" w:rsidRPr="003F1AF9">
        <w:t xml:space="preserve">Space heating delivered energy TAM is almost </w:t>
      </w:r>
      <w:r w:rsidR="00EC72B5" w:rsidRPr="003F1AF9">
        <w:t>unchanged</w:t>
      </w:r>
      <w:r w:rsidR="007B3DE2" w:rsidRPr="003F1AF9">
        <w:t xml:space="preserve"> over the 46 years from 2014 to 2060 in </w:t>
      </w:r>
      <w:r w:rsidR="00ED34E3" w:rsidRPr="003F1AF9">
        <w:t xml:space="preserve">the </w:t>
      </w:r>
      <w:r w:rsidR="00395493" w:rsidRPr="003F1AF9">
        <w:t>reference and conservative cases</w:t>
      </w:r>
      <w:r w:rsidR="007B3DE2" w:rsidRPr="003F1AF9">
        <w:t>.</w:t>
      </w:r>
      <w:r w:rsidR="0078120E">
        <w:t xml:space="preserve"> </w:t>
      </w:r>
      <w:r w:rsidR="00D4289B" w:rsidRPr="003F1AF9">
        <w:t>In the ambitious and maximum cases</w:t>
      </w:r>
      <w:r w:rsidR="00222399" w:rsidRPr="003F1AF9">
        <w:t>, by contrast,</w:t>
      </w:r>
      <w:r w:rsidR="00D4289B" w:rsidRPr="003F1AF9">
        <w:t xml:space="preserve"> s</w:t>
      </w:r>
      <w:r w:rsidR="00395493" w:rsidRPr="003F1AF9">
        <w:t xml:space="preserve">pace heating delivered energy </w:t>
      </w:r>
      <w:r w:rsidR="00395493" w:rsidRPr="003F1AF9">
        <w:rPr>
          <w:i/>
        </w:rPr>
        <w:t>decreases</w:t>
      </w:r>
      <w:r w:rsidR="00395493" w:rsidRPr="003F1AF9">
        <w:t xml:space="preserve"> ~30%</w:t>
      </w:r>
      <w:r w:rsidR="00D4289B" w:rsidRPr="003F1AF9">
        <w:t xml:space="preserve"> from 2014 to 2060, reflecting slow </w:t>
      </w:r>
      <w:r w:rsidR="00D4289B" w:rsidRPr="003F1AF9">
        <w:lastRenderedPageBreak/>
        <w:t xml:space="preserve">growth in space heating </w:t>
      </w:r>
      <w:r w:rsidR="00EC72B5" w:rsidRPr="003F1AF9">
        <w:t>countered by</w:t>
      </w:r>
      <w:r w:rsidR="00222399" w:rsidRPr="003F1AF9">
        <w:t xml:space="preserve"> </w:t>
      </w:r>
      <w:r w:rsidR="00EC72B5" w:rsidRPr="003F1AF9">
        <w:t>building thermal envelope</w:t>
      </w:r>
      <w:r w:rsidR="00D4289B" w:rsidRPr="003F1AF9">
        <w:t xml:space="preserve"> improvements </w:t>
      </w:r>
      <w:r w:rsidR="00222399" w:rsidRPr="003F1AF9">
        <w:t>to</w:t>
      </w:r>
      <w:r w:rsidR="00EC72B5" w:rsidRPr="003F1AF9">
        <w:t xml:space="preserve"> slowly</w:t>
      </w:r>
      <w:r w:rsidR="00222399" w:rsidRPr="003F1AF9">
        <w:t xml:space="preserve"> reduce </w:t>
      </w:r>
      <w:r w:rsidR="00EC72B5" w:rsidRPr="003F1AF9">
        <w:t xml:space="preserve">space heating </w:t>
      </w:r>
      <w:r w:rsidR="00222399" w:rsidRPr="003F1AF9">
        <w:t>delivered energy</w:t>
      </w:r>
      <w:r w:rsidR="00395493" w:rsidRPr="003F1AF9">
        <w:t>.</w:t>
      </w:r>
      <w:r w:rsidR="0078120E">
        <w:t xml:space="preserve"> </w:t>
      </w:r>
    </w:p>
    <w:p w14:paraId="375195DB" w14:textId="00A26511" w:rsidR="00637D6E" w:rsidRPr="003F1AF9" w:rsidRDefault="00637D6E" w:rsidP="00637D6E">
      <w:r w:rsidRPr="003F1AF9">
        <w:t>This calculation also considers switching between product classes, which is esp</w:t>
      </w:r>
      <w:r w:rsidR="00517A3C" w:rsidRPr="003F1AF9">
        <w:t>ecially relevant for heat pump</w:t>
      </w:r>
      <w:r w:rsidR="003A6383">
        <w:t>s</w:t>
      </w:r>
      <w:r w:rsidR="00517A3C" w:rsidRPr="003F1AF9">
        <w:t xml:space="preserve"> where</w:t>
      </w:r>
      <w:r w:rsidRPr="003F1AF9">
        <w:t>, due to the increased first cost of condensing furnaces and the substantially lower energy use of heat pumps</w:t>
      </w:r>
      <w:r w:rsidR="00517A3C" w:rsidRPr="003F1AF9">
        <w:t xml:space="preserve"> (as well as space cooling benefit)</w:t>
      </w:r>
      <w:r w:rsidRPr="003F1AF9">
        <w:t>, there is projected to be substantial switching from fossil-fuel based furnaces to electric heat pumps.</w:t>
      </w:r>
      <w:r w:rsidR="0078120E">
        <w:t xml:space="preserve"> </w:t>
      </w:r>
    </w:p>
    <w:p w14:paraId="4FEEC667" w14:textId="709AD9AB" w:rsidR="00637D6E" w:rsidRPr="003F1AF9" w:rsidRDefault="00ED34E3" w:rsidP="00637D6E">
      <w:r w:rsidRPr="003F1AF9">
        <w:t xml:space="preserve">This </w:t>
      </w:r>
      <w:r w:rsidR="00637D6E" w:rsidRPr="003F1AF9">
        <w:t xml:space="preserve">method considers </w:t>
      </w:r>
      <w:r w:rsidR="00517A3C" w:rsidRPr="003F1AF9">
        <w:t>residential and commercial</w:t>
      </w:r>
      <w:r w:rsidR="00637D6E" w:rsidRPr="003F1AF9">
        <w:t xml:space="preserve"> new construction and replacement</w:t>
      </w:r>
      <w:r w:rsidR="00517A3C" w:rsidRPr="003F1AF9">
        <w:t xml:space="preserve"> installations</w:t>
      </w:r>
      <w:r w:rsidR="00637D6E" w:rsidRPr="003F1AF9">
        <w:t>.</w:t>
      </w:r>
      <w:r w:rsidR="0078120E">
        <w:t xml:space="preserve"> </w:t>
      </w:r>
      <w:r w:rsidR="00637D6E" w:rsidRPr="003F1AF9">
        <w:t xml:space="preserve">This is necessary as installation costs and energy use vary greatly </w:t>
      </w:r>
      <w:r w:rsidR="00517A3C" w:rsidRPr="003F1AF9">
        <w:t>across</w:t>
      </w:r>
      <w:r w:rsidR="00637D6E" w:rsidRPr="003F1AF9">
        <w:t xml:space="preserve"> scenario</w:t>
      </w:r>
      <w:r w:rsidR="00517A3C" w:rsidRPr="003F1AF9">
        <w:t>s</w:t>
      </w:r>
      <w:r w:rsidR="00637D6E" w:rsidRPr="003F1AF9">
        <w:t xml:space="preserve">. For each equipment type, </w:t>
      </w:r>
      <w:r w:rsidR="00476C5B" w:rsidRPr="003F1AF9">
        <w:t xml:space="preserve">this report </w:t>
      </w:r>
      <w:r w:rsidR="00517A3C" w:rsidRPr="003F1AF9">
        <w:t xml:space="preserve">treated </w:t>
      </w:r>
      <w:r w:rsidR="00637D6E" w:rsidRPr="003F1AF9">
        <w:t xml:space="preserve">these installations individually using representative installations and then aggregated </w:t>
      </w:r>
      <w:r w:rsidR="00517A3C" w:rsidRPr="003F1AF9">
        <w:t xml:space="preserve">them </w:t>
      </w:r>
      <w:r w:rsidR="00637D6E" w:rsidRPr="003F1AF9">
        <w:t xml:space="preserve">to form the total values for each equipment type. </w:t>
      </w:r>
    </w:p>
    <w:p w14:paraId="4303D5C0" w14:textId="73B6CC64" w:rsidR="00B144E5" w:rsidRPr="003F1AF9" w:rsidRDefault="00686965">
      <w:pPr>
        <w:pStyle w:val="Heading2"/>
      </w:pPr>
      <w:bookmarkStart w:id="431" w:name="_Toc42289718"/>
      <w:r w:rsidRPr="003F1AF9">
        <w:t>Adoption Scenarios</w:t>
      </w:r>
      <w:bookmarkEnd w:id="431"/>
    </w:p>
    <w:p w14:paraId="033AFA66" w14:textId="57ADA5A3" w:rsidR="00874203" w:rsidRPr="003F1AF9" w:rsidRDefault="00EE018E" w:rsidP="00874203">
      <w:r w:rsidRPr="003F1AF9">
        <w:t xml:space="preserve">Paralleling </w:t>
      </w:r>
      <w:r w:rsidR="00ED34E3" w:rsidRPr="003F1AF9">
        <w:t xml:space="preserve">the </w:t>
      </w:r>
      <w:r w:rsidRPr="003F1AF9">
        <w:t>TAM approach</w:t>
      </w:r>
      <w:r w:rsidR="00ED34E3" w:rsidRPr="003F1AF9">
        <w:t xml:space="preserve"> described above</w:t>
      </w:r>
      <w:r w:rsidRPr="003F1AF9">
        <w:t xml:space="preserve">, </w:t>
      </w:r>
      <w:r w:rsidR="00ED34E3" w:rsidRPr="003F1AF9">
        <w:t xml:space="preserve">the </w:t>
      </w:r>
      <w:r w:rsidRPr="003F1AF9">
        <w:t xml:space="preserve">heat pump adoption analysis examined </w:t>
      </w:r>
      <w:r w:rsidR="00874203" w:rsidRPr="003F1AF9">
        <w:t>two different types of adoption scenarios</w:t>
      </w:r>
      <w:r w:rsidR="003A6383">
        <w:t>:</w:t>
      </w:r>
      <w:r w:rsidR="00874203" w:rsidRPr="003F1AF9">
        <w:t xml:space="preserve"> a baseline Reference Case (REF) and a set of Project Drawdown Scenarios (PDS) with varying levels of </w:t>
      </w:r>
      <w:r w:rsidR="00A50BF2" w:rsidRPr="003F1AF9">
        <w:t xml:space="preserve">high-efficiency heat pump </w:t>
      </w:r>
      <w:r w:rsidR="00874203" w:rsidRPr="003F1AF9">
        <w:t>adoption.</w:t>
      </w:r>
      <w:r w:rsidR="0078120E">
        <w:t xml:space="preserve"> </w:t>
      </w:r>
      <w:r w:rsidR="00874203" w:rsidRPr="003F1AF9">
        <w:t xml:space="preserve">Published results compare each PDS to the REF, and </w:t>
      </w:r>
      <w:r w:rsidR="00A50BF2" w:rsidRPr="003F1AF9">
        <w:t>thus</w:t>
      </w:r>
      <w:r w:rsidR="00874203" w:rsidRPr="003F1AF9">
        <w:t xml:space="preserve"> focus on the </w:t>
      </w:r>
      <w:r w:rsidR="00874203" w:rsidRPr="003F1AF9">
        <w:rPr>
          <w:i/>
        </w:rPr>
        <w:t>change</w:t>
      </w:r>
      <w:r w:rsidR="00874203" w:rsidRPr="003F1AF9">
        <w:t xml:space="preserve"> to the world relative to the REF baseline.</w:t>
      </w:r>
      <w:r w:rsidR="0078120E">
        <w:t xml:space="preserve"> </w:t>
      </w:r>
    </w:p>
    <w:p w14:paraId="4FE7C111" w14:textId="60016980" w:rsidR="00B546A7" w:rsidRPr="003F1AF9" w:rsidRDefault="00B546A7">
      <w:pPr>
        <w:pStyle w:val="Heading3"/>
      </w:pPr>
      <w:bookmarkStart w:id="432" w:name="_Toc529163305"/>
      <w:bookmarkStart w:id="433" w:name="_Toc42289719"/>
      <w:r w:rsidRPr="003F1AF9">
        <w:t>Reference Case / Current Adoption</w:t>
      </w:r>
      <w:bookmarkEnd w:id="432"/>
      <w:r w:rsidR="00566437" w:rsidRPr="003F1AF9">
        <w:t xml:space="preserve"> Scenario</w:t>
      </w:r>
      <w:bookmarkEnd w:id="433"/>
    </w:p>
    <w:p w14:paraId="08E695E7" w14:textId="1FA3F137" w:rsidR="00B546A7" w:rsidRPr="003F1AF9" w:rsidRDefault="00D251A6" w:rsidP="00B546A7">
      <w:r w:rsidRPr="003F1AF9">
        <w:t>The Reference Case assumes</w:t>
      </w:r>
      <w:r w:rsidR="00B546A7" w:rsidRPr="003F1AF9">
        <w:t xml:space="preserve"> that the current relative proportion</w:t>
      </w:r>
      <w:r w:rsidR="00874203" w:rsidRPr="003F1AF9">
        <w:t>s</w:t>
      </w:r>
      <w:r w:rsidR="00B546A7" w:rsidRPr="003F1AF9">
        <w:t xml:space="preserve"> of space h</w:t>
      </w:r>
      <w:r w:rsidR="00874203" w:rsidRPr="003F1AF9">
        <w:t>eating delivered energy for each fuel type</w:t>
      </w:r>
      <w:r w:rsidR="00831B72" w:rsidRPr="003F1AF9">
        <w:t xml:space="preserve">, shown in </w:t>
      </w:r>
      <w:r w:rsidR="00BD3252" w:rsidRPr="003F1AF9">
        <w:fldChar w:fldCharType="begin"/>
      </w:r>
      <w:r w:rsidR="00BD3252" w:rsidRPr="003F1AF9">
        <w:instrText xml:space="preserve"> REF _Ref536182512 \h </w:instrText>
      </w:r>
      <w:r w:rsidR="00BD3252" w:rsidRPr="003F1AF9">
        <w:fldChar w:fldCharType="separate"/>
      </w:r>
      <w:r w:rsidR="00E60668" w:rsidRPr="003F1AF9">
        <w:t xml:space="preserve">Table </w:t>
      </w:r>
      <w:r w:rsidR="00E60668">
        <w:rPr>
          <w:noProof/>
        </w:rPr>
        <w:t>2</w:t>
      </w:r>
      <w:r w:rsidR="00E60668" w:rsidRPr="003F1AF9">
        <w:t>.</w:t>
      </w:r>
      <w:r w:rsidR="00E60668">
        <w:rPr>
          <w:noProof/>
        </w:rPr>
        <w:t>3</w:t>
      </w:r>
      <w:r w:rsidR="00BD3252" w:rsidRPr="003F1AF9">
        <w:fldChar w:fldCharType="end"/>
      </w:r>
      <w:r w:rsidR="00874203" w:rsidRPr="003F1AF9">
        <w:t xml:space="preserve">, </w:t>
      </w:r>
      <w:r w:rsidR="00B546A7" w:rsidRPr="003F1AF9">
        <w:t xml:space="preserve">remain constant </w:t>
      </w:r>
      <w:r w:rsidR="00846EF5" w:rsidRPr="003F1AF9">
        <w:t>from 2014 to 2060</w:t>
      </w:r>
      <w:r w:rsidR="00B546A7" w:rsidRPr="003F1AF9">
        <w:t>.</w:t>
      </w:r>
      <w:r w:rsidR="0078120E">
        <w:t xml:space="preserve"> </w:t>
      </w:r>
      <w:r w:rsidR="00B546A7" w:rsidRPr="003F1AF9">
        <w:t>No major shift in technologies occur</w:t>
      </w:r>
      <w:r w:rsidR="00C0422C" w:rsidRPr="003F1AF9">
        <w:t xml:space="preserve">s; </w:t>
      </w:r>
      <w:r w:rsidR="00B546A7" w:rsidRPr="003F1AF9">
        <w:t xml:space="preserve">gas and oil furnaces and boilers, and low-efficiency electric </w:t>
      </w:r>
      <w:r w:rsidR="00846EF5" w:rsidRPr="003F1AF9">
        <w:t>heating</w:t>
      </w:r>
      <w:r w:rsidR="00B546A7" w:rsidRPr="003F1AF9">
        <w:t xml:space="preserve"> equipment</w:t>
      </w:r>
      <w:r w:rsidR="00C0422C" w:rsidRPr="003F1AF9">
        <w:t>,</w:t>
      </w:r>
      <w:r w:rsidR="00B546A7" w:rsidRPr="003F1AF9">
        <w:t xml:space="preserve"> </w:t>
      </w:r>
      <w:r w:rsidR="00C0422C" w:rsidRPr="003F1AF9">
        <w:t>continue to dominate</w:t>
      </w:r>
      <w:r w:rsidR="00B546A7" w:rsidRPr="003F1AF9">
        <w:t xml:space="preserve"> the market.</w:t>
      </w:r>
      <w:r w:rsidR="0078120E">
        <w:t xml:space="preserve"> </w:t>
      </w:r>
    </w:p>
    <w:p w14:paraId="6B3DE933" w14:textId="16EC4E49" w:rsidR="00925E06" w:rsidRPr="003F1AF9" w:rsidRDefault="00925E06" w:rsidP="00925E06">
      <w:pPr>
        <w:pStyle w:val="Heading3"/>
      </w:pPr>
      <w:bookmarkStart w:id="434" w:name="_Toc529163306"/>
      <w:bookmarkStart w:id="435" w:name="_Toc42289720"/>
      <w:r w:rsidRPr="003F1AF9">
        <w:t>Project Drawdown Space Heating Delivered Energy Adoption Scenarios</w:t>
      </w:r>
      <w:bookmarkEnd w:id="435"/>
    </w:p>
    <w:bookmarkEnd w:id="434"/>
    <w:p w14:paraId="62D79B76" w14:textId="5D7418F4" w:rsidR="00B546A7" w:rsidRPr="003F1AF9" w:rsidRDefault="008E08A7" w:rsidP="00B546A7">
      <w:r w:rsidRPr="003F1AF9">
        <w:t>Three</w:t>
      </w:r>
      <w:r w:rsidR="00B546A7" w:rsidRPr="003F1AF9">
        <w:t xml:space="preserve"> Project Drawdown scenarios (PDS)</w:t>
      </w:r>
      <w:r w:rsidR="00693103" w:rsidRPr="003F1AF9">
        <w:t xml:space="preserve"> </w:t>
      </w:r>
      <w:r w:rsidRPr="003F1AF9">
        <w:t xml:space="preserve">were developed </w:t>
      </w:r>
      <w:r w:rsidR="00B546A7" w:rsidRPr="003F1AF9">
        <w:t>to compare the impact of increased</w:t>
      </w:r>
      <w:r w:rsidR="00D251A6" w:rsidRPr="003F1AF9">
        <w:t xml:space="preserve"> adoption of </w:t>
      </w:r>
      <w:r w:rsidR="00A50BF2" w:rsidRPr="003F1AF9">
        <w:t>high-efficiency heat pumps</w:t>
      </w:r>
      <w:r w:rsidR="00D251A6" w:rsidRPr="003F1AF9">
        <w:t xml:space="preserve"> to the Reference C</w:t>
      </w:r>
      <w:r w:rsidR="00B546A7" w:rsidRPr="003F1AF9">
        <w:t>ase.</w:t>
      </w:r>
      <w:r w:rsidR="0078120E">
        <w:t xml:space="preserve"> </w:t>
      </w:r>
      <w:r w:rsidR="00693103" w:rsidRPr="003F1AF9">
        <w:t>The characteristics and 2014 to 2060 adoption level</w:t>
      </w:r>
      <w:r w:rsidR="008B249F" w:rsidRPr="003F1AF9">
        <w:t>s</w:t>
      </w:r>
      <w:r w:rsidR="00693103" w:rsidRPr="003F1AF9">
        <w:t xml:space="preserve"> of each sce</w:t>
      </w:r>
      <w:r w:rsidR="00A12A0A" w:rsidRPr="003F1AF9">
        <w:t xml:space="preserve">nario are summarized in </w:t>
      </w:r>
      <w:r w:rsidR="00BD3252" w:rsidRPr="003F1AF9">
        <w:fldChar w:fldCharType="begin"/>
      </w:r>
      <w:r w:rsidR="00BD3252" w:rsidRPr="003F1AF9">
        <w:instrText xml:space="preserve"> REF _Ref536182568 \h </w:instrText>
      </w:r>
      <w:r w:rsidR="00BD3252" w:rsidRPr="003F1AF9">
        <w:fldChar w:fldCharType="separate"/>
      </w:r>
      <w:r w:rsidR="00E60668" w:rsidRPr="003F1AF9">
        <w:t xml:space="preserve">Table </w:t>
      </w:r>
      <w:r w:rsidR="00E60668">
        <w:rPr>
          <w:noProof/>
        </w:rPr>
        <w:t>2</w:t>
      </w:r>
      <w:r w:rsidR="00E60668" w:rsidRPr="003F1AF9">
        <w:t>.</w:t>
      </w:r>
      <w:r w:rsidR="00E60668">
        <w:rPr>
          <w:noProof/>
        </w:rPr>
        <w:t>4</w:t>
      </w:r>
      <w:r w:rsidR="00BD3252" w:rsidRPr="003F1AF9">
        <w:fldChar w:fldCharType="end"/>
      </w:r>
      <w:r w:rsidR="00693103" w:rsidRPr="003F1AF9">
        <w:t>.</w:t>
      </w:r>
      <w:r w:rsidR="0078120E">
        <w:t xml:space="preserve"> </w:t>
      </w:r>
    </w:p>
    <w:p w14:paraId="63FE47A5" w14:textId="446B9108" w:rsidR="00FA1799" w:rsidRPr="003F1AF9" w:rsidRDefault="00FA1799">
      <w:pPr>
        <w:spacing w:after="160" w:line="259" w:lineRule="auto"/>
        <w:jc w:val="left"/>
      </w:pPr>
      <w:r w:rsidRPr="003F1AF9">
        <w:rPr>
          <w:i/>
          <w:iCs/>
        </w:rPr>
        <w:br w:type="page"/>
      </w:r>
    </w:p>
    <w:p w14:paraId="1B0EC369" w14:textId="4B9B9F5A" w:rsidR="005110E8" w:rsidRPr="003F1AF9" w:rsidRDefault="005110E8" w:rsidP="0055612F">
      <w:pPr>
        <w:pStyle w:val="Caption"/>
        <w:keepNext/>
        <w:jc w:val="center"/>
      </w:pPr>
      <w:bookmarkStart w:id="436" w:name="_Ref536182568"/>
      <w:bookmarkStart w:id="437" w:name="_Toc42289753"/>
      <w:r w:rsidRPr="003F1AF9">
        <w:lastRenderedPageBreak/>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2</w:t>
      </w:r>
      <w:r w:rsidR="00C0437B" w:rsidRPr="003F1AF9">
        <w:rPr>
          <w:noProof/>
        </w:rPr>
        <w:fldChar w:fldCharType="end"/>
      </w:r>
      <w:r w:rsidR="00905204"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4</w:t>
      </w:r>
      <w:r w:rsidR="00C0437B" w:rsidRPr="003F1AF9">
        <w:rPr>
          <w:noProof/>
        </w:rPr>
        <w:fldChar w:fldCharType="end"/>
      </w:r>
      <w:bookmarkEnd w:id="436"/>
      <w:r w:rsidRPr="003F1AF9">
        <w:t xml:space="preserve"> </w:t>
      </w:r>
      <w:r w:rsidR="00E76D8B" w:rsidRPr="003F1AF9">
        <w:t xml:space="preserve">Summary of </w:t>
      </w:r>
      <w:r w:rsidRPr="003F1AF9">
        <w:t>Project Drawdown Space Heating Adoption Scenarios</w:t>
      </w:r>
      <w:bookmarkEnd w:id="437"/>
    </w:p>
    <w:tbl>
      <w:tblPr>
        <w:tblStyle w:val="MediumGrid3-Accent5"/>
        <w:tblW w:w="10413" w:type="dxa"/>
        <w:jc w:val="center"/>
        <w:tblLayout w:type="fixed"/>
        <w:tblLook w:val="04A0" w:firstRow="1" w:lastRow="0" w:firstColumn="1" w:lastColumn="0" w:noHBand="0" w:noVBand="1"/>
      </w:tblPr>
      <w:tblGrid>
        <w:gridCol w:w="2478"/>
        <w:gridCol w:w="1983"/>
        <w:gridCol w:w="1984"/>
        <w:gridCol w:w="1984"/>
        <w:gridCol w:w="1984"/>
      </w:tblGrid>
      <w:tr w:rsidR="00693F14" w:rsidRPr="003F1AF9" w14:paraId="695DA716" w14:textId="77777777" w:rsidTr="00693F14">
        <w:trPr>
          <w:cnfStyle w:val="100000000000" w:firstRow="1" w:lastRow="0" w:firstColumn="0" w:lastColumn="0" w:oddVBand="0" w:evenVBand="0" w:oddHBand="0" w:evenHBand="0" w:firstRowFirstColumn="0" w:firstRowLastColumn="0" w:lastRowFirstColumn="0" w:lastRowLastColumn="0"/>
          <w:cantSplit/>
          <w:trHeight w:val="594"/>
          <w:tblHeader/>
          <w:jc w:val="center"/>
        </w:trPr>
        <w:tc>
          <w:tcPr>
            <w:cnfStyle w:val="001000000000" w:firstRow="0" w:lastRow="0" w:firstColumn="1" w:lastColumn="0" w:oddVBand="0" w:evenVBand="0" w:oddHBand="0" w:evenHBand="0" w:firstRowFirstColumn="0" w:firstRowLastColumn="0" w:lastRowFirstColumn="0" w:lastRowLastColumn="0"/>
            <w:tcW w:w="2478"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372B5953" w14:textId="2257E617" w:rsidR="00AC78E8" w:rsidRPr="003F1AF9" w:rsidRDefault="00AC78E8" w:rsidP="0055612F">
            <w:pPr>
              <w:spacing w:after="0"/>
              <w:jc w:val="center"/>
              <w:rPr>
                <w:sz w:val="21"/>
              </w:rPr>
            </w:pPr>
            <w:r w:rsidRPr="003F1AF9">
              <w:rPr>
                <w:rFonts w:cs="Times New Roman"/>
                <w:sz w:val="21"/>
                <w:szCs w:val="21"/>
              </w:rPr>
              <w:t>Variable</w:t>
            </w:r>
          </w:p>
        </w:tc>
        <w:tc>
          <w:tcPr>
            <w:tcW w:w="1983"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150E909C" w14:textId="0D788DD3" w:rsidR="00AC78E8" w:rsidRPr="003F1AF9" w:rsidRDefault="00AC78E8" w:rsidP="0055612F">
            <w:pPr>
              <w:spacing w:after="0"/>
              <w:jc w:val="center"/>
              <w:cnfStyle w:val="100000000000" w:firstRow="1" w:lastRow="0" w:firstColumn="0" w:lastColumn="0" w:oddVBand="0" w:evenVBand="0" w:oddHBand="0" w:evenHBand="0" w:firstRowFirstColumn="0" w:firstRowLastColumn="0" w:lastRowFirstColumn="0" w:lastRowLastColumn="0"/>
              <w:rPr>
                <w:sz w:val="21"/>
              </w:rPr>
            </w:pPr>
            <w:r w:rsidRPr="003F1AF9">
              <w:rPr>
                <w:rFonts w:cs="Times New Roman"/>
                <w:sz w:val="21"/>
                <w:szCs w:val="21"/>
              </w:rPr>
              <w:t>Reference Scenario</w:t>
            </w:r>
          </w:p>
        </w:tc>
        <w:tc>
          <w:tcPr>
            <w:tcW w:w="1984"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ACE60C6" w14:textId="64E59085" w:rsidR="00AC78E8" w:rsidRPr="003F1AF9" w:rsidRDefault="00AC78E8" w:rsidP="0055612F">
            <w:pPr>
              <w:spacing w:after="0"/>
              <w:jc w:val="center"/>
              <w:cnfStyle w:val="100000000000" w:firstRow="1" w:lastRow="0" w:firstColumn="0" w:lastColumn="0" w:oddVBand="0" w:evenVBand="0" w:oddHBand="0" w:evenHBand="0" w:firstRowFirstColumn="0" w:firstRowLastColumn="0" w:lastRowFirstColumn="0" w:lastRowLastColumn="0"/>
              <w:rPr>
                <w:sz w:val="21"/>
              </w:rPr>
            </w:pPr>
            <w:r w:rsidRPr="003F1AF9">
              <w:rPr>
                <w:rFonts w:cs="Times New Roman"/>
                <w:sz w:val="21"/>
                <w:szCs w:val="21"/>
              </w:rPr>
              <w:t>Plausible Scenario</w:t>
            </w:r>
          </w:p>
        </w:tc>
        <w:tc>
          <w:tcPr>
            <w:tcW w:w="1984"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0A637D4D" w14:textId="55E63959" w:rsidR="00AC78E8" w:rsidRPr="003F1AF9" w:rsidRDefault="00AC78E8" w:rsidP="0055612F">
            <w:pPr>
              <w:spacing w:after="0"/>
              <w:jc w:val="center"/>
              <w:cnfStyle w:val="100000000000" w:firstRow="1" w:lastRow="0" w:firstColumn="0" w:lastColumn="0" w:oddVBand="0" w:evenVBand="0" w:oddHBand="0" w:evenHBand="0" w:firstRowFirstColumn="0" w:firstRowLastColumn="0" w:lastRowFirstColumn="0" w:lastRowLastColumn="0"/>
              <w:rPr>
                <w:sz w:val="21"/>
              </w:rPr>
            </w:pPr>
            <w:r w:rsidRPr="003F1AF9">
              <w:rPr>
                <w:rFonts w:cs="Times New Roman"/>
                <w:sz w:val="21"/>
                <w:szCs w:val="21"/>
              </w:rPr>
              <w:t>Drawdown Scenario</w:t>
            </w:r>
          </w:p>
        </w:tc>
        <w:tc>
          <w:tcPr>
            <w:tcW w:w="1984"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5CA9FB5" w14:textId="7C32EEE9" w:rsidR="00AC78E8" w:rsidRPr="003F1AF9" w:rsidRDefault="00AC78E8" w:rsidP="0055612F">
            <w:pPr>
              <w:spacing w:after="0"/>
              <w:jc w:val="center"/>
              <w:cnfStyle w:val="100000000000" w:firstRow="1" w:lastRow="0" w:firstColumn="0" w:lastColumn="0" w:oddVBand="0" w:evenVBand="0" w:oddHBand="0" w:evenHBand="0" w:firstRowFirstColumn="0" w:firstRowLastColumn="0" w:lastRowFirstColumn="0" w:lastRowLastColumn="0"/>
              <w:rPr>
                <w:sz w:val="21"/>
              </w:rPr>
            </w:pPr>
            <w:r w:rsidRPr="003F1AF9">
              <w:rPr>
                <w:rFonts w:cs="Times New Roman"/>
                <w:sz w:val="21"/>
                <w:szCs w:val="21"/>
              </w:rPr>
              <w:t>Optimum Scenario</w:t>
            </w:r>
          </w:p>
        </w:tc>
      </w:tr>
      <w:tr w:rsidR="00693F14" w:rsidRPr="003F1AF9" w14:paraId="4F067E1B" w14:textId="77777777" w:rsidTr="00693F14">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2478" w:type="dxa"/>
            <w:tcBorders>
              <w:top w:val="single" w:sz="4" w:space="0" w:color="auto"/>
              <w:left w:val="single" w:sz="4" w:space="0" w:color="auto"/>
              <w:bottom w:val="single" w:sz="4" w:space="0" w:color="auto"/>
              <w:right w:val="single" w:sz="4" w:space="0" w:color="auto"/>
            </w:tcBorders>
            <w:shd w:val="clear" w:color="auto" w:fill="auto"/>
            <w:vAlign w:val="center"/>
          </w:tcPr>
          <w:p w14:paraId="52F4E28C" w14:textId="392936EC" w:rsidR="00AC78E8" w:rsidRPr="003F1AF9" w:rsidRDefault="00AC78E8" w:rsidP="0055612F">
            <w:pPr>
              <w:spacing w:after="0" w:line="240" w:lineRule="auto"/>
              <w:jc w:val="left"/>
              <w:rPr>
                <w:rFonts w:cs="Times New Roman"/>
                <w:sz w:val="21"/>
                <w:szCs w:val="21"/>
              </w:rPr>
            </w:pPr>
            <w:r w:rsidRPr="003F1AF9">
              <w:rPr>
                <w:b w:val="0"/>
                <w:color w:val="auto"/>
                <w:sz w:val="21"/>
              </w:rPr>
              <w:t>Scenario Type</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7A40448" w14:textId="1B04ECEA" w:rsidR="00AC78E8" w:rsidRPr="003F1AF9" w:rsidRDefault="00AC78E8"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sz w:val="21"/>
              </w:rPr>
              <w:t>Reference / Baseline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0A44F575" w14:textId="490449D8" w:rsidR="00AC78E8" w:rsidRPr="003F1AF9" w:rsidRDefault="00413CAA"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sz w:val="21"/>
              </w:rPr>
              <w:t>Realistically vigorous adoption</w:t>
            </w:r>
            <w:r w:rsidR="00AC78E8" w:rsidRPr="003F1AF9">
              <w:rPr>
                <w:sz w:val="21"/>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2893EEE" w14:textId="4491BE35" w:rsidR="00AC78E8" w:rsidRPr="003F1AF9" w:rsidRDefault="00413CAA"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sz w:val="21"/>
              </w:rPr>
              <w:t>Optimized to achieve drawdown by 2050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63FF77E" w14:textId="263ACFD2" w:rsidR="00AC78E8" w:rsidRPr="003F1AF9" w:rsidRDefault="006220A7"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sz w:val="21"/>
              </w:rPr>
              <w:t>HEHPs</w:t>
            </w:r>
            <w:r w:rsidR="00413CAA" w:rsidRPr="003F1AF9">
              <w:rPr>
                <w:sz w:val="21"/>
              </w:rPr>
              <w:t xml:space="preserve"> achieve</w:t>
            </w:r>
            <w:r w:rsidRPr="003F1AF9">
              <w:rPr>
                <w:sz w:val="21"/>
              </w:rPr>
              <w:t xml:space="preserve"> </w:t>
            </w:r>
            <w:r w:rsidR="00413CAA" w:rsidRPr="003F1AF9">
              <w:rPr>
                <w:sz w:val="21"/>
              </w:rPr>
              <w:t>maximum potential, fully replacing conventional technologies</w:t>
            </w:r>
          </w:p>
        </w:tc>
      </w:tr>
      <w:tr w:rsidR="00693F14" w:rsidRPr="003F1AF9" w14:paraId="26427947" w14:textId="77777777" w:rsidTr="00693F14">
        <w:trPr>
          <w:cantSplit/>
          <w:trHeight w:val="334"/>
          <w:jc w:val="center"/>
        </w:trPr>
        <w:tc>
          <w:tcPr>
            <w:cnfStyle w:val="001000000000" w:firstRow="0" w:lastRow="0" w:firstColumn="1" w:lastColumn="0" w:oddVBand="0" w:evenVBand="0" w:oddHBand="0" w:evenHBand="0" w:firstRowFirstColumn="0" w:firstRowLastColumn="0" w:lastRowFirstColumn="0" w:lastRowLastColumn="0"/>
            <w:tcW w:w="2478" w:type="dxa"/>
            <w:tcBorders>
              <w:top w:val="single" w:sz="4" w:space="0" w:color="auto"/>
              <w:left w:val="single" w:sz="4" w:space="0" w:color="auto"/>
              <w:bottom w:val="single" w:sz="4" w:space="0" w:color="auto"/>
              <w:right w:val="single" w:sz="4" w:space="0" w:color="auto"/>
            </w:tcBorders>
            <w:shd w:val="clear" w:color="auto" w:fill="auto"/>
            <w:vAlign w:val="center"/>
          </w:tcPr>
          <w:p w14:paraId="2D1F282A" w14:textId="6EC3CC3A" w:rsidR="00AC78E8" w:rsidRPr="003F1AF9" w:rsidRDefault="00AC78E8" w:rsidP="0055612F">
            <w:pPr>
              <w:spacing w:after="0" w:line="240" w:lineRule="auto"/>
              <w:jc w:val="left"/>
              <w:rPr>
                <w:rFonts w:cs="Times New Roman"/>
                <w:b w:val="0"/>
                <w:color w:val="000000" w:themeColor="text1"/>
                <w:sz w:val="21"/>
                <w:szCs w:val="21"/>
              </w:rPr>
            </w:pPr>
            <w:r w:rsidRPr="003F1AF9">
              <w:rPr>
                <w:rFonts w:cs="Times New Roman"/>
                <w:color w:val="000000" w:themeColor="text1"/>
                <w:sz w:val="21"/>
                <w:szCs w:val="21"/>
              </w:rPr>
              <w:t>Adoption Scope Modeled</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1F5499D8" w14:textId="15686BB5"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All heat pumps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0B9EAAFF" w14:textId="015E1667"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All heat pumps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1129C9A" w14:textId="118E0E17"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All heat pumps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20EA0FB" w14:textId="11BF4354"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All heat pumps</w:t>
            </w:r>
          </w:p>
        </w:tc>
      </w:tr>
      <w:tr w:rsidR="00693F14" w:rsidRPr="003F1AF9" w14:paraId="60E618A9" w14:textId="77777777" w:rsidTr="00693F14">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2478" w:type="dxa"/>
            <w:tcBorders>
              <w:top w:val="single" w:sz="4" w:space="0" w:color="auto"/>
              <w:left w:val="single" w:sz="4" w:space="0" w:color="auto"/>
              <w:bottom w:val="single" w:sz="4" w:space="0" w:color="auto"/>
              <w:right w:val="single" w:sz="4" w:space="0" w:color="auto"/>
            </w:tcBorders>
            <w:shd w:val="clear" w:color="auto" w:fill="auto"/>
            <w:vAlign w:val="center"/>
          </w:tcPr>
          <w:p w14:paraId="43E48564" w14:textId="6797D6B0" w:rsidR="00AC78E8" w:rsidRPr="003F1AF9" w:rsidRDefault="00AC78E8" w:rsidP="0055612F">
            <w:pPr>
              <w:spacing w:after="0" w:line="240" w:lineRule="auto"/>
              <w:jc w:val="left"/>
              <w:rPr>
                <w:rFonts w:cs="Times New Roman"/>
                <w:b w:val="0"/>
                <w:color w:val="000000" w:themeColor="text1"/>
                <w:sz w:val="21"/>
                <w:szCs w:val="21"/>
              </w:rPr>
            </w:pPr>
            <w:r w:rsidRPr="003F1AF9">
              <w:rPr>
                <w:rFonts w:cs="Times New Roman"/>
                <w:color w:val="000000" w:themeColor="text1"/>
                <w:sz w:val="21"/>
                <w:szCs w:val="21"/>
              </w:rPr>
              <w:t xml:space="preserve">2014 to 2060 HP Delivered Energy Adoption Growth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0DE36FA" w14:textId="0F018F03" w:rsidR="00AC78E8" w:rsidRPr="003F1AF9" w:rsidRDefault="00AC78E8"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Constant HP share of delivered energy</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7EFF301" w14:textId="39437997" w:rsidR="00AC78E8" w:rsidRPr="003F1AF9" w:rsidRDefault="00AC78E8"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 xml:space="preserve">Based on IEA ETP 2017 </w:t>
            </w:r>
            <w:r w:rsidR="00413CAA" w:rsidRPr="003F1AF9">
              <w:rPr>
                <w:rFonts w:cs="Times New Roman"/>
                <w:sz w:val="21"/>
                <w:szCs w:val="21"/>
              </w:rPr>
              <w:t>2DS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B4A5391" w14:textId="1B04D2D4" w:rsidR="00AC78E8" w:rsidRPr="003F1AF9" w:rsidRDefault="00AC78E8"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 xml:space="preserve">Based on IEA ETP 2017 </w:t>
            </w:r>
            <w:r w:rsidR="00413CAA" w:rsidRPr="003F1AF9">
              <w:rPr>
                <w:rFonts w:cs="Times New Roman"/>
                <w:sz w:val="21"/>
                <w:szCs w:val="21"/>
              </w:rPr>
              <w:t>B</w:t>
            </w:r>
            <w:r w:rsidRPr="003F1AF9">
              <w:rPr>
                <w:rFonts w:cs="Times New Roman"/>
                <w:sz w:val="21"/>
                <w:szCs w:val="21"/>
              </w:rPr>
              <w:t>2DS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D74B239" w14:textId="0E1A8430" w:rsidR="00AC78E8" w:rsidRPr="003F1AF9" w:rsidRDefault="00AC78E8"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 xml:space="preserve">Based on </w:t>
            </w:r>
            <w:r w:rsidR="00413CAA" w:rsidRPr="003F1AF9">
              <w:rPr>
                <w:rFonts w:cs="Times New Roman"/>
                <w:sz w:val="21"/>
                <w:szCs w:val="21"/>
              </w:rPr>
              <w:t xml:space="preserve">Adoption Beyond </w:t>
            </w:r>
            <w:r w:rsidRPr="003F1AF9">
              <w:rPr>
                <w:rFonts w:cs="Times New Roman"/>
                <w:sz w:val="21"/>
                <w:szCs w:val="21"/>
              </w:rPr>
              <w:t>IEA ETP 2017 B2DS</w:t>
            </w:r>
          </w:p>
        </w:tc>
      </w:tr>
      <w:tr w:rsidR="00693F14" w:rsidRPr="003F1AF9" w14:paraId="7BED03BF" w14:textId="77777777" w:rsidTr="00693F14">
        <w:trPr>
          <w:cantSplit/>
          <w:trHeight w:val="334"/>
          <w:jc w:val="center"/>
        </w:trPr>
        <w:tc>
          <w:tcPr>
            <w:cnfStyle w:val="001000000000" w:firstRow="0" w:lastRow="0" w:firstColumn="1" w:lastColumn="0" w:oddVBand="0" w:evenVBand="0" w:oddHBand="0" w:evenHBand="0" w:firstRowFirstColumn="0" w:firstRowLastColumn="0" w:lastRowFirstColumn="0" w:lastRowLastColumn="0"/>
            <w:tcW w:w="2478" w:type="dxa"/>
            <w:tcBorders>
              <w:top w:val="single" w:sz="4" w:space="0" w:color="auto"/>
              <w:left w:val="single" w:sz="4" w:space="0" w:color="auto"/>
              <w:bottom w:val="single" w:sz="4" w:space="0" w:color="auto"/>
              <w:right w:val="single" w:sz="4" w:space="0" w:color="auto"/>
            </w:tcBorders>
            <w:shd w:val="clear" w:color="auto" w:fill="auto"/>
            <w:vAlign w:val="center"/>
          </w:tcPr>
          <w:p w14:paraId="339D7D00" w14:textId="75598CFF" w:rsidR="00AC78E8" w:rsidRPr="003F1AF9" w:rsidRDefault="00AC78E8" w:rsidP="0055612F">
            <w:pPr>
              <w:spacing w:after="0" w:line="240" w:lineRule="auto"/>
              <w:jc w:val="left"/>
              <w:rPr>
                <w:rFonts w:cs="Times New Roman"/>
                <w:b w:val="0"/>
                <w:color w:val="000000" w:themeColor="text1"/>
                <w:sz w:val="21"/>
                <w:szCs w:val="21"/>
              </w:rPr>
            </w:pPr>
            <w:r w:rsidRPr="003F1AF9">
              <w:rPr>
                <w:rFonts w:cs="Times New Roman"/>
                <w:color w:val="000000" w:themeColor="text1"/>
                <w:sz w:val="21"/>
                <w:szCs w:val="21"/>
              </w:rPr>
              <w:t>2014 HP Share of Delivered Energy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BD1428A" w14:textId="1F55C35F"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5F2844B" w14:textId="3952B2E9"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3CA1B1F" w14:textId="34A65815"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B7F40FE" w14:textId="6C8DE362"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3%</w:t>
            </w:r>
          </w:p>
        </w:tc>
      </w:tr>
      <w:tr w:rsidR="00693F14" w:rsidRPr="003F1AF9" w14:paraId="0A788581" w14:textId="77777777" w:rsidTr="00693F14">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2478" w:type="dxa"/>
            <w:tcBorders>
              <w:top w:val="single" w:sz="4" w:space="0" w:color="auto"/>
              <w:left w:val="single" w:sz="4" w:space="0" w:color="auto"/>
              <w:bottom w:val="single" w:sz="4" w:space="0" w:color="auto"/>
              <w:right w:val="single" w:sz="4" w:space="0" w:color="auto"/>
            </w:tcBorders>
            <w:shd w:val="clear" w:color="auto" w:fill="auto"/>
            <w:vAlign w:val="center"/>
          </w:tcPr>
          <w:p w14:paraId="6940B0F1" w14:textId="48FC9209" w:rsidR="00AC78E8" w:rsidRPr="003F1AF9" w:rsidRDefault="00AC78E8" w:rsidP="0055612F">
            <w:pPr>
              <w:spacing w:after="0" w:line="240" w:lineRule="auto"/>
              <w:jc w:val="left"/>
              <w:rPr>
                <w:rFonts w:cs="Times New Roman"/>
                <w:b w:val="0"/>
                <w:color w:val="000000" w:themeColor="text1"/>
                <w:sz w:val="21"/>
                <w:szCs w:val="21"/>
              </w:rPr>
            </w:pPr>
            <w:r w:rsidRPr="003F1AF9">
              <w:rPr>
                <w:rFonts w:cs="Times New Roman"/>
                <w:color w:val="000000" w:themeColor="text1"/>
                <w:sz w:val="21"/>
                <w:szCs w:val="21"/>
              </w:rPr>
              <w:t>2060 HP Share of Delivered Energy (%)</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1D1000A" w14:textId="7F08242C" w:rsidR="00AC78E8" w:rsidRPr="003F1AF9" w:rsidRDefault="00AC78E8"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9FB6E73" w14:textId="6C9C6893" w:rsidR="00AC78E8" w:rsidRPr="003F1AF9" w:rsidRDefault="00413CAA"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25%</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DC9247E" w14:textId="4764BD9F" w:rsidR="00AC78E8" w:rsidRPr="003F1AF9" w:rsidRDefault="00413CAA"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50%</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889D335" w14:textId="7ECB5E17" w:rsidR="00AC78E8" w:rsidRPr="003F1AF9" w:rsidRDefault="00413CAA"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6</w:t>
            </w:r>
            <w:r w:rsidR="00AC78E8" w:rsidRPr="003F1AF9">
              <w:rPr>
                <w:rFonts w:cs="Times New Roman"/>
                <w:sz w:val="21"/>
                <w:szCs w:val="21"/>
              </w:rPr>
              <w:t>0%</w:t>
            </w:r>
          </w:p>
        </w:tc>
      </w:tr>
      <w:tr w:rsidR="00693F14" w:rsidRPr="003F1AF9" w14:paraId="48152B85" w14:textId="77777777" w:rsidTr="00693F14">
        <w:trPr>
          <w:cantSplit/>
          <w:trHeight w:val="334"/>
          <w:jc w:val="center"/>
        </w:trPr>
        <w:tc>
          <w:tcPr>
            <w:cnfStyle w:val="001000000000" w:firstRow="0" w:lastRow="0" w:firstColumn="1" w:lastColumn="0" w:oddVBand="0" w:evenVBand="0" w:oddHBand="0" w:evenHBand="0" w:firstRowFirstColumn="0" w:firstRowLastColumn="0" w:lastRowFirstColumn="0" w:lastRowLastColumn="0"/>
            <w:tcW w:w="2478" w:type="dxa"/>
            <w:tcBorders>
              <w:top w:val="single" w:sz="4" w:space="0" w:color="auto"/>
              <w:left w:val="single" w:sz="4" w:space="0" w:color="auto"/>
              <w:bottom w:val="single" w:sz="4" w:space="0" w:color="auto"/>
              <w:right w:val="single" w:sz="4" w:space="0" w:color="auto"/>
            </w:tcBorders>
            <w:shd w:val="clear" w:color="auto" w:fill="auto"/>
            <w:vAlign w:val="center"/>
          </w:tcPr>
          <w:p w14:paraId="7467610B" w14:textId="4A8BB465" w:rsidR="00AC78E8" w:rsidRPr="003F1AF9" w:rsidRDefault="00AC78E8" w:rsidP="0055612F">
            <w:pPr>
              <w:spacing w:after="0" w:line="240" w:lineRule="auto"/>
              <w:jc w:val="left"/>
              <w:rPr>
                <w:rFonts w:cs="Times New Roman"/>
                <w:b w:val="0"/>
                <w:color w:val="000000" w:themeColor="text1"/>
                <w:sz w:val="21"/>
                <w:szCs w:val="21"/>
              </w:rPr>
            </w:pPr>
            <w:r w:rsidRPr="003F1AF9">
              <w:rPr>
                <w:rFonts w:cs="Times New Roman"/>
                <w:color w:val="000000" w:themeColor="text1"/>
                <w:sz w:val="21"/>
                <w:szCs w:val="21"/>
              </w:rPr>
              <w:t>2014 Installed HP Average SCOP (</w:t>
            </w:r>
            <w:proofErr w:type="spellStart"/>
            <w:r w:rsidRPr="003F1AF9">
              <w:rPr>
                <w:rFonts w:cs="Times New Roman"/>
                <w:color w:val="000000" w:themeColor="text1"/>
                <w:sz w:val="21"/>
                <w:szCs w:val="21"/>
              </w:rPr>
              <w:t>Wh</w:t>
            </w:r>
            <w:proofErr w:type="spellEnd"/>
            <w:r w:rsidRPr="003F1AF9">
              <w:rPr>
                <w:rFonts w:cs="Times New Roman"/>
                <w:color w:val="000000" w:themeColor="text1"/>
                <w:sz w:val="21"/>
                <w:szCs w:val="21"/>
              </w:rPr>
              <w:t>/</w:t>
            </w:r>
            <w:proofErr w:type="spellStart"/>
            <w:r w:rsidRPr="003F1AF9">
              <w:rPr>
                <w:rFonts w:cs="Times New Roman"/>
                <w:color w:val="000000" w:themeColor="text1"/>
                <w:sz w:val="21"/>
                <w:szCs w:val="21"/>
              </w:rPr>
              <w:t>Wh</w:t>
            </w:r>
            <w:proofErr w:type="spellEnd"/>
            <w:r w:rsidRPr="003F1AF9">
              <w:rPr>
                <w:rFonts w:cs="Times New Roman"/>
                <w:color w:val="000000" w:themeColor="text1"/>
                <w:sz w:val="21"/>
                <w:szCs w:val="21"/>
              </w:rPr>
              <w:t>)</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3D02DD21" w14:textId="4A4F61AF"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2.3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1EA17AD" w14:textId="171F2389"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2.3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C9B15C5" w14:textId="28CC2EB0"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2.3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49F232C" w14:textId="5E668DAB"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2.3</w:t>
            </w:r>
          </w:p>
        </w:tc>
      </w:tr>
      <w:tr w:rsidR="00693F14" w:rsidRPr="003F1AF9" w14:paraId="3D7D3949" w14:textId="77777777" w:rsidTr="00693F14">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2478" w:type="dxa"/>
            <w:tcBorders>
              <w:top w:val="single" w:sz="4" w:space="0" w:color="auto"/>
              <w:left w:val="single" w:sz="4" w:space="0" w:color="auto"/>
              <w:bottom w:val="single" w:sz="4" w:space="0" w:color="auto"/>
              <w:right w:val="single" w:sz="4" w:space="0" w:color="auto"/>
            </w:tcBorders>
            <w:shd w:val="clear" w:color="auto" w:fill="auto"/>
            <w:vAlign w:val="center"/>
          </w:tcPr>
          <w:p w14:paraId="33876F65" w14:textId="4FABCA47" w:rsidR="00AC78E8" w:rsidRPr="003F1AF9" w:rsidRDefault="00AC78E8" w:rsidP="0055612F">
            <w:pPr>
              <w:spacing w:after="0" w:line="240" w:lineRule="auto"/>
              <w:jc w:val="left"/>
              <w:rPr>
                <w:rFonts w:cs="Times New Roman"/>
                <w:b w:val="0"/>
                <w:color w:val="000000" w:themeColor="text1"/>
                <w:sz w:val="21"/>
                <w:szCs w:val="21"/>
              </w:rPr>
            </w:pPr>
            <w:r w:rsidRPr="003F1AF9">
              <w:rPr>
                <w:rFonts w:cs="Times New Roman"/>
                <w:color w:val="000000" w:themeColor="text1"/>
                <w:sz w:val="21"/>
                <w:szCs w:val="21"/>
              </w:rPr>
              <w:t>2014 to 2060 Installed HP Average SCOP (</w:t>
            </w:r>
            <w:proofErr w:type="spellStart"/>
            <w:r w:rsidRPr="003F1AF9">
              <w:rPr>
                <w:rFonts w:cs="Times New Roman"/>
                <w:color w:val="000000" w:themeColor="text1"/>
                <w:sz w:val="21"/>
                <w:szCs w:val="21"/>
              </w:rPr>
              <w:t>Wh</w:t>
            </w:r>
            <w:proofErr w:type="spellEnd"/>
            <w:r w:rsidRPr="003F1AF9">
              <w:rPr>
                <w:rFonts w:cs="Times New Roman"/>
                <w:color w:val="000000" w:themeColor="text1"/>
                <w:sz w:val="21"/>
                <w:szCs w:val="21"/>
              </w:rPr>
              <w:t>/</w:t>
            </w:r>
            <w:proofErr w:type="spellStart"/>
            <w:r w:rsidRPr="003F1AF9">
              <w:rPr>
                <w:rFonts w:cs="Times New Roman"/>
                <w:color w:val="000000" w:themeColor="text1"/>
                <w:sz w:val="21"/>
                <w:szCs w:val="21"/>
              </w:rPr>
              <w:t>Wh</w:t>
            </w:r>
            <w:proofErr w:type="spellEnd"/>
            <w:r w:rsidRPr="003F1AF9">
              <w:rPr>
                <w:rFonts w:cs="Times New Roman"/>
                <w:color w:val="000000" w:themeColor="text1"/>
                <w:sz w:val="21"/>
                <w:szCs w:val="21"/>
              </w:rPr>
              <w:t>)</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6DC9457D" w14:textId="2AEDEC0E" w:rsidR="00AC78E8" w:rsidRPr="003F1AF9" w:rsidRDefault="00AC78E8"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2.3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D7BB768" w14:textId="5AE596AF" w:rsidR="00AC78E8" w:rsidRPr="003F1AF9" w:rsidRDefault="00413CAA"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3.1</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6E37F94E" w14:textId="34D29B01" w:rsidR="00AC78E8" w:rsidRPr="003F1AF9" w:rsidRDefault="00413CAA"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3.3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4640E15" w14:textId="0E9150A1" w:rsidR="00AC78E8" w:rsidRPr="003F1AF9" w:rsidRDefault="00413CAA" w:rsidP="0055612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3F1AF9">
              <w:rPr>
                <w:rFonts w:cs="Times New Roman"/>
                <w:sz w:val="21"/>
                <w:szCs w:val="21"/>
              </w:rPr>
              <w:t>3.6</w:t>
            </w:r>
          </w:p>
        </w:tc>
      </w:tr>
      <w:tr w:rsidR="00693F14" w:rsidRPr="003F1AF9" w14:paraId="3655B9AB" w14:textId="77777777" w:rsidTr="00693F14">
        <w:trPr>
          <w:cantSplit/>
          <w:trHeight w:val="334"/>
          <w:jc w:val="center"/>
        </w:trPr>
        <w:tc>
          <w:tcPr>
            <w:cnfStyle w:val="001000000000" w:firstRow="0" w:lastRow="0" w:firstColumn="1" w:lastColumn="0" w:oddVBand="0" w:evenVBand="0" w:oddHBand="0" w:evenHBand="0" w:firstRowFirstColumn="0" w:firstRowLastColumn="0" w:lastRowFirstColumn="0" w:lastRowLastColumn="0"/>
            <w:tcW w:w="2478" w:type="dxa"/>
            <w:tcBorders>
              <w:top w:val="single" w:sz="4" w:space="0" w:color="auto"/>
              <w:left w:val="single" w:sz="4" w:space="0" w:color="auto"/>
              <w:bottom w:val="single" w:sz="4" w:space="0" w:color="auto"/>
              <w:right w:val="single" w:sz="4" w:space="0" w:color="auto"/>
            </w:tcBorders>
            <w:shd w:val="clear" w:color="auto" w:fill="auto"/>
            <w:vAlign w:val="center"/>
          </w:tcPr>
          <w:p w14:paraId="07CC738B" w14:textId="2D760697" w:rsidR="00AC78E8" w:rsidRPr="003F1AF9" w:rsidRDefault="00AC78E8" w:rsidP="0055612F">
            <w:pPr>
              <w:spacing w:after="0" w:line="240" w:lineRule="auto"/>
              <w:jc w:val="left"/>
              <w:rPr>
                <w:rFonts w:cs="Times New Roman"/>
                <w:b w:val="0"/>
                <w:color w:val="000000" w:themeColor="text1"/>
                <w:sz w:val="21"/>
                <w:szCs w:val="21"/>
              </w:rPr>
            </w:pPr>
            <w:r w:rsidRPr="003F1AF9">
              <w:rPr>
                <w:rFonts w:cs="Times New Roman"/>
                <w:color w:val="000000" w:themeColor="text1"/>
                <w:sz w:val="21"/>
                <w:szCs w:val="21"/>
              </w:rPr>
              <w:t>2060 Installed HP Average SCOP (</w:t>
            </w:r>
            <w:proofErr w:type="spellStart"/>
            <w:r w:rsidRPr="003F1AF9">
              <w:rPr>
                <w:rFonts w:cs="Times New Roman"/>
                <w:color w:val="000000" w:themeColor="text1"/>
                <w:sz w:val="21"/>
                <w:szCs w:val="21"/>
              </w:rPr>
              <w:t>Wh</w:t>
            </w:r>
            <w:proofErr w:type="spellEnd"/>
            <w:r w:rsidRPr="003F1AF9">
              <w:rPr>
                <w:rFonts w:cs="Times New Roman"/>
                <w:color w:val="000000" w:themeColor="text1"/>
                <w:sz w:val="21"/>
                <w:szCs w:val="21"/>
              </w:rPr>
              <w:t>/</w:t>
            </w:r>
            <w:proofErr w:type="spellStart"/>
            <w:r w:rsidRPr="003F1AF9">
              <w:rPr>
                <w:rFonts w:cs="Times New Roman"/>
                <w:color w:val="000000" w:themeColor="text1"/>
                <w:sz w:val="21"/>
                <w:szCs w:val="21"/>
              </w:rPr>
              <w:t>Wh</w:t>
            </w:r>
            <w:proofErr w:type="spellEnd"/>
            <w:r w:rsidRPr="003F1AF9">
              <w:rPr>
                <w:rFonts w:cs="Times New Roman"/>
                <w:color w:val="000000" w:themeColor="text1"/>
                <w:sz w:val="21"/>
                <w:szCs w:val="21"/>
              </w:rPr>
              <w:t>)</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49794801" w14:textId="23E79909"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2.3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4CCC2428" w14:textId="77CEED1A" w:rsidR="00AC78E8" w:rsidRPr="003F1AF9" w:rsidRDefault="00AC78E8"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3.</w:t>
            </w:r>
            <w:r w:rsidR="00413CAA" w:rsidRPr="003F1AF9">
              <w:rPr>
                <w:rFonts w:cs="Times New Roman"/>
                <w:sz w:val="21"/>
                <w:szCs w:val="21"/>
              </w:rPr>
              <w:t>9</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4E93EB8C" w14:textId="586AFCA0" w:rsidR="00AC78E8" w:rsidRPr="003F1AF9" w:rsidRDefault="00413CAA"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4.3</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BC02B9C" w14:textId="1B6A5B79" w:rsidR="00AC78E8" w:rsidRPr="003F1AF9" w:rsidRDefault="00413CAA" w:rsidP="0055612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3F1AF9">
              <w:rPr>
                <w:rFonts w:cs="Times New Roman"/>
                <w:sz w:val="21"/>
                <w:szCs w:val="21"/>
              </w:rPr>
              <w:t>4.5</w:t>
            </w:r>
          </w:p>
        </w:tc>
      </w:tr>
    </w:tbl>
    <w:p w14:paraId="4CA652E5" w14:textId="5B44D1E6" w:rsidR="00D251A6" w:rsidRPr="003F1AF9" w:rsidRDefault="00D251A6" w:rsidP="00D251A6"/>
    <w:p w14:paraId="1E38DE1B" w14:textId="4DE6E2EF" w:rsidR="00566437" w:rsidRPr="003F1AF9" w:rsidRDefault="004C37A8" w:rsidP="00B546A7">
      <w:pPr>
        <w:pStyle w:val="Heading4"/>
      </w:pPr>
      <w:r w:rsidRPr="003F1AF9">
        <w:t xml:space="preserve">Plausible </w:t>
      </w:r>
      <w:r w:rsidR="00566437" w:rsidRPr="003F1AF9">
        <w:t>Scenario</w:t>
      </w:r>
    </w:p>
    <w:p w14:paraId="0217684C" w14:textId="575009F0" w:rsidR="00566437" w:rsidRPr="003F1AF9" w:rsidRDefault="00566437" w:rsidP="00566437">
      <w:r w:rsidRPr="003F1AF9">
        <w:t xml:space="preserve">In the </w:t>
      </w:r>
      <w:r w:rsidR="004C37A8" w:rsidRPr="003F1AF9">
        <w:t xml:space="preserve">Plausible </w:t>
      </w:r>
      <w:r w:rsidR="00020A8B" w:rsidRPr="003F1AF9">
        <w:t>Scenario</w:t>
      </w:r>
      <w:r w:rsidR="004C37A8" w:rsidRPr="003F1AF9">
        <w:t>, high-efficiency heat pumps are adopted at a “realistically vigorous rate” from 2014 to 2060. Heat</w:t>
      </w:r>
      <w:r w:rsidRPr="003F1AF9">
        <w:t xml:space="preserve"> pump space heating delivered energy adoption grows from 3% of all space heating delivered energy in 2014 to 25% of TAM by 2060.</w:t>
      </w:r>
      <w:r w:rsidR="0078120E">
        <w:t xml:space="preserve"> </w:t>
      </w:r>
      <w:r w:rsidRPr="003F1AF9">
        <w:t>In this scenario</w:t>
      </w:r>
      <w:r w:rsidR="003A6383">
        <w:t>, the</w:t>
      </w:r>
      <w:r w:rsidRPr="003F1AF9">
        <w:t xml:space="preserve"> 2014-2060 insta</w:t>
      </w:r>
      <w:r w:rsidR="00020A8B" w:rsidRPr="003F1AF9">
        <w:t>lled HP average SCOP is 3.1</w:t>
      </w:r>
      <w:r w:rsidRPr="003F1AF9">
        <w:t xml:space="preserve">, so </w:t>
      </w:r>
      <w:r w:rsidR="00020A8B" w:rsidRPr="003F1AF9">
        <w:t xml:space="preserve">on average a significant </w:t>
      </w:r>
      <w:r w:rsidRPr="003F1AF9">
        <w:t xml:space="preserve">minority of </w:t>
      </w:r>
      <w:r w:rsidR="00610596" w:rsidRPr="003F1AF9">
        <w:t xml:space="preserve">installed </w:t>
      </w:r>
      <w:r w:rsidRPr="003F1AF9">
        <w:t>heat pumps are “high efficiency”</w:t>
      </w:r>
      <w:r w:rsidR="00020A8B" w:rsidRPr="003F1AF9">
        <w:t xml:space="preserve"> (SCOP = 3.5+)</w:t>
      </w:r>
      <w:r w:rsidR="00610596" w:rsidRPr="003F1AF9">
        <w:t xml:space="preserve"> </w:t>
      </w:r>
      <w:r w:rsidR="00020A8B" w:rsidRPr="003F1AF9">
        <w:t>over this period.</w:t>
      </w:r>
      <w:r w:rsidR="0078120E">
        <w:t xml:space="preserve"> </w:t>
      </w:r>
      <w:r w:rsidR="00020A8B" w:rsidRPr="003F1AF9">
        <w:t xml:space="preserve">By </w:t>
      </w:r>
      <w:r w:rsidR="00610596" w:rsidRPr="003F1AF9">
        <w:t xml:space="preserve">around </w:t>
      </w:r>
      <w:r w:rsidR="00020A8B" w:rsidRPr="003F1AF9">
        <w:t xml:space="preserve">2047, 50% of </w:t>
      </w:r>
      <w:r w:rsidR="00610596" w:rsidRPr="003F1AF9">
        <w:t xml:space="preserve">installed </w:t>
      </w:r>
      <w:r w:rsidR="00020A8B" w:rsidRPr="003F1AF9">
        <w:t xml:space="preserve">heat pumps are high efficiency, and in </w:t>
      </w:r>
      <w:r w:rsidRPr="003F1AF9">
        <w:t>2060, when installed HP average SCOP reaches</w:t>
      </w:r>
      <w:r w:rsidR="00020A8B" w:rsidRPr="003F1AF9">
        <w:t xml:space="preserve"> 3.9</w:t>
      </w:r>
      <w:r w:rsidRPr="003F1AF9">
        <w:t xml:space="preserve">, </w:t>
      </w:r>
      <w:r w:rsidR="00020A8B" w:rsidRPr="003F1AF9">
        <w:t>the bulk</w:t>
      </w:r>
      <w:r w:rsidRPr="003F1AF9">
        <w:t xml:space="preserve"> of installed heat pumps</w:t>
      </w:r>
      <w:r w:rsidR="00020A8B" w:rsidRPr="003F1AF9">
        <w:t xml:space="preserve"> – and almost all heat pump sales – </w:t>
      </w:r>
      <w:r w:rsidRPr="003F1AF9">
        <w:t>are “high efficiency”</w:t>
      </w:r>
      <w:r w:rsidR="00610596" w:rsidRPr="003F1AF9">
        <w:t xml:space="preserve"> units</w:t>
      </w:r>
      <w:r w:rsidRPr="003F1AF9">
        <w:t>.</w:t>
      </w:r>
      <w:r w:rsidR="0078120E">
        <w:t xml:space="preserve"> </w:t>
      </w:r>
    </w:p>
    <w:p w14:paraId="2BA8CB89" w14:textId="4F14451C" w:rsidR="00566437" w:rsidRPr="003F1AF9" w:rsidRDefault="004C37A8" w:rsidP="00B546A7">
      <w:pPr>
        <w:pStyle w:val="Heading4"/>
      </w:pPr>
      <w:r w:rsidRPr="003F1AF9">
        <w:t xml:space="preserve">Drawdown </w:t>
      </w:r>
      <w:r w:rsidR="00B546A7" w:rsidRPr="003F1AF9">
        <w:t xml:space="preserve">Scenario </w:t>
      </w:r>
    </w:p>
    <w:p w14:paraId="5FF4FFBD" w14:textId="1D04C94B" w:rsidR="00610596" w:rsidRPr="003F1AF9" w:rsidRDefault="00610596" w:rsidP="00610596">
      <w:r w:rsidRPr="003F1AF9">
        <w:t xml:space="preserve">In the </w:t>
      </w:r>
      <w:r w:rsidR="004C37A8" w:rsidRPr="003F1AF9">
        <w:t xml:space="preserve">Drawdown </w:t>
      </w:r>
      <w:r w:rsidRPr="003F1AF9">
        <w:t xml:space="preserve">Scenario, </w:t>
      </w:r>
      <w:r w:rsidR="004C37A8" w:rsidRPr="003F1AF9">
        <w:t>high-efficiency heat pump adoption is optimized to achieve drawdown by 2050.</w:t>
      </w:r>
      <w:r w:rsidR="0078120E">
        <w:t xml:space="preserve"> </w:t>
      </w:r>
      <w:r w:rsidR="004C37A8" w:rsidRPr="003F1AF9">
        <w:t xml:space="preserve">In this </w:t>
      </w:r>
      <w:r w:rsidRPr="003F1AF9">
        <w:t>case</w:t>
      </w:r>
      <w:r w:rsidR="004C37A8" w:rsidRPr="003F1AF9">
        <w:t>,</w:t>
      </w:r>
      <w:r w:rsidRPr="003F1AF9">
        <w:t xml:space="preserve"> </w:t>
      </w:r>
      <w:r w:rsidR="0037735E" w:rsidRPr="003F1AF9">
        <w:t>based on</w:t>
      </w:r>
      <w:r w:rsidRPr="003F1AF9">
        <w:t xml:space="preserve"> the IEA ETP 2017 B2DS scenario, heat pump space heating delivered energy adoption grows from 3% of all space heating delivered energy in 2014 to 50% of TAM by 2060.</w:t>
      </w:r>
      <w:r w:rsidR="0078120E">
        <w:t xml:space="preserve"> </w:t>
      </w:r>
      <w:r w:rsidR="004C37A8" w:rsidRPr="003F1AF9">
        <w:t>And</w:t>
      </w:r>
      <w:r w:rsidRPr="003F1AF9">
        <w:t xml:space="preserve"> </w:t>
      </w:r>
      <w:r w:rsidR="003A6383">
        <w:t xml:space="preserve">the </w:t>
      </w:r>
      <w:r w:rsidRPr="003F1AF9">
        <w:t>2014-2060 installed HP average SCOP is 3.3, so close to half of all installed heat pumps are “high efficiency” (SCOP = 3.5+) over this period.</w:t>
      </w:r>
      <w:r w:rsidR="0078120E">
        <w:t xml:space="preserve"> </w:t>
      </w:r>
      <w:r w:rsidRPr="003F1AF9">
        <w:t xml:space="preserve">By around 2042, 50% of installed heat pumps are high efficiency, and in 2060, </w:t>
      </w:r>
      <w:r w:rsidRPr="003F1AF9">
        <w:lastRenderedPageBreak/>
        <w:t>when installed HP average SCOP reaches 4.3, virtually all installed heat pumps – and all heat pump sales – are “high efficiency” units.</w:t>
      </w:r>
      <w:r w:rsidR="0078120E">
        <w:t xml:space="preserve"> </w:t>
      </w:r>
    </w:p>
    <w:p w14:paraId="662003DC" w14:textId="517E1CC8" w:rsidR="004C37A8" w:rsidRPr="003F1AF9" w:rsidRDefault="004C37A8" w:rsidP="004C37A8">
      <w:pPr>
        <w:pStyle w:val="Heading4"/>
      </w:pPr>
      <w:r w:rsidRPr="003F1AF9">
        <w:t xml:space="preserve">Optimum Scenario </w:t>
      </w:r>
    </w:p>
    <w:p w14:paraId="7540EDA1" w14:textId="282B21A7" w:rsidR="004C37A8" w:rsidRPr="003F1AF9" w:rsidRDefault="004C37A8" w:rsidP="004C37A8">
      <w:r w:rsidRPr="003F1AF9">
        <w:t xml:space="preserve">In the </w:t>
      </w:r>
      <w:r w:rsidR="0055612F" w:rsidRPr="003F1AF9">
        <w:t>Optimum</w:t>
      </w:r>
      <w:r w:rsidRPr="003F1AF9">
        <w:t xml:space="preserve"> Scenario, high-efficiency heat pump adoption achieves its maximum potential</w:t>
      </w:r>
      <w:r w:rsidR="006220A7" w:rsidRPr="003F1AF9">
        <w:t>.</w:t>
      </w:r>
      <w:r w:rsidR="0078120E">
        <w:t xml:space="preserve"> </w:t>
      </w:r>
      <w:r w:rsidR="006220A7" w:rsidRPr="003F1AF9">
        <w:t xml:space="preserve">HEHPs, </w:t>
      </w:r>
      <w:r w:rsidRPr="003F1AF9">
        <w:t>along with renewable district heating and bio</w:t>
      </w:r>
      <w:r w:rsidR="006220A7" w:rsidRPr="003F1AF9">
        <w:t>energy</w:t>
      </w:r>
      <w:r w:rsidR="003A6383">
        <w:t>,</w:t>
      </w:r>
      <w:r w:rsidR="006220A7" w:rsidRPr="003F1AF9">
        <w:t xml:space="preserve"> </w:t>
      </w:r>
      <w:r w:rsidRPr="003F1AF9">
        <w:t>f</w:t>
      </w:r>
      <w:r w:rsidR="006220A7" w:rsidRPr="003F1AF9">
        <w:t>ully replace</w:t>
      </w:r>
      <w:r w:rsidRPr="003F1AF9">
        <w:t xml:space="preserve"> conventional space heating equipment.</w:t>
      </w:r>
      <w:r w:rsidR="0078120E">
        <w:t xml:space="preserve"> </w:t>
      </w:r>
      <w:r w:rsidRPr="003F1AF9">
        <w:t xml:space="preserve">In this </w:t>
      </w:r>
      <w:r w:rsidR="006220A7" w:rsidRPr="003F1AF9">
        <w:t>scenario</w:t>
      </w:r>
      <w:r w:rsidRPr="003F1AF9">
        <w:t>, which is beyond the IEA ETP 2017 B2DS</w:t>
      </w:r>
      <w:r w:rsidR="006220A7" w:rsidRPr="003F1AF9">
        <w:t xml:space="preserve"> case</w:t>
      </w:r>
      <w:r w:rsidRPr="003F1AF9">
        <w:t>, heat pump adoption grows from 3% of all space heating delivered energy in 2014 to 60% of TAM by 2060.</w:t>
      </w:r>
      <w:r w:rsidR="0078120E">
        <w:t xml:space="preserve"> </w:t>
      </w:r>
      <w:r w:rsidR="006220A7" w:rsidRPr="003F1AF9">
        <w:t>After 2020, all heat pumps sold are high efficiency (SCOP = 3.5+) so that by 2033</w:t>
      </w:r>
      <w:r w:rsidR="003A6383">
        <w:t>,</w:t>
      </w:r>
      <w:r w:rsidR="006220A7" w:rsidRPr="003F1AF9">
        <w:t xml:space="preserve"> 50% of installed heat pumps are “high efficiency”, and by 2040 100% of installed heat pumps are high efficiency.</w:t>
      </w:r>
      <w:r w:rsidR="0078120E">
        <w:t xml:space="preserve"> </w:t>
      </w:r>
      <w:r w:rsidR="006220A7" w:rsidRPr="003F1AF9">
        <w:t>In the Optimum Scenario</w:t>
      </w:r>
      <w:r w:rsidR="003A6383">
        <w:t>, the</w:t>
      </w:r>
      <w:r w:rsidRPr="003F1AF9">
        <w:t xml:space="preserve"> 2014-2060 installed HP average SCOP is 3.6, so most installed heat pumps are “high efficiency” (SCOP = 3.5+) over this period.</w:t>
      </w:r>
      <w:r w:rsidR="0078120E">
        <w:t xml:space="preserve"> </w:t>
      </w:r>
      <w:r w:rsidR="006220A7" w:rsidRPr="003F1AF9">
        <w:t>In</w:t>
      </w:r>
      <w:r w:rsidRPr="003F1AF9">
        <w:t xml:space="preserve"> 2060, </w:t>
      </w:r>
      <w:r w:rsidR="003A6383">
        <w:t xml:space="preserve">the </w:t>
      </w:r>
      <w:r w:rsidRPr="003F1AF9">
        <w:t>insta</w:t>
      </w:r>
      <w:r w:rsidR="006220A7" w:rsidRPr="003F1AF9">
        <w:t>lled HP average SCOP reaches 4.5</w:t>
      </w:r>
      <w:r w:rsidRPr="003F1AF9">
        <w:t>.</w:t>
      </w:r>
      <w:r w:rsidR="0078120E">
        <w:t xml:space="preserve"> </w:t>
      </w:r>
    </w:p>
    <w:p w14:paraId="4FD041DB" w14:textId="2121F35F" w:rsidR="00566437" w:rsidRPr="003F1AF9" w:rsidRDefault="00DE693E" w:rsidP="00B546A7">
      <w:pPr>
        <w:pStyle w:val="Heading4"/>
      </w:pPr>
      <w:r w:rsidRPr="003F1AF9">
        <w:t>Adoption Scenario Modeling</w:t>
      </w:r>
    </w:p>
    <w:p w14:paraId="2E825137" w14:textId="19B6C9E1" w:rsidR="00DE693E" w:rsidRPr="003F1AF9" w:rsidRDefault="008E08A7" w:rsidP="00132E27">
      <w:r w:rsidRPr="003F1AF9">
        <w:t>The</w:t>
      </w:r>
      <w:r w:rsidR="00DE693E" w:rsidRPr="003F1AF9">
        <w:t xml:space="preserve"> adoption </w:t>
      </w:r>
      <w:r w:rsidR="00CC2C3C" w:rsidRPr="003F1AF9">
        <w:t>forecasts</w:t>
      </w:r>
      <w:r w:rsidRPr="003F1AF9">
        <w:t xml:space="preserve"> developed in this Technical Assessment </w:t>
      </w:r>
      <w:r w:rsidR="00DE693E" w:rsidRPr="003F1AF9">
        <w:t xml:space="preserve">employed heat pump costs and emissions </w:t>
      </w:r>
      <w:r w:rsidR="00CC2C3C" w:rsidRPr="003F1AF9">
        <w:t>derived from</w:t>
      </w:r>
      <w:r w:rsidR="00DE693E" w:rsidRPr="003F1AF9">
        <w:t xml:space="preserve"> implementation units of the current average conventional size used.</w:t>
      </w:r>
      <w:r w:rsidR="0078120E">
        <w:t xml:space="preserve"> </w:t>
      </w:r>
      <w:r w:rsidR="00DE693E" w:rsidRPr="003F1AF9">
        <w:t xml:space="preserve">Within each scenario, space heating delivered energy growth </w:t>
      </w:r>
      <w:r w:rsidRPr="003F1AF9">
        <w:t xml:space="preserve">was modeled </w:t>
      </w:r>
      <w:r w:rsidR="00547CB4" w:rsidRPr="003F1AF9">
        <w:t xml:space="preserve">using Drawdown calculations based on </w:t>
      </w:r>
      <w:r w:rsidR="00DE693E" w:rsidRPr="003F1AF9">
        <w:t>IEA ETP 2017 final energy forecasts and EIA space heating equipment efficiency forecasts.</w:t>
      </w:r>
      <w:r w:rsidR="0078120E">
        <w:t xml:space="preserve"> </w:t>
      </w:r>
      <w:r w:rsidRPr="003F1AF9">
        <w:t>Heat</w:t>
      </w:r>
      <w:r w:rsidR="00DE693E" w:rsidRPr="003F1AF9">
        <w:t xml:space="preserve"> pump current adoption and </w:t>
      </w:r>
      <w:r w:rsidR="00CC2C3C" w:rsidRPr="003F1AF9">
        <w:t xml:space="preserve">adoption </w:t>
      </w:r>
      <w:r w:rsidR="00DE693E" w:rsidRPr="003F1AF9">
        <w:t>growth</w:t>
      </w:r>
      <w:r w:rsidR="00CC2C3C" w:rsidRPr="003F1AF9">
        <w:t xml:space="preserve"> forecasts </w:t>
      </w:r>
      <w:r w:rsidRPr="003F1AF9">
        <w:t xml:space="preserve">were based </w:t>
      </w:r>
      <w:r w:rsidR="00DE693E" w:rsidRPr="003F1AF9">
        <w:t xml:space="preserve">on IEA ETP </w:t>
      </w:r>
      <w:r w:rsidR="00CC2C3C" w:rsidRPr="003F1AF9">
        <w:t xml:space="preserve">2017 </w:t>
      </w:r>
      <w:r w:rsidR="00DE693E" w:rsidRPr="003F1AF9">
        <w:t>final energy, emissions, and installed heating equipment forecasts (which include space- and water-heating) and other data</w:t>
      </w:r>
      <w:r w:rsidR="00CC2C3C" w:rsidRPr="003F1AF9">
        <w:t xml:space="preserve"> and forecasts (EIA, 2018, EHPA, 2014)</w:t>
      </w:r>
      <w:r w:rsidR="00DE693E" w:rsidRPr="003F1AF9">
        <w:t>.</w:t>
      </w:r>
      <w:r w:rsidR="0078120E">
        <w:t xml:space="preserve"> </w:t>
      </w:r>
      <w:r w:rsidR="008A157E" w:rsidRPr="003F1AF9">
        <w:t xml:space="preserve">These data and forecasts provided enough triangulation across energy use, equipment adoption, and equipment efficiencies that it was not necessary to resort to diffusion models for </w:t>
      </w:r>
      <w:r w:rsidR="00ED34E3" w:rsidRPr="003F1AF9">
        <w:t xml:space="preserve">the </w:t>
      </w:r>
      <w:r w:rsidR="008A157E" w:rsidRPr="003F1AF9">
        <w:t>HP adoption forecasts.</w:t>
      </w:r>
      <w:r w:rsidR="0078120E">
        <w:t xml:space="preserve"> </w:t>
      </w:r>
    </w:p>
    <w:p w14:paraId="4C24E6F4" w14:textId="23F18AF2" w:rsidR="00FB3AB3" w:rsidRPr="003F1AF9" w:rsidRDefault="00686965">
      <w:pPr>
        <w:pStyle w:val="Heading2"/>
      </w:pPr>
      <w:bookmarkStart w:id="438" w:name="_Toc536607082"/>
      <w:bookmarkStart w:id="439" w:name="_Toc536607178"/>
      <w:bookmarkStart w:id="440" w:name="_Toc2597631"/>
      <w:bookmarkStart w:id="441" w:name="_Toc2701347"/>
      <w:bookmarkStart w:id="442" w:name="_Toc5112418"/>
      <w:bookmarkStart w:id="443" w:name="_Toc42289721"/>
      <w:bookmarkEnd w:id="438"/>
      <w:bookmarkEnd w:id="439"/>
      <w:bookmarkEnd w:id="440"/>
      <w:bookmarkEnd w:id="441"/>
      <w:bookmarkEnd w:id="442"/>
      <w:r w:rsidRPr="003F1AF9">
        <w:t>Inputs</w:t>
      </w:r>
      <w:bookmarkEnd w:id="443"/>
    </w:p>
    <w:p w14:paraId="09317292" w14:textId="77777777" w:rsidR="00943243" w:rsidRPr="003F1AF9" w:rsidRDefault="00943243">
      <w:pPr>
        <w:pStyle w:val="Heading3"/>
      </w:pPr>
      <w:bookmarkStart w:id="444" w:name="_Toc42289722"/>
      <w:r w:rsidRPr="003F1AF9">
        <w:t>Climate Inputs</w:t>
      </w:r>
      <w:bookmarkEnd w:id="444"/>
    </w:p>
    <w:p w14:paraId="389E1CF9" w14:textId="34A472E4" w:rsidR="00605065" w:rsidRPr="003F1AF9" w:rsidRDefault="00605065" w:rsidP="00F5019E">
      <w:r w:rsidRPr="003F1AF9">
        <w:t xml:space="preserve">The climate analysis in this model uses the values for energy intensity of space heating and reductions in energy consumption from heat pump usage (which are general “Technical” inputs in the </w:t>
      </w:r>
      <w:r w:rsidRPr="003F1AF9">
        <w:fldChar w:fldCharType="begin"/>
      </w:r>
      <w:r w:rsidRPr="003F1AF9">
        <w:instrText xml:space="preserve"> REF _Ref529116463 \h </w:instrText>
      </w:r>
      <w:r w:rsidR="005E1CA6" w:rsidRPr="003F1AF9">
        <w:instrText xml:space="preserve"> \* MERGEFORMAT </w:instrText>
      </w:r>
      <w:r w:rsidRPr="003F1AF9">
        <w:fldChar w:fldCharType="separate"/>
      </w:r>
      <w:r w:rsidR="00E60668" w:rsidRPr="003F1AF9">
        <w:t>Technical Inputs</w:t>
      </w:r>
      <w:r w:rsidRPr="003F1AF9">
        <w:fldChar w:fldCharType="end"/>
      </w:r>
      <w:r w:rsidRPr="003F1AF9">
        <w:t xml:space="preserve"> section). To calculate key model results, reported emissions factors for both electricity and fuel are used. Emissions factors for electricity generation are derived from the projected energy generation mix from three AMPERE </w:t>
      </w:r>
      <w:proofErr w:type="spellStart"/>
      <w:r w:rsidRPr="003F1AF9">
        <w:t>RefPol</w:t>
      </w:r>
      <w:proofErr w:type="spellEnd"/>
      <w:r w:rsidRPr="003F1AF9">
        <w:t xml:space="preserve"> scenarios in IPCC AR5 model Database (GEM3, IMAGE, MESSAGE) and the IEA’s ETP 6DS scenario, and direct/indirect emissions factors by generation type taken from the IPCC AR5 Model Database, AMPERE3-MESSAGE Base scenario. The reader should note that since this combined reference projection includes a shift away from coal and oil to natural gas, the </w:t>
      </w:r>
      <w:r w:rsidR="003A471D" w:rsidRPr="003F1AF9">
        <w:t xml:space="preserve">reference </w:t>
      </w:r>
      <w:r w:rsidRPr="003F1AF9">
        <w:t xml:space="preserve">emissions factors </w:t>
      </w:r>
      <w:r w:rsidRPr="003F1AF9">
        <w:lastRenderedPageBreak/>
        <w:t xml:space="preserve">decline slowly over the analysis period. Fuel emissions factors are calculated using the methodology recommended in the 2006 IPCC Guidelines for National Greenhouse Gas Inventories, Volume 2, Annex 1. The values used are shown in </w:t>
      </w:r>
      <w:r w:rsidR="00BD3252" w:rsidRPr="003F1AF9">
        <w:fldChar w:fldCharType="begin"/>
      </w:r>
      <w:r w:rsidR="00BD3252" w:rsidRPr="003F1AF9">
        <w:instrText xml:space="preserve"> REF _Ref536182638 \h </w:instrText>
      </w:r>
      <w:r w:rsidR="00F15C5C" w:rsidRPr="003F1AF9">
        <w:instrText xml:space="preserve"> \* MERGEFORMAT </w:instrText>
      </w:r>
      <w:r w:rsidR="00BD3252" w:rsidRPr="003F1AF9">
        <w:fldChar w:fldCharType="separate"/>
      </w:r>
      <w:r w:rsidR="00E60668" w:rsidRPr="003F1AF9">
        <w:t xml:space="preserve">Table </w:t>
      </w:r>
      <w:r w:rsidR="00E60668">
        <w:rPr>
          <w:noProof/>
        </w:rPr>
        <w:t>2</w:t>
      </w:r>
      <w:r w:rsidR="00E60668" w:rsidRPr="003F1AF9">
        <w:rPr>
          <w:noProof/>
        </w:rPr>
        <w:t>.</w:t>
      </w:r>
      <w:r w:rsidR="00E60668">
        <w:rPr>
          <w:noProof/>
        </w:rPr>
        <w:t>5</w:t>
      </w:r>
      <w:r w:rsidR="00BD3252" w:rsidRPr="003F1AF9">
        <w:fldChar w:fldCharType="end"/>
      </w:r>
      <w:r w:rsidR="005E1CA6" w:rsidRPr="003F1AF9">
        <w:t>.</w:t>
      </w:r>
      <w:r w:rsidR="0078120E">
        <w:t xml:space="preserve"> </w:t>
      </w:r>
    </w:p>
    <w:p w14:paraId="24CA4B35" w14:textId="17782A77" w:rsidR="00605065" w:rsidRPr="003F1AF9" w:rsidRDefault="00605065">
      <w:r w:rsidRPr="003F1AF9">
        <w:t>To calculate the climate impacts of heat pump adoption in the PDS scenarios, estimations were made of the total reduction in both electricity and fuel consumption for space heating per TWh of space heating demanded. Emissions factors for grid electricity and fuel are applied to calculate maximum annual emissions reduction, total emissions reduction, and concentration change (in PPM equivalent).</w:t>
      </w:r>
      <w:r w:rsidR="0078120E">
        <w:t xml:space="preserve"> </w:t>
      </w:r>
      <w:r w:rsidRPr="003F1AF9">
        <w:t xml:space="preserve">Then emissions reductions are calculated </w:t>
      </w:r>
      <w:r w:rsidR="001F75EC" w:rsidRPr="003F1AF9">
        <w:t xml:space="preserve">by applying </w:t>
      </w:r>
      <w:r w:rsidRPr="003F1AF9">
        <w:t>the following equation</w:t>
      </w:r>
      <w:r w:rsidR="001F75EC" w:rsidRPr="003F1AF9">
        <w:t xml:space="preserve"> for each year</w:t>
      </w:r>
      <w:r w:rsidRPr="003F1AF9">
        <w:t xml:space="preserve">: </w:t>
      </w:r>
    </w:p>
    <w:p w14:paraId="7FB4066B" w14:textId="77777777" w:rsidR="00605065" w:rsidRPr="003F1AF9" w:rsidRDefault="00605065" w:rsidP="00605065">
      <w:pPr>
        <w:rPr>
          <w:bCs/>
        </w:rPr>
      </w:pPr>
      <m:oMathPara>
        <m:oMath>
          <m:r>
            <w:rPr>
              <w:rFonts w:ascii="Cambria Math" w:hAnsi="Cambria Math"/>
            </w:rPr>
            <m:t>C</m:t>
          </m:r>
          <m:sSub>
            <m:sSubPr>
              <m:ctrlPr>
                <w:rPr>
                  <w:rFonts w:ascii="Cambria Math" w:hAnsi="Cambria Math"/>
                  <w:bCs/>
                </w:rPr>
              </m:ctrlPr>
            </m:sSubPr>
            <m:e>
              <m:r>
                <w:rPr>
                  <w:rFonts w:ascii="Cambria Math" w:hAnsi="Cambria Math"/>
                </w:rPr>
                <m:t>O</m:t>
              </m:r>
            </m:e>
            <m:sub>
              <m:r>
                <m:rPr>
                  <m:sty m:val="p"/>
                </m:rPr>
                <w:rPr>
                  <w:rFonts w:ascii="Cambria Math" w:hAnsi="Cambria Math"/>
                </w:rPr>
                <m:t>2</m:t>
              </m:r>
            </m:sub>
          </m:sSub>
          <m:r>
            <w:rPr>
              <w:rFonts w:ascii="Cambria Math" w:hAnsi="Cambria Math"/>
            </w:rPr>
            <m:t>reduced</m:t>
          </m:r>
          <m:r>
            <m:rPr>
              <m:sty m:val="p"/>
            </m:rPr>
            <w:rPr>
              <w:rFonts w:ascii="Cambria Math" w:hAnsi="Cambria Math"/>
            </w:rPr>
            <m:t>=</m:t>
          </m:r>
          <m:d>
            <m:dPr>
              <m:ctrlPr>
                <w:rPr>
                  <w:rFonts w:ascii="Cambria Math" w:hAnsi="Cambria Math"/>
                  <w:bCs/>
                </w:rPr>
              </m:ctrlPr>
            </m:dPr>
            <m:e>
              <m:r>
                <w:rPr>
                  <w:rFonts w:ascii="Cambria Math" w:hAnsi="Cambria Math"/>
                </w:rPr>
                <m:t>Reduction</m:t>
              </m:r>
              <m:sSub>
                <m:sSubPr>
                  <m:ctrlPr>
                    <w:rPr>
                      <w:rFonts w:ascii="Cambria Math" w:hAnsi="Cambria Math"/>
                      <w:bCs/>
                    </w:rPr>
                  </m:ctrlPr>
                </m:sSubPr>
                <m:e>
                  <m:r>
                    <m:rPr>
                      <m:sty m:val="p"/>
                    </m:rPr>
                    <w:rPr>
                      <w:rFonts w:ascii="Cambria Math" w:hAnsi="Cambria Math"/>
                    </w:rPr>
                    <m:t>θ</m:t>
                  </m:r>
                </m:e>
                <m:sub>
                  <m:r>
                    <w:rPr>
                      <w:rFonts w:ascii="Cambria Math" w:hAnsi="Cambria Math"/>
                    </w:rPr>
                    <m:t>PDS</m:t>
                  </m:r>
                </m:sub>
              </m:sSub>
            </m:e>
          </m:d>
          <m:r>
            <m:rPr>
              <m:sty m:val="p"/>
            </m:rPr>
            <w:rPr>
              <w:rFonts w:ascii="Cambria Math" w:hAnsi="Cambria Math"/>
            </w:rPr>
            <m:t>∙</m:t>
          </m:r>
          <m:d>
            <m:dPr>
              <m:ctrlPr>
                <w:rPr>
                  <w:rFonts w:ascii="Cambria Math" w:hAnsi="Cambria Math"/>
                  <w:bCs/>
                </w:rPr>
              </m:ctrlPr>
            </m:dPr>
            <m:e>
              <m:sSub>
                <m:sSubPr>
                  <m:ctrlPr>
                    <w:rPr>
                      <w:rFonts w:ascii="Cambria Math" w:hAnsi="Cambria Math"/>
                      <w:bCs/>
                    </w:rPr>
                  </m:ctrlPr>
                </m:sSubPr>
                <m:e>
                  <m:r>
                    <w:rPr>
                      <w:rFonts w:ascii="Cambria Math" w:hAnsi="Cambria Math"/>
                    </w:rPr>
                    <m:t>G</m:t>
                  </m:r>
                </m:e>
                <m:sub>
                  <m:r>
                    <w:rPr>
                      <w:rFonts w:ascii="Cambria Math" w:hAnsi="Cambria Math"/>
                    </w:rPr>
                    <m:t>ef</m:t>
                  </m:r>
                </m:sub>
              </m:sSub>
            </m:e>
          </m:d>
          <m:r>
            <m:rPr>
              <m:sty m:val="p"/>
            </m:rPr>
            <w:rPr>
              <w:rFonts w:ascii="Cambria Math" w:hAnsi="Cambria Math"/>
            </w:rPr>
            <m:t>+</m:t>
          </m:r>
          <m:nary>
            <m:naryPr>
              <m:chr m:val="∑"/>
              <m:limLoc m:val="undOvr"/>
              <m:supHide m:val="1"/>
              <m:ctrlPr>
                <w:rPr>
                  <w:rFonts w:ascii="Cambria Math" w:hAnsi="Cambria Math"/>
                  <w:bCs/>
                  <w:i/>
                </w:rPr>
              </m:ctrlPr>
            </m:naryPr>
            <m:sub>
              <m:r>
                <w:rPr>
                  <w:rFonts w:ascii="Cambria Math" w:hAnsi="Cambria Math"/>
                </w:rPr>
                <m:t>each fuel</m:t>
              </m:r>
            </m:sub>
            <m:sup/>
            <m:e>
              <m:d>
                <m:dPr>
                  <m:ctrlPr>
                    <w:rPr>
                      <w:rFonts w:ascii="Cambria Math" w:hAnsi="Cambria Math"/>
                      <w:bCs/>
                    </w:rPr>
                  </m:ctrlPr>
                </m:dPr>
                <m:e>
                  <m:r>
                    <w:rPr>
                      <w:rFonts w:ascii="Cambria Math" w:hAnsi="Cambria Math"/>
                    </w:rPr>
                    <m:t>Reduction</m:t>
                  </m:r>
                  <m:sSub>
                    <m:sSubPr>
                      <m:ctrlPr>
                        <w:rPr>
                          <w:rFonts w:ascii="Cambria Math" w:hAnsi="Cambria Math"/>
                          <w:bCs/>
                        </w:rPr>
                      </m:ctrlPr>
                    </m:sSubPr>
                    <m:e>
                      <m:r>
                        <w:rPr>
                          <w:rFonts w:ascii="Cambria Math" w:hAnsi="Cambria Math"/>
                        </w:rPr>
                        <m:t>δ</m:t>
                      </m:r>
                    </m:e>
                    <m:sub>
                      <m:r>
                        <w:rPr>
                          <w:rFonts w:ascii="Cambria Math" w:hAnsi="Cambria Math"/>
                        </w:rPr>
                        <m:t>PDS</m:t>
                      </m:r>
                    </m:sub>
                  </m:sSub>
                </m:e>
              </m:d>
              <m:r>
                <m:rPr>
                  <m:sty m:val="p"/>
                </m:rPr>
                <w:rPr>
                  <w:rFonts w:ascii="Cambria Math" w:hAnsi="Cambria Math"/>
                </w:rPr>
                <m:t>⋅(</m:t>
              </m:r>
              <m:sSub>
                <m:sSubPr>
                  <m:ctrlPr>
                    <w:rPr>
                      <w:rFonts w:ascii="Cambria Math" w:hAnsi="Cambria Math"/>
                      <w:bCs/>
                    </w:rPr>
                  </m:ctrlPr>
                </m:sSubPr>
                <m:e>
                  <m:r>
                    <m:rPr>
                      <m:sty m:val="p"/>
                    </m:rPr>
                    <w:rPr>
                      <w:rFonts w:ascii="Cambria Math" w:hAnsi="Cambria Math"/>
                    </w:rPr>
                    <m:t>Ϝ</m:t>
                  </m:r>
                </m:e>
                <m:sub>
                  <m:r>
                    <w:rPr>
                      <w:rFonts w:ascii="Cambria Math" w:hAnsi="Cambria Math"/>
                    </w:rPr>
                    <m:t>ef</m:t>
                  </m:r>
                </m:sub>
              </m:sSub>
              <m:r>
                <m:rPr>
                  <m:sty m:val="p"/>
                </m:rPr>
                <w:rPr>
                  <w:rFonts w:ascii="Cambria Math" w:hAnsi="Cambria Math"/>
                </w:rPr>
                <m:t>)</m:t>
              </m:r>
            </m:e>
          </m:nary>
        </m:oMath>
      </m:oMathPara>
    </w:p>
    <w:p w14:paraId="386732BA" w14:textId="77777777" w:rsidR="00605065" w:rsidRPr="003F1AF9" w:rsidRDefault="00605065" w:rsidP="00605065">
      <w:r w:rsidRPr="003F1AF9">
        <w:t xml:space="preserve">where: </w:t>
      </w:r>
    </w:p>
    <w:p w14:paraId="6A11ED26" w14:textId="77777777" w:rsidR="00605065" w:rsidRPr="003F1AF9" w:rsidRDefault="00605065" w:rsidP="00F436B3">
      <w:pPr>
        <w:pStyle w:val="ListParagraph"/>
        <w:numPr>
          <w:ilvl w:val="0"/>
          <w:numId w:val="28"/>
        </w:numPr>
        <w:spacing w:after="240" w:line="276" w:lineRule="auto"/>
      </w:pP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reduced</m:t>
        </m:r>
      </m:oMath>
      <w:r w:rsidRPr="003F1AF9">
        <w:t xml:space="preserve"> is the CO</w:t>
      </w:r>
      <w:r w:rsidRPr="003F1AF9">
        <w:rPr>
          <w:vertAlign w:val="subscript"/>
        </w:rPr>
        <w:t>2</w:t>
      </w:r>
      <w:r w:rsidRPr="003F1AF9">
        <w:t>-eq emissions reduction associated with the reduction in energy consumption in each PDS scenario.</w:t>
      </w:r>
    </w:p>
    <w:p w14:paraId="4CC3B401" w14:textId="77777777" w:rsidR="00605065" w:rsidRPr="003F1AF9" w:rsidRDefault="00605065" w:rsidP="00F436B3">
      <w:pPr>
        <w:pStyle w:val="ListParagraph"/>
        <w:numPr>
          <w:ilvl w:val="0"/>
          <w:numId w:val="28"/>
        </w:numPr>
        <w:spacing w:after="240" w:line="276" w:lineRule="auto"/>
      </w:pPr>
      <m:oMath>
        <m:r>
          <w:rPr>
            <w:rFonts w:ascii="Cambria Math" w:hAnsi="Cambria Math"/>
          </w:rPr>
          <m:t>Reduction</m:t>
        </m:r>
        <m:sSub>
          <m:sSubPr>
            <m:ctrlPr>
              <w:rPr>
                <w:rFonts w:ascii="Cambria Math" w:hAnsi="Cambria Math"/>
                <w:i/>
              </w:rPr>
            </m:ctrlPr>
          </m:sSubPr>
          <m:e>
            <m:r>
              <m:rPr>
                <m:sty m:val="p"/>
              </m:rPr>
              <w:rPr>
                <w:rFonts w:ascii="Cambria Math" w:hAnsi="Cambria Math"/>
              </w:rPr>
              <m:t>θ</m:t>
            </m:r>
          </m:e>
          <m:sub>
            <m:r>
              <w:rPr>
                <w:rFonts w:ascii="Cambria Math" w:hAnsi="Cambria Math"/>
              </w:rPr>
              <m:t>PDS</m:t>
            </m:r>
          </m:sub>
        </m:sSub>
      </m:oMath>
      <w:r w:rsidRPr="003F1AF9">
        <w:t xml:space="preserve"> is the reduction in energy consumption (TWh). </w:t>
      </w:r>
    </w:p>
    <w:p w14:paraId="0ADD651B" w14:textId="77777777" w:rsidR="00605065" w:rsidRPr="003F1AF9" w:rsidRDefault="0078120E" w:rsidP="00F436B3">
      <w:pPr>
        <w:pStyle w:val="ListParagraph"/>
        <w:numPr>
          <w:ilvl w:val="0"/>
          <w:numId w:val="28"/>
        </w:numPr>
        <w:spacing w:after="240" w:line="276" w:lineRule="auto"/>
      </w:pPr>
      <m:oMath>
        <m:sSub>
          <m:sSubPr>
            <m:ctrlPr>
              <w:rPr>
                <w:rFonts w:ascii="Cambria Math" w:hAnsi="Cambria Math"/>
                <w:i/>
              </w:rPr>
            </m:ctrlPr>
          </m:sSubPr>
          <m:e>
            <m:r>
              <w:rPr>
                <w:rFonts w:ascii="Cambria Math" w:hAnsi="Cambria Math"/>
              </w:rPr>
              <m:t>G</m:t>
            </m:r>
          </m:e>
          <m:sub>
            <m:r>
              <w:rPr>
                <w:rFonts w:ascii="Cambria Math" w:hAnsi="Cambria Math"/>
              </w:rPr>
              <m:t>ef</m:t>
            </m:r>
          </m:sub>
        </m:sSub>
      </m:oMath>
      <w:r w:rsidR="00605065" w:rsidRPr="003F1AF9">
        <w:t xml:space="preserve"> is the emissions factor (in </w:t>
      </w:r>
      <w:r w:rsidR="00605065" w:rsidRPr="003F1AF9">
        <w:rPr>
          <w:i/>
        </w:rPr>
        <w:t>t</w:t>
      </w:r>
      <w:r w:rsidR="00605065" w:rsidRPr="003F1AF9">
        <w:t>CO</w:t>
      </w:r>
      <w:r w:rsidR="00605065" w:rsidRPr="003F1AF9">
        <w:rPr>
          <w:vertAlign w:val="subscript"/>
        </w:rPr>
        <w:t>2</w:t>
      </w:r>
      <w:r w:rsidR="00605065" w:rsidRPr="003F1AF9">
        <w:t>-eq / TWh) of grid electricity globally for each year.</w:t>
      </w:r>
    </w:p>
    <w:p w14:paraId="6A7C6F02" w14:textId="0725378A" w:rsidR="00605065" w:rsidRPr="003F1AF9" w:rsidRDefault="00605065" w:rsidP="00F436B3">
      <w:pPr>
        <w:pStyle w:val="ListParagraph"/>
        <w:numPr>
          <w:ilvl w:val="0"/>
          <w:numId w:val="28"/>
        </w:numPr>
        <w:spacing w:after="240" w:line="276" w:lineRule="auto"/>
      </w:pPr>
      <m:oMath>
        <m:r>
          <w:rPr>
            <w:rFonts w:ascii="Cambria Math" w:hAnsi="Cambria Math"/>
          </w:rPr>
          <m:t>Reduction</m:t>
        </m:r>
        <m:sSub>
          <m:sSubPr>
            <m:ctrlPr>
              <w:rPr>
                <w:rFonts w:ascii="Cambria Math" w:hAnsi="Cambria Math"/>
                <w:i/>
              </w:rPr>
            </m:ctrlPr>
          </m:sSubPr>
          <m:e>
            <m:r>
              <w:rPr>
                <w:rFonts w:ascii="Cambria Math" w:hAnsi="Cambria Math"/>
              </w:rPr>
              <m:t>δ</m:t>
            </m:r>
          </m:e>
          <m:sub>
            <m:r>
              <w:rPr>
                <w:rFonts w:ascii="Cambria Math" w:hAnsi="Cambria Math"/>
              </w:rPr>
              <m:t>PDS</m:t>
            </m:r>
          </m:sub>
        </m:sSub>
      </m:oMath>
      <w:r w:rsidRPr="003F1AF9">
        <w:t xml:space="preserve"> is the reduction in fuel consum</w:t>
      </w:r>
      <w:proofErr w:type="spellStart"/>
      <w:r w:rsidRPr="003F1AF9">
        <w:t>ption</w:t>
      </w:r>
      <w:proofErr w:type="spellEnd"/>
      <w:r w:rsidRPr="003F1AF9">
        <w:t xml:space="preserve"> (TJ) for space heating in each PDS scenario</w:t>
      </w:r>
      <w:r w:rsidR="001F75EC" w:rsidRPr="003F1AF9">
        <w:t xml:space="preserve"> for each fuel</w:t>
      </w:r>
      <w:r w:rsidRPr="003F1AF9">
        <w:t xml:space="preserve">. </w:t>
      </w:r>
    </w:p>
    <w:p w14:paraId="42BB9464" w14:textId="77777777" w:rsidR="00605065" w:rsidRPr="003F1AF9" w:rsidRDefault="0078120E" w:rsidP="00F436B3">
      <w:pPr>
        <w:pStyle w:val="ListParagraph"/>
        <w:numPr>
          <w:ilvl w:val="0"/>
          <w:numId w:val="28"/>
        </w:numPr>
        <w:spacing w:after="240" w:line="276" w:lineRule="auto"/>
      </w:pPr>
      <m:oMath>
        <m:sSub>
          <m:sSubPr>
            <m:ctrlPr>
              <w:rPr>
                <w:rFonts w:ascii="Cambria Math" w:hAnsi="Cambria Math"/>
                <w:i/>
              </w:rPr>
            </m:ctrlPr>
          </m:sSubPr>
          <m:e>
            <m:r>
              <w:rPr>
                <w:rFonts w:ascii="Cambria Math" w:hAnsi="Cambria Math"/>
              </w:rPr>
              <m:t>Ϝ</m:t>
            </m:r>
          </m:e>
          <m:sub>
            <m:r>
              <w:rPr>
                <w:rFonts w:ascii="Cambria Math" w:hAnsi="Cambria Math"/>
              </w:rPr>
              <m:t>ef</m:t>
            </m:r>
          </m:sub>
        </m:sSub>
      </m:oMath>
      <w:r w:rsidR="00605065" w:rsidRPr="003F1AF9">
        <w:t xml:space="preserve"> is the fuel emissions factor (in </w:t>
      </w:r>
      <w:r w:rsidR="00605065" w:rsidRPr="003F1AF9">
        <w:rPr>
          <w:i/>
        </w:rPr>
        <w:t>t</w:t>
      </w:r>
      <w:r w:rsidR="00605065" w:rsidRPr="003F1AF9">
        <w:t>CO</w:t>
      </w:r>
      <w:r w:rsidR="00605065" w:rsidRPr="003F1AF9">
        <w:rPr>
          <w:vertAlign w:val="subscript"/>
        </w:rPr>
        <w:t>2</w:t>
      </w:r>
      <w:r w:rsidR="00605065" w:rsidRPr="003F1AF9">
        <w:t xml:space="preserve">-eq / TJ) for each fuel. </w:t>
      </w:r>
      <w:bookmarkStart w:id="445" w:name="_Ref526607748"/>
    </w:p>
    <w:p w14:paraId="3138930D" w14:textId="77777777" w:rsidR="00605065" w:rsidRPr="003F1AF9" w:rsidRDefault="00605065" w:rsidP="00605065">
      <w:pPr>
        <w:pStyle w:val="Heading4"/>
      </w:pPr>
      <w:r w:rsidRPr="003F1AF9">
        <w:t>Updating of Grid Emissions Factors</w:t>
      </w:r>
    </w:p>
    <w:p w14:paraId="626E2194" w14:textId="2CF03452" w:rsidR="00605065" w:rsidRPr="003F1AF9" w:rsidRDefault="00605065" w:rsidP="0055612F">
      <w:r w:rsidRPr="003F1AF9">
        <w:t>As electricity sector Drawdown solutions are adopted, the grid becomes cleaner, and the high emissions factor shown in</w:t>
      </w:r>
      <w:r w:rsidR="00CF25BA" w:rsidRPr="003F1AF9">
        <w:t xml:space="preserve"> </w:t>
      </w:r>
      <w:r w:rsidR="00BD3252" w:rsidRPr="003F1AF9">
        <w:fldChar w:fldCharType="begin"/>
      </w:r>
      <w:r w:rsidR="00BD3252" w:rsidRPr="003F1AF9">
        <w:instrText xml:space="preserve"> REF _Ref536182638 \h </w:instrText>
      </w:r>
      <w:r w:rsidR="00F15C5C" w:rsidRPr="003F1AF9">
        <w:instrText xml:space="preserve"> \* MERGEFORMAT </w:instrText>
      </w:r>
      <w:r w:rsidR="00BD3252" w:rsidRPr="003F1AF9">
        <w:fldChar w:fldCharType="separate"/>
      </w:r>
      <w:r w:rsidR="00E60668" w:rsidRPr="003F1AF9">
        <w:t xml:space="preserve">Table </w:t>
      </w:r>
      <w:r w:rsidR="00E60668">
        <w:rPr>
          <w:noProof/>
        </w:rPr>
        <w:t>2</w:t>
      </w:r>
      <w:r w:rsidR="00E60668" w:rsidRPr="003F1AF9">
        <w:rPr>
          <w:noProof/>
        </w:rPr>
        <w:t>.</w:t>
      </w:r>
      <w:r w:rsidR="00E60668">
        <w:rPr>
          <w:noProof/>
        </w:rPr>
        <w:t>5</w:t>
      </w:r>
      <w:r w:rsidR="00BD3252" w:rsidRPr="003F1AF9">
        <w:fldChar w:fldCharType="end"/>
      </w:r>
      <w:r w:rsidR="00BD3252" w:rsidRPr="003F1AF9">
        <w:t xml:space="preserve"> </w:t>
      </w:r>
      <w:r w:rsidRPr="003F1AF9">
        <w:t>will decline. This is not calculated directly in the model as</w:t>
      </w:r>
      <w:r w:rsidR="0081293A">
        <w:t xml:space="preserve"> it</w:t>
      </w:r>
      <w:r w:rsidRPr="003F1AF9">
        <w:t xml:space="preserve"> is considered an integration issue. This is dealt with in the </w:t>
      </w:r>
      <w:r w:rsidR="00F95B1B" w:rsidRPr="003F1AF9">
        <w:fldChar w:fldCharType="begin"/>
      </w:r>
      <w:r w:rsidR="00F95B1B" w:rsidRPr="003F1AF9">
        <w:instrText xml:space="preserve"> REF _Ref536537164 \h </w:instrText>
      </w:r>
      <w:r w:rsidR="00F95B1B" w:rsidRPr="003F1AF9">
        <w:fldChar w:fldCharType="separate"/>
      </w:r>
      <w:r w:rsidR="00E60668" w:rsidRPr="003F1AF9">
        <w:t>Integration</w:t>
      </w:r>
      <w:r w:rsidR="00F95B1B" w:rsidRPr="003F1AF9">
        <w:fldChar w:fldCharType="end"/>
      </w:r>
      <w:r w:rsidR="00F95B1B" w:rsidRPr="003F1AF9">
        <w:t xml:space="preserve"> </w:t>
      </w:r>
      <w:r w:rsidRPr="003F1AF9">
        <w:t>section of this report.</w:t>
      </w:r>
    </w:p>
    <w:p w14:paraId="1E1F0812" w14:textId="138ADD46" w:rsidR="00850445" w:rsidRPr="003F1AF9" w:rsidRDefault="00850445">
      <w:pPr>
        <w:spacing w:after="160" w:line="259" w:lineRule="auto"/>
        <w:jc w:val="left"/>
      </w:pPr>
      <w:r w:rsidRPr="003F1AF9">
        <w:br w:type="page"/>
      </w:r>
    </w:p>
    <w:p w14:paraId="515775C9" w14:textId="77777777" w:rsidR="00850445" w:rsidRPr="003F1AF9" w:rsidRDefault="00850445" w:rsidP="0055612F"/>
    <w:p w14:paraId="6CF2DE67" w14:textId="6C5DDE44" w:rsidR="005110E8" w:rsidRPr="003F1AF9" w:rsidRDefault="005110E8" w:rsidP="0055612F">
      <w:pPr>
        <w:pStyle w:val="Caption"/>
        <w:keepNext/>
        <w:jc w:val="center"/>
      </w:pPr>
      <w:bookmarkStart w:id="446" w:name="_Ref536182638"/>
      <w:bookmarkStart w:id="447" w:name="_Toc42289754"/>
      <w:bookmarkEnd w:id="445"/>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2</w:t>
      </w:r>
      <w:r w:rsidR="00C0437B" w:rsidRPr="003F1AF9">
        <w:rPr>
          <w:noProof/>
        </w:rPr>
        <w:fldChar w:fldCharType="end"/>
      </w:r>
      <w:r w:rsidR="00905204"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5</w:t>
      </w:r>
      <w:r w:rsidR="00C0437B" w:rsidRPr="003F1AF9">
        <w:rPr>
          <w:noProof/>
        </w:rPr>
        <w:fldChar w:fldCharType="end"/>
      </w:r>
      <w:bookmarkEnd w:id="446"/>
      <w:r w:rsidRPr="003F1AF9">
        <w:t xml:space="preserve"> Climate Inputs</w:t>
      </w:r>
      <w:bookmarkEnd w:id="447"/>
    </w:p>
    <w:tbl>
      <w:tblPr>
        <w:tblStyle w:val="TableGrid"/>
        <w:tblW w:w="0" w:type="auto"/>
        <w:jc w:val="center"/>
        <w:tblLook w:val="04A0" w:firstRow="1" w:lastRow="0" w:firstColumn="1" w:lastColumn="0" w:noHBand="0" w:noVBand="1"/>
      </w:tblPr>
      <w:tblGrid>
        <w:gridCol w:w="1435"/>
        <w:gridCol w:w="1260"/>
        <w:gridCol w:w="1260"/>
        <w:gridCol w:w="2070"/>
        <w:gridCol w:w="2070"/>
        <w:gridCol w:w="1083"/>
      </w:tblGrid>
      <w:tr w:rsidR="00605065" w:rsidRPr="003F1AF9" w14:paraId="15443F05" w14:textId="77777777" w:rsidTr="0055612F">
        <w:trPr>
          <w:jc w:val="center"/>
        </w:trPr>
        <w:tc>
          <w:tcPr>
            <w:tcW w:w="1435" w:type="dxa"/>
            <w:shd w:val="clear" w:color="auto" w:fill="4F81BD" w:themeFill="accent1"/>
            <w:vAlign w:val="center"/>
          </w:tcPr>
          <w:p w14:paraId="60D9132D" w14:textId="77777777" w:rsidR="00605065" w:rsidRPr="003F1AF9" w:rsidRDefault="00605065" w:rsidP="00AA2EAF">
            <w:pPr>
              <w:rPr>
                <w:b/>
                <w:color w:val="FFFFFF" w:themeColor="background1"/>
              </w:rPr>
            </w:pPr>
            <w:r w:rsidRPr="003F1AF9">
              <w:rPr>
                <w:b/>
                <w:color w:val="FFFFFF" w:themeColor="background1"/>
              </w:rPr>
              <w:t>Variable</w:t>
            </w:r>
          </w:p>
        </w:tc>
        <w:tc>
          <w:tcPr>
            <w:tcW w:w="1260" w:type="dxa"/>
            <w:shd w:val="clear" w:color="auto" w:fill="4F81BD" w:themeFill="accent1"/>
            <w:vAlign w:val="center"/>
          </w:tcPr>
          <w:p w14:paraId="02C18CC1" w14:textId="77777777" w:rsidR="00605065" w:rsidRPr="003F1AF9" w:rsidRDefault="00605065" w:rsidP="00AA2EAF">
            <w:pPr>
              <w:rPr>
                <w:b/>
                <w:color w:val="FFFFFF" w:themeColor="background1"/>
              </w:rPr>
            </w:pPr>
            <w:r w:rsidRPr="003F1AF9">
              <w:rPr>
                <w:b/>
                <w:color w:val="FFFFFF" w:themeColor="background1"/>
              </w:rPr>
              <w:t>Unit</w:t>
            </w:r>
          </w:p>
        </w:tc>
        <w:tc>
          <w:tcPr>
            <w:tcW w:w="1260" w:type="dxa"/>
            <w:shd w:val="clear" w:color="auto" w:fill="4F81BD" w:themeFill="accent1"/>
            <w:vAlign w:val="center"/>
          </w:tcPr>
          <w:p w14:paraId="56416EB3" w14:textId="77777777" w:rsidR="00605065" w:rsidRPr="003F1AF9" w:rsidRDefault="00605065" w:rsidP="006009B9">
            <w:pPr>
              <w:jc w:val="left"/>
              <w:rPr>
                <w:b/>
                <w:color w:val="FFFFFF" w:themeColor="background1"/>
              </w:rPr>
            </w:pPr>
            <w:r w:rsidRPr="003F1AF9">
              <w:rPr>
                <w:b/>
                <w:color w:val="FFFFFF" w:themeColor="background1"/>
              </w:rPr>
              <w:t xml:space="preserve">Project Drawdown Data Set Range </w:t>
            </w:r>
          </w:p>
        </w:tc>
        <w:tc>
          <w:tcPr>
            <w:tcW w:w="2070" w:type="dxa"/>
            <w:shd w:val="clear" w:color="auto" w:fill="4F81BD" w:themeFill="accent1"/>
            <w:vAlign w:val="center"/>
          </w:tcPr>
          <w:p w14:paraId="2740B7C7" w14:textId="77777777" w:rsidR="00605065" w:rsidRPr="003F1AF9" w:rsidRDefault="00605065" w:rsidP="00AA2EAF">
            <w:pPr>
              <w:rPr>
                <w:b/>
                <w:color w:val="FFFFFF" w:themeColor="background1"/>
              </w:rPr>
            </w:pPr>
            <w:r w:rsidRPr="003F1AF9">
              <w:rPr>
                <w:b/>
                <w:color w:val="FFFFFF" w:themeColor="background1"/>
              </w:rPr>
              <w:t xml:space="preserve">Model Input </w:t>
            </w:r>
          </w:p>
        </w:tc>
        <w:tc>
          <w:tcPr>
            <w:tcW w:w="2070" w:type="dxa"/>
            <w:shd w:val="clear" w:color="auto" w:fill="4F81BD" w:themeFill="accent1"/>
            <w:vAlign w:val="center"/>
          </w:tcPr>
          <w:p w14:paraId="78D7033D" w14:textId="77777777" w:rsidR="00605065" w:rsidRPr="003F1AF9" w:rsidRDefault="00605065" w:rsidP="00AA2EAF">
            <w:pPr>
              <w:rPr>
                <w:b/>
                <w:color w:val="FFFFFF" w:themeColor="background1"/>
              </w:rPr>
            </w:pPr>
            <w:r w:rsidRPr="003F1AF9">
              <w:rPr>
                <w:b/>
                <w:color w:val="FFFFFF" w:themeColor="background1"/>
              </w:rPr>
              <w:t>Data Points (#)</w:t>
            </w:r>
          </w:p>
        </w:tc>
        <w:tc>
          <w:tcPr>
            <w:tcW w:w="1083" w:type="dxa"/>
            <w:shd w:val="clear" w:color="auto" w:fill="4F81BD" w:themeFill="accent1"/>
            <w:vAlign w:val="center"/>
          </w:tcPr>
          <w:p w14:paraId="6BA432F8" w14:textId="77777777" w:rsidR="00605065" w:rsidRPr="003F1AF9" w:rsidRDefault="00605065" w:rsidP="00AA2EAF">
            <w:pPr>
              <w:rPr>
                <w:b/>
                <w:color w:val="FFFFFF" w:themeColor="background1"/>
              </w:rPr>
            </w:pPr>
            <w:r w:rsidRPr="003F1AF9">
              <w:rPr>
                <w:b/>
                <w:color w:val="FFFFFF" w:themeColor="background1"/>
              </w:rPr>
              <w:t>Sources (#)</w:t>
            </w:r>
          </w:p>
        </w:tc>
      </w:tr>
      <w:tr w:rsidR="003B5485" w:rsidRPr="003F1AF9" w14:paraId="36425581" w14:textId="77777777" w:rsidTr="0055612F">
        <w:trPr>
          <w:jc w:val="center"/>
        </w:trPr>
        <w:tc>
          <w:tcPr>
            <w:tcW w:w="1435" w:type="dxa"/>
            <w:vAlign w:val="center"/>
          </w:tcPr>
          <w:p w14:paraId="76325E15" w14:textId="77777777" w:rsidR="003B5485" w:rsidRPr="003F1AF9" w:rsidRDefault="003B5485" w:rsidP="003B5485">
            <w:pPr>
              <w:spacing w:after="0"/>
              <w:jc w:val="left"/>
            </w:pPr>
            <w:r w:rsidRPr="003F1AF9">
              <w:t>Global average REF Grid Emissions Factor</w:t>
            </w:r>
          </w:p>
        </w:tc>
        <w:tc>
          <w:tcPr>
            <w:tcW w:w="1260" w:type="dxa"/>
            <w:tcMar>
              <w:left w:w="29" w:type="dxa"/>
              <w:right w:w="29" w:type="dxa"/>
            </w:tcMar>
            <w:vAlign w:val="center"/>
          </w:tcPr>
          <w:p w14:paraId="05503F79" w14:textId="77777777" w:rsidR="003B5485" w:rsidRPr="003F1AF9" w:rsidRDefault="003B5485" w:rsidP="003B5485">
            <w:pPr>
              <w:spacing w:after="0"/>
              <w:jc w:val="center"/>
            </w:pPr>
            <w:r w:rsidRPr="003F1AF9">
              <w:t>g CO</w:t>
            </w:r>
            <w:r w:rsidRPr="003F1AF9">
              <w:rPr>
                <w:vertAlign w:val="subscript"/>
              </w:rPr>
              <w:t>2</w:t>
            </w:r>
            <w:r w:rsidRPr="003F1AF9">
              <w:t>e/kWh</w:t>
            </w:r>
          </w:p>
        </w:tc>
        <w:tc>
          <w:tcPr>
            <w:tcW w:w="1260" w:type="dxa"/>
            <w:vAlign w:val="center"/>
          </w:tcPr>
          <w:p w14:paraId="729FB163" w14:textId="2A804641" w:rsidR="003B5485" w:rsidRPr="003F1AF9" w:rsidRDefault="003B5485" w:rsidP="003B5485">
            <w:pPr>
              <w:spacing w:after="0"/>
              <w:jc w:val="center"/>
            </w:pPr>
            <w:r>
              <w:t>503</w:t>
            </w:r>
            <w:r w:rsidRPr="000A20C1">
              <w:t>-</w:t>
            </w:r>
            <w:r>
              <w:t>593</w:t>
            </w:r>
          </w:p>
        </w:tc>
        <w:tc>
          <w:tcPr>
            <w:tcW w:w="2070" w:type="dxa"/>
            <w:vAlign w:val="center"/>
          </w:tcPr>
          <w:p w14:paraId="73651826" w14:textId="4CCDBF5F" w:rsidR="003B5485" w:rsidRPr="003F1AF9" w:rsidRDefault="003B5485" w:rsidP="003B5485">
            <w:pPr>
              <w:spacing w:after="0"/>
              <w:jc w:val="center"/>
            </w:pPr>
            <w:r w:rsidRPr="000A20C1">
              <w:t>Depends on year. Starts at High Input in 2020</w:t>
            </w:r>
            <w:r w:rsidR="0081293A">
              <w:t xml:space="preserve"> &amp;</w:t>
            </w:r>
            <w:r w:rsidRPr="000A20C1">
              <w:t xml:space="preserve"> declines to Low Input in 2050</w:t>
            </w:r>
            <w:r>
              <w:t xml:space="preserve"> to represent the decarbonization of the grid in the reference.</w:t>
            </w:r>
          </w:p>
        </w:tc>
        <w:tc>
          <w:tcPr>
            <w:tcW w:w="2070" w:type="dxa"/>
            <w:vAlign w:val="center"/>
          </w:tcPr>
          <w:p w14:paraId="085C6D4F" w14:textId="77777777" w:rsidR="003B5485" w:rsidRPr="003F1AF9" w:rsidRDefault="003B5485" w:rsidP="003B5485">
            <w:pPr>
              <w:spacing w:after="0"/>
              <w:jc w:val="center"/>
            </w:pPr>
            <w:r w:rsidRPr="003F1AF9">
              <w:t>12 each year</w:t>
            </w:r>
          </w:p>
        </w:tc>
        <w:tc>
          <w:tcPr>
            <w:tcW w:w="1083" w:type="dxa"/>
            <w:vAlign w:val="center"/>
          </w:tcPr>
          <w:p w14:paraId="5CDA1AC8" w14:textId="77777777" w:rsidR="003B5485" w:rsidRPr="003F1AF9" w:rsidRDefault="003B5485" w:rsidP="003B5485">
            <w:pPr>
              <w:spacing w:after="0"/>
              <w:jc w:val="center"/>
            </w:pPr>
            <w:r w:rsidRPr="003F1AF9">
              <w:t>4</w:t>
            </w:r>
          </w:p>
        </w:tc>
      </w:tr>
      <w:tr w:rsidR="003B5485" w:rsidRPr="003F1AF9" w14:paraId="68113989" w14:textId="77777777" w:rsidTr="0055612F">
        <w:trPr>
          <w:jc w:val="center"/>
        </w:trPr>
        <w:tc>
          <w:tcPr>
            <w:tcW w:w="1435" w:type="dxa"/>
            <w:vAlign w:val="center"/>
          </w:tcPr>
          <w:p w14:paraId="29D71074" w14:textId="77777777" w:rsidR="003B5485" w:rsidRPr="003F1AF9" w:rsidRDefault="003B5485" w:rsidP="003B5485">
            <w:pPr>
              <w:spacing w:after="0"/>
              <w:jc w:val="left"/>
            </w:pPr>
            <w:r w:rsidRPr="003F1AF9">
              <w:t>Combined REF Space Heating &amp; Cooling Fuel Emissions Factor</w:t>
            </w:r>
          </w:p>
        </w:tc>
        <w:tc>
          <w:tcPr>
            <w:tcW w:w="1260" w:type="dxa"/>
            <w:tcMar>
              <w:left w:w="29" w:type="dxa"/>
              <w:right w:w="29" w:type="dxa"/>
            </w:tcMar>
            <w:vAlign w:val="center"/>
          </w:tcPr>
          <w:p w14:paraId="3A9EFCC5" w14:textId="77777777" w:rsidR="003B5485" w:rsidRPr="003F1AF9" w:rsidRDefault="003B5485" w:rsidP="003B5485">
            <w:pPr>
              <w:spacing w:after="0"/>
              <w:jc w:val="center"/>
            </w:pPr>
            <w:r w:rsidRPr="003F1AF9">
              <w:t>t CO</w:t>
            </w:r>
            <w:r w:rsidRPr="003F1AF9">
              <w:rPr>
                <w:vertAlign w:val="subscript"/>
              </w:rPr>
              <w:t>2</w:t>
            </w:r>
            <w:r w:rsidRPr="003F1AF9">
              <w:t>e/TJ of fuel</w:t>
            </w:r>
          </w:p>
        </w:tc>
        <w:tc>
          <w:tcPr>
            <w:tcW w:w="1260" w:type="dxa"/>
            <w:vAlign w:val="center"/>
          </w:tcPr>
          <w:p w14:paraId="0053E81D" w14:textId="07333ADA" w:rsidR="003B5485" w:rsidRPr="003F1AF9" w:rsidRDefault="003B5485" w:rsidP="003B5485">
            <w:pPr>
              <w:spacing w:after="0"/>
              <w:jc w:val="center"/>
            </w:pPr>
            <w:r>
              <w:t>N/A</w:t>
            </w:r>
          </w:p>
        </w:tc>
        <w:tc>
          <w:tcPr>
            <w:tcW w:w="2070" w:type="dxa"/>
            <w:vAlign w:val="center"/>
          </w:tcPr>
          <w:p w14:paraId="2DFC4C25" w14:textId="7480D516" w:rsidR="003B5485" w:rsidRPr="003F1AF9" w:rsidRDefault="003B5485" w:rsidP="003B5485">
            <w:pPr>
              <w:spacing w:after="0"/>
              <w:jc w:val="center"/>
            </w:pPr>
            <w:r>
              <w:t>87.04</w:t>
            </w:r>
          </w:p>
        </w:tc>
        <w:tc>
          <w:tcPr>
            <w:tcW w:w="2070" w:type="dxa"/>
            <w:vAlign w:val="center"/>
          </w:tcPr>
          <w:p w14:paraId="4301F658" w14:textId="77777777" w:rsidR="003B5485" w:rsidRPr="003F1AF9" w:rsidRDefault="003B5485" w:rsidP="003B5485">
            <w:pPr>
              <w:spacing w:after="0"/>
              <w:jc w:val="center"/>
            </w:pPr>
            <w:r w:rsidRPr="003F1AF9">
              <w:t>8 including individual fuel emissions factors and shares</w:t>
            </w:r>
          </w:p>
        </w:tc>
        <w:tc>
          <w:tcPr>
            <w:tcW w:w="1083" w:type="dxa"/>
            <w:vAlign w:val="center"/>
          </w:tcPr>
          <w:p w14:paraId="3D545A19" w14:textId="77777777" w:rsidR="003B5485" w:rsidRPr="003F1AF9" w:rsidRDefault="003B5485" w:rsidP="003B5485">
            <w:pPr>
              <w:spacing w:after="0"/>
              <w:jc w:val="center"/>
            </w:pPr>
            <w:r w:rsidRPr="003F1AF9">
              <w:t>1</w:t>
            </w:r>
          </w:p>
        </w:tc>
      </w:tr>
    </w:tbl>
    <w:p w14:paraId="61FCA589" w14:textId="26A3A9DB" w:rsidR="00605065" w:rsidRPr="003F1AF9" w:rsidRDefault="00605065" w:rsidP="006009B9">
      <w:pPr>
        <w:jc w:val="left"/>
      </w:pPr>
      <w:r w:rsidRPr="003F1AF9">
        <w:rPr>
          <w:sz w:val="20"/>
        </w:rPr>
        <w:t xml:space="preserve">Sources: </w:t>
      </w:r>
      <w:r w:rsidR="008E0EE4" w:rsidRPr="003F1AF9">
        <w:rPr>
          <w:sz w:val="20"/>
        </w:rPr>
        <w:t xml:space="preserve">IEA (2016) ETP, </w:t>
      </w:r>
      <w:r w:rsidR="009B361C" w:rsidRPr="003F1AF9">
        <w:rPr>
          <w:sz w:val="20"/>
        </w:rPr>
        <w:t>AMPERE Public Database (Version 1.0.0) https://secure.iiasa.ac.at/web-apps/ene/AMPEREDB for Models: GEM-E3, IMAGE and MESSAGE</w:t>
      </w:r>
    </w:p>
    <w:p w14:paraId="2A03BAB5" w14:textId="12AFCA2A" w:rsidR="009A2064" w:rsidRPr="003F1AF9" w:rsidRDefault="00686965">
      <w:pPr>
        <w:pStyle w:val="Heading3"/>
      </w:pPr>
      <w:bookmarkStart w:id="448" w:name="_Toc42289723"/>
      <w:r w:rsidRPr="003F1AF9">
        <w:t>Financial Inputs</w:t>
      </w:r>
      <w:bookmarkEnd w:id="448"/>
    </w:p>
    <w:p w14:paraId="237B8A1F" w14:textId="41CA49DB" w:rsidR="00DF5AE8" w:rsidRPr="003F1AF9" w:rsidRDefault="00DF5AE8" w:rsidP="00DF5AE8">
      <w:r w:rsidRPr="003F1AF9">
        <w:t xml:space="preserve">The first costs of </w:t>
      </w:r>
      <w:r w:rsidR="00237CFC" w:rsidRPr="003F1AF9">
        <w:t xml:space="preserve">heat pump </w:t>
      </w:r>
      <w:r w:rsidR="004746F5" w:rsidRPr="003F1AF9">
        <w:t xml:space="preserve">and other HVAC </w:t>
      </w:r>
      <w:r w:rsidRPr="003F1AF9">
        <w:t xml:space="preserve">equipment are equal to the sum of the retail price of the equipment and any material or labor costs necessary for installation. The reported installation costs for conventional and switch technologies are weighted residential and commercial applications. The source for these values comes from the DOE, EIA, IEA, and IRENA. These data are used to benchmark a published learning rate for comparable technologies at 9.61% (Taylor, 2013). Nonetheless, the installation costs for high efficiency heat pumps remain higher (weighted for residential and commercial applications) than conventional equipment. For many installations, first cost increases are mostly due to increased retail costs. For some, especially those going from baseline equipment to maximum efficiency equipment, the installation costs dominate the first cost calculation. The total first costs of all equipment shipped in the </w:t>
      </w:r>
      <w:r w:rsidRPr="003F1AF9">
        <w:lastRenderedPageBreak/>
        <w:t xml:space="preserve">analysis period forms the total first cost for each equipment type. The total first costs of all equipment types for each scenario are then aggregated to form that scenario's total first costs. </w:t>
      </w:r>
      <w:bookmarkStart w:id="449" w:name="_Ref463280515"/>
    </w:p>
    <w:bookmarkEnd w:id="449"/>
    <w:p w14:paraId="556E9E7A" w14:textId="7831CEC4" w:rsidR="00DF5AE8" w:rsidRPr="003F1AF9" w:rsidRDefault="00DF5AE8" w:rsidP="00DF5AE8">
      <w:r w:rsidRPr="003F1AF9">
        <w:t>The average annual use (i.e. TWh (</w:t>
      </w:r>
      <w:proofErr w:type="spellStart"/>
      <w:r w:rsidRPr="003F1AF9">
        <w:t>th</w:t>
      </w:r>
      <w:proofErr w:type="spellEnd"/>
      <w:r w:rsidRPr="003F1AF9">
        <w:t>) per unit installed) is sourced primarily from Shah</w:t>
      </w:r>
      <w:r w:rsidRPr="003F1AF9">
        <w:rPr>
          <w:i/>
        </w:rPr>
        <w:t xml:space="preserve"> et al</w:t>
      </w:r>
      <w:r w:rsidRPr="003F1AF9">
        <w:t xml:space="preserve"> (2015), which presents estimates of residential and commercial HVAC usage for 12 countries representing a range of climate zones. Data is assumed consistent between the conventional and switch technologies.</w:t>
      </w:r>
      <w:r w:rsidR="0078120E">
        <w:t xml:space="preserve"> </w:t>
      </w:r>
    </w:p>
    <w:p w14:paraId="0FC298A6" w14:textId="1A83A041" w:rsidR="00DF5AE8" w:rsidRPr="003F1AF9" w:rsidRDefault="00DF5AE8" w:rsidP="00DF5AE8">
      <w:r w:rsidRPr="003F1AF9">
        <w:t xml:space="preserve">Learning rate is from Taylor (2013), which evaluates the learning curve as </w:t>
      </w:r>
      <w:r w:rsidR="004746F5" w:rsidRPr="003F1AF9">
        <w:t xml:space="preserve">it is </w:t>
      </w:r>
      <w:r w:rsidRPr="003F1AF9">
        <w:t xml:space="preserve">related to regulatory impact analysis targeted at energy efficiency measures. The discount rate is sourced from </w:t>
      </w:r>
      <w:r w:rsidR="00FD0860">
        <w:t>several sources.</w:t>
      </w:r>
      <w:r w:rsidR="0078120E">
        <w:t xml:space="preserve"> </w:t>
      </w:r>
    </w:p>
    <w:p w14:paraId="3766C21E" w14:textId="24325BDB" w:rsidR="00DF5AE8" w:rsidRPr="003F1AF9" w:rsidRDefault="00BD3252" w:rsidP="00DF5AE8">
      <w:pPr>
        <w:rPr>
          <w:bCs/>
        </w:rPr>
      </w:pPr>
      <w:r w:rsidRPr="003F1AF9">
        <w:rPr>
          <w:rFonts w:eastAsia="Times New Roman"/>
        </w:rPr>
        <w:fldChar w:fldCharType="begin"/>
      </w:r>
      <w:r w:rsidRPr="003F1AF9">
        <w:rPr>
          <w:rFonts w:eastAsia="Times New Roman"/>
        </w:rPr>
        <w:instrText xml:space="preserve"> REF _Ref536182658 \h </w:instrText>
      </w:r>
      <w:r w:rsidRPr="003F1AF9">
        <w:rPr>
          <w:rFonts w:eastAsia="Times New Roman"/>
        </w:rPr>
      </w:r>
      <w:r w:rsidRPr="003F1AF9">
        <w:rPr>
          <w:rFonts w:eastAsia="Times New Roman"/>
        </w:rPr>
        <w:fldChar w:fldCharType="separate"/>
      </w:r>
      <w:r w:rsidR="00E60668" w:rsidRPr="003F1AF9">
        <w:t xml:space="preserve">Table </w:t>
      </w:r>
      <w:r w:rsidR="00E60668">
        <w:rPr>
          <w:noProof/>
        </w:rPr>
        <w:t>2</w:t>
      </w:r>
      <w:r w:rsidR="00E60668" w:rsidRPr="003F1AF9">
        <w:t>.</w:t>
      </w:r>
      <w:r w:rsidR="00E60668">
        <w:rPr>
          <w:noProof/>
        </w:rPr>
        <w:t>6</w:t>
      </w:r>
      <w:r w:rsidRPr="003F1AF9">
        <w:rPr>
          <w:rFonts w:eastAsia="Times New Roman"/>
        </w:rPr>
        <w:fldChar w:fldCharType="end"/>
      </w:r>
      <w:r w:rsidRPr="003F1AF9">
        <w:rPr>
          <w:rFonts w:eastAsia="Times New Roman"/>
        </w:rPr>
        <w:t xml:space="preserve"> </w:t>
      </w:r>
      <w:r w:rsidR="00DF5AE8" w:rsidRPr="003F1AF9">
        <w:rPr>
          <w:bCs/>
        </w:rPr>
        <w:t xml:space="preserve">and </w:t>
      </w:r>
      <w:r w:rsidRPr="003F1AF9">
        <w:rPr>
          <w:bCs/>
        </w:rPr>
        <w:fldChar w:fldCharType="begin"/>
      </w:r>
      <w:r w:rsidRPr="003F1AF9">
        <w:rPr>
          <w:bCs/>
        </w:rPr>
        <w:instrText xml:space="preserve"> REF _Ref536182703 \h </w:instrText>
      </w:r>
      <w:r w:rsidRPr="003F1AF9">
        <w:rPr>
          <w:bCs/>
        </w:rPr>
      </w:r>
      <w:r w:rsidRPr="003F1AF9">
        <w:rPr>
          <w:bCs/>
        </w:rPr>
        <w:fldChar w:fldCharType="separate"/>
      </w:r>
      <w:r w:rsidR="00E60668" w:rsidRPr="003F1AF9">
        <w:t xml:space="preserve">Table </w:t>
      </w:r>
      <w:r w:rsidR="00E60668">
        <w:rPr>
          <w:noProof/>
        </w:rPr>
        <w:t>2</w:t>
      </w:r>
      <w:r w:rsidR="00E60668" w:rsidRPr="003F1AF9">
        <w:t>.</w:t>
      </w:r>
      <w:r w:rsidR="00E60668">
        <w:rPr>
          <w:noProof/>
        </w:rPr>
        <w:t>7</w:t>
      </w:r>
      <w:r w:rsidRPr="003F1AF9">
        <w:rPr>
          <w:bCs/>
        </w:rPr>
        <w:fldChar w:fldCharType="end"/>
      </w:r>
      <w:r w:rsidRPr="003F1AF9">
        <w:rPr>
          <w:bCs/>
        </w:rPr>
        <w:t xml:space="preserve"> </w:t>
      </w:r>
      <w:r w:rsidR="00DF5AE8" w:rsidRPr="003F1AF9">
        <w:rPr>
          <w:bCs/>
        </w:rPr>
        <w:t xml:space="preserve">show the model inputs used to calculate the financial costs and savings annually for heat pump adoption. </w:t>
      </w:r>
    </w:p>
    <w:p w14:paraId="0152846E" w14:textId="2AD8330D" w:rsidR="005110E8" w:rsidRPr="003F1AF9" w:rsidRDefault="005110E8" w:rsidP="0055612F">
      <w:pPr>
        <w:pStyle w:val="Caption"/>
        <w:keepNext/>
        <w:jc w:val="center"/>
      </w:pPr>
      <w:bookmarkStart w:id="450" w:name="_Ref536182658"/>
      <w:bookmarkStart w:id="451" w:name="_Toc42289755"/>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2</w:t>
      </w:r>
      <w:r w:rsidR="00C0437B" w:rsidRPr="003F1AF9">
        <w:rPr>
          <w:noProof/>
        </w:rPr>
        <w:fldChar w:fldCharType="end"/>
      </w:r>
      <w:r w:rsidR="00905204"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6</w:t>
      </w:r>
      <w:r w:rsidR="00C0437B" w:rsidRPr="003F1AF9">
        <w:rPr>
          <w:noProof/>
        </w:rPr>
        <w:fldChar w:fldCharType="end"/>
      </w:r>
      <w:bookmarkEnd w:id="450"/>
      <w:r w:rsidRPr="003F1AF9">
        <w:t xml:space="preserve"> Financial Inputs for the Conventional Technology</w:t>
      </w:r>
      <w:bookmarkEnd w:id="451"/>
    </w:p>
    <w:tbl>
      <w:tblPr>
        <w:tblStyle w:val="TableGrid"/>
        <w:tblW w:w="10007" w:type="dxa"/>
        <w:tblLayout w:type="fixed"/>
        <w:tblLook w:val="04A0" w:firstRow="1" w:lastRow="0" w:firstColumn="1" w:lastColumn="0" w:noHBand="0" w:noVBand="1"/>
      </w:tblPr>
      <w:tblGrid>
        <w:gridCol w:w="1818"/>
        <w:gridCol w:w="1170"/>
        <w:gridCol w:w="1890"/>
        <w:gridCol w:w="1226"/>
        <w:gridCol w:w="1496"/>
        <w:gridCol w:w="2407"/>
      </w:tblGrid>
      <w:tr w:rsidR="00907456" w:rsidRPr="003F1AF9" w14:paraId="39A32B0C" w14:textId="77777777" w:rsidTr="00132E27">
        <w:trPr>
          <w:cantSplit/>
          <w:tblHeader/>
        </w:trPr>
        <w:tc>
          <w:tcPr>
            <w:tcW w:w="1818" w:type="dxa"/>
            <w:shd w:val="clear" w:color="auto" w:fill="4F81BD" w:themeFill="accent1"/>
            <w:vAlign w:val="center"/>
          </w:tcPr>
          <w:p w14:paraId="1AB9D903" w14:textId="77777777" w:rsidR="00DF5AE8" w:rsidRPr="003F1AF9" w:rsidRDefault="00DF5AE8" w:rsidP="0055612F">
            <w:pPr>
              <w:spacing w:after="0"/>
              <w:jc w:val="center"/>
              <w:rPr>
                <w:b/>
                <w:color w:val="FFFFFF" w:themeColor="background1"/>
              </w:rPr>
            </w:pPr>
            <w:r w:rsidRPr="003F1AF9">
              <w:rPr>
                <w:b/>
                <w:color w:val="FFFFFF" w:themeColor="background1"/>
              </w:rPr>
              <w:t>Variable</w:t>
            </w:r>
          </w:p>
        </w:tc>
        <w:tc>
          <w:tcPr>
            <w:tcW w:w="1170" w:type="dxa"/>
            <w:shd w:val="clear" w:color="auto" w:fill="4F81BD" w:themeFill="accent1"/>
            <w:vAlign w:val="center"/>
          </w:tcPr>
          <w:p w14:paraId="66C70C59" w14:textId="77777777" w:rsidR="00DF5AE8" w:rsidRPr="003F1AF9" w:rsidRDefault="00DF5AE8" w:rsidP="0055612F">
            <w:pPr>
              <w:spacing w:after="0"/>
              <w:jc w:val="center"/>
              <w:rPr>
                <w:b/>
                <w:color w:val="FFFFFF" w:themeColor="background1"/>
              </w:rPr>
            </w:pPr>
            <w:r w:rsidRPr="003F1AF9">
              <w:rPr>
                <w:b/>
                <w:color w:val="FFFFFF" w:themeColor="background1"/>
              </w:rPr>
              <w:t>Unit</w:t>
            </w:r>
          </w:p>
        </w:tc>
        <w:tc>
          <w:tcPr>
            <w:tcW w:w="1890" w:type="dxa"/>
            <w:shd w:val="clear" w:color="auto" w:fill="4F81BD" w:themeFill="accent1"/>
            <w:vAlign w:val="center"/>
          </w:tcPr>
          <w:p w14:paraId="7D319E60" w14:textId="11A1535D" w:rsidR="00DF5AE8" w:rsidRPr="003F1AF9" w:rsidRDefault="00BA3504" w:rsidP="0055612F">
            <w:pPr>
              <w:spacing w:after="0"/>
              <w:jc w:val="center"/>
              <w:rPr>
                <w:b/>
                <w:color w:val="FFFFFF" w:themeColor="background1"/>
              </w:rPr>
            </w:pPr>
            <w:r>
              <w:rPr>
                <w:b/>
                <w:color w:val="FFFFFF" w:themeColor="background1"/>
              </w:rPr>
              <w:t xml:space="preserve">Full </w:t>
            </w:r>
            <w:r w:rsidR="00DF5AE8" w:rsidRPr="003F1AF9">
              <w:rPr>
                <w:b/>
                <w:color w:val="FFFFFF" w:themeColor="background1"/>
              </w:rPr>
              <w:t>Project Drawdown Data Set Range</w:t>
            </w:r>
          </w:p>
        </w:tc>
        <w:tc>
          <w:tcPr>
            <w:tcW w:w="1226" w:type="dxa"/>
            <w:shd w:val="clear" w:color="auto" w:fill="4F81BD" w:themeFill="accent1"/>
            <w:vAlign w:val="center"/>
          </w:tcPr>
          <w:p w14:paraId="7395C63A" w14:textId="1F324448" w:rsidR="00DF5AE8" w:rsidRPr="003F1AF9" w:rsidRDefault="00DF5AE8" w:rsidP="0055612F">
            <w:pPr>
              <w:spacing w:after="0"/>
              <w:jc w:val="center"/>
              <w:rPr>
                <w:b/>
                <w:color w:val="FFFFFF" w:themeColor="background1"/>
              </w:rPr>
            </w:pPr>
            <w:r w:rsidRPr="003F1AF9">
              <w:rPr>
                <w:b/>
                <w:color w:val="FFFFFF" w:themeColor="background1"/>
              </w:rPr>
              <w:t>Model Input</w:t>
            </w:r>
          </w:p>
        </w:tc>
        <w:tc>
          <w:tcPr>
            <w:tcW w:w="1496" w:type="dxa"/>
            <w:shd w:val="clear" w:color="auto" w:fill="4F81BD" w:themeFill="accent1"/>
            <w:vAlign w:val="center"/>
          </w:tcPr>
          <w:p w14:paraId="53E29AED" w14:textId="77777777" w:rsidR="00DF5AE8" w:rsidRPr="003F1AF9" w:rsidRDefault="00DF5AE8" w:rsidP="0055612F">
            <w:pPr>
              <w:spacing w:after="0"/>
              <w:jc w:val="center"/>
              <w:rPr>
                <w:b/>
                <w:color w:val="FFFFFF" w:themeColor="background1"/>
              </w:rPr>
            </w:pPr>
            <w:r w:rsidRPr="003F1AF9">
              <w:rPr>
                <w:b/>
                <w:color w:val="FFFFFF" w:themeColor="background1"/>
              </w:rPr>
              <w:t>Data Points (#)</w:t>
            </w:r>
          </w:p>
        </w:tc>
        <w:tc>
          <w:tcPr>
            <w:tcW w:w="2407" w:type="dxa"/>
            <w:shd w:val="clear" w:color="auto" w:fill="4F81BD" w:themeFill="accent1"/>
            <w:vAlign w:val="center"/>
          </w:tcPr>
          <w:p w14:paraId="375E59AE" w14:textId="77777777" w:rsidR="00DF5AE8" w:rsidRPr="003F1AF9" w:rsidRDefault="00DF5AE8" w:rsidP="0055612F">
            <w:pPr>
              <w:spacing w:after="0"/>
              <w:jc w:val="center"/>
              <w:rPr>
                <w:b/>
                <w:color w:val="FFFFFF" w:themeColor="background1"/>
              </w:rPr>
            </w:pPr>
            <w:r w:rsidRPr="003F1AF9">
              <w:rPr>
                <w:b/>
                <w:color w:val="FFFFFF" w:themeColor="background1"/>
              </w:rPr>
              <w:t>Sources (#)</w:t>
            </w:r>
          </w:p>
        </w:tc>
      </w:tr>
      <w:tr w:rsidR="00907456" w:rsidRPr="003F1AF9" w14:paraId="0D6D1C07" w14:textId="77777777" w:rsidTr="00132E27">
        <w:trPr>
          <w:cantSplit/>
        </w:trPr>
        <w:tc>
          <w:tcPr>
            <w:tcW w:w="1818" w:type="dxa"/>
            <w:vAlign w:val="center"/>
          </w:tcPr>
          <w:p w14:paraId="43B74619" w14:textId="77777777" w:rsidR="00DF5AE8" w:rsidRPr="003F1AF9" w:rsidRDefault="00DF5AE8">
            <w:pPr>
              <w:spacing w:after="0"/>
              <w:jc w:val="left"/>
            </w:pPr>
            <w:r w:rsidRPr="003F1AF9">
              <w:t>Installation Cost/ First Cost</w:t>
            </w:r>
          </w:p>
        </w:tc>
        <w:tc>
          <w:tcPr>
            <w:tcW w:w="1170" w:type="dxa"/>
            <w:tcMar>
              <w:left w:w="29" w:type="dxa"/>
              <w:right w:w="29" w:type="dxa"/>
            </w:tcMar>
            <w:vAlign w:val="center"/>
          </w:tcPr>
          <w:p w14:paraId="690905A5" w14:textId="77777777" w:rsidR="00DF5AE8" w:rsidRPr="003F1AF9" w:rsidRDefault="00DF5AE8" w:rsidP="0055612F">
            <w:pPr>
              <w:spacing w:after="0"/>
              <w:jc w:val="center"/>
            </w:pPr>
            <w:r w:rsidRPr="003F1AF9">
              <w:t>US$2014/ unit</w:t>
            </w:r>
          </w:p>
        </w:tc>
        <w:tc>
          <w:tcPr>
            <w:tcW w:w="1890" w:type="dxa"/>
            <w:vAlign w:val="center"/>
          </w:tcPr>
          <w:p w14:paraId="1A2A7F9B" w14:textId="65C7289D" w:rsidR="00DF5AE8" w:rsidRPr="003F1AF9" w:rsidRDefault="0071523F" w:rsidP="0055612F">
            <w:pPr>
              <w:spacing w:after="0"/>
              <w:jc w:val="center"/>
            </w:pPr>
            <w:r w:rsidRPr="003F1AF9">
              <w:t>6</w:t>
            </w:r>
            <w:r w:rsidR="004B236B" w:rsidRPr="003F1AF9">
              <w:t>18</w:t>
            </w:r>
            <w:r w:rsidRPr="003F1AF9">
              <w:t>-51</w:t>
            </w:r>
            <w:r w:rsidR="00793CF5">
              <w:t>,</w:t>
            </w:r>
            <w:r w:rsidRPr="003F1AF9">
              <w:t>429</w:t>
            </w:r>
          </w:p>
        </w:tc>
        <w:tc>
          <w:tcPr>
            <w:tcW w:w="1226" w:type="dxa"/>
            <w:vAlign w:val="center"/>
          </w:tcPr>
          <w:p w14:paraId="6B6E3007" w14:textId="3B78459C" w:rsidR="00DF5AE8" w:rsidRPr="003F1AF9" w:rsidRDefault="0071523F" w:rsidP="0055612F">
            <w:pPr>
              <w:spacing w:after="0"/>
              <w:jc w:val="center"/>
            </w:pPr>
            <w:r w:rsidRPr="003F1AF9">
              <w:t>7</w:t>
            </w:r>
            <w:r w:rsidR="00793CF5">
              <w:t>,</w:t>
            </w:r>
            <w:r w:rsidRPr="003F1AF9">
              <w:t>915</w:t>
            </w:r>
          </w:p>
        </w:tc>
        <w:tc>
          <w:tcPr>
            <w:tcW w:w="1496" w:type="dxa"/>
            <w:vAlign w:val="center"/>
          </w:tcPr>
          <w:p w14:paraId="7D356AC2" w14:textId="4063ED48" w:rsidR="00DF5AE8" w:rsidRPr="003F1AF9" w:rsidRDefault="004B236B" w:rsidP="0055612F">
            <w:pPr>
              <w:spacing w:after="0"/>
              <w:jc w:val="center"/>
            </w:pPr>
            <w:r w:rsidRPr="003F1AF9">
              <w:t>28</w:t>
            </w:r>
          </w:p>
        </w:tc>
        <w:tc>
          <w:tcPr>
            <w:tcW w:w="2407" w:type="dxa"/>
            <w:vAlign w:val="center"/>
          </w:tcPr>
          <w:p w14:paraId="054D9C2D" w14:textId="5492C310" w:rsidR="00DF5AE8" w:rsidRPr="003F1AF9" w:rsidRDefault="00DF5AE8" w:rsidP="0055612F">
            <w:pPr>
              <w:spacing w:after="0"/>
              <w:jc w:val="center"/>
            </w:pPr>
            <w:r w:rsidRPr="003F1AF9">
              <w:t>2</w:t>
            </w:r>
            <w:r w:rsidR="0071523F" w:rsidRPr="003F1AF9">
              <w:t xml:space="preserve"> </w:t>
            </w:r>
          </w:p>
        </w:tc>
      </w:tr>
      <w:tr w:rsidR="00907456" w:rsidRPr="003F1AF9" w14:paraId="4E91FEDB" w14:textId="77777777" w:rsidTr="00132E27">
        <w:trPr>
          <w:cantSplit/>
        </w:trPr>
        <w:tc>
          <w:tcPr>
            <w:tcW w:w="1818" w:type="dxa"/>
            <w:vAlign w:val="center"/>
          </w:tcPr>
          <w:p w14:paraId="2DD8FC6E" w14:textId="667253DF" w:rsidR="00DF5AE8" w:rsidRPr="003F1AF9" w:rsidRDefault="00DF5AE8">
            <w:pPr>
              <w:spacing w:after="0"/>
              <w:jc w:val="left"/>
            </w:pPr>
            <w:r w:rsidRPr="003F1AF9">
              <w:t>Annual Fixed Operating Cost</w:t>
            </w:r>
          </w:p>
        </w:tc>
        <w:tc>
          <w:tcPr>
            <w:tcW w:w="1170" w:type="dxa"/>
            <w:tcMar>
              <w:left w:w="29" w:type="dxa"/>
              <w:right w:w="29" w:type="dxa"/>
            </w:tcMar>
            <w:vAlign w:val="center"/>
          </w:tcPr>
          <w:p w14:paraId="7858D12A" w14:textId="77777777" w:rsidR="00DF5AE8" w:rsidRPr="003F1AF9" w:rsidRDefault="00DF5AE8" w:rsidP="0055612F">
            <w:pPr>
              <w:spacing w:after="0"/>
              <w:jc w:val="center"/>
            </w:pPr>
            <w:r w:rsidRPr="003F1AF9">
              <w:t xml:space="preserve">US$2014/ unit/ </w:t>
            </w:r>
            <w:proofErr w:type="spellStart"/>
            <w:r w:rsidRPr="003F1AF9">
              <w:t>yr</w:t>
            </w:r>
            <w:proofErr w:type="spellEnd"/>
          </w:p>
        </w:tc>
        <w:tc>
          <w:tcPr>
            <w:tcW w:w="1890" w:type="dxa"/>
            <w:vAlign w:val="center"/>
          </w:tcPr>
          <w:p w14:paraId="025D23DC" w14:textId="246DEEDF" w:rsidR="00DF5AE8" w:rsidRPr="003F1AF9" w:rsidRDefault="0071523F" w:rsidP="0055612F">
            <w:pPr>
              <w:spacing w:after="0"/>
              <w:jc w:val="center"/>
            </w:pPr>
            <w:r w:rsidRPr="003F1AF9">
              <w:t>38.62-2</w:t>
            </w:r>
            <w:r w:rsidR="00793CF5">
              <w:t>,</w:t>
            </w:r>
            <w:r w:rsidRPr="003F1AF9">
              <w:t>221</w:t>
            </w:r>
          </w:p>
        </w:tc>
        <w:tc>
          <w:tcPr>
            <w:tcW w:w="1226" w:type="dxa"/>
            <w:vAlign w:val="center"/>
          </w:tcPr>
          <w:p w14:paraId="4A355C1A" w14:textId="04A6AEC8" w:rsidR="00DF5AE8" w:rsidRPr="003F1AF9" w:rsidRDefault="0071523F" w:rsidP="0055612F">
            <w:pPr>
              <w:spacing w:after="0"/>
              <w:jc w:val="center"/>
            </w:pPr>
            <w:r w:rsidRPr="003F1AF9">
              <w:t>280.32</w:t>
            </w:r>
          </w:p>
        </w:tc>
        <w:tc>
          <w:tcPr>
            <w:tcW w:w="1496" w:type="dxa"/>
            <w:vAlign w:val="center"/>
          </w:tcPr>
          <w:p w14:paraId="7C1B3F97" w14:textId="77777777" w:rsidR="00DF5AE8" w:rsidRPr="003F1AF9" w:rsidRDefault="00DF5AE8" w:rsidP="0055612F">
            <w:pPr>
              <w:spacing w:after="0"/>
              <w:jc w:val="center"/>
            </w:pPr>
            <w:r w:rsidRPr="003F1AF9">
              <w:t>12</w:t>
            </w:r>
          </w:p>
        </w:tc>
        <w:tc>
          <w:tcPr>
            <w:tcW w:w="2407" w:type="dxa"/>
            <w:vAlign w:val="center"/>
          </w:tcPr>
          <w:p w14:paraId="3C637526" w14:textId="1D5229D6" w:rsidR="00DF5AE8" w:rsidRPr="003F1AF9" w:rsidRDefault="00DF5AE8" w:rsidP="0055612F">
            <w:pPr>
              <w:spacing w:after="0"/>
              <w:jc w:val="center"/>
            </w:pPr>
            <w:r w:rsidRPr="003F1AF9">
              <w:t>1</w:t>
            </w:r>
          </w:p>
        </w:tc>
      </w:tr>
      <w:tr w:rsidR="003B5485" w:rsidRPr="003F1AF9" w14:paraId="2A0DD817" w14:textId="77777777" w:rsidTr="00132E27">
        <w:trPr>
          <w:cantSplit/>
        </w:trPr>
        <w:tc>
          <w:tcPr>
            <w:tcW w:w="1818" w:type="dxa"/>
            <w:vAlign w:val="center"/>
          </w:tcPr>
          <w:p w14:paraId="51EAFF69" w14:textId="77777777" w:rsidR="003B5485" w:rsidRPr="003F1AF9" w:rsidRDefault="003B5485" w:rsidP="003B5485">
            <w:pPr>
              <w:spacing w:after="0"/>
              <w:jc w:val="left"/>
            </w:pPr>
            <w:r w:rsidRPr="003F1AF9">
              <w:t>Annual Fuel Cost</w:t>
            </w:r>
          </w:p>
        </w:tc>
        <w:tc>
          <w:tcPr>
            <w:tcW w:w="1170" w:type="dxa"/>
            <w:tcMar>
              <w:left w:w="29" w:type="dxa"/>
              <w:right w:w="29" w:type="dxa"/>
            </w:tcMar>
            <w:vAlign w:val="center"/>
          </w:tcPr>
          <w:p w14:paraId="3F552F8B" w14:textId="77777777" w:rsidR="003B5485" w:rsidRPr="003F1AF9" w:rsidRDefault="003B5485" w:rsidP="003B5485">
            <w:pPr>
              <w:spacing w:after="0"/>
              <w:jc w:val="center"/>
            </w:pPr>
            <w:r w:rsidRPr="003F1AF9">
              <w:t>US$2014/ MWh (</w:t>
            </w:r>
            <w:proofErr w:type="spellStart"/>
            <w:r w:rsidRPr="003F1AF9">
              <w:t>th</w:t>
            </w:r>
            <w:proofErr w:type="spellEnd"/>
            <w:r w:rsidRPr="003F1AF9">
              <w:t>)*</w:t>
            </w:r>
          </w:p>
        </w:tc>
        <w:tc>
          <w:tcPr>
            <w:tcW w:w="1890" w:type="dxa"/>
            <w:vAlign w:val="center"/>
          </w:tcPr>
          <w:p w14:paraId="420DBD84" w14:textId="33D83392" w:rsidR="003B5485" w:rsidRPr="003F1AF9" w:rsidRDefault="003B5485" w:rsidP="003B5485">
            <w:pPr>
              <w:spacing w:after="0"/>
              <w:jc w:val="center"/>
            </w:pPr>
            <w:r>
              <w:t>71.5</w:t>
            </w:r>
          </w:p>
        </w:tc>
        <w:tc>
          <w:tcPr>
            <w:tcW w:w="1226" w:type="dxa"/>
            <w:vAlign w:val="center"/>
          </w:tcPr>
          <w:p w14:paraId="242C3883" w14:textId="7C033B19" w:rsidR="003B5485" w:rsidRPr="003F1AF9" w:rsidRDefault="003B5485" w:rsidP="003B5485">
            <w:pPr>
              <w:spacing w:after="0"/>
              <w:jc w:val="center"/>
            </w:pPr>
            <w:r>
              <w:t>71.5</w:t>
            </w:r>
          </w:p>
        </w:tc>
        <w:tc>
          <w:tcPr>
            <w:tcW w:w="1496" w:type="dxa"/>
            <w:vAlign w:val="center"/>
          </w:tcPr>
          <w:p w14:paraId="4F80BEF9" w14:textId="77777777" w:rsidR="003B5485" w:rsidRPr="003F1AF9" w:rsidRDefault="003B5485" w:rsidP="003B5485">
            <w:pPr>
              <w:spacing w:after="0"/>
              <w:jc w:val="center"/>
            </w:pPr>
            <w:r w:rsidRPr="003F1AF9">
              <w:t>1</w:t>
            </w:r>
          </w:p>
        </w:tc>
        <w:tc>
          <w:tcPr>
            <w:tcW w:w="2407" w:type="dxa"/>
            <w:vAlign w:val="center"/>
          </w:tcPr>
          <w:p w14:paraId="192B37F1" w14:textId="77777777" w:rsidR="003B5485" w:rsidRPr="003F1AF9" w:rsidRDefault="003B5485" w:rsidP="003B5485">
            <w:pPr>
              <w:spacing w:after="0"/>
              <w:jc w:val="center"/>
            </w:pPr>
            <w:r w:rsidRPr="003F1AF9">
              <w:t>Derived from other inputs</w:t>
            </w:r>
          </w:p>
        </w:tc>
      </w:tr>
      <w:tr w:rsidR="003B5485" w:rsidRPr="003F1AF9" w14:paraId="681B9FD0" w14:textId="77777777" w:rsidTr="00132E27">
        <w:trPr>
          <w:cantSplit/>
        </w:trPr>
        <w:tc>
          <w:tcPr>
            <w:tcW w:w="1818" w:type="dxa"/>
            <w:vAlign w:val="center"/>
          </w:tcPr>
          <w:p w14:paraId="7027C564" w14:textId="77777777" w:rsidR="003B5485" w:rsidRPr="003F1AF9" w:rsidRDefault="003B5485" w:rsidP="003B5485">
            <w:pPr>
              <w:spacing w:after="0"/>
              <w:jc w:val="left"/>
            </w:pPr>
            <w:r w:rsidRPr="003F1AF9">
              <w:t>Discount Rate for Future Cash flows</w:t>
            </w:r>
          </w:p>
        </w:tc>
        <w:tc>
          <w:tcPr>
            <w:tcW w:w="1170" w:type="dxa"/>
            <w:tcMar>
              <w:left w:w="29" w:type="dxa"/>
              <w:right w:w="29" w:type="dxa"/>
            </w:tcMar>
            <w:vAlign w:val="center"/>
          </w:tcPr>
          <w:p w14:paraId="40CC81C4" w14:textId="77777777" w:rsidR="003B5485" w:rsidRPr="003F1AF9" w:rsidRDefault="003B5485" w:rsidP="003B5485">
            <w:pPr>
              <w:spacing w:after="0"/>
              <w:jc w:val="center"/>
            </w:pPr>
            <w:r w:rsidRPr="003F1AF9">
              <w:t>percent</w:t>
            </w:r>
          </w:p>
        </w:tc>
        <w:tc>
          <w:tcPr>
            <w:tcW w:w="1890" w:type="dxa"/>
            <w:vAlign w:val="center"/>
          </w:tcPr>
          <w:p w14:paraId="009B2063" w14:textId="33A22CA1" w:rsidR="003B5485" w:rsidRPr="003F1AF9" w:rsidRDefault="003B5485" w:rsidP="003B5485">
            <w:pPr>
              <w:spacing w:after="0"/>
              <w:jc w:val="center"/>
            </w:pPr>
            <w:r>
              <w:t>3-15</w:t>
            </w:r>
          </w:p>
        </w:tc>
        <w:tc>
          <w:tcPr>
            <w:tcW w:w="1226" w:type="dxa"/>
            <w:vAlign w:val="center"/>
          </w:tcPr>
          <w:p w14:paraId="5A3623D2" w14:textId="0A97C72B" w:rsidR="003B5485" w:rsidRPr="003F1AF9" w:rsidRDefault="003B5485" w:rsidP="003B5485">
            <w:pPr>
              <w:spacing w:after="0"/>
              <w:jc w:val="center"/>
            </w:pPr>
            <w:r w:rsidRPr="003F1AF9">
              <w:t>5.37</w:t>
            </w:r>
          </w:p>
        </w:tc>
        <w:tc>
          <w:tcPr>
            <w:tcW w:w="1496" w:type="dxa"/>
            <w:vAlign w:val="center"/>
          </w:tcPr>
          <w:p w14:paraId="6A090F6C" w14:textId="77777777" w:rsidR="003B5485" w:rsidRPr="003F1AF9" w:rsidRDefault="003B5485" w:rsidP="003B5485">
            <w:pPr>
              <w:spacing w:after="0"/>
              <w:jc w:val="center"/>
            </w:pPr>
            <w:r w:rsidRPr="003F1AF9">
              <w:t>20</w:t>
            </w:r>
          </w:p>
        </w:tc>
        <w:tc>
          <w:tcPr>
            <w:tcW w:w="2407" w:type="dxa"/>
            <w:vAlign w:val="center"/>
          </w:tcPr>
          <w:p w14:paraId="78A18942" w14:textId="77777777" w:rsidR="003B5485" w:rsidRPr="003F1AF9" w:rsidRDefault="003B5485" w:rsidP="003B5485">
            <w:pPr>
              <w:spacing w:after="0"/>
              <w:jc w:val="center"/>
            </w:pPr>
            <w:r w:rsidRPr="003F1AF9">
              <w:t>9</w:t>
            </w:r>
          </w:p>
        </w:tc>
      </w:tr>
      <w:tr w:rsidR="003B5485" w:rsidRPr="003F1AF9" w14:paraId="1A724B59" w14:textId="77777777" w:rsidTr="00132E27">
        <w:trPr>
          <w:cantSplit/>
        </w:trPr>
        <w:tc>
          <w:tcPr>
            <w:tcW w:w="1818" w:type="dxa"/>
            <w:vAlign w:val="center"/>
          </w:tcPr>
          <w:p w14:paraId="21AD1185" w14:textId="692719EB" w:rsidR="003B5485" w:rsidRPr="003F1AF9" w:rsidRDefault="003B5485" w:rsidP="003B5485">
            <w:pPr>
              <w:spacing w:after="0"/>
              <w:jc w:val="left"/>
            </w:pPr>
            <w:r w:rsidRPr="003F1AF9">
              <w:t>Commercial Electricity Cost</w:t>
            </w:r>
          </w:p>
        </w:tc>
        <w:tc>
          <w:tcPr>
            <w:tcW w:w="1170" w:type="dxa"/>
            <w:tcMar>
              <w:left w:w="29" w:type="dxa"/>
              <w:right w:w="29" w:type="dxa"/>
            </w:tcMar>
            <w:vAlign w:val="center"/>
          </w:tcPr>
          <w:p w14:paraId="0785EE91" w14:textId="56ED53CD" w:rsidR="003B5485" w:rsidRPr="003F1AF9" w:rsidRDefault="003B5485" w:rsidP="003B5485">
            <w:pPr>
              <w:spacing w:after="0"/>
              <w:jc w:val="center"/>
            </w:pPr>
            <w:r w:rsidRPr="003F1AF9">
              <w:t>US$2014/ kWh</w:t>
            </w:r>
          </w:p>
        </w:tc>
        <w:tc>
          <w:tcPr>
            <w:tcW w:w="1890" w:type="dxa"/>
            <w:vAlign w:val="center"/>
          </w:tcPr>
          <w:p w14:paraId="381DDC96" w14:textId="22CCA768" w:rsidR="003B5485" w:rsidRPr="003F1AF9" w:rsidRDefault="003B5485" w:rsidP="003B5485">
            <w:pPr>
              <w:spacing w:after="0"/>
              <w:jc w:val="center"/>
            </w:pPr>
            <w:r w:rsidRPr="003F1AF9">
              <w:t>0.0946</w:t>
            </w:r>
          </w:p>
        </w:tc>
        <w:tc>
          <w:tcPr>
            <w:tcW w:w="1226" w:type="dxa"/>
            <w:vAlign w:val="center"/>
          </w:tcPr>
          <w:p w14:paraId="6CA42AE6" w14:textId="2F911B93" w:rsidR="003B5485" w:rsidRPr="003F1AF9" w:rsidRDefault="003B5485" w:rsidP="003B5485">
            <w:pPr>
              <w:spacing w:after="0"/>
              <w:jc w:val="center"/>
            </w:pPr>
            <w:r w:rsidRPr="003F1AF9">
              <w:t>0.0946</w:t>
            </w:r>
          </w:p>
        </w:tc>
        <w:tc>
          <w:tcPr>
            <w:tcW w:w="1496" w:type="dxa"/>
            <w:vAlign w:val="center"/>
          </w:tcPr>
          <w:p w14:paraId="710EB389" w14:textId="274F28A4" w:rsidR="003B5485" w:rsidRPr="003F1AF9" w:rsidRDefault="003B5485" w:rsidP="003B5485">
            <w:pPr>
              <w:spacing w:after="0" w:line="276" w:lineRule="auto"/>
              <w:jc w:val="center"/>
            </w:pPr>
            <w:r w:rsidRPr="003F1AF9">
              <w:t>838 (for 55 countries)</w:t>
            </w:r>
          </w:p>
        </w:tc>
        <w:tc>
          <w:tcPr>
            <w:tcW w:w="2407" w:type="dxa"/>
            <w:vAlign w:val="center"/>
          </w:tcPr>
          <w:p w14:paraId="5C0A83E2" w14:textId="22D6F678" w:rsidR="003B5485" w:rsidRPr="003F1AF9" w:rsidRDefault="003B5485" w:rsidP="003B5485">
            <w:pPr>
              <w:spacing w:after="0"/>
              <w:jc w:val="center"/>
            </w:pPr>
            <w:r w:rsidRPr="003F1AF9">
              <w:t>1</w:t>
            </w:r>
          </w:p>
        </w:tc>
      </w:tr>
      <w:tr w:rsidR="003B5485" w:rsidRPr="003F1AF9" w14:paraId="61E8E12F" w14:textId="77777777" w:rsidTr="00132E27">
        <w:trPr>
          <w:cantSplit/>
        </w:trPr>
        <w:tc>
          <w:tcPr>
            <w:tcW w:w="1818" w:type="dxa"/>
            <w:vAlign w:val="center"/>
          </w:tcPr>
          <w:p w14:paraId="6CF032FF" w14:textId="2D3CA1CC" w:rsidR="003B5485" w:rsidRPr="003F1AF9" w:rsidRDefault="003B5485" w:rsidP="003B5485">
            <w:pPr>
              <w:spacing w:after="0"/>
              <w:jc w:val="left"/>
            </w:pPr>
            <w:r w:rsidRPr="003F1AF9">
              <w:t>Residential Electricity Cost</w:t>
            </w:r>
          </w:p>
        </w:tc>
        <w:tc>
          <w:tcPr>
            <w:tcW w:w="1170" w:type="dxa"/>
            <w:tcMar>
              <w:left w:w="29" w:type="dxa"/>
              <w:right w:w="29" w:type="dxa"/>
            </w:tcMar>
            <w:vAlign w:val="center"/>
          </w:tcPr>
          <w:p w14:paraId="55E14617" w14:textId="7A7E9830" w:rsidR="003B5485" w:rsidRPr="003F1AF9" w:rsidRDefault="003B5485" w:rsidP="003B5485">
            <w:pPr>
              <w:spacing w:after="0"/>
              <w:jc w:val="center"/>
            </w:pPr>
            <w:r w:rsidRPr="003F1AF9">
              <w:t>US$2014/ kWh</w:t>
            </w:r>
          </w:p>
        </w:tc>
        <w:tc>
          <w:tcPr>
            <w:tcW w:w="1890" w:type="dxa"/>
            <w:vAlign w:val="center"/>
          </w:tcPr>
          <w:p w14:paraId="3E4AB819" w14:textId="3FB7F238" w:rsidR="003B5485" w:rsidRPr="003F1AF9" w:rsidRDefault="003B5485" w:rsidP="003B5485">
            <w:pPr>
              <w:spacing w:after="0"/>
              <w:jc w:val="center"/>
            </w:pPr>
            <w:r w:rsidRPr="003F1AF9">
              <w:t>0.139</w:t>
            </w:r>
          </w:p>
        </w:tc>
        <w:tc>
          <w:tcPr>
            <w:tcW w:w="1226" w:type="dxa"/>
            <w:vAlign w:val="center"/>
          </w:tcPr>
          <w:p w14:paraId="53856575" w14:textId="799E0132" w:rsidR="003B5485" w:rsidRPr="003F1AF9" w:rsidRDefault="003B5485" w:rsidP="003B5485">
            <w:pPr>
              <w:spacing w:after="0"/>
              <w:jc w:val="center"/>
            </w:pPr>
            <w:r w:rsidRPr="003F1AF9">
              <w:t>0.139</w:t>
            </w:r>
          </w:p>
        </w:tc>
        <w:tc>
          <w:tcPr>
            <w:tcW w:w="1496" w:type="dxa"/>
            <w:vAlign w:val="center"/>
          </w:tcPr>
          <w:p w14:paraId="3F921332" w14:textId="2094DC0E" w:rsidR="003B5485" w:rsidRPr="003F1AF9" w:rsidRDefault="003B5485" w:rsidP="003B5485">
            <w:pPr>
              <w:spacing w:after="0" w:line="276" w:lineRule="auto"/>
              <w:jc w:val="center"/>
            </w:pPr>
            <w:r w:rsidRPr="003F1AF9">
              <w:t>509 (for 55 countries)</w:t>
            </w:r>
          </w:p>
        </w:tc>
        <w:tc>
          <w:tcPr>
            <w:tcW w:w="2407" w:type="dxa"/>
            <w:vAlign w:val="center"/>
          </w:tcPr>
          <w:p w14:paraId="61F728E6" w14:textId="5F4519E6" w:rsidR="003B5485" w:rsidRPr="003F1AF9" w:rsidRDefault="003B5485" w:rsidP="003B5485">
            <w:pPr>
              <w:spacing w:after="0"/>
              <w:jc w:val="center"/>
            </w:pPr>
            <w:r w:rsidRPr="003F1AF9">
              <w:t>1</w:t>
            </w:r>
          </w:p>
        </w:tc>
      </w:tr>
    </w:tbl>
    <w:p w14:paraId="4663A3A8" w14:textId="293C654E" w:rsidR="00DF5AE8" w:rsidRPr="003F1AF9" w:rsidRDefault="00E46393" w:rsidP="00DF5AE8">
      <w:pPr>
        <w:spacing w:line="276" w:lineRule="auto"/>
        <w:rPr>
          <w:sz w:val="20"/>
        </w:rPr>
      </w:pPr>
      <w:r w:rsidRPr="003F1AF9">
        <w:rPr>
          <w:sz w:val="20"/>
        </w:rPr>
        <w:t>* T</w:t>
      </w:r>
      <w:r w:rsidR="00DF5AE8" w:rsidRPr="003F1AF9">
        <w:rPr>
          <w:sz w:val="20"/>
        </w:rPr>
        <w:t>he model actually uses kWh (</w:t>
      </w:r>
      <w:proofErr w:type="spellStart"/>
      <w:r w:rsidR="00DF5AE8" w:rsidRPr="003F1AF9">
        <w:rPr>
          <w:sz w:val="20"/>
        </w:rPr>
        <w:t>th</w:t>
      </w:r>
      <w:proofErr w:type="spellEnd"/>
      <w:r w:rsidR="00DF5AE8" w:rsidRPr="003F1AF9">
        <w:rPr>
          <w:sz w:val="20"/>
        </w:rPr>
        <w:t>) for its financial inputs, but for ease of interpretation, the figures in this table are in MWh (</w:t>
      </w:r>
      <w:proofErr w:type="spellStart"/>
      <w:r w:rsidR="00DF5AE8" w:rsidRPr="003F1AF9">
        <w:rPr>
          <w:sz w:val="20"/>
        </w:rPr>
        <w:t>th</w:t>
      </w:r>
      <w:proofErr w:type="spellEnd"/>
      <w:r w:rsidR="00DF5AE8" w:rsidRPr="003F1AF9">
        <w:rPr>
          <w:sz w:val="20"/>
        </w:rPr>
        <w:t>).</w:t>
      </w:r>
    </w:p>
    <w:p w14:paraId="778A5026" w14:textId="0D07351C" w:rsidR="00E46393" w:rsidRPr="003F1AF9" w:rsidRDefault="00E46393">
      <w:pPr>
        <w:spacing w:after="160" w:line="259" w:lineRule="auto"/>
        <w:jc w:val="left"/>
      </w:pPr>
      <w:r w:rsidRPr="003F1AF9">
        <w:br w:type="page"/>
      </w:r>
    </w:p>
    <w:p w14:paraId="688D297E" w14:textId="77777777" w:rsidR="00DF5AE8" w:rsidRPr="003F1AF9" w:rsidRDefault="00DF5AE8" w:rsidP="00DF5AE8">
      <w:pPr>
        <w:spacing w:after="0"/>
      </w:pPr>
    </w:p>
    <w:p w14:paraId="1C93A11D" w14:textId="0EB53D59" w:rsidR="00BD3252" w:rsidRPr="003F1AF9" w:rsidRDefault="00BD3252" w:rsidP="0055612F">
      <w:pPr>
        <w:pStyle w:val="Caption"/>
        <w:keepNext/>
        <w:jc w:val="center"/>
      </w:pPr>
      <w:bookmarkStart w:id="452" w:name="_Ref536182703"/>
      <w:bookmarkStart w:id="453" w:name="_Toc42289756"/>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2</w:t>
      </w:r>
      <w:r w:rsidR="00C0437B" w:rsidRPr="003F1AF9">
        <w:rPr>
          <w:noProof/>
        </w:rPr>
        <w:fldChar w:fldCharType="end"/>
      </w:r>
      <w:r w:rsidR="00905204"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7</w:t>
      </w:r>
      <w:r w:rsidR="00C0437B" w:rsidRPr="003F1AF9">
        <w:rPr>
          <w:noProof/>
        </w:rPr>
        <w:fldChar w:fldCharType="end"/>
      </w:r>
      <w:bookmarkEnd w:id="452"/>
      <w:r w:rsidRPr="003F1AF9">
        <w:t xml:space="preserve"> Financial Inputs for the Solution Technology</w:t>
      </w:r>
      <w:bookmarkEnd w:id="453"/>
    </w:p>
    <w:tbl>
      <w:tblPr>
        <w:tblStyle w:val="TableGrid"/>
        <w:tblW w:w="9504" w:type="dxa"/>
        <w:jc w:val="center"/>
        <w:tblLook w:val="04A0" w:firstRow="1" w:lastRow="0" w:firstColumn="1" w:lastColumn="0" w:noHBand="0" w:noVBand="1"/>
      </w:tblPr>
      <w:tblGrid>
        <w:gridCol w:w="1835"/>
        <w:gridCol w:w="1795"/>
        <w:gridCol w:w="1503"/>
        <w:gridCol w:w="1422"/>
        <w:gridCol w:w="1056"/>
        <w:gridCol w:w="1893"/>
      </w:tblGrid>
      <w:tr w:rsidR="0071523F" w:rsidRPr="003F1AF9" w14:paraId="7C41DC56" w14:textId="77777777" w:rsidTr="0055612F">
        <w:trPr>
          <w:cantSplit/>
          <w:tblHeader/>
          <w:jc w:val="center"/>
        </w:trPr>
        <w:tc>
          <w:tcPr>
            <w:tcW w:w="1851" w:type="dxa"/>
            <w:shd w:val="clear" w:color="auto" w:fill="4F81BD" w:themeFill="accent1"/>
            <w:vAlign w:val="center"/>
          </w:tcPr>
          <w:p w14:paraId="608AB149" w14:textId="77777777" w:rsidR="00DF5AE8" w:rsidRPr="003F1AF9" w:rsidRDefault="00DF5AE8" w:rsidP="0055612F">
            <w:pPr>
              <w:spacing w:after="0" w:line="240" w:lineRule="auto"/>
              <w:rPr>
                <w:b/>
                <w:color w:val="FFFFFF" w:themeColor="background1"/>
              </w:rPr>
            </w:pPr>
            <w:r w:rsidRPr="003F1AF9">
              <w:rPr>
                <w:b/>
                <w:color w:val="FFFFFF" w:themeColor="background1"/>
              </w:rPr>
              <w:t>Variable</w:t>
            </w:r>
          </w:p>
        </w:tc>
        <w:tc>
          <w:tcPr>
            <w:tcW w:w="1821" w:type="dxa"/>
            <w:shd w:val="clear" w:color="auto" w:fill="4F81BD" w:themeFill="accent1"/>
            <w:vAlign w:val="center"/>
          </w:tcPr>
          <w:p w14:paraId="43C01A6E" w14:textId="77777777" w:rsidR="00DF5AE8" w:rsidRPr="003F1AF9" w:rsidRDefault="00DF5AE8" w:rsidP="0055612F">
            <w:pPr>
              <w:spacing w:after="0" w:line="240" w:lineRule="auto"/>
              <w:rPr>
                <w:b/>
                <w:color w:val="FFFFFF" w:themeColor="background1"/>
              </w:rPr>
            </w:pPr>
            <w:r w:rsidRPr="003F1AF9">
              <w:rPr>
                <w:b/>
                <w:color w:val="FFFFFF" w:themeColor="background1"/>
              </w:rPr>
              <w:t>Unit</w:t>
            </w:r>
          </w:p>
        </w:tc>
        <w:tc>
          <w:tcPr>
            <w:tcW w:w="1512" w:type="dxa"/>
            <w:shd w:val="clear" w:color="auto" w:fill="4F81BD" w:themeFill="accent1"/>
            <w:vAlign w:val="center"/>
          </w:tcPr>
          <w:p w14:paraId="3BC2D0CB" w14:textId="15C5B875" w:rsidR="00DF5AE8" w:rsidRPr="003F1AF9" w:rsidRDefault="00DF5AE8" w:rsidP="0055612F">
            <w:pPr>
              <w:spacing w:after="0" w:line="240" w:lineRule="auto"/>
              <w:jc w:val="center"/>
              <w:rPr>
                <w:rFonts w:eastAsia="Helvetica,Times New Roman"/>
                <w:b/>
                <w:color w:val="FFFFFF" w:themeColor="background1"/>
              </w:rPr>
            </w:pPr>
            <w:r w:rsidRPr="003F1AF9">
              <w:rPr>
                <w:b/>
                <w:color w:val="FFFFFF" w:themeColor="background1"/>
              </w:rPr>
              <w:t>Project Drawdown Data Set Range</w:t>
            </w:r>
          </w:p>
        </w:tc>
        <w:tc>
          <w:tcPr>
            <w:tcW w:w="1440" w:type="dxa"/>
            <w:shd w:val="clear" w:color="auto" w:fill="4F81BD" w:themeFill="accent1"/>
            <w:vAlign w:val="center"/>
          </w:tcPr>
          <w:p w14:paraId="3BD0C5A0" w14:textId="77777777" w:rsidR="00DF5AE8" w:rsidRPr="003F1AF9" w:rsidRDefault="00DF5AE8" w:rsidP="0055612F">
            <w:pPr>
              <w:spacing w:after="0" w:line="240" w:lineRule="auto"/>
              <w:rPr>
                <w:rFonts w:eastAsia="Helvetica,Times New Roman"/>
                <w:b/>
                <w:color w:val="FFFFFF" w:themeColor="background1"/>
              </w:rPr>
            </w:pPr>
            <w:r w:rsidRPr="003F1AF9">
              <w:rPr>
                <w:b/>
                <w:color w:val="FFFFFF" w:themeColor="background1"/>
              </w:rPr>
              <w:t xml:space="preserve">Model Input </w:t>
            </w:r>
          </w:p>
        </w:tc>
        <w:tc>
          <w:tcPr>
            <w:tcW w:w="958" w:type="dxa"/>
            <w:shd w:val="clear" w:color="auto" w:fill="4F81BD" w:themeFill="accent1"/>
            <w:vAlign w:val="center"/>
          </w:tcPr>
          <w:p w14:paraId="533A68B6" w14:textId="77777777" w:rsidR="00DF5AE8" w:rsidRPr="003F1AF9" w:rsidRDefault="00DF5AE8" w:rsidP="0055612F">
            <w:pPr>
              <w:spacing w:after="0" w:line="240" w:lineRule="auto"/>
              <w:rPr>
                <w:rFonts w:eastAsia="Helvetica,Times New Roman"/>
                <w:b/>
                <w:color w:val="FFFFFF" w:themeColor="background1"/>
              </w:rPr>
            </w:pPr>
            <w:r w:rsidRPr="003F1AF9">
              <w:rPr>
                <w:b/>
                <w:color w:val="FFFFFF" w:themeColor="background1"/>
              </w:rPr>
              <w:t>Data Points (#)</w:t>
            </w:r>
          </w:p>
        </w:tc>
        <w:tc>
          <w:tcPr>
            <w:tcW w:w="1922" w:type="dxa"/>
            <w:shd w:val="clear" w:color="auto" w:fill="4F81BD" w:themeFill="accent1"/>
            <w:vAlign w:val="center"/>
          </w:tcPr>
          <w:p w14:paraId="02CFE2F1" w14:textId="77777777" w:rsidR="00DF5AE8" w:rsidRPr="003F1AF9" w:rsidRDefault="00DF5AE8" w:rsidP="0055612F">
            <w:pPr>
              <w:spacing w:after="0" w:line="240" w:lineRule="auto"/>
              <w:rPr>
                <w:rFonts w:eastAsia="Helvetica,Times New Roman"/>
                <w:b/>
                <w:color w:val="FFFFFF" w:themeColor="background1"/>
              </w:rPr>
            </w:pPr>
            <w:r w:rsidRPr="003F1AF9">
              <w:rPr>
                <w:b/>
                <w:color w:val="FFFFFF" w:themeColor="background1"/>
              </w:rPr>
              <w:t>Sources (#)</w:t>
            </w:r>
          </w:p>
        </w:tc>
      </w:tr>
      <w:tr w:rsidR="0071523F" w:rsidRPr="003F1AF9" w14:paraId="179B326D" w14:textId="77777777" w:rsidTr="0055612F">
        <w:trPr>
          <w:cantSplit/>
          <w:jc w:val="center"/>
        </w:trPr>
        <w:tc>
          <w:tcPr>
            <w:tcW w:w="1851" w:type="dxa"/>
            <w:vAlign w:val="center"/>
          </w:tcPr>
          <w:p w14:paraId="05AED692" w14:textId="77777777" w:rsidR="00DF5AE8" w:rsidRPr="003F1AF9" w:rsidRDefault="00DF5AE8" w:rsidP="00132E27">
            <w:pPr>
              <w:spacing w:after="0"/>
              <w:jc w:val="left"/>
            </w:pPr>
            <w:r w:rsidRPr="003F1AF9">
              <w:t>Installation Cost/ First Cost</w:t>
            </w:r>
          </w:p>
        </w:tc>
        <w:tc>
          <w:tcPr>
            <w:tcW w:w="1821" w:type="dxa"/>
            <w:tcMar>
              <w:left w:w="29" w:type="dxa"/>
              <w:right w:w="29" w:type="dxa"/>
            </w:tcMar>
            <w:vAlign w:val="center"/>
          </w:tcPr>
          <w:p w14:paraId="1F6A44BB" w14:textId="77777777" w:rsidR="00DF5AE8" w:rsidRPr="003F1AF9" w:rsidRDefault="00DF5AE8" w:rsidP="00132E27">
            <w:pPr>
              <w:spacing w:after="0"/>
              <w:jc w:val="left"/>
            </w:pPr>
            <w:r w:rsidRPr="003F1AF9">
              <w:t>US$2014/ unit</w:t>
            </w:r>
          </w:p>
        </w:tc>
        <w:tc>
          <w:tcPr>
            <w:tcW w:w="1512" w:type="dxa"/>
            <w:vAlign w:val="center"/>
          </w:tcPr>
          <w:p w14:paraId="4ADB7B6C" w14:textId="57FB3FF2" w:rsidR="00DF5AE8" w:rsidRPr="003F1AF9" w:rsidRDefault="0071523F" w:rsidP="0055612F">
            <w:pPr>
              <w:spacing w:after="0"/>
              <w:jc w:val="center"/>
            </w:pPr>
            <w:r w:rsidRPr="003F1AF9">
              <w:t>1</w:t>
            </w:r>
            <w:r w:rsidR="002D3549" w:rsidRPr="003F1AF9">
              <w:t>,</w:t>
            </w:r>
            <w:r w:rsidRPr="003F1AF9">
              <w:t>586-19</w:t>
            </w:r>
            <w:r w:rsidR="002D3549" w:rsidRPr="003F1AF9">
              <w:t>,</w:t>
            </w:r>
            <w:r w:rsidRPr="003F1AF9">
              <w:t>584</w:t>
            </w:r>
          </w:p>
        </w:tc>
        <w:tc>
          <w:tcPr>
            <w:tcW w:w="1440" w:type="dxa"/>
            <w:vAlign w:val="center"/>
          </w:tcPr>
          <w:p w14:paraId="611AAEA1" w14:textId="5CD0FF1A" w:rsidR="00DF5AE8" w:rsidRPr="003F1AF9" w:rsidRDefault="0071523F" w:rsidP="0055612F">
            <w:pPr>
              <w:spacing w:after="0"/>
              <w:jc w:val="center"/>
            </w:pPr>
            <w:r w:rsidRPr="003F1AF9">
              <w:t>9</w:t>
            </w:r>
            <w:r w:rsidR="002D3549" w:rsidRPr="003F1AF9">
              <w:t>,</w:t>
            </w:r>
            <w:r w:rsidRPr="003F1AF9">
              <w:t>911</w:t>
            </w:r>
          </w:p>
        </w:tc>
        <w:tc>
          <w:tcPr>
            <w:tcW w:w="958" w:type="dxa"/>
            <w:vAlign w:val="center"/>
          </w:tcPr>
          <w:p w14:paraId="57AA52DE" w14:textId="77777777" w:rsidR="00DF5AE8" w:rsidRPr="003F1AF9" w:rsidRDefault="00DF5AE8" w:rsidP="0055612F">
            <w:pPr>
              <w:spacing w:after="0"/>
              <w:jc w:val="center"/>
            </w:pPr>
            <w:r w:rsidRPr="003F1AF9">
              <w:t>18</w:t>
            </w:r>
          </w:p>
        </w:tc>
        <w:tc>
          <w:tcPr>
            <w:tcW w:w="1922" w:type="dxa"/>
            <w:vAlign w:val="center"/>
          </w:tcPr>
          <w:p w14:paraId="3C39FC92" w14:textId="00C98115" w:rsidR="00DF5AE8" w:rsidRPr="003F1AF9" w:rsidRDefault="00DF5AE8" w:rsidP="00C755EB">
            <w:pPr>
              <w:spacing w:after="0"/>
              <w:jc w:val="left"/>
            </w:pPr>
            <w:r w:rsidRPr="003F1AF9">
              <w:t>2</w:t>
            </w:r>
          </w:p>
        </w:tc>
      </w:tr>
      <w:tr w:rsidR="0071523F" w:rsidRPr="003F1AF9" w14:paraId="225504DC" w14:textId="77777777" w:rsidTr="0055612F">
        <w:trPr>
          <w:cantSplit/>
          <w:jc w:val="center"/>
        </w:trPr>
        <w:tc>
          <w:tcPr>
            <w:tcW w:w="1851" w:type="dxa"/>
            <w:vAlign w:val="center"/>
          </w:tcPr>
          <w:p w14:paraId="37EA3AB8" w14:textId="77777777" w:rsidR="00DF5AE8" w:rsidRPr="003F1AF9" w:rsidRDefault="00DF5AE8" w:rsidP="00132E27">
            <w:pPr>
              <w:spacing w:after="0"/>
              <w:jc w:val="left"/>
            </w:pPr>
            <w:r w:rsidRPr="003F1AF9">
              <w:t>First Cost Learning Rate</w:t>
            </w:r>
          </w:p>
        </w:tc>
        <w:tc>
          <w:tcPr>
            <w:tcW w:w="1821" w:type="dxa"/>
            <w:tcMar>
              <w:left w:w="29" w:type="dxa"/>
              <w:right w:w="29" w:type="dxa"/>
            </w:tcMar>
            <w:vAlign w:val="center"/>
          </w:tcPr>
          <w:p w14:paraId="2FDB6462" w14:textId="77777777" w:rsidR="00DF5AE8" w:rsidRPr="003F1AF9" w:rsidRDefault="00DF5AE8" w:rsidP="00132E27">
            <w:pPr>
              <w:spacing w:after="0"/>
              <w:jc w:val="left"/>
            </w:pPr>
            <w:r w:rsidRPr="003F1AF9">
              <w:t>percent</w:t>
            </w:r>
          </w:p>
        </w:tc>
        <w:tc>
          <w:tcPr>
            <w:tcW w:w="1512" w:type="dxa"/>
            <w:vAlign w:val="center"/>
          </w:tcPr>
          <w:p w14:paraId="0EA6DEA5" w14:textId="77777777" w:rsidR="00DF5AE8" w:rsidRPr="003F1AF9" w:rsidRDefault="00DF5AE8" w:rsidP="0055612F">
            <w:pPr>
              <w:spacing w:after="0"/>
              <w:jc w:val="center"/>
            </w:pPr>
            <w:r w:rsidRPr="003F1AF9">
              <w:t>9.61%</w:t>
            </w:r>
          </w:p>
        </w:tc>
        <w:tc>
          <w:tcPr>
            <w:tcW w:w="1440" w:type="dxa"/>
            <w:vAlign w:val="center"/>
          </w:tcPr>
          <w:p w14:paraId="32B807A8" w14:textId="77777777" w:rsidR="00DF5AE8" w:rsidRPr="003F1AF9" w:rsidRDefault="00DF5AE8" w:rsidP="0055612F">
            <w:pPr>
              <w:spacing w:after="0"/>
              <w:jc w:val="center"/>
            </w:pPr>
            <w:r w:rsidRPr="003F1AF9">
              <w:t>9.61%</w:t>
            </w:r>
          </w:p>
        </w:tc>
        <w:tc>
          <w:tcPr>
            <w:tcW w:w="958" w:type="dxa"/>
            <w:vAlign w:val="center"/>
          </w:tcPr>
          <w:p w14:paraId="590A75D9" w14:textId="77777777" w:rsidR="00DF5AE8" w:rsidRPr="003F1AF9" w:rsidRDefault="00DF5AE8" w:rsidP="0055612F">
            <w:pPr>
              <w:spacing w:after="0"/>
              <w:jc w:val="center"/>
            </w:pPr>
            <w:r w:rsidRPr="003F1AF9">
              <w:t>1</w:t>
            </w:r>
          </w:p>
        </w:tc>
        <w:tc>
          <w:tcPr>
            <w:tcW w:w="1922" w:type="dxa"/>
            <w:vAlign w:val="center"/>
          </w:tcPr>
          <w:p w14:paraId="0157DA0E" w14:textId="77777777" w:rsidR="00DF5AE8" w:rsidRPr="003F1AF9" w:rsidRDefault="00DF5AE8" w:rsidP="00132E27">
            <w:pPr>
              <w:spacing w:after="0"/>
              <w:jc w:val="left"/>
            </w:pPr>
            <w:r w:rsidRPr="003F1AF9">
              <w:t>1</w:t>
            </w:r>
          </w:p>
        </w:tc>
      </w:tr>
      <w:tr w:rsidR="0071523F" w:rsidRPr="003F1AF9" w14:paraId="09938301" w14:textId="77777777" w:rsidTr="0055612F">
        <w:trPr>
          <w:cantSplit/>
          <w:jc w:val="center"/>
        </w:trPr>
        <w:tc>
          <w:tcPr>
            <w:tcW w:w="1851" w:type="dxa"/>
            <w:vAlign w:val="center"/>
          </w:tcPr>
          <w:p w14:paraId="32A82120" w14:textId="77777777" w:rsidR="00DF5AE8" w:rsidRPr="003F1AF9" w:rsidRDefault="00DF5AE8" w:rsidP="00132E27">
            <w:pPr>
              <w:spacing w:after="0"/>
              <w:jc w:val="left"/>
            </w:pPr>
            <w:r w:rsidRPr="003F1AF9">
              <w:t xml:space="preserve">Annual Fixed Operating Cost </w:t>
            </w:r>
          </w:p>
        </w:tc>
        <w:tc>
          <w:tcPr>
            <w:tcW w:w="1821" w:type="dxa"/>
            <w:tcMar>
              <w:left w:w="29" w:type="dxa"/>
              <w:right w:w="29" w:type="dxa"/>
            </w:tcMar>
            <w:vAlign w:val="center"/>
          </w:tcPr>
          <w:p w14:paraId="770B8640" w14:textId="77777777" w:rsidR="00DF5AE8" w:rsidRPr="003F1AF9" w:rsidRDefault="00DF5AE8" w:rsidP="00132E27">
            <w:pPr>
              <w:spacing w:after="0"/>
              <w:jc w:val="left"/>
            </w:pPr>
            <w:r w:rsidRPr="003F1AF9">
              <w:t xml:space="preserve">US$2014/ unit/ </w:t>
            </w:r>
            <w:proofErr w:type="spellStart"/>
            <w:r w:rsidRPr="003F1AF9">
              <w:t>yr</w:t>
            </w:r>
            <w:proofErr w:type="spellEnd"/>
          </w:p>
        </w:tc>
        <w:tc>
          <w:tcPr>
            <w:tcW w:w="1512" w:type="dxa"/>
            <w:vAlign w:val="center"/>
          </w:tcPr>
          <w:p w14:paraId="102A4199" w14:textId="7728FA0B" w:rsidR="00DF5AE8" w:rsidRPr="003F1AF9" w:rsidRDefault="0071523F" w:rsidP="0055612F">
            <w:pPr>
              <w:spacing w:after="0"/>
              <w:jc w:val="center"/>
            </w:pPr>
            <w:r w:rsidRPr="003F1AF9">
              <w:t>19.32-299.40</w:t>
            </w:r>
          </w:p>
        </w:tc>
        <w:tc>
          <w:tcPr>
            <w:tcW w:w="1440" w:type="dxa"/>
            <w:vAlign w:val="center"/>
          </w:tcPr>
          <w:p w14:paraId="40233B83" w14:textId="72A9442F" w:rsidR="00DF5AE8" w:rsidRPr="003F1AF9" w:rsidRDefault="0071523F" w:rsidP="0055612F">
            <w:pPr>
              <w:spacing w:after="0"/>
              <w:jc w:val="center"/>
            </w:pPr>
            <w:r w:rsidRPr="003F1AF9">
              <w:t>115.09</w:t>
            </w:r>
          </w:p>
        </w:tc>
        <w:tc>
          <w:tcPr>
            <w:tcW w:w="958" w:type="dxa"/>
            <w:vAlign w:val="center"/>
          </w:tcPr>
          <w:p w14:paraId="22AEDB85" w14:textId="77777777" w:rsidR="00DF5AE8" w:rsidRPr="003F1AF9" w:rsidRDefault="00DF5AE8" w:rsidP="0055612F">
            <w:pPr>
              <w:spacing w:after="0"/>
              <w:jc w:val="center"/>
            </w:pPr>
            <w:r w:rsidRPr="003F1AF9">
              <w:t>6</w:t>
            </w:r>
          </w:p>
        </w:tc>
        <w:tc>
          <w:tcPr>
            <w:tcW w:w="1922" w:type="dxa"/>
            <w:vAlign w:val="center"/>
          </w:tcPr>
          <w:p w14:paraId="2928495F" w14:textId="4D69A29F" w:rsidR="00DF5AE8" w:rsidRPr="003F1AF9" w:rsidRDefault="00DF5AE8" w:rsidP="00C755EB">
            <w:pPr>
              <w:spacing w:after="0"/>
              <w:jc w:val="left"/>
            </w:pPr>
            <w:r w:rsidRPr="003F1AF9">
              <w:t>1</w:t>
            </w:r>
          </w:p>
        </w:tc>
      </w:tr>
      <w:tr w:rsidR="0071523F" w:rsidRPr="003F1AF9" w14:paraId="7F6279FB" w14:textId="77777777" w:rsidTr="0055612F">
        <w:trPr>
          <w:cantSplit/>
          <w:jc w:val="center"/>
        </w:trPr>
        <w:tc>
          <w:tcPr>
            <w:tcW w:w="1851" w:type="dxa"/>
            <w:vAlign w:val="center"/>
          </w:tcPr>
          <w:p w14:paraId="7B156765" w14:textId="77777777" w:rsidR="00DF5AE8" w:rsidRPr="003F1AF9" w:rsidRDefault="00DF5AE8" w:rsidP="00132E27">
            <w:pPr>
              <w:spacing w:after="0"/>
              <w:jc w:val="left"/>
            </w:pPr>
            <w:r w:rsidRPr="003F1AF9">
              <w:t>Annual Fuel Cost</w:t>
            </w:r>
          </w:p>
        </w:tc>
        <w:tc>
          <w:tcPr>
            <w:tcW w:w="1821" w:type="dxa"/>
            <w:tcMar>
              <w:left w:w="29" w:type="dxa"/>
              <w:right w:w="29" w:type="dxa"/>
            </w:tcMar>
            <w:vAlign w:val="center"/>
          </w:tcPr>
          <w:p w14:paraId="7F2C8A12" w14:textId="77777777" w:rsidR="00DF5AE8" w:rsidRPr="003F1AF9" w:rsidRDefault="00DF5AE8" w:rsidP="00132E27">
            <w:pPr>
              <w:spacing w:after="0"/>
              <w:jc w:val="left"/>
            </w:pPr>
            <w:r w:rsidRPr="003F1AF9">
              <w:t>US$2014/ MWh (</w:t>
            </w:r>
            <w:proofErr w:type="spellStart"/>
            <w:r w:rsidRPr="003F1AF9">
              <w:t>th</w:t>
            </w:r>
            <w:proofErr w:type="spellEnd"/>
            <w:r w:rsidRPr="003F1AF9">
              <w:t>)*</w:t>
            </w:r>
          </w:p>
        </w:tc>
        <w:tc>
          <w:tcPr>
            <w:tcW w:w="1512" w:type="dxa"/>
            <w:vAlign w:val="center"/>
          </w:tcPr>
          <w:p w14:paraId="6AB9C275" w14:textId="7F8218C9" w:rsidR="00DF5AE8" w:rsidRPr="003F1AF9" w:rsidRDefault="0071523F" w:rsidP="0055612F">
            <w:pPr>
              <w:spacing w:after="0"/>
              <w:jc w:val="center"/>
            </w:pPr>
            <w:r w:rsidRPr="003F1AF9">
              <w:t>Approx. 40</w:t>
            </w:r>
          </w:p>
        </w:tc>
        <w:tc>
          <w:tcPr>
            <w:tcW w:w="1440" w:type="dxa"/>
            <w:vAlign w:val="center"/>
          </w:tcPr>
          <w:p w14:paraId="7365EE53" w14:textId="4813856F" w:rsidR="00DF5AE8" w:rsidRPr="003F1AF9" w:rsidRDefault="00907456" w:rsidP="0055612F">
            <w:pPr>
              <w:spacing w:after="0"/>
              <w:jc w:val="center"/>
            </w:pPr>
            <w:r w:rsidRPr="003F1AF9">
              <w:t>~</w:t>
            </w:r>
            <w:r w:rsidR="0071523F" w:rsidRPr="003F1AF9">
              <w:t>40; varies by HP SCOP</w:t>
            </w:r>
          </w:p>
        </w:tc>
        <w:tc>
          <w:tcPr>
            <w:tcW w:w="958" w:type="dxa"/>
            <w:vAlign w:val="center"/>
          </w:tcPr>
          <w:p w14:paraId="2874CE9B" w14:textId="77777777" w:rsidR="00DF5AE8" w:rsidRPr="003F1AF9" w:rsidRDefault="00DF5AE8" w:rsidP="0055612F">
            <w:pPr>
              <w:spacing w:after="0"/>
              <w:jc w:val="center"/>
            </w:pPr>
            <w:r w:rsidRPr="003F1AF9">
              <w:t>1</w:t>
            </w:r>
          </w:p>
        </w:tc>
        <w:tc>
          <w:tcPr>
            <w:tcW w:w="1922" w:type="dxa"/>
            <w:vAlign w:val="center"/>
          </w:tcPr>
          <w:p w14:paraId="2426CBBB" w14:textId="77777777" w:rsidR="00DF5AE8" w:rsidRPr="003F1AF9" w:rsidRDefault="00DF5AE8" w:rsidP="00132E27">
            <w:pPr>
              <w:spacing w:after="0"/>
              <w:jc w:val="left"/>
            </w:pPr>
            <w:r w:rsidRPr="003F1AF9">
              <w:t>Derived from other inputs</w:t>
            </w:r>
          </w:p>
        </w:tc>
      </w:tr>
      <w:tr w:rsidR="0071523F" w:rsidRPr="003F1AF9" w14:paraId="30490EF5" w14:textId="77777777" w:rsidTr="0055612F">
        <w:trPr>
          <w:cantSplit/>
          <w:jc w:val="center"/>
        </w:trPr>
        <w:tc>
          <w:tcPr>
            <w:tcW w:w="1851" w:type="dxa"/>
            <w:vAlign w:val="center"/>
          </w:tcPr>
          <w:p w14:paraId="7FEE8319" w14:textId="77777777" w:rsidR="00DF5AE8" w:rsidRPr="003F1AF9" w:rsidRDefault="00DF5AE8" w:rsidP="00132E27">
            <w:pPr>
              <w:spacing w:after="0"/>
              <w:jc w:val="left"/>
            </w:pPr>
            <w:r w:rsidRPr="003F1AF9">
              <w:t>Discount Rate for Future Cash flows</w:t>
            </w:r>
          </w:p>
        </w:tc>
        <w:tc>
          <w:tcPr>
            <w:tcW w:w="1821" w:type="dxa"/>
            <w:tcMar>
              <w:left w:w="29" w:type="dxa"/>
              <w:right w:w="29" w:type="dxa"/>
            </w:tcMar>
            <w:vAlign w:val="center"/>
          </w:tcPr>
          <w:p w14:paraId="7C284C17" w14:textId="77777777" w:rsidR="00DF5AE8" w:rsidRPr="003F1AF9" w:rsidRDefault="00DF5AE8" w:rsidP="00132E27">
            <w:pPr>
              <w:spacing w:after="0"/>
              <w:jc w:val="left"/>
            </w:pPr>
            <w:r w:rsidRPr="003F1AF9">
              <w:t>percent</w:t>
            </w:r>
          </w:p>
        </w:tc>
        <w:tc>
          <w:tcPr>
            <w:tcW w:w="1512" w:type="dxa"/>
            <w:vAlign w:val="center"/>
          </w:tcPr>
          <w:p w14:paraId="30FC11DB" w14:textId="28C7A73F" w:rsidR="00DF5AE8" w:rsidRPr="003F1AF9" w:rsidRDefault="0071523F" w:rsidP="0055612F">
            <w:pPr>
              <w:spacing w:after="0"/>
              <w:jc w:val="center"/>
            </w:pPr>
            <w:r w:rsidRPr="003F1AF9">
              <w:t>3.0-15.0</w:t>
            </w:r>
          </w:p>
        </w:tc>
        <w:tc>
          <w:tcPr>
            <w:tcW w:w="1440" w:type="dxa"/>
            <w:vAlign w:val="center"/>
          </w:tcPr>
          <w:p w14:paraId="5145D001" w14:textId="77777777" w:rsidR="00DF5AE8" w:rsidRPr="003F1AF9" w:rsidRDefault="00DF5AE8" w:rsidP="0055612F">
            <w:pPr>
              <w:spacing w:after="0"/>
              <w:jc w:val="center"/>
            </w:pPr>
            <w:r w:rsidRPr="003F1AF9">
              <w:t>5.37</w:t>
            </w:r>
          </w:p>
        </w:tc>
        <w:tc>
          <w:tcPr>
            <w:tcW w:w="958" w:type="dxa"/>
            <w:vAlign w:val="center"/>
          </w:tcPr>
          <w:p w14:paraId="7E49A135" w14:textId="77777777" w:rsidR="00DF5AE8" w:rsidRPr="003F1AF9" w:rsidRDefault="00DF5AE8" w:rsidP="0055612F">
            <w:pPr>
              <w:spacing w:after="0"/>
              <w:jc w:val="center"/>
            </w:pPr>
            <w:r w:rsidRPr="003F1AF9">
              <w:t>20</w:t>
            </w:r>
          </w:p>
        </w:tc>
        <w:tc>
          <w:tcPr>
            <w:tcW w:w="1922" w:type="dxa"/>
            <w:vAlign w:val="center"/>
          </w:tcPr>
          <w:p w14:paraId="69BA6F34" w14:textId="77777777" w:rsidR="00DF5AE8" w:rsidRPr="003F1AF9" w:rsidRDefault="00DF5AE8" w:rsidP="00132E27">
            <w:pPr>
              <w:spacing w:after="0"/>
              <w:jc w:val="left"/>
            </w:pPr>
            <w:r w:rsidRPr="003F1AF9">
              <w:t>9</w:t>
            </w:r>
          </w:p>
        </w:tc>
      </w:tr>
      <w:tr w:rsidR="004523C5" w:rsidRPr="003F1AF9" w14:paraId="3BD03663" w14:textId="77777777" w:rsidTr="0055612F">
        <w:trPr>
          <w:cantSplit/>
          <w:jc w:val="center"/>
        </w:trPr>
        <w:tc>
          <w:tcPr>
            <w:tcW w:w="1851" w:type="dxa"/>
            <w:shd w:val="clear" w:color="auto" w:fill="auto"/>
            <w:vAlign w:val="center"/>
          </w:tcPr>
          <w:p w14:paraId="23FD35DC" w14:textId="63A92F14" w:rsidR="004523C5" w:rsidRPr="003F1AF9" w:rsidRDefault="004523C5" w:rsidP="004523C5">
            <w:pPr>
              <w:spacing w:after="0"/>
              <w:jc w:val="left"/>
            </w:pPr>
            <w:r w:rsidRPr="003F1AF9">
              <w:t>Commercial Electricity Cost</w:t>
            </w:r>
          </w:p>
        </w:tc>
        <w:tc>
          <w:tcPr>
            <w:tcW w:w="1821" w:type="dxa"/>
            <w:shd w:val="clear" w:color="auto" w:fill="auto"/>
            <w:tcMar>
              <w:left w:w="29" w:type="dxa"/>
              <w:right w:w="29" w:type="dxa"/>
            </w:tcMar>
            <w:vAlign w:val="center"/>
          </w:tcPr>
          <w:p w14:paraId="44080A12" w14:textId="6C7FF611" w:rsidR="004523C5" w:rsidRPr="003F1AF9" w:rsidRDefault="004523C5" w:rsidP="004523C5">
            <w:pPr>
              <w:spacing w:after="0"/>
              <w:jc w:val="left"/>
            </w:pPr>
            <w:r w:rsidRPr="003F1AF9">
              <w:t>US$2014/ kWh</w:t>
            </w:r>
          </w:p>
        </w:tc>
        <w:tc>
          <w:tcPr>
            <w:tcW w:w="1512" w:type="dxa"/>
            <w:shd w:val="clear" w:color="auto" w:fill="auto"/>
            <w:vAlign w:val="center"/>
          </w:tcPr>
          <w:p w14:paraId="03772384" w14:textId="040FE849" w:rsidR="004523C5" w:rsidRPr="003F1AF9" w:rsidRDefault="004523C5" w:rsidP="004523C5">
            <w:pPr>
              <w:spacing w:after="0"/>
              <w:jc w:val="center"/>
            </w:pPr>
            <w:r w:rsidRPr="003F1AF9">
              <w:t>0.0946</w:t>
            </w:r>
          </w:p>
        </w:tc>
        <w:tc>
          <w:tcPr>
            <w:tcW w:w="1440" w:type="dxa"/>
            <w:shd w:val="clear" w:color="auto" w:fill="auto"/>
            <w:vAlign w:val="center"/>
          </w:tcPr>
          <w:p w14:paraId="0C9A43AA" w14:textId="714EE09A" w:rsidR="004523C5" w:rsidRPr="003F1AF9" w:rsidRDefault="004523C5" w:rsidP="004523C5">
            <w:pPr>
              <w:spacing w:after="0"/>
              <w:jc w:val="center"/>
            </w:pPr>
            <w:r w:rsidRPr="003F1AF9">
              <w:t>0.0946</w:t>
            </w:r>
          </w:p>
        </w:tc>
        <w:tc>
          <w:tcPr>
            <w:tcW w:w="958" w:type="dxa"/>
            <w:shd w:val="clear" w:color="auto" w:fill="auto"/>
            <w:vAlign w:val="center"/>
          </w:tcPr>
          <w:p w14:paraId="152299E4" w14:textId="7A0B7AF6" w:rsidR="004523C5" w:rsidRPr="003F1AF9" w:rsidRDefault="004523C5" w:rsidP="0055612F">
            <w:pPr>
              <w:spacing w:after="0" w:line="276" w:lineRule="auto"/>
              <w:jc w:val="center"/>
            </w:pPr>
            <w:r w:rsidRPr="003F1AF9">
              <w:t>838 (for 55 countries)</w:t>
            </w:r>
          </w:p>
        </w:tc>
        <w:tc>
          <w:tcPr>
            <w:tcW w:w="1922" w:type="dxa"/>
            <w:shd w:val="clear" w:color="auto" w:fill="auto"/>
            <w:vAlign w:val="center"/>
          </w:tcPr>
          <w:p w14:paraId="6B767E17" w14:textId="25793BDC" w:rsidR="004523C5" w:rsidRPr="003F1AF9" w:rsidRDefault="004523C5" w:rsidP="004523C5">
            <w:pPr>
              <w:spacing w:after="0"/>
              <w:jc w:val="left"/>
            </w:pPr>
            <w:r w:rsidRPr="003F1AF9">
              <w:t>1</w:t>
            </w:r>
          </w:p>
        </w:tc>
      </w:tr>
      <w:tr w:rsidR="004523C5" w:rsidRPr="003F1AF9" w14:paraId="76C58422" w14:textId="77777777" w:rsidTr="0055612F">
        <w:trPr>
          <w:cantSplit/>
          <w:jc w:val="center"/>
        </w:trPr>
        <w:tc>
          <w:tcPr>
            <w:tcW w:w="1851" w:type="dxa"/>
            <w:shd w:val="clear" w:color="auto" w:fill="auto"/>
            <w:vAlign w:val="center"/>
          </w:tcPr>
          <w:p w14:paraId="7F8BDA9D" w14:textId="36FA3094" w:rsidR="004523C5" w:rsidRPr="003F1AF9" w:rsidRDefault="004523C5" w:rsidP="004523C5">
            <w:pPr>
              <w:spacing w:after="0"/>
              <w:jc w:val="left"/>
            </w:pPr>
            <w:r w:rsidRPr="003F1AF9">
              <w:t>Residential Electricity Cost</w:t>
            </w:r>
          </w:p>
        </w:tc>
        <w:tc>
          <w:tcPr>
            <w:tcW w:w="1821" w:type="dxa"/>
            <w:shd w:val="clear" w:color="auto" w:fill="auto"/>
            <w:tcMar>
              <w:left w:w="29" w:type="dxa"/>
              <w:right w:w="29" w:type="dxa"/>
            </w:tcMar>
            <w:vAlign w:val="center"/>
          </w:tcPr>
          <w:p w14:paraId="334EAD53" w14:textId="37266672" w:rsidR="004523C5" w:rsidRPr="003F1AF9" w:rsidRDefault="004523C5" w:rsidP="004523C5">
            <w:pPr>
              <w:spacing w:after="0"/>
              <w:jc w:val="left"/>
            </w:pPr>
            <w:r w:rsidRPr="003F1AF9">
              <w:t>US$2014/ kWh</w:t>
            </w:r>
          </w:p>
        </w:tc>
        <w:tc>
          <w:tcPr>
            <w:tcW w:w="1512" w:type="dxa"/>
            <w:shd w:val="clear" w:color="auto" w:fill="auto"/>
            <w:vAlign w:val="center"/>
          </w:tcPr>
          <w:p w14:paraId="6C5C1F64" w14:textId="2D69166B" w:rsidR="004523C5" w:rsidRPr="003F1AF9" w:rsidRDefault="004523C5" w:rsidP="004523C5">
            <w:pPr>
              <w:spacing w:after="0"/>
              <w:jc w:val="center"/>
            </w:pPr>
            <w:r w:rsidRPr="003F1AF9">
              <w:t>0.139</w:t>
            </w:r>
          </w:p>
        </w:tc>
        <w:tc>
          <w:tcPr>
            <w:tcW w:w="1440" w:type="dxa"/>
            <w:shd w:val="clear" w:color="auto" w:fill="auto"/>
            <w:vAlign w:val="center"/>
          </w:tcPr>
          <w:p w14:paraId="252D4228" w14:textId="11135323" w:rsidR="004523C5" w:rsidRPr="003F1AF9" w:rsidRDefault="004523C5" w:rsidP="004523C5">
            <w:pPr>
              <w:spacing w:after="0"/>
              <w:jc w:val="center"/>
            </w:pPr>
            <w:r w:rsidRPr="003F1AF9">
              <w:t>0.139</w:t>
            </w:r>
          </w:p>
        </w:tc>
        <w:tc>
          <w:tcPr>
            <w:tcW w:w="958" w:type="dxa"/>
            <w:shd w:val="clear" w:color="auto" w:fill="auto"/>
            <w:vAlign w:val="center"/>
          </w:tcPr>
          <w:p w14:paraId="544FB1B3" w14:textId="5CDBEB31" w:rsidR="004523C5" w:rsidRPr="003F1AF9" w:rsidRDefault="004523C5" w:rsidP="0055612F">
            <w:pPr>
              <w:spacing w:after="0" w:line="276" w:lineRule="auto"/>
              <w:jc w:val="center"/>
            </w:pPr>
            <w:r w:rsidRPr="003F1AF9">
              <w:t>509 (for 55 countries)</w:t>
            </w:r>
          </w:p>
        </w:tc>
        <w:tc>
          <w:tcPr>
            <w:tcW w:w="1922" w:type="dxa"/>
            <w:shd w:val="clear" w:color="auto" w:fill="auto"/>
            <w:vAlign w:val="center"/>
          </w:tcPr>
          <w:p w14:paraId="10611093" w14:textId="7BDAA9BD" w:rsidR="004523C5" w:rsidRPr="003F1AF9" w:rsidRDefault="004523C5" w:rsidP="004523C5">
            <w:pPr>
              <w:spacing w:after="0"/>
              <w:jc w:val="left"/>
            </w:pPr>
            <w:r w:rsidRPr="003F1AF9">
              <w:t>1</w:t>
            </w:r>
          </w:p>
        </w:tc>
      </w:tr>
    </w:tbl>
    <w:p w14:paraId="22CD57CE" w14:textId="34331434" w:rsidR="00DF5AE8" w:rsidRPr="003F1AF9" w:rsidRDefault="00E46393" w:rsidP="00DF5AE8">
      <w:pPr>
        <w:spacing w:line="276" w:lineRule="auto"/>
        <w:rPr>
          <w:sz w:val="20"/>
        </w:rPr>
      </w:pPr>
      <w:r w:rsidRPr="003F1AF9">
        <w:rPr>
          <w:sz w:val="20"/>
        </w:rPr>
        <w:t>* T</w:t>
      </w:r>
      <w:r w:rsidR="00DF5AE8" w:rsidRPr="003F1AF9">
        <w:rPr>
          <w:sz w:val="20"/>
        </w:rPr>
        <w:t>he model actually uses kWh (</w:t>
      </w:r>
      <w:proofErr w:type="spellStart"/>
      <w:r w:rsidR="00DF5AE8" w:rsidRPr="003F1AF9">
        <w:rPr>
          <w:sz w:val="20"/>
        </w:rPr>
        <w:t>th</w:t>
      </w:r>
      <w:proofErr w:type="spellEnd"/>
      <w:r w:rsidR="00DF5AE8" w:rsidRPr="003F1AF9">
        <w:rPr>
          <w:sz w:val="20"/>
        </w:rPr>
        <w:t>) for its financial inputs, but for ease of interpretation, the figures in this table are in MWh (</w:t>
      </w:r>
      <w:proofErr w:type="spellStart"/>
      <w:r w:rsidR="00DF5AE8" w:rsidRPr="003F1AF9">
        <w:rPr>
          <w:sz w:val="20"/>
        </w:rPr>
        <w:t>th</w:t>
      </w:r>
      <w:proofErr w:type="spellEnd"/>
      <w:r w:rsidR="00DF5AE8" w:rsidRPr="003F1AF9">
        <w:rPr>
          <w:sz w:val="20"/>
        </w:rPr>
        <w:t>).</w:t>
      </w:r>
    </w:p>
    <w:p w14:paraId="106D2336" w14:textId="76CBD8DC" w:rsidR="00DF5AE8" w:rsidRPr="003F1AF9" w:rsidRDefault="00DF5AE8">
      <w:pPr>
        <w:pStyle w:val="Heading3"/>
      </w:pPr>
      <w:bookmarkStart w:id="454" w:name="_Toc536184418"/>
      <w:bookmarkStart w:id="455" w:name="_Toc536442467"/>
      <w:bookmarkStart w:id="456" w:name="_Toc536607086"/>
      <w:bookmarkStart w:id="457" w:name="_Toc536607182"/>
      <w:bookmarkStart w:id="458" w:name="_Toc2156697"/>
      <w:bookmarkStart w:id="459" w:name="_Toc2597635"/>
      <w:bookmarkStart w:id="460" w:name="_Toc2701351"/>
      <w:bookmarkStart w:id="461" w:name="_Toc5112422"/>
      <w:bookmarkStart w:id="462" w:name="_Ref529116463"/>
      <w:bookmarkStart w:id="463" w:name="_Toc529163310"/>
      <w:bookmarkStart w:id="464" w:name="_Toc42289724"/>
      <w:bookmarkEnd w:id="454"/>
      <w:bookmarkEnd w:id="455"/>
      <w:bookmarkEnd w:id="456"/>
      <w:bookmarkEnd w:id="457"/>
      <w:bookmarkEnd w:id="458"/>
      <w:bookmarkEnd w:id="459"/>
      <w:bookmarkEnd w:id="460"/>
      <w:bookmarkEnd w:id="461"/>
      <w:r w:rsidRPr="003F1AF9">
        <w:t>Technical Inputs</w:t>
      </w:r>
      <w:bookmarkEnd w:id="462"/>
      <w:bookmarkEnd w:id="463"/>
      <w:bookmarkEnd w:id="464"/>
    </w:p>
    <w:p w14:paraId="45EC81A5" w14:textId="2727FD80" w:rsidR="00DF5AE8" w:rsidRPr="003F1AF9" w:rsidRDefault="00DF5AE8" w:rsidP="00DF5AE8">
      <w:r w:rsidRPr="003F1AF9">
        <w:t xml:space="preserve">Besides strictly climate and financial inputs, several general variables were used in the analysis which had important impacts on both the climate and financial results. These are described </w:t>
      </w:r>
      <w:r w:rsidR="00E3495B" w:rsidRPr="003F1AF9">
        <w:t>in this section</w:t>
      </w:r>
      <w:r w:rsidRPr="003F1AF9">
        <w:t>.</w:t>
      </w:r>
      <w:r w:rsidR="0078120E">
        <w:t xml:space="preserve"> </w:t>
      </w:r>
    </w:p>
    <w:p w14:paraId="1D36652B" w14:textId="77777777" w:rsidR="00DF5AE8" w:rsidRPr="003F1AF9" w:rsidRDefault="00DF5AE8" w:rsidP="00DF5AE8">
      <w:pPr>
        <w:pStyle w:val="Heading4"/>
      </w:pPr>
      <w:r w:rsidRPr="003F1AF9">
        <w:t>Energy Consumption and Efficiency Variables</w:t>
      </w:r>
    </w:p>
    <w:p w14:paraId="4AD3EE60" w14:textId="3CC557AB" w:rsidR="00DF5AE8" w:rsidRPr="003F1AF9" w:rsidRDefault="00DF5AE8" w:rsidP="00DF5AE8">
      <w:r w:rsidRPr="003F1AF9">
        <w:t>It is assumed that for every TWh (therm</w:t>
      </w:r>
      <w:r w:rsidR="00E3495B" w:rsidRPr="003F1AF9">
        <w:t>al</w:t>
      </w:r>
      <w:r w:rsidRPr="003F1AF9">
        <w:t>) produced by high-efficient heat pumps, an equivalent amount of energy would have been generated from conventional fuel combustion (coal, oil, and natural gas only)</w:t>
      </w:r>
      <w:r w:rsidRPr="003F1AF9">
        <w:rPr>
          <w:rStyle w:val="FootnoteReference"/>
        </w:rPr>
        <w:footnoteReference w:id="3"/>
      </w:r>
      <w:r w:rsidRPr="003F1AF9">
        <w:t xml:space="preserve"> and low-efficiency electric systems.</w:t>
      </w:r>
      <w:r w:rsidR="0078120E">
        <w:t xml:space="preserve"> </w:t>
      </w:r>
      <w:r w:rsidRPr="003F1AF9">
        <w:t xml:space="preserve">While the replacement of these high-emissions technologies </w:t>
      </w:r>
      <w:r w:rsidR="00D13FAA" w:rsidRPr="003F1AF9">
        <w:t>by</w:t>
      </w:r>
      <w:r w:rsidRPr="003F1AF9">
        <w:t xml:space="preserve"> </w:t>
      </w:r>
      <w:r w:rsidR="00D13FAA" w:rsidRPr="003F1AF9">
        <w:t>electrical</w:t>
      </w:r>
      <w:r w:rsidRPr="003F1AF9">
        <w:t xml:space="preserve"> heat pumps will increase the overall usage of electricity, overall energy savings are achieved through reduced fuel combustion. </w:t>
      </w:r>
    </w:p>
    <w:p w14:paraId="3F6CA4DA" w14:textId="5C370CA0" w:rsidR="00DF5AE8" w:rsidRPr="003F1AF9" w:rsidRDefault="00D13FAA" w:rsidP="00DF5AE8">
      <w:r w:rsidRPr="003F1AF9">
        <w:lastRenderedPageBreak/>
        <w:t>As discussed in the Literature Review, f</w:t>
      </w:r>
      <w:r w:rsidR="00DF5AE8" w:rsidRPr="003F1AF9">
        <w:t>or conventional</w:t>
      </w:r>
      <w:r w:rsidRPr="003F1AF9">
        <w:t xml:space="preserve"> combustion-based</w:t>
      </w:r>
      <w:r w:rsidR="00DF5AE8" w:rsidRPr="003F1AF9">
        <w:t xml:space="preserve"> heating systems, the maximum </w:t>
      </w:r>
      <w:r w:rsidRPr="003F1AF9">
        <w:t xml:space="preserve">fuel to space heating delivered energy efficiency is 100%, while heat </w:t>
      </w:r>
      <w:r w:rsidR="00DF5AE8" w:rsidRPr="003F1AF9">
        <w:t>pumps</w:t>
      </w:r>
      <w:r w:rsidRPr="003F1AF9">
        <w:t>, which</w:t>
      </w:r>
      <w:r w:rsidR="00DF5AE8" w:rsidRPr="003F1AF9">
        <w:t xml:space="preserve"> </w:t>
      </w:r>
      <w:r w:rsidR="00DF5AE8" w:rsidRPr="003F1AF9">
        <w:rPr>
          <w:i/>
        </w:rPr>
        <w:t>extract</w:t>
      </w:r>
      <w:r w:rsidR="00DF5AE8" w:rsidRPr="003F1AF9">
        <w:t xml:space="preserve"> heat from one location to supply heat to another, </w:t>
      </w:r>
      <w:r w:rsidRPr="003F1AF9">
        <w:t>commonly achieve electrical energy to space heating delivered energy efficiency of 300% or greater.</w:t>
      </w:r>
      <w:r w:rsidR="0078120E">
        <w:t xml:space="preserve"> </w:t>
      </w:r>
      <w:r w:rsidRPr="003F1AF9">
        <w:t xml:space="preserve">For this </w:t>
      </w:r>
      <w:r w:rsidR="00BD3252" w:rsidRPr="003F1AF9">
        <w:t>reason,</w:t>
      </w:r>
      <w:r w:rsidRPr="003F1AF9">
        <w:t xml:space="preserve"> it is important </w:t>
      </w:r>
      <w:r w:rsidR="008E08A7" w:rsidRPr="003F1AF9">
        <w:t>to</w:t>
      </w:r>
      <w:r w:rsidRPr="003F1AF9">
        <w:t xml:space="preserve"> carefully interpret energy efficiency metrics in order to accurately represent the situation</w:t>
      </w:r>
      <w:r w:rsidR="008E08A7" w:rsidRPr="003F1AF9">
        <w:t xml:space="preserve">, especially to </w:t>
      </w:r>
      <w:r w:rsidRPr="003F1AF9">
        <w:t>distinguish</w:t>
      </w:r>
      <w:r w:rsidR="00DF5AE8" w:rsidRPr="003F1AF9">
        <w:t xml:space="preserve"> between energy consumed (TWh) and energy supplied as heat (TWh (therm</w:t>
      </w:r>
      <w:r w:rsidRPr="003F1AF9">
        <w:t>al</w:t>
      </w:r>
      <w:r w:rsidR="00DF5AE8" w:rsidRPr="003F1AF9">
        <w:t>) or TWh (</w:t>
      </w:r>
      <w:proofErr w:type="spellStart"/>
      <w:r w:rsidR="00DF5AE8" w:rsidRPr="003F1AF9">
        <w:t>th</w:t>
      </w:r>
      <w:proofErr w:type="spellEnd"/>
      <w:r w:rsidR="00DF5AE8" w:rsidRPr="003F1AF9">
        <w:t>)).</w:t>
      </w:r>
      <w:r w:rsidR="0078120E">
        <w:t xml:space="preserve"> </w:t>
      </w:r>
    </w:p>
    <w:p w14:paraId="45FD2014" w14:textId="6E9A60BD" w:rsidR="00DF5AE8" w:rsidRPr="003F1AF9" w:rsidRDefault="00D13FAA" w:rsidP="00DF5AE8">
      <w:r w:rsidRPr="003F1AF9">
        <w:t xml:space="preserve">A minor complication is </w:t>
      </w:r>
      <w:r w:rsidR="00DF5AE8" w:rsidRPr="003F1AF9">
        <w:t xml:space="preserve">that the conventional </w:t>
      </w:r>
      <w:r w:rsidR="003179DF" w:rsidRPr="003F1AF9">
        <w:t>space heating energy sources include</w:t>
      </w:r>
      <w:r w:rsidR="00DF5AE8" w:rsidRPr="003F1AF9">
        <w:t xml:space="preserve"> all the fuels named above </w:t>
      </w:r>
      <w:r w:rsidR="003179DF" w:rsidRPr="003F1AF9">
        <w:t>plus</w:t>
      </w:r>
      <w:r w:rsidR="00DF5AE8" w:rsidRPr="003F1AF9">
        <w:t xml:space="preserve"> electricity, but the solution </w:t>
      </w:r>
      <w:r w:rsidR="003179DF" w:rsidRPr="003F1AF9">
        <w:t xml:space="preserve">– high-efficiency heat pumps – </w:t>
      </w:r>
      <w:r w:rsidR="00DF5AE8" w:rsidRPr="003F1AF9">
        <w:t>uses only electricity. The electricity consumed by the conventional technology is calculated by taking the fraction of the conventional energy sources provided by electricity as a fraction of all the conventional energy sources. This represents the average TWh of electricity used for each TWh (</w:t>
      </w:r>
      <w:proofErr w:type="spellStart"/>
      <w:r w:rsidR="00DF5AE8" w:rsidRPr="003F1AF9">
        <w:t>th</w:t>
      </w:r>
      <w:proofErr w:type="spellEnd"/>
      <w:r w:rsidR="00DF5AE8" w:rsidRPr="003F1AF9">
        <w:t>) supplied. Similarly, the fuel energy consumed is taken as the remaining energy consumed converted to TJ (the fuel energy input unit).</w:t>
      </w:r>
    </w:p>
    <w:p w14:paraId="1AC473CA" w14:textId="24847F24" w:rsidR="00DF5AE8" w:rsidRPr="003F1AF9" w:rsidRDefault="00DF5AE8" w:rsidP="00DF5AE8">
      <w:r w:rsidRPr="003F1AF9">
        <w:t xml:space="preserve">The solution only uses electricity, and </w:t>
      </w:r>
      <w:r w:rsidR="003179DF" w:rsidRPr="003F1AF9">
        <w:t>the amount of</w:t>
      </w:r>
      <w:r w:rsidRPr="003F1AF9">
        <w:t xml:space="preserve"> electricity is based on the </w:t>
      </w:r>
      <w:r w:rsidR="003179DF" w:rsidRPr="003F1AF9">
        <w:t xml:space="preserve">seasonal </w:t>
      </w:r>
      <w:r w:rsidRPr="003F1AF9">
        <w:t>coefficient of performance (</w:t>
      </w:r>
      <w:r w:rsidR="003179DF" w:rsidRPr="003F1AF9">
        <w:t>S</w:t>
      </w:r>
      <w:r w:rsidRPr="003F1AF9">
        <w:t xml:space="preserve">COP) which indicates how much electricity will be </w:t>
      </w:r>
      <w:r w:rsidR="003179DF" w:rsidRPr="003F1AF9">
        <w:t xml:space="preserve">is </w:t>
      </w:r>
      <w:r w:rsidRPr="003F1AF9">
        <w:t>needed for each TWh (</w:t>
      </w:r>
      <w:proofErr w:type="spellStart"/>
      <w:r w:rsidRPr="003F1AF9">
        <w:t>th</w:t>
      </w:r>
      <w:proofErr w:type="spellEnd"/>
      <w:r w:rsidRPr="003F1AF9">
        <w:t xml:space="preserve">) supplied. This </w:t>
      </w:r>
      <w:r w:rsidR="003179DF" w:rsidRPr="003F1AF9">
        <w:t xml:space="preserve">is simply the inverse, </w:t>
      </w:r>
      <w:r w:rsidRPr="003F1AF9">
        <w:t>1/</w:t>
      </w:r>
      <w:r w:rsidR="003179DF" w:rsidRPr="003F1AF9">
        <w:t>SCOP</w:t>
      </w:r>
      <w:r w:rsidRPr="003F1AF9">
        <w:t xml:space="preserve">. Input variables are shown in </w:t>
      </w:r>
      <w:r w:rsidR="00BD3252" w:rsidRPr="003F1AF9">
        <w:fldChar w:fldCharType="begin"/>
      </w:r>
      <w:r w:rsidR="00BD3252" w:rsidRPr="003F1AF9">
        <w:instrText xml:space="preserve"> REF _Ref536182802 \h </w:instrText>
      </w:r>
      <w:r w:rsidR="00BD3252" w:rsidRPr="003F1AF9">
        <w:fldChar w:fldCharType="separate"/>
      </w:r>
      <w:r w:rsidR="00E60668" w:rsidRPr="003F1AF9">
        <w:t xml:space="preserve">Table </w:t>
      </w:r>
      <w:r w:rsidR="00E60668">
        <w:rPr>
          <w:noProof/>
        </w:rPr>
        <w:t>2</w:t>
      </w:r>
      <w:r w:rsidR="00E60668" w:rsidRPr="003F1AF9">
        <w:t>.</w:t>
      </w:r>
      <w:r w:rsidR="00E60668">
        <w:rPr>
          <w:noProof/>
        </w:rPr>
        <w:t>8</w:t>
      </w:r>
      <w:r w:rsidR="00BD3252" w:rsidRPr="003F1AF9">
        <w:fldChar w:fldCharType="end"/>
      </w:r>
      <w:r w:rsidR="003179DF" w:rsidRPr="003F1AF9">
        <w:t>.</w:t>
      </w:r>
      <w:r w:rsidR="0078120E">
        <w:t xml:space="preserve"> </w:t>
      </w:r>
    </w:p>
    <w:p w14:paraId="7D9ABBA9" w14:textId="77777777" w:rsidR="00DF5AE8" w:rsidRPr="003F1AF9" w:rsidRDefault="00DF5AE8" w:rsidP="00DF5AE8">
      <w:pPr>
        <w:pStyle w:val="Heading4"/>
      </w:pPr>
      <w:r w:rsidRPr="003F1AF9">
        <w:t>Lifetime Variables</w:t>
      </w:r>
    </w:p>
    <w:p w14:paraId="341E33D6" w14:textId="77777777" w:rsidR="00DF5AE8" w:rsidRPr="003F1AF9" w:rsidRDefault="00DF5AE8" w:rsidP="00DF5AE8">
      <w:r w:rsidRPr="003F1AF9">
        <w:t xml:space="preserve">Several additional variables were necessary to calculate the financial benefits of installing high efficiency heat pumps. These include estimates for the life expectancy of both conventional as well as solution technologies. Though life expectancies for these technologies can vary considerably based on numerous factors, the model uses data from several sources including the IEA’s Energy Technology System Analysis </w:t>
      </w:r>
      <w:proofErr w:type="spellStart"/>
      <w:r w:rsidRPr="003F1AF9">
        <w:t>Programme</w:t>
      </w:r>
      <w:proofErr w:type="spellEnd"/>
      <w:r w:rsidRPr="003F1AF9">
        <w:t xml:space="preserve"> (ETSAP), the International Renewable Energy Agency (IRENA), the US Department of Energy (DOE) and the Lawrence Berkeley National Laboratories (LBNL). These data are mostly in years of life (for the lifetime) and in hours per day (for the usage). These were converted to energy output using the average technology size variables (in kW).</w:t>
      </w:r>
    </w:p>
    <w:p w14:paraId="05B772BC" w14:textId="4E1BE202" w:rsidR="00DF5AE8" w:rsidRPr="003F1AF9" w:rsidRDefault="00DF5AE8" w:rsidP="00DF5AE8">
      <w:r w:rsidRPr="003F1AF9">
        <w:t>The average annual use was calculated by assuming 365 days of use at the average hours of use per day obtained from the sources, and this total annual usage in hours was converted to an energy output by multiplying by the system size.</w:t>
      </w:r>
      <w:r w:rsidR="0078120E">
        <w:t xml:space="preserve"> </w:t>
      </w:r>
    </w:p>
    <w:p w14:paraId="69B94F8A" w14:textId="1A344008" w:rsidR="00DF5AE8" w:rsidRPr="003F1AF9" w:rsidRDefault="00DF5AE8" w:rsidP="00DF5AE8">
      <w:r w:rsidRPr="003F1AF9">
        <w:t xml:space="preserve">The lifetime capacity for each technology was collected mostly in years and converted to total energy output by multiplying the average number of years by the energy output per year. The variables are shown in </w:t>
      </w:r>
      <w:r w:rsidR="00BD3252" w:rsidRPr="003F1AF9">
        <w:fldChar w:fldCharType="begin"/>
      </w:r>
      <w:r w:rsidR="00BD3252" w:rsidRPr="003F1AF9">
        <w:instrText xml:space="preserve"> REF _Ref536182808 \h </w:instrText>
      </w:r>
      <w:r w:rsidR="00BD3252" w:rsidRPr="003F1AF9">
        <w:fldChar w:fldCharType="separate"/>
      </w:r>
      <w:r w:rsidR="00E60668" w:rsidRPr="003F1AF9">
        <w:t xml:space="preserve">Table </w:t>
      </w:r>
      <w:r w:rsidR="00E60668">
        <w:rPr>
          <w:noProof/>
        </w:rPr>
        <w:t>2</w:t>
      </w:r>
      <w:r w:rsidR="00E60668" w:rsidRPr="003F1AF9">
        <w:t>.</w:t>
      </w:r>
      <w:r w:rsidR="00E60668">
        <w:rPr>
          <w:noProof/>
        </w:rPr>
        <w:t>9</w:t>
      </w:r>
      <w:r w:rsidR="00BD3252" w:rsidRPr="003F1AF9">
        <w:fldChar w:fldCharType="end"/>
      </w:r>
      <w:r w:rsidRPr="003F1AF9">
        <w:t>.</w:t>
      </w:r>
    </w:p>
    <w:p w14:paraId="127CC008" w14:textId="77777777" w:rsidR="00603300" w:rsidRPr="003F1AF9" w:rsidRDefault="00603300">
      <w:pPr>
        <w:spacing w:after="160" w:line="259" w:lineRule="auto"/>
        <w:jc w:val="left"/>
        <w:rPr>
          <w:i/>
          <w:iCs/>
          <w:color w:val="1F497D" w:themeColor="text2"/>
          <w:sz w:val="18"/>
          <w:szCs w:val="18"/>
        </w:rPr>
      </w:pPr>
      <w:bookmarkStart w:id="465" w:name="_Ref526604068"/>
      <w:bookmarkStart w:id="466" w:name="_Toc341495799"/>
      <w:bookmarkStart w:id="467" w:name="_Ref526604721"/>
      <w:bookmarkStart w:id="468" w:name="_Toc527372892"/>
      <w:bookmarkStart w:id="469" w:name="_Toc529163337"/>
      <w:r w:rsidRPr="003F1AF9">
        <w:br w:type="page"/>
      </w:r>
    </w:p>
    <w:p w14:paraId="5322B71E" w14:textId="22E9106E" w:rsidR="00BD3252" w:rsidRPr="003F1AF9" w:rsidRDefault="00BD3252" w:rsidP="0055612F">
      <w:pPr>
        <w:pStyle w:val="Caption"/>
        <w:keepNext/>
        <w:jc w:val="center"/>
      </w:pPr>
      <w:bookmarkStart w:id="470" w:name="_Ref536182802"/>
      <w:bookmarkStart w:id="471" w:name="_Toc42289757"/>
      <w:bookmarkEnd w:id="465"/>
      <w:bookmarkEnd w:id="466"/>
      <w:bookmarkEnd w:id="467"/>
      <w:bookmarkEnd w:id="468"/>
      <w:bookmarkEnd w:id="469"/>
      <w:r w:rsidRPr="003F1AF9">
        <w:lastRenderedPageBreak/>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2</w:t>
      </w:r>
      <w:r w:rsidR="00C0437B" w:rsidRPr="003F1AF9">
        <w:rPr>
          <w:noProof/>
        </w:rPr>
        <w:fldChar w:fldCharType="end"/>
      </w:r>
      <w:r w:rsidR="00905204"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8</w:t>
      </w:r>
      <w:r w:rsidR="00C0437B" w:rsidRPr="003F1AF9">
        <w:rPr>
          <w:noProof/>
        </w:rPr>
        <w:fldChar w:fldCharType="end"/>
      </w:r>
      <w:bookmarkEnd w:id="470"/>
      <w:r w:rsidRPr="003F1AF9">
        <w:t xml:space="preserve"> Technical model inputs for Energy Consumption and Efficiency</w:t>
      </w:r>
      <w:bookmarkEnd w:id="471"/>
    </w:p>
    <w:tbl>
      <w:tblPr>
        <w:tblStyle w:val="TableGrid"/>
        <w:tblW w:w="9715" w:type="dxa"/>
        <w:jc w:val="center"/>
        <w:tblLayout w:type="fixed"/>
        <w:tblLook w:val="04A0" w:firstRow="1" w:lastRow="0" w:firstColumn="1" w:lastColumn="0" w:noHBand="0" w:noVBand="1"/>
      </w:tblPr>
      <w:tblGrid>
        <w:gridCol w:w="2988"/>
        <w:gridCol w:w="1147"/>
        <w:gridCol w:w="1620"/>
        <w:gridCol w:w="1620"/>
        <w:gridCol w:w="900"/>
        <w:gridCol w:w="1440"/>
      </w:tblGrid>
      <w:tr w:rsidR="00DF5AE8" w:rsidRPr="003F1AF9" w14:paraId="359863E2" w14:textId="77777777" w:rsidTr="0055612F">
        <w:trPr>
          <w:cantSplit/>
          <w:tblHeader/>
          <w:jc w:val="center"/>
        </w:trPr>
        <w:tc>
          <w:tcPr>
            <w:tcW w:w="2988" w:type="dxa"/>
            <w:shd w:val="clear" w:color="auto" w:fill="4F81BD" w:themeFill="accent1"/>
            <w:vAlign w:val="center"/>
          </w:tcPr>
          <w:p w14:paraId="37AE80EB" w14:textId="77777777" w:rsidR="00DF5AE8" w:rsidRPr="003F1AF9" w:rsidRDefault="00DF5AE8" w:rsidP="005E1CA6">
            <w:pPr>
              <w:rPr>
                <w:b/>
                <w:color w:val="FFFFFF" w:themeColor="background1"/>
              </w:rPr>
            </w:pPr>
            <w:r w:rsidRPr="003F1AF9">
              <w:rPr>
                <w:b/>
                <w:color w:val="FFFFFF" w:themeColor="background1"/>
              </w:rPr>
              <w:t>Variable</w:t>
            </w:r>
          </w:p>
        </w:tc>
        <w:tc>
          <w:tcPr>
            <w:tcW w:w="1147" w:type="dxa"/>
            <w:shd w:val="clear" w:color="auto" w:fill="4F81BD" w:themeFill="accent1"/>
            <w:vAlign w:val="center"/>
          </w:tcPr>
          <w:p w14:paraId="3C947C15" w14:textId="77777777" w:rsidR="00DF5AE8" w:rsidRPr="003F1AF9" w:rsidRDefault="00DF5AE8" w:rsidP="005E1CA6">
            <w:pPr>
              <w:rPr>
                <w:b/>
                <w:color w:val="FFFFFF" w:themeColor="background1"/>
              </w:rPr>
            </w:pPr>
            <w:r w:rsidRPr="003F1AF9">
              <w:rPr>
                <w:b/>
                <w:color w:val="FFFFFF" w:themeColor="background1"/>
              </w:rPr>
              <w:t>Unit</w:t>
            </w:r>
          </w:p>
        </w:tc>
        <w:tc>
          <w:tcPr>
            <w:tcW w:w="1620" w:type="dxa"/>
            <w:shd w:val="clear" w:color="auto" w:fill="4F81BD" w:themeFill="accent1"/>
            <w:vAlign w:val="center"/>
          </w:tcPr>
          <w:p w14:paraId="2768FAC3" w14:textId="77777777" w:rsidR="00DF5AE8" w:rsidRPr="003F1AF9" w:rsidRDefault="00DF5AE8" w:rsidP="005E1CA6">
            <w:pPr>
              <w:rPr>
                <w:b/>
                <w:color w:val="FFFFFF" w:themeColor="background1"/>
              </w:rPr>
            </w:pPr>
            <w:r w:rsidRPr="003F1AF9">
              <w:rPr>
                <w:b/>
                <w:color w:val="FFFFFF" w:themeColor="background1"/>
              </w:rPr>
              <w:t>Project Drawdown Data Set Range</w:t>
            </w:r>
          </w:p>
        </w:tc>
        <w:tc>
          <w:tcPr>
            <w:tcW w:w="1620" w:type="dxa"/>
            <w:shd w:val="clear" w:color="auto" w:fill="4F81BD" w:themeFill="accent1"/>
            <w:vAlign w:val="center"/>
          </w:tcPr>
          <w:p w14:paraId="0168C91C" w14:textId="77777777" w:rsidR="00DF5AE8" w:rsidRPr="003F1AF9" w:rsidRDefault="00DF5AE8" w:rsidP="005E1CA6">
            <w:pPr>
              <w:rPr>
                <w:b/>
                <w:color w:val="FFFFFF" w:themeColor="background1"/>
              </w:rPr>
            </w:pPr>
            <w:r w:rsidRPr="003F1AF9">
              <w:rPr>
                <w:b/>
                <w:color w:val="FFFFFF" w:themeColor="background1"/>
              </w:rPr>
              <w:t>Model Input</w:t>
            </w:r>
          </w:p>
        </w:tc>
        <w:tc>
          <w:tcPr>
            <w:tcW w:w="900" w:type="dxa"/>
            <w:shd w:val="clear" w:color="auto" w:fill="4F81BD" w:themeFill="accent1"/>
            <w:tcMar>
              <w:left w:w="29" w:type="dxa"/>
              <w:right w:w="29" w:type="dxa"/>
            </w:tcMar>
            <w:vAlign w:val="center"/>
          </w:tcPr>
          <w:p w14:paraId="2BF7E87A" w14:textId="77777777" w:rsidR="00DF5AE8" w:rsidRPr="003F1AF9" w:rsidRDefault="00DF5AE8" w:rsidP="005E1CA6">
            <w:pPr>
              <w:rPr>
                <w:b/>
                <w:color w:val="FFFFFF" w:themeColor="background1"/>
              </w:rPr>
            </w:pPr>
            <w:r w:rsidRPr="003F1AF9">
              <w:rPr>
                <w:b/>
                <w:color w:val="FFFFFF" w:themeColor="background1"/>
              </w:rPr>
              <w:t>Data-points (#)</w:t>
            </w:r>
          </w:p>
        </w:tc>
        <w:tc>
          <w:tcPr>
            <w:tcW w:w="1440" w:type="dxa"/>
            <w:shd w:val="clear" w:color="auto" w:fill="4F81BD" w:themeFill="accent1"/>
            <w:tcMar>
              <w:left w:w="29" w:type="dxa"/>
              <w:right w:w="29" w:type="dxa"/>
            </w:tcMar>
            <w:vAlign w:val="center"/>
          </w:tcPr>
          <w:p w14:paraId="609E57BA" w14:textId="77777777" w:rsidR="00DF5AE8" w:rsidRPr="003F1AF9" w:rsidRDefault="00DF5AE8" w:rsidP="005E1CA6">
            <w:pPr>
              <w:rPr>
                <w:b/>
                <w:color w:val="FFFFFF" w:themeColor="background1"/>
              </w:rPr>
            </w:pPr>
            <w:r w:rsidRPr="003F1AF9">
              <w:rPr>
                <w:b/>
                <w:color w:val="FFFFFF" w:themeColor="background1"/>
              </w:rPr>
              <w:t>Sources (#)</w:t>
            </w:r>
          </w:p>
        </w:tc>
      </w:tr>
      <w:tr w:rsidR="00DF5AE8" w:rsidRPr="003F1AF9" w14:paraId="541D5603" w14:textId="77777777" w:rsidTr="0055612F">
        <w:trPr>
          <w:cantSplit/>
          <w:jc w:val="center"/>
        </w:trPr>
        <w:tc>
          <w:tcPr>
            <w:tcW w:w="2988" w:type="dxa"/>
          </w:tcPr>
          <w:p w14:paraId="323CA726" w14:textId="474C0E12" w:rsidR="00DF5AE8" w:rsidRPr="003F1AF9" w:rsidRDefault="00DF5AE8">
            <w:pPr>
              <w:spacing w:after="0"/>
              <w:jc w:val="left"/>
            </w:pPr>
            <w:r w:rsidRPr="003F1AF9">
              <w:t>Electricity Consumed for Conventional Building Heating</w:t>
            </w:r>
            <w:r w:rsidR="00603300" w:rsidRPr="003F1AF9">
              <w:t>*</w:t>
            </w:r>
          </w:p>
        </w:tc>
        <w:tc>
          <w:tcPr>
            <w:tcW w:w="1147" w:type="dxa"/>
            <w:vAlign w:val="center"/>
          </w:tcPr>
          <w:p w14:paraId="5BE532AC" w14:textId="77777777" w:rsidR="00DF5AE8" w:rsidRPr="003F1AF9" w:rsidRDefault="00DF5AE8" w:rsidP="00132E27">
            <w:pPr>
              <w:spacing w:after="0"/>
              <w:jc w:val="left"/>
            </w:pPr>
            <w:r w:rsidRPr="003F1AF9">
              <w:t>TWh/ TWh(</w:t>
            </w:r>
            <w:proofErr w:type="spellStart"/>
            <w:r w:rsidRPr="003F1AF9">
              <w:t>th</w:t>
            </w:r>
            <w:proofErr w:type="spellEnd"/>
            <w:r w:rsidRPr="003F1AF9">
              <w:t>)</w:t>
            </w:r>
          </w:p>
        </w:tc>
        <w:tc>
          <w:tcPr>
            <w:tcW w:w="1620" w:type="dxa"/>
            <w:vAlign w:val="center"/>
          </w:tcPr>
          <w:p w14:paraId="02D5D079" w14:textId="59C0028F" w:rsidR="00DF5AE8" w:rsidRPr="003F1AF9" w:rsidRDefault="00CA2A6E" w:rsidP="00132E27">
            <w:pPr>
              <w:spacing w:after="0"/>
              <w:jc w:val="left"/>
            </w:pPr>
            <w:r w:rsidRPr="003F1AF9">
              <w:t>0.1</w:t>
            </w:r>
            <w:r w:rsidR="007841BB">
              <w:t>85</w:t>
            </w:r>
          </w:p>
        </w:tc>
        <w:tc>
          <w:tcPr>
            <w:tcW w:w="1620" w:type="dxa"/>
            <w:vAlign w:val="center"/>
          </w:tcPr>
          <w:p w14:paraId="5FAB5938" w14:textId="1D2D555C" w:rsidR="00DF5AE8" w:rsidRPr="003F1AF9" w:rsidRDefault="00CA2A6E" w:rsidP="00132E27">
            <w:pPr>
              <w:spacing w:after="0"/>
              <w:jc w:val="left"/>
            </w:pPr>
            <w:r w:rsidRPr="003F1AF9">
              <w:t>0.1</w:t>
            </w:r>
            <w:r w:rsidR="007841BB">
              <w:t>85</w:t>
            </w:r>
          </w:p>
        </w:tc>
        <w:tc>
          <w:tcPr>
            <w:tcW w:w="900" w:type="dxa"/>
            <w:vAlign w:val="center"/>
          </w:tcPr>
          <w:p w14:paraId="4B8A9A14" w14:textId="77777777" w:rsidR="00DF5AE8" w:rsidRPr="003F1AF9" w:rsidRDefault="00DF5AE8" w:rsidP="00132E27">
            <w:pPr>
              <w:spacing w:after="0"/>
              <w:jc w:val="left"/>
            </w:pPr>
            <w:r w:rsidRPr="003F1AF9">
              <w:t>1</w:t>
            </w:r>
          </w:p>
        </w:tc>
        <w:tc>
          <w:tcPr>
            <w:tcW w:w="1440" w:type="dxa"/>
            <w:vAlign w:val="center"/>
          </w:tcPr>
          <w:p w14:paraId="1F45CEDA" w14:textId="77777777" w:rsidR="00DF5AE8" w:rsidRPr="003F1AF9" w:rsidRDefault="00DF5AE8" w:rsidP="00132E27">
            <w:pPr>
              <w:spacing w:after="0"/>
              <w:jc w:val="left"/>
            </w:pPr>
            <w:r w:rsidRPr="003F1AF9">
              <w:t>Derived from other inputs</w:t>
            </w:r>
          </w:p>
        </w:tc>
      </w:tr>
      <w:tr w:rsidR="00DF5AE8" w:rsidRPr="003F1AF9" w14:paraId="218F6673" w14:textId="77777777" w:rsidTr="0055612F">
        <w:trPr>
          <w:cantSplit/>
          <w:jc w:val="center"/>
        </w:trPr>
        <w:tc>
          <w:tcPr>
            <w:tcW w:w="2988" w:type="dxa"/>
          </w:tcPr>
          <w:p w14:paraId="0479A29C" w14:textId="67CDD046" w:rsidR="00DF5AE8" w:rsidRPr="003F1AF9" w:rsidRDefault="004B236B">
            <w:pPr>
              <w:spacing w:after="0"/>
              <w:jc w:val="left"/>
            </w:pPr>
            <w:r w:rsidRPr="003F1AF9">
              <w:t xml:space="preserve">Average </w:t>
            </w:r>
            <w:r w:rsidR="00DF5AE8" w:rsidRPr="003F1AF9">
              <w:t>Electricity Consumed for Solution Building Heating</w:t>
            </w:r>
            <w:r w:rsidR="00603300" w:rsidRPr="003F1AF9">
              <w:t>*</w:t>
            </w:r>
          </w:p>
        </w:tc>
        <w:tc>
          <w:tcPr>
            <w:tcW w:w="1147" w:type="dxa"/>
            <w:vAlign w:val="center"/>
          </w:tcPr>
          <w:p w14:paraId="495FF544" w14:textId="77777777" w:rsidR="00DF5AE8" w:rsidRPr="003F1AF9" w:rsidRDefault="00DF5AE8" w:rsidP="00132E27">
            <w:pPr>
              <w:spacing w:after="0"/>
              <w:jc w:val="left"/>
            </w:pPr>
            <w:r w:rsidRPr="003F1AF9">
              <w:t>TWh/ TWh(</w:t>
            </w:r>
            <w:proofErr w:type="spellStart"/>
            <w:r w:rsidRPr="003F1AF9">
              <w:t>th</w:t>
            </w:r>
            <w:proofErr w:type="spellEnd"/>
            <w:r w:rsidRPr="003F1AF9">
              <w:t>)</w:t>
            </w:r>
          </w:p>
        </w:tc>
        <w:tc>
          <w:tcPr>
            <w:tcW w:w="1620" w:type="dxa"/>
            <w:vAlign w:val="center"/>
          </w:tcPr>
          <w:p w14:paraId="01510D32" w14:textId="6A266E07" w:rsidR="00DF5AE8" w:rsidRPr="003F1AF9" w:rsidRDefault="00CA2A6E" w:rsidP="00132E27">
            <w:pPr>
              <w:spacing w:after="0"/>
              <w:jc w:val="left"/>
            </w:pPr>
            <w:r w:rsidRPr="003F1AF9">
              <w:t>Varies:</w:t>
            </w:r>
            <w:r w:rsidR="0078120E">
              <w:t xml:space="preserve"> </w:t>
            </w:r>
            <w:r w:rsidRPr="003F1AF9">
              <w:t>1/</w:t>
            </w:r>
            <w:r w:rsidR="004B236B" w:rsidRPr="003F1AF9">
              <w:t xml:space="preserve">(Average </w:t>
            </w:r>
            <w:r w:rsidRPr="003F1AF9">
              <w:t>SCOP</w:t>
            </w:r>
            <w:r w:rsidR="004B236B" w:rsidRPr="003F1AF9">
              <w:t xml:space="preserve"> between 2014 and 2060)</w:t>
            </w:r>
          </w:p>
        </w:tc>
        <w:tc>
          <w:tcPr>
            <w:tcW w:w="1620" w:type="dxa"/>
            <w:vAlign w:val="center"/>
          </w:tcPr>
          <w:p w14:paraId="1D73E253" w14:textId="48C571D4" w:rsidR="00DF5AE8" w:rsidRPr="003F1AF9" w:rsidRDefault="00603300" w:rsidP="00132E27">
            <w:pPr>
              <w:spacing w:after="0"/>
              <w:jc w:val="left"/>
            </w:pPr>
            <w:r w:rsidRPr="003F1AF9">
              <w:t>0.</w:t>
            </w:r>
            <w:r w:rsidR="004B236B" w:rsidRPr="003F1AF9">
              <w:t>278</w:t>
            </w:r>
            <w:r w:rsidRPr="003F1AF9">
              <w:t xml:space="preserve"> to 0.345, depends on </w:t>
            </w:r>
            <w:r w:rsidR="004B236B" w:rsidRPr="003F1AF9">
              <w:t xml:space="preserve">average </w:t>
            </w:r>
            <w:r w:rsidRPr="003F1AF9">
              <w:t>SCOP</w:t>
            </w:r>
            <w:r w:rsidR="004B236B" w:rsidRPr="003F1AF9">
              <w:t xml:space="preserve"> (2.9 to 3.6)</w:t>
            </w:r>
          </w:p>
        </w:tc>
        <w:tc>
          <w:tcPr>
            <w:tcW w:w="900" w:type="dxa"/>
            <w:vAlign w:val="center"/>
          </w:tcPr>
          <w:p w14:paraId="01BE559C" w14:textId="223553D3" w:rsidR="00DF5AE8" w:rsidRPr="003F1AF9" w:rsidRDefault="00CA38A4" w:rsidP="00132E27">
            <w:pPr>
              <w:spacing w:after="0"/>
              <w:jc w:val="left"/>
            </w:pPr>
            <w:r w:rsidRPr="003F1AF9">
              <w:t>16</w:t>
            </w:r>
          </w:p>
        </w:tc>
        <w:tc>
          <w:tcPr>
            <w:tcW w:w="1440" w:type="dxa"/>
            <w:vAlign w:val="center"/>
          </w:tcPr>
          <w:p w14:paraId="7DE6FD46" w14:textId="1C5621F1" w:rsidR="00DF5AE8" w:rsidRPr="003F1AF9" w:rsidRDefault="00CA38A4" w:rsidP="00C755EB">
            <w:pPr>
              <w:spacing w:after="0"/>
              <w:jc w:val="left"/>
            </w:pPr>
            <w:r w:rsidRPr="003F1AF9">
              <w:t>9</w:t>
            </w:r>
          </w:p>
        </w:tc>
      </w:tr>
      <w:tr w:rsidR="00DF5AE8" w:rsidRPr="003F1AF9" w14:paraId="7A2535E1" w14:textId="77777777" w:rsidTr="0055612F">
        <w:trPr>
          <w:cantSplit/>
          <w:jc w:val="center"/>
        </w:trPr>
        <w:tc>
          <w:tcPr>
            <w:tcW w:w="2988" w:type="dxa"/>
          </w:tcPr>
          <w:p w14:paraId="155A0DE4" w14:textId="141579DE" w:rsidR="00DF5AE8" w:rsidRPr="003F1AF9" w:rsidRDefault="00DF5AE8">
            <w:pPr>
              <w:spacing w:after="0"/>
              <w:jc w:val="left"/>
            </w:pPr>
            <w:r w:rsidRPr="003F1AF9">
              <w:t xml:space="preserve">Fuel consumed by Conventional Commercial Building </w:t>
            </w:r>
            <w:r w:rsidR="00674D4F" w:rsidRPr="003F1AF9">
              <w:t>*</w:t>
            </w:r>
          </w:p>
        </w:tc>
        <w:tc>
          <w:tcPr>
            <w:tcW w:w="1147" w:type="dxa"/>
            <w:vAlign w:val="center"/>
          </w:tcPr>
          <w:p w14:paraId="3AD39B93" w14:textId="77777777" w:rsidR="00DF5AE8" w:rsidRPr="003F1AF9" w:rsidRDefault="00DF5AE8" w:rsidP="00132E27">
            <w:pPr>
              <w:spacing w:after="0"/>
              <w:jc w:val="left"/>
            </w:pPr>
            <w:r w:rsidRPr="003F1AF9">
              <w:t>TJ/ TWh(</w:t>
            </w:r>
            <w:proofErr w:type="spellStart"/>
            <w:r w:rsidRPr="003F1AF9">
              <w:t>th</w:t>
            </w:r>
            <w:proofErr w:type="spellEnd"/>
            <w:r w:rsidRPr="003F1AF9">
              <w:t>)</w:t>
            </w:r>
          </w:p>
        </w:tc>
        <w:tc>
          <w:tcPr>
            <w:tcW w:w="1620" w:type="dxa"/>
            <w:vAlign w:val="center"/>
          </w:tcPr>
          <w:p w14:paraId="630435A2" w14:textId="416DA7E6" w:rsidR="00DF5AE8" w:rsidRPr="003F1AF9" w:rsidRDefault="00CA38A4" w:rsidP="00132E27">
            <w:pPr>
              <w:spacing w:after="0"/>
              <w:jc w:val="left"/>
            </w:pPr>
            <w:r w:rsidRPr="003F1AF9">
              <w:t>2</w:t>
            </w:r>
            <w:r w:rsidR="002D3549" w:rsidRPr="003F1AF9">
              <w:t>,</w:t>
            </w:r>
            <w:r w:rsidRPr="003F1AF9">
              <w:t>933.6</w:t>
            </w:r>
          </w:p>
        </w:tc>
        <w:tc>
          <w:tcPr>
            <w:tcW w:w="1620" w:type="dxa"/>
            <w:vAlign w:val="center"/>
          </w:tcPr>
          <w:p w14:paraId="338A82E3" w14:textId="7580D7A1" w:rsidR="00DF5AE8" w:rsidRPr="003F1AF9" w:rsidRDefault="00CA38A4" w:rsidP="00132E27">
            <w:pPr>
              <w:spacing w:after="0"/>
              <w:jc w:val="left"/>
            </w:pPr>
            <w:r w:rsidRPr="003F1AF9">
              <w:t>2</w:t>
            </w:r>
            <w:r w:rsidR="008D28C3">
              <w:t>,</w:t>
            </w:r>
            <w:r w:rsidRPr="003F1AF9">
              <w:t>933.6</w:t>
            </w:r>
          </w:p>
        </w:tc>
        <w:tc>
          <w:tcPr>
            <w:tcW w:w="900" w:type="dxa"/>
            <w:vAlign w:val="center"/>
          </w:tcPr>
          <w:p w14:paraId="63CBFBAE" w14:textId="77777777" w:rsidR="00DF5AE8" w:rsidRPr="003F1AF9" w:rsidRDefault="00DF5AE8" w:rsidP="00132E27">
            <w:pPr>
              <w:spacing w:after="0"/>
              <w:jc w:val="left"/>
            </w:pPr>
            <w:r w:rsidRPr="003F1AF9">
              <w:t>1</w:t>
            </w:r>
          </w:p>
        </w:tc>
        <w:tc>
          <w:tcPr>
            <w:tcW w:w="1440" w:type="dxa"/>
            <w:vAlign w:val="center"/>
          </w:tcPr>
          <w:p w14:paraId="23832B6A" w14:textId="77777777" w:rsidR="00DF5AE8" w:rsidRPr="003F1AF9" w:rsidRDefault="00DF5AE8" w:rsidP="00132E27">
            <w:pPr>
              <w:spacing w:after="0"/>
              <w:jc w:val="left"/>
            </w:pPr>
            <w:r w:rsidRPr="003F1AF9">
              <w:t xml:space="preserve">Derived from other inputs </w:t>
            </w:r>
          </w:p>
        </w:tc>
      </w:tr>
      <w:tr w:rsidR="00DF5AE8" w:rsidRPr="003F1AF9" w14:paraId="31AF542E" w14:textId="77777777" w:rsidTr="0055612F">
        <w:trPr>
          <w:cantSplit/>
          <w:jc w:val="center"/>
        </w:trPr>
        <w:tc>
          <w:tcPr>
            <w:tcW w:w="2988" w:type="dxa"/>
          </w:tcPr>
          <w:p w14:paraId="0090F7AC" w14:textId="77777777" w:rsidR="00DF5AE8" w:rsidRPr="003F1AF9" w:rsidRDefault="00DF5AE8">
            <w:pPr>
              <w:spacing w:after="0"/>
              <w:jc w:val="left"/>
            </w:pPr>
            <w:r w:rsidRPr="003F1AF9">
              <w:t>Fuel Consumption reduction Solution Compared to Conventional</w:t>
            </w:r>
          </w:p>
        </w:tc>
        <w:tc>
          <w:tcPr>
            <w:tcW w:w="1147" w:type="dxa"/>
            <w:vAlign w:val="center"/>
          </w:tcPr>
          <w:p w14:paraId="547A296C" w14:textId="77777777" w:rsidR="00DF5AE8" w:rsidRPr="003F1AF9" w:rsidRDefault="00DF5AE8" w:rsidP="00132E27">
            <w:pPr>
              <w:spacing w:after="0"/>
              <w:jc w:val="left"/>
            </w:pPr>
            <w:r w:rsidRPr="003F1AF9">
              <w:t>percent</w:t>
            </w:r>
          </w:p>
        </w:tc>
        <w:tc>
          <w:tcPr>
            <w:tcW w:w="1620" w:type="dxa"/>
            <w:vAlign w:val="center"/>
          </w:tcPr>
          <w:p w14:paraId="6D93E6F4" w14:textId="77777777" w:rsidR="00DF5AE8" w:rsidRPr="003F1AF9" w:rsidRDefault="00DF5AE8" w:rsidP="00132E27">
            <w:pPr>
              <w:spacing w:after="0"/>
              <w:jc w:val="left"/>
            </w:pPr>
            <w:r w:rsidRPr="003F1AF9">
              <w:t>100%</w:t>
            </w:r>
          </w:p>
        </w:tc>
        <w:tc>
          <w:tcPr>
            <w:tcW w:w="1620" w:type="dxa"/>
            <w:vAlign w:val="center"/>
          </w:tcPr>
          <w:p w14:paraId="5E101853" w14:textId="77777777" w:rsidR="00DF5AE8" w:rsidRPr="003F1AF9" w:rsidRDefault="00DF5AE8" w:rsidP="00132E27">
            <w:pPr>
              <w:spacing w:after="0"/>
              <w:jc w:val="left"/>
            </w:pPr>
            <w:r w:rsidRPr="003F1AF9">
              <w:t>100%</w:t>
            </w:r>
          </w:p>
        </w:tc>
        <w:tc>
          <w:tcPr>
            <w:tcW w:w="900" w:type="dxa"/>
            <w:vAlign w:val="center"/>
          </w:tcPr>
          <w:p w14:paraId="2A820165" w14:textId="77777777" w:rsidR="00DF5AE8" w:rsidRPr="003F1AF9" w:rsidRDefault="00DF5AE8" w:rsidP="00132E27">
            <w:pPr>
              <w:spacing w:after="0"/>
              <w:jc w:val="left"/>
            </w:pPr>
            <w:r w:rsidRPr="003F1AF9">
              <w:t>1</w:t>
            </w:r>
          </w:p>
        </w:tc>
        <w:tc>
          <w:tcPr>
            <w:tcW w:w="1440" w:type="dxa"/>
            <w:vAlign w:val="center"/>
          </w:tcPr>
          <w:p w14:paraId="587C3FFB" w14:textId="77777777" w:rsidR="00DF5AE8" w:rsidRPr="003F1AF9" w:rsidRDefault="00DF5AE8" w:rsidP="00132E27">
            <w:pPr>
              <w:spacing w:after="0"/>
              <w:jc w:val="left"/>
            </w:pPr>
            <w:r w:rsidRPr="003F1AF9">
              <w:t>Assumed by Project Drawdown</w:t>
            </w:r>
          </w:p>
        </w:tc>
      </w:tr>
      <w:tr w:rsidR="00DF5AE8" w:rsidRPr="003F1AF9" w14:paraId="2453B9E6" w14:textId="77777777" w:rsidTr="0055612F">
        <w:trPr>
          <w:cantSplit/>
          <w:jc w:val="center"/>
        </w:trPr>
        <w:tc>
          <w:tcPr>
            <w:tcW w:w="2988" w:type="dxa"/>
          </w:tcPr>
          <w:p w14:paraId="2E3D33F1" w14:textId="2F60CE2D" w:rsidR="00DF5AE8" w:rsidRPr="003F1AF9" w:rsidRDefault="00DF5AE8">
            <w:pPr>
              <w:spacing w:after="0"/>
              <w:jc w:val="left"/>
            </w:pPr>
            <w:r w:rsidRPr="003F1AF9">
              <w:t xml:space="preserve">High Efficiency Heat Pump </w:t>
            </w:r>
            <w:r w:rsidR="00176E17" w:rsidRPr="003F1AF9">
              <w:t>SCOP</w:t>
            </w:r>
          </w:p>
        </w:tc>
        <w:tc>
          <w:tcPr>
            <w:tcW w:w="1147" w:type="dxa"/>
            <w:vAlign w:val="center"/>
          </w:tcPr>
          <w:p w14:paraId="7CFE661C" w14:textId="2FD273F5" w:rsidR="00DF5AE8" w:rsidRPr="003F1AF9" w:rsidRDefault="00176E17" w:rsidP="00132E27">
            <w:pPr>
              <w:spacing w:after="0"/>
              <w:jc w:val="left"/>
            </w:pPr>
            <w:r w:rsidRPr="003F1AF9">
              <w:t>TWh (</w:t>
            </w:r>
            <w:proofErr w:type="spellStart"/>
            <w:r w:rsidRPr="003F1AF9">
              <w:t>th</w:t>
            </w:r>
            <w:proofErr w:type="spellEnd"/>
            <w:r w:rsidRPr="003F1AF9">
              <w:t>) / TWh</w:t>
            </w:r>
          </w:p>
        </w:tc>
        <w:tc>
          <w:tcPr>
            <w:tcW w:w="1620" w:type="dxa"/>
            <w:vAlign w:val="center"/>
          </w:tcPr>
          <w:p w14:paraId="46A03DE7" w14:textId="6F256735" w:rsidR="00DF5AE8" w:rsidRPr="003F1AF9" w:rsidRDefault="00CA38A4" w:rsidP="00132E27">
            <w:pPr>
              <w:spacing w:after="0"/>
              <w:jc w:val="left"/>
            </w:pPr>
            <w:r w:rsidRPr="003F1AF9">
              <w:t>2.5-4.1</w:t>
            </w:r>
          </w:p>
        </w:tc>
        <w:tc>
          <w:tcPr>
            <w:tcW w:w="1620" w:type="dxa"/>
            <w:vAlign w:val="center"/>
          </w:tcPr>
          <w:p w14:paraId="0C7398D1" w14:textId="3E4D9FFB" w:rsidR="00DF5AE8" w:rsidRPr="003F1AF9" w:rsidRDefault="00DF5AE8" w:rsidP="00132E27">
            <w:pPr>
              <w:spacing w:after="0"/>
              <w:jc w:val="left"/>
            </w:pPr>
            <w:r w:rsidRPr="003F1AF9">
              <w:t>3.5</w:t>
            </w:r>
            <w:r w:rsidR="00CA38A4" w:rsidRPr="003F1AF9">
              <w:t xml:space="preserve"> minimum for space heating</w:t>
            </w:r>
          </w:p>
        </w:tc>
        <w:tc>
          <w:tcPr>
            <w:tcW w:w="900" w:type="dxa"/>
            <w:vAlign w:val="center"/>
          </w:tcPr>
          <w:p w14:paraId="49BA51DB" w14:textId="34CD2D3F" w:rsidR="00DF5AE8" w:rsidRPr="003F1AF9" w:rsidRDefault="00CA38A4" w:rsidP="00132E27">
            <w:pPr>
              <w:spacing w:after="0"/>
              <w:jc w:val="left"/>
            </w:pPr>
            <w:r w:rsidRPr="003F1AF9">
              <w:t>16</w:t>
            </w:r>
          </w:p>
        </w:tc>
        <w:tc>
          <w:tcPr>
            <w:tcW w:w="1440" w:type="dxa"/>
            <w:vAlign w:val="center"/>
          </w:tcPr>
          <w:p w14:paraId="0BE326CA" w14:textId="37B74F27" w:rsidR="00DF5AE8" w:rsidRPr="003F1AF9" w:rsidRDefault="00CA38A4" w:rsidP="00C755EB">
            <w:pPr>
              <w:spacing w:after="0"/>
              <w:jc w:val="left"/>
            </w:pPr>
            <w:r w:rsidRPr="003F1AF9">
              <w:t>9</w:t>
            </w:r>
          </w:p>
        </w:tc>
      </w:tr>
    </w:tbl>
    <w:p w14:paraId="2FFCF9CF" w14:textId="77777777" w:rsidR="00603300" w:rsidRPr="003F1AF9" w:rsidRDefault="00603300" w:rsidP="00603300">
      <w:pPr>
        <w:rPr>
          <w:i/>
          <w:sz w:val="20"/>
        </w:rPr>
      </w:pPr>
      <w:r w:rsidRPr="003F1AF9">
        <w:rPr>
          <w:sz w:val="20"/>
        </w:rPr>
        <w:t xml:space="preserve">* Per unit </w:t>
      </w:r>
      <w:r w:rsidRPr="003F1AF9">
        <w:rPr>
          <w:i/>
          <w:sz w:val="20"/>
        </w:rPr>
        <w:t>delivered energy</w:t>
      </w:r>
    </w:p>
    <w:p w14:paraId="147A3982" w14:textId="77777777" w:rsidR="00603300" w:rsidRPr="003F1AF9" w:rsidRDefault="00603300" w:rsidP="00DF5AE8">
      <w:pPr>
        <w:rPr>
          <w:sz w:val="20"/>
        </w:rPr>
      </w:pPr>
    </w:p>
    <w:p w14:paraId="59FA8C86" w14:textId="510EA55A" w:rsidR="00603300" w:rsidRPr="003F1AF9" w:rsidRDefault="00603300">
      <w:pPr>
        <w:spacing w:after="160" w:line="259" w:lineRule="auto"/>
        <w:jc w:val="left"/>
      </w:pPr>
      <w:r w:rsidRPr="003F1AF9">
        <w:br w:type="page"/>
      </w:r>
    </w:p>
    <w:p w14:paraId="39EA3B8C" w14:textId="77777777" w:rsidR="00DF5AE8" w:rsidRPr="003F1AF9" w:rsidRDefault="00DF5AE8" w:rsidP="00DF5AE8"/>
    <w:p w14:paraId="7552DD0A" w14:textId="0E241DFF" w:rsidR="00BD3252" w:rsidRPr="003F1AF9" w:rsidRDefault="00BD3252" w:rsidP="00B11449">
      <w:pPr>
        <w:pStyle w:val="Caption"/>
        <w:keepNext/>
        <w:jc w:val="center"/>
      </w:pPr>
      <w:bookmarkStart w:id="472" w:name="_Ref536182808"/>
      <w:bookmarkStart w:id="473" w:name="_Toc42289758"/>
      <w:r w:rsidRPr="003F1AF9">
        <w:t xml:space="preserve">Table </w:t>
      </w:r>
      <w:r w:rsidR="00C0437B" w:rsidRPr="003F1AF9">
        <w:rPr>
          <w:noProof/>
        </w:rPr>
        <w:fldChar w:fldCharType="begin"/>
      </w:r>
      <w:r w:rsidR="00C0437B" w:rsidRPr="003F1AF9">
        <w:rPr>
          <w:noProof/>
        </w:rPr>
        <w:instrText xml:space="preserve"> STYLEREF 1 \s </w:instrText>
      </w:r>
      <w:r w:rsidR="00C0437B" w:rsidRPr="003F1AF9">
        <w:rPr>
          <w:noProof/>
        </w:rPr>
        <w:fldChar w:fldCharType="separate"/>
      </w:r>
      <w:r w:rsidR="00E60668">
        <w:rPr>
          <w:noProof/>
        </w:rPr>
        <w:t>2</w:t>
      </w:r>
      <w:r w:rsidR="00C0437B" w:rsidRPr="003F1AF9">
        <w:rPr>
          <w:noProof/>
        </w:rPr>
        <w:fldChar w:fldCharType="end"/>
      </w:r>
      <w:r w:rsidR="00905204" w:rsidRPr="003F1AF9">
        <w:t>.</w:t>
      </w:r>
      <w:r w:rsidR="00C0437B" w:rsidRPr="003F1AF9">
        <w:rPr>
          <w:noProof/>
        </w:rPr>
        <w:fldChar w:fldCharType="begin"/>
      </w:r>
      <w:r w:rsidR="00C0437B" w:rsidRPr="003F1AF9">
        <w:rPr>
          <w:noProof/>
        </w:rPr>
        <w:instrText xml:space="preserve"> SEQ Table \* ARABIC \s 1 </w:instrText>
      </w:r>
      <w:r w:rsidR="00C0437B" w:rsidRPr="003F1AF9">
        <w:rPr>
          <w:noProof/>
        </w:rPr>
        <w:fldChar w:fldCharType="separate"/>
      </w:r>
      <w:r w:rsidR="00E60668">
        <w:rPr>
          <w:noProof/>
        </w:rPr>
        <w:t>9</w:t>
      </w:r>
      <w:r w:rsidR="00C0437B" w:rsidRPr="003F1AF9">
        <w:rPr>
          <w:noProof/>
        </w:rPr>
        <w:fldChar w:fldCharType="end"/>
      </w:r>
      <w:bookmarkEnd w:id="472"/>
      <w:r w:rsidRPr="003F1AF9">
        <w:t xml:space="preserve"> Technical model inputs for Usage and Lifetime</w:t>
      </w:r>
      <w:bookmarkEnd w:id="473"/>
    </w:p>
    <w:tbl>
      <w:tblPr>
        <w:tblStyle w:val="TableGrid"/>
        <w:tblW w:w="9715" w:type="dxa"/>
        <w:jc w:val="center"/>
        <w:tblLayout w:type="fixed"/>
        <w:tblLook w:val="04A0" w:firstRow="1" w:lastRow="0" w:firstColumn="1" w:lastColumn="0" w:noHBand="0" w:noVBand="1"/>
      </w:tblPr>
      <w:tblGrid>
        <w:gridCol w:w="2335"/>
        <w:gridCol w:w="2093"/>
        <w:gridCol w:w="1620"/>
        <w:gridCol w:w="1170"/>
        <w:gridCol w:w="990"/>
        <w:gridCol w:w="1507"/>
      </w:tblGrid>
      <w:tr w:rsidR="00685A55" w:rsidRPr="003F1AF9" w14:paraId="28506061" w14:textId="77777777" w:rsidTr="0055612F">
        <w:trPr>
          <w:cantSplit/>
          <w:tblHeader/>
          <w:jc w:val="center"/>
        </w:trPr>
        <w:tc>
          <w:tcPr>
            <w:tcW w:w="2335" w:type="dxa"/>
            <w:shd w:val="clear" w:color="auto" w:fill="4F81BD" w:themeFill="accent1"/>
            <w:vAlign w:val="center"/>
          </w:tcPr>
          <w:p w14:paraId="6C8AA178" w14:textId="77777777" w:rsidR="00DF5AE8" w:rsidRPr="003F1AF9" w:rsidRDefault="00DF5AE8" w:rsidP="005E1CA6">
            <w:pPr>
              <w:rPr>
                <w:b/>
                <w:color w:val="FFFFFF" w:themeColor="background1"/>
              </w:rPr>
            </w:pPr>
            <w:r w:rsidRPr="003F1AF9">
              <w:rPr>
                <w:b/>
                <w:color w:val="FFFFFF" w:themeColor="background1"/>
              </w:rPr>
              <w:t>Variable</w:t>
            </w:r>
          </w:p>
        </w:tc>
        <w:tc>
          <w:tcPr>
            <w:tcW w:w="2093" w:type="dxa"/>
            <w:shd w:val="clear" w:color="auto" w:fill="4F81BD" w:themeFill="accent1"/>
            <w:vAlign w:val="center"/>
          </w:tcPr>
          <w:p w14:paraId="1D6167DD" w14:textId="77777777" w:rsidR="00DF5AE8" w:rsidRPr="003F1AF9" w:rsidRDefault="00DF5AE8" w:rsidP="005E1CA6">
            <w:pPr>
              <w:rPr>
                <w:b/>
                <w:color w:val="FFFFFF" w:themeColor="background1"/>
              </w:rPr>
            </w:pPr>
            <w:r w:rsidRPr="003F1AF9">
              <w:rPr>
                <w:b/>
                <w:color w:val="FFFFFF" w:themeColor="background1"/>
              </w:rPr>
              <w:t>Unit</w:t>
            </w:r>
          </w:p>
        </w:tc>
        <w:tc>
          <w:tcPr>
            <w:tcW w:w="1620" w:type="dxa"/>
            <w:shd w:val="clear" w:color="auto" w:fill="4F81BD" w:themeFill="accent1"/>
            <w:vAlign w:val="center"/>
          </w:tcPr>
          <w:p w14:paraId="3CDA5916" w14:textId="77777777" w:rsidR="00DF5AE8" w:rsidRPr="003F1AF9" w:rsidRDefault="00DF5AE8" w:rsidP="005E1CA6">
            <w:pPr>
              <w:rPr>
                <w:b/>
                <w:color w:val="FFFFFF" w:themeColor="background1"/>
              </w:rPr>
            </w:pPr>
            <w:r w:rsidRPr="003F1AF9">
              <w:rPr>
                <w:b/>
                <w:color w:val="FFFFFF" w:themeColor="background1"/>
              </w:rPr>
              <w:t>Project Drawdown Data Set Range</w:t>
            </w:r>
          </w:p>
        </w:tc>
        <w:tc>
          <w:tcPr>
            <w:tcW w:w="1170" w:type="dxa"/>
            <w:shd w:val="clear" w:color="auto" w:fill="4F81BD" w:themeFill="accent1"/>
            <w:vAlign w:val="center"/>
          </w:tcPr>
          <w:p w14:paraId="1F9865A1" w14:textId="77777777" w:rsidR="00DF5AE8" w:rsidRPr="003F1AF9" w:rsidRDefault="00DF5AE8" w:rsidP="005E1CA6">
            <w:pPr>
              <w:rPr>
                <w:b/>
                <w:color w:val="FFFFFF" w:themeColor="background1"/>
              </w:rPr>
            </w:pPr>
            <w:r w:rsidRPr="003F1AF9">
              <w:rPr>
                <w:b/>
                <w:color w:val="FFFFFF" w:themeColor="background1"/>
              </w:rPr>
              <w:t>Model Input</w:t>
            </w:r>
          </w:p>
        </w:tc>
        <w:tc>
          <w:tcPr>
            <w:tcW w:w="990" w:type="dxa"/>
            <w:shd w:val="clear" w:color="auto" w:fill="4F81BD" w:themeFill="accent1"/>
            <w:tcMar>
              <w:left w:w="29" w:type="dxa"/>
              <w:right w:w="29" w:type="dxa"/>
            </w:tcMar>
            <w:vAlign w:val="center"/>
          </w:tcPr>
          <w:p w14:paraId="347F93A7" w14:textId="77777777" w:rsidR="00DF5AE8" w:rsidRPr="003F1AF9" w:rsidRDefault="00DF5AE8" w:rsidP="005E1CA6">
            <w:pPr>
              <w:rPr>
                <w:b/>
                <w:color w:val="FFFFFF" w:themeColor="background1"/>
              </w:rPr>
            </w:pPr>
            <w:r w:rsidRPr="003F1AF9">
              <w:rPr>
                <w:b/>
                <w:color w:val="FFFFFF" w:themeColor="background1"/>
              </w:rPr>
              <w:t>Data-points (#)</w:t>
            </w:r>
          </w:p>
        </w:tc>
        <w:tc>
          <w:tcPr>
            <w:tcW w:w="1507" w:type="dxa"/>
            <w:shd w:val="clear" w:color="auto" w:fill="4F81BD" w:themeFill="accent1"/>
            <w:tcMar>
              <w:left w:w="29" w:type="dxa"/>
              <w:right w:w="29" w:type="dxa"/>
            </w:tcMar>
            <w:vAlign w:val="center"/>
          </w:tcPr>
          <w:p w14:paraId="1D50300F" w14:textId="77777777" w:rsidR="00DF5AE8" w:rsidRPr="003F1AF9" w:rsidRDefault="00DF5AE8" w:rsidP="005E1CA6">
            <w:pPr>
              <w:rPr>
                <w:b/>
                <w:color w:val="FFFFFF" w:themeColor="background1"/>
              </w:rPr>
            </w:pPr>
            <w:r w:rsidRPr="003F1AF9">
              <w:rPr>
                <w:b/>
                <w:color w:val="FFFFFF" w:themeColor="background1"/>
              </w:rPr>
              <w:t>Sources (#)</w:t>
            </w:r>
          </w:p>
        </w:tc>
      </w:tr>
      <w:tr w:rsidR="00685A55" w:rsidRPr="003F1AF9" w14:paraId="6A7A7676" w14:textId="77777777" w:rsidTr="0055612F">
        <w:trPr>
          <w:cantSplit/>
          <w:jc w:val="center"/>
        </w:trPr>
        <w:tc>
          <w:tcPr>
            <w:tcW w:w="2335" w:type="dxa"/>
          </w:tcPr>
          <w:p w14:paraId="2E8E342B" w14:textId="77777777" w:rsidR="00DF5AE8" w:rsidRPr="003F1AF9" w:rsidRDefault="00DF5AE8" w:rsidP="005E1CA6">
            <w:pPr>
              <w:spacing w:after="0"/>
              <w:jc w:val="left"/>
            </w:pPr>
            <w:r w:rsidRPr="003F1AF9">
              <w:t>Lifetime Capacity of conventional technology</w:t>
            </w:r>
          </w:p>
        </w:tc>
        <w:tc>
          <w:tcPr>
            <w:tcW w:w="2093" w:type="dxa"/>
          </w:tcPr>
          <w:p w14:paraId="207421AD" w14:textId="77777777" w:rsidR="00DF5AE8" w:rsidRPr="003F1AF9" w:rsidRDefault="00DF5AE8" w:rsidP="005E1CA6">
            <w:pPr>
              <w:spacing w:after="0"/>
              <w:jc w:val="left"/>
            </w:pPr>
            <w:r w:rsidRPr="003F1AF9">
              <w:t>MWh(</w:t>
            </w:r>
            <w:proofErr w:type="spellStart"/>
            <w:r w:rsidRPr="003F1AF9">
              <w:t>th</w:t>
            </w:r>
            <w:proofErr w:type="spellEnd"/>
            <w:r w:rsidRPr="003F1AF9">
              <w:t>) per Implementation Unit*</w:t>
            </w:r>
          </w:p>
        </w:tc>
        <w:tc>
          <w:tcPr>
            <w:tcW w:w="1620" w:type="dxa"/>
            <w:tcMar>
              <w:left w:w="29" w:type="dxa"/>
              <w:right w:w="29" w:type="dxa"/>
            </w:tcMar>
            <w:vAlign w:val="center"/>
          </w:tcPr>
          <w:p w14:paraId="223CAB56" w14:textId="340DBF7C" w:rsidR="00DF5AE8" w:rsidRPr="003F1AF9" w:rsidRDefault="00CA7AD6">
            <w:pPr>
              <w:spacing w:after="0"/>
              <w:jc w:val="center"/>
            </w:pPr>
            <w:r w:rsidRPr="003F1AF9">
              <w:t>944</w:t>
            </w:r>
            <w:r w:rsidR="00685A55" w:rsidRPr="003F1AF9">
              <w:t>-</w:t>
            </w:r>
            <w:r w:rsidRPr="003F1AF9">
              <w:t>1</w:t>
            </w:r>
            <w:r w:rsidR="00BA3504">
              <w:t>,</w:t>
            </w:r>
            <w:r w:rsidRPr="003F1AF9">
              <w:t>870</w:t>
            </w:r>
          </w:p>
        </w:tc>
        <w:tc>
          <w:tcPr>
            <w:tcW w:w="1170" w:type="dxa"/>
            <w:vAlign w:val="center"/>
          </w:tcPr>
          <w:p w14:paraId="0C85D2A5" w14:textId="52878532" w:rsidR="00DF5AE8" w:rsidRPr="003F1AF9" w:rsidRDefault="00CA7AD6" w:rsidP="0055612F">
            <w:pPr>
              <w:spacing w:after="0"/>
              <w:jc w:val="center"/>
            </w:pPr>
            <w:r w:rsidRPr="003F1AF9">
              <w:t>1</w:t>
            </w:r>
            <w:r w:rsidR="00BA3504">
              <w:t>,</w:t>
            </w:r>
            <w:r w:rsidRPr="003F1AF9">
              <w:t>410</w:t>
            </w:r>
          </w:p>
        </w:tc>
        <w:tc>
          <w:tcPr>
            <w:tcW w:w="990" w:type="dxa"/>
            <w:vAlign w:val="center"/>
          </w:tcPr>
          <w:p w14:paraId="04EEB39A" w14:textId="77777777" w:rsidR="00DF5AE8" w:rsidRPr="003F1AF9" w:rsidRDefault="00DF5AE8" w:rsidP="0055612F">
            <w:pPr>
              <w:spacing w:after="0"/>
              <w:jc w:val="center"/>
            </w:pPr>
            <w:r w:rsidRPr="003F1AF9">
              <w:t>13</w:t>
            </w:r>
          </w:p>
        </w:tc>
        <w:tc>
          <w:tcPr>
            <w:tcW w:w="1507" w:type="dxa"/>
            <w:vAlign w:val="center"/>
          </w:tcPr>
          <w:p w14:paraId="546CBC23" w14:textId="3302BD5A" w:rsidR="00DF5AE8" w:rsidRPr="003F1AF9" w:rsidRDefault="00685A55" w:rsidP="00C755EB">
            <w:pPr>
              <w:spacing w:after="0"/>
            </w:pPr>
            <w:r w:rsidRPr="003F1AF9">
              <w:t>2</w:t>
            </w:r>
          </w:p>
        </w:tc>
      </w:tr>
      <w:tr w:rsidR="00685A55" w:rsidRPr="003F1AF9" w14:paraId="73A4AFAC" w14:textId="77777777" w:rsidTr="0055612F">
        <w:trPr>
          <w:cantSplit/>
          <w:jc w:val="center"/>
        </w:trPr>
        <w:tc>
          <w:tcPr>
            <w:tcW w:w="2335" w:type="dxa"/>
          </w:tcPr>
          <w:p w14:paraId="771F6E59" w14:textId="77777777" w:rsidR="00DF5AE8" w:rsidRPr="003F1AF9" w:rsidRDefault="00DF5AE8" w:rsidP="005E1CA6">
            <w:pPr>
              <w:spacing w:after="0"/>
              <w:jc w:val="left"/>
            </w:pPr>
            <w:r w:rsidRPr="003F1AF9">
              <w:t>Average Annual Use of conventional technology</w:t>
            </w:r>
          </w:p>
        </w:tc>
        <w:tc>
          <w:tcPr>
            <w:tcW w:w="2093" w:type="dxa"/>
            <w:vAlign w:val="center"/>
          </w:tcPr>
          <w:p w14:paraId="0BD9323D" w14:textId="77777777" w:rsidR="00DF5AE8" w:rsidRPr="003F1AF9" w:rsidRDefault="00DF5AE8" w:rsidP="005E1CA6">
            <w:pPr>
              <w:spacing w:after="0"/>
              <w:jc w:val="left"/>
            </w:pPr>
            <w:r w:rsidRPr="003F1AF9">
              <w:t>MWh(</w:t>
            </w:r>
            <w:proofErr w:type="spellStart"/>
            <w:r w:rsidRPr="003F1AF9">
              <w:t>th</w:t>
            </w:r>
            <w:proofErr w:type="spellEnd"/>
            <w:r w:rsidRPr="003F1AF9">
              <w:t>) per Implementation Unit</w:t>
            </w:r>
          </w:p>
        </w:tc>
        <w:tc>
          <w:tcPr>
            <w:tcW w:w="1620" w:type="dxa"/>
            <w:tcMar>
              <w:left w:w="29" w:type="dxa"/>
              <w:right w:w="29" w:type="dxa"/>
            </w:tcMar>
            <w:vAlign w:val="center"/>
          </w:tcPr>
          <w:p w14:paraId="266902D6" w14:textId="0B26E2C4" w:rsidR="00DF5AE8" w:rsidRPr="003F1AF9" w:rsidRDefault="00CA7AD6" w:rsidP="00CA7AD6">
            <w:pPr>
              <w:spacing w:after="0"/>
              <w:jc w:val="center"/>
            </w:pPr>
            <w:r w:rsidRPr="003F1AF9">
              <w:t>12.3-118</w:t>
            </w:r>
          </w:p>
        </w:tc>
        <w:tc>
          <w:tcPr>
            <w:tcW w:w="1170" w:type="dxa"/>
            <w:vAlign w:val="center"/>
          </w:tcPr>
          <w:p w14:paraId="259E99D2" w14:textId="4CB37E6D" w:rsidR="00DF5AE8" w:rsidRPr="003F1AF9" w:rsidRDefault="00CA7AD6" w:rsidP="0055612F">
            <w:pPr>
              <w:spacing w:after="0"/>
              <w:jc w:val="center"/>
            </w:pPr>
            <w:r w:rsidRPr="003F1AF9">
              <w:t>65.2</w:t>
            </w:r>
          </w:p>
        </w:tc>
        <w:tc>
          <w:tcPr>
            <w:tcW w:w="990" w:type="dxa"/>
            <w:vAlign w:val="center"/>
          </w:tcPr>
          <w:p w14:paraId="507FCB1B" w14:textId="77777777" w:rsidR="00DF5AE8" w:rsidRPr="003F1AF9" w:rsidRDefault="00DF5AE8" w:rsidP="0055612F">
            <w:pPr>
              <w:spacing w:after="0"/>
              <w:jc w:val="center"/>
            </w:pPr>
            <w:r w:rsidRPr="003F1AF9">
              <w:t>29</w:t>
            </w:r>
          </w:p>
        </w:tc>
        <w:tc>
          <w:tcPr>
            <w:tcW w:w="1507" w:type="dxa"/>
            <w:vAlign w:val="center"/>
          </w:tcPr>
          <w:p w14:paraId="519F9F07" w14:textId="77777777" w:rsidR="00DF5AE8" w:rsidRPr="003F1AF9" w:rsidRDefault="00DF5AE8" w:rsidP="005E1CA6">
            <w:pPr>
              <w:spacing w:after="0"/>
            </w:pPr>
            <w:r w:rsidRPr="003F1AF9">
              <w:t>3</w:t>
            </w:r>
          </w:p>
        </w:tc>
      </w:tr>
      <w:tr w:rsidR="00685A55" w:rsidRPr="003F1AF9" w14:paraId="2ADC0DFD" w14:textId="77777777" w:rsidTr="0055612F">
        <w:trPr>
          <w:cantSplit/>
          <w:jc w:val="center"/>
        </w:trPr>
        <w:tc>
          <w:tcPr>
            <w:tcW w:w="2335" w:type="dxa"/>
          </w:tcPr>
          <w:p w14:paraId="0FF45B6A" w14:textId="77777777" w:rsidR="00DF5AE8" w:rsidRPr="003F1AF9" w:rsidRDefault="00DF5AE8" w:rsidP="005E1CA6">
            <w:pPr>
              <w:spacing w:after="0"/>
              <w:jc w:val="left"/>
            </w:pPr>
            <w:r w:rsidRPr="003F1AF9">
              <w:t>Lifetime Capacity of solution technology</w:t>
            </w:r>
          </w:p>
        </w:tc>
        <w:tc>
          <w:tcPr>
            <w:tcW w:w="2093" w:type="dxa"/>
          </w:tcPr>
          <w:p w14:paraId="2C63A3A3" w14:textId="77777777" w:rsidR="00DF5AE8" w:rsidRPr="003F1AF9" w:rsidRDefault="00DF5AE8" w:rsidP="005E1CA6">
            <w:pPr>
              <w:spacing w:after="0"/>
              <w:jc w:val="left"/>
            </w:pPr>
            <w:r w:rsidRPr="003F1AF9">
              <w:t>MWh(</w:t>
            </w:r>
            <w:proofErr w:type="spellStart"/>
            <w:r w:rsidRPr="003F1AF9">
              <w:t>th</w:t>
            </w:r>
            <w:proofErr w:type="spellEnd"/>
            <w:r w:rsidRPr="003F1AF9">
              <w:t>) per Implementation Unit</w:t>
            </w:r>
          </w:p>
        </w:tc>
        <w:tc>
          <w:tcPr>
            <w:tcW w:w="1620" w:type="dxa"/>
            <w:tcMar>
              <w:left w:w="29" w:type="dxa"/>
              <w:right w:w="29" w:type="dxa"/>
            </w:tcMar>
            <w:vAlign w:val="center"/>
          </w:tcPr>
          <w:p w14:paraId="05896B8D" w14:textId="0E77B63E" w:rsidR="00DF5AE8" w:rsidRPr="003F1AF9" w:rsidRDefault="00CA7AD6">
            <w:pPr>
              <w:spacing w:after="0"/>
              <w:jc w:val="center"/>
            </w:pPr>
            <w:r w:rsidRPr="003F1AF9">
              <w:t>600-1</w:t>
            </w:r>
            <w:r w:rsidR="00BA3504">
              <w:t>,</w:t>
            </w:r>
            <w:r w:rsidRPr="003F1AF9">
              <w:t>410</w:t>
            </w:r>
          </w:p>
        </w:tc>
        <w:tc>
          <w:tcPr>
            <w:tcW w:w="1170" w:type="dxa"/>
            <w:vAlign w:val="center"/>
          </w:tcPr>
          <w:p w14:paraId="03EFB0B5" w14:textId="219712DC" w:rsidR="00DF5AE8" w:rsidRPr="003F1AF9" w:rsidRDefault="00CA7AD6" w:rsidP="0055612F">
            <w:pPr>
              <w:spacing w:after="0"/>
              <w:jc w:val="center"/>
            </w:pPr>
            <w:r w:rsidRPr="003F1AF9">
              <w:t>1</w:t>
            </w:r>
            <w:r w:rsidR="00BA3504">
              <w:t>,</w:t>
            </w:r>
            <w:r w:rsidRPr="003F1AF9">
              <w:t>000</w:t>
            </w:r>
          </w:p>
        </w:tc>
        <w:tc>
          <w:tcPr>
            <w:tcW w:w="990" w:type="dxa"/>
            <w:vAlign w:val="center"/>
          </w:tcPr>
          <w:p w14:paraId="1D5AB0E0" w14:textId="3EEF3CEC" w:rsidR="00DF5AE8" w:rsidRPr="003F1AF9" w:rsidRDefault="00685A55" w:rsidP="0055612F">
            <w:pPr>
              <w:spacing w:after="0"/>
              <w:jc w:val="center"/>
            </w:pPr>
            <w:r w:rsidRPr="003F1AF9">
              <w:t>18</w:t>
            </w:r>
          </w:p>
        </w:tc>
        <w:tc>
          <w:tcPr>
            <w:tcW w:w="1507" w:type="dxa"/>
            <w:vAlign w:val="center"/>
          </w:tcPr>
          <w:p w14:paraId="3B403FCA" w14:textId="719BDF8A" w:rsidR="00DF5AE8" w:rsidRPr="003F1AF9" w:rsidRDefault="00685A55" w:rsidP="00C755EB">
            <w:pPr>
              <w:spacing w:after="0"/>
            </w:pPr>
            <w:r w:rsidRPr="003F1AF9">
              <w:t>8</w:t>
            </w:r>
          </w:p>
        </w:tc>
      </w:tr>
      <w:tr w:rsidR="00685A55" w:rsidRPr="003F1AF9" w14:paraId="08CBDFF5" w14:textId="77777777" w:rsidTr="0055612F">
        <w:trPr>
          <w:cantSplit/>
          <w:jc w:val="center"/>
        </w:trPr>
        <w:tc>
          <w:tcPr>
            <w:tcW w:w="2335" w:type="dxa"/>
          </w:tcPr>
          <w:p w14:paraId="57116213" w14:textId="77777777" w:rsidR="00DF5AE8" w:rsidRPr="003F1AF9" w:rsidRDefault="00DF5AE8" w:rsidP="005E1CA6">
            <w:pPr>
              <w:spacing w:after="0"/>
              <w:jc w:val="left"/>
            </w:pPr>
            <w:r w:rsidRPr="003F1AF9">
              <w:t>Average Annual Use of solution technology</w:t>
            </w:r>
          </w:p>
        </w:tc>
        <w:tc>
          <w:tcPr>
            <w:tcW w:w="2093" w:type="dxa"/>
            <w:vAlign w:val="center"/>
          </w:tcPr>
          <w:p w14:paraId="50EC5176" w14:textId="77777777" w:rsidR="00DF5AE8" w:rsidRPr="003F1AF9" w:rsidRDefault="00DF5AE8" w:rsidP="005E1CA6">
            <w:pPr>
              <w:spacing w:after="0"/>
              <w:jc w:val="left"/>
            </w:pPr>
            <w:r w:rsidRPr="003F1AF9">
              <w:t>MWh(</w:t>
            </w:r>
            <w:proofErr w:type="spellStart"/>
            <w:r w:rsidRPr="003F1AF9">
              <w:t>th</w:t>
            </w:r>
            <w:proofErr w:type="spellEnd"/>
            <w:r w:rsidRPr="003F1AF9">
              <w:t>) per Implementation Unit</w:t>
            </w:r>
          </w:p>
        </w:tc>
        <w:tc>
          <w:tcPr>
            <w:tcW w:w="1620" w:type="dxa"/>
            <w:tcMar>
              <w:left w:w="29" w:type="dxa"/>
              <w:right w:w="29" w:type="dxa"/>
            </w:tcMar>
            <w:vAlign w:val="center"/>
          </w:tcPr>
          <w:p w14:paraId="14FDFE8D" w14:textId="1BE77C2B" w:rsidR="00DF5AE8" w:rsidRPr="003F1AF9" w:rsidRDefault="001608B7">
            <w:pPr>
              <w:spacing w:after="0"/>
              <w:jc w:val="center"/>
            </w:pPr>
            <w:r w:rsidRPr="003F1AF9">
              <w:t>2.02-113</w:t>
            </w:r>
          </w:p>
        </w:tc>
        <w:tc>
          <w:tcPr>
            <w:tcW w:w="1170" w:type="dxa"/>
            <w:vAlign w:val="center"/>
          </w:tcPr>
          <w:p w14:paraId="6F1B232A" w14:textId="1A934F98" w:rsidR="00DF5AE8" w:rsidRPr="003F1AF9" w:rsidRDefault="001608B7" w:rsidP="0055612F">
            <w:pPr>
              <w:spacing w:after="0"/>
              <w:jc w:val="center"/>
            </w:pPr>
            <w:r w:rsidRPr="003F1AF9">
              <w:t>52.6</w:t>
            </w:r>
          </w:p>
        </w:tc>
        <w:tc>
          <w:tcPr>
            <w:tcW w:w="990" w:type="dxa"/>
            <w:vAlign w:val="center"/>
          </w:tcPr>
          <w:p w14:paraId="7F20E815" w14:textId="77777777" w:rsidR="00DF5AE8" w:rsidRPr="003F1AF9" w:rsidRDefault="00DF5AE8" w:rsidP="0055612F">
            <w:pPr>
              <w:spacing w:after="0"/>
              <w:jc w:val="center"/>
            </w:pPr>
            <w:r w:rsidRPr="003F1AF9">
              <w:t>26</w:t>
            </w:r>
          </w:p>
        </w:tc>
        <w:tc>
          <w:tcPr>
            <w:tcW w:w="1507" w:type="dxa"/>
            <w:vAlign w:val="center"/>
          </w:tcPr>
          <w:p w14:paraId="2C746823" w14:textId="77777777" w:rsidR="00DF5AE8" w:rsidRPr="003F1AF9" w:rsidRDefault="00DF5AE8" w:rsidP="005E1CA6">
            <w:pPr>
              <w:spacing w:after="0"/>
            </w:pPr>
            <w:r w:rsidRPr="003F1AF9">
              <w:t>2</w:t>
            </w:r>
          </w:p>
        </w:tc>
      </w:tr>
      <w:tr w:rsidR="00685A55" w:rsidRPr="003F1AF9" w14:paraId="17BE6D90" w14:textId="77777777" w:rsidTr="0055612F">
        <w:trPr>
          <w:cantSplit/>
          <w:jc w:val="center"/>
        </w:trPr>
        <w:tc>
          <w:tcPr>
            <w:tcW w:w="2335" w:type="dxa"/>
          </w:tcPr>
          <w:p w14:paraId="105B7A4C" w14:textId="2AA3054C" w:rsidR="00DF5AE8" w:rsidRPr="003F1AF9" w:rsidRDefault="00DF5AE8" w:rsidP="005E1CA6">
            <w:pPr>
              <w:spacing w:after="0"/>
              <w:jc w:val="left"/>
            </w:pPr>
            <w:r w:rsidRPr="003F1AF9">
              <w:t>Average Conventional Technology Size</w:t>
            </w:r>
            <w:r w:rsidR="001608B7" w:rsidRPr="003F1AF9">
              <w:t xml:space="preserve"> (Weighted Residential and Commercial)</w:t>
            </w:r>
          </w:p>
        </w:tc>
        <w:tc>
          <w:tcPr>
            <w:tcW w:w="2093" w:type="dxa"/>
            <w:vAlign w:val="center"/>
          </w:tcPr>
          <w:p w14:paraId="206F633E" w14:textId="77777777" w:rsidR="00DF5AE8" w:rsidRPr="003F1AF9" w:rsidRDefault="00DF5AE8" w:rsidP="005E1CA6">
            <w:pPr>
              <w:spacing w:after="0"/>
            </w:pPr>
            <w:r w:rsidRPr="003F1AF9">
              <w:t>kW</w:t>
            </w:r>
          </w:p>
        </w:tc>
        <w:tc>
          <w:tcPr>
            <w:tcW w:w="1620" w:type="dxa"/>
            <w:vAlign w:val="center"/>
          </w:tcPr>
          <w:p w14:paraId="6C3F0CC0" w14:textId="615F6453" w:rsidR="00DF5AE8" w:rsidRPr="003F1AF9" w:rsidRDefault="00685A55">
            <w:pPr>
              <w:spacing w:after="0"/>
              <w:jc w:val="center"/>
            </w:pPr>
            <w:r w:rsidRPr="003F1AF9">
              <w:t>1.0</w:t>
            </w:r>
            <w:r w:rsidR="001608B7" w:rsidRPr="003F1AF9">
              <w:t>3</w:t>
            </w:r>
            <w:r w:rsidRPr="003F1AF9">
              <w:t>-234</w:t>
            </w:r>
          </w:p>
        </w:tc>
        <w:tc>
          <w:tcPr>
            <w:tcW w:w="1170" w:type="dxa"/>
            <w:vAlign w:val="center"/>
          </w:tcPr>
          <w:p w14:paraId="49D909AD" w14:textId="661EB51C" w:rsidR="00DF5AE8" w:rsidRPr="003F1AF9" w:rsidRDefault="00685A55" w:rsidP="0055612F">
            <w:pPr>
              <w:spacing w:after="0"/>
              <w:jc w:val="center"/>
            </w:pPr>
            <w:r w:rsidRPr="003F1AF9">
              <w:t>42.16</w:t>
            </w:r>
          </w:p>
        </w:tc>
        <w:tc>
          <w:tcPr>
            <w:tcW w:w="990" w:type="dxa"/>
            <w:vAlign w:val="center"/>
          </w:tcPr>
          <w:p w14:paraId="2655094A" w14:textId="77777777" w:rsidR="00DF5AE8" w:rsidRPr="003F1AF9" w:rsidRDefault="00DF5AE8" w:rsidP="0055612F">
            <w:pPr>
              <w:spacing w:after="0"/>
              <w:jc w:val="center"/>
            </w:pPr>
            <w:r w:rsidRPr="003F1AF9">
              <w:t>16</w:t>
            </w:r>
          </w:p>
        </w:tc>
        <w:tc>
          <w:tcPr>
            <w:tcW w:w="1507" w:type="dxa"/>
            <w:vAlign w:val="center"/>
          </w:tcPr>
          <w:p w14:paraId="275234C0" w14:textId="2061491F" w:rsidR="00DF5AE8" w:rsidRPr="003F1AF9" w:rsidRDefault="00685A55" w:rsidP="00C755EB">
            <w:pPr>
              <w:spacing w:after="0"/>
            </w:pPr>
            <w:r w:rsidRPr="003F1AF9">
              <w:t>1</w:t>
            </w:r>
          </w:p>
        </w:tc>
      </w:tr>
      <w:tr w:rsidR="00685A55" w:rsidRPr="003F1AF9" w14:paraId="644FB1A3" w14:textId="77777777" w:rsidTr="0055612F">
        <w:trPr>
          <w:cantSplit/>
          <w:jc w:val="center"/>
        </w:trPr>
        <w:tc>
          <w:tcPr>
            <w:tcW w:w="2335" w:type="dxa"/>
          </w:tcPr>
          <w:p w14:paraId="7F7DEF8C" w14:textId="77777777" w:rsidR="00DF5AE8" w:rsidRPr="003F1AF9" w:rsidRDefault="00DF5AE8" w:rsidP="005E1CA6">
            <w:pPr>
              <w:spacing w:after="0"/>
              <w:jc w:val="left"/>
            </w:pPr>
            <w:r w:rsidRPr="003F1AF9">
              <w:t xml:space="preserve">Average Residential Heat Pump Size </w:t>
            </w:r>
          </w:p>
        </w:tc>
        <w:tc>
          <w:tcPr>
            <w:tcW w:w="2093" w:type="dxa"/>
            <w:vAlign w:val="center"/>
          </w:tcPr>
          <w:p w14:paraId="1D5BBD94" w14:textId="77777777" w:rsidR="00DF5AE8" w:rsidRPr="003F1AF9" w:rsidRDefault="00DF5AE8" w:rsidP="005E1CA6">
            <w:pPr>
              <w:spacing w:after="0"/>
            </w:pPr>
            <w:r w:rsidRPr="003F1AF9">
              <w:t>kW</w:t>
            </w:r>
          </w:p>
        </w:tc>
        <w:tc>
          <w:tcPr>
            <w:tcW w:w="1620" w:type="dxa"/>
            <w:vAlign w:val="center"/>
          </w:tcPr>
          <w:p w14:paraId="6384AA02" w14:textId="4F3EE801" w:rsidR="00DF5AE8" w:rsidRPr="003F1AF9" w:rsidRDefault="00685A55">
            <w:pPr>
              <w:spacing w:after="0"/>
              <w:jc w:val="center"/>
            </w:pPr>
            <w:r w:rsidRPr="003F1AF9">
              <w:t>2-1</w:t>
            </w:r>
            <w:r w:rsidR="0057487B" w:rsidRPr="003F1AF9">
              <w:t>9</w:t>
            </w:r>
          </w:p>
        </w:tc>
        <w:tc>
          <w:tcPr>
            <w:tcW w:w="1170" w:type="dxa"/>
            <w:vAlign w:val="center"/>
          </w:tcPr>
          <w:p w14:paraId="737B075C" w14:textId="77777777" w:rsidR="00DF5AE8" w:rsidRPr="003F1AF9" w:rsidRDefault="00DF5AE8" w:rsidP="0055612F">
            <w:pPr>
              <w:spacing w:after="0"/>
              <w:jc w:val="center"/>
            </w:pPr>
            <w:r w:rsidRPr="003F1AF9">
              <w:t>7.68</w:t>
            </w:r>
          </w:p>
        </w:tc>
        <w:tc>
          <w:tcPr>
            <w:tcW w:w="990" w:type="dxa"/>
            <w:vAlign w:val="center"/>
          </w:tcPr>
          <w:p w14:paraId="51D63F32" w14:textId="77777777" w:rsidR="00DF5AE8" w:rsidRPr="003F1AF9" w:rsidRDefault="00DF5AE8" w:rsidP="0055612F">
            <w:pPr>
              <w:spacing w:after="0"/>
              <w:jc w:val="center"/>
            </w:pPr>
            <w:r w:rsidRPr="003F1AF9">
              <w:t>10</w:t>
            </w:r>
          </w:p>
        </w:tc>
        <w:tc>
          <w:tcPr>
            <w:tcW w:w="1507" w:type="dxa"/>
            <w:vAlign w:val="center"/>
          </w:tcPr>
          <w:p w14:paraId="234334DC" w14:textId="3B573B9D" w:rsidR="00DF5AE8" w:rsidRPr="003F1AF9" w:rsidRDefault="00DF5AE8" w:rsidP="00C755EB">
            <w:pPr>
              <w:spacing w:after="0"/>
            </w:pPr>
            <w:r w:rsidRPr="003F1AF9">
              <w:t>2</w:t>
            </w:r>
          </w:p>
        </w:tc>
      </w:tr>
      <w:tr w:rsidR="00685A55" w:rsidRPr="003F1AF9" w14:paraId="29B31CA2" w14:textId="77777777" w:rsidTr="0055612F">
        <w:trPr>
          <w:cantSplit/>
          <w:jc w:val="center"/>
        </w:trPr>
        <w:tc>
          <w:tcPr>
            <w:tcW w:w="2335" w:type="dxa"/>
          </w:tcPr>
          <w:p w14:paraId="605EB29F" w14:textId="77777777" w:rsidR="00DF5AE8" w:rsidRPr="003F1AF9" w:rsidRDefault="00DF5AE8" w:rsidP="005E1CA6">
            <w:pPr>
              <w:spacing w:after="0"/>
              <w:jc w:val="left"/>
            </w:pPr>
            <w:r w:rsidRPr="003F1AF9">
              <w:t>Average Commercial Heat Pump Size</w:t>
            </w:r>
          </w:p>
        </w:tc>
        <w:tc>
          <w:tcPr>
            <w:tcW w:w="2093" w:type="dxa"/>
            <w:vAlign w:val="center"/>
          </w:tcPr>
          <w:p w14:paraId="2BF779FF" w14:textId="77777777" w:rsidR="00DF5AE8" w:rsidRPr="003F1AF9" w:rsidRDefault="00DF5AE8" w:rsidP="005E1CA6">
            <w:pPr>
              <w:spacing w:after="0"/>
            </w:pPr>
            <w:r w:rsidRPr="003F1AF9">
              <w:t>kW</w:t>
            </w:r>
          </w:p>
        </w:tc>
        <w:tc>
          <w:tcPr>
            <w:tcW w:w="1620" w:type="dxa"/>
            <w:vAlign w:val="center"/>
          </w:tcPr>
          <w:p w14:paraId="500FE542" w14:textId="26CEE791" w:rsidR="00DF5AE8" w:rsidRPr="003F1AF9" w:rsidRDefault="00685A55">
            <w:pPr>
              <w:spacing w:after="0"/>
              <w:jc w:val="center"/>
            </w:pPr>
            <w:r w:rsidRPr="003F1AF9">
              <w:t>14-10</w:t>
            </w:r>
            <w:r w:rsidR="008D28C3">
              <w:t>,</w:t>
            </w:r>
            <w:r w:rsidRPr="003F1AF9">
              <w:t>551</w:t>
            </w:r>
          </w:p>
        </w:tc>
        <w:tc>
          <w:tcPr>
            <w:tcW w:w="1170" w:type="dxa"/>
            <w:vAlign w:val="center"/>
          </w:tcPr>
          <w:p w14:paraId="0CDAE29B" w14:textId="77777777" w:rsidR="00DF5AE8" w:rsidRPr="003F1AF9" w:rsidRDefault="00DF5AE8" w:rsidP="0055612F">
            <w:pPr>
              <w:spacing w:after="0"/>
              <w:jc w:val="center"/>
            </w:pPr>
            <w:r w:rsidRPr="003F1AF9">
              <w:t>513.24</w:t>
            </w:r>
          </w:p>
        </w:tc>
        <w:tc>
          <w:tcPr>
            <w:tcW w:w="990" w:type="dxa"/>
            <w:vAlign w:val="center"/>
          </w:tcPr>
          <w:p w14:paraId="44340EAE" w14:textId="77777777" w:rsidR="00DF5AE8" w:rsidRPr="003F1AF9" w:rsidRDefault="00DF5AE8" w:rsidP="0055612F">
            <w:pPr>
              <w:spacing w:after="0"/>
              <w:jc w:val="center"/>
            </w:pPr>
            <w:r w:rsidRPr="003F1AF9">
              <w:t>10</w:t>
            </w:r>
          </w:p>
        </w:tc>
        <w:tc>
          <w:tcPr>
            <w:tcW w:w="1507" w:type="dxa"/>
            <w:vAlign w:val="center"/>
          </w:tcPr>
          <w:p w14:paraId="1C23EFCC" w14:textId="1C96DA4B" w:rsidR="00DF5AE8" w:rsidRPr="003F1AF9" w:rsidRDefault="00DF5AE8" w:rsidP="00C755EB">
            <w:pPr>
              <w:spacing w:after="0"/>
            </w:pPr>
            <w:r w:rsidRPr="003F1AF9">
              <w:t>2</w:t>
            </w:r>
          </w:p>
        </w:tc>
      </w:tr>
    </w:tbl>
    <w:p w14:paraId="555DEEBE" w14:textId="4AE4B3CC" w:rsidR="00DF5AE8" w:rsidRPr="003F1AF9" w:rsidRDefault="003179DF" w:rsidP="00DF5AE8">
      <w:pPr>
        <w:spacing w:line="276" w:lineRule="auto"/>
        <w:rPr>
          <w:sz w:val="20"/>
        </w:rPr>
      </w:pPr>
      <w:r w:rsidRPr="003F1AF9">
        <w:rPr>
          <w:sz w:val="20"/>
        </w:rPr>
        <w:t>* T</w:t>
      </w:r>
      <w:r w:rsidR="00DF5AE8" w:rsidRPr="003F1AF9">
        <w:rPr>
          <w:sz w:val="20"/>
        </w:rPr>
        <w:t>he model actually uses TWh (</w:t>
      </w:r>
      <w:proofErr w:type="spellStart"/>
      <w:r w:rsidR="00DF5AE8" w:rsidRPr="003F1AF9">
        <w:rPr>
          <w:sz w:val="20"/>
        </w:rPr>
        <w:t>th</w:t>
      </w:r>
      <w:proofErr w:type="spellEnd"/>
      <w:r w:rsidR="00DF5AE8" w:rsidRPr="003F1AF9">
        <w:rPr>
          <w:sz w:val="20"/>
        </w:rPr>
        <w:t>) for its energy inputs, but for ease of interpretation, the figures in this table are in MWh (</w:t>
      </w:r>
      <w:proofErr w:type="spellStart"/>
      <w:r w:rsidR="00DF5AE8" w:rsidRPr="003F1AF9">
        <w:rPr>
          <w:sz w:val="20"/>
        </w:rPr>
        <w:t>th</w:t>
      </w:r>
      <w:proofErr w:type="spellEnd"/>
      <w:r w:rsidR="00DF5AE8" w:rsidRPr="003F1AF9">
        <w:rPr>
          <w:sz w:val="20"/>
        </w:rPr>
        <w:t>).</w:t>
      </w:r>
      <w:r w:rsidR="0078120E">
        <w:rPr>
          <w:sz w:val="20"/>
        </w:rPr>
        <w:t xml:space="preserve"> </w:t>
      </w:r>
    </w:p>
    <w:p w14:paraId="0F9CD17C" w14:textId="77777777" w:rsidR="00DF5AE8" w:rsidRPr="003F1AF9" w:rsidRDefault="00DF5AE8" w:rsidP="00DF5AE8">
      <w:pPr>
        <w:tabs>
          <w:tab w:val="left" w:pos="930"/>
        </w:tabs>
      </w:pPr>
    </w:p>
    <w:p w14:paraId="4E32D218" w14:textId="12B11079" w:rsidR="00B144E5" w:rsidRPr="003F1AF9" w:rsidRDefault="00686965">
      <w:pPr>
        <w:pStyle w:val="Heading2"/>
      </w:pPr>
      <w:bookmarkStart w:id="474" w:name="_Toc42289725"/>
      <w:r w:rsidRPr="003F1AF9">
        <w:t>Assumptions</w:t>
      </w:r>
      <w:bookmarkEnd w:id="474"/>
    </w:p>
    <w:p w14:paraId="1C71D5EB" w14:textId="61893823" w:rsidR="00E33621" w:rsidRPr="003F1AF9" w:rsidRDefault="00E33621" w:rsidP="00EB247F">
      <w:pPr>
        <w:spacing w:after="240"/>
      </w:pPr>
      <w:r w:rsidRPr="003F1AF9">
        <w:t xml:space="preserve">Six overarching assumptions have been made for Project Drawdown models to enable the development and integration of individual model solutions. These are that </w:t>
      </w:r>
      <w:r w:rsidR="006009B9">
        <w:t xml:space="preserve">1. </w:t>
      </w:r>
      <w:r w:rsidR="00511187">
        <w:t xml:space="preserve">the </w:t>
      </w:r>
      <w:r w:rsidRPr="003F1AF9">
        <w:t xml:space="preserve">infrastructure required for </w:t>
      </w:r>
      <w:r w:rsidR="00511187">
        <w:t xml:space="preserve">the </w:t>
      </w:r>
      <w:r w:rsidRPr="003F1AF9">
        <w:t xml:space="preserve">solution is available and in-place, </w:t>
      </w:r>
      <w:r w:rsidR="006009B9">
        <w:t xml:space="preserve">2. </w:t>
      </w:r>
      <w:r w:rsidRPr="003F1AF9">
        <w:t xml:space="preserve">policies required are already in-place, </w:t>
      </w:r>
      <w:r w:rsidR="006009B9">
        <w:t xml:space="preserve">3. </w:t>
      </w:r>
      <w:r w:rsidRPr="003F1AF9">
        <w:t xml:space="preserve">no carbon price is modeled, </w:t>
      </w:r>
      <w:r w:rsidR="006009B9">
        <w:t xml:space="preserve">4. </w:t>
      </w:r>
      <w:r w:rsidRPr="003F1AF9">
        <w:t xml:space="preserve">all costs accrue at the level of agency modeled, </w:t>
      </w:r>
      <w:r w:rsidR="006009B9">
        <w:t xml:space="preserve">5. </w:t>
      </w:r>
      <w:r w:rsidRPr="003F1AF9">
        <w:t xml:space="preserve">improvements in technology are not modeled, and </w:t>
      </w:r>
      <w:r w:rsidR="006009B9">
        <w:t xml:space="preserve">6. </w:t>
      </w:r>
      <w:r w:rsidRPr="003F1AF9">
        <w:t xml:space="preserve">that first costs may change according to learning. Full details of core assumptions and methodology </w:t>
      </w:r>
      <w:r w:rsidR="006009B9">
        <w:t xml:space="preserve">are </w:t>
      </w:r>
      <w:r w:rsidRPr="003F1AF9">
        <w:t xml:space="preserve">available at </w:t>
      </w:r>
      <w:hyperlink r:id="rId19" w:history="1">
        <w:r w:rsidRPr="003F1AF9">
          <w:rPr>
            <w:rStyle w:val="Hyperlink"/>
          </w:rPr>
          <w:t>www.drawdown.org</w:t>
        </w:r>
      </w:hyperlink>
      <w:r w:rsidRPr="003F1AF9">
        <w:t>. Beyond these core assumptions, there are other important assumptions made for the modeling of this specific solution. These are detailed below.</w:t>
      </w:r>
      <w:r w:rsidR="0078120E">
        <w:t xml:space="preserve"> </w:t>
      </w:r>
    </w:p>
    <w:p w14:paraId="69EF5397" w14:textId="0AD8704E" w:rsidR="007D0349" w:rsidRPr="003F1AF9" w:rsidRDefault="007D0349" w:rsidP="00F436B3">
      <w:pPr>
        <w:pStyle w:val="ListParagraph"/>
        <w:numPr>
          <w:ilvl w:val="0"/>
          <w:numId w:val="2"/>
        </w:numPr>
        <w:ind w:left="1530" w:hanging="1530"/>
      </w:pPr>
      <w:r w:rsidRPr="003F1AF9">
        <w:lastRenderedPageBreak/>
        <w:t>Heat Pumps replace only coal, oil, gas and electricity-based conventional space heating/cooling (that is, not biomass, renewables</w:t>
      </w:r>
      <w:r w:rsidR="008D28C3">
        <w:t>,</w:t>
      </w:r>
      <w:r w:rsidRPr="003F1AF9">
        <w:t xml:space="preserve"> nor commercial heat)</w:t>
      </w:r>
      <w:r w:rsidR="004B18E4" w:rsidRPr="003F1AF9">
        <w:t>.</w:t>
      </w:r>
      <w:r w:rsidR="0078120E">
        <w:t xml:space="preserve"> </w:t>
      </w:r>
    </w:p>
    <w:p w14:paraId="1D66B747" w14:textId="1828CEC8" w:rsidR="007D0349" w:rsidRPr="003F1AF9" w:rsidRDefault="007D0349" w:rsidP="00F436B3">
      <w:pPr>
        <w:pStyle w:val="ListParagraph"/>
        <w:numPr>
          <w:ilvl w:val="0"/>
          <w:numId w:val="2"/>
        </w:numPr>
        <w:ind w:left="1530" w:hanging="1530"/>
      </w:pPr>
      <w:r w:rsidRPr="003F1AF9">
        <w:t>Only electricity-powered heat pumps are modeled as they u</w:t>
      </w:r>
      <w:r w:rsidR="004B18E4" w:rsidRPr="003F1AF9">
        <w:t xml:space="preserve">se no </w:t>
      </w:r>
      <w:r w:rsidR="008D28C3">
        <w:t xml:space="preserve">direct </w:t>
      </w:r>
      <w:r w:rsidR="004B18E4" w:rsidRPr="003F1AF9">
        <w:t xml:space="preserve">fuel and get cleaner as </w:t>
      </w:r>
      <w:r w:rsidRPr="003F1AF9">
        <w:t>the grid gets cleaner.</w:t>
      </w:r>
      <w:r w:rsidR="0078120E">
        <w:t xml:space="preserve"> </w:t>
      </w:r>
    </w:p>
    <w:p w14:paraId="0891D618" w14:textId="12B97A30" w:rsidR="007D0349" w:rsidRPr="003F1AF9" w:rsidRDefault="007D0349" w:rsidP="00F436B3">
      <w:pPr>
        <w:pStyle w:val="ListParagraph"/>
        <w:numPr>
          <w:ilvl w:val="0"/>
          <w:numId w:val="2"/>
        </w:numPr>
        <w:spacing w:after="240" w:line="276" w:lineRule="auto"/>
        <w:ind w:left="1530" w:hanging="1530"/>
      </w:pPr>
      <w:r w:rsidRPr="003F1AF9">
        <w:t>The vast majority of current electricity-based space heaters are inefficient heaters that can be replaced by high efficiency heat pumps</w:t>
      </w:r>
      <w:r w:rsidR="004B18E4" w:rsidRPr="003F1AF9">
        <w:t>.</w:t>
      </w:r>
      <w:r w:rsidR="0078120E">
        <w:t xml:space="preserve"> </w:t>
      </w:r>
    </w:p>
    <w:p w14:paraId="5DCF0C24" w14:textId="0D67A705" w:rsidR="007D0349" w:rsidRPr="003F1AF9" w:rsidRDefault="007D0349" w:rsidP="00F436B3">
      <w:pPr>
        <w:pStyle w:val="ListParagraph"/>
        <w:numPr>
          <w:ilvl w:val="0"/>
          <w:numId w:val="2"/>
        </w:numPr>
        <w:spacing w:after="240" w:line="276" w:lineRule="auto"/>
        <w:ind w:left="1530" w:hanging="1530"/>
      </w:pPr>
      <w:r w:rsidRPr="003F1AF9">
        <w:t>Indirect emissions are not critical in this analysis (lack of data)</w:t>
      </w:r>
      <w:r w:rsidR="004B18E4" w:rsidRPr="003F1AF9">
        <w:t>.</w:t>
      </w:r>
      <w:r w:rsidR="0078120E">
        <w:t xml:space="preserve"> </w:t>
      </w:r>
    </w:p>
    <w:p w14:paraId="5840C9D5" w14:textId="152FA41C" w:rsidR="004B18E4" w:rsidRPr="003F1AF9" w:rsidRDefault="004B18E4" w:rsidP="00F436B3">
      <w:pPr>
        <w:pStyle w:val="ListParagraph"/>
        <w:numPr>
          <w:ilvl w:val="0"/>
          <w:numId w:val="2"/>
        </w:numPr>
        <w:spacing w:after="240" w:line="276" w:lineRule="auto"/>
        <w:ind w:left="1530" w:hanging="1530"/>
      </w:pPr>
      <w:r w:rsidRPr="003F1AF9">
        <w:t>Major published forecasts (IEA, USDOE, EIA, and others) of final energy, equipment efficiencies, especially heat pumps, and installed equipment shares are valid and self-consistent.</w:t>
      </w:r>
      <w:r w:rsidR="0078120E">
        <w:t xml:space="preserve"> </w:t>
      </w:r>
    </w:p>
    <w:p w14:paraId="41D20226" w14:textId="62C3E86C" w:rsidR="004B18E4" w:rsidRPr="003F1AF9" w:rsidRDefault="004B18E4" w:rsidP="00F436B3">
      <w:pPr>
        <w:pStyle w:val="ListParagraph"/>
        <w:numPr>
          <w:ilvl w:val="0"/>
          <w:numId w:val="2"/>
        </w:numPr>
        <w:spacing w:after="240" w:line="276" w:lineRule="auto"/>
        <w:ind w:left="1530" w:hanging="1530"/>
      </w:pPr>
      <w:r w:rsidRPr="003F1AF9">
        <w:t>“Installed heating equipment” share forecasts</w:t>
      </w:r>
      <w:r w:rsidR="00AE08AF" w:rsidRPr="003F1AF9">
        <w:t xml:space="preserve"> are proportional to delivered energy share for heat pumps and other equipment.</w:t>
      </w:r>
    </w:p>
    <w:p w14:paraId="4D702839" w14:textId="1CE5256D" w:rsidR="00AE08AF" w:rsidRPr="003F1AF9" w:rsidRDefault="00AE08AF" w:rsidP="00F436B3">
      <w:pPr>
        <w:pStyle w:val="ListParagraph"/>
        <w:numPr>
          <w:ilvl w:val="0"/>
          <w:numId w:val="2"/>
        </w:numPr>
        <w:spacing w:after="240" w:line="276" w:lineRule="auto"/>
        <w:ind w:left="1530" w:hanging="1530"/>
      </w:pPr>
      <w:r w:rsidRPr="003F1AF9">
        <w:t>Future evolution of building space heating final energy and delivered energy, and space heating equipment efficiencies and adoption shares are all smooth enough for linear interpolation to be valid.</w:t>
      </w:r>
      <w:r w:rsidR="0078120E">
        <w:t xml:space="preserve"> </w:t>
      </w:r>
    </w:p>
    <w:p w14:paraId="04FBF2E3" w14:textId="6267BB18" w:rsidR="009D118F" w:rsidRPr="003F1AF9" w:rsidRDefault="00686965">
      <w:pPr>
        <w:pStyle w:val="Heading2"/>
      </w:pPr>
      <w:bookmarkStart w:id="475" w:name="_Ref536537164"/>
      <w:bookmarkStart w:id="476" w:name="_Toc42289726"/>
      <w:r w:rsidRPr="003F1AF9">
        <w:t>Integration</w:t>
      </w:r>
      <w:bookmarkEnd w:id="475"/>
      <w:bookmarkEnd w:id="476"/>
    </w:p>
    <w:p w14:paraId="4F48E344" w14:textId="683B909F" w:rsidR="0022389C" w:rsidRPr="00942678" w:rsidRDefault="0022389C" w:rsidP="0022389C">
      <w:r w:rsidRPr="00942678">
        <w:t xml:space="preserve">The complete Project Drawdown integration documentation (available at </w:t>
      </w:r>
      <w:hyperlink r:id="rId20" w:history="1">
        <w:r w:rsidRPr="00942678">
          <w:rPr>
            <w:rStyle w:val="Hyperlink"/>
            <w:color w:val="auto"/>
          </w:rPr>
          <w:t>www.drawdown.org</w:t>
        </w:r>
      </w:hyperlink>
      <w:r w:rsidRPr="00942678">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A438836" w14:textId="19DA7B22" w:rsidR="0022389C" w:rsidRPr="00B8714F" w:rsidRDefault="0022389C" w:rsidP="0022389C">
      <w:bookmarkStart w:id="477" w:name="_Hlk18258426"/>
      <w:r w:rsidRPr="00B8714F">
        <w:t xml:space="preserve">Each solution in the Buildings and Cities Sector was modeled individually, and then integration was performed to ensure consistency across the sector and with the other sectors. These solutions require an integration analysis to avoid double counting, as they primarily relate to either reducing demand for space heating and cooling (for residential and/or commercial buildings), commercial lighting, </w:t>
      </w:r>
      <w:r>
        <w:t xml:space="preserve">cooking, </w:t>
      </w:r>
      <w:r w:rsidRPr="00B8714F">
        <w:t>or water heating. The integration process</w:t>
      </w:r>
      <w:r w:rsidR="00511187">
        <w:t>,</w:t>
      </w:r>
      <w:r w:rsidRPr="00B8714F">
        <w:t xml:space="preserve"> therefore</w:t>
      </w:r>
      <w:r w:rsidR="00511187">
        <w:t>,</w:t>
      </w:r>
      <w:r w:rsidRPr="00B8714F">
        <w:t xml:space="preserve"> was addressed through sequential adjustments to the </w:t>
      </w:r>
      <w:r>
        <w:t xml:space="preserve">efficiencies of the solutions in </w:t>
      </w:r>
      <w:r w:rsidR="006009B9">
        <w:t>four</w:t>
      </w:r>
      <w:r>
        <w:t xml:space="preserve"> </w:t>
      </w:r>
      <w:r w:rsidR="006009B9" w:rsidRPr="00B8714F">
        <w:t>separate sequence chains</w:t>
      </w:r>
      <w:r w:rsidR="006009B9">
        <w:t xml:space="preserve">: 1. </w:t>
      </w:r>
      <w:r w:rsidRPr="00B8714F">
        <w:t xml:space="preserve">space heating and cooling, </w:t>
      </w:r>
      <w:r w:rsidR="006009B9">
        <w:t xml:space="preserve">2. </w:t>
      </w:r>
      <w:r w:rsidRPr="00B8714F">
        <w:t>lighting</w:t>
      </w:r>
      <w:r>
        <w:t xml:space="preserve">, </w:t>
      </w:r>
      <w:r w:rsidR="006009B9">
        <w:t xml:space="preserve">3. </w:t>
      </w:r>
      <w:r>
        <w:t>cooking,</w:t>
      </w:r>
      <w:r w:rsidRPr="00B8714F">
        <w:t xml:space="preserve"> and </w:t>
      </w:r>
      <w:r w:rsidR="006009B9">
        <w:t xml:space="preserve">4. </w:t>
      </w:r>
      <w:r w:rsidRPr="00B8714F">
        <w:t xml:space="preserve">water heating. </w:t>
      </w:r>
      <w:r>
        <w:t>The prioritized sequence is fixed for all scenarios and is described in the Drawdown Building Sector Integration documentation.</w:t>
      </w:r>
    </w:p>
    <w:p w14:paraId="4BCD57A8" w14:textId="24AFCB14" w:rsidR="0022389C" w:rsidRPr="009C50B0" w:rsidRDefault="0022389C" w:rsidP="0022389C">
      <w:r w:rsidRPr="009C50B0">
        <w:t>For each solution in an integration sequence, the estimated impact of previous solutions on the emissions savings of the current solution is estimated and a reduction factor is applied. The factor is only applied to emissions and energy savings attributed to adoptions that overlap with previous solutions</w:t>
      </w:r>
      <w:r w:rsidRPr="009C50B0">
        <w:rPr>
          <w:rStyle w:val="FootnoteReference"/>
        </w:rPr>
        <w:footnoteReference w:id="4"/>
      </w:r>
      <w:r w:rsidRPr="009C50B0">
        <w:t xml:space="preserve">, and for this </w:t>
      </w:r>
      <w:r w:rsidRPr="009C50B0">
        <w:lastRenderedPageBreak/>
        <w:t>adoptions are generally assumed independent. Solutions that start each integration sequence are therefore unaffected (unless they are affected by solutions in other sequences)</w:t>
      </w:r>
      <w:r>
        <w:t>, and solutions that apply to different buildings (say commercial and residential) do not affect each other</w:t>
      </w:r>
      <w:r w:rsidRPr="009C50B0">
        <w:t>.</w:t>
      </w:r>
      <w:r>
        <w:t xml:space="preserve"> The method of estimating overlap is based on the percent adoption of the higher priority solution applied to the area adopted in the lower priority solution. For the efficiency factor of this overlapping area only, </w:t>
      </w:r>
      <w:r w:rsidR="00573960">
        <w:t xml:space="preserve">1. </w:t>
      </w:r>
      <w:r>
        <w:t>the reduction factor is applied,</w:t>
      </w:r>
      <w:r>
        <w:t xml:space="preserve"> </w:t>
      </w:r>
      <w:r w:rsidR="00814ECA">
        <w:t>2. the reduced efficiency factor</w:t>
      </w:r>
      <w:r>
        <w:t xml:space="preserve"> is</w:t>
      </w:r>
      <w:r>
        <w:t xml:space="preserve"> scaled</w:t>
      </w:r>
      <w:r w:rsidR="00814ECA">
        <w:t xml:space="preserve"> so that it can be applied to all adoption units in the solution model while accurately estimating adjusted total saving</w:t>
      </w:r>
      <w:r w:rsidR="00511187">
        <w:t>,</w:t>
      </w:r>
      <w:r>
        <w:t xml:space="preserve"> and </w:t>
      </w:r>
      <w:r w:rsidR="00814ECA">
        <w:t xml:space="preserve">3. </w:t>
      </w:r>
      <w:r>
        <w:t xml:space="preserve">used to update the results in the lower priority solution model. </w:t>
      </w:r>
    </w:p>
    <w:bookmarkEnd w:id="477"/>
    <w:p w14:paraId="0160D158" w14:textId="5D302F77" w:rsidR="006D0D85" w:rsidRPr="003F1AF9" w:rsidRDefault="00F92588" w:rsidP="006D0D85">
      <w:r>
        <w:t>As</w:t>
      </w:r>
      <w:r w:rsidR="006D0D85" w:rsidRPr="003F1AF9">
        <w:t xml:space="preserve"> </w:t>
      </w:r>
      <w:r w:rsidR="00237CFC" w:rsidRPr="003F1AF9">
        <w:t>Heat Pumps</w:t>
      </w:r>
      <w:r w:rsidR="006D0D85" w:rsidRPr="003F1AF9">
        <w:t xml:space="preserve"> </w:t>
      </w:r>
      <w:r w:rsidRPr="002B53C3">
        <w:t>directly replaces TWh of heating provided by conventional means, uses TWh (</w:t>
      </w:r>
      <w:proofErr w:type="spellStart"/>
      <w:r w:rsidRPr="002B53C3">
        <w:t>th</w:t>
      </w:r>
      <w:proofErr w:type="spellEnd"/>
      <w:r>
        <w:t>)</w:t>
      </w:r>
      <w:r w:rsidRPr="002B53C3">
        <w:t xml:space="preserve"> as the functional unit not floor area, and its adoption did not exceed the total building space energy demand, no adjustment was necessary for integration.</w:t>
      </w:r>
    </w:p>
    <w:p w14:paraId="0E3612A3" w14:textId="0AB14126" w:rsidR="00F92588" w:rsidRPr="00223E65" w:rsidRDefault="00F92588" w:rsidP="00F92588">
      <w:r w:rsidRPr="00223E65">
        <w:t xml:space="preserve">In addition to </w:t>
      </w:r>
      <w:r w:rsidR="00511187">
        <w:t xml:space="preserve">the </w:t>
      </w:r>
      <w:r w:rsidRPr="00223E65">
        <w:t>building sector integration, there was an integration process across the grid and electricity efficiency solutions (buildings, transport, materials etc.) which adjusted for double counting. Double counting of emissions reduction was a factor of using the reference grid emissions factors for electricity-based solutions. As grid solutions (Utility-scale Solar PV and others) are adopted, the grid gets cleaner and the impact of efficiency solutions is reduced (where they reduce electricity demand) or increased (where they increase electricity demand</w:t>
      </w:r>
      <w:bookmarkStart w:id="478" w:name="_Hlk18057342"/>
      <w:r w:rsidRPr="00223E65">
        <w:rPr>
          <w:rStyle w:val="FootnoteReference"/>
        </w:rPr>
        <w:footnoteReference w:id="5"/>
      </w:r>
      <w:bookmarkEnd w:id="478"/>
      <w:r w:rsidRPr="00223E65">
        <w:t>). Grid solutions are adjusted to remove the double counting as described in the Project Drawdown integration documentation.</w:t>
      </w:r>
    </w:p>
    <w:p w14:paraId="0ED84BEA" w14:textId="7FCE4E73" w:rsidR="009D118F" w:rsidRPr="003F1AF9" w:rsidRDefault="00686965">
      <w:pPr>
        <w:pStyle w:val="Heading2"/>
      </w:pPr>
      <w:bookmarkStart w:id="479" w:name="_Toc42289727"/>
      <w:r w:rsidRPr="003F1AF9">
        <w:t>Limitations/Further Development</w:t>
      </w:r>
      <w:bookmarkEnd w:id="479"/>
    </w:p>
    <w:p w14:paraId="17AC3006" w14:textId="712C9E8F" w:rsidR="00320756" w:rsidRPr="003F1AF9" w:rsidRDefault="00494186" w:rsidP="0055612F">
      <w:r w:rsidRPr="003F1AF9">
        <w:t xml:space="preserve">One limitation is that the </w:t>
      </w:r>
      <w:r w:rsidR="006D0D85" w:rsidRPr="003F1AF9">
        <w:t>impact</w:t>
      </w:r>
      <w:r w:rsidR="00C85FF3" w:rsidRPr="003F1AF9">
        <w:t>s</w:t>
      </w:r>
      <w:r w:rsidR="006D0D85" w:rsidRPr="003F1AF9">
        <w:t xml:space="preserve"> of high-efficiency heat pumps on </w:t>
      </w:r>
      <w:r w:rsidR="00320756" w:rsidRPr="003F1AF9">
        <w:t xml:space="preserve">space heating </w:t>
      </w:r>
      <w:r w:rsidR="006D0D85" w:rsidRPr="003F1AF9">
        <w:t>energy consumption and GHG emissions</w:t>
      </w:r>
      <w:r w:rsidR="00C85FF3" w:rsidRPr="003F1AF9">
        <w:t xml:space="preserve"> </w:t>
      </w:r>
      <w:r w:rsidR="008E08A7" w:rsidRPr="003F1AF9">
        <w:t>reported in this Technical Assessment</w:t>
      </w:r>
      <w:r w:rsidR="00C85FF3" w:rsidRPr="003F1AF9">
        <w:t xml:space="preserve"> are</w:t>
      </w:r>
      <w:r w:rsidR="006D0D85" w:rsidRPr="003F1AF9">
        <w:t xml:space="preserve"> limited to impacts at the </w:t>
      </w:r>
      <w:r w:rsidR="006D0D85" w:rsidRPr="003F1AF9">
        <w:rPr>
          <w:i/>
        </w:rPr>
        <w:t>building level</w:t>
      </w:r>
      <w:r w:rsidR="00320756" w:rsidRPr="003F1AF9">
        <w:t>.</w:t>
      </w:r>
      <w:r w:rsidR="0078120E">
        <w:t xml:space="preserve"> </w:t>
      </w:r>
      <w:r w:rsidR="00320756" w:rsidRPr="003F1AF9">
        <w:t>But, as discussed in the Literature Review, HEHPs provide two benefits:</w:t>
      </w:r>
      <w:r w:rsidR="0078120E">
        <w:t xml:space="preserve"> </w:t>
      </w:r>
    </w:p>
    <w:p w14:paraId="49B8361A" w14:textId="1702D468" w:rsidR="00320756" w:rsidRPr="003F1AF9" w:rsidRDefault="00320756" w:rsidP="00F436B3">
      <w:pPr>
        <w:pStyle w:val="ListParagraph"/>
        <w:numPr>
          <w:ilvl w:val="0"/>
          <w:numId w:val="29"/>
        </w:numPr>
      </w:pPr>
      <w:r w:rsidRPr="003F1AF9">
        <w:t xml:space="preserve">Reducing </w:t>
      </w:r>
      <w:r w:rsidR="00C500E8" w:rsidRPr="003F1AF9">
        <w:t xml:space="preserve">building </w:t>
      </w:r>
      <w:r w:rsidRPr="003F1AF9">
        <w:t>energy consumption</w:t>
      </w:r>
      <w:r w:rsidR="00511187">
        <w:t>.</w:t>
      </w:r>
      <w:r w:rsidRPr="003F1AF9">
        <w:t xml:space="preserve"> </w:t>
      </w:r>
    </w:p>
    <w:p w14:paraId="1B38CD49" w14:textId="4D1D12EA" w:rsidR="00320756" w:rsidRPr="003F1AF9" w:rsidRDefault="00C37AA2" w:rsidP="00F436B3">
      <w:pPr>
        <w:pStyle w:val="ListParagraph"/>
        <w:numPr>
          <w:ilvl w:val="0"/>
          <w:numId w:val="29"/>
        </w:numPr>
      </w:pPr>
      <w:r w:rsidRPr="003F1AF9">
        <w:t>Supporting the replacement of</w:t>
      </w:r>
      <w:r w:rsidR="00320756" w:rsidRPr="003F1AF9">
        <w:t xml:space="preserve"> </w:t>
      </w:r>
      <w:r w:rsidR="00C85FF3" w:rsidRPr="003F1AF9">
        <w:t xml:space="preserve">building </w:t>
      </w:r>
      <w:r w:rsidR="00320756" w:rsidRPr="003F1AF9">
        <w:t>fossil fuel energy consumption with renewably</w:t>
      </w:r>
      <w:r w:rsidR="00511187">
        <w:t xml:space="preserve"> </w:t>
      </w:r>
      <w:r w:rsidR="00320756" w:rsidRPr="003F1AF9">
        <w:t>generated electricity.</w:t>
      </w:r>
      <w:r w:rsidR="0078120E">
        <w:t xml:space="preserve"> </w:t>
      </w:r>
      <w:r w:rsidR="00320756" w:rsidRPr="003F1AF9">
        <w:t>It is clear that this impact can be large if the grid shifts to renewable electricity (IEA ETP, 2017).</w:t>
      </w:r>
      <w:r w:rsidR="0078120E">
        <w:t xml:space="preserve"> </w:t>
      </w:r>
    </w:p>
    <w:p w14:paraId="5B7811F0" w14:textId="26A88755" w:rsidR="00C500E8" w:rsidRPr="003F1AF9" w:rsidRDefault="00C500E8" w:rsidP="00CF7461">
      <w:r w:rsidRPr="003F1AF9">
        <w:t>So, this Technical Report addresses only the first benefit in depth.</w:t>
      </w:r>
      <w:r w:rsidR="0078120E">
        <w:t xml:space="preserve"> </w:t>
      </w:r>
    </w:p>
    <w:p w14:paraId="5BE0BC8B" w14:textId="19E42532" w:rsidR="006D0D85" w:rsidRPr="003F1AF9" w:rsidRDefault="00320756" w:rsidP="00CF7461">
      <w:r w:rsidRPr="003F1AF9">
        <w:t xml:space="preserve">In </w:t>
      </w:r>
      <w:r w:rsidR="00494186" w:rsidRPr="003F1AF9">
        <w:t xml:space="preserve">terms of further development, in </w:t>
      </w:r>
      <w:r w:rsidRPr="003F1AF9">
        <w:t xml:space="preserve">conducting an analysis of equipment such as HEHPs, it is essential that the analysis be self-consistent in terms of the relationship between equipment </w:t>
      </w:r>
      <w:r w:rsidR="00C85FF3" w:rsidRPr="003F1AF9">
        <w:t xml:space="preserve">efficiency, equipment </w:t>
      </w:r>
      <w:r w:rsidRPr="003F1AF9">
        <w:lastRenderedPageBreak/>
        <w:t>adoption, delivered energy TAM</w:t>
      </w:r>
      <w:r w:rsidR="00C85FF3" w:rsidRPr="003F1AF9">
        <w:t>, and the broader scenario “world”</w:t>
      </w:r>
      <w:r w:rsidR="00D96E7A" w:rsidRPr="003F1AF9">
        <w:t xml:space="preserve"> – all of which are time dependent</w:t>
      </w:r>
      <w:r w:rsidR="00C85FF3" w:rsidRPr="003F1AF9">
        <w:t>.</w:t>
      </w:r>
      <w:r w:rsidR="0078120E">
        <w:t xml:space="preserve"> </w:t>
      </w:r>
      <w:r w:rsidR="00C500E8" w:rsidRPr="003F1AF9">
        <w:t>The</w:t>
      </w:r>
      <w:r w:rsidR="00C85FF3" w:rsidRPr="003F1AF9">
        <w:t xml:space="preserve"> current </w:t>
      </w:r>
      <w:r w:rsidR="00494186" w:rsidRPr="003F1AF9">
        <w:t>RRS model</w:t>
      </w:r>
      <w:r w:rsidR="00C500E8" w:rsidRPr="003F1AF9">
        <w:t xml:space="preserve"> </w:t>
      </w:r>
      <w:r w:rsidR="00D96E7A" w:rsidRPr="003F1AF9">
        <w:t>supports</w:t>
      </w:r>
      <w:r w:rsidR="00494186" w:rsidRPr="003F1AF9">
        <w:t xml:space="preserve"> a single heat pump SCOP,</w:t>
      </w:r>
      <w:r w:rsidR="00C85FF3" w:rsidRPr="003F1AF9">
        <w:t xml:space="preserve"> </w:t>
      </w:r>
      <w:r w:rsidR="00C500E8" w:rsidRPr="003F1AF9">
        <w:t>so it is necessary to conduct</w:t>
      </w:r>
      <w:r w:rsidR="00C85FF3" w:rsidRPr="003F1AF9">
        <w:t xml:space="preserve"> </w:t>
      </w:r>
      <w:r w:rsidR="00C500E8" w:rsidRPr="003F1AF9">
        <w:t xml:space="preserve">analysis </w:t>
      </w:r>
      <w:r w:rsidR="00C85FF3" w:rsidRPr="003F1AF9">
        <w:t>runs</w:t>
      </w:r>
      <w:r w:rsidR="00494186" w:rsidRPr="003F1AF9">
        <w:t xml:space="preserve"> using an approximate “average” heat pump SCOP (and static fossil heating equipment efficiencies).</w:t>
      </w:r>
      <w:r w:rsidR="0078120E">
        <w:t xml:space="preserve"> </w:t>
      </w:r>
      <w:r w:rsidR="00494186" w:rsidRPr="003F1AF9">
        <w:t>This was compensated by using time-varying efficiencies in calculating delivered energy from final energy forecasts.</w:t>
      </w:r>
      <w:r w:rsidR="0078120E">
        <w:t xml:space="preserve"> </w:t>
      </w:r>
      <w:r w:rsidR="00494186" w:rsidRPr="003F1AF9">
        <w:t xml:space="preserve">A valuable improvement </w:t>
      </w:r>
      <w:r w:rsidR="00D96E7A" w:rsidRPr="003F1AF9">
        <w:t xml:space="preserve">for further development </w:t>
      </w:r>
      <w:r w:rsidR="00494186" w:rsidRPr="003F1AF9">
        <w:t>would be more dynamic time-dependent HVAC efficiencies</w:t>
      </w:r>
      <w:r w:rsidR="00C500E8" w:rsidRPr="003F1AF9">
        <w:t xml:space="preserve"> throughout</w:t>
      </w:r>
      <w:r w:rsidR="00494186" w:rsidRPr="003F1AF9">
        <w:t>.</w:t>
      </w:r>
      <w:r w:rsidR="0078120E">
        <w:t xml:space="preserve"> </w:t>
      </w:r>
      <w:r w:rsidR="00C85FF3" w:rsidRPr="003F1AF9">
        <w:t xml:space="preserve"> </w:t>
      </w:r>
    </w:p>
    <w:p w14:paraId="7CAFC693" w14:textId="4F4010DA" w:rsidR="007C645A" w:rsidRPr="003F1AF9" w:rsidRDefault="551A77D0" w:rsidP="00F436B3">
      <w:pPr>
        <w:pStyle w:val="Heading1"/>
      </w:pPr>
      <w:bookmarkStart w:id="480" w:name="_Ref536183010"/>
      <w:bookmarkStart w:id="481" w:name="_Toc42289728"/>
      <w:r w:rsidRPr="003F1AF9">
        <w:t>Results</w:t>
      </w:r>
      <w:bookmarkEnd w:id="480"/>
      <w:bookmarkEnd w:id="481"/>
    </w:p>
    <w:p w14:paraId="7E39F2AB" w14:textId="79101C06" w:rsidR="00B261E0" w:rsidRPr="003F1AF9" w:rsidRDefault="007C645A">
      <w:pPr>
        <w:pStyle w:val="Heading2"/>
      </w:pPr>
      <w:bookmarkStart w:id="482" w:name="_Toc42289729"/>
      <w:r w:rsidRPr="003F1AF9">
        <w:t>Adoption</w:t>
      </w:r>
      <w:bookmarkEnd w:id="482"/>
    </w:p>
    <w:p w14:paraId="10EC0E5D" w14:textId="75FE50E1" w:rsidR="0032353F" w:rsidRPr="003F1AF9" w:rsidRDefault="00BD3252" w:rsidP="0032353F">
      <w:pPr>
        <w:rPr>
          <w:sz w:val="20"/>
          <w:lang w:eastAsia="zh-CN"/>
        </w:rPr>
      </w:pPr>
      <w:r w:rsidRPr="003F1AF9">
        <w:rPr>
          <w:lang w:eastAsia="zh-CN"/>
        </w:rPr>
        <w:fldChar w:fldCharType="begin"/>
      </w:r>
      <w:r w:rsidRPr="003F1AF9">
        <w:rPr>
          <w:lang w:eastAsia="zh-CN"/>
        </w:rPr>
        <w:instrText xml:space="preserve"> REF _Ref536182734 \h </w:instrText>
      </w:r>
      <w:r w:rsidRPr="003F1AF9">
        <w:rPr>
          <w:lang w:eastAsia="zh-CN"/>
        </w:rPr>
      </w:r>
      <w:r w:rsidRPr="003F1AF9">
        <w:rPr>
          <w:lang w:eastAsia="zh-CN"/>
        </w:rPr>
        <w:fldChar w:fldCharType="separate"/>
      </w:r>
      <w:r w:rsidR="00E60668" w:rsidRPr="003F1AF9">
        <w:t xml:space="preserve">Table </w:t>
      </w:r>
      <w:r w:rsidR="00E60668">
        <w:rPr>
          <w:noProof/>
        </w:rPr>
        <w:t>3</w:t>
      </w:r>
      <w:r w:rsidR="00E60668" w:rsidRPr="003F1AF9">
        <w:t>.</w:t>
      </w:r>
      <w:r w:rsidR="00E60668">
        <w:rPr>
          <w:noProof/>
        </w:rPr>
        <w:t>1</w:t>
      </w:r>
      <w:r w:rsidRPr="003F1AF9">
        <w:rPr>
          <w:lang w:eastAsia="zh-CN"/>
        </w:rPr>
        <w:fldChar w:fldCharType="end"/>
      </w:r>
      <w:r w:rsidRPr="003F1AF9">
        <w:rPr>
          <w:lang w:eastAsia="zh-CN"/>
        </w:rPr>
        <w:t xml:space="preserve"> </w:t>
      </w:r>
      <w:r w:rsidR="007361AA" w:rsidRPr="003F1AF9">
        <w:rPr>
          <w:lang w:eastAsia="zh-CN"/>
        </w:rPr>
        <w:t>presents</w:t>
      </w:r>
      <w:r w:rsidR="0032353F" w:rsidRPr="003F1AF9">
        <w:rPr>
          <w:lang w:eastAsia="zh-CN"/>
        </w:rPr>
        <w:t xml:space="preserve"> the world adoptions of </w:t>
      </w:r>
      <w:r w:rsidR="007361AA" w:rsidRPr="003F1AF9">
        <w:rPr>
          <w:lang w:eastAsia="zh-CN"/>
        </w:rPr>
        <w:t>heat pumps and high-efficiency heat pumps</w:t>
      </w:r>
      <w:r w:rsidR="0032353F" w:rsidRPr="003F1AF9">
        <w:rPr>
          <w:lang w:eastAsia="zh-CN"/>
        </w:rPr>
        <w:t xml:space="preserve"> in some key years of analysis in functional units and percent</w:t>
      </w:r>
      <w:r w:rsidR="00D53424" w:rsidRPr="003F1AF9">
        <w:rPr>
          <w:lang w:eastAsia="zh-CN"/>
        </w:rPr>
        <w:t xml:space="preserve">, as well as 2050 heat pump installed SCOP, </w:t>
      </w:r>
      <w:r w:rsidR="0032353F" w:rsidRPr="003F1AF9">
        <w:rPr>
          <w:lang w:eastAsia="zh-CN"/>
        </w:rPr>
        <w:t xml:space="preserve">for the three Project Drawdown scenarios. </w:t>
      </w:r>
    </w:p>
    <w:p w14:paraId="21183A78" w14:textId="0D8BA839" w:rsidR="008D1491" w:rsidRPr="003F1AF9" w:rsidRDefault="008D1491" w:rsidP="00CF7461">
      <w:pPr>
        <w:pStyle w:val="Caption"/>
        <w:jc w:val="center"/>
      </w:pPr>
      <w:bookmarkStart w:id="483" w:name="_Ref536182734"/>
      <w:bookmarkStart w:id="484" w:name="_Toc42289759"/>
      <w:r w:rsidRPr="003F1AF9">
        <w:t xml:space="preserve">Table </w:t>
      </w:r>
      <w:r w:rsidR="00E014ED" w:rsidRPr="003F1AF9">
        <w:rPr>
          <w:noProof/>
        </w:rPr>
        <w:fldChar w:fldCharType="begin"/>
      </w:r>
      <w:r w:rsidR="00E014ED" w:rsidRPr="003F1AF9">
        <w:rPr>
          <w:noProof/>
        </w:rPr>
        <w:instrText xml:space="preserve"> STYLEREF 1 \s </w:instrText>
      </w:r>
      <w:r w:rsidR="00E014ED" w:rsidRPr="003F1AF9">
        <w:rPr>
          <w:noProof/>
        </w:rPr>
        <w:fldChar w:fldCharType="separate"/>
      </w:r>
      <w:r w:rsidR="00E60668">
        <w:rPr>
          <w:noProof/>
        </w:rPr>
        <w:t>3</w:t>
      </w:r>
      <w:r w:rsidR="00E014ED" w:rsidRPr="003F1AF9">
        <w:rPr>
          <w:noProof/>
        </w:rPr>
        <w:fldChar w:fldCharType="end"/>
      </w:r>
      <w:r w:rsidR="00905204" w:rsidRPr="003F1AF9">
        <w:t>.</w:t>
      </w:r>
      <w:r w:rsidR="00E014ED" w:rsidRPr="003F1AF9">
        <w:rPr>
          <w:noProof/>
        </w:rPr>
        <w:fldChar w:fldCharType="begin"/>
      </w:r>
      <w:r w:rsidR="00E014ED" w:rsidRPr="003F1AF9">
        <w:rPr>
          <w:noProof/>
        </w:rPr>
        <w:instrText xml:space="preserve"> SEQ Table \* ARABIC \s 1 </w:instrText>
      </w:r>
      <w:r w:rsidR="00E014ED" w:rsidRPr="003F1AF9">
        <w:rPr>
          <w:noProof/>
        </w:rPr>
        <w:fldChar w:fldCharType="separate"/>
      </w:r>
      <w:r w:rsidR="00E60668">
        <w:rPr>
          <w:noProof/>
        </w:rPr>
        <w:t>1</w:t>
      </w:r>
      <w:r w:rsidR="00E014ED" w:rsidRPr="003F1AF9">
        <w:rPr>
          <w:noProof/>
        </w:rPr>
        <w:fldChar w:fldCharType="end"/>
      </w:r>
      <w:bookmarkEnd w:id="483"/>
      <w:r w:rsidRPr="003F1AF9">
        <w:t xml:space="preserve"> </w:t>
      </w:r>
      <w:r w:rsidR="005C77F5" w:rsidRPr="003F1AF9">
        <w:t xml:space="preserve">World </w:t>
      </w:r>
      <w:r w:rsidRPr="003F1AF9">
        <w:t>Adoption</w:t>
      </w:r>
      <w:r w:rsidR="005C77F5" w:rsidRPr="003F1AF9">
        <w:t xml:space="preserve"> of the Solution</w:t>
      </w:r>
      <w:bookmarkEnd w:id="484"/>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A07DE0" w:rsidRPr="003F1AF9" w14:paraId="53B3F38A" w14:textId="77777777" w:rsidTr="00A12A0A">
        <w:trPr>
          <w:cantSplit/>
          <w:trHeight w:val="48"/>
          <w:tblHeader/>
        </w:trPr>
        <w:tc>
          <w:tcPr>
            <w:tcW w:w="1951" w:type="dxa"/>
            <w:vMerge w:val="restart"/>
            <w:shd w:val="clear" w:color="auto" w:fill="4F81BD" w:themeFill="accent1"/>
            <w:vAlign w:val="center"/>
          </w:tcPr>
          <w:p w14:paraId="626E2E9C" w14:textId="77777777" w:rsidR="00A07DE0" w:rsidRPr="003F1AF9" w:rsidRDefault="00A07DE0" w:rsidP="00A12A0A">
            <w:pPr>
              <w:spacing w:line="240" w:lineRule="auto"/>
              <w:jc w:val="center"/>
              <w:rPr>
                <w:rFonts w:cstheme="minorHAnsi"/>
                <w:b/>
                <w:bCs/>
                <w:color w:val="FFFFFF" w:themeColor="background1"/>
                <w:sz w:val="20"/>
                <w:szCs w:val="20"/>
              </w:rPr>
            </w:pPr>
            <w:r w:rsidRPr="003F1AF9">
              <w:rPr>
                <w:rFonts w:cstheme="minorHAnsi"/>
                <w:b/>
                <w:bCs/>
                <w:color w:val="FFFFFF" w:themeColor="background1"/>
                <w:sz w:val="20"/>
                <w:szCs w:val="20"/>
              </w:rPr>
              <w:t>Solution</w:t>
            </w:r>
          </w:p>
        </w:tc>
        <w:tc>
          <w:tcPr>
            <w:tcW w:w="1730" w:type="dxa"/>
            <w:vMerge w:val="restart"/>
            <w:shd w:val="clear" w:color="auto" w:fill="4F81BD" w:themeFill="accent1"/>
            <w:vAlign w:val="center"/>
          </w:tcPr>
          <w:p w14:paraId="37FEF575" w14:textId="77777777" w:rsidR="00A07DE0" w:rsidRPr="003F1AF9" w:rsidRDefault="00A07DE0" w:rsidP="00A12A0A">
            <w:pPr>
              <w:spacing w:line="240" w:lineRule="auto"/>
              <w:jc w:val="center"/>
              <w:rPr>
                <w:b/>
                <w:bCs/>
                <w:iCs/>
                <w:color w:val="FFFFFF" w:themeColor="background1"/>
                <w:sz w:val="20"/>
                <w:szCs w:val="20"/>
              </w:rPr>
            </w:pPr>
            <w:r w:rsidRPr="003F1AF9">
              <w:rPr>
                <w:b/>
                <w:bCs/>
                <w:iCs/>
                <w:color w:val="FFFFFF" w:themeColor="background1"/>
                <w:sz w:val="20"/>
                <w:szCs w:val="20"/>
              </w:rPr>
              <w:t>Units</w:t>
            </w:r>
          </w:p>
        </w:tc>
        <w:tc>
          <w:tcPr>
            <w:tcW w:w="1276" w:type="dxa"/>
            <w:vMerge w:val="restart"/>
            <w:shd w:val="clear" w:color="auto" w:fill="4F81BD" w:themeFill="accent1"/>
            <w:vAlign w:val="center"/>
          </w:tcPr>
          <w:p w14:paraId="4B1B5ABA" w14:textId="4F8C5B3E" w:rsidR="00A07DE0" w:rsidRPr="003F1AF9" w:rsidRDefault="00A07DE0" w:rsidP="00A12A0A">
            <w:pPr>
              <w:spacing w:line="240" w:lineRule="auto"/>
              <w:jc w:val="center"/>
              <w:rPr>
                <w:b/>
                <w:bCs/>
                <w:color w:val="FFFFFF" w:themeColor="background1"/>
                <w:sz w:val="20"/>
                <w:szCs w:val="20"/>
              </w:rPr>
            </w:pPr>
            <w:r w:rsidRPr="003F1AF9">
              <w:rPr>
                <w:b/>
                <w:bCs/>
                <w:iCs/>
                <w:color w:val="FFFFFF" w:themeColor="background1"/>
                <w:sz w:val="20"/>
                <w:szCs w:val="20"/>
              </w:rPr>
              <w:t>Base Year</w:t>
            </w:r>
            <w:r w:rsidR="0078120E">
              <w:rPr>
                <w:b/>
                <w:bCs/>
                <w:iCs/>
                <w:color w:val="FFFFFF" w:themeColor="background1"/>
                <w:sz w:val="20"/>
                <w:szCs w:val="20"/>
              </w:rPr>
              <w:t xml:space="preserve"> </w:t>
            </w:r>
            <w:r w:rsidRPr="003F1AF9">
              <w:rPr>
                <w:b/>
                <w:bCs/>
                <w:color w:val="FFFFFF" w:themeColor="background1"/>
                <w:sz w:val="20"/>
                <w:szCs w:val="20"/>
              </w:rPr>
              <w:t>(2014)</w:t>
            </w:r>
          </w:p>
        </w:tc>
        <w:tc>
          <w:tcPr>
            <w:tcW w:w="4260" w:type="dxa"/>
            <w:gridSpan w:val="3"/>
            <w:shd w:val="clear" w:color="auto" w:fill="4F81BD" w:themeFill="accent1"/>
            <w:vAlign w:val="center"/>
          </w:tcPr>
          <w:p w14:paraId="73746783" w14:textId="77777777" w:rsidR="00A07DE0" w:rsidRPr="003F1AF9" w:rsidRDefault="00A07DE0" w:rsidP="00A12A0A">
            <w:pPr>
              <w:spacing w:line="240" w:lineRule="auto"/>
              <w:jc w:val="center"/>
              <w:rPr>
                <w:b/>
                <w:bCs/>
                <w:iCs/>
                <w:color w:val="FFFFFF" w:themeColor="background1"/>
                <w:sz w:val="20"/>
                <w:szCs w:val="20"/>
              </w:rPr>
            </w:pPr>
            <w:r w:rsidRPr="003F1AF9">
              <w:rPr>
                <w:b/>
                <w:bCs/>
                <w:iCs/>
                <w:color w:val="FFFFFF" w:themeColor="background1"/>
                <w:sz w:val="20"/>
                <w:szCs w:val="20"/>
              </w:rPr>
              <w:t>World Adoption by 2050</w:t>
            </w:r>
          </w:p>
        </w:tc>
      </w:tr>
      <w:tr w:rsidR="00A07DE0" w:rsidRPr="003F1AF9" w14:paraId="60853BF9" w14:textId="77777777" w:rsidTr="00A12A0A">
        <w:trPr>
          <w:cantSplit/>
          <w:trHeight w:val="184"/>
          <w:tblHeader/>
        </w:trPr>
        <w:tc>
          <w:tcPr>
            <w:tcW w:w="1951" w:type="dxa"/>
            <w:vMerge/>
            <w:shd w:val="clear" w:color="auto" w:fill="4F81BD" w:themeFill="accent1"/>
            <w:vAlign w:val="center"/>
          </w:tcPr>
          <w:p w14:paraId="3992E500" w14:textId="77777777" w:rsidR="00A07DE0" w:rsidRPr="003F1AF9" w:rsidRDefault="00A07DE0" w:rsidP="00A12A0A">
            <w:pPr>
              <w:spacing w:line="240" w:lineRule="auto"/>
              <w:jc w:val="center"/>
              <w:rPr>
                <w:rFonts w:cstheme="minorHAnsi"/>
                <w:b/>
                <w:bCs/>
                <w:i/>
                <w:color w:val="FFFFFF" w:themeColor="background1"/>
                <w:sz w:val="20"/>
                <w:szCs w:val="20"/>
              </w:rPr>
            </w:pPr>
          </w:p>
        </w:tc>
        <w:tc>
          <w:tcPr>
            <w:tcW w:w="1730" w:type="dxa"/>
            <w:vMerge/>
            <w:shd w:val="clear" w:color="auto" w:fill="4F81BD" w:themeFill="accent1"/>
            <w:vAlign w:val="center"/>
          </w:tcPr>
          <w:p w14:paraId="5368121B" w14:textId="77777777" w:rsidR="00A07DE0" w:rsidRPr="003F1AF9" w:rsidRDefault="00A07DE0" w:rsidP="00A12A0A">
            <w:pPr>
              <w:spacing w:line="240" w:lineRule="auto"/>
              <w:jc w:val="center"/>
              <w:rPr>
                <w:bCs/>
                <w:i/>
                <w:color w:val="FFFFFF" w:themeColor="background1"/>
                <w:sz w:val="20"/>
                <w:szCs w:val="20"/>
              </w:rPr>
            </w:pPr>
          </w:p>
        </w:tc>
        <w:tc>
          <w:tcPr>
            <w:tcW w:w="1276" w:type="dxa"/>
            <w:vMerge/>
            <w:shd w:val="clear" w:color="auto" w:fill="4F81BD" w:themeFill="accent1"/>
            <w:vAlign w:val="center"/>
          </w:tcPr>
          <w:p w14:paraId="5A8B7F3B" w14:textId="77777777" w:rsidR="00A07DE0" w:rsidRPr="003F1AF9" w:rsidRDefault="00A07DE0" w:rsidP="00A12A0A">
            <w:pPr>
              <w:spacing w:line="240" w:lineRule="auto"/>
              <w:jc w:val="center"/>
              <w:rPr>
                <w:bCs/>
                <w:i/>
                <w:color w:val="FFFFFF" w:themeColor="background1"/>
                <w:sz w:val="20"/>
                <w:szCs w:val="20"/>
              </w:rPr>
            </w:pPr>
          </w:p>
        </w:tc>
        <w:tc>
          <w:tcPr>
            <w:tcW w:w="1417" w:type="dxa"/>
            <w:shd w:val="clear" w:color="auto" w:fill="4F81BD" w:themeFill="accent1"/>
            <w:vAlign w:val="center"/>
          </w:tcPr>
          <w:p w14:paraId="349CEA14" w14:textId="77777777" w:rsidR="00A07DE0" w:rsidRPr="003F1AF9" w:rsidRDefault="00A07DE0" w:rsidP="00A12A0A">
            <w:pPr>
              <w:spacing w:line="240" w:lineRule="auto"/>
              <w:jc w:val="center"/>
              <w:rPr>
                <w:b/>
                <w:bCs/>
                <w:iCs/>
                <w:color w:val="FFFFFF" w:themeColor="background1"/>
                <w:sz w:val="20"/>
                <w:szCs w:val="20"/>
              </w:rPr>
            </w:pPr>
            <w:r w:rsidRPr="003F1AF9">
              <w:rPr>
                <w:b/>
                <w:bCs/>
                <w:iCs/>
                <w:color w:val="FFFFFF" w:themeColor="background1"/>
                <w:sz w:val="20"/>
                <w:szCs w:val="20"/>
              </w:rPr>
              <w:t>Plausible</w:t>
            </w:r>
          </w:p>
        </w:tc>
        <w:tc>
          <w:tcPr>
            <w:tcW w:w="1559" w:type="dxa"/>
            <w:shd w:val="clear" w:color="auto" w:fill="4F81BD" w:themeFill="accent1"/>
            <w:vAlign w:val="center"/>
          </w:tcPr>
          <w:p w14:paraId="02CCCD79" w14:textId="77777777" w:rsidR="00A07DE0" w:rsidRPr="003F1AF9" w:rsidRDefault="00A07DE0" w:rsidP="00A12A0A">
            <w:pPr>
              <w:spacing w:line="240" w:lineRule="auto"/>
              <w:jc w:val="center"/>
              <w:rPr>
                <w:b/>
                <w:bCs/>
                <w:iCs/>
                <w:color w:val="FFFFFF" w:themeColor="background1"/>
                <w:sz w:val="20"/>
                <w:szCs w:val="20"/>
              </w:rPr>
            </w:pPr>
            <w:r w:rsidRPr="003F1AF9">
              <w:rPr>
                <w:b/>
                <w:bCs/>
                <w:iCs/>
                <w:color w:val="FFFFFF" w:themeColor="background1"/>
                <w:sz w:val="20"/>
                <w:szCs w:val="20"/>
              </w:rPr>
              <w:t>Drawdown</w:t>
            </w:r>
          </w:p>
        </w:tc>
        <w:tc>
          <w:tcPr>
            <w:tcW w:w="1284" w:type="dxa"/>
            <w:shd w:val="clear" w:color="auto" w:fill="4F81BD" w:themeFill="accent1"/>
            <w:vAlign w:val="center"/>
          </w:tcPr>
          <w:p w14:paraId="05F34406" w14:textId="77777777" w:rsidR="00A07DE0" w:rsidRPr="003F1AF9" w:rsidRDefault="00A07DE0" w:rsidP="00A12A0A">
            <w:pPr>
              <w:spacing w:line="240" w:lineRule="auto"/>
              <w:jc w:val="center"/>
              <w:rPr>
                <w:b/>
                <w:bCs/>
                <w:iCs/>
                <w:color w:val="FFFFFF" w:themeColor="background1"/>
                <w:sz w:val="20"/>
                <w:szCs w:val="20"/>
              </w:rPr>
            </w:pPr>
            <w:r w:rsidRPr="003F1AF9">
              <w:rPr>
                <w:b/>
                <w:bCs/>
                <w:iCs/>
                <w:color w:val="FFFFFF" w:themeColor="background1"/>
                <w:sz w:val="20"/>
                <w:szCs w:val="20"/>
              </w:rPr>
              <w:t>Optimum</w:t>
            </w:r>
          </w:p>
        </w:tc>
      </w:tr>
      <w:tr w:rsidR="008A402B" w:rsidRPr="003F1AF9" w14:paraId="1EABA495" w14:textId="77777777" w:rsidTr="00F43765">
        <w:trPr>
          <w:trHeight w:val="467"/>
        </w:trPr>
        <w:tc>
          <w:tcPr>
            <w:tcW w:w="1951" w:type="dxa"/>
            <w:vMerge w:val="restart"/>
            <w:vAlign w:val="center"/>
          </w:tcPr>
          <w:p w14:paraId="43D76090" w14:textId="72CB259B" w:rsidR="008A402B" w:rsidRPr="003F1AF9" w:rsidRDefault="008A402B" w:rsidP="00F43765">
            <w:pPr>
              <w:spacing w:after="0" w:line="240" w:lineRule="auto"/>
              <w:jc w:val="center"/>
              <w:rPr>
                <w:sz w:val="20"/>
                <w:szCs w:val="20"/>
              </w:rPr>
            </w:pPr>
            <w:r w:rsidRPr="003F1AF9">
              <w:rPr>
                <w:sz w:val="20"/>
                <w:szCs w:val="20"/>
              </w:rPr>
              <w:t>Heat Pumps</w:t>
            </w:r>
          </w:p>
        </w:tc>
        <w:tc>
          <w:tcPr>
            <w:tcW w:w="1730" w:type="dxa"/>
            <w:vAlign w:val="center"/>
          </w:tcPr>
          <w:p w14:paraId="38A04DC7" w14:textId="64E121B8" w:rsidR="008A402B" w:rsidRPr="003F1AF9" w:rsidRDefault="008A402B" w:rsidP="00F43765">
            <w:pPr>
              <w:spacing w:after="0" w:line="240" w:lineRule="auto"/>
              <w:jc w:val="center"/>
              <w:rPr>
                <w:rFonts w:cstheme="minorHAnsi"/>
                <w:bCs/>
                <w:color w:val="000000" w:themeColor="text1"/>
                <w:sz w:val="20"/>
                <w:szCs w:val="20"/>
              </w:rPr>
            </w:pPr>
            <w:r w:rsidRPr="003F1AF9">
              <w:rPr>
                <w:bCs/>
                <w:i/>
                <w:color w:val="000000" w:themeColor="text1"/>
                <w:sz w:val="20"/>
                <w:szCs w:val="20"/>
              </w:rPr>
              <w:t>TWh (</w:t>
            </w:r>
            <w:proofErr w:type="spellStart"/>
            <w:r w:rsidRPr="003F1AF9">
              <w:rPr>
                <w:bCs/>
                <w:i/>
                <w:color w:val="000000" w:themeColor="text1"/>
                <w:sz w:val="20"/>
                <w:szCs w:val="20"/>
              </w:rPr>
              <w:t>th</w:t>
            </w:r>
            <w:proofErr w:type="spellEnd"/>
            <w:r w:rsidRPr="003F1AF9">
              <w:rPr>
                <w:bCs/>
                <w:i/>
                <w:color w:val="000000" w:themeColor="text1"/>
                <w:sz w:val="20"/>
                <w:szCs w:val="20"/>
              </w:rPr>
              <w:t xml:space="preserve">) </w:t>
            </w:r>
            <w:r w:rsidRPr="003F1AF9">
              <w:rPr>
                <w:bCs/>
                <w:i/>
                <w:iCs/>
                <w:color w:val="000000" w:themeColor="text1"/>
                <w:sz w:val="20"/>
                <w:szCs w:val="20"/>
              </w:rPr>
              <w:t>Delivered Energy</w:t>
            </w:r>
          </w:p>
        </w:tc>
        <w:tc>
          <w:tcPr>
            <w:tcW w:w="1276" w:type="dxa"/>
            <w:vAlign w:val="center"/>
          </w:tcPr>
          <w:p w14:paraId="78D4A07C" w14:textId="0B0D7C80" w:rsidR="008A402B" w:rsidRPr="003F1AF9" w:rsidRDefault="008A402B" w:rsidP="00F43765">
            <w:pPr>
              <w:spacing w:after="0" w:line="240" w:lineRule="auto"/>
              <w:jc w:val="center"/>
              <w:rPr>
                <w:rFonts w:cstheme="minorHAnsi"/>
                <w:bCs/>
                <w:sz w:val="20"/>
                <w:szCs w:val="20"/>
              </w:rPr>
            </w:pPr>
            <w:r w:rsidRPr="003F1AF9">
              <w:rPr>
                <w:rFonts w:cstheme="minorHAnsi"/>
                <w:bCs/>
                <w:sz w:val="20"/>
                <w:szCs w:val="20"/>
              </w:rPr>
              <w:t>290</w:t>
            </w:r>
          </w:p>
        </w:tc>
        <w:tc>
          <w:tcPr>
            <w:tcW w:w="1417" w:type="dxa"/>
            <w:vAlign w:val="center"/>
          </w:tcPr>
          <w:p w14:paraId="101DA30B" w14:textId="307A728E" w:rsidR="008A402B" w:rsidRPr="003F1AF9" w:rsidRDefault="008A402B" w:rsidP="00F43765">
            <w:pPr>
              <w:spacing w:after="0" w:line="240" w:lineRule="auto"/>
              <w:jc w:val="center"/>
              <w:rPr>
                <w:rFonts w:cstheme="minorHAnsi"/>
                <w:bCs/>
                <w:sz w:val="20"/>
                <w:szCs w:val="20"/>
              </w:rPr>
            </w:pPr>
            <w:r w:rsidRPr="003F1AF9">
              <w:rPr>
                <w:rFonts w:cstheme="minorHAnsi"/>
                <w:bCs/>
                <w:sz w:val="20"/>
                <w:szCs w:val="20"/>
              </w:rPr>
              <w:t>1,448</w:t>
            </w:r>
          </w:p>
        </w:tc>
        <w:tc>
          <w:tcPr>
            <w:tcW w:w="1559" w:type="dxa"/>
            <w:vAlign w:val="center"/>
          </w:tcPr>
          <w:p w14:paraId="5C04A959" w14:textId="1ECCE610" w:rsidR="008A402B" w:rsidRPr="003F1AF9" w:rsidRDefault="008A402B" w:rsidP="00F43765">
            <w:pPr>
              <w:spacing w:after="0" w:line="240" w:lineRule="auto"/>
              <w:jc w:val="center"/>
              <w:rPr>
                <w:rFonts w:cstheme="minorHAnsi"/>
                <w:bCs/>
                <w:sz w:val="20"/>
                <w:szCs w:val="20"/>
              </w:rPr>
            </w:pPr>
            <w:r w:rsidRPr="003F1AF9">
              <w:rPr>
                <w:rFonts w:cstheme="minorHAnsi"/>
                <w:bCs/>
                <w:sz w:val="20"/>
                <w:szCs w:val="20"/>
              </w:rPr>
              <w:t>2,770</w:t>
            </w:r>
          </w:p>
        </w:tc>
        <w:tc>
          <w:tcPr>
            <w:tcW w:w="1284" w:type="dxa"/>
            <w:vAlign w:val="center"/>
          </w:tcPr>
          <w:p w14:paraId="39E198B2" w14:textId="5BDC00FA" w:rsidR="008A402B" w:rsidRPr="003F1AF9" w:rsidRDefault="008A402B" w:rsidP="00F43765">
            <w:pPr>
              <w:spacing w:after="0" w:line="240" w:lineRule="auto"/>
              <w:jc w:val="center"/>
              <w:rPr>
                <w:rFonts w:cstheme="minorHAnsi"/>
                <w:bCs/>
                <w:sz w:val="20"/>
                <w:szCs w:val="20"/>
              </w:rPr>
            </w:pPr>
            <w:r w:rsidRPr="003F1AF9">
              <w:rPr>
                <w:rFonts w:cstheme="minorHAnsi"/>
                <w:bCs/>
                <w:sz w:val="20"/>
                <w:szCs w:val="20"/>
              </w:rPr>
              <w:t>3,314</w:t>
            </w:r>
          </w:p>
        </w:tc>
      </w:tr>
      <w:tr w:rsidR="008A402B" w:rsidRPr="003F1AF9" w14:paraId="5420E598" w14:textId="77777777" w:rsidTr="00F43765">
        <w:trPr>
          <w:trHeight w:val="32"/>
        </w:trPr>
        <w:tc>
          <w:tcPr>
            <w:tcW w:w="1951" w:type="dxa"/>
            <w:vMerge/>
            <w:vAlign w:val="center"/>
          </w:tcPr>
          <w:p w14:paraId="39D59948" w14:textId="77777777" w:rsidR="008A402B" w:rsidRPr="003F1AF9" w:rsidRDefault="008A402B" w:rsidP="00F43765">
            <w:pPr>
              <w:spacing w:after="0" w:line="240" w:lineRule="auto"/>
              <w:jc w:val="center"/>
              <w:rPr>
                <w:sz w:val="20"/>
                <w:szCs w:val="20"/>
              </w:rPr>
            </w:pPr>
          </w:p>
        </w:tc>
        <w:tc>
          <w:tcPr>
            <w:tcW w:w="1730" w:type="dxa"/>
            <w:vAlign w:val="center"/>
          </w:tcPr>
          <w:p w14:paraId="52663EFD" w14:textId="01E37FBB" w:rsidR="008A402B" w:rsidRPr="003F1AF9" w:rsidRDefault="008A402B" w:rsidP="00F43765">
            <w:pPr>
              <w:spacing w:after="0" w:line="240" w:lineRule="auto"/>
              <w:jc w:val="center"/>
              <w:rPr>
                <w:rFonts w:cstheme="minorHAnsi"/>
                <w:bCs/>
                <w:color w:val="000000" w:themeColor="text1"/>
                <w:sz w:val="20"/>
                <w:szCs w:val="20"/>
              </w:rPr>
            </w:pPr>
            <w:r w:rsidRPr="003F1AF9">
              <w:rPr>
                <w:bCs/>
                <w:i/>
                <w:iCs/>
                <w:color w:val="000000" w:themeColor="text1"/>
                <w:sz w:val="20"/>
                <w:szCs w:val="20"/>
              </w:rPr>
              <w:t>% TAM</w:t>
            </w:r>
          </w:p>
        </w:tc>
        <w:tc>
          <w:tcPr>
            <w:tcW w:w="1276" w:type="dxa"/>
            <w:vAlign w:val="center"/>
          </w:tcPr>
          <w:p w14:paraId="378B55F7" w14:textId="0FA7E687" w:rsidR="008A402B" w:rsidRPr="003F1AF9" w:rsidRDefault="008A402B" w:rsidP="00F43765">
            <w:pPr>
              <w:spacing w:after="0" w:line="240" w:lineRule="auto"/>
              <w:jc w:val="center"/>
              <w:rPr>
                <w:rFonts w:cstheme="minorHAnsi"/>
                <w:bCs/>
                <w:sz w:val="20"/>
                <w:szCs w:val="20"/>
              </w:rPr>
            </w:pPr>
            <w:r w:rsidRPr="003F1AF9">
              <w:rPr>
                <w:rFonts w:cstheme="minorHAnsi"/>
                <w:bCs/>
                <w:sz w:val="20"/>
                <w:szCs w:val="20"/>
              </w:rPr>
              <w:t>3.2%</w:t>
            </w:r>
          </w:p>
        </w:tc>
        <w:tc>
          <w:tcPr>
            <w:tcW w:w="1417" w:type="dxa"/>
            <w:vAlign w:val="center"/>
          </w:tcPr>
          <w:p w14:paraId="776DA757" w14:textId="6AAA9012" w:rsidR="008A402B" w:rsidRPr="003F1AF9" w:rsidRDefault="008A402B" w:rsidP="00F43765">
            <w:pPr>
              <w:spacing w:after="0" w:line="240" w:lineRule="auto"/>
              <w:jc w:val="center"/>
              <w:rPr>
                <w:rFonts w:cstheme="minorHAnsi"/>
                <w:bCs/>
                <w:sz w:val="20"/>
                <w:szCs w:val="20"/>
              </w:rPr>
            </w:pPr>
            <w:r w:rsidRPr="003F1AF9">
              <w:rPr>
                <w:rFonts w:cstheme="minorHAnsi"/>
                <w:bCs/>
                <w:sz w:val="20"/>
                <w:szCs w:val="20"/>
              </w:rPr>
              <w:t>20.</w:t>
            </w:r>
            <w:r w:rsidR="007653A5" w:rsidRPr="003F1AF9">
              <w:rPr>
                <w:rFonts w:cstheme="minorHAnsi"/>
                <w:bCs/>
                <w:sz w:val="20"/>
                <w:szCs w:val="20"/>
              </w:rPr>
              <w:t>3</w:t>
            </w:r>
            <w:r w:rsidRPr="003F1AF9">
              <w:rPr>
                <w:rFonts w:cstheme="minorHAnsi"/>
                <w:bCs/>
                <w:sz w:val="20"/>
                <w:szCs w:val="20"/>
              </w:rPr>
              <w:t>%</w:t>
            </w:r>
          </w:p>
        </w:tc>
        <w:tc>
          <w:tcPr>
            <w:tcW w:w="1559" w:type="dxa"/>
            <w:vAlign w:val="center"/>
          </w:tcPr>
          <w:p w14:paraId="44B9A0CD" w14:textId="34D30E8F" w:rsidR="008A402B" w:rsidRPr="003F1AF9" w:rsidRDefault="008A402B" w:rsidP="00F43765">
            <w:pPr>
              <w:spacing w:after="0" w:line="240" w:lineRule="auto"/>
              <w:jc w:val="center"/>
              <w:rPr>
                <w:rFonts w:cstheme="minorHAnsi"/>
                <w:bCs/>
                <w:sz w:val="20"/>
                <w:szCs w:val="20"/>
              </w:rPr>
            </w:pPr>
            <w:r w:rsidRPr="003F1AF9">
              <w:rPr>
                <w:rFonts w:cstheme="minorHAnsi"/>
                <w:bCs/>
                <w:sz w:val="20"/>
                <w:szCs w:val="20"/>
              </w:rPr>
              <w:t>39.8%</w:t>
            </w:r>
          </w:p>
        </w:tc>
        <w:tc>
          <w:tcPr>
            <w:tcW w:w="1284" w:type="dxa"/>
            <w:vAlign w:val="center"/>
          </w:tcPr>
          <w:p w14:paraId="205ABD67" w14:textId="1FE25553" w:rsidR="008A402B" w:rsidRPr="003F1AF9" w:rsidRDefault="008A402B" w:rsidP="00F43765">
            <w:pPr>
              <w:spacing w:after="0" w:line="240" w:lineRule="auto"/>
              <w:jc w:val="center"/>
              <w:rPr>
                <w:rFonts w:cstheme="minorHAnsi"/>
                <w:bCs/>
                <w:sz w:val="20"/>
                <w:szCs w:val="20"/>
              </w:rPr>
            </w:pPr>
            <w:r w:rsidRPr="003F1AF9">
              <w:rPr>
                <w:rFonts w:cstheme="minorHAnsi"/>
                <w:bCs/>
                <w:sz w:val="20"/>
                <w:szCs w:val="20"/>
              </w:rPr>
              <w:t>47.6%</w:t>
            </w:r>
          </w:p>
        </w:tc>
      </w:tr>
      <w:tr w:rsidR="00F43765" w:rsidRPr="003F1AF9" w14:paraId="6600F132" w14:textId="77777777" w:rsidTr="00F43765">
        <w:trPr>
          <w:trHeight w:val="467"/>
        </w:trPr>
        <w:tc>
          <w:tcPr>
            <w:tcW w:w="1951" w:type="dxa"/>
            <w:vAlign w:val="center"/>
          </w:tcPr>
          <w:p w14:paraId="725AAD38" w14:textId="3C6F94D5" w:rsidR="00F43765" w:rsidRPr="003F1AF9" w:rsidRDefault="008A402B" w:rsidP="00B26517">
            <w:pPr>
              <w:spacing w:after="0" w:line="240" w:lineRule="auto"/>
              <w:jc w:val="center"/>
              <w:rPr>
                <w:sz w:val="20"/>
                <w:szCs w:val="20"/>
              </w:rPr>
            </w:pPr>
            <w:r w:rsidRPr="003F1AF9">
              <w:rPr>
                <w:sz w:val="20"/>
                <w:szCs w:val="20"/>
              </w:rPr>
              <w:t>Heat Pump Average Installed SCOP</w:t>
            </w:r>
          </w:p>
        </w:tc>
        <w:tc>
          <w:tcPr>
            <w:tcW w:w="1730" w:type="dxa"/>
            <w:vAlign w:val="center"/>
          </w:tcPr>
          <w:p w14:paraId="1BB439E1" w14:textId="5D2015EA" w:rsidR="00F43765" w:rsidRPr="003F1AF9" w:rsidRDefault="008A402B" w:rsidP="00F43765">
            <w:pPr>
              <w:spacing w:after="0" w:line="240" w:lineRule="auto"/>
              <w:jc w:val="center"/>
              <w:rPr>
                <w:rFonts w:cstheme="minorHAnsi"/>
                <w:bCs/>
                <w:color w:val="000000" w:themeColor="text1"/>
                <w:sz w:val="20"/>
                <w:szCs w:val="20"/>
              </w:rPr>
            </w:pPr>
            <w:proofErr w:type="spellStart"/>
            <w:r w:rsidRPr="003F1AF9">
              <w:rPr>
                <w:bCs/>
                <w:i/>
                <w:iCs/>
                <w:color w:val="000000" w:themeColor="text1"/>
                <w:sz w:val="20"/>
                <w:szCs w:val="20"/>
              </w:rPr>
              <w:t>Wh</w:t>
            </w:r>
            <w:proofErr w:type="spellEnd"/>
            <w:r w:rsidRPr="003F1AF9">
              <w:rPr>
                <w:bCs/>
                <w:i/>
                <w:iCs/>
                <w:color w:val="000000" w:themeColor="text1"/>
                <w:sz w:val="20"/>
                <w:szCs w:val="20"/>
              </w:rPr>
              <w:t>/</w:t>
            </w:r>
            <w:proofErr w:type="spellStart"/>
            <w:r w:rsidRPr="003F1AF9">
              <w:rPr>
                <w:bCs/>
                <w:i/>
                <w:iCs/>
                <w:color w:val="000000" w:themeColor="text1"/>
                <w:sz w:val="20"/>
                <w:szCs w:val="20"/>
              </w:rPr>
              <w:t>Wh</w:t>
            </w:r>
            <w:proofErr w:type="spellEnd"/>
          </w:p>
        </w:tc>
        <w:tc>
          <w:tcPr>
            <w:tcW w:w="1276" w:type="dxa"/>
            <w:vAlign w:val="center"/>
          </w:tcPr>
          <w:p w14:paraId="6C1D1BDE" w14:textId="32F59896" w:rsidR="00F43765" w:rsidRPr="003F1AF9" w:rsidRDefault="008A402B" w:rsidP="00F43765">
            <w:pPr>
              <w:spacing w:after="0" w:line="240" w:lineRule="auto"/>
              <w:jc w:val="center"/>
              <w:rPr>
                <w:rFonts w:cstheme="minorHAnsi"/>
                <w:bCs/>
                <w:sz w:val="20"/>
                <w:szCs w:val="20"/>
              </w:rPr>
            </w:pPr>
            <w:r w:rsidRPr="003F1AF9">
              <w:rPr>
                <w:rFonts w:cstheme="minorHAnsi"/>
                <w:bCs/>
                <w:sz w:val="20"/>
                <w:szCs w:val="20"/>
              </w:rPr>
              <w:t>2.30</w:t>
            </w:r>
          </w:p>
        </w:tc>
        <w:tc>
          <w:tcPr>
            <w:tcW w:w="1417" w:type="dxa"/>
            <w:vAlign w:val="center"/>
          </w:tcPr>
          <w:p w14:paraId="33C2F727" w14:textId="6F87E0AA" w:rsidR="00F43765" w:rsidRPr="003F1AF9" w:rsidRDefault="008A402B" w:rsidP="00F43765">
            <w:pPr>
              <w:spacing w:after="0" w:line="240" w:lineRule="auto"/>
              <w:jc w:val="center"/>
              <w:rPr>
                <w:rFonts w:cstheme="minorHAnsi"/>
                <w:bCs/>
                <w:sz w:val="20"/>
                <w:szCs w:val="20"/>
              </w:rPr>
            </w:pPr>
            <w:r w:rsidRPr="003F1AF9">
              <w:rPr>
                <w:rFonts w:cstheme="minorHAnsi"/>
                <w:bCs/>
                <w:sz w:val="20"/>
                <w:szCs w:val="20"/>
              </w:rPr>
              <w:t>3.55</w:t>
            </w:r>
          </w:p>
        </w:tc>
        <w:tc>
          <w:tcPr>
            <w:tcW w:w="1559" w:type="dxa"/>
            <w:vAlign w:val="center"/>
          </w:tcPr>
          <w:p w14:paraId="59907566" w14:textId="2C7ECEBD" w:rsidR="00F43765" w:rsidRPr="003F1AF9" w:rsidRDefault="008A402B" w:rsidP="00F43765">
            <w:pPr>
              <w:spacing w:after="0" w:line="240" w:lineRule="auto"/>
              <w:jc w:val="center"/>
              <w:rPr>
                <w:rFonts w:cstheme="minorHAnsi"/>
                <w:bCs/>
                <w:sz w:val="20"/>
                <w:szCs w:val="20"/>
              </w:rPr>
            </w:pPr>
            <w:r w:rsidRPr="003F1AF9">
              <w:rPr>
                <w:rFonts w:cstheme="minorHAnsi"/>
                <w:bCs/>
                <w:sz w:val="20"/>
                <w:szCs w:val="20"/>
              </w:rPr>
              <w:t>3.87</w:t>
            </w:r>
          </w:p>
        </w:tc>
        <w:tc>
          <w:tcPr>
            <w:tcW w:w="1284" w:type="dxa"/>
            <w:vAlign w:val="center"/>
          </w:tcPr>
          <w:p w14:paraId="15F4A8EB" w14:textId="537F6E7A" w:rsidR="00F43765" w:rsidRPr="003F1AF9" w:rsidRDefault="008A402B" w:rsidP="00F43765">
            <w:pPr>
              <w:spacing w:after="0" w:line="240" w:lineRule="auto"/>
              <w:jc w:val="center"/>
              <w:rPr>
                <w:rFonts w:cstheme="minorHAnsi"/>
                <w:bCs/>
                <w:sz w:val="20"/>
                <w:szCs w:val="20"/>
              </w:rPr>
            </w:pPr>
            <w:r w:rsidRPr="003F1AF9">
              <w:rPr>
                <w:rFonts w:cstheme="minorHAnsi"/>
                <w:bCs/>
                <w:sz w:val="20"/>
                <w:szCs w:val="20"/>
              </w:rPr>
              <w:t>4.25</w:t>
            </w:r>
          </w:p>
        </w:tc>
      </w:tr>
    </w:tbl>
    <w:p w14:paraId="0B22D5EF" w14:textId="77777777" w:rsidR="00A07DE0" w:rsidRPr="003F1AF9" w:rsidRDefault="00A07DE0" w:rsidP="00A07DE0"/>
    <w:p w14:paraId="4F567AF3" w14:textId="2D5D4260" w:rsidR="007361AA" w:rsidRPr="003F1AF9" w:rsidRDefault="00BD3252" w:rsidP="00A07DE0">
      <w:pPr>
        <w:rPr>
          <w:sz w:val="20"/>
          <w:lang w:eastAsia="zh-CN"/>
        </w:rPr>
      </w:pPr>
      <w:r w:rsidRPr="003F1AF9">
        <w:rPr>
          <w:lang w:eastAsia="zh-CN"/>
        </w:rPr>
        <w:fldChar w:fldCharType="begin"/>
      </w:r>
      <w:r w:rsidRPr="003F1AF9">
        <w:rPr>
          <w:lang w:eastAsia="zh-CN"/>
        </w:rPr>
        <w:instrText xml:space="preserve"> REF _Ref536182887 \h </w:instrText>
      </w:r>
      <w:r w:rsidRPr="003F1AF9">
        <w:rPr>
          <w:lang w:eastAsia="zh-CN"/>
        </w:rPr>
      </w:r>
      <w:r w:rsidRPr="003F1AF9">
        <w:rPr>
          <w:lang w:eastAsia="zh-CN"/>
        </w:rPr>
        <w:fldChar w:fldCharType="separate"/>
      </w:r>
      <w:r w:rsidR="00E60668" w:rsidRPr="003F1AF9">
        <w:t xml:space="preserve">Figure </w:t>
      </w:r>
      <w:r w:rsidR="00E60668">
        <w:rPr>
          <w:noProof/>
        </w:rPr>
        <w:t>3</w:t>
      </w:r>
      <w:r w:rsidR="00E60668" w:rsidRPr="003F1AF9">
        <w:t>.</w:t>
      </w:r>
      <w:r w:rsidR="00E60668">
        <w:rPr>
          <w:noProof/>
        </w:rPr>
        <w:t>1</w:t>
      </w:r>
      <w:r w:rsidRPr="003F1AF9">
        <w:rPr>
          <w:lang w:eastAsia="zh-CN"/>
        </w:rPr>
        <w:fldChar w:fldCharType="end"/>
      </w:r>
      <w:r w:rsidRPr="003F1AF9">
        <w:rPr>
          <w:lang w:eastAsia="zh-CN"/>
        </w:rPr>
        <w:t xml:space="preserve"> </w:t>
      </w:r>
      <w:r w:rsidR="007361AA" w:rsidRPr="003F1AF9">
        <w:rPr>
          <w:lang w:eastAsia="zh-CN"/>
        </w:rPr>
        <w:t xml:space="preserve">presents the world adoptions of heat pumps in functional units for the three Project Drawdown scenarios. </w:t>
      </w:r>
    </w:p>
    <w:p w14:paraId="34DFF780" w14:textId="7DB0B1F1" w:rsidR="00AD5AF3" w:rsidRPr="003F1AF9" w:rsidRDefault="00337EA8" w:rsidP="000A73E5">
      <w:pPr>
        <w:keepNext/>
        <w:jc w:val="center"/>
      </w:pPr>
      <w:r>
        <w:rPr>
          <w:noProof/>
        </w:rPr>
        <w:lastRenderedPageBreak/>
        <w:drawing>
          <wp:inline distT="0" distB="0" distL="0" distR="0" wp14:anchorId="6834F48F" wp14:editId="05072204">
            <wp:extent cx="4633595" cy="3371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3595" cy="3371215"/>
                    </a:xfrm>
                    <a:prstGeom prst="rect">
                      <a:avLst/>
                    </a:prstGeom>
                    <a:noFill/>
                  </pic:spPr>
                </pic:pic>
              </a:graphicData>
            </a:graphic>
          </wp:inline>
        </w:drawing>
      </w:r>
    </w:p>
    <w:p w14:paraId="7A2926D4" w14:textId="2098A2AA" w:rsidR="003A7929" w:rsidRPr="003F1AF9" w:rsidRDefault="00AD5AF3" w:rsidP="000A73E5">
      <w:pPr>
        <w:pStyle w:val="Caption"/>
        <w:jc w:val="center"/>
        <w:rPr>
          <w:highlight w:val="yellow"/>
        </w:rPr>
      </w:pPr>
      <w:bookmarkStart w:id="485" w:name="_Ref536182887"/>
      <w:bookmarkStart w:id="486" w:name="_Toc42289739"/>
      <w:r w:rsidRPr="003F1AF9">
        <w:t xml:space="preserve">Figure </w:t>
      </w:r>
      <w:r w:rsidR="00E014ED" w:rsidRPr="003F1AF9">
        <w:rPr>
          <w:noProof/>
        </w:rPr>
        <w:fldChar w:fldCharType="begin"/>
      </w:r>
      <w:r w:rsidR="00E014ED" w:rsidRPr="003F1AF9">
        <w:rPr>
          <w:noProof/>
        </w:rPr>
        <w:instrText xml:space="preserve"> STYLEREF 1 \s </w:instrText>
      </w:r>
      <w:r w:rsidR="00E014ED" w:rsidRPr="003F1AF9">
        <w:rPr>
          <w:noProof/>
        </w:rPr>
        <w:fldChar w:fldCharType="separate"/>
      </w:r>
      <w:r w:rsidR="00E60668">
        <w:rPr>
          <w:noProof/>
        </w:rPr>
        <w:t>3</w:t>
      </w:r>
      <w:r w:rsidR="00E014ED" w:rsidRPr="003F1AF9">
        <w:rPr>
          <w:noProof/>
        </w:rPr>
        <w:fldChar w:fldCharType="end"/>
      </w:r>
      <w:r w:rsidRPr="003F1AF9">
        <w:t>.</w:t>
      </w:r>
      <w:r w:rsidR="00E014ED" w:rsidRPr="003F1AF9">
        <w:rPr>
          <w:noProof/>
        </w:rPr>
        <w:fldChar w:fldCharType="begin"/>
      </w:r>
      <w:r w:rsidR="00E014ED" w:rsidRPr="003F1AF9">
        <w:rPr>
          <w:noProof/>
        </w:rPr>
        <w:instrText xml:space="preserve"> SEQ Figure \* ARABIC \s 1 </w:instrText>
      </w:r>
      <w:r w:rsidR="00E014ED" w:rsidRPr="003F1AF9">
        <w:rPr>
          <w:noProof/>
        </w:rPr>
        <w:fldChar w:fldCharType="separate"/>
      </w:r>
      <w:r w:rsidR="00E60668">
        <w:rPr>
          <w:noProof/>
        </w:rPr>
        <w:t>1</w:t>
      </w:r>
      <w:r w:rsidR="00E014ED" w:rsidRPr="003F1AF9">
        <w:rPr>
          <w:noProof/>
        </w:rPr>
        <w:fldChar w:fldCharType="end"/>
      </w:r>
      <w:bookmarkEnd w:id="485"/>
      <w:r w:rsidRPr="003F1AF9">
        <w:t xml:space="preserve"> World Annual Adoption 2020-2050</w:t>
      </w:r>
      <w:r w:rsidR="001D524D">
        <w:t xml:space="preserve"> in Functional Units (TWh (</w:t>
      </w:r>
      <w:proofErr w:type="spellStart"/>
      <w:r w:rsidR="001D524D">
        <w:t>th</w:t>
      </w:r>
      <w:proofErr w:type="spellEnd"/>
      <w:r w:rsidR="001D524D">
        <w:t>))</w:t>
      </w:r>
      <w:bookmarkEnd w:id="486"/>
    </w:p>
    <w:p w14:paraId="14A3ABC5" w14:textId="140B9750" w:rsidR="007361AA" w:rsidRPr="003F1AF9" w:rsidRDefault="00BD3252" w:rsidP="007361AA">
      <w:pPr>
        <w:rPr>
          <w:sz w:val="20"/>
          <w:lang w:eastAsia="zh-CN"/>
        </w:rPr>
      </w:pPr>
      <w:r w:rsidRPr="003F1AF9">
        <w:rPr>
          <w:lang w:eastAsia="zh-CN"/>
        </w:rPr>
        <w:fldChar w:fldCharType="begin"/>
      </w:r>
      <w:r w:rsidRPr="003F1AF9">
        <w:rPr>
          <w:lang w:eastAsia="zh-CN"/>
        </w:rPr>
        <w:instrText xml:space="preserve"> REF _Ref536182897 \h </w:instrText>
      </w:r>
      <w:r w:rsidRPr="003F1AF9">
        <w:rPr>
          <w:lang w:eastAsia="zh-CN"/>
        </w:rPr>
      </w:r>
      <w:r w:rsidRPr="003F1AF9">
        <w:rPr>
          <w:lang w:eastAsia="zh-CN"/>
        </w:rPr>
        <w:fldChar w:fldCharType="separate"/>
      </w:r>
      <w:r w:rsidR="00E60668" w:rsidRPr="003F1AF9">
        <w:t xml:space="preserve">Figure </w:t>
      </w:r>
      <w:r w:rsidR="00E60668">
        <w:rPr>
          <w:noProof/>
        </w:rPr>
        <w:t>3</w:t>
      </w:r>
      <w:r w:rsidR="00E60668" w:rsidRPr="003F1AF9">
        <w:t>.</w:t>
      </w:r>
      <w:r w:rsidR="00E60668">
        <w:rPr>
          <w:noProof/>
        </w:rPr>
        <w:t>2</w:t>
      </w:r>
      <w:r w:rsidRPr="003F1AF9">
        <w:rPr>
          <w:lang w:eastAsia="zh-CN"/>
        </w:rPr>
        <w:fldChar w:fldCharType="end"/>
      </w:r>
      <w:r w:rsidRPr="003F1AF9">
        <w:rPr>
          <w:lang w:eastAsia="zh-CN"/>
        </w:rPr>
        <w:t xml:space="preserve"> </w:t>
      </w:r>
      <w:r w:rsidR="007361AA" w:rsidRPr="003F1AF9">
        <w:rPr>
          <w:lang w:eastAsia="zh-CN"/>
        </w:rPr>
        <w:t xml:space="preserve">presents the world adoptions of heat pumps as a percent of TAM </w:t>
      </w:r>
      <w:r w:rsidR="00F668A9">
        <w:rPr>
          <w:lang w:eastAsia="zh-CN"/>
        </w:rPr>
        <w:t xml:space="preserve">for </w:t>
      </w:r>
      <w:r w:rsidR="007361AA" w:rsidRPr="003F1AF9">
        <w:rPr>
          <w:lang w:eastAsia="zh-CN"/>
        </w:rPr>
        <w:t xml:space="preserve">the three Project Drawdown scenarios. </w:t>
      </w:r>
    </w:p>
    <w:p w14:paraId="2EFE350C" w14:textId="22E4FE53" w:rsidR="00AD5AF3" w:rsidRPr="003F1AF9" w:rsidRDefault="00447380" w:rsidP="000A73E5">
      <w:pPr>
        <w:keepNext/>
        <w:jc w:val="center"/>
      </w:pPr>
      <w:r>
        <w:rPr>
          <w:noProof/>
        </w:rPr>
        <w:lastRenderedPageBreak/>
        <w:drawing>
          <wp:inline distT="0" distB="0" distL="0" distR="0" wp14:anchorId="4857DEB4" wp14:editId="0E27AB58">
            <wp:extent cx="4578350" cy="4176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8350" cy="4176395"/>
                    </a:xfrm>
                    <a:prstGeom prst="rect">
                      <a:avLst/>
                    </a:prstGeom>
                    <a:noFill/>
                  </pic:spPr>
                </pic:pic>
              </a:graphicData>
            </a:graphic>
          </wp:inline>
        </w:drawing>
      </w:r>
    </w:p>
    <w:p w14:paraId="42F72DBB" w14:textId="7FA24485" w:rsidR="007361AA" w:rsidRPr="003F1AF9" w:rsidRDefault="00AD5AF3" w:rsidP="000A73E5">
      <w:pPr>
        <w:pStyle w:val="Caption"/>
        <w:jc w:val="center"/>
      </w:pPr>
      <w:bookmarkStart w:id="487" w:name="_Ref536182897"/>
      <w:bookmarkStart w:id="488" w:name="_Toc42289740"/>
      <w:r w:rsidRPr="003F1AF9">
        <w:t xml:space="preserve">Figure </w:t>
      </w:r>
      <w:r w:rsidR="00E014ED" w:rsidRPr="003F1AF9">
        <w:rPr>
          <w:noProof/>
        </w:rPr>
        <w:fldChar w:fldCharType="begin"/>
      </w:r>
      <w:r w:rsidR="00E014ED" w:rsidRPr="003F1AF9">
        <w:rPr>
          <w:noProof/>
        </w:rPr>
        <w:instrText xml:space="preserve"> STYLEREF 1 \s </w:instrText>
      </w:r>
      <w:r w:rsidR="00E014ED" w:rsidRPr="003F1AF9">
        <w:rPr>
          <w:noProof/>
        </w:rPr>
        <w:fldChar w:fldCharType="separate"/>
      </w:r>
      <w:r w:rsidR="00E60668">
        <w:rPr>
          <w:noProof/>
        </w:rPr>
        <w:t>3</w:t>
      </w:r>
      <w:r w:rsidR="00E014ED" w:rsidRPr="003F1AF9">
        <w:rPr>
          <w:noProof/>
        </w:rPr>
        <w:fldChar w:fldCharType="end"/>
      </w:r>
      <w:r w:rsidRPr="003F1AF9">
        <w:t>.</w:t>
      </w:r>
      <w:r w:rsidR="00E014ED" w:rsidRPr="003F1AF9">
        <w:rPr>
          <w:noProof/>
        </w:rPr>
        <w:fldChar w:fldCharType="begin"/>
      </w:r>
      <w:r w:rsidR="00E014ED" w:rsidRPr="003F1AF9">
        <w:rPr>
          <w:noProof/>
        </w:rPr>
        <w:instrText xml:space="preserve"> SEQ Figure \* ARABIC \s 1 </w:instrText>
      </w:r>
      <w:r w:rsidR="00E014ED" w:rsidRPr="003F1AF9">
        <w:rPr>
          <w:noProof/>
        </w:rPr>
        <w:fldChar w:fldCharType="separate"/>
      </w:r>
      <w:r w:rsidR="00E60668">
        <w:rPr>
          <w:noProof/>
        </w:rPr>
        <w:t>2</w:t>
      </w:r>
      <w:r w:rsidR="00E014ED" w:rsidRPr="003F1AF9">
        <w:rPr>
          <w:noProof/>
        </w:rPr>
        <w:fldChar w:fldCharType="end"/>
      </w:r>
      <w:bookmarkEnd w:id="487"/>
      <w:r w:rsidRPr="003F1AF9">
        <w:t xml:space="preserve"> World Annual Adoption 2020-2050 % of TAM</w:t>
      </w:r>
      <w:bookmarkEnd w:id="488"/>
    </w:p>
    <w:p w14:paraId="6B6F22E7" w14:textId="341D4F32" w:rsidR="003A7929" w:rsidRPr="003F1AF9" w:rsidRDefault="551A77D0">
      <w:pPr>
        <w:pStyle w:val="Heading2"/>
      </w:pPr>
      <w:bookmarkStart w:id="489" w:name="_Toc536182124"/>
      <w:bookmarkStart w:id="490" w:name="_Toc536184425"/>
      <w:bookmarkStart w:id="491" w:name="_Toc536442474"/>
      <w:bookmarkStart w:id="492" w:name="_Toc536607093"/>
      <w:bookmarkStart w:id="493" w:name="_Toc536607189"/>
      <w:bookmarkStart w:id="494" w:name="_Toc2597642"/>
      <w:bookmarkStart w:id="495" w:name="_Toc2701358"/>
      <w:bookmarkStart w:id="496" w:name="_Toc5112429"/>
      <w:bookmarkStart w:id="497" w:name="_Toc536182125"/>
      <w:bookmarkStart w:id="498" w:name="_Toc536184426"/>
      <w:bookmarkStart w:id="499" w:name="_Toc536442475"/>
      <w:bookmarkStart w:id="500" w:name="_Toc536607094"/>
      <w:bookmarkStart w:id="501" w:name="_Toc536607190"/>
      <w:bookmarkStart w:id="502" w:name="_Toc2156705"/>
      <w:bookmarkStart w:id="503" w:name="_Toc2597643"/>
      <w:bookmarkStart w:id="504" w:name="_Toc2701359"/>
      <w:bookmarkStart w:id="505" w:name="_Toc5112430"/>
      <w:bookmarkStart w:id="506" w:name="_Toc42289730"/>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r w:rsidRPr="003F1AF9">
        <w:t>Climate Impacts</w:t>
      </w:r>
      <w:bookmarkEnd w:id="506"/>
    </w:p>
    <w:p w14:paraId="61041E32" w14:textId="2F5EFE0A" w:rsidR="0032353F" w:rsidRPr="003F1AF9" w:rsidRDefault="0032353F" w:rsidP="0032353F">
      <w:r w:rsidRPr="003F1AF9">
        <w:t>Below are the emissions results of the analysis for each scenario which include total emissions reduction, atmospheric concentration changes, and sequestration where relevant.</w:t>
      </w:r>
      <w:r w:rsidR="0078120E">
        <w:t xml:space="preserve"> </w:t>
      </w:r>
      <w:r w:rsidRPr="003F1AF9">
        <w:t xml:space="preserve">For a detailed explanation of each result, please see the </w:t>
      </w:r>
      <w:r w:rsidR="00E60668">
        <w:fldChar w:fldCharType="begin"/>
      </w:r>
      <w:r w:rsidR="00E60668">
        <w:instrText xml:space="preserve"> REF _Ref42289764 \h </w:instrText>
      </w:r>
      <w:r w:rsidR="00E60668">
        <w:fldChar w:fldCharType="separate"/>
      </w:r>
      <w:r w:rsidR="00E60668" w:rsidRPr="00B8714F">
        <w:t>Glossary</w:t>
      </w:r>
      <w:r w:rsidR="00E60668">
        <w:fldChar w:fldCharType="end"/>
      </w:r>
      <w:r w:rsidR="00E60668">
        <w:t xml:space="preserve"> Section</w:t>
      </w:r>
      <w:r w:rsidRPr="003F1AF9">
        <w:t>.</w:t>
      </w:r>
    </w:p>
    <w:p w14:paraId="52E48BE0" w14:textId="77777777" w:rsidR="00B261E0" w:rsidRPr="003F1AF9" w:rsidRDefault="00B261E0" w:rsidP="00EB247F">
      <w:pPr>
        <w:spacing w:after="0"/>
        <w:rPr>
          <w:rFonts w:cstheme="minorHAnsi"/>
          <w:b/>
          <w:bCs/>
          <w:i/>
        </w:rPr>
      </w:pPr>
    </w:p>
    <w:p w14:paraId="4DA2B4CB" w14:textId="4F867E25" w:rsidR="00762877" w:rsidRPr="003F1AF9" w:rsidRDefault="0066753A" w:rsidP="00EB247F">
      <w:pPr>
        <w:pStyle w:val="Caption"/>
        <w:jc w:val="center"/>
        <w:rPr>
          <w:rFonts w:eastAsia="Times New Roman" w:cs="Times New Roman"/>
          <w:sz w:val="24"/>
          <w:szCs w:val="24"/>
          <w:lang w:eastAsia="zh-CN"/>
        </w:rPr>
      </w:pPr>
      <w:bookmarkStart w:id="507" w:name="_Ref536182842"/>
      <w:bookmarkStart w:id="508" w:name="_Toc42289760"/>
      <w:r w:rsidRPr="003F1AF9">
        <w:t xml:space="preserve">Table </w:t>
      </w:r>
      <w:r w:rsidR="00E014ED" w:rsidRPr="003F1AF9">
        <w:rPr>
          <w:noProof/>
        </w:rPr>
        <w:fldChar w:fldCharType="begin"/>
      </w:r>
      <w:r w:rsidR="00E014ED" w:rsidRPr="003F1AF9">
        <w:rPr>
          <w:noProof/>
        </w:rPr>
        <w:instrText xml:space="preserve"> STYLEREF 1 \s </w:instrText>
      </w:r>
      <w:r w:rsidR="00E014ED" w:rsidRPr="003F1AF9">
        <w:rPr>
          <w:noProof/>
        </w:rPr>
        <w:fldChar w:fldCharType="separate"/>
      </w:r>
      <w:r w:rsidR="00E60668">
        <w:rPr>
          <w:noProof/>
        </w:rPr>
        <w:t>3</w:t>
      </w:r>
      <w:r w:rsidR="00E014ED" w:rsidRPr="003F1AF9">
        <w:rPr>
          <w:noProof/>
        </w:rPr>
        <w:fldChar w:fldCharType="end"/>
      </w:r>
      <w:r w:rsidR="00905204" w:rsidRPr="003F1AF9">
        <w:t>.</w:t>
      </w:r>
      <w:r w:rsidR="00E014ED" w:rsidRPr="003F1AF9">
        <w:rPr>
          <w:noProof/>
        </w:rPr>
        <w:fldChar w:fldCharType="begin"/>
      </w:r>
      <w:r w:rsidR="00E014ED" w:rsidRPr="003F1AF9">
        <w:rPr>
          <w:noProof/>
        </w:rPr>
        <w:instrText xml:space="preserve"> SEQ Table \* ARABIC \s 1 </w:instrText>
      </w:r>
      <w:r w:rsidR="00E014ED" w:rsidRPr="003F1AF9">
        <w:rPr>
          <w:noProof/>
        </w:rPr>
        <w:fldChar w:fldCharType="separate"/>
      </w:r>
      <w:r w:rsidR="00E60668">
        <w:rPr>
          <w:noProof/>
        </w:rPr>
        <w:t>2</w:t>
      </w:r>
      <w:r w:rsidR="00E014ED" w:rsidRPr="003F1AF9">
        <w:rPr>
          <w:noProof/>
        </w:rPr>
        <w:fldChar w:fldCharType="end"/>
      </w:r>
      <w:bookmarkEnd w:id="507"/>
      <w:r w:rsidRPr="003F1AF9">
        <w:t xml:space="preserve"> Climate Impacts</w:t>
      </w:r>
      <w:bookmarkEnd w:id="508"/>
    </w:p>
    <w:tbl>
      <w:tblPr>
        <w:tblW w:w="585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tblGrid>
      <w:tr w:rsidR="005F5E45" w:rsidRPr="003F1AF9" w14:paraId="0150056F" w14:textId="1D8EC1D7" w:rsidTr="005F5E45">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5F5E45" w:rsidRPr="003F1AF9" w:rsidRDefault="005F5E45" w:rsidP="00AD4CF8">
            <w:pPr>
              <w:spacing w:line="240" w:lineRule="auto"/>
              <w:jc w:val="center"/>
              <w:rPr>
                <w:rFonts w:cstheme="minorHAnsi"/>
                <w:b/>
                <w:bCs/>
                <w:color w:val="FFFFFF" w:themeColor="background1"/>
                <w:sz w:val="20"/>
                <w:szCs w:val="20"/>
                <w:lang w:eastAsia="zh-CN"/>
              </w:rPr>
            </w:pPr>
            <w:r w:rsidRPr="003F1AF9">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5F5E45" w:rsidRPr="003F1AF9" w:rsidRDefault="005F5E45" w:rsidP="00AD4CF8">
            <w:pPr>
              <w:spacing w:line="240" w:lineRule="auto"/>
              <w:jc w:val="center"/>
              <w:rPr>
                <w:rFonts w:cstheme="minorHAnsi"/>
                <w:b/>
                <w:bCs/>
                <w:color w:val="FFFFFF" w:themeColor="background1"/>
                <w:sz w:val="20"/>
                <w:szCs w:val="20"/>
                <w:lang w:eastAsia="zh-CN"/>
              </w:rPr>
            </w:pPr>
            <w:r w:rsidRPr="003F1AF9">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5F5E45" w:rsidRPr="003F1AF9" w:rsidRDefault="005F5E45" w:rsidP="00AD4CF8">
            <w:pPr>
              <w:spacing w:line="240" w:lineRule="auto"/>
              <w:jc w:val="center"/>
              <w:rPr>
                <w:rFonts w:cstheme="minorHAnsi"/>
                <w:b/>
                <w:bCs/>
                <w:color w:val="FFFFFF" w:themeColor="background1"/>
                <w:sz w:val="20"/>
                <w:szCs w:val="20"/>
                <w:lang w:eastAsia="zh-CN"/>
              </w:rPr>
            </w:pPr>
            <w:r w:rsidRPr="003F1AF9">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5F5E45" w:rsidRPr="003F1AF9" w:rsidRDefault="005F5E45" w:rsidP="00AD4CF8">
            <w:pPr>
              <w:spacing w:line="240" w:lineRule="auto"/>
              <w:jc w:val="center"/>
              <w:rPr>
                <w:rFonts w:cstheme="minorHAnsi"/>
                <w:b/>
                <w:bCs/>
                <w:color w:val="FFFFFF" w:themeColor="background1"/>
                <w:sz w:val="20"/>
                <w:szCs w:val="20"/>
                <w:lang w:eastAsia="zh-CN"/>
              </w:rPr>
            </w:pPr>
            <w:r w:rsidRPr="003F1AF9">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5F5E45" w:rsidRPr="003F1AF9" w:rsidRDefault="005F5E45" w:rsidP="00AD4CF8">
            <w:pPr>
              <w:spacing w:line="240" w:lineRule="auto"/>
              <w:jc w:val="center"/>
              <w:rPr>
                <w:rFonts w:cstheme="minorHAnsi"/>
                <w:b/>
                <w:bCs/>
                <w:color w:val="FFFFFF" w:themeColor="background1"/>
                <w:sz w:val="20"/>
                <w:szCs w:val="20"/>
                <w:lang w:eastAsia="zh-CN"/>
              </w:rPr>
            </w:pPr>
            <w:r w:rsidRPr="003F1AF9">
              <w:rPr>
                <w:rFonts w:cstheme="minorHAnsi"/>
                <w:b/>
                <w:bCs/>
                <w:color w:val="FFFFFF" w:themeColor="background1"/>
                <w:sz w:val="20"/>
                <w:szCs w:val="20"/>
                <w:lang w:eastAsia="zh-CN"/>
              </w:rPr>
              <w:t>Emissions Reduction in 2050</w:t>
            </w:r>
          </w:p>
        </w:tc>
      </w:tr>
      <w:tr w:rsidR="005F5E45" w:rsidRPr="003F1AF9" w14:paraId="6B5C6387" w14:textId="411C48F1" w:rsidTr="005F5E45">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5F5E45" w:rsidRPr="003F1AF9" w:rsidRDefault="005F5E45" w:rsidP="00AD4CF8">
            <w:pPr>
              <w:spacing w:line="240" w:lineRule="auto"/>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5F5E45" w:rsidRPr="003F1AF9" w:rsidRDefault="005F5E45" w:rsidP="00AD4CF8">
            <w:pPr>
              <w:spacing w:line="240" w:lineRule="auto"/>
              <w:jc w:val="center"/>
              <w:rPr>
                <w:rFonts w:cstheme="minorHAnsi"/>
                <w:bCs/>
                <w:i/>
                <w:color w:val="FFFFFF" w:themeColor="background1"/>
                <w:sz w:val="20"/>
                <w:szCs w:val="20"/>
                <w:lang w:eastAsia="zh-CN"/>
              </w:rPr>
            </w:pPr>
            <w:r w:rsidRPr="003F1AF9">
              <w:rPr>
                <w:rFonts w:cstheme="minorHAnsi"/>
                <w:bCs/>
                <w:i/>
                <w:color w:val="FFFFFF" w:themeColor="background1"/>
                <w:sz w:val="20"/>
                <w:szCs w:val="20"/>
                <w:lang w:eastAsia="zh-CN"/>
              </w:rPr>
              <w:t>(Gt CO</w:t>
            </w:r>
            <w:r w:rsidRPr="003F1AF9">
              <w:rPr>
                <w:rFonts w:cstheme="minorHAnsi"/>
                <w:bCs/>
                <w:i/>
                <w:color w:val="FFFFFF" w:themeColor="background1"/>
                <w:sz w:val="20"/>
                <w:szCs w:val="20"/>
                <w:vertAlign w:val="subscript"/>
                <w:lang w:eastAsia="zh-CN"/>
              </w:rPr>
              <w:t>2</w:t>
            </w:r>
            <w:r w:rsidRPr="003F1AF9">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5F5E45" w:rsidRPr="003F1AF9" w:rsidRDefault="005F5E45" w:rsidP="00AD4CF8">
            <w:pPr>
              <w:spacing w:line="240" w:lineRule="auto"/>
              <w:jc w:val="center"/>
              <w:rPr>
                <w:rFonts w:cstheme="minorHAnsi"/>
                <w:bCs/>
                <w:i/>
                <w:color w:val="FFFFFF" w:themeColor="background1"/>
                <w:sz w:val="20"/>
                <w:szCs w:val="20"/>
                <w:lang w:eastAsia="zh-CN"/>
              </w:rPr>
            </w:pPr>
            <w:r w:rsidRPr="003F1AF9">
              <w:rPr>
                <w:rFonts w:cstheme="minorHAnsi"/>
                <w:bCs/>
                <w:i/>
                <w:color w:val="FFFFFF" w:themeColor="background1"/>
                <w:sz w:val="20"/>
                <w:szCs w:val="20"/>
                <w:lang w:eastAsia="zh-CN"/>
              </w:rPr>
              <w:t>Gt CO</w:t>
            </w:r>
            <w:r w:rsidRPr="003F1AF9">
              <w:rPr>
                <w:rFonts w:cstheme="minorHAnsi"/>
                <w:bCs/>
                <w:i/>
                <w:color w:val="FFFFFF" w:themeColor="background1"/>
                <w:sz w:val="20"/>
                <w:szCs w:val="20"/>
                <w:vertAlign w:val="subscript"/>
                <w:lang w:eastAsia="zh-CN"/>
              </w:rPr>
              <w:t>2</w:t>
            </w:r>
            <w:r w:rsidRPr="003F1AF9">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5F5E45" w:rsidRPr="003F1AF9" w:rsidRDefault="005F5E45" w:rsidP="00AD4CF8">
            <w:pPr>
              <w:spacing w:line="240" w:lineRule="auto"/>
              <w:jc w:val="center"/>
              <w:rPr>
                <w:rFonts w:cstheme="minorHAnsi"/>
                <w:bCs/>
                <w:i/>
                <w:color w:val="FFFFFF" w:themeColor="background1"/>
                <w:sz w:val="20"/>
                <w:szCs w:val="20"/>
                <w:lang w:eastAsia="zh-CN"/>
              </w:rPr>
            </w:pPr>
            <w:r w:rsidRPr="003F1AF9">
              <w:rPr>
                <w:color w:val="FFFFFF" w:themeColor="background1"/>
                <w:sz w:val="20"/>
                <w:szCs w:val="20"/>
                <w:lang w:eastAsia="zh-CN"/>
              </w:rPr>
              <w:t>(Gt CO</w:t>
            </w:r>
            <w:r w:rsidRPr="003F1AF9">
              <w:rPr>
                <w:color w:val="FFFFFF" w:themeColor="background1"/>
                <w:sz w:val="20"/>
                <w:szCs w:val="20"/>
                <w:vertAlign w:val="subscript"/>
                <w:lang w:eastAsia="zh-CN"/>
              </w:rPr>
              <w:t>2</w:t>
            </w:r>
            <w:r w:rsidRPr="003F1AF9">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5F5E45" w:rsidRPr="003F1AF9" w:rsidRDefault="005F5E45" w:rsidP="00AD4CF8">
            <w:pPr>
              <w:spacing w:line="240" w:lineRule="auto"/>
              <w:jc w:val="center"/>
              <w:rPr>
                <w:rFonts w:cstheme="minorHAnsi"/>
                <w:bCs/>
                <w:i/>
                <w:color w:val="FFFFFF" w:themeColor="background1"/>
                <w:sz w:val="20"/>
                <w:szCs w:val="20"/>
                <w:lang w:eastAsia="zh-CN"/>
              </w:rPr>
            </w:pPr>
            <w:r w:rsidRPr="003F1AF9">
              <w:rPr>
                <w:rFonts w:cstheme="minorHAnsi"/>
                <w:bCs/>
                <w:i/>
                <w:color w:val="FFFFFF" w:themeColor="background1"/>
                <w:sz w:val="20"/>
                <w:szCs w:val="20"/>
                <w:lang w:eastAsia="zh-CN"/>
              </w:rPr>
              <w:t>(Gt CO</w:t>
            </w:r>
            <w:r w:rsidRPr="003F1AF9">
              <w:rPr>
                <w:rFonts w:cstheme="minorHAnsi"/>
                <w:bCs/>
                <w:i/>
                <w:color w:val="FFFFFF" w:themeColor="background1"/>
                <w:sz w:val="20"/>
                <w:szCs w:val="20"/>
                <w:vertAlign w:val="subscript"/>
                <w:lang w:eastAsia="zh-CN"/>
              </w:rPr>
              <w:t>2</w:t>
            </w:r>
            <w:r w:rsidRPr="003F1AF9">
              <w:rPr>
                <w:rFonts w:cstheme="minorHAnsi"/>
                <w:bCs/>
                <w:i/>
                <w:color w:val="FFFFFF" w:themeColor="background1"/>
                <w:sz w:val="20"/>
                <w:szCs w:val="20"/>
                <w:lang w:eastAsia="zh-CN"/>
              </w:rPr>
              <w:t>-eq/year)</w:t>
            </w:r>
          </w:p>
        </w:tc>
      </w:tr>
      <w:tr w:rsidR="00AC7108" w:rsidRPr="003F1AF9" w14:paraId="354A2249" w14:textId="7B11184C" w:rsidTr="005F5E45">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AC7108" w:rsidRPr="003F1AF9" w:rsidRDefault="00AC7108" w:rsidP="00AC7108">
            <w:pPr>
              <w:shd w:val="clear" w:color="auto" w:fill="FFFFFF" w:themeFill="background1"/>
              <w:spacing w:after="0" w:line="240" w:lineRule="auto"/>
              <w:jc w:val="center"/>
              <w:rPr>
                <w:i/>
                <w:iCs/>
                <w:color w:val="000000" w:themeColor="text1"/>
                <w:sz w:val="20"/>
                <w:szCs w:val="20"/>
                <w:lang w:eastAsia="zh-CN"/>
              </w:rPr>
            </w:pPr>
            <w:r w:rsidRPr="003F1AF9">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E32FE9C" w14:textId="678780DD" w:rsidR="00AC7108" w:rsidRPr="003F1AF9" w:rsidRDefault="00AC7108" w:rsidP="00AC710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0.21</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5E6FA7" w14:textId="2446A975" w:rsidR="00AC7108" w:rsidRPr="003F1AF9" w:rsidRDefault="00AC7108" w:rsidP="00AC710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4.19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66504C" w14:textId="3279C8F7" w:rsidR="00AC7108" w:rsidRPr="003F1AF9" w:rsidRDefault="00AC7108" w:rsidP="00AC710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6625454" w14:textId="228843EA" w:rsidR="00AC7108" w:rsidRPr="003F1AF9" w:rsidRDefault="00AC7108" w:rsidP="00AC710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0.21</w:t>
            </w:r>
          </w:p>
        </w:tc>
      </w:tr>
      <w:tr w:rsidR="00337EA8" w:rsidRPr="003F1AF9" w14:paraId="7DCB0C2E" w14:textId="35D5AF3A" w:rsidTr="000A73E5">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337EA8" w:rsidRPr="003F1AF9" w:rsidRDefault="00337EA8" w:rsidP="00337EA8">
            <w:pPr>
              <w:shd w:val="clear" w:color="auto" w:fill="FFFFFF" w:themeFill="background1"/>
              <w:spacing w:after="0" w:line="240" w:lineRule="auto"/>
              <w:jc w:val="center"/>
              <w:rPr>
                <w:i/>
                <w:iCs/>
                <w:color w:val="000000" w:themeColor="text1"/>
                <w:sz w:val="20"/>
                <w:szCs w:val="20"/>
                <w:lang w:eastAsia="zh-CN"/>
              </w:rPr>
            </w:pPr>
            <w:r w:rsidRPr="003F1AF9">
              <w:rPr>
                <w:b/>
                <w:bCs/>
                <w:i/>
                <w:iCs/>
                <w:color w:val="000000" w:themeColor="text1"/>
                <w:sz w:val="20"/>
                <w:szCs w:val="20"/>
                <w:lang w:eastAsia="zh-CN"/>
              </w:rPr>
              <w:lastRenderedPageBreak/>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CD264C" w14:textId="7B21F683" w:rsidR="00337EA8" w:rsidRPr="003F1AF9" w:rsidRDefault="00337EA8" w:rsidP="00337EA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0.49</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4325D3" w14:textId="173F8B90" w:rsidR="00337EA8" w:rsidRPr="003F1AF9" w:rsidRDefault="00337EA8" w:rsidP="00337EA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9.39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949EEE" w14:textId="6F72051C" w:rsidR="00337EA8" w:rsidRPr="003F1AF9" w:rsidRDefault="00337EA8" w:rsidP="00337EA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0.24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1AF5134" w14:textId="63DE2F93" w:rsidR="00337EA8" w:rsidRPr="003F1AF9" w:rsidRDefault="00337EA8" w:rsidP="00337EA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0.49</w:t>
            </w:r>
          </w:p>
        </w:tc>
      </w:tr>
      <w:tr w:rsidR="00337EA8" w:rsidRPr="003F1AF9" w14:paraId="7CA1AA1B" w14:textId="3D7819CF" w:rsidTr="000A73E5">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239A0FA" w:rsidR="00337EA8" w:rsidRPr="003F1AF9" w:rsidRDefault="00337EA8" w:rsidP="00337EA8">
            <w:pPr>
              <w:shd w:val="clear" w:color="auto" w:fill="FFFFFF" w:themeFill="background1"/>
              <w:spacing w:after="0" w:line="240" w:lineRule="auto"/>
              <w:jc w:val="center"/>
              <w:rPr>
                <w:i/>
                <w:iCs/>
                <w:color w:val="000000" w:themeColor="text1"/>
                <w:sz w:val="20"/>
                <w:szCs w:val="20"/>
                <w:lang w:eastAsia="zh-CN"/>
              </w:rPr>
            </w:pPr>
            <w:r w:rsidRPr="003F1AF9">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86EBCB" w14:textId="2461CD66" w:rsidR="00337EA8" w:rsidRPr="003F1AF9" w:rsidRDefault="00337EA8" w:rsidP="00337EA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0.63</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E107D52" w14:textId="5404B202" w:rsidR="00337EA8" w:rsidRPr="003F1AF9" w:rsidRDefault="00337EA8" w:rsidP="00337EA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12.20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04B6EC" w14:textId="2133CA81" w:rsidR="00337EA8" w:rsidRPr="003F1AF9" w:rsidRDefault="00337EA8" w:rsidP="00337EA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0.31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E4588E5" w14:textId="3BA9D26A" w:rsidR="00337EA8" w:rsidRPr="003F1AF9" w:rsidRDefault="00337EA8" w:rsidP="00337EA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0.63</w:t>
            </w:r>
          </w:p>
        </w:tc>
      </w:tr>
    </w:tbl>
    <w:p w14:paraId="43965544" w14:textId="77777777" w:rsidR="00BB79D6" w:rsidRPr="003F1AF9" w:rsidRDefault="00BB79D6" w:rsidP="00EB247F">
      <w:pPr>
        <w:pStyle w:val="Caption"/>
      </w:pPr>
      <w:bookmarkStart w:id="509" w:name="_Toc524993443"/>
    </w:p>
    <w:p w14:paraId="54B5EBE5" w14:textId="77593237" w:rsidR="006B675D" w:rsidRPr="003F1AF9" w:rsidRDefault="00087D3B" w:rsidP="005C77F5">
      <w:r w:rsidRPr="003F1AF9">
        <w:t>T</w:t>
      </w:r>
      <w:r w:rsidR="0032353F" w:rsidRPr="003F1AF9">
        <w:t>he solution was</w:t>
      </w:r>
      <w:r w:rsidR="005C77F5" w:rsidRPr="003F1AF9">
        <w:t xml:space="preserve"> </w:t>
      </w:r>
      <w:r w:rsidR="0032353F" w:rsidRPr="003F1AF9">
        <w:t xml:space="preserve">integrated with all other </w:t>
      </w:r>
      <w:r w:rsidR="00B251A2" w:rsidRPr="003F1AF9">
        <w:t xml:space="preserve">Project Drawdown </w:t>
      </w:r>
      <w:r w:rsidR="0032353F" w:rsidRPr="003F1AF9">
        <w:t>solutions and</w:t>
      </w:r>
      <w:r w:rsidR="0069014F" w:rsidRPr="003F1AF9">
        <w:t xml:space="preserve"> may have different emissions results</w:t>
      </w:r>
      <w:r w:rsidR="00B251A2" w:rsidRPr="003F1AF9">
        <w:t xml:space="preserve"> </w:t>
      </w:r>
      <w:r w:rsidR="00926C81" w:rsidRPr="003F1AF9">
        <w:t>from the models</w:t>
      </w:r>
      <w:r w:rsidR="0069014F" w:rsidRPr="003F1AF9">
        <w:t xml:space="preserve">. This is due to adjustments caused by interactions among solutions that limit full adoption (such as by feedstock or demand limits) or </w:t>
      </w:r>
      <w:r w:rsidR="00B251A2" w:rsidRPr="003F1AF9">
        <w:t xml:space="preserve">that </w:t>
      </w:r>
      <w:r w:rsidR="0069014F" w:rsidRPr="003F1AF9">
        <w:t>limit</w:t>
      </w:r>
      <w:r w:rsidR="00B251A2" w:rsidRPr="003F1AF9">
        <w:t xml:space="preserve"> </w:t>
      </w:r>
      <w:r w:rsidR="0069014F" w:rsidRPr="003F1AF9">
        <w:t>the full benefit of some solutions</w:t>
      </w:r>
      <w:r w:rsidR="00B251A2" w:rsidRPr="003F1AF9">
        <w:t xml:space="preserve"> (such as reduced individual </w:t>
      </w:r>
      <w:r w:rsidRPr="003F1AF9">
        <w:t xml:space="preserve">solution </w:t>
      </w:r>
      <w:r w:rsidR="00B251A2" w:rsidRPr="003F1AF9">
        <w:t xml:space="preserve">impact </w:t>
      </w:r>
      <w:r w:rsidRPr="003F1AF9">
        <w:t>when technologies are</w:t>
      </w:r>
      <w:r w:rsidR="00B251A2" w:rsidRPr="003F1AF9">
        <w:t xml:space="preserve"> combined)</w:t>
      </w:r>
      <w:r w:rsidR="0032353F" w:rsidRPr="003F1AF9">
        <w:t>.</w:t>
      </w:r>
    </w:p>
    <w:p w14:paraId="524B77BF" w14:textId="6BFCFC1D" w:rsidR="00762877" w:rsidRPr="003F1AF9" w:rsidRDefault="003A7929" w:rsidP="00EB247F">
      <w:pPr>
        <w:pStyle w:val="Caption"/>
        <w:jc w:val="center"/>
        <w:rPr>
          <w:rFonts w:eastAsia="Times New Roman" w:cs="Times New Roman"/>
          <w:sz w:val="24"/>
          <w:szCs w:val="24"/>
          <w:lang w:eastAsia="zh-CN"/>
        </w:rPr>
      </w:pPr>
      <w:bookmarkStart w:id="510" w:name="_Toc42289761"/>
      <w:r w:rsidRPr="003F1AF9">
        <w:t xml:space="preserve">Table </w:t>
      </w:r>
      <w:r w:rsidR="00E014ED" w:rsidRPr="003F1AF9">
        <w:rPr>
          <w:noProof/>
        </w:rPr>
        <w:fldChar w:fldCharType="begin"/>
      </w:r>
      <w:r w:rsidR="00E014ED" w:rsidRPr="003F1AF9">
        <w:rPr>
          <w:noProof/>
        </w:rPr>
        <w:instrText xml:space="preserve"> STYLEREF 1 \s </w:instrText>
      </w:r>
      <w:r w:rsidR="00E014ED" w:rsidRPr="003F1AF9">
        <w:rPr>
          <w:noProof/>
        </w:rPr>
        <w:fldChar w:fldCharType="separate"/>
      </w:r>
      <w:r w:rsidR="00E60668">
        <w:rPr>
          <w:noProof/>
        </w:rPr>
        <w:t>3</w:t>
      </w:r>
      <w:r w:rsidR="00E014ED" w:rsidRPr="003F1AF9">
        <w:rPr>
          <w:noProof/>
        </w:rPr>
        <w:fldChar w:fldCharType="end"/>
      </w:r>
      <w:r w:rsidR="00905204" w:rsidRPr="003F1AF9">
        <w:t>.</w:t>
      </w:r>
      <w:r w:rsidR="00E014ED" w:rsidRPr="003F1AF9">
        <w:rPr>
          <w:noProof/>
        </w:rPr>
        <w:fldChar w:fldCharType="begin"/>
      </w:r>
      <w:r w:rsidR="00E014ED" w:rsidRPr="003F1AF9">
        <w:rPr>
          <w:noProof/>
        </w:rPr>
        <w:instrText xml:space="preserve"> SEQ Table \* ARABIC \s 1 </w:instrText>
      </w:r>
      <w:r w:rsidR="00E014ED" w:rsidRPr="003F1AF9">
        <w:rPr>
          <w:noProof/>
        </w:rPr>
        <w:fldChar w:fldCharType="separate"/>
      </w:r>
      <w:r w:rsidR="00E60668">
        <w:rPr>
          <w:noProof/>
        </w:rPr>
        <w:t>3</w:t>
      </w:r>
      <w:r w:rsidR="00E014ED" w:rsidRPr="003F1AF9">
        <w:rPr>
          <w:noProof/>
        </w:rPr>
        <w:fldChar w:fldCharType="end"/>
      </w:r>
      <w:r w:rsidRPr="003F1AF9">
        <w:t xml:space="preserve"> Impacts on Atmospheric Concentrations of CO</w:t>
      </w:r>
      <w:r w:rsidRPr="003F1AF9">
        <w:rPr>
          <w:vertAlign w:val="subscript"/>
        </w:rPr>
        <w:t>2</w:t>
      </w:r>
      <w:r w:rsidRPr="003F1AF9">
        <w:t>-eq</w:t>
      </w:r>
      <w:bookmarkEnd w:id="509"/>
      <w:bookmarkEnd w:id="510"/>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3F1AF9"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3F1AF9" w:rsidRDefault="003A7929" w:rsidP="00AD4CF8">
            <w:pPr>
              <w:spacing w:line="240" w:lineRule="auto"/>
              <w:jc w:val="center"/>
              <w:rPr>
                <w:rFonts w:cstheme="minorHAnsi"/>
                <w:b/>
                <w:bCs/>
                <w:color w:val="FFFFFF" w:themeColor="background1"/>
                <w:sz w:val="20"/>
                <w:szCs w:val="20"/>
                <w:lang w:eastAsia="zh-CN"/>
              </w:rPr>
            </w:pPr>
            <w:r w:rsidRPr="003F1AF9">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3F1AF9" w:rsidRDefault="003A7929" w:rsidP="00AD4CF8">
            <w:pPr>
              <w:spacing w:line="240" w:lineRule="auto"/>
              <w:jc w:val="center"/>
              <w:rPr>
                <w:rFonts w:cstheme="minorHAnsi"/>
                <w:b/>
                <w:bCs/>
                <w:color w:val="FFFFFF" w:themeColor="background1"/>
                <w:sz w:val="20"/>
                <w:szCs w:val="20"/>
                <w:lang w:eastAsia="zh-CN"/>
              </w:rPr>
            </w:pPr>
            <w:r w:rsidRPr="003F1AF9">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3F1AF9" w:rsidRDefault="003A7929" w:rsidP="00AD4CF8">
            <w:pPr>
              <w:spacing w:line="240" w:lineRule="auto"/>
              <w:jc w:val="center"/>
              <w:rPr>
                <w:rFonts w:cstheme="minorHAnsi"/>
                <w:b/>
                <w:bCs/>
                <w:color w:val="FFFFFF" w:themeColor="background1"/>
                <w:sz w:val="20"/>
                <w:szCs w:val="20"/>
                <w:lang w:eastAsia="zh-CN"/>
              </w:rPr>
            </w:pPr>
            <w:r w:rsidRPr="003F1AF9">
              <w:rPr>
                <w:rFonts w:cstheme="minorHAnsi"/>
                <w:b/>
                <w:bCs/>
                <w:color w:val="FFFFFF" w:themeColor="background1"/>
                <w:sz w:val="20"/>
                <w:szCs w:val="20"/>
                <w:lang w:eastAsia="zh-CN"/>
              </w:rPr>
              <w:t>GHG Concentration Rate of Change in 2050</w:t>
            </w:r>
          </w:p>
        </w:tc>
      </w:tr>
      <w:tr w:rsidR="003A7929" w:rsidRPr="003F1AF9"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3F1AF9" w:rsidRDefault="003A7929" w:rsidP="00AD4CF8">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3F1AF9" w:rsidRDefault="003A7929" w:rsidP="00AD4CF8">
            <w:pPr>
              <w:spacing w:line="240" w:lineRule="auto"/>
              <w:jc w:val="center"/>
              <w:rPr>
                <w:rFonts w:cstheme="minorHAnsi"/>
                <w:bCs/>
                <w:i/>
                <w:color w:val="FFFFFF" w:themeColor="background1"/>
                <w:sz w:val="20"/>
                <w:szCs w:val="20"/>
                <w:lang w:eastAsia="zh-CN"/>
              </w:rPr>
            </w:pPr>
            <w:r w:rsidRPr="003F1AF9">
              <w:rPr>
                <w:rFonts w:cstheme="minorHAnsi"/>
                <w:bCs/>
                <w:i/>
                <w:color w:val="FFFFFF" w:themeColor="background1"/>
                <w:sz w:val="20"/>
                <w:szCs w:val="20"/>
                <w:lang w:eastAsia="zh-CN"/>
              </w:rPr>
              <w:t>PPM CO</w:t>
            </w:r>
            <w:r w:rsidRPr="003F1AF9">
              <w:rPr>
                <w:rFonts w:cstheme="minorHAnsi"/>
                <w:bCs/>
                <w:i/>
                <w:color w:val="FFFFFF" w:themeColor="background1"/>
                <w:sz w:val="20"/>
                <w:szCs w:val="20"/>
                <w:vertAlign w:val="subscript"/>
                <w:lang w:eastAsia="zh-CN"/>
              </w:rPr>
              <w:t>2</w:t>
            </w:r>
            <w:r w:rsidRPr="003F1AF9">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3F1AF9" w:rsidRDefault="003A7929" w:rsidP="00AD4CF8">
            <w:pPr>
              <w:spacing w:line="240" w:lineRule="auto"/>
              <w:jc w:val="center"/>
              <w:rPr>
                <w:rFonts w:cstheme="minorHAnsi"/>
                <w:bCs/>
                <w:i/>
                <w:color w:val="FFFFFF" w:themeColor="background1"/>
                <w:sz w:val="20"/>
                <w:szCs w:val="20"/>
                <w:lang w:eastAsia="zh-CN"/>
              </w:rPr>
            </w:pPr>
            <w:r w:rsidRPr="003F1AF9">
              <w:rPr>
                <w:rFonts w:cstheme="minorHAnsi"/>
                <w:bCs/>
                <w:i/>
                <w:color w:val="FFFFFF" w:themeColor="background1"/>
                <w:sz w:val="20"/>
                <w:szCs w:val="20"/>
                <w:lang w:eastAsia="zh-CN"/>
              </w:rPr>
              <w:t>PPM CO</w:t>
            </w:r>
            <w:r w:rsidRPr="003F1AF9">
              <w:rPr>
                <w:rFonts w:cstheme="minorHAnsi"/>
                <w:bCs/>
                <w:i/>
                <w:color w:val="FFFFFF" w:themeColor="background1"/>
                <w:sz w:val="20"/>
                <w:szCs w:val="20"/>
                <w:vertAlign w:val="subscript"/>
                <w:lang w:eastAsia="zh-CN"/>
              </w:rPr>
              <w:t>2</w:t>
            </w:r>
            <w:r w:rsidRPr="003F1AF9">
              <w:rPr>
                <w:rFonts w:cstheme="minorHAnsi"/>
                <w:bCs/>
                <w:i/>
                <w:color w:val="FFFFFF" w:themeColor="background1"/>
                <w:sz w:val="20"/>
                <w:szCs w:val="20"/>
                <w:lang w:eastAsia="zh-CN"/>
              </w:rPr>
              <w:t>-eq change from 2049-2050</w:t>
            </w:r>
          </w:p>
        </w:tc>
      </w:tr>
      <w:tr w:rsidR="00AC7108" w:rsidRPr="003F1AF9" w14:paraId="4F4161D1" w14:textId="77777777" w:rsidTr="00822EEC">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AC7108" w:rsidRPr="003F1AF9" w:rsidRDefault="00AC7108" w:rsidP="00AC7108">
            <w:pPr>
              <w:shd w:val="clear" w:color="auto" w:fill="FFFFFF" w:themeFill="background1"/>
              <w:spacing w:after="0" w:line="240" w:lineRule="auto"/>
              <w:jc w:val="center"/>
              <w:rPr>
                <w:color w:val="000000" w:themeColor="text1"/>
                <w:sz w:val="20"/>
                <w:szCs w:val="20"/>
                <w:lang w:eastAsia="zh-CN"/>
              </w:rPr>
            </w:pPr>
            <w:r w:rsidRPr="003F1AF9">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1BCFAA" w14:textId="33205BD9" w:rsidR="00AC7108" w:rsidRPr="003F1AF9" w:rsidRDefault="00AC7108" w:rsidP="00AC710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0.35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7FA7AAF" w14:textId="239F2BFC" w:rsidR="00AC7108" w:rsidRPr="003F1AF9" w:rsidRDefault="00AC7108" w:rsidP="00AC710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0.02</w:t>
            </w:r>
          </w:p>
        </w:tc>
      </w:tr>
      <w:tr w:rsidR="00337EA8" w:rsidRPr="003F1AF9" w14:paraId="389D5E87" w14:textId="77777777" w:rsidTr="00822EEC">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37EA8" w:rsidRPr="003F1AF9" w:rsidRDefault="00337EA8" w:rsidP="00337EA8">
            <w:pPr>
              <w:shd w:val="clear" w:color="auto" w:fill="FFFFFF" w:themeFill="background1"/>
              <w:spacing w:after="0" w:line="240" w:lineRule="auto"/>
              <w:jc w:val="center"/>
              <w:rPr>
                <w:color w:val="000000" w:themeColor="text1"/>
                <w:sz w:val="20"/>
                <w:szCs w:val="20"/>
                <w:lang w:eastAsia="zh-CN"/>
              </w:rPr>
            </w:pPr>
            <w:r w:rsidRPr="003F1AF9">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6EE9459" w14:textId="7173B524" w:rsidR="00337EA8" w:rsidRPr="003F1AF9" w:rsidRDefault="00337EA8" w:rsidP="00337EA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0.77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9BDFCEF" w14:textId="363E957D" w:rsidR="00337EA8" w:rsidRPr="003F1AF9" w:rsidRDefault="00337EA8" w:rsidP="00337EA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0.04</w:t>
            </w:r>
          </w:p>
        </w:tc>
      </w:tr>
      <w:tr w:rsidR="00337EA8" w:rsidRPr="003F1AF9" w14:paraId="7A2BE5CA" w14:textId="77777777" w:rsidTr="00822EEC">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337EA8" w:rsidRPr="003F1AF9" w:rsidRDefault="00337EA8" w:rsidP="00337EA8">
            <w:pPr>
              <w:shd w:val="clear" w:color="auto" w:fill="FFFFFF" w:themeFill="background1"/>
              <w:spacing w:after="0" w:line="240" w:lineRule="auto"/>
              <w:jc w:val="center"/>
              <w:rPr>
                <w:color w:val="000000" w:themeColor="text1"/>
                <w:sz w:val="20"/>
                <w:szCs w:val="20"/>
                <w:lang w:eastAsia="zh-CN"/>
              </w:rPr>
            </w:pPr>
            <w:r w:rsidRPr="003F1AF9">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CA082F" w14:textId="5B88E768" w:rsidR="00337EA8" w:rsidRPr="003F1AF9" w:rsidRDefault="00337EA8" w:rsidP="00337EA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4A8C8CB" w14:textId="79C7173A" w:rsidR="00337EA8" w:rsidRPr="003F1AF9" w:rsidRDefault="00337EA8" w:rsidP="00337EA8">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0.05</w:t>
            </w:r>
          </w:p>
        </w:tc>
      </w:tr>
    </w:tbl>
    <w:p w14:paraId="33F4D21E" w14:textId="77777777" w:rsidR="00D558A5" w:rsidRPr="003F1AF9" w:rsidRDefault="00D558A5" w:rsidP="006B675D">
      <w:pPr>
        <w:rPr>
          <w:highlight w:val="cyan"/>
        </w:rPr>
      </w:pPr>
    </w:p>
    <w:p w14:paraId="3D23905F" w14:textId="3B8234B5" w:rsidR="000508F0" w:rsidRPr="003F1AF9" w:rsidRDefault="00BD3252" w:rsidP="006B675D">
      <w:pPr>
        <w:rPr>
          <w:sz w:val="20"/>
          <w:lang w:eastAsia="zh-CN"/>
        </w:rPr>
      </w:pPr>
      <w:r w:rsidRPr="003F1AF9">
        <w:rPr>
          <w:lang w:eastAsia="zh-CN"/>
        </w:rPr>
        <w:fldChar w:fldCharType="begin"/>
      </w:r>
      <w:r w:rsidRPr="003F1AF9">
        <w:rPr>
          <w:lang w:eastAsia="zh-CN"/>
        </w:rPr>
        <w:instrText xml:space="preserve"> REF _Ref536182961 \h </w:instrText>
      </w:r>
      <w:r w:rsidRPr="003F1AF9">
        <w:rPr>
          <w:lang w:eastAsia="zh-CN"/>
        </w:rPr>
      </w:r>
      <w:r w:rsidRPr="003F1AF9">
        <w:rPr>
          <w:lang w:eastAsia="zh-CN"/>
        </w:rPr>
        <w:fldChar w:fldCharType="separate"/>
      </w:r>
      <w:r w:rsidR="00E60668" w:rsidRPr="003F1AF9">
        <w:t xml:space="preserve">Figure </w:t>
      </w:r>
      <w:r w:rsidR="00E60668">
        <w:rPr>
          <w:noProof/>
        </w:rPr>
        <w:t>3</w:t>
      </w:r>
      <w:r w:rsidR="00E60668" w:rsidRPr="003F1AF9">
        <w:t>.</w:t>
      </w:r>
      <w:r w:rsidR="00E60668">
        <w:rPr>
          <w:noProof/>
        </w:rPr>
        <w:t>3</w:t>
      </w:r>
      <w:r w:rsidRPr="003F1AF9">
        <w:rPr>
          <w:lang w:eastAsia="zh-CN"/>
        </w:rPr>
        <w:fldChar w:fldCharType="end"/>
      </w:r>
      <w:r w:rsidRPr="003F1AF9">
        <w:rPr>
          <w:lang w:eastAsia="zh-CN"/>
        </w:rPr>
        <w:t xml:space="preserve"> </w:t>
      </w:r>
      <w:r w:rsidR="000508F0" w:rsidRPr="003F1AF9">
        <w:rPr>
          <w:lang w:eastAsia="zh-CN"/>
        </w:rPr>
        <w:t xml:space="preserve">presents the world </w:t>
      </w:r>
      <w:r w:rsidR="005E5487" w:rsidRPr="003F1AF9">
        <w:rPr>
          <w:lang w:eastAsia="zh-CN"/>
        </w:rPr>
        <w:t xml:space="preserve">GHG </w:t>
      </w:r>
      <w:r w:rsidR="000508F0" w:rsidRPr="003F1AF9">
        <w:rPr>
          <w:lang w:eastAsia="zh-CN"/>
        </w:rPr>
        <w:t xml:space="preserve">emissions reductions as a result of heat pump adoption for the three Project Drawdown scenarios. </w:t>
      </w:r>
    </w:p>
    <w:p w14:paraId="2E0AABF1" w14:textId="3107D68A" w:rsidR="00AD5AF3" w:rsidRPr="003F1AF9" w:rsidRDefault="00337EA8" w:rsidP="000A73E5">
      <w:pPr>
        <w:keepNext/>
        <w:jc w:val="center"/>
      </w:pPr>
      <w:r>
        <w:rPr>
          <w:noProof/>
        </w:rPr>
        <w:lastRenderedPageBreak/>
        <w:drawing>
          <wp:inline distT="0" distB="0" distL="0" distR="0" wp14:anchorId="479C7E9C" wp14:editId="2C4A14AC">
            <wp:extent cx="4584700" cy="3481070"/>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3481070"/>
                    </a:xfrm>
                    <a:prstGeom prst="rect">
                      <a:avLst/>
                    </a:prstGeom>
                    <a:noFill/>
                  </pic:spPr>
                </pic:pic>
              </a:graphicData>
            </a:graphic>
          </wp:inline>
        </w:drawing>
      </w:r>
    </w:p>
    <w:p w14:paraId="6DD4F749" w14:textId="5A5B989D" w:rsidR="006B675D" w:rsidRPr="003F1AF9" w:rsidRDefault="00AD5AF3" w:rsidP="000A73E5">
      <w:pPr>
        <w:pStyle w:val="Caption"/>
        <w:jc w:val="center"/>
      </w:pPr>
      <w:bookmarkStart w:id="511" w:name="_Ref536182961"/>
      <w:bookmarkStart w:id="512" w:name="_Toc42289741"/>
      <w:r w:rsidRPr="003F1AF9">
        <w:t xml:space="preserve">Figure </w:t>
      </w:r>
      <w:r w:rsidR="00E014ED" w:rsidRPr="003F1AF9">
        <w:rPr>
          <w:noProof/>
        </w:rPr>
        <w:fldChar w:fldCharType="begin"/>
      </w:r>
      <w:r w:rsidR="00E014ED" w:rsidRPr="003F1AF9">
        <w:rPr>
          <w:noProof/>
        </w:rPr>
        <w:instrText xml:space="preserve"> STYLEREF 1 \s </w:instrText>
      </w:r>
      <w:r w:rsidR="00E014ED" w:rsidRPr="003F1AF9">
        <w:rPr>
          <w:noProof/>
        </w:rPr>
        <w:fldChar w:fldCharType="separate"/>
      </w:r>
      <w:r w:rsidR="00E60668">
        <w:rPr>
          <w:noProof/>
        </w:rPr>
        <w:t>3</w:t>
      </w:r>
      <w:r w:rsidR="00E014ED" w:rsidRPr="003F1AF9">
        <w:rPr>
          <w:noProof/>
        </w:rPr>
        <w:fldChar w:fldCharType="end"/>
      </w:r>
      <w:r w:rsidRPr="003F1AF9">
        <w:t>.</w:t>
      </w:r>
      <w:r w:rsidR="00E014ED" w:rsidRPr="003F1AF9">
        <w:rPr>
          <w:noProof/>
        </w:rPr>
        <w:fldChar w:fldCharType="begin"/>
      </w:r>
      <w:r w:rsidR="00E014ED" w:rsidRPr="003F1AF9">
        <w:rPr>
          <w:noProof/>
        </w:rPr>
        <w:instrText xml:space="preserve"> SEQ Figure \* ARABIC \s 1 </w:instrText>
      </w:r>
      <w:r w:rsidR="00E014ED" w:rsidRPr="003F1AF9">
        <w:rPr>
          <w:noProof/>
        </w:rPr>
        <w:fldChar w:fldCharType="separate"/>
      </w:r>
      <w:r w:rsidR="00E60668">
        <w:rPr>
          <w:noProof/>
        </w:rPr>
        <w:t>3</w:t>
      </w:r>
      <w:r w:rsidR="00E014ED" w:rsidRPr="003F1AF9">
        <w:rPr>
          <w:noProof/>
        </w:rPr>
        <w:fldChar w:fldCharType="end"/>
      </w:r>
      <w:bookmarkEnd w:id="511"/>
      <w:r w:rsidRPr="003F1AF9">
        <w:t xml:space="preserve"> World Annual Greenhouse Gas Emissions Reduction</w:t>
      </w:r>
      <w:bookmarkEnd w:id="512"/>
    </w:p>
    <w:p w14:paraId="23AA47F2" w14:textId="77777777" w:rsidR="000508F0" w:rsidRPr="003F1AF9" w:rsidRDefault="000508F0">
      <w:pPr>
        <w:spacing w:after="160" w:line="259" w:lineRule="auto"/>
        <w:jc w:val="left"/>
        <w:rPr>
          <w:rFonts w:asciiTheme="majorHAnsi" w:eastAsiaTheme="majorEastAsia" w:hAnsiTheme="majorHAnsi" w:cstheme="majorBidi"/>
          <w:b/>
          <w:bCs/>
          <w:smallCaps/>
          <w:color w:val="365F91" w:themeColor="accent1" w:themeShade="BF"/>
          <w:sz w:val="28"/>
          <w:szCs w:val="28"/>
        </w:rPr>
      </w:pPr>
      <w:r w:rsidRPr="003F1AF9">
        <w:br w:type="page"/>
      </w:r>
    </w:p>
    <w:p w14:paraId="66EC2EBB" w14:textId="1E14EBE4" w:rsidR="00B261E0" w:rsidRPr="003F1AF9" w:rsidRDefault="551A77D0">
      <w:pPr>
        <w:pStyle w:val="Heading2"/>
      </w:pPr>
      <w:bookmarkStart w:id="513" w:name="_Toc42289731"/>
      <w:r w:rsidRPr="003F1AF9">
        <w:lastRenderedPageBreak/>
        <w:t>Financial Impacts</w:t>
      </w:r>
      <w:bookmarkEnd w:id="513"/>
    </w:p>
    <w:p w14:paraId="4F6C2C45" w14:textId="4CF02B28" w:rsidR="00E14F94" w:rsidRPr="003F1AF9" w:rsidRDefault="006B675D" w:rsidP="000508F0">
      <w:r w:rsidRPr="003F1AF9">
        <w:t>Below are the financial results of the analysis for each scenario. For a detailed explanation of each result, please see the glossary.</w:t>
      </w:r>
    </w:p>
    <w:p w14:paraId="09347CCA" w14:textId="7936EC8A" w:rsidR="00492F5E" w:rsidRPr="003F1AF9" w:rsidRDefault="00492F5E" w:rsidP="00EB247F">
      <w:pPr>
        <w:pStyle w:val="Caption"/>
        <w:jc w:val="center"/>
        <w:rPr>
          <w:i w:val="0"/>
          <w:iCs w:val="0"/>
        </w:rPr>
      </w:pPr>
      <w:bookmarkStart w:id="514" w:name="_Toc42289762"/>
      <w:r w:rsidRPr="003F1AF9">
        <w:t xml:space="preserve">Table </w:t>
      </w:r>
      <w:r w:rsidR="00E014ED" w:rsidRPr="003F1AF9">
        <w:rPr>
          <w:noProof/>
        </w:rPr>
        <w:fldChar w:fldCharType="begin"/>
      </w:r>
      <w:r w:rsidR="00E014ED" w:rsidRPr="003F1AF9">
        <w:rPr>
          <w:noProof/>
        </w:rPr>
        <w:instrText xml:space="preserve"> STYLEREF 1 \s </w:instrText>
      </w:r>
      <w:r w:rsidR="00E014ED" w:rsidRPr="003F1AF9">
        <w:rPr>
          <w:noProof/>
        </w:rPr>
        <w:fldChar w:fldCharType="separate"/>
      </w:r>
      <w:r w:rsidR="00E60668">
        <w:rPr>
          <w:noProof/>
        </w:rPr>
        <w:t>3</w:t>
      </w:r>
      <w:r w:rsidR="00E014ED" w:rsidRPr="003F1AF9">
        <w:rPr>
          <w:noProof/>
        </w:rPr>
        <w:fldChar w:fldCharType="end"/>
      </w:r>
      <w:r w:rsidR="00905204" w:rsidRPr="003F1AF9">
        <w:t>.</w:t>
      </w:r>
      <w:r w:rsidR="00E014ED" w:rsidRPr="003F1AF9">
        <w:rPr>
          <w:noProof/>
        </w:rPr>
        <w:fldChar w:fldCharType="begin"/>
      </w:r>
      <w:r w:rsidR="00E014ED" w:rsidRPr="003F1AF9">
        <w:rPr>
          <w:noProof/>
        </w:rPr>
        <w:instrText xml:space="preserve"> SEQ Table \* ARABIC \s 1 </w:instrText>
      </w:r>
      <w:r w:rsidR="00E014ED" w:rsidRPr="003F1AF9">
        <w:rPr>
          <w:noProof/>
        </w:rPr>
        <w:fldChar w:fldCharType="separate"/>
      </w:r>
      <w:r w:rsidR="00E60668">
        <w:rPr>
          <w:noProof/>
        </w:rPr>
        <w:t>4</w:t>
      </w:r>
      <w:r w:rsidR="00E014ED" w:rsidRPr="003F1AF9">
        <w:rPr>
          <w:noProof/>
        </w:rPr>
        <w:fldChar w:fldCharType="end"/>
      </w:r>
      <w:r w:rsidRPr="003F1AF9">
        <w:t xml:space="preserve"> Financial Impacts</w:t>
      </w:r>
      <w:bookmarkEnd w:id="514"/>
    </w:p>
    <w:tbl>
      <w:tblPr>
        <w:tblW w:w="0" w:type="auto"/>
        <w:jc w:val="center"/>
        <w:tblCellMar>
          <w:top w:w="15" w:type="dxa"/>
          <w:left w:w="15" w:type="dxa"/>
          <w:bottom w:w="15" w:type="dxa"/>
          <w:right w:w="15" w:type="dxa"/>
        </w:tblCellMar>
        <w:tblLook w:val="04A0" w:firstRow="1" w:lastRow="0" w:firstColumn="1" w:lastColumn="0" w:noHBand="0" w:noVBand="1"/>
      </w:tblPr>
      <w:tblGrid>
        <w:gridCol w:w="1145"/>
        <w:gridCol w:w="1350"/>
        <w:gridCol w:w="1200"/>
        <w:gridCol w:w="1300"/>
        <w:gridCol w:w="1450"/>
        <w:gridCol w:w="2119"/>
      </w:tblGrid>
      <w:tr w:rsidR="00822C3D" w:rsidRPr="003F1AF9" w14:paraId="02CA9FB7" w14:textId="77777777" w:rsidTr="000A73E5">
        <w:trPr>
          <w:cantSplit/>
          <w:trHeight w:val="820"/>
          <w:tblHeader/>
          <w:jc w:val="cent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822C3D" w:rsidRPr="003F1AF9" w:rsidRDefault="00822C3D" w:rsidP="00AD4CF8">
            <w:pPr>
              <w:spacing w:after="0" w:line="240" w:lineRule="auto"/>
              <w:jc w:val="center"/>
              <w:rPr>
                <w:b/>
                <w:color w:val="FFFFFF" w:themeColor="background1"/>
                <w:sz w:val="20"/>
                <w:szCs w:val="20"/>
                <w:lang w:eastAsia="zh-CN"/>
              </w:rPr>
            </w:pPr>
            <w:r w:rsidRPr="003F1AF9">
              <w:rPr>
                <w:b/>
                <w:bCs/>
                <w:color w:val="FFFFFF" w:themeColor="background1"/>
                <w:sz w:val="20"/>
                <w:szCs w:val="20"/>
                <w:lang w:eastAsia="zh-CN"/>
              </w:rPr>
              <w:t>Scenario</w:t>
            </w:r>
          </w:p>
        </w:t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822C3D" w:rsidRPr="003F1AF9" w:rsidRDefault="00822C3D" w:rsidP="00AD4CF8">
            <w:pPr>
              <w:spacing w:after="0" w:line="240" w:lineRule="auto"/>
              <w:jc w:val="center"/>
              <w:rPr>
                <w:b/>
                <w:color w:val="FFFFFF" w:themeColor="background1"/>
                <w:sz w:val="20"/>
                <w:szCs w:val="20"/>
                <w:lang w:eastAsia="zh-CN"/>
              </w:rPr>
            </w:pPr>
            <w:r w:rsidRPr="003F1AF9">
              <w:rPr>
                <w:b/>
                <w:bCs/>
                <w:color w:val="FFFFFF" w:themeColor="background1"/>
                <w:sz w:val="20"/>
                <w:szCs w:val="20"/>
                <w:lang w:eastAsia="zh-CN"/>
              </w:rPr>
              <w:t>Cumulative First Cost</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822C3D" w:rsidRPr="003F1AF9" w:rsidRDefault="00822C3D" w:rsidP="00AD4CF8">
            <w:pPr>
              <w:spacing w:after="0" w:line="240" w:lineRule="auto"/>
              <w:jc w:val="center"/>
              <w:rPr>
                <w:b/>
                <w:color w:val="FFFFFF" w:themeColor="background1"/>
                <w:sz w:val="20"/>
                <w:szCs w:val="20"/>
                <w:lang w:eastAsia="zh-CN"/>
              </w:rPr>
            </w:pPr>
            <w:r w:rsidRPr="003F1AF9">
              <w:rPr>
                <w:b/>
                <w:bCs/>
                <w:color w:val="FFFFFF" w:themeColor="background1"/>
                <w:sz w:val="20"/>
                <w:szCs w:val="20"/>
                <w:lang w:eastAsia="zh-CN"/>
              </w:rPr>
              <w:t>Marginal First Cost</w:t>
            </w:r>
          </w:p>
        </w:tc>
        <w:tc>
          <w:tcPr>
            <w:tcW w:w="13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4E5D628C" w:rsidR="00822C3D" w:rsidRPr="003F1AF9" w:rsidRDefault="00822C3D" w:rsidP="00AD4CF8">
            <w:pPr>
              <w:spacing w:after="0" w:line="240" w:lineRule="auto"/>
              <w:jc w:val="center"/>
              <w:rPr>
                <w:b/>
                <w:color w:val="FFFFFF" w:themeColor="background1"/>
                <w:sz w:val="20"/>
                <w:szCs w:val="20"/>
                <w:lang w:eastAsia="zh-CN"/>
              </w:rPr>
            </w:pPr>
            <w:r w:rsidRPr="003F1AF9">
              <w:rPr>
                <w:b/>
                <w:bCs/>
                <w:color w:val="FFFFFF" w:themeColor="background1"/>
                <w:sz w:val="20"/>
                <w:szCs w:val="20"/>
                <w:lang w:eastAsia="zh-CN"/>
              </w:rPr>
              <w:t>Net Operating Cost Savings</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11174BE7" w:rsidR="00822C3D" w:rsidRPr="003F1AF9" w:rsidRDefault="00822C3D" w:rsidP="00822C3D">
            <w:pPr>
              <w:spacing w:after="0" w:line="240" w:lineRule="auto"/>
              <w:jc w:val="center"/>
              <w:rPr>
                <w:b/>
                <w:bCs/>
                <w:color w:val="FFFFFF" w:themeColor="background1"/>
                <w:sz w:val="20"/>
                <w:szCs w:val="20"/>
                <w:lang w:eastAsia="zh-CN"/>
              </w:rPr>
            </w:pPr>
            <w:r w:rsidRPr="003F1AF9">
              <w:rPr>
                <w:b/>
                <w:color w:val="FFFFFF" w:themeColor="background1"/>
                <w:sz w:val="20"/>
                <w:szCs w:val="20"/>
                <w:lang w:eastAsia="zh-CN"/>
              </w:rPr>
              <w:t>Lifetime Operating Cost Savings</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822C3D" w:rsidRPr="003F1AF9" w:rsidRDefault="00822C3D" w:rsidP="00AD4CF8">
            <w:pPr>
              <w:spacing w:after="0" w:line="240" w:lineRule="auto"/>
              <w:jc w:val="center"/>
              <w:rPr>
                <w:b/>
                <w:color w:val="FFFFFF" w:themeColor="background1"/>
                <w:sz w:val="20"/>
                <w:szCs w:val="20"/>
                <w:lang w:eastAsia="zh-CN"/>
              </w:rPr>
            </w:pPr>
            <w:r w:rsidRPr="003F1AF9">
              <w:rPr>
                <w:b/>
                <w:bCs/>
                <w:color w:val="FFFFFF" w:themeColor="background1"/>
                <w:sz w:val="20"/>
                <w:szCs w:val="20"/>
                <w:lang w:eastAsia="zh-CN"/>
              </w:rPr>
              <w:t>Lifetime Cashflow Savings NPV (of All Implementation Units)</w:t>
            </w:r>
          </w:p>
        </w:tc>
      </w:tr>
      <w:tr w:rsidR="00822C3D" w:rsidRPr="003F1AF9" w14:paraId="67FE449F" w14:textId="77777777" w:rsidTr="00AC7108">
        <w:trPr>
          <w:cantSplit/>
          <w:trHeight w:val="640"/>
          <w:tblHeader/>
          <w:jc w:val="cent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822C3D" w:rsidRPr="003F1AF9" w:rsidRDefault="00822C3D" w:rsidP="00AD4CF8">
            <w:pPr>
              <w:spacing w:after="0" w:line="240" w:lineRule="auto"/>
              <w:jc w:val="center"/>
              <w:rPr>
                <w:rFonts w:eastAsia="Times New Roman" w:cstheme="minorHAnsi"/>
                <w:b/>
                <w:color w:val="FFFFFF" w:themeColor="background1"/>
                <w:sz w:val="20"/>
                <w:szCs w:val="20"/>
                <w:lang w:eastAsia="zh-CN"/>
              </w:rPr>
            </w:pPr>
          </w:p>
        </w:t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822C3D" w:rsidRPr="003F1AF9" w:rsidRDefault="00822C3D" w:rsidP="00AD4CF8">
            <w:pPr>
              <w:spacing w:after="0" w:line="240" w:lineRule="auto"/>
              <w:jc w:val="center"/>
              <w:rPr>
                <w:i/>
                <w:color w:val="FFFFFF" w:themeColor="background1"/>
                <w:sz w:val="20"/>
                <w:szCs w:val="20"/>
                <w:lang w:eastAsia="zh-CN"/>
              </w:rPr>
            </w:pPr>
            <w:r w:rsidRPr="003F1AF9">
              <w:rPr>
                <w:i/>
                <w:color w:val="FFFFFF" w:themeColor="background1"/>
                <w:sz w:val="20"/>
                <w:szCs w:val="20"/>
                <w:lang w:eastAsia="zh-CN"/>
              </w:rPr>
              <w:t>2015-2050 Billion USD</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822C3D" w:rsidRPr="003F1AF9" w:rsidRDefault="00822C3D" w:rsidP="00AD4CF8">
            <w:pPr>
              <w:spacing w:after="0" w:line="240" w:lineRule="auto"/>
              <w:jc w:val="center"/>
              <w:rPr>
                <w:i/>
                <w:color w:val="FFFFFF" w:themeColor="background1"/>
                <w:sz w:val="20"/>
                <w:szCs w:val="20"/>
                <w:lang w:eastAsia="zh-CN"/>
              </w:rPr>
            </w:pPr>
            <w:r w:rsidRPr="003F1AF9">
              <w:rPr>
                <w:i/>
                <w:color w:val="FFFFFF" w:themeColor="background1"/>
                <w:sz w:val="20"/>
                <w:szCs w:val="20"/>
                <w:lang w:eastAsia="zh-CN"/>
              </w:rPr>
              <w:t>2015-2050 Billion USD</w:t>
            </w:r>
          </w:p>
        </w:tc>
        <w:tc>
          <w:tcPr>
            <w:tcW w:w="13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822C3D" w:rsidRPr="003F1AF9" w:rsidRDefault="00822C3D" w:rsidP="00AD4CF8">
            <w:pPr>
              <w:spacing w:after="0" w:line="240" w:lineRule="auto"/>
              <w:jc w:val="center"/>
              <w:rPr>
                <w:i/>
                <w:color w:val="FFFFFF" w:themeColor="background1"/>
                <w:sz w:val="20"/>
                <w:szCs w:val="20"/>
                <w:lang w:eastAsia="zh-CN"/>
              </w:rPr>
            </w:pPr>
            <w:r w:rsidRPr="003F1AF9">
              <w:rPr>
                <w:i/>
                <w:color w:val="FFFFFF" w:themeColor="background1"/>
                <w:sz w:val="20"/>
                <w:szCs w:val="20"/>
                <w:lang w:eastAsia="zh-CN"/>
              </w:rPr>
              <w:t>2020-2050 Billion USD</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822C3D" w:rsidRPr="003F1AF9" w:rsidRDefault="00822C3D" w:rsidP="00AD4CF8">
            <w:pPr>
              <w:spacing w:after="0" w:line="240" w:lineRule="auto"/>
              <w:jc w:val="center"/>
              <w:rPr>
                <w:i/>
                <w:color w:val="FFFFFF" w:themeColor="background1"/>
                <w:sz w:val="20"/>
                <w:szCs w:val="20"/>
                <w:lang w:eastAsia="zh-CN"/>
              </w:rPr>
            </w:pPr>
            <w:r w:rsidRPr="003F1AF9">
              <w:rPr>
                <w:i/>
                <w:color w:val="FFFFFF" w:themeColor="background1"/>
                <w:sz w:val="20"/>
                <w:szCs w:val="20"/>
                <w:lang w:eastAsia="zh-CN"/>
              </w:rPr>
              <w:t>2020-2050 Billion USD</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822C3D" w:rsidRPr="003F1AF9" w:rsidRDefault="00822C3D" w:rsidP="00AD4CF8">
            <w:pPr>
              <w:spacing w:after="0" w:line="240" w:lineRule="auto"/>
              <w:jc w:val="center"/>
              <w:rPr>
                <w:i/>
                <w:color w:val="FFFFFF" w:themeColor="background1"/>
                <w:sz w:val="20"/>
                <w:szCs w:val="20"/>
                <w:lang w:eastAsia="zh-CN"/>
              </w:rPr>
            </w:pPr>
            <w:r w:rsidRPr="003F1AF9">
              <w:rPr>
                <w:i/>
                <w:color w:val="FFFFFF" w:themeColor="background1"/>
                <w:sz w:val="20"/>
                <w:szCs w:val="20"/>
                <w:lang w:eastAsia="zh-CN"/>
              </w:rPr>
              <w:t>Billion USD</w:t>
            </w:r>
          </w:p>
        </w:tc>
      </w:tr>
      <w:tr w:rsidR="00AC7108" w:rsidRPr="003F1AF9" w14:paraId="2CCDE781" w14:textId="77777777" w:rsidTr="00AC7108">
        <w:trPr>
          <w:trHeight w:val="440"/>
          <w:jc w:val="center"/>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AC7108" w:rsidRPr="003F1AF9" w:rsidRDefault="00AC7108" w:rsidP="00AC7108">
            <w:pPr>
              <w:spacing w:after="0" w:line="240" w:lineRule="auto"/>
              <w:jc w:val="center"/>
              <w:rPr>
                <w:sz w:val="20"/>
                <w:szCs w:val="20"/>
                <w:lang w:eastAsia="zh-CN"/>
              </w:rPr>
            </w:pPr>
            <w:r w:rsidRPr="003F1AF9">
              <w:rPr>
                <w:b/>
                <w:bCs/>
                <w:color w:val="000000" w:themeColor="text1"/>
                <w:sz w:val="20"/>
                <w:szCs w:val="20"/>
                <w:lang w:eastAsia="zh-CN"/>
              </w:rPr>
              <w:t>Plausible</w:t>
            </w:r>
          </w:p>
        </w:t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515D5F2" w14:textId="170DFD42" w:rsidR="00AC7108" w:rsidRPr="003F1AF9" w:rsidRDefault="00AC7108" w:rsidP="00AC7108">
            <w:pPr>
              <w:spacing w:after="0" w:line="240" w:lineRule="auto"/>
              <w:jc w:val="center"/>
              <w:rPr>
                <w:rFonts w:eastAsia="Times New Roman" w:cstheme="minorHAnsi"/>
                <w:sz w:val="20"/>
                <w:szCs w:val="20"/>
                <w:lang w:eastAsia="zh-CN"/>
              </w:rPr>
            </w:pPr>
            <w:r>
              <w:rPr>
                <w:color w:val="000000"/>
                <w:sz w:val="20"/>
                <w:szCs w:val="20"/>
              </w:rPr>
              <w:t>283.79</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BD6A13" w14:textId="7D98B2C6" w:rsidR="00AC7108" w:rsidRPr="003F1AF9" w:rsidRDefault="00AC7108" w:rsidP="00AC7108">
            <w:pPr>
              <w:spacing w:after="0" w:line="240" w:lineRule="auto"/>
              <w:jc w:val="center"/>
              <w:rPr>
                <w:rFonts w:eastAsia="Times New Roman" w:cstheme="minorHAnsi"/>
                <w:sz w:val="20"/>
                <w:szCs w:val="20"/>
                <w:lang w:eastAsia="zh-CN"/>
              </w:rPr>
            </w:pPr>
            <w:r>
              <w:rPr>
                <w:color w:val="000000"/>
                <w:sz w:val="20"/>
                <w:szCs w:val="20"/>
              </w:rPr>
              <w:t>82.80</w:t>
            </w:r>
          </w:p>
        </w:tc>
        <w:tc>
          <w:tcPr>
            <w:tcW w:w="13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A9B277B" w14:textId="7625DF8F" w:rsidR="00AC7108" w:rsidRPr="003F1AF9" w:rsidRDefault="00AC7108" w:rsidP="00AC7108">
            <w:pPr>
              <w:spacing w:after="0" w:line="240" w:lineRule="auto"/>
              <w:jc w:val="center"/>
              <w:rPr>
                <w:rFonts w:eastAsia="Times New Roman" w:cstheme="minorHAnsi"/>
                <w:sz w:val="20"/>
                <w:szCs w:val="20"/>
                <w:lang w:eastAsia="zh-CN"/>
              </w:rPr>
            </w:pPr>
            <w:r>
              <w:rPr>
                <w:color w:val="000000"/>
                <w:sz w:val="20"/>
                <w:szCs w:val="20"/>
              </w:rPr>
              <w:t>738.14</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C23F1" w14:textId="2DBD918A" w:rsidR="00AC7108" w:rsidRPr="003F1AF9" w:rsidRDefault="00AC7108" w:rsidP="00AC7108">
            <w:pPr>
              <w:spacing w:after="0" w:line="240" w:lineRule="auto"/>
              <w:jc w:val="center"/>
              <w:rPr>
                <w:rFonts w:eastAsia="Times New Roman" w:cstheme="minorHAnsi"/>
                <w:sz w:val="20"/>
                <w:szCs w:val="20"/>
                <w:lang w:eastAsia="zh-CN"/>
              </w:rPr>
            </w:pPr>
            <w:r>
              <w:rPr>
                <w:color w:val="000000"/>
                <w:sz w:val="20"/>
                <w:szCs w:val="20"/>
              </w:rPr>
              <w:t>1,085.08</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5403F6C" w14:textId="7AE9C1AC" w:rsidR="00AC7108" w:rsidRPr="003F1AF9" w:rsidRDefault="00AC7108" w:rsidP="00AC7108">
            <w:pPr>
              <w:spacing w:after="0" w:line="240" w:lineRule="auto"/>
              <w:jc w:val="center"/>
              <w:rPr>
                <w:rFonts w:eastAsia="Times New Roman" w:cstheme="minorHAnsi"/>
                <w:sz w:val="20"/>
                <w:szCs w:val="20"/>
                <w:lang w:eastAsia="zh-CN"/>
              </w:rPr>
            </w:pPr>
            <w:r>
              <w:rPr>
                <w:color w:val="000000"/>
                <w:sz w:val="20"/>
                <w:szCs w:val="20"/>
              </w:rPr>
              <w:t>246.34</w:t>
            </w:r>
          </w:p>
        </w:tc>
      </w:tr>
      <w:tr w:rsidR="00337EA8" w:rsidRPr="003F1AF9" w14:paraId="6C3482B4" w14:textId="77777777" w:rsidTr="000A73E5">
        <w:trPr>
          <w:trHeight w:val="440"/>
          <w:jc w:val="center"/>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85EB38" w:rsidR="00337EA8" w:rsidRPr="003F1AF9" w:rsidRDefault="00337EA8" w:rsidP="00337EA8">
            <w:pPr>
              <w:spacing w:after="0" w:line="240" w:lineRule="auto"/>
              <w:jc w:val="center"/>
              <w:rPr>
                <w:sz w:val="20"/>
                <w:szCs w:val="20"/>
                <w:lang w:eastAsia="zh-CN"/>
              </w:rPr>
            </w:pPr>
            <w:r w:rsidRPr="003F1AF9">
              <w:rPr>
                <w:b/>
                <w:bCs/>
                <w:color w:val="000000" w:themeColor="text1"/>
                <w:sz w:val="20"/>
                <w:szCs w:val="20"/>
                <w:lang w:eastAsia="zh-CN"/>
              </w:rPr>
              <w:t>Drawdown</w:t>
            </w:r>
          </w:p>
        </w:t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32B376" w14:textId="1D909857" w:rsidR="00337EA8" w:rsidRPr="003F1AF9" w:rsidRDefault="00337EA8" w:rsidP="00337EA8">
            <w:pPr>
              <w:spacing w:after="0" w:line="240" w:lineRule="auto"/>
              <w:jc w:val="center"/>
              <w:rPr>
                <w:rFonts w:eastAsia="Times New Roman" w:cstheme="minorHAnsi"/>
                <w:sz w:val="20"/>
                <w:szCs w:val="20"/>
                <w:lang w:eastAsia="zh-CN"/>
              </w:rPr>
            </w:pPr>
            <w:r>
              <w:rPr>
                <w:color w:val="000000"/>
                <w:sz w:val="20"/>
                <w:szCs w:val="20"/>
              </w:rPr>
              <w:t>570.78</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1B939A" w14:textId="251CEDF5" w:rsidR="00337EA8" w:rsidRPr="003F1AF9" w:rsidRDefault="00337EA8" w:rsidP="00337EA8">
            <w:pPr>
              <w:spacing w:after="0" w:line="240" w:lineRule="auto"/>
              <w:jc w:val="center"/>
              <w:rPr>
                <w:rFonts w:eastAsia="Times New Roman" w:cstheme="minorHAnsi"/>
                <w:sz w:val="20"/>
                <w:szCs w:val="20"/>
                <w:lang w:eastAsia="zh-CN"/>
              </w:rPr>
            </w:pPr>
            <w:r>
              <w:rPr>
                <w:color w:val="000000"/>
                <w:sz w:val="20"/>
                <w:szCs w:val="20"/>
              </w:rPr>
              <w:t>140.87</w:t>
            </w:r>
          </w:p>
        </w:tc>
        <w:tc>
          <w:tcPr>
            <w:tcW w:w="13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FA5DB3" w14:textId="25C27D3C" w:rsidR="00337EA8" w:rsidRPr="003F1AF9" w:rsidRDefault="00337EA8" w:rsidP="00337EA8">
            <w:pPr>
              <w:spacing w:after="0" w:line="240" w:lineRule="auto"/>
              <w:jc w:val="center"/>
              <w:rPr>
                <w:rFonts w:eastAsia="Times New Roman" w:cstheme="minorHAnsi"/>
                <w:sz w:val="20"/>
                <w:szCs w:val="20"/>
                <w:lang w:eastAsia="zh-CN"/>
              </w:rPr>
            </w:pPr>
            <w:r>
              <w:rPr>
                <w:color w:val="000000"/>
                <w:sz w:val="20"/>
                <w:szCs w:val="20"/>
              </w:rPr>
              <w:t>1,683.98</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88678" w14:textId="2AE52DF7" w:rsidR="00337EA8" w:rsidRPr="003F1AF9" w:rsidRDefault="00337EA8" w:rsidP="00337EA8">
            <w:pPr>
              <w:spacing w:after="0" w:line="240" w:lineRule="auto"/>
              <w:jc w:val="center"/>
              <w:rPr>
                <w:rFonts w:eastAsia="Times New Roman" w:cstheme="minorHAnsi"/>
                <w:sz w:val="20"/>
                <w:szCs w:val="20"/>
                <w:lang w:eastAsia="zh-CN"/>
              </w:rPr>
            </w:pPr>
            <w:r>
              <w:rPr>
                <w:color w:val="000000"/>
                <w:sz w:val="20"/>
                <w:szCs w:val="20"/>
              </w:rPr>
              <w:t>2,494.49</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47233A8" w14:textId="50FBCCFA" w:rsidR="00337EA8" w:rsidRPr="003F1AF9" w:rsidRDefault="00337EA8" w:rsidP="00337EA8">
            <w:pPr>
              <w:spacing w:after="0" w:line="240" w:lineRule="auto"/>
              <w:jc w:val="center"/>
              <w:rPr>
                <w:rFonts w:eastAsia="Times New Roman" w:cstheme="minorHAnsi"/>
                <w:sz w:val="20"/>
                <w:szCs w:val="20"/>
                <w:lang w:eastAsia="zh-CN"/>
              </w:rPr>
            </w:pPr>
            <w:r>
              <w:rPr>
                <w:color w:val="000000"/>
                <w:sz w:val="20"/>
                <w:szCs w:val="20"/>
              </w:rPr>
              <w:t>583.49</w:t>
            </w:r>
          </w:p>
        </w:tc>
      </w:tr>
      <w:tr w:rsidR="00337EA8" w:rsidRPr="003F1AF9" w14:paraId="76A27626" w14:textId="77777777" w:rsidTr="000A73E5">
        <w:trPr>
          <w:trHeight w:val="440"/>
          <w:jc w:val="center"/>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337EA8" w:rsidRPr="003F1AF9" w:rsidRDefault="00337EA8" w:rsidP="00337EA8">
            <w:pPr>
              <w:spacing w:after="0" w:line="240" w:lineRule="auto"/>
              <w:jc w:val="center"/>
              <w:rPr>
                <w:sz w:val="20"/>
                <w:szCs w:val="20"/>
                <w:lang w:eastAsia="zh-CN"/>
              </w:rPr>
            </w:pPr>
            <w:r w:rsidRPr="003F1AF9">
              <w:rPr>
                <w:b/>
                <w:bCs/>
                <w:color w:val="000000" w:themeColor="text1"/>
                <w:sz w:val="20"/>
                <w:szCs w:val="20"/>
                <w:lang w:eastAsia="zh-CN"/>
              </w:rPr>
              <w:t>Optimum</w:t>
            </w:r>
          </w:p>
        </w:tc>
        <w:tc>
          <w:tcPr>
            <w:tcW w:w="1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D3AF255" w14:textId="71E13597" w:rsidR="00337EA8" w:rsidRPr="003F1AF9" w:rsidRDefault="00337EA8" w:rsidP="00337EA8">
            <w:pPr>
              <w:spacing w:after="0" w:line="240" w:lineRule="auto"/>
              <w:jc w:val="center"/>
              <w:rPr>
                <w:rFonts w:eastAsia="Times New Roman" w:cstheme="minorHAnsi"/>
                <w:sz w:val="20"/>
                <w:szCs w:val="20"/>
                <w:lang w:eastAsia="zh-CN"/>
              </w:rPr>
            </w:pPr>
            <w:r>
              <w:rPr>
                <w:color w:val="000000"/>
                <w:sz w:val="20"/>
                <w:szCs w:val="20"/>
              </w:rPr>
              <w:t>685.87</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6F6A9C" w14:textId="792AD328" w:rsidR="00337EA8" w:rsidRPr="003F1AF9" w:rsidRDefault="00337EA8" w:rsidP="00337EA8">
            <w:pPr>
              <w:spacing w:after="0" w:line="240" w:lineRule="auto"/>
              <w:jc w:val="center"/>
              <w:rPr>
                <w:rFonts w:eastAsia="Times New Roman" w:cstheme="minorHAnsi"/>
                <w:sz w:val="20"/>
                <w:szCs w:val="20"/>
                <w:lang w:eastAsia="zh-CN"/>
              </w:rPr>
            </w:pPr>
            <w:r>
              <w:rPr>
                <w:color w:val="000000"/>
                <w:sz w:val="20"/>
                <w:szCs w:val="20"/>
              </w:rPr>
              <w:t>161.42</w:t>
            </w:r>
          </w:p>
        </w:tc>
        <w:tc>
          <w:tcPr>
            <w:tcW w:w="13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259EAAB" w14:textId="6F9D1574" w:rsidR="00337EA8" w:rsidRPr="003F1AF9" w:rsidRDefault="00337EA8" w:rsidP="00337EA8">
            <w:pPr>
              <w:spacing w:after="0" w:line="240" w:lineRule="auto"/>
              <w:jc w:val="center"/>
              <w:rPr>
                <w:rFonts w:eastAsia="Times New Roman" w:cstheme="minorHAnsi"/>
                <w:sz w:val="20"/>
                <w:szCs w:val="20"/>
                <w:lang w:eastAsia="zh-CN"/>
              </w:rPr>
            </w:pPr>
            <w:r>
              <w:rPr>
                <w:color w:val="000000"/>
                <w:sz w:val="20"/>
                <w:szCs w:val="20"/>
              </w:rPr>
              <w:t>2,229.62</w:t>
            </w:r>
          </w:p>
        </w:tc>
        <w:tc>
          <w:tcPr>
            <w:tcW w:w="145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8BB69" w14:textId="3B52B210" w:rsidR="00337EA8" w:rsidRPr="003F1AF9" w:rsidRDefault="00337EA8" w:rsidP="00337EA8">
            <w:pPr>
              <w:spacing w:after="0" w:line="240" w:lineRule="auto"/>
              <w:jc w:val="center"/>
              <w:rPr>
                <w:rFonts w:eastAsia="Times New Roman" w:cstheme="minorHAnsi"/>
                <w:sz w:val="20"/>
                <w:szCs w:val="20"/>
                <w:lang w:eastAsia="zh-CN"/>
              </w:rPr>
            </w:pPr>
            <w:r>
              <w:rPr>
                <w:color w:val="000000"/>
                <w:sz w:val="20"/>
                <w:szCs w:val="20"/>
              </w:rPr>
              <w:t>3,303.25</w:t>
            </w:r>
          </w:p>
        </w:tc>
        <w:tc>
          <w:tcPr>
            <w:tcW w:w="21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14A8F5" w14:textId="23AEEE57" w:rsidR="00337EA8" w:rsidRPr="003F1AF9" w:rsidRDefault="00337EA8" w:rsidP="00337EA8">
            <w:pPr>
              <w:spacing w:after="0" w:line="240" w:lineRule="auto"/>
              <w:jc w:val="center"/>
              <w:rPr>
                <w:rFonts w:eastAsia="Times New Roman" w:cstheme="minorHAnsi"/>
                <w:sz w:val="20"/>
                <w:szCs w:val="20"/>
                <w:lang w:eastAsia="zh-CN"/>
              </w:rPr>
            </w:pPr>
            <w:r>
              <w:rPr>
                <w:color w:val="000000"/>
                <w:sz w:val="20"/>
                <w:szCs w:val="20"/>
              </w:rPr>
              <w:t>783.17</w:t>
            </w:r>
          </w:p>
        </w:tc>
      </w:tr>
    </w:tbl>
    <w:p w14:paraId="65064E23" w14:textId="77777777" w:rsidR="00E8320F" w:rsidRPr="003F1AF9" w:rsidRDefault="00E8320F" w:rsidP="00EB247F">
      <w:pPr>
        <w:pStyle w:val="Caption"/>
      </w:pPr>
    </w:p>
    <w:p w14:paraId="519B4699" w14:textId="161B697A" w:rsidR="000508F0" w:rsidRPr="003F1AF9" w:rsidRDefault="00BD3252" w:rsidP="000508F0">
      <w:pPr>
        <w:rPr>
          <w:sz w:val="20"/>
          <w:lang w:eastAsia="zh-CN"/>
        </w:rPr>
      </w:pPr>
      <w:r w:rsidRPr="003F1AF9">
        <w:rPr>
          <w:lang w:eastAsia="zh-CN"/>
        </w:rPr>
        <w:fldChar w:fldCharType="begin"/>
      </w:r>
      <w:r w:rsidRPr="003F1AF9">
        <w:rPr>
          <w:lang w:eastAsia="zh-CN"/>
        </w:rPr>
        <w:instrText xml:space="preserve"> REF _Ref536182972 \h </w:instrText>
      </w:r>
      <w:r w:rsidRPr="003F1AF9">
        <w:rPr>
          <w:lang w:eastAsia="zh-CN"/>
        </w:rPr>
      </w:r>
      <w:r w:rsidRPr="003F1AF9">
        <w:rPr>
          <w:lang w:eastAsia="zh-CN"/>
        </w:rPr>
        <w:fldChar w:fldCharType="separate"/>
      </w:r>
      <w:r w:rsidR="00E60668" w:rsidRPr="003F1AF9">
        <w:t xml:space="preserve">Figure </w:t>
      </w:r>
      <w:r w:rsidR="00E60668">
        <w:rPr>
          <w:noProof/>
        </w:rPr>
        <w:t>3</w:t>
      </w:r>
      <w:r w:rsidR="00E60668" w:rsidRPr="003F1AF9">
        <w:t>.</w:t>
      </w:r>
      <w:r w:rsidR="00E60668">
        <w:rPr>
          <w:noProof/>
        </w:rPr>
        <w:t>4</w:t>
      </w:r>
      <w:r w:rsidRPr="003F1AF9">
        <w:rPr>
          <w:lang w:eastAsia="zh-CN"/>
        </w:rPr>
        <w:fldChar w:fldCharType="end"/>
      </w:r>
      <w:r w:rsidRPr="003F1AF9">
        <w:rPr>
          <w:lang w:eastAsia="zh-CN"/>
        </w:rPr>
        <w:t xml:space="preserve"> </w:t>
      </w:r>
      <w:r w:rsidR="000508F0" w:rsidRPr="003F1AF9">
        <w:rPr>
          <w:lang w:eastAsia="zh-CN"/>
        </w:rPr>
        <w:t xml:space="preserve">presents the world operating cost reductions for the three Project Drawdown scenarios. </w:t>
      </w:r>
    </w:p>
    <w:p w14:paraId="3606FA54" w14:textId="3DA4503B" w:rsidR="00714016" w:rsidRPr="003F1AF9" w:rsidRDefault="00337EA8" w:rsidP="000A73E5">
      <w:pPr>
        <w:keepNext/>
        <w:jc w:val="center"/>
      </w:pPr>
      <w:bookmarkStart w:id="515" w:name="_Toc524993434"/>
      <w:r>
        <w:rPr>
          <w:noProof/>
        </w:rPr>
        <w:drawing>
          <wp:inline distT="0" distB="0" distL="0" distR="0" wp14:anchorId="2EB1C6B7" wp14:editId="493627DE">
            <wp:extent cx="4578350" cy="349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8350" cy="3493135"/>
                    </a:xfrm>
                    <a:prstGeom prst="rect">
                      <a:avLst/>
                    </a:prstGeom>
                    <a:noFill/>
                  </pic:spPr>
                </pic:pic>
              </a:graphicData>
            </a:graphic>
          </wp:inline>
        </w:drawing>
      </w:r>
    </w:p>
    <w:p w14:paraId="6039AB12" w14:textId="5EAFBDB9" w:rsidR="009E6074" w:rsidRPr="003F1AF9" w:rsidRDefault="00714016" w:rsidP="000A73E5">
      <w:pPr>
        <w:pStyle w:val="Caption"/>
        <w:jc w:val="center"/>
      </w:pPr>
      <w:bookmarkStart w:id="516" w:name="_Ref536182972"/>
      <w:bookmarkStart w:id="517" w:name="_Toc42289742"/>
      <w:r w:rsidRPr="003F1AF9">
        <w:t xml:space="preserve">Figure </w:t>
      </w:r>
      <w:r w:rsidR="00E014ED" w:rsidRPr="003F1AF9">
        <w:rPr>
          <w:noProof/>
        </w:rPr>
        <w:fldChar w:fldCharType="begin"/>
      </w:r>
      <w:r w:rsidR="00E014ED" w:rsidRPr="003F1AF9">
        <w:rPr>
          <w:noProof/>
        </w:rPr>
        <w:instrText xml:space="preserve"> STYLEREF 1 \s </w:instrText>
      </w:r>
      <w:r w:rsidR="00E014ED" w:rsidRPr="003F1AF9">
        <w:rPr>
          <w:noProof/>
        </w:rPr>
        <w:fldChar w:fldCharType="separate"/>
      </w:r>
      <w:r w:rsidR="00E60668">
        <w:rPr>
          <w:noProof/>
        </w:rPr>
        <w:t>3</w:t>
      </w:r>
      <w:r w:rsidR="00E014ED" w:rsidRPr="003F1AF9">
        <w:rPr>
          <w:noProof/>
        </w:rPr>
        <w:fldChar w:fldCharType="end"/>
      </w:r>
      <w:r w:rsidR="00AD5AF3" w:rsidRPr="003F1AF9">
        <w:t>.</w:t>
      </w:r>
      <w:r w:rsidR="00E014ED" w:rsidRPr="003F1AF9">
        <w:rPr>
          <w:noProof/>
        </w:rPr>
        <w:fldChar w:fldCharType="begin"/>
      </w:r>
      <w:r w:rsidR="00E014ED" w:rsidRPr="003F1AF9">
        <w:rPr>
          <w:noProof/>
        </w:rPr>
        <w:instrText xml:space="preserve"> SEQ Figure \* ARABIC \s 1 </w:instrText>
      </w:r>
      <w:r w:rsidR="00E014ED" w:rsidRPr="003F1AF9">
        <w:rPr>
          <w:noProof/>
        </w:rPr>
        <w:fldChar w:fldCharType="separate"/>
      </w:r>
      <w:r w:rsidR="00E60668">
        <w:rPr>
          <w:noProof/>
        </w:rPr>
        <w:t>4</w:t>
      </w:r>
      <w:r w:rsidR="00E014ED" w:rsidRPr="003F1AF9">
        <w:rPr>
          <w:noProof/>
        </w:rPr>
        <w:fldChar w:fldCharType="end"/>
      </w:r>
      <w:bookmarkEnd w:id="516"/>
      <w:r w:rsidRPr="003F1AF9">
        <w:t xml:space="preserve"> </w:t>
      </w:r>
      <w:r w:rsidR="00447380">
        <w:t xml:space="preserve">World </w:t>
      </w:r>
      <w:r w:rsidRPr="003F1AF9">
        <w:t>Net Operating Cost Reductions Over Time</w:t>
      </w:r>
      <w:bookmarkEnd w:id="517"/>
    </w:p>
    <w:p w14:paraId="373BC169" w14:textId="6E50F0AF" w:rsidR="006B675D" w:rsidRPr="003F1AF9" w:rsidRDefault="006B675D">
      <w:pPr>
        <w:pStyle w:val="Heading2"/>
      </w:pPr>
      <w:bookmarkStart w:id="518" w:name="_Toc536182128"/>
      <w:bookmarkStart w:id="519" w:name="_Toc536184429"/>
      <w:bookmarkStart w:id="520" w:name="_Toc536442478"/>
      <w:bookmarkStart w:id="521" w:name="_Toc536607097"/>
      <w:bookmarkStart w:id="522" w:name="_Toc536607193"/>
      <w:bookmarkStart w:id="523" w:name="_Toc2597646"/>
      <w:bookmarkStart w:id="524" w:name="_Toc2701362"/>
      <w:bookmarkStart w:id="525" w:name="_Toc5112433"/>
      <w:bookmarkStart w:id="526" w:name="_Toc524993435"/>
      <w:bookmarkStart w:id="527" w:name="_Toc42289732"/>
      <w:bookmarkEnd w:id="515"/>
      <w:bookmarkEnd w:id="518"/>
      <w:bookmarkEnd w:id="519"/>
      <w:bookmarkEnd w:id="520"/>
      <w:bookmarkEnd w:id="521"/>
      <w:bookmarkEnd w:id="522"/>
      <w:bookmarkEnd w:id="523"/>
      <w:bookmarkEnd w:id="524"/>
      <w:bookmarkEnd w:id="525"/>
      <w:r w:rsidRPr="003F1AF9">
        <w:lastRenderedPageBreak/>
        <w:t>Other Impacts</w:t>
      </w:r>
      <w:bookmarkEnd w:id="527"/>
    </w:p>
    <w:p w14:paraId="56115EE4" w14:textId="07B410F0" w:rsidR="00D10D21" w:rsidRPr="003F1AF9" w:rsidRDefault="00D10D21" w:rsidP="00D10D21">
      <w:r w:rsidRPr="003F1AF9">
        <w:t>As discussed in the Literature Review, HEHPs for space heating can reduce CO</w:t>
      </w:r>
      <w:r w:rsidRPr="003F1AF9">
        <w:rPr>
          <w:vertAlign w:val="subscript"/>
        </w:rPr>
        <w:t>2</w:t>
      </w:r>
      <w:r w:rsidRPr="003F1AF9">
        <w:t xml:space="preserve"> emissions in two ways:</w:t>
      </w:r>
      <w:r w:rsidR="0078120E">
        <w:t xml:space="preserve"> </w:t>
      </w:r>
    </w:p>
    <w:p w14:paraId="723E7089" w14:textId="1F83117A" w:rsidR="00D10D21" w:rsidRPr="003F1AF9" w:rsidRDefault="00D10D21" w:rsidP="00F436B3">
      <w:pPr>
        <w:pStyle w:val="ListParagraph"/>
        <w:numPr>
          <w:ilvl w:val="0"/>
          <w:numId w:val="31"/>
        </w:numPr>
      </w:pPr>
      <w:r w:rsidRPr="003F1AF9">
        <w:t>Increasing space heating energy efficiency, thus reducing building fossil fuel and electricity use.</w:t>
      </w:r>
      <w:r w:rsidR="0078120E">
        <w:t xml:space="preserve"> </w:t>
      </w:r>
    </w:p>
    <w:p w14:paraId="1ECB96D8" w14:textId="42CFE17E" w:rsidR="00D10D21" w:rsidRPr="003F1AF9" w:rsidRDefault="00D10D21" w:rsidP="00F436B3">
      <w:pPr>
        <w:pStyle w:val="ListParagraph"/>
        <w:numPr>
          <w:ilvl w:val="0"/>
          <w:numId w:val="31"/>
        </w:numPr>
      </w:pPr>
      <w:r w:rsidRPr="003F1AF9">
        <w:t>Replacing onsite fuel use with renewably generated electricity.</w:t>
      </w:r>
      <w:r w:rsidR="0078120E">
        <w:t xml:space="preserve"> </w:t>
      </w:r>
    </w:p>
    <w:p w14:paraId="2B9B2778" w14:textId="77F5F0E4" w:rsidR="00D10D21" w:rsidRPr="003F1AF9" w:rsidRDefault="00D10D21" w:rsidP="006B675D">
      <w:r w:rsidRPr="003F1AF9">
        <w:t>Results presented</w:t>
      </w:r>
      <w:r w:rsidR="00D37ACE" w:rsidRPr="003F1AF9">
        <w:t xml:space="preserve"> in this report, including a reduction in </w:t>
      </w:r>
      <w:r w:rsidR="005B3C89" w:rsidRPr="003F1AF9">
        <w:t>CO</w:t>
      </w:r>
      <w:r w:rsidR="005B3C89" w:rsidRPr="003F1AF9">
        <w:rPr>
          <w:vertAlign w:val="subscript"/>
        </w:rPr>
        <w:t>2</w:t>
      </w:r>
      <w:r w:rsidR="00D37ACE" w:rsidRPr="003F1AF9">
        <w:t xml:space="preserve"> emissions of up to </w:t>
      </w:r>
      <w:r w:rsidR="00337EA8">
        <w:t>12</w:t>
      </w:r>
      <w:r w:rsidR="00D37ACE" w:rsidRPr="003F1AF9">
        <w:t xml:space="preserve"> Gt </w:t>
      </w:r>
      <w:r w:rsidR="005B3C89" w:rsidRPr="003F1AF9">
        <w:t>CO</w:t>
      </w:r>
      <w:r w:rsidR="005B3C89" w:rsidRPr="003F1AF9">
        <w:rPr>
          <w:vertAlign w:val="subscript"/>
        </w:rPr>
        <w:t>2</w:t>
      </w:r>
      <w:r w:rsidR="00D37ACE" w:rsidRPr="003F1AF9">
        <w:t xml:space="preserve"> between 2020 and 2050 in the Optimum Scenario, are based on in-building benefits – increased space heating energy efficiency.</w:t>
      </w:r>
      <w:r w:rsidR="0078120E">
        <w:t xml:space="preserve"> </w:t>
      </w:r>
    </w:p>
    <w:p w14:paraId="163DF3D6" w14:textId="05CE1F3E" w:rsidR="00AD723C" w:rsidRPr="003F1AF9" w:rsidRDefault="00D37ACE" w:rsidP="006B675D">
      <w:r w:rsidRPr="003F1AF9">
        <w:t xml:space="preserve">But what is the magnitude of the impact of using heat pumps for building space heating </w:t>
      </w:r>
      <w:r w:rsidRPr="003F1AF9">
        <w:rPr>
          <w:i/>
        </w:rPr>
        <w:t>and</w:t>
      </w:r>
      <w:r w:rsidRPr="003F1AF9">
        <w:t xml:space="preserve"> shifting the electric grid to use renewably</w:t>
      </w:r>
      <w:r w:rsidR="00F668A9">
        <w:t xml:space="preserve"> </w:t>
      </w:r>
      <w:r w:rsidRPr="003F1AF9">
        <w:t>generated electricity?</w:t>
      </w:r>
      <w:r w:rsidR="0078120E">
        <w:t xml:space="preserve"> </w:t>
      </w:r>
      <w:r w:rsidR="00AD723C" w:rsidRPr="003F1AF9">
        <w:t>Drawdown estimates these impacts by calculating the net reduction in emissions due to all solutions and forecast grid technologies.</w:t>
      </w:r>
      <w:r w:rsidR="0078120E">
        <w:t xml:space="preserve"> </w:t>
      </w:r>
      <w:r w:rsidR="00AD723C" w:rsidRPr="003F1AF9">
        <w:t>The result is additional 2020-2050 emissions reductions of approximately 1 to 3 Gt CO</w:t>
      </w:r>
      <w:r w:rsidR="00AD723C" w:rsidRPr="003F1AF9">
        <w:rPr>
          <w:vertAlign w:val="subscript"/>
        </w:rPr>
        <w:t>2</w:t>
      </w:r>
      <w:r w:rsidR="00E9792F" w:rsidRPr="003F1AF9">
        <w:t>-</w:t>
      </w:r>
      <w:r w:rsidR="00AD723C" w:rsidRPr="003F1AF9">
        <w:t>e</w:t>
      </w:r>
      <w:r w:rsidR="00750FA7" w:rsidRPr="003F1AF9">
        <w:t>quivalent</w:t>
      </w:r>
      <w:r w:rsidR="00E9792F" w:rsidRPr="003F1AF9">
        <w:t>, depending on scenario</w:t>
      </w:r>
      <w:r w:rsidR="00AD723C" w:rsidRPr="003F1AF9">
        <w:t>.</w:t>
      </w:r>
      <w:r w:rsidR="0078120E">
        <w:t xml:space="preserve"> </w:t>
      </w:r>
    </w:p>
    <w:p w14:paraId="7A5C0514" w14:textId="77777777" w:rsidR="006B675D" w:rsidRPr="003F1AF9" w:rsidRDefault="006B675D" w:rsidP="006B675D"/>
    <w:bookmarkEnd w:id="526"/>
    <w:p w14:paraId="130F1EC7" w14:textId="77777777" w:rsidR="00D10D21" w:rsidRPr="003F1AF9" w:rsidRDefault="00D10D21">
      <w:pPr>
        <w:spacing w:after="160" w:line="259" w:lineRule="auto"/>
        <w:jc w:val="left"/>
        <w:rPr>
          <w:rFonts w:asciiTheme="majorHAnsi" w:eastAsiaTheme="majorEastAsia" w:hAnsiTheme="majorHAnsi" w:cs="Times New Roman (Headings CS)"/>
          <w:b/>
          <w:bCs/>
          <w:smallCaps/>
          <w:color w:val="4F81BD" w:themeColor="accent1"/>
          <w:sz w:val="36"/>
          <w:szCs w:val="36"/>
        </w:rPr>
      </w:pPr>
      <w:r w:rsidRPr="003F1AF9">
        <w:br w:type="page"/>
      </w:r>
    </w:p>
    <w:p w14:paraId="638C27B6" w14:textId="40BFA44E" w:rsidR="00F52595" w:rsidRPr="003F1AF9" w:rsidRDefault="551A77D0" w:rsidP="00F436B3">
      <w:pPr>
        <w:pStyle w:val="Heading1"/>
      </w:pPr>
      <w:bookmarkStart w:id="528" w:name="_Toc42289733"/>
      <w:r w:rsidRPr="003F1AF9">
        <w:lastRenderedPageBreak/>
        <w:t>Discussion</w:t>
      </w:r>
      <w:bookmarkEnd w:id="528"/>
    </w:p>
    <w:p w14:paraId="562BC8CC" w14:textId="59CA5B06" w:rsidR="00977BCB" w:rsidRPr="003F1AF9" w:rsidRDefault="00977BCB" w:rsidP="00977BCB">
      <w:r w:rsidRPr="003F1AF9">
        <w:t>High-efficiency heat pumps</w:t>
      </w:r>
      <w:r w:rsidR="005B3C89" w:rsidRPr="003F1AF9">
        <w:t xml:space="preserve"> (HEHPs) </w:t>
      </w:r>
      <w:r w:rsidRPr="003F1AF9">
        <w:t xml:space="preserve">offer </w:t>
      </w:r>
      <w:r w:rsidR="005B3C89" w:rsidRPr="003F1AF9">
        <w:t>a low-risk, technically-proven path</w:t>
      </w:r>
      <w:r w:rsidRPr="003F1AF9">
        <w:t xml:space="preserve"> for reducing GHG emissions in one of the world’s </w:t>
      </w:r>
      <w:r w:rsidR="005B3C89" w:rsidRPr="003F1AF9">
        <w:t>largest and most carbon-intensive</w:t>
      </w:r>
      <w:r w:rsidRPr="003F1AF9">
        <w:t xml:space="preserve"> </w:t>
      </w:r>
      <w:r w:rsidR="005B3C89" w:rsidRPr="003F1AF9">
        <w:t xml:space="preserve">energy </w:t>
      </w:r>
      <w:r w:rsidRPr="003F1AF9">
        <w:t>sectors – building space heating.</w:t>
      </w:r>
      <w:r w:rsidR="0078120E">
        <w:t xml:space="preserve"> </w:t>
      </w:r>
      <w:r w:rsidRPr="003F1AF9">
        <w:t xml:space="preserve">Along with electric vehicles, </w:t>
      </w:r>
      <w:r w:rsidR="005B3C89" w:rsidRPr="003F1AF9">
        <w:t xml:space="preserve">and </w:t>
      </w:r>
      <w:r w:rsidRPr="003F1AF9">
        <w:t xml:space="preserve">electrification of </w:t>
      </w:r>
      <w:r w:rsidR="005B3C89" w:rsidRPr="003F1AF9">
        <w:t>other energy end uses</w:t>
      </w:r>
      <w:r w:rsidRPr="003F1AF9">
        <w:t xml:space="preserve">, HEHPs represent a major part of the </w:t>
      </w:r>
      <w:r w:rsidR="005B3C89" w:rsidRPr="003F1AF9">
        <w:t>CO</w:t>
      </w:r>
      <w:r w:rsidR="005B3C89" w:rsidRPr="003F1AF9">
        <w:rPr>
          <w:vertAlign w:val="subscript"/>
        </w:rPr>
        <w:t>2</w:t>
      </w:r>
      <w:r w:rsidR="005B3C89" w:rsidRPr="003F1AF9">
        <w:t xml:space="preserve"> Drawdown solution</w:t>
      </w:r>
      <w:r w:rsidRPr="003F1AF9">
        <w:t>:</w:t>
      </w:r>
      <w:r w:rsidR="0078120E">
        <w:t xml:space="preserve"> </w:t>
      </w:r>
      <w:r w:rsidR="00447380">
        <w:t>a</w:t>
      </w:r>
      <w:r w:rsidRPr="003F1AF9">
        <w:t>ccomplish the function electrically</w:t>
      </w:r>
      <w:r w:rsidR="00447380">
        <w:t>, p</w:t>
      </w:r>
      <w:r w:rsidRPr="003F1AF9">
        <w:t>rovide the electricity renewably.</w:t>
      </w:r>
      <w:r w:rsidR="0078120E">
        <w:t xml:space="preserve"> </w:t>
      </w:r>
    </w:p>
    <w:p w14:paraId="79AC36CE" w14:textId="2B2B546D" w:rsidR="00407529" w:rsidRPr="003F1AF9" w:rsidRDefault="00407529" w:rsidP="00407529">
      <w:r w:rsidRPr="003F1AF9">
        <w:t xml:space="preserve">High-efficiency heat pumps, if widely adopted, </w:t>
      </w:r>
      <w:r w:rsidR="005B3C89" w:rsidRPr="003F1AF9">
        <w:t>could</w:t>
      </w:r>
      <w:r w:rsidRPr="003F1AF9">
        <w:t xml:space="preserve"> provide </w:t>
      </w:r>
      <w:r w:rsidR="00C857CD" w:rsidRPr="003F1AF9">
        <w:t xml:space="preserve">48% </w:t>
      </w:r>
      <w:r w:rsidRPr="003F1AF9">
        <w:t>of building space heating delivered energy by</w:t>
      </w:r>
      <w:r w:rsidR="00C857CD" w:rsidRPr="003F1AF9">
        <w:t xml:space="preserve"> 2050 and 60% by</w:t>
      </w:r>
      <w:r w:rsidRPr="003F1AF9">
        <w:t xml:space="preserve"> 2060.</w:t>
      </w:r>
      <w:r w:rsidR="0078120E">
        <w:t xml:space="preserve"> </w:t>
      </w:r>
      <w:r w:rsidRPr="003F1AF9">
        <w:t xml:space="preserve">The result </w:t>
      </w:r>
      <w:r w:rsidR="00337EA8">
        <w:t>of the</w:t>
      </w:r>
      <w:r w:rsidR="005B3C89" w:rsidRPr="003F1AF9">
        <w:t xml:space="preserve"> </w:t>
      </w:r>
      <w:r w:rsidR="00851031" w:rsidRPr="003F1AF9">
        <w:t xml:space="preserve">Project </w:t>
      </w:r>
      <w:r w:rsidRPr="003F1AF9">
        <w:t xml:space="preserve">Drawdown </w:t>
      </w:r>
      <w:r w:rsidR="00337EA8">
        <w:t>‘</w:t>
      </w:r>
      <w:r w:rsidR="00447380">
        <w:t>D</w:t>
      </w:r>
      <w:r w:rsidR="00337EA8">
        <w:t>rawdown’</w:t>
      </w:r>
      <w:r w:rsidRPr="003F1AF9">
        <w:t xml:space="preserve"> Scenario</w:t>
      </w:r>
      <w:r w:rsidR="00F668A9">
        <w:t>,</w:t>
      </w:r>
      <w:r w:rsidR="00337EA8">
        <w:t xml:space="preserve"> with 39.8% </w:t>
      </w:r>
      <w:r w:rsidR="00F668A9">
        <w:t>HEH</w:t>
      </w:r>
      <w:r w:rsidR="00F668A9">
        <w:t xml:space="preserve">P </w:t>
      </w:r>
      <w:r w:rsidR="00337EA8">
        <w:t>adoption in 2050</w:t>
      </w:r>
      <w:r w:rsidRPr="003F1AF9">
        <w:t xml:space="preserve">, would be a reduction of </w:t>
      </w:r>
      <w:r w:rsidR="00337EA8">
        <w:t>9.39</w:t>
      </w:r>
      <w:r w:rsidRPr="003F1AF9">
        <w:t xml:space="preserve"> Gt </w:t>
      </w:r>
      <w:r w:rsidR="00851031" w:rsidRPr="003F1AF9">
        <w:t>of</w:t>
      </w:r>
      <w:r w:rsidRPr="003F1AF9">
        <w:t xml:space="preserve"> 2020-2050 </w:t>
      </w:r>
      <w:r w:rsidR="005B3C89" w:rsidRPr="003F1AF9">
        <w:t>CO</w:t>
      </w:r>
      <w:r w:rsidR="005B3C89" w:rsidRPr="003F1AF9">
        <w:rPr>
          <w:vertAlign w:val="subscript"/>
        </w:rPr>
        <w:t>2</w:t>
      </w:r>
      <w:r w:rsidR="005B3C89" w:rsidRPr="003F1AF9">
        <w:t xml:space="preserve"> emissions c</w:t>
      </w:r>
      <w:r w:rsidRPr="003F1AF9">
        <w:t xml:space="preserve">ompared </w:t>
      </w:r>
      <w:r w:rsidR="001B7A1F" w:rsidRPr="003F1AF9">
        <w:t>with</w:t>
      </w:r>
      <w:r w:rsidRPr="003F1AF9">
        <w:t xml:space="preserve"> </w:t>
      </w:r>
      <w:r w:rsidR="00ED34E3" w:rsidRPr="003F1AF9">
        <w:t xml:space="preserve">the </w:t>
      </w:r>
      <w:r w:rsidRPr="003F1AF9">
        <w:t>Reference Scenario.</w:t>
      </w:r>
      <w:r w:rsidR="0078120E">
        <w:t xml:space="preserve"> </w:t>
      </w:r>
      <w:r w:rsidRPr="003F1AF9">
        <w:t>This would reduce atmospheric GHG concentration by 0.</w:t>
      </w:r>
      <w:r w:rsidR="00337EA8">
        <w:t>77</w:t>
      </w:r>
      <w:r w:rsidRPr="003F1AF9">
        <w:t xml:space="preserve"> PPM </w:t>
      </w:r>
      <w:r w:rsidR="00851031" w:rsidRPr="003F1AF9">
        <w:t>CO</w:t>
      </w:r>
      <w:r w:rsidR="00851031" w:rsidRPr="003F1AF9">
        <w:rPr>
          <w:vertAlign w:val="subscript"/>
        </w:rPr>
        <w:t>2</w:t>
      </w:r>
      <w:r w:rsidRPr="003F1AF9">
        <w:t>-equivalent in 2050.</w:t>
      </w:r>
      <w:r w:rsidR="0078120E">
        <w:t xml:space="preserve"> </w:t>
      </w:r>
      <w:r w:rsidRPr="003F1AF9">
        <w:t>Lifetime operating cost savings would total $</w:t>
      </w:r>
      <w:r w:rsidR="00C857CD" w:rsidRPr="003F1AF9">
        <w:t>2.</w:t>
      </w:r>
      <w:r w:rsidR="00337EA8">
        <w:t>49</w:t>
      </w:r>
      <w:r w:rsidRPr="003F1AF9">
        <w:t>T from 2020 to 2050, with a lifetime cash flow savings NPV of $</w:t>
      </w:r>
      <w:r w:rsidR="00C857CD" w:rsidRPr="003F1AF9">
        <w:t>0.5</w:t>
      </w:r>
      <w:r w:rsidR="00337EA8">
        <w:t>8</w:t>
      </w:r>
      <w:r w:rsidRPr="003F1AF9">
        <w:t>T.</w:t>
      </w:r>
      <w:r w:rsidR="0078120E">
        <w:t xml:space="preserve"> </w:t>
      </w:r>
      <w:r w:rsidRPr="003F1AF9">
        <w:t xml:space="preserve">Applying HEHPs to building space cooling </w:t>
      </w:r>
      <w:r w:rsidR="00337EA8">
        <w:t>c</w:t>
      </w:r>
      <w:r w:rsidRPr="003F1AF9">
        <w:t xml:space="preserve">ould </w:t>
      </w:r>
      <w:r w:rsidR="006D6FD6" w:rsidRPr="003F1AF9">
        <w:t>deliver</w:t>
      </w:r>
      <w:r w:rsidRPr="003F1AF9">
        <w:t xml:space="preserve"> similar scale benefits.</w:t>
      </w:r>
      <w:r w:rsidR="0078120E">
        <w:t xml:space="preserve"> </w:t>
      </w:r>
    </w:p>
    <w:p w14:paraId="599A86BB" w14:textId="1F131B63" w:rsidR="00B42816" w:rsidRPr="003F1AF9" w:rsidRDefault="00641C88" w:rsidP="00407529">
      <w:r w:rsidRPr="003F1AF9">
        <w:t>High-efficiency heat pumps can have widespread and cost-effective application:</w:t>
      </w:r>
      <w:r w:rsidR="0078120E">
        <w:t xml:space="preserve"> </w:t>
      </w:r>
      <w:r w:rsidRPr="003F1AF9">
        <w:t>A</w:t>
      </w:r>
      <w:r w:rsidR="006D6FD6" w:rsidRPr="003F1AF9">
        <w:t>ir-source heat pumps can be installed virtually anywhere</w:t>
      </w:r>
      <w:r w:rsidRPr="003F1AF9">
        <w:t xml:space="preserve"> in new construction and usually can be retrofitted into existing buildings</w:t>
      </w:r>
      <w:r w:rsidR="006D6FD6" w:rsidRPr="003F1AF9">
        <w:t>.</w:t>
      </w:r>
      <w:r w:rsidR="0078120E">
        <w:t xml:space="preserve"> </w:t>
      </w:r>
      <w:r w:rsidRPr="003F1AF9">
        <w:t xml:space="preserve">Heat pumps that meet </w:t>
      </w:r>
      <w:r w:rsidR="00ED34E3" w:rsidRPr="003F1AF9">
        <w:t xml:space="preserve">the </w:t>
      </w:r>
      <w:r w:rsidRPr="003F1AF9">
        <w:t>definition of high efficiency – seasonal coefficient of performance (SCOP) of 3.5 or greater – are commercially available today.</w:t>
      </w:r>
      <w:r w:rsidR="0078120E">
        <w:t xml:space="preserve"> </w:t>
      </w:r>
      <w:r w:rsidRPr="003F1AF9">
        <w:t>And 2060 installed heat pump efficiencies are expected to average up to 4.0 to 4.5</w:t>
      </w:r>
      <w:r w:rsidR="0078120E">
        <w:t xml:space="preserve"> </w:t>
      </w:r>
      <w:r w:rsidR="00102BA9" w:rsidRPr="003F1AF9">
        <w:t xml:space="preserve">or greater </w:t>
      </w:r>
      <w:r w:rsidRPr="003F1AF9">
        <w:t>SCOP</w:t>
      </w:r>
      <w:r w:rsidR="00B42816" w:rsidRPr="003F1AF9">
        <w:t>.</w:t>
      </w:r>
      <w:r w:rsidR="0078120E">
        <w:t xml:space="preserve"> </w:t>
      </w:r>
    </w:p>
    <w:p w14:paraId="0272B731" w14:textId="60CB2E17" w:rsidR="006D6FD6" w:rsidRPr="003F1AF9" w:rsidRDefault="006D6FD6" w:rsidP="00407529">
      <w:r w:rsidRPr="003F1AF9">
        <w:t>Yet, in 2014 heat pumps provided only about 3% of space heating delivered energy worldwide.</w:t>
      </w:r>
      <w:r w:rsidR="0078120E">
        <w:t xml:space="preserve"> </w:t>
      </w:r>
      <w:r w:rsidRPr="003F1AF9">
        <w:t>And high-efficiency heat pumps provided less than 1%.</w:t>
      </w:r>
      <w:r w:rsidR="0078120E">
        <w:t xml:space="preserve"> </w:t>
      </w:r>
    </w:p>
    <w:p w14:paraId="748BCA53" w14:textId="7B5A24E4" w:rsidR="00851031" w:rsidRPr="003F1AF9" w:rsidRDefault="00851031" w:rsidP="00407529">
      <w:r w:rsidRPr="003F1AF9">
        <w:t xml:space="preserve">What </w:t>
      </w:r>
      <w:r w:rsidR="00641C88" w:rsidRPr="003F1AF9">
        <w:t>are the barriers</w:t>
      </w:r>
      <w:r w:rsidR="00B42816" w:rsidRPr="003F1AF9">
        <w:t xml:space="preserve"> </w:t>
      </w:r>
      <w:r w:rsidR="00641C88" w:rsidRPr="003F1AF9">
        <w:t xml:space="preserve">and what </w:t>
      </w:r>
      <w:r w:rsidRPr="003F1AF9">
        <w:t>needs to be done?</w:t>
      </w:r>
    </w:p>
    <w:p w14:paraId="22AAD0FD" w14:textId="32DE0F20" w:rsidR="00B42816" w:rsidRPr="003F1AF9" w:rsidRDefault="00B42816" w:rsidP="00B42816">
      <w:r w:rsidRPr="003F1AF9">
        <w:t xml:space="preserve">Some of the key barriers </w:t>
      </w:r>
      <w:r w:rsidR="00AB0F3B" w:rsidRPr="003F1AF9">
        <w:t xml:space="preserve">and challenges </w:t>
      </w:r>
      <w:r w:rsidRPr="003F1AF9">
        <w:t xml:space="preserve">to future adoption </w:t>
      </w:r>
      <w:r w:rsidR="00AB4943">
        <w:t xml:space="preserve">and full emissions impact </w:t>
      </w:r>
      <w:r w:rsidRPr="003F1AF9">
        <w:t>of HEHPs for space heating include:</w:t>
      </w:r>
      <w:r w:rsidR="0078120E">
        <w:t xml:space="preserve"> </w:t>
      </w:r>
    </w:p>
    <w:p w14:paraId="0E2051CE" w14:textId="3852B6CF" w:rsidR="00B42816" w:rsidRPr="003F1AF9" w:rsidRDefault="00AB0F3B" w:rsidP="00F436B3">
      <w:pPr>
        <w:pStyle w:val="ListParagraph"/>
        <w:numPr>
          <w:ilvl w:val="0"/>
          <w:numId w:val="16"/>
        </w:numPr>
      </w:pPr>
      <w:r w:rsidRPr="003F1AF9">
        <w:t>Competi</w:t>
      </w:r>
      <w:r w:rsidR="00F668A9">
        <w:t>tion</w:t>
      </w:r>
      <w:r w:rsidRPr="003F1AF9">
        <w:t xml:space="preserve"> against low-cost</w:t>
      </w:r>
      <w:r w:rsidR="00F61989" w:rsidRPr="003F1AF9">
        <w:t xml:space="preserve"> CO</w:t>
      </w:r>
      <w:r w:rsidR="00F61989" w:rsidRPr="003F1AF9">
        <w:rPr>
          <w:vertAlign w:val="subscript"/>
        </w:rPr>
        <w:t>2</w:t>
      </w:r>
      <w:r w:rsidR="00F61989" w:rsidRPr="003F1AF9">
        <w:t>-emitting</w:t>
      </w:r>
      <w:r w:rsidRPr="003F1AF9">
        <w:t xml:space="preserve"> </w:t>
      </w:r>
      <w:r w:rsidR="00B42816" w:rsidRPr="003F1AF9">
        <w:t xml:space="preserve">fossil </w:t>
      </w:r>
      <w:r w:rsidRPr="003F1AF9">
        <w:t>fuels</w:t>
      </w:r>
      <w:r w:rsidR="00F668A9">
        <w:t>.</w:t>
      </w:r>
    </w:p>
    <w:p w14:paraId="08EF01CA" w14:textId="7CD1FEA3" w:rsidR="00B42816" w:rsidRPr="003F1AF9" w:rsidRDefault="00AB0F3B" w:rsidP="00F436B3">
      <w:pPr>
        <w:pStyle w:val="ListParagraph"/>
        <w:numPr>
          <w:ilvl w:val="0"/>
          <w:numId w:val="16"/>
        </w:numPr>
      </w:pPr>
      <w:r w:rsidRPr="003F1AF9">
        <w:t>Relatively high</w:t>
      </w:r>
      <w:r w:rsidR="00B42816" w:rsidRPr="003F1AF9">
        <w:t xml:space="preserve"> HEHP </w:t>
      </w:r>
      <w:r w:rsidRPr="003F1AF9">
        <w:t>first cost compared with other space heating equipment</w:t>
      </w:r>
      <w:r w:rsidR="00F668A9">
        <w:t>.</w:t>
      </w:r>
    </w:p>
    <w:p w14:paraId="54244D77" w14:textId="1F22A58F" w:rsidR="00B42816" w:rsidRPr="003F1AF9" w:rsidRDefault="00AB0F3B" w:rsidP="00F436B3">
      <w:pPr>
        <w:pStyle w:val="ListParagraph"/>
        <w:numPr>
          <w:ilvl w:val="0"/>
          <w:numId w:val="16"/>
        </w:numPr>
      </w:pPr>
      <w:r w:rsidRPr="003F1AF9">
        <w:t>Reduced</w:t>
      </w:r>
      <w:r w:rsidR="00B42816" w:rsidRPr="003F1AF9">
        <w:t xml:space="preserve"> </w:t>
      </w:r>
      <w:r w:rsidRPr="003F1AF9">
        <w:t>efficiency and capacity in very cold weather</w:t>
      </w:r>
      <w:r w:rsidR="00F668A9">
        <w:t>.</w:t>
      </w:r>
    </w:p>
    <w:p w14:paraId="00E7B231" w14:textId="583BFB8A" w:rsidR="00B42816" w:rsidRPr="003F1AF9" w:rsidRDefault="00A67E2F" w:rsidP="00F436B3">
      <w:pPr>
        <w:pStyle w:val="ListParagraph"/>
        <w:numPr>
          <w:ilvl w:val="0"/>
          <w:numId w:val="7"/>
        </w:numPr>
      </w:pPr>
      <w:r w:rsidRPr="003F1AF9">
        <w:t>Obtaining sufficient renewably</w:t>
      </w:r>
      <w:r w:rsidR="00F668A9">
        <w:t xml:space="preserve"> </w:t>
      </w:r>
      <w:r w:rsidRPr="003F1AF9">
        <w:t>generated electricity</w:t>
      </w:r>
      <w:r w:rsidR="00F668A9">
        <w:t>.</w:t>
      </w:r>
    </w:p>
    <w:p w14:paraId="24FC9B40" w14:textId="6D9E32F5" w:rsidR="00A67E2F" w:rsidRPr="003F1AF9" w:rsidRDefault="00A67E2F" w:rsidP="00F436B3">
      <w:pPr>
        <w:pStyle w:val="ListParagraph"/>
        <w:numPr>
          <w:ilvl w:val="0"/>
          <w:numId w:val="7"/>
        </w:numPr>
      </w:pPr>
      <w:r w:rsidRPr="003F1AF9">
        <w:t>Addressing electrical grid changes due to large-scale adoption of HEHPs, such as increased overall demand and altered peak loads for many utilities</w:t>
      </w:r>
      <w:r w:rsidR="00F668A9">
        <w:t>.</w:t>
      </w:r>
    </w:p>
    <w:p w14:paraId="53ABB1FB" w14:textId="6915D331" w:rsidR="00B42816" w:rsidRPr="003F1AF9" w:rsidRDefault="00AB0F3B" w:rsidP="00F436B3">
      <w:pPr>
        <w:pStyle w:val="ListParagraph"/>
        <w:numPr>
          <w:ilvl w:val="0"/>
          <w:numId w:val="7"/>
        </w:numPr>
      </w:pPr>
      <w:r w:rsidRPr="003F1AF9">
        <w:t>Increased potential for refrigerant leakage contributions</w:t>
      </w:r>
      <w:r w:rsidR="00B42816" w:rsidRPr="003F1AF9">
        <w:t xml:space="preserve"> to GHG emissions </w:t>
      </w:r>
      <w:r w:rsidRPr="003F1AF9">
        <w:t xml:space="preserve">(though the world </w:t>
      </w:r>
      <w:r w:rsidR="00B42816" w:rsidRPr="003F1AF9">
        <w:t>is moving to low-GWP refrigerants,</w:t>
      </w:r>
      <w:r w:rsidRPr="003F1AF9">
        <w:t xml:space="preserve"> leakage</w:t>
      </w:r>
      <w:r w:rsidR="00B42816" w:rsidRPr="003F1AF9">
        <w:t xml:space="preserve"> </w:t>
      </w:r>
      <w:r w:rsidR="00DB494E" w:rsidRPr="003F1AF9">
        <w:t>could be</w:t>
      </w:r>
      <w:r w:rsidR="00B42816" w:rsidRPr="003F1AF9">
        <w:t xml:space="preserve"> a major concern </w:t>
      </w:r>
      <w:r w:rsidRPr="003F1AF9">
        <w:t>with such a vast scale up)</w:t>
      </w:r>
      <w:r w:rsidR="00F668A9">
        <w:t>.</w:t>
      </w:r>
    </w:p>
    <w:p w14:paraId="566FFC44" w14:textId="33F55CD2" w:rsidR="00F61989" w:rsidRPr="003F1AF9" w:rsidRDefault="00F61989" w:rsidP="00F61989">
      <w:r w:rsidRPr="003F1AF9">
        <w:t>Key success factors, proven in the past, and needed to accelerate future HEHP global adoption include:</w:t>
      </w:r>
      <w:r w:rsidR="0078120E">
        <w:t xml:space="preserve">  </w:t>
      </w:r>
    </w:p>
    <w:p w14:paraId="01370875" w14:textId="7B9C198A" w:rsidR="00F61989" w:rsidRPr="003F1AF9" w:rsidRDefault="00517845" w:rsidP="000A73E5">
      <w:pPr>
        <w:pStyle w:val="ListParagraph"/>
        <w:numPr>
          <w:ilvl w:val="0"/>
          <w:numId w:val="49"/>
        </w:numPr>
      </w:pPr>
      <w:r w:rsidRPr="003F1AF9">
        <w:lastRenderedPageBreak/>
        <w:t>G</w:t>
      </w:r>
      <w:r w:rsidR="00DB494E" w:rsidRPr="003F1AF9">
        <w:t>overnment policies</w:t>
      </w:r>
      <w:r w:rsidR="00F61989" w:rsidRPr="003F1AF9">
        <w:t xml:space="preserve"> at internatio</w:t>
      </w:r>
      <w:r w:rsidR="00DB494E" w:rsidRPr="003F1AF9">
        <w:t>nal, national, and local levels, incorporating</w:t>
      </w:r>
      <w:r w:rsidR="00F61989" w:rsidRPr="003F1AF9">
        <w:t xml:space="preserve">: </w:t>
      </w:r>
    </w:p>
    <w:p w14:paraId="7053CE79" w14:textId="77777777" w:rsidR="00F61989" w:rsidRPr="003F1AF9" w:rsidRDefault="00F61989" w:rsidP="000A73E5">
      <w:pPr>
        <w:pStyle w:val="ListParagraph"/>
        <w:numPr>
          <w:ilvl w:val="1"/>
          <w:numId w:val="48"/>
        </w:numPr>
      </w:pPr>
      <w:r w:rsidRPr="003F1AF9">
        <w:t>A clear vision of energy consumption / GHG emissions objectives and strategy</w:t>
      </w:r>
    </w:p>
    <w:p w14:paraId="321674BD" w14:textId="102DBCE5" w:rsidR="009A1817" w:rsidRPr="003F1AF9" w:rsidRDefault="00F61989" w:rsidP="000A73E5">
      <w:pPr>
        <w:pStyle w:val="ListParagraph"/>
        <w:numPr>
          <w:ilvl w:val="1"/>
          <w:numId w:val="48"/>
        </w:numPr>
      </w:pPr>
      <w:r w:rsidRPr="003F1AF9">
        <w:t>Increasingly</w:t>
      </w:r>
      <w:r w:rsidR="00F668A9">
        <w:t xml:space="preserve"> </w:t>
      </w:r>
      <w:r w:rsidRPr="003F1AF9">
        <w:t>high HP minimum performance and renewable content standards (MEPS)</w:t>
      </w:r>
    </w:p>
    <w:p w14:paraId="7E1E2B8B" w14:textId="2022E4A9" w:rsidR="009A1817" w:rsidRPr="003F1AF9" w:rsidRDefault="00F61989" w:rsidP="000A73E5">
      <w:pPr>
        <w:pStyle w:val="ListParagraph"/>
        <w:numPr>
          <w:ilvl w:val="1"/>
          <w:numId w:val="48"/>
        </w:numPr>
      </w:pPr>
      <w:r w:rsidRPr="003F1AF9">
        <w:t xml:space="preserve">Financial incentives for preferred HEHP system installations to help buyers consider, not only first cost, but also future operating cost (50% to 80+% of </w:t>
      </w:r>
      <w:r w:rsidR="00873883" w:rsidRPr="003F1AF9">
        <w:t>lifecycle</w:t>
      </w:r>
      <w:r w:rsidRPr="003F1AF9">
        <w:t xml:space="preserve"> HEHP cost)</w:t>
      </w:r>
    </w:p>
    <w:p w14:paraId="7F74E0DF" w14:textId="75AAE91B" w:rsidR="00F61989" w:rsidRPr="003F1AF9" w:rsidRDefault="00F61989" w:rsidP="000A73E5">
      <w:pPr>
        <w:pStyle w:val="ListParagraph"/>
        <w:numPr>
          <w:ilvl w:val="1"/>
          <w:numId w:val="48"/>
        </w:numPr>
      </w:pPr>
      <w:r w:rsidRPr="003F1AF9">
        <w:t>Accurate</w:t>
      </w:r>
      <w:r w:rsidR="009A1817" w:rsidRPr="003F1AF9">
        <w:t xml:space="preserve"> comparative </w:t>
      </w:r>
      <w:r w:rsidRPr="003F1AF9">
        <w:t>labeling supported by</w:t>
      </w:r>
      <w:r w:rsidR="00873883" w:rsidRPr="003F1AF9">
        <w:t xml:space="preserve"> relevant </w:t>
      </w:r>
      <w:r w:rsidR="009A1817" w:rsidRPr="003F1AF9">
        <w:t xml:space="preserve">seasonal </w:t>
      </w:r>
      <w:r w:rsidR="00873883" w:rsidRPr="003F1AF9">
        <w:t xml:space="preserve">performance </w:t>
      </w:r>
      <w:r w:rsidR="009A1817" w:rsidRPr="003F1AF9">
        <w:t xml:space="preserve">and cost </w:t>
      </w:r>
      <w:r w:rsidR="00873883" w:rsidRPr="003F1AF9">
        <w:t>metrics</w:t>
      </w:r>
    </w:p>
    <w:p w14:paraId="66796D41" w14:textId="77777777" w:rsidR="009A1817" w:rsidRPr="003F1AF9" w:rsidRDefault="009A1817" w:rsidP="000A73E5">
      <w:pPr>
        <w:pStyle w:val="ListParagraph"/>
        <w:numPr>
          <w:ilvl w:val="0"/>
          <w:numId w:val="50"/>
        </w:numPr>
      </w:pPr>
      <w:r w:rsidRPr="003F1AF9">
        <w:t>Heat pump industry collaboration with other industries, academia, and government</w:t>
      </w:r>
    </w:p>
    <w:p w14:paraId="3DC1CD99" w14:textId="1C2FE35F" w:rsidR="009A1817" w:rsidRPr="003F1AF9" w:rsidRDefault="009A1817" w:rsidP="000A73E5">
      <w:pPr>
        <w:pStyle w:val="ListParagraph"/>
        <w:numPr>
          <w:ilvl w:val="0"/>
          <w:numId w:val="50"/>
        </w:numPr>
      </w:pPr>
      <w:r w:rsidRPr="003F1AF9">
        <w:t xml:space="preserve">Utility energy efficiency programs and incentives </w:t>
      </w:r>
    </w:p>
    <w:p w14:paraId="740CD27B" w14:textId="3CC561DB" w:rsidR="00F61989" w:rsidRPr="003F1AF9" w:rsidRDefault="00F61989" w:rsidP="000A73E5">
      <w:pPr>
        <w:pStyle w:val="ListParagraph"/>
        <w:numPr>
          <w:ilvl w:val="0"/>
          <w:numId w:val="50"/>
        </w:numPr>
      </w:pPr>
      <w:r w:rsidRPr="003F1AF9">
        <w:t>Ongoing heat pump technological improvement an</w:t>
      </w:r>
      <w:r w:rsidR="00873883" w:rsidRPr="003F1AF9">
        <w:t>d cost reduction, especially:</w:t>
      </w:r>
    </w:p>
    <w:p w14:paraId="2AF3AF72" w14:textId="60AEA554" w:rsidR="00F61989" w:rsidRPr="003F1AF9" w:rsidRDefault="00873883" w:rsidP="000A73E5">
      <w:pPr>
        <w:pStyle w:val="ListParagraph"/>
        <w:numPr>
          <w:ilvl w:val="0"/>
          <w:numId w:val="51"/>
        </w:numPr>
      </w:pPr>
      <w:r w:rsidRPr="003F1AF9">
        <w:t>Expanded</w:t>
      </w:r>
      <w:r w:rsidR="00F61989" w:rsidRPr="003F1AF9">
        <w:t xml:space="preserve"> </w:t>
      </w:r>
      <w:r w:rsidR="00DB494E" w:rsidRPr="003F1AF9">
        <w:t>employment</w:t>
      </w:r>
      <w:r w:rsidR="00F61989" w:rsidRPr="003F1AF9">
        <w:t xml:space="preserve"> of efficiency improvements </w:t>
      </w:r>
      <w:r w:rsidR="00DB494E" w:rsidRPr="003F1AF9">
        <w:t>that already exist</w:t>
      </w:r>
      <w:r w:rsidR="00F61989" w:rsidRPr="003F1AF9">
        <w:t xml:space="preserve"> in many commercial high-efficiency </w:t>
      </w:r>
      <w:r w:rsidRPr="003F1AF9">
        <w:t>units</w:t>
      </w:r>
    </w:p>
    <w:p w14:paraId="619E7E81" w14:textId="1F2E7499" w:rsidR="00F61989" w:rsidRPr="003F1AF9" w:rsidRDefault="00873883" w:rsidP="000A73E5">
      <w:pPr>
        <w:pStyle w:val="ListParagraph"/>
        <w:numPr>
          <w:ilvl w:val="0"/>
          <w:numId w:val="51"/>
        </w:numPr>
      </w:pPr>
      <w:r w:rsidRPr="003F1AF9">
        <w:t>Improved efficiency and capacity at very low outdoor temperatures.</w:t>
      </w:r>
      <w:r w:rsidR="0078120E">
        <w:t xml:space="preserve"> </w:t>
      </w:r>
    </w:p>
    <w:p w14:paraId="7FC3545C" w14:textId="77777777" w:rsidR="009A1817" w:rsidRPr="003F1AF9" w:rsidRDefault="009A1817" w:rsidP="000A73E5">
      <w:pPr>
        <w:pStyle w:val="ListParagraph"/>
        <w:numPr>
          <w:ilvl w:val="0"/>
          <w:numId w:val="54"/>
        </w:numPr>
      </w:pPr>
      <w:r w:rsidRPr="003F1AF9">
        <w:t>Integrated framework including:</w:t>
      </w:r>
    </w:p>
    <w:p w14:paraId="4E7494C3" w14:textId="102B5D43" w:rsidR="009A1817" w:rsidRPr="003F1AF9" w:rsidRDefault="00517845" w:rsidP="000A73E5">
      <w:pPr>
        <w:pStyle w:val="ListParagraph"/>
        <w:numPr>
          <w:ilvl w:val="0"/>
          <w:numId w:val="55"/>
        </w:numPr>
      </w:pPr>
      <w:r w:rsidRPr="003F1AF9">
        <w:t>Government policies as outlined above</w:t>
      </w:r>
    </w:p>
    <w:p w14:paraId="70EF445A" w14:textId="6356E5FD" w:rsidR="009A1817" w:rsidRPr="003F1AF9" w:rsidRDefault="00517845" w:rsidP="000A73E5">
      <w:pPr>
        <w:pStyle w:val="ListParagraph"/>
        <w:numPr>
          <w:ilvl w:val="0"/>
          <w:numId w:val="55"/>
        </w:numPr>
      </w:pPr>
      <w:r w:rsidRPr="003F1AF9">
        <w:t>Support for HP R&amp;D</w:t>
      </w:r>
    </w:p>
    <w:p w14:paraId="17C2047D" w14:textId="67765DE3" w:rsidR="00517845" w:rsidRPr="003F1AF9" w:rsidRDefault="00517845" w:rsidP="000A73E5">
      <w:pPr>
        <w:pStyle w:val="ListParagraph"/>
        <w:numPr>
          <w:ilvl w:val="0"/>
          <w:numId w:val="55"/>
        </w:numPr>
      </w:pPr>
      <w:r w:rsidRPr="003F1AF9">
        <w:t>Industry-</w:t>
      </w:r>
      <w:r w:rsidR="00D125AA" w:rsidRPr="003F1AF9">
        <w:t>government</w:t>
      </w:r>
      <w:r w:rsidRPr="003F1AF9">
        <w:t xml:space="preserve"> collaboration</w:t>
      </w:r>
    </w:p>
    <w:p w14:paraId="1890701A" w14:textId="7BBEEC5F" w:rsidR="00641C88" w:rsidRPr="003F1AF9" w:rsidRDefault="009A1817" w:rsidP="00407529">
      <w:pPr>
        <w:pStyle w:val="ListParagraph"/>
        <w:numPr>
          <w:ilvl w:val="0"/>
          <w:numId w:val="55"/>
        </w:numPr>
      </w:pPr>
      <w:r w:rsidRPr="003F1AF9">
        <w:t>Investment prioritization, especially to avoid fossil fuel-related stranded asset investment</w:t>
      </w:r>
    </w:p>
    <w:p w14:paraId="319DCBD8" w14:textId="5631C975" w:rsidR="006745FF" w:rsidRPr="003F1AF9" w:rsidRDefault="006745FF">
      <w:pPr>
        <w:pStyle w:val="Heading2"/>
      </w:pPr>
      <w:bookmarkStart w:id="529" w:name="_Toc42289734"/>
      <w:r w:rsidRPr="003F1AF9">
        <w:t>Limitations</w:t>
      </w:r>
      <w:bookmarkEnd w:id="529"/>
    </w:p>
    <w:p w14:paraId="05BB9D35" w14:textId="45B455E9" w:rsidR="004C5211" w:rsidRPr="003F1AF9" w:rsidRDefault="00731C06" w:rsidP="00A84D1B">
      <w:r w:rsidRPr="003F1AF9">
        <w:t>Electrically</w:t>
      </w:r>
      <w:r w:rsidR="00F668A9">
        <w:t xml:space="preserve"> </w:t>
      </w:r>
      <w:r w:rsidRPr="003F1AF9">
        <w:t>powered vapor compression heat pumps, as a modular space heating solution that is already ubiquitous, face few limitations.</w:t>
      </w:r>
      <w:r w:rsidR="0078120E">
        <w:t xml:space="preserve"> </w:t>
      </w:r>
      <w:r w:rsidRPr="003F1AF9">
        <w:t xml:space="preserve">Technically, the biggest limit on </w:t>
      </w:r>
      <w:r w:rsidR="00D13629" w:rsidRPr="003F1AF9">
        <w:t>the</w:t>
      </w:r>
      <w:r w:rsidRPr="003F1AF9">
        <w:t xml:space="preserve"> widespread adoption of high-efficiency heat pumps is low efficiency and low capacity (which translates to high cost) at very low ambient temperatures.</w:t>
      </w:r>
      <w:r w:rsidR="0078120E">
        <w:t xml:space="preserve"> </w:t>
      </w:r>
      <w:r w:rsidR="00D13629" w:rsidRPr="003F1AF9">
        <w:t xml:space="preserve">And this is </w:t>
      </w:r>
      <w:r w:rsidR="009942BB" w:rsidRPr="003F1AF9">
        <w:t xml:space="preserve">an </w:t>
      </w:r>
      <w:r w:rsidR="00D13629" w:rsidRPr="003F1AF9">
        <w:t xml:space="preserve">active </w:t>
      </w:r>
      <w:r w:rsidRPr="003F1AF9">
        <w:t>research</w:t>
      </w:r>
      <w:r w:rsidR="00D13629" w:rsidRPr="003F1AF9">
        <w:t xml:space="preserve"> topic</w:t>
      </w:r>
      <w:r w:rsidRPr="003F1AF9">
        <w:t xml:space="preserve"> as noted in the Literature Review.</w:t>
      </w:r>
      <w:r w:rsidR="0078120E">
        <w:t xml:space="preserve"> </w:t>
      </w:r>
    </w:p>
    <w:p w14:paraId="26A5D3B4" w14:textId="40DA672A" w:rsidR="004C5211" w:rsidRPr="003F1AF9" w:rsidRDefault="00731C06" w:rsidP="00A84D1B">
      <w:r w:rsidRPr="003F1AF9">
        <w:t>Financially</w:t>
      </w:r>
      <w:r w:rsidR="00F668A9">
        <w:t>,</w:t>
      </w:r>
      <w:r w:rsidRPr="003F1AF9">
        <w:t xml:space="preserve"> the main limitation on widespread HEHP adoption is cost.</w:t>
      </w:r>
      <w:r w:rsidR="0078120E">
        <w:t xml:space="preserve"> </w:t>
      </w:r>
      <w:r w:rsidRPr="003F1AF9">
        <w:t xml:space="preserve">Though high-efficiency heat pumps are </w:t>
      </w:r>
      <w:r w:rsidR="00D13629" w:rsidRPr="003F1AF9">
        <w:t xml:space="preserve">commercially </w:t>
      </w:r>
      <w:r w:rsidRPr="003F1AF9">
        <w:t xml:space="preserve">available, most </w:t>
      </w:r>
      <w:r w:rsidR="00D13629" w:rsidRPr="003F1AF9">
        <w:t xml:space="preserve">heat pump </w:t>
      </w:r>
      <w:r w:rsidRPr="003F1AF9">
        <w:t xml:space="preserve">sales </w:t>
      </w:r>
      <w:r w:rsidR="00D13629" w:rsidRPr="003F1AF9">
        <w:t>are</w:t>
      </w:r>
      <w:r w:rsidRPr="003F1AF9">
        <w:t xml:space="preserve"> units </w:t>
      </w:r>
      <w:r w:rsidR="004C5211" w:rsidRPr="003F1AF9">
        <w:t xml:space="preserve">with </w:t>
      </w:r>
      <w:r w:rsidR="00D13629" w:rsidRPr="003F1AF9">
        <w:t xml:space="preserve">efficiency </w:t>
      </w:r>
      <w:r w:rsidR="004C5211" w:rsidRPr="003F1AF9">
        <w:t xml:space="preserve">just above MEPS </w:t>
      </w:r>
      <w:r w:rsidR="00D13629" w:rsidRPr="003F1AF9">
        <w:t>requirements (</w:t>
      </w:r>
      <w:proofErr w:type="spellStart"/>
      <w:r w:rsidR="00D13629" w:rsidRPr="003F1AF9">
        <w:t>Lapsa</w:t>
      </w:r>
      <w:proofErr w:type="spellEnd"/>
      <w:r w:rsidR="00D13629" w:rsidRPr="003F1AF9">
        <w:t>, 2017).</w:t>
      </w:r>
      <w:r w:rsidR="0078120E">
        <w:t xml:space="preserve"> </w:t>
      </w:r>
      <w:r w:rsidR="00D13629" w:rsidRPr="003F1AF9">
        <w:t xml:space="preserve">The </w:t>
      </w:r>
      <w:r w:rsidR="004C5211" w:rsidRPr="003F1AF9">
        <w:t>modifications</w:t>
      </w:r>
      <w:r w:rsidR="00D13629" w:rsidRPr="003F1AF9">
        <w:t xml:space="preserve"> that </w:t>
      </w:r>
      <w:r w:rsidR="009942BB" w:rsidRPr="003F1AF9">
        <w:t>increase</w:t>
      </w:r>
      <w:r w:rsidR="004C5211" w:rsidRPr="003F1AF9">
        <w:t xml:space="preserve"> </w:t>
      </w:r>
      <w:r w:rsidR="00D13629" w:rsidRPr="003F1AF9">
        <w:t>HP efficiency – variable frequency drives, multi-compressor units, large</w:t>
      </w:r>
      <w:r w:rsidR="009942BB" w:rsidRPr="003F1AF9">
        <w:t>r</w:t>
      </w:r>
      <w:r w:rsidR="00D13629" w:rsidRPr="003F1AF9">
        <w:t xml:space="preserve"> heat exchangers, more aerodynamic fans, etc. – add first cost.</w:t>
      </w:r>
      <w:r w:rsidR="0078120E">
        <w:t xml:space="preserve"> </w:t>
      </w:r>
      <w:r w:rsidR="004C5211" w:rsidRPr="003F1AF9">
        <w:t>Even though, this Marginal First Cost increment ($</w:t>
      </w:r>
      <w:r w:rsidR="00AB4943">
        <w:t>140B</w:t>
      </w:r>
      <w:r w:rsidR="004C5211" w:rsidRPr="003F1AF9">
        <w:t xml:space="preserve"> worldwide in the </w:t>
      </w:r>
      <w:r w:rsidR="00AB4943">
        <w:t>Drawdown</w:t>
      </w:r>
      <w:r w:rsidR="004C5211" w:rsidRPr="003F1AF9">
        <w:t xml:space="preserve"> adoption scenario) is more than offset by Lifetime Operating Cost Savings ($2,</w:t>
      </w:r>
      <w:r w:rsidR="00AB4943">
        <w:t>494</w:t>
      </w:r>
      <w:r w:rsidR="004C5211" w:rsidRPr="003F1AF9">
        <w:t xml:space="preserve">B in </w:t>
      </w:r>
      <w:r w:rsidR="00AB4943">
        <w:t>Drawdown</w:t>
      </w:r>
      <w:r w:rsidR="00AB4943" w:rsidRPr="003F1AF9">
        <w:t xml:space="preserve"> </w:t>
      </w:r>
      <w:r w:rsidR="004C5211" w:rsidRPr="003F1AF9">
        <w:t>adoption), most heat pumps sold just meet the minimum standards.</w:t>
      </w:r>
      <w:r w:rsidR="0078120E">
        <w:t xml:space="preserve"> </w:t>
      </w:r>
    </w:p>
    <w:p w14:paraId="34CC7BF5" w14:textId="53DF89EA" w:rsidR="00240F0C" w:rsidRPr="003F1AF9" w:rsidRDefault="004C5211" w:rsidP="00A84D1B">
      <w:r w:rsidRPr="003F1AF9">
        <w:t xml:space="preserve">Environmentally, </w:t>
      </w:r>
      <w:r w:rsidR="00240F0C" w:rsidRPr="003F1AF9">
        <w:t>HEHPs can contribute to a major reduction in direct GHG emissions</w:t>
      </w:r>
      <w:r w:rsidR="009942BB" w:rsidRPr="003F1AF9">
        <w:t xml:space="preserve"> by eliminating fossil fuels from space heating</w:t>
      </w:r>
      <w:r w:rsidR="00240F0C" w:rsidRPr="003F1AF9">
        <w:t>, as quantified above.</w:t>
      </w:r>
      <w:r w:rsidR="0078120E">
        <w:t xml:space="preserve"> </w:t>
      </w:r>
      <w:r w:rsidR="00240F0C" w:rsidRPr="003F1AF9">
        <w:t xml:space="preserve">Indirect GHG emissions </w:t>
      </w:r>
      <w:r w:rsidR="009942BB" w:rsidRPr="003F1AF9">
        <w:t xml:space="preserve">of the HEHP equipment itself </w:t>
      </w:r>
      <w:r w:rsidR="00240F0C" w:rsidRPr="003F1AF9">
        <w:t>can be expected to be somewhat higher</w:t>
      </w:r>
      <w:r w:rsidR="009942BB" w:rsidRPr="003F1AF9">
        <w:t xml:space="preserve"> than fossil fuel equipment</w:t>
      </w:r>
      <w:r w:rsidR="00240F0C" w:rsidRPr="003F1AF9">
        <w:t xml:space="preserve">, </w:t>
      </w:r>
      <w:r w:rsidR="009942BB" w:rsidRPr="003F1AF9">
        <w:t>roughly</w:t>
      </w:r>
      <w:r w:rsidR="00240F0C" w:rsidRPr="003F1AF9">
        <w:t xml:space="preserve"> in proportion to unit cost, since the </w:t>
      </w:r>
      <w:r w:rsidR="00240F0C" w:rsidRPr="003F1AF9">
        <w:lastRenderedPageBreak/>
        <w:t>equipment is pretty similar to the mechanical space heating equipment that HEHPs replace.</w:t>
      </w:r>
      <w:r w:rsidR="0078120E">
        <w:t xml:space="preserve"> </w:t>
      </w:r>
      <w:r w:rsidR="00240F0C" w:rsidRPr="003F1AF9">
        <w:t>One potential exception</w:t>
      </w:r>
      <w:r w:rsidR="009942BB" w:rsidRPr="003F1AF9">
        <w:t xml:space="preserve"> and concern</w:t>
      </w:r>
      <w:r w:rsidR="00240F0C" w:rsidRPr="003F1AF9">
        <w:t>, as quantified above, is emissions from refrigerant leakage.</w:t>
      </w:r>
      <w:r w:rsidR="0078120E">
        <w:t xml:space="preserve"> </w:t>
      </w:r>
    </w:p>
    <w:p w14:paraId="7537AA05" w14:textId="3250B8BE" w:rsidR="00A84D1B" w:rsidRPr="003F1AF9" w:rsidRDefault="00240F0C" w:rsidP="00A84D1B">
      <w:r w:rsidRPr="003F1AF9">
        <w:t>Moving into the future, rapid growth of HEHPs without adequate planning could be in some ways “self-limiting”.</w:t>
      </w:r>
      <w:r w:rsidR="0078120E">
        <w:t xml:space="preserve"> </w:t>
      </w:r>
      <w:r w:rsidRPr="003F1AF9">
        <w:t>HEHPs, if they are to reduce GHG emissions, require renewably</w:t>
      </w:r>
      <w:r w:rsidR="00F668A9">
        <w:t xml:space="preserve"> </w:t>
      </w:r>
      <w:r w:rsidRPr="003F1AF9">
        <w:t>generated electricity.</w:t>
      </w:r>
      <w:r w:rsidR="0078120E">
        <w:t xml:space="preserve"> </w:t>
      </w:r>
      <w:r w:rsidRPr="003F1AF9">
        <w:t>Growth from 3% of space heating</w:t>
      </w:r>
      <w:r w:rsidR="009942BB" w:rsidRPr="003F1AF9">
        <w:t xml:space="preserve"> today</w:t>
      </w:r>
      <w:r w:rsidRPr="003F1AF9">
        <w:t xml:space="preserve"> to 60% </w:t>
      </w:r>
      <w:r w:rsidR="009942BB" w:rsidRPr="003F1AF9">
        <w:t xml:space="preserve">in 2060 </w:t>
      </w:r>
      <w:r w:rsidRPr="003F1AF9">
        <w:t>would represent a major additional load for the electrical grid in many places.</w:t>
      </w:r>
      <w:r w:rsidR="0078120E">
        <w:t xml:space="preserve"> </w:t>
      </w:r>
      <w:r w:rsidRPr="003F1AF9">
        <w:t>And it could reduce resilience and create risk of failure by reducing the diversity of space heating primary energy sources.</w:t>
      </w:r>
      <w:r w:rsidR="0078120E">
        <w:t xml:space="preserve"> </w:t>
      </w:r>
    </w:p>
    <w:p w14:paraId="2139E8E7" w14:textId="767A0E25" w:rsidR="006745FF" w:rsidRPr="003F1AF9" w:rsidRDefault="006745FF">
      <w:pPr>
        <w:pStyle w:val="Heading2"/>
      </w:pPr>
      <w:bookmarkStart w:id="530" w:name="_Toc42289735"/>
      <w:r w:rsidRPr="003F1AF9">
        <w:t>Benchmarks</w:t>
      </w:r>
      <w:bookmarkEnd w:id="530"/>
    </w:p>
    <w:p w14:paraId="51421CD3" w14:textId="1CB4BEE1" w:rsidR="00FA66AD" w:rsidRPr="003F1AF9" w:rsidRDefault="001042A1" w:rsidP="000A73E5">
      <w:r w:rsidRPr="003F1AF9">
        <w:t>The IEA Energy Technology Perspectives reports offer well-know, well-documented benchmarks.</w:t>
      </w:r>
      <w:r w:rsidR="0078120E">
        <w:t xml:space="preserve"> </w:t>
      </w:r>
      <w:r w:rsidRPr="003F1AF9">
        <w:fldChar w:fldCharType="begin"/>
      </w:r>
      <w:r w:rsidRPr="003F1AF9">
        <w:instrText xml:space="preserve"> REF _Ref2695538 \h </w:instrText>
      </w:r>
      <w:r w:rsidRPr="003F1AF9">
        <w:fldChar w:fldCharType="separate"/>
      </w:r>
      <w:r w:rsidR="00E60668" w:rsidRPr="003F1AF9">
        <w:t xml:space="preserve">Table </w:t>
      </w:r>
      <w:r w:rsidR="00E60668">
        <w:rPr>
          <w:noProof/>
        </w:rPr>
        <w:t>4</w:t>
      </w:r>
      <w:r w:rsidR="00E60668" w:rsidRPr="003F1AF9">
        <w:t>.</w:t>
      </w:r>
      <w:r w:rsidR="00E60668">
        <w:rPr>
          <w:noProof/>
        </w:rPr>
        <w:t>1</w:t>
      </w:r>
      <w:r w:rsidRPr="003F1AF9">
        <w:fldChar w:fldCharType="end"/>
      </w:r>
      <w:r w:rsidRPr="003F1AF9">
        <w:t xml:space="preserve"> compares IEA 2020-2050 space heating emissions reduction and 2050 heat pump adoption forecasts with the results of Drawdown modeling.</w:t>
      </w:r>
      <w:r w:rsidR="0078120E">
        <w:t xml:space="preserve"> </w:t>
      </w:r>
      <w:r w:rsidRPr="003F1AF9">
        <w:t>IEA B2DS 2050 HP adoption</w:t>
      </w:r>
      <w:r w:rsidR="007B4689" w:rsidRPr="003F1AF9">
        <w:t xml:space="preserve"> (42.8</w:t>
      </w:r>
      <w:r w:rsidRPr="003F1AF9">
        <w:t xml:space="preserve">%) is </w:t>
      </w:r>
      <w:r w:rsidR="007B4689" w:rsidRPr="003F1AF9">
        <w:t>intermediate between</w:t>
      </w:r>
      <w:r w:rsidRPr="003F1AF9">
        <w:t xml:space="preserve"> the Drawdown </w:t>
      </w:r>
      <w:r w:rsidR="007B4689" w:rsidRPr="003F1AF9">
        <w:t>(39.8%) and Optimum (47.6%) adoption scenarios. (Note that IEA ETP HP adoption includes both space and water heating.)</w:t>
      </w:r>
      <w:r w:rsidR="0078120E">
        <w:t xml:space="preserve"> </w:t>
      </w:r>
    </w:p>
    <w:p w14:paraId="79DB6E21" w14:textId="4241F463" w:rsidR="006745FF" w:rsidRPr="003F1AF9" w:rsidRDefault="006745FF" w:rsidP="00EB247F">
      <w:pPr>
        <w:pStyle w:val="Caption"/>
        <w:jc w:val="center"/>
        <w:rPr>
          <w:b/>
          <w:bCs/>
        </w:rPr>
      </w:pPr>
      <w:bookmarkStart w:id="531" w:name="_Ref2695538"/>
      <w:bookmarkStart w:id="532" w:name="_Toc524993445"/>
      <w:bookmarkStart w:id="533" w:name="_Toc42289763"/>
      <w:r w:rsidRPr="003F1AF9">
        <w:t xml:space="preserve">Table </w:t>
      </w:r>
      <w:r w:rsidR="00E014ED" w:rsidRPr="003F1AF9">
        <w:rPr>
          <w:noProof/>
        </w:rPr>
        <w:fldChar w:fldCharType="begin"/>
      </w:r>
      <w:r w:rsidR="00E014ED" w:rsidRPr="003F1AF9">
        <w:rPr>
          <w:noProof/>
        </w:rPr>
        <w:instrText xml:space="preserve"> STYLEREF 1 \s </w:instrText>
      </w:r>
      <w:r w:rsidR="00E014ED" w:rsidRPr="003F1AF9">
        <w:rPr>
          <w:noProof/>
        </w:rPr>
        <w:fldChar w:fldCharType="separate"/>
      </w:r>
      <w:r w:rsidR="00E60668">
        <w:rPr>
          <w:noProof/>
        </w:rPr>
        <w:t>4</w:t>
      </w:r>
      <w:r w:rsidR="00E014ED" w:rsidRPr="003F1AF9">
        <w:rPr>
          <w:noProof/>
        </w:rPr>
        <w:fldChar w:fldCharType="end"/>
      </w:r>
      <w:r w:rsidR="00905204" w:rsidRPr="003F1AF9">
        <w:t>.</w:t>
      </w:r>
      <w:r w:rsidR="00E014ED" w:rsidRPr="003F1AF9">
        <w:rPr>
          <w:noProof/>
        </w:rPr>
        <w:fldChar w:fldCharType="begin"/>
      </w:r>
      <w:r w:rsidR="00E014ED" w:rsidRPr="003F1AF9">
        <w:rPr>
          <w:noProof/>
        </w:rPr>
        <w:instrText xml:space="preserve"> SEQ Table \* ARABIC \s 1 </w:instrText>
      </w:r>
      <w:r w:rsidR="00E014ED" w:rsidRPr="003F1AF9">
        <w:rPr>
          <w:noProof/>
        </w:rPr>
        <w:fldChar w:fldCharType="separate"/>
      </w:r>
      <w:r w:rsidR="00E60668">
        <w:rPr>
          <w:noProof/>
        </w:rPr>
        <w:t>1</w:t>
      </w:r>
      <w:r w:rsidR="00E014ED" w:rsidRPr="003F1AF9">
        <w:rPr>
          <w:noProof/>
        </w:rPr>
        <w:fldChar w:fldCharType="end"/>
      </w:r>
      <w:bookmarkEnd w:id="531"/>
      <w:r w:rsidRPr="003F1AF9">
        <w:t xml:space="preserve"> Benchmarks</w:t>
      </w:r>
      <w:bookmarkEnd w:id="532"/>
      <w:bookmarkEnd w:id="533"/>
    </w:p>
    <w:tbl>
      <w:tblPr>
        <w:tblStyle w:val="TableGrid"/>
        <w:tblW w:w="3032" w:type="pct"/>
        <w:jc w:val="center"/>
        <w:tblLook w:val="04A0" w:firstRow="1" w:lastRow="0" w:firstColumn="1" w:lastColumn="0" w:noHBand="0" w:noVBand="1"/>
      </w:tblPr>
      <w:tblGrid>
        <w:gridCol w:w="2998"/>
        <w:gridCol w:w="1226"/>
        <w:gridCol w:w="1446"/>
      </w:tblGrid>
      <w:tr w:rsidR="00FA66AD" w:rsidRPr="003F1AF9" w14:paraId="70C8E283" w14:textId="01BC42F6" w:rsidTr="000A73E5">
        <w:trPr>
          <w:cantSplit/>
          <w:trHeight w:val="329"/>
          <w:tblHeader/>
          <w:jc w:val="center"/>
        </w:trPr>
        <w:tc>
          <w:tcPr>
            <w:tcW w:w="2644" w:type="pct"/>
            <w:shd w:val="clear" w:color="auto" w:fill="4F81BD" w:themeFill="accent1"/>
            <w:vAlign w:val="center"/>
          </w:tcPr>
          <w:p w14:paraId="721CED95" w14:textId="594D904F" w:rsidR="00FA66AD" w:rsidRPr="003F1AF9" w:rsidRDefault="00FA66AD" w:rsidP="00AD4CF8">
            <w:pPr>
              <w:spacing w:line="240" w:lineRule="auto"/>
              <w:jc w:val="center"/>
              <w:rPr>
                <w:b/>
                <w:bCs/>
                <w:color w:val="FFFFFF" w:themeColor="background1"/>
                <w:sz w:val="20"/>
                <w:szCs w:val="20"/>
              </w:rPr>
            </w:pPr>
            <w:r w:rsidRPr="003F1AF9">
              <w:rPr>
                <w:b/>
                <w:bCs/>
                <w:color w:val="FFFFFF" w:themeColor="background1"/>
                <w:sz w:val="20"/>
                <w:szCs w:val="20"/>
              </w:rPr>
              <w:t>Source and Scenario</w:t>
            </w:r>
          </w:p>
        </w:tc>
        <w:tc>
          <w:tcPr>
            <w:tcW w:w="1081" w:type="pct"/>
            <w:shd w:val="clear" w:color="auto" w:fill="4F81BD" w:themeFill="accent1"/>
            <w:vAlign w:val="center"/>
          </w:tcPr>
          <w:p w14:paraId="2C9D3A78" w14:textId="38AFAAEE" w:rsidR="00FA66AD" w:rsidRPr="003F1AF9" w:rsidRDefault="00563D10" w:rsidP="00AD4CF8">
            <w:pPr>
              <w:spacing w:line="240" w:lineRule="auto"/>
              <w:jc w:val="center"/>
              <w:rPr>
                <w:b/>
                <w:color w:val="FFFFFF" w:themeColor="background1"/>
                <w:sz w:val="20"/>
                <w:szCs w:val="20"/>
              </w:rPr>
            </w:pPr>
            <w:r w:rsidRPr="003F1AF9">
              <w:rPr>
                <w:b/>
                <w:color w:val="FFFFFF" w:themeColor="background1"/>
                <w:sz w:val="20"/>
                <w:szCs w:val="20"/>
              </w:rPr>
              <w:t>Total Emissions Reduction (</w:t>
            </w:r>
            <w:r w:rsidRPr="003F1AF9">
              <w:rPr>
                <w:rFonts w:cstheme="minorHAnsi"/>
                <w:bCs/>
                <w:i/>
                <w:color w:val="FFFFFF" w:themeColor="background1"/>
                <w:sz w:val="20"/>
                <w:szCs w:val="20"/>
              </w:rPr>
              <w:t>Gt CO</w:t>
            </w:r>
            <w:r w:rsidRPr="003F1AF9">
              <w:rPr>
                <w:rFonts w:cstheme="minorHAnsi"/>
                <w:bCs/>
                <w:i/>
                <w:color w:val="FFFFFF" w:themeColor="background1"/>
                <w:sz w:val="20"/>
                <w:szCs w:val="20"/>
                <w:vertAlign w:val="subscript"/>
              </w:rPr>
              <w:t>2</w:t>
            </w:r>
            <w:r w:rsidR="007B4689" w:rsidRPr="003F1AF9">
              <w:rPr>
                <w:rFonts w:cstheme="minorHAnsi"/>
                <w:bCs/>
                <w:i/>
                <w:color w:val="FFFFFF" w:themeColor="background1"/>
                <w:sz w:val="20"/>
                <w:szCs w:val="20"/>
              </w:rPr>
              <w:t xml:space="preserve">-eq </w:t>
            </w:r>
            <w:r w:rsidRPr="003F1AF9">
              <w:rPr>
                <w:rFonts w:cstheme="minorHAnsi"/>
                <w:bCs/>
                <w:i/>
                <w:color w:val="FFFFFF" w:themeColor="background1"/>
                <w:sz w:val="20"/>
                <w:szCs w:val="20"/>
              </w:rPr>
              <w:t>2020-2050)</w:t>
            </w:r>
          </w:p>
        </w:tc>
        <w:tc>
          <w:tcPr>
            <w:tcW w:w="1275" w:type="pct"/>
            <w:shd w:val="clear" w:color="auto" w:fill="4F81BD" w:themeFill="accent1"/>
            <w:vAlign w:val="center"/>
          </w:tcPr>
          <w:p w14:paraId="54169280" w14:textId="463D4F11" w:rsidR="00FA66AD" w:rsidRPr="003F1AF9" w:rsidRDefault="00563D10" w:rsidP="00AD4CF8">
            <w:pPr>
              <w:spacing w:line="240" w:lineRule="auto"/>
              <w:jc w:val="center"/>
              <w:rPr>
                <w:b/>
                <w:color w:val="FFFFFF" w:themeColor="background1"/>
                <w:sz w:val="20"/>
                <w:szCs w:val="20"/>
              </w:rPr>
            </w:pPr>
            <w:r w:rsidRPr="003F1AF9">
              <w:rPr>
                <w:b/>
                <w:color w:val="FFFFFF" w:themeColor="background1"/>
                <w:sz w:val="20"/>
                <w:szCs w:val="20"/>
              </w:rPr>
              <w:t>2050Adoption (% of TAM)</w:t>
            </w:r>
          </w:p>
        </w:tc>
      </w:tr>
      <w:tr w:rsidR="00FA66AD" w:rsidRPr="003F1AF9" w14:paraId="289707D9" w14:textId="70E15D94" w:rsidTr="000A73E5">
        <w:trPr>
          <w:trHeight w:val="432"/>
          <w:jc w:val="center"/>
        </w:trPr>
        <w:tc>
          <w:tcPr>
            <w:tcW w:w="2644" w:type="pct"/>
            <w:vAlign w:val="center"/>
          </w:tcPr>
          <w:p w14:paraId="65A69EF1" w14:textId="390F1A84" w:rsidR="00FA66AD" w:rsidRPr="003F1AF9" w:rsidRDefault="00563D10" w:rsidP="00AD4CF8">
            <w:pPr>
              <w:spacing w:line="240" w:lineRule="auto"/>
              <w:jc w:val="center"/>
              <w:rPr>
                <w:bCs/>
                <w:sz w:val="20"/>
                <w:szCs w:val="20"/>
              </w:rPr>
            </w:pPr>
            <w:r w:rsidRPr="003F1AF9">
              <w:rPr>
                <w:sz w:val="20"/>
                <w:szCs w:val="20"/>
              </w:rPr>
              <w:t>IEA ETP 2017 B2DS vs. RTS Scenarios</w:t>
            </w:r>
          </w:p>
        </w:tc>
        <w:tc>
          <w:tcPr>
            <w:tcW w:w="1081" w:type="pct"/>
            <w:vAlign w:val="center"/>
          </w:tcPr>
          <w:p w14:paraId="693F09FD" w14:textId="3A34B772" w:rsidR="00563D10" w:rsidRPr="003F1AF9" w:rsidRDefault="00563D10" w:rsidP="00AC3992">
            <w:pPr>
              <w:spacing w:line="240" w:lineRule="auto"/>
              <w:jc w:val="center"/>
              <w:rPr>
                <w:bCs/>
                <w:sz w:val="20"/>
                <w:szCs w:val="20"/>
              </w:rPr>
            </w:pPr>
            <w:r w:rsidRPr="003F1AF9">
              <w:rPr>
                <w:bCs/>
                <w:sz w:val="20"/>
                <w:szCs w:val="20"/>
              </w:rPr>
              <w:t>19.6</w:t>
            </w:r>
          </w:p>
        </w:tc>
        <w:tc>
          <w:tcPr>
            <w:tcW w:w="1275" w:type="pct"/>
            <w:vAlign w:val="center"/>
          </w:tcPr>
          <w:p w14:paraId="5718A6A0" w14:textId="693059E8" w:rsidR="00FA66AD" w:rsidRPr="003F1AF9" w:rsidRDefault="001042A1" w:rsidP="00AD4CF8">
            <w:pPr>
              <w:spacing w:line="240" w:lineRule="auto"/>
              <w:jc w:val="center"/>
              <w:rPr>
                <w:bCs/>
                <w:sz w:val="20"/>
                <w:szCs w:val="20"/>
              </w:rPr>
            </w:pPr>
            <w:r w:rsidRPr="003F1AF9">
              <w:rPr>
                <w:bCs/>
                <w:sz w:val="20"/>
                <w:szCs w:val="20"/>
              </w:rPr>
              <w:t>42.8%*</w:t>
            </w:r>
          </w:p>
        </w:tc>
      </w:tr>
      <w:tr w:rsidR="00FA66AD" w:rsidRPr="003F1AF9" w14:paraId="050ACC57" w14:textId="126DFA6F" w:rsidTr="000A73E5">
        <w:trPr>
          <w:trHeight w:val="427"/>
          <w:jc w:val="center"/>
        </w:trPr>
        <w:tc>
          <w:tcPr>
            <w:tcW w:w="2644" w:type="pct"/>
            <w:vAlign w:val="center"/>
          </w:tcPr>
          <w:p w14:paraId="0584602D" w14:textId="1378FD8B" w:rsidR="00FA66AD" w:rsidRPr="0003357C" w:rsidRDefault="00563D10" w:rsidP="00AD4CF8">
            <w:pPr>
              <w:spacing w:line="240" w:lineRule="auto"/>
              <w:jc w:val="center"/>
              <w:rPr>
                <w:sz w:val="20"/>
                <w:szCs w:val="20"/>
                <w:lang w:val="pt-PT"/>
              </w:rPr>
            </w:pPr>
            <w:r w:rsidRPr="0003357C">
              <w:rPr>
                <w:sz w:val="20"/>
                <w:szCs w:val="20"/>
                <w:lang w:val="pt-PT"/>
              </w:rPr>
              <w:t xml:space="preserve">IEA ETP 2016 2DS vs. 6DS </w:t>
            </w:r>
            <w:proofErr w:type="spellStart"/>
            <w:r w:rsidRPr="0003357C">
              <w:rPr>
                <w:sz w:val="20"/>
                <w:szCs w:val="20"/>
                <w:lang w:val="pt-PT"/>
              </w:rPr>
              <w:t>Scenarios</w:t>
            </w:r>
            <w:proofErr w:type="spellEnd"/>
          </w:p>
        </w:tc>
        <w:tc>
          <w:tcPr>
            <w:tcW w:w="1081" w:type="pct"/>
            <w:vAlign w:val="center"/>
          </w:tcPr>
          <w:p w14:paraId="695ED788" w14:textId="136E55E0" w:rsidR="00FA66AD" w:rsidRPr="003F1AF9" w:rsidRDefault="00563D10" w:rsidP="00AD4CF8">
            <w:pPr>
              <w:spacing w:line="240" w:lineRule="auto"/>
              <w:jc w:val="center"/>
              <w:rPr>
                <w:bCs/>
                <w:sz w:val="20"/>
                <w:szCs w:val="20"/>
              </w:rPr>
            </w:pPr>
            <w:r w:rsidRPr="003F1AF9">
              <w:rPr>
                <w:bCs/>
                <w:sz w:val="20"/>
                <w:szCs w:val="20"/>
              </w:rPr>
              <w:t>19.5</w:t>
            </w:r>
          </w:p>
        </w:tc>
        <w:tc>
          <w:tcPr>
            <w:tcW w:w="1275" w:type="pct"/>
            <w:vAlign w:val="center"/>
          </w:tcPr>
          <w:p w14:paraId="60D7DAD1" w14:textId="44E0D908" w:rsidR="00FA66AD" w:rsidRPr="003F1AF9" w:rsidRDefault="001042A1" w:rsidP="00AD4CF8">
            <w:pPr>
              <w:spacing w:line="240" w:lineRule="auto"/>
              <w:jc w:val="center"/>
              <w:rPr>
                <w:bCs/>
                <w:sz w:val="20"/>
                <w:szCs w:val="20"/>
              </w:rPr>
            </w:pPr>
            <w:r w:rsidRPr="003F1AF9">
              <w:rPr>
                <w:bCs/>
                <w:sz w:val="20"/>
                <w:szCs w:val="20"/>
              </w:rPr>
              <w:t>N/A</w:t>
            </w:r>
          </w:p>
        </w:tc>
      </w:tr>
      <w:tr w:rsidR="00FA66AD" w:rsidRPr="003F1AF9" w14:paraId="1C7A3D9F" w14:textId="08F76CB5" w:rsidTr="000A73E5">
        <w:trPr>
          <w:trHeight w:val="329"/>
          <w:jc w:val="center"/>
        </w:trPr>
        <w:tc>
          <w:tcPr>
            <w:tcW w:w="2644" w:type="pct"/>
            <w:vAlign w:val="center"/>
          </w:tcPr>
          <w:p w14:paraId="3E637FD7" w14:textId="0FA6148C" w:rsidR="00FA66AD" w:rsidRPr="003F1AF9" w:rsidRDefault="00FA66AD" w:rsidP="00AD4CF8">
            <w:pPr>
              <w:spacing w:line="240" w:lineRule="auto"/>
              <w:jc w:val="center"/>
              <w:rPr>
                <w:bCs/>
                <w:sz w:val="20"/>
                <w:szCs w:val="20"/>
              </w:rPr>
            </w:pPr>
            <w:r w:rsidRPr="003F1AF9">
              <w:rPr>
                <w:sz w:val="20"/>
                <w:szCs w:val="20"/>
              </w:rPr>
              <w:t>Project Drawdown – Plausible Scenario (PDS1)</w:t>
            </w:r>
          </w:p>
        </w:tc>
        <w:tc>
          <w:tcPr>
            <w:tcW w:w="1081" w:type="pct"/>
            <w:vAlign w:val="center"/>
          </w:tcPr>
          <w:p w14:paraId="17FCA461" w14:textId="4D060F44" w:rsidR="00FA66AD" w:rsidRPr="003F1AF9" w:rsidRDefault="00AB4943" w:rsidP="00AD4CF8">
            <w:pPr>
              <w:spacing w:line="240" w:lineRule="auto"/>
              <w:jc w:val="center"/>
              <w:rPr>
                <w:bCs/>
                <w:sz w:val="20"/>
                <w:szCs w:val="20"/>
              </w:rPr>
            </w:pPr>
            <w:r>
              <w:rPr>
                <w:bCs/>
                <w:sz w:val="20"/>
                <w:szCs w:val="20"/>
              </w:rPr>
              <w:t>4.2</w:t>
            </w:r>
          </w:p>
        </w:tc>
        <w:tc>
          <w:tcPr>
            <w:tcW w:w="1275" w:type="pct"/>
            <w:vAlign w:val="center"/>
          </w:tcPr>
          <w:p w14:paraId="37A2A467" w14:textId="00F2F41B" w:rsidR="00FA66AD" w:rsidRPr="003F1AF9" w:rsidRDefault="001042A1" w:rsidP="00AD4CF8">
            <w:pPr>
              <w:spacing w:line="240" w:lineRule="auto"/>
              <w:jc w:val="center"/>
              <w:rPr>
                <w:bCs/>
                <w:sz w:val="20"/>
                <w:szCs w:val="20"/>
              </w:rPr>
            </w:pPr>
            <w:r w:rsidRPr="003F1AF9">
              <w:rPr>
                <w:bCs/>
                <w:sz w:val="20"/>
                <w:szCs w:val="20"/>
              </w:rPr>
              <w:t>20.3%</w:t>
            </w:r>
          </w:p>
        </w:tc>
      </w:tr>
      <w:tr w:rsidR="00FA66AD" w:rsidRPr="003F1AF9" w14:paraId="2861B45D" w14:textId="2AD39CA0" w:rsidTr="000A73E5">
        <w:trPr>
          <w:trHeight w:val="329"/>
          <w:jc w:val="center"/>
        </w:trPr>
        <w:tc>
          <w:tcPr>
            <w:tcW w:w="2644" w:type="pct"/>
            <w:vAlign w:val="center"/>
          </w:tcPr>
          <w:p w14:paraId="5782CA7E" w14:textId="716EFD46" w:rsidR="00FA66AD" w:rsidRPr="003F1AF9" w:rsidRDefault="00FA66AD" w:rsidP="00AD4CF8">
            <w:pPr>
              <w:spacing w:line="240" w:lineRule="auto"/>
              <w:jc w:val="center"/>
              <w:rPr>
                <w:sz w:val="20"/>
                <w:szCs w:val="20"/>
              </w:rPr>
            </w:pPr>
            <w:r w:rsidRPr="003F1AF9">
              <w:rPr>
                <w:sz w:val="20"/>
                <w:szCs w:val="20"/>
              </w:rPr>
              <w:t>Project Drawdown – Drawdown Scenario (PDS2)</w:t>
            </w:r>
          </w:p>
        </w:tc>
        <w:tc>
          <w:tcPr>
            <w:tcW w:w="1081" w:type="pct"/>
            <w:vAlign w:val="center"/>
          </w:tcPr>
          <w:p w14:paraId="4F9F1598" w14:textId="57B26659" w:rsidR="00FA66AD" w:rsidRPr="003F1AF9" w:rsidRDefault="00AB4943" w:rsidP="00AD4CF8">
            <w:pPr>
              <w:spacing w:line="240" w:lineRule="auto"/>
              <w:jc w:val="center"/>
              <w:rPr>
                <w:bCs/>
                <w:sz w:val="20"/>
                <w:szCs w:val="20"/>
              </w:rPr>
            </w:pPr>
            <w:r>
              <w:rPr>
                <w:bCs/>
                <w:sz w:val="20"/>
                <w:szCs w:val="20"/>
              </w:rPr>
              <w:t>9.4</w:t>
            </w:r>
          </w:p>
        </w:tc>
        <w:tc>
          <w:tcPr>
            <w:tcW w:w="1275" w:type="pct"/>
            <w:vAlign w:val="center"/>
          </w:tcPr>
          <w:p w14:paraId="250C4F8C" w14:textId="038B6E61" w:rsidR="00FA66AD" w:rsidRPr="003F1AF9" w:rsidRDefault="001042A1" w:rsidP="00AD4CF8">
            <w:pPr>
              <w:spacing w:line="240" w:lineRule="auto"/>
              <w:jc w:val="center"/>
              <w:rPr>
                <w:bCs/>
                <w:sz w:val="20"/>
                <w:szCs w:val="20"/>
              </w:rPr>
            </w:pPr>
            <w:r w:rsidRPr="003F1AF9">
              <w:rPr>
                <w:bCs/>
                <w:sz w:val="20"/>
                <w:szCs w:val="20"/>
              </w:rPr>
              <w:t>39.8%</w:t>
            </w:r>
          </w:p>
        </w:tc>
      </w:tr>
      <w:tr w:rsidR="00FA66AD" w:rsidRPr="003F1AF9" w14:paraId="0C6E4035" w14:textId="29DD5EF1" w:rsidTr="000A73E5">
        <w:trPr>
          <w:trHeight w:val="329"/>
          <w:jc w:val="center"/>
        </w:trPr>
        <w:tc>
          <w:tcPr>
            <w:tcW w:w="2644" w:type="pct"/>
            <w:vAlign w:val="center"/>
          </w:tcPr>
          <w:p w14:paraId="2392672B" w14:textId="49F74C08" w:rsidR="00FA66AD" w:rsidRPr="003F1AF9" w:rsidRDefault="00FA66AD" w:rsidP="00AD4CF8">
            <w:pPr>
              <w:spacing w:line="240" w:lineRule="auto"/>
              <w:jc w:val="center"/>
              <w:rPr>
                <w:sz w:val="20"/>
                <w:szCs w:val="20"/>
              </w:rPr>
            </w:pPr>
            <w:r w:rsidRPr="003F1AF9">
              <w:rPr>
                <w:sz w:val="20"/>
                <w:szCs w:val="20"/>
              </w:rPr>
              <w:t>Project Drawdown – Optimum Scenario (PDS3)</w:t>
            </w:r>
          </w:p>
        </w:tc>
        <w:tc>
          <w:tcPr>
            <w:tcW w:w="1081" w:type="pct"/>
            <w:vAlign w:val="center"/>
          </w:tcPr>
          <w:p w14:paraId="428CA8E7" w14:textId="116A8719" w:rsidR="00FA66AD" w:rsidRPr="003F1AF9" w:rsidRDefault="00AB4943" w:rsidP="00AD4CF8">
            <w:pPr>
              <w:spacing w:line="240" w:lineRule="auto"/>
              <w:jc w:val="center"/>
              <w:rPr>
                <w:bCs/>
                <w:sz w:val="20"/>
                <w:szCs w:val="20"/>
              </w:rPr>
            </w:pPr>
            <w:r>
              <w:rPr>
                <w:bCs/>
                <w:sz w:val="20"/>
                <w:szCs w:val="20"/>
              </w:rPr>
              <w:t>12.2</w:t>
            </w:r>
          </w:p>
        </w:tc>
        <w:tc>
          <w:tcPr>
            <w:tcW w:w="1275" w:type="pct"/>
            <w:vAlign w:val="center"/>
          </w:tcPr>
          <w:p w14:paraId="29386CF4" w14:textId="1716260E" w:rsidR="00FA66AD" w:rsidRPr="003F1AF9" w:rsidRDefault="001042A1" w:rsidP="00AD4CF8">
            <w:pPr>
              <w:spacing w:line="240" w:lineRule="auto"/>
              <w:jc w:val="center"/>
              <w:rPr>
                <w:bCs/>
                <w:sz w:val="20"/>
                <w:szCs w:val="20"/>
              </w:rPr>
            </w:pPr>
            <w:r w:rsidRPr="003F1AF9">
              <w:rPr>
                <w:bCs/>
                <w:sz w:val="20"/>
                <w:szCs w:val="20"/>
              </w:rPr>
              <w:t>47.6%</w:t>
            </w:r>
          </w:p>
        </w:tc>
      </w:tr>
    </w:tbl>
    <w:p w14:paraId="105A5AA0" w14:textId="05B54CB0" w:rsidR="000D30DE" w:rsidRPr="00447380" w:rsidRDefault="001042A1" w:rsidP="000A73E5">
      <w:pPr>
        <w:pStyle w:val="NoSpacing"/>
        <w:ind w:left="2124"/>
        <w:rPr>
          <w:rFonts w:ascii="Times New Roman" w:hAnsi="Times New Roman" w:cs="Times New Roman"/>
        </w:rPr>
      </w:pPr>
      <w:r w:rsidRPr="00447380">
        <w:rPr>
          <w:rFonts w:ascii="Times New Roman" w:hAnsi="Times New Roman" w:cs="Times New Roman"/>
        </w:rPr>
        <w:t>Source:</w:t>
      </w:r>
      <w:r w:rsidR="0078120E">
        <w:rPr>
          <w:rFonts w:ascii="Times New Roman" w:hAnsi="Times New Roman" w:cs="Times New Roman"/>
        </w:rPr>
        <w:t xml:space="preserve"> </w:t>
      </w:r>
      <w:r w:rsidRPr="00447380">
        <w:rPr>
          <w:rFonts w:ascii="Times New Roman" w:hAnsi="Times New Roman" w:cs="Times New Roman"/>
        </w:rPr>
        <w:t>IEA (2017) ETP, IEA (2016) ETP</w:t>
      </w:r>
    </w:p>
    <w:p w14:paraId="47BEA982" w14:textId="27C5F5C8" w:rsidR="001042A1" w:rsidRPr="00447380" w:rsidRDefault="001042A1" w:rsidP="000A73E5">
      <w:pPr>
        <w:pStyle w:val="NoSpacing"/>
        <w:ind w:left="2124"/>
        <w:rPr>
          <w:rFonts w:ascii="Times New Roman" w:hAnsi="Times New Roman" w:cs="Times New Roman"/>
          <w:sz w:val="20"/>
        </w:rPr>
      </w:pPr>
      <w:r w:rsidRPr="00447380">
        <w:rPr>
          <w:rFonts w:ascii="Times New Roman" w:hAnsi="Times New Roman" w:cs="Times New Roman"/>
          <w:sz w:val="20"/>
        </w:rPr>
        <w:t>*”% of installed heating equipment”, both space and water heating</w:t>
      </w:r>
    </w:p>
    <w:p w14:paraId="3E9E4B84" w14:textId="77777777" w:rsidR="007B4689" w:rsidRPr="003F1AF9" w:rsidRDefault="007B4689" w:rsidP="000A73E5">
      <w:pPr>
        <w:pStyle w:val="NoSpacing"/>
        <w:ind w:left="2124"/>
        <w:rPr>
          <w:sz w:val="20"/>
        </w:rPr>
      </w:pPr>
    </w:p>
    <w:p w14:paraId="23ECAB11" w14:textId="4F3BD42B" w:rsidR="00057EC4" w:rsidRPr="003F1AF9" w:rsidRDefault="007B4689" w:rsidP="00AC3992">
      <w:r w:rsidRPr="003F1AF9">
        <w:t xml:space="preserve">IEA ETP emissions reductions from 2020 to 2050, a total of 19.6 Gt CO2-eq from 2020 to 2050 for IEA’s B2DS scenario in comparison with its RTS scenario, are </w:t>
      </w:r>
      <w:r w:rsidR="00926CDF" w:rsidRPr="003F1AF9">
        <w:t xml:space="preserve">comparable but significantly larger </w:t>
      </w:r>
      <w:r w:rsidRPr="003F1AF9">
        <w:t xml:space="preserve">than the </w:t>
      </w:r>
      <w:r w:rsidR="00AB4943">
        <w:t>9.4</w:t>
      </w:r>
      <w:r w:rsidRPr="003F1AF9">
        <w:t xml:space="preserve"> Gt reduction in the Drawdown scenario, which is closest to B2DS, and </w:t>
      </w:r>
      <w:r w:rsidR="00AB4943">
        <w:t>12.2</w:t>
      </w:r>
      <w:r w:rsidRPr="003F1AF9">
        <w:t xml:space="preserve"> Gt reduction in Drawdown’s Optimum scenario.</w:t>
      </w:r>
      <w:r w:rsidR="0078120E">
        <w:t xml:space="preserve"> </w:t>
      </w:r>
      <w:r w:rsidR="00057EC4" w:rsidRPr="003F1AF9">
        <w:t>K</w:t>
      </w:r>
      <w:r w:rsidR="00926CDF" w:rsidRPr="003F1AF9">
        <w:t>ey reason</w:t>
      </w:r>
      <w:r w:rsidR="00057EC4" w:rsidRPr="003F1AF9">
        <w:t>s</w:t>
      </w:r>
      <w:r w:rsidR="00926CDF" w:rsidRPr="003F1AF9">
        <w:t xml:space="preserve"> for this difference </w:t>
      </w:r>
      <w:r w:rsidR="00057EC4" w:rsidRPr="003F1AF9">
        <w:t>are:</w:t>
      </w:r>
    </w:p>
    <w:p w14:paraId="3F389EE0" w14:textId="0AE84DB6" w:rsidR="00E031C5" w:rsidRDefault="00E031C5" w:rsidP="000A73E5">
      <w:pPr>
        <w:pStyle w:val="ListParagraph"/>
        <w:numPr>
          <w:ilvl w:val="0"/>
          <w:numId w:val="56"/>
        </w:numPr>
      </w:pPr>
      <w:r>
        <w:lastRenderedPageBreak/>
        <w:t>IEA includes emissions reduction from applying heat pumps to water heating</w:t>
      </w:r>
      <w:r w:rsidR="00251889">
        <w:t>;</w:t>
      </w:r>
      <w:r>
        <w:t xml:space="preserve"> Drawdown does not.</w:t>
      </w:r>
    </w:p>
    <w:p w14:paraId="59C3EDE7" w14:textId="4AD3ED04" w:rsidR="007B4689" w:rsidRPr="003F1AF9" w:rsidRDefault="00926CDF" w:rsidP="000A73E5">
      <w:pPr>
        <w:pStyle w:val="ListParagraph"/>
        <w:numPr>
          <w:ilvl w:val="0"/>
          <w:numId w:val="56"/>
        </w:numPr>
      </w:pPr>
      <w:r w:rsidRPr="003F1AF9">
        <w:t xml:space="preserve">IEA </w:t>
      </w:r>
      <w:r w:rsidR="00057EC4" w:rsidRPr="003F1AF9">
        <w:t>includes grid impacts in its HP emissions figure; Drawdown tracks these separately.</w:t>
      </w:r>
    </w:p>
    <w:p w14:paraId="77D8BF0C" w14:textId="5CE2867A" w:rsidR="00057EC4" w:rsidRPr="003F1AF9" w:rsidRDefault="00057EC4" w:rsidP="000A73E5">
      <w:pPr>
        <w:pStyle w:val="ListParagraph"/>
        <w:numPr>
          <w:ilvl w:val="0"/>
          <w:numId w:val="56"/>
        </w:numPr>
      </w:pPr>
      <w:r w:rsidRPr="003F1AF9">
        <w:t>IEA assumes in its 2DS and B2DS scenarios significant “negative emissions” from biomass combustion coupled with carbon capture and storage (CCS) (</w:t>
      </w:r>
      <w:proofErr w:type="spellStart"/>
      <w:r w:rsidRPr="003F1AF9">
        <w:t>Dulac</w:t>
      </w:r>
      <w:proofErr w:type="spellEnd"/>
      <w:r w:rsidRPr="003F1AF9">
        <w:t>, 2019); Drawdown does not.</w:t>
      </w:r>
      <w:r w:rsidR="0078120E">
        <w:t xml:space="preserve"> </w:t>
      </w:r>
    </w:p>
    <w:p w14:paraId="6D0873B9" w14:textId="77777777" w:rsidR="00A74BFC" w:rsidRPr="003F1AF9" w:rsidRDefault="00A74BFC">
      <w:pPr>
        <w:spacing w:after="160" w:line="259" w:lineRule="auto"/>
        <w:jc w:val="left"/>
        <w:rPr>
          <w:rFonts w:asciiTheme="majorHAnsi" w:eastAsiaTheme="majorEastAsia" w:hAnsiTheme="majorHAnsi" w:cs="Times New Roman (Headings CS)"/>
          <w:b/>
          <w:bCs/>
          <w:smallCaps/>
          <w:color w:val="4F81BD" w:themeColor="accent1"/>
          <w:sz w:val="36"/>
          <w:szCs w:val="36"/>
        </w:rPr>
      </w:pPr>
      <w:r w:rsidRPr="003F1AF9">
        <w:br w:type="page"/>
      </w:r>
    </w:p>
    <w:p w14:paraId="7454D80C" w14:textId="2ADFF9BD" w:rsidR="00434F61" w:rsidRPr="003F1AF9" w:rsidRDefault="551A77D0" w:rsidP="00F436B3">
      <w:pPr>
        <w:pStyle w:val="Heading1"/>
      </w:pPr>
      <w:bookmarkStart w:id="534" w:name="_Toc42289736"/>
      <w:r w:rsidRPr="003F1AF9">
        <w:lastRenderedPageBreak/>
        <w:t>References</w:t>
      </w:r>
      <w:bookmarkEnd w:id="534"/>
    </w:p>
    <w:p w14:paraId="78DC84A9" w14:textId="5D0B6BF8"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AHRI. (2015). AHRI_Standard_340-360_2015.pdf. Retrieved December 3, 2018, from </w:t>
      </w:r>
      <w:hyperlink r:id="rId25" w:history="1">
        <w:r w:rsidRPr="003F1AF9">
          <w:rPr>
            <w:rFonts w:eastAsia="Times New Roman" w:cs="Times New Roman"/>
            <w:color w:val="0000FF"/>
            <w:szCs w:val="24"/>
            <w:u w:val="single"/>
          </w:rPr>
          <w:t>http://www.ahrinet.org/App_Content/ahri/files/STANDARDS/AHRI/AHRI_Standard_340-360_2015.pdf</w:t>
        </w:r>
      </w:hyperlink>
    </w:p>
    <w:p w14:paraId="3EDA4CEB" w14:textId="1A39E5B5"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AHRI. (2017a). AHRI_Standard_210-240_2017.pdf. Retrieved December 3, 2018, from </w:t>
      </w:r>
      <w:hyperlink r:id="rId26" w:history="1">
        <w:r w:rsidRPr="003F1AF9">
          <w:rPr>
            <w:rFonts w:eastAsia="Times New Roman" w:cs="Times New Roman"/>
            <w:color w:val="0000FF"/>
            <w:szCs w:val="24"/>
            <w:u w:val="single"/>
          </w:rPr>
          <w:t>http://www.ahrinet.org/App_Content/ahri/files/STANDARDS/AHRI/AHRI_Standard_210-240_2017.pdf</w:t>
        </w:r>
      </w:hyperlink>
    </w:p>
    <w:p w14:paraId="57C5A112" w14:textId="3A2E17B6"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AHRI. (2017b). AHRI_Standard_310-380_2017_CSA_C744_17.pdf. Retrieved December 3, 2018, from </w:t>
      </w:r>
      <w:hyperlink r:id="rId27" w:history="1">
        <w:r w:rsidRPr="003F1AF9">
          <w:rPr>
            <w:rFonts w:eastAsia="Times New Roman" w:cs="Times New Roman"/>
            <w:color w:val="0000FF"/>
            <w:szCs w:val="24"/>
            <w:u w:val="single"/>
          </w:rPr>
          <w:t>http://www.ahrinet.org/App_Content/ahri/files/STANDARDS/AHRI/AHRI_Standard_310-380_2017_CSA_C744_17.pdf</w:t>
        </w:r>
      </w:hyperlink>
    </w:p>
    <w:p w14:paraId="53C1173D" w14:textId="15507B7C"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Air Conditioning, Heating and Refrigeration Institute. (2008). ANSI.AHRI Standard 210.240 with Addenda 1 and 2.pdf. Retrieved November 16, 2018, from </w:t>
      </w:r>
      <w:hyperlink r:id="rId28" w:history="1">
        <w:r w:rsidRPr="003F1AF9">
          <w:rPr>
            <w:rFonts w:eastAsia="Times New Roman" w:cs="Times New Roman"/>
            <w:color w:val="0000FF"/>
            <w:szCs w:val="24"/>
            <w:u w:val="single"/>
          </w:rPr>
          <w:t>http://www.ahrinet.org/App_Content/ahri/files/standards%20pdfs/ANSI%20standards%20pdfs/ANSI.AHRI%20Standard%20210.240%20with%20Addenda%201%20and%202.pdf</w:t>
        </w:r>
      </w:hyperlink>
    </w:p>
    <w:p w14:paraId="31A567FC" w14:textId="4B9DF9C5"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Air Conditioning, Heating and Refrigeration Institute. (2018). Central Air Conditioners and Air-Source Heat Pumps. Retrieved November 18, 2018, from </w:t>
      </w:r>
      <w:hyperlink r:id="rId29" w:history="1">
        <w:r w:rsidRPr="003F1AF9">
          <w:rPr>
            <w:rFonts w:eastAsia="Times New Roman" w:cs="Times New Roman"/>
            <w:color w:val="0000FF"/>
            <w:szCs w:val="24"/>
            <w:u w:val="single"/>
          </w:rPr>
          <w:t>http://www.ahrinet.org/Resources/Statistics/Historical-Data/Central-Air-Conditioners-and-Air-Source-Heat-Pumps</w:t>
        </w:r>
      </w:hyperlink>
    </w:p>
    <w:p w14:paraId="629D7C21" w14:textId="77777777" w:rsidR="00721223" w:rsidRDefault="00721223" w:rsidP="00447380">
      <w:pPr>
        <w:spacing w:after="0"/>
        <w:ind w:hanging="480"/>
        <w:jc w:val="left"/>
        <w:rPr>
          <w:rFonts w:eastAsia="Times New Roman" w:cs="Times New Roman"/>
          <w:szCs w:val="24"/>
        </w:rPr>
      </w:pPr>
      <w:proofErr w:type="spellStart"/>
      <w:r w:rsidRPr="00721223">
        <w:rPr>
          <w:rFonts w:eastAsia="Times New Roman" w:cs="Times New Roman"/>
          <w:szCs w:val="24"/>
        </w:rPr>
        <w:t>Akisawa</w:t>
      </w:r>
      <w:proofErr w:type="spellEnd"/>
      <w:r w:rsidRPr="00721223">
        <w:rPr>
          <w:rFonts w:eastAsia="Times New Roman" w:cs="Times New Roman"/>
          <w:szCs w:val="24"/>
        </w:rPr>
        <w:t xml:space="preserve"> (2000), Technological development and market substitution of heat pumps—a case of room air-conditioners in Japan, unpublished data, room air conditioners, AS REFERENCED IN Weiss, M., </w:t>
      </w:r>
      <w:proofErr w:type="spellStart"/>
      <w:r w:rsidRPr="00721223">
        <w:rPr>
          <w:rFonts w:eastAsia="Times New Roman" w:cs="Times New Roman"/>
          <w:szCs w:val="24"/>
        </w:rPr>
        <w:t>Junginger</w:t>
      </w:r>
      <w:proofErr w:type="spellEnd"/>
      <w:r w:rsidRPr="00721223">
        <w:rPr>
          <w:rFonts w:eastAsia="Times New Roman" w:cs="Times New Roman"/>
          <w:szCs w:val="24"/>
        </w:rPr>
        <w:t>, M., Patel, M. K., &amp; Blok, K. (2010). A review of experience curve analyses for energy demand technologies. Technological forecasting and social change, 77(3), 411-428.</w:t>
      </w:r>
    </w:p>
    <w:p w14:paraId="31930CCF" w14:textId="0683DD7A" w:rsidR="00AC3992" w:rsidRDefault="00AC3992" w:rsidP="00447380">
      <w:pPr>
        <w:spacing w:after="0"/>
        <w:ind w:hanging="480"/>
        <w:jc w:val="left"/>
        <w:rPr>
          <w:rFonts w:eastAsia="Times New Roman" w:cs="Times New Roman"/>
          <w:color w:val="0000FF"/>
          <w:szCs w:val="24"/>
          <w:u w:val="single"/>
        </w:rPr>
      </w:pPr>
      <w:r w:rsidRPr="003F1AF9">
        <w:rPr>
          <w:rFonts w:eastAsia="Times New Roman" w:cs="Times New Roman"/>
          <w:szCs w:val="24"/>
        </w:rPr>
        <w:t xml:space="preserve">AMPERE. (n.d.). AMPERE Public Database (Version 1.0.0) for Models: GEM-E3, IMAGE and MESSAGE. Retrieved March 5, 2019, from </w:t>
      </w:r>
      <w:hyperlink r:id="rId30" w:history="1">
        <w:r w:rsidRPr="003F1AF9">
          <w:rPr>
            <w:rFonts w:eastAsia="Times New Roman" w:cs="Times New Roman"/>
            <w:color w:val="0000FF"/>
            <w:szCs w:val="24"/>
            <w:u w:val="single"/>
          </w:rPr>
          <w:t>https://secure.iiasa.ac.at/web-apps/ene/AMPEREDB</w:t>
        </w:r>
      </w:hyperlink>
    </w:p>
    <w:p w14:paraId="424DBBCA" w14:textId="3A039D63" w:rsidR="00CB693B" w:rsidRPr="003F1AF9" w:rsidRDefault="00CB693B" w:rsidP="00447380">
      <w:pPr>
        <w:spacing w:after="0"/>
        <w:ind w:hanging="480"/>
        <w:jc w:val="left"/>
        <w:rPr>
          <w:rFonts w:eastAsia="Times New Roman" w:cs="Times New Roman"/>
          <w:szCs w:val="24"/>
        </w:rPr>
      </w:pPr>
      <w:r w:rsidRPr="00CB693B">
        <w:rPr>
          <w:rFonts w:eastAsia="Times New Roman" w:cs="Times New Roman"/>
          <w:szCs w:val="24"/>
        </w:rPr>
        <w:t>Bass (1980), for 1946-61,</w:t>
      </w:r>
      <w:r w:rsidR="0078120E">
        <w:rPr>
          <w:rFonts w:eastAsia="Times New Roman" w:cs="Times New Roman"/>
          <w:szCs w:val="24"/>
        </w:rPr>
        <w:t xml:space="preserve"> </w:t>
      </w:r>
      <w:r w:rsidRPr="00CB693B">
        <w:rPr>
          <w:rFonts w:eastAsia="Times New Roman" w:cs="Times New Roman"/>
          <w:szCs w:val="24"/>
        </w:rPr>
        <w:t xml:space="preserve">- The relationship between diffusion rates, experience curves, and demand elasticities for consumer durable technological innovations, J. Bus. 53, pp51–67, room air conditioner, AS REFERENCED IN Weiss, M., </w:t>
      </w:r>
      <w:proofErr w:type="spellStart"/>
      <w:r w:rsidRPr="00CB693B">
        <w:rPr>
          <w:rFonts w:eastAsia="Times New Roman" w:cs="Times New Roman"/>
          <w:szCs w:val="24"/>
        </w:rPr>
        <w:t>Junginger</w:t>
      </w:r>
      <w:proofErr w:type="spellEnd"/>
      <w:r w:rsidRPr="00CB693B">
        <w:rPr>
          <w:rFonts w:eastAsia="Times New Roman" w:cs="Times New Roman"/>
          <w:szCs w:val="24"/>
        </w:rPr>
        <w:t>, M., Patel, M. K., &amp; Blok, K. (2010). A review of experience curve analyses for energy demand technologies. Technological forecasting and social change, 77(3), 411-428.</w:t>
      </w:r>
    </w:p>
    <w:p w14:paraId="715F2801"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Baxter, V. (2017). Annex41_2page_summary Cold Climate Heat Pumps 2017.pdf.</w:t>
      </w:r>
    </w:p>
    <w:p w14:paraId="6A8EA127" w14:textId="0BD43BCF" w:rsidR="00AC3992" w:rsidRPr="003F1AF9" w:rsidRDefault="00AC3992" w:rsidP="00447380">
      <w:pPr>
        <w:spacing w:after="0"/>
        <w:ind w:hanging="480"/>
        <w:jc w:val="left"/>
        <w:rPr>
          <w:rFonts w:eastAsia="Times New Roman" w:cs="Times New Roman"/>
          <w:szCs w:val="24"/>
        </w:rPr>
      </w:pPr>
      <w:r w:rsidRPr="0003357C">
        <w:rPr>
          <w:rFonts w:eastAsia="Times New Roman" w:cs="Times New Roman"/>
          <w:szCs w:val="24"/>
          <w:lang w:val="pt-PT"/>
        </w:rPr>
        <w:t xml:space="preserve">Capros, P., </w:t>
      </w:r>
      <w:proofErr w:type="spellStart"/>
      <w:r w:rsidRPr="0003357C">
        <w:rPr>
          <w:rFonts w:eastAsia="Times New Roman" w:cs="Times New Roman"/>
          <w:szCs w:val="24"/>
          <w:lang w:val="pt-PT"/>
        </w:rPr>
        <w:t>Paroussos</w:t>
      </w:r>
      <w:proofErr w:type="spellEnd"/>
      <w:r w:rsidRPr="0003357C">
        <w:rPr>
          <w:rFonts w:eastAsia="Times New Roman" w:cs="Times New Roman"/>
          <w:szCs w:val="24"/>
          <w:lang w:val="pt-PT"/>
        </w:rPr>
        <w:t xml:space="preserve">, L., </w:t>
      </w:r>
      <w:proofErr w:type="spellStart"/>
      <w:r w:rsidRPr="0003357C">
        <w:rPr>
          <w:rFonts w:eastAsia="Times New Roman" w:cs="Times New Roman"/>
          <w:szCs w:val="24"/>
          <w:lang w:val="pt-PT"/>
        </w:rPr>
        <w:t>Fragkos</w:t>
      </w:r>
      <w:proofErr w:type="spellEnd"/>
      <w:r w:rsidRPr="0003357C">
        <w:rPr>
          <w:rFonts w:eastAsia="Times New Roman" w:cs="Times New Roman"/>
          <w:szCs w:val="24"/>
          <w:lang w:val="pt-PT"/>
        </w:rPr>
        <w:t xml:space="preserve">, P., </w:t>
      </w:r>
      <w:proofErr w:type="spellStart"/>
      <w:r w:rsidRPr="0003357C">
        <w:rPr>
          <w:rFonts w:eastAsia="Times New Roman" w:cs="Times New Roman"/>
          <w:szCs w:val="24"/>
          <w:lang w:val="pt-PT"/>
        </w:rPr>
        <w:t>Tsani</w:t>
      </w:r>
      <w:proofErr w:type="spellEnd"/>
      <w:r w:rsidRPr="0003357C">
        <w:rPr>
          <w:rFonts w:eastAsia="Times New Roman" w:cs="Times New Roman"/>
          <w:szCs w:val="24"/>
          <w:lang w:val="pt-PT"/>
        </w:rPr>
        <w:t xml:space="preserve">, S., </w:t>
      </w:r>
      <w:proofErr w:type="spellStart"/>
      <w:r w:rsidRPr="0003357C">
        <w:rPr>
          <w:rFonts w:eastAsia="Times New Roman" w:cs="Times New Roman"/>
          <w:szCs w:val="24"/>
          <w:lang w:val="pt-PT"/>
        </w:rPr>
        <w:t>Boitier</w:t>
      </w:r>
      <w:proofErr w:type="spellEnd"/>
      <w:r w:rsidRPr="0003357C">
        <w:rPr>
          <w:rFonts w:eastAsia="Times New Roman" w:cs="Times New Roman"/>
          <w:szCs w:val="24"/>
          <w:lang w:val="pt-PT"/>
        </w:rPr>
        <w:t xml:space="preserve">, B., Wagner, F., … </w:t>
      </w:r>
      <w:proofErr w:type="spellStart"/>
      <w:r w:rsidRPr="003F1AF9">
        <w:rPr>
          <w:rFonts w:eastAsia="Times New Roman" w:cs="Times New Roman"/>
          <w:szCs w:val="24"/>
        </w:rPr>
        <w:t>Bollen</w:t>
      </w:r>
      <w:proofErr w:type="spellEnd"/>
      <w:r w:rsidRPr="003F1AF9">
        <w:rPr>
          <w:rFonts w:eastAsia="Times New Roman" w:cs="Times New Roman"/>
          <w:szCs w:val="24"/>
        </w:rPr>
        <w:t xml:space="preserve">, J. (2014). European </w:t>
      </w:r>
      <w:proofErr w:type="spellStart"/>
      <w:r w:rsidRPr="003F1AF9">
        <w:rPr>
          <w:rFonts w:eastAsia="Times New Roman" w:cs="Times New Roman"/>
          <w:szCs w:val="24"/>
        </w:rPr>
        <w:t>decarbonisation</w:t>
      </w:r>
      <w:proofErr w:type="spellEnd"/>
      <w:r w:rsidRPr="003F1AF9">
        <w:rPr>
          <w:rFonts w:eastAsia="Times New Roman" w:cs="Times New Roman"/>
          <w:szCs w:val="24"/>
        </w:rPr>
        <w:t xml:space="preserve"> pathways under alternative technological and policy choices: A multi-model analysis. </w:t>
      </w:r>
      <w:r w:rsidRPr="003F1AF9">
        <w:rPr>
          <w:rFonts w:eastAsia="Times New Roman" w:cs="Times New Roman"/>
          <w:i/>
          <w:iCs/>
          <w:szCs w:val="24"/>
        </w:rPr>
        <w:t>Energy Strategy Reviews</w:t>
      </w:r>
      <w:r w:rsidRPr="003F1AF9">
        <w:rPr>
          <w:rFonts w:eastAsia="Times New Roman" w:cs="Times New Roman"/>
          <w:szCs w:val="24"/>
        </w:rPr>
        <w:t xml:space="preserve">, </w:t>
      </w:r>
      <w:r w:rsidRPr="003F1AF9">
        <w:rPr>
          <w:rFonts w:eastAsia="Times New Roman" w:cs="Times New Roman"/>
          <w:i/>
          <w:iCs/>
          <w:szCs w:val="24"/>
        </w:rPr>
        <w:t>2</w:t>
      </w:r>
      <w:r w:rsidRPr="003F1AF9">
        <w:rPr>
          <w:rFonts w:eastAsia="Times New Roman" w:cs="Times New Roman"/>
          <w:szCs w:val="24"/>
        </w:rPr>
        <w:t xml:space="preserve">(3–4), 231–245. </w:t>
      </w:r>
      <w:hyperlink r:id="rId31" w:history="1">
        <w:r w:rsidRPr="003F1AF9">
          <w:rPr>
            <w:rFonts w:eastAsia="Times New Roman" w:cs="Times New Roman"/>
            <w:color w:val="0000FF"/>
            <w:szCs w:val="24"/>
            <w:u w:val="single"/>
          </w:rPr>
          <w:t>https://doi.org/10.1016/j.esr.2013.12.007</w:t>
        </w:r>
      </w:hyperlink>
    </w:p>
    <w:p w14:paraId="7CC9397E"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Castro-Alvarez, F., Vaidyanathan, S., Bastian, H., &amp; King, J. (2018). The 2018 International Energy Efficiency Scorecard, 139.</w:t>
      </w:r>
    </w:p>
    <w:p w14:paraId="4EAF9F4B" w14:textId="07440163"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t>Cauret</w:t>
      </w:r>
      <w:proofErr w:type="spellEnd"/>
      <w:r w:rsidRPr="003F1AF9">
        <w:rPr>
          <w:rFonts w:eastAsia="Times New Roman" w:cs="Times New Roman"/>
          <w:szCs w:val="24"/>
        </w:rPr>
        <w:t xml:space="preserve">, O. (2016). </w:t>
      </w:r>
      <w:r w:rsidRPr="003F1AF9">
        <w:rPr>
          <w:rFonts w:eastAsia="Times New Roman" w:cs="Times New Roman"/>
          <w:i/>
          <w:iCs/>
          <w:szCs w:val="24"/>
        </w:rPr>
        <w:t>2016</w:t>
      </w:r>
      <w:r w:rsidR="00721223">
        <w:rPr>
          <w:rFonts w:eastAsia="Times New Roman" w:cs="Times New Roman"/>
          <w:i/>
          <w:iCs/>
          <w:szCs w:val="24"/>
        </w:rPr>
        <w:t xml:space="preserve"> </w:t>
      </w:r>
      <w:r w:rsidRPr="003F1AF9">
        <w:rPr>
          <w:rFonts w:eastAsia="Times New Roman" w:cs="Times New Roman"/>
          <w:i/>
          <w:iCs/>
          <w:szCs w:val="24"/>
        </w:rPr>
        <w:t>Heat</w:t>
      </w:r>
      <w:r w:rsidR="00721223">
        <w:rPr>
          <w:rFonts w:eastAsia="Times New Roman" w:cs="Times New Roman"/>
          <w:i/>
          <w:iCs/>
          <w:szCs w:val="24"/>
        </w:rPr>
        <w:t xml:space="preserve"> </w:t>
      </w:r>
      <w:r w:rsidRPr="003F1AF9">
        <w:rPr>
          <w:rFonts w:eastAsia="Times New Roman" w:cs="Times New Roman"/>
          <w:i/>
          <w:iCs/>
          <w:szCs w:val="24"/>
        </w:rPr>
        <w:t>Pump</w:t>
      </w:r>
      <w:r w:rsidR="00721223">
        <w:rPr>
          <w:rFonts w:eastAsia="Times New Roman" w:cs="Times New Roman"/>
          <w:i/>
          <w:iCs/>
          <w:szCs w:val="24"/>
        </w:rPr>
        <w:t xml:space="preserve"> </w:t>
      </w:r>
      <w:r w:rsidRPr="003F1AF9">
        <w:rPr>
          <w:rFonts w:eastAsia="Times New Roman" w:cs="Times New Roman"/>
          <w:i/>
          <w:iCs/>
          <w:szCs w:val="24"/>
        </w:rPr>
        <w:t>Water</w:t>
      </w:r>
      <w:r w:rsidR="00721223">
        <w:rPr>
          <w:rFonts w:eastAsia="Times New Roman" w:cs="Times New Roman"/>
          <w:i/>
          <w:iCs/>
          <w:szCs w:val="24"/>
        </w:rPr>
        <w:t xml:space="preserve"> </w:t>
      </w:r>
      <w:r w:rsidRPr="003F1AF9">
        <w:rPr>
          <w:rFonts w:eastAsia="Times New Roman" w:cs="Times New Roman"/>
          <w:i/>
          <w:iCs/>
          <w:szCs w:val="24"/>
        </w:rPr>
        <w:t>Heaters</w:t>
      </w:r>
      <w:r w:rsidR="00721223">
        <w:rPr>
          <w:rFonts w:eastAsia="Times New Roman" w:cs="Times New Roman"/>
          <w:i/>
          <w:iCs/>
          <w:szCs w:val="24"/>
        </w:rPr>
        <w:t xml:space="preserve"> </w:t>
      </w:r>
      <w:r w:rsidRPr="003F1AF9">
        <w:rPr>
          <w:rFonts w:eastAsia="Times New Roman" w:cs="Times New Roman"/>
          <w:i/>
          <w:iCs/>
          <w:szCs w:val="24"/>
        </w:rPr>
        <w:t>French</w:t>
      </w:r>
      <w:r w:rsidR="00721223">
        <w:rPr>
          <w:rFonts w:eastAsia="Times New Roman" w:cs="Times New Roman"/>
          <w:i/>
          <w:iCs/>
          <w:szCs w:val="24"/>
        </w:rPr>
        <w:t xml:space="preserve"> </w:t>
      </w:r>
      <w:r w:rsidRPr="003F1AF9">
        <w:rPr>
          <w:rFonts w:eastAsia="Times New Roman" w:cs="Times New Roman"/>
          <w:i/>
          <w:iCs/>
          <w:szCs w:val="24"/>
        </w:rPr>
        <w:t>Market</w:t>
      </w:r>
      <w:r w:rsidR="00721223">
        <w:rPr>
          <w:rFonts w:eastAsia="Times New Roman" w:cs="Times New Roman"/>
          <w:i/>
          <w:iCs/>
          <w:szCs w:val="24"/>
        </w:rPr>
        <w:t xml:space="preserve"> </w:t>
      </w:r>
      <w:r w:rsidRPr="003F1AF9">
        <w:rPr>
          <w:rFonts w:eastAsia="Times New Roman" w:cs="Times New Roman"/>
          <w:i/>
          <w:iCs/>
          <w:szCs w:val="24"/>
        </w:rPr>
        <w:t>Overview</w:t>
      </w:r>
      <w:r w:rsidR="00721223">
        <w:rPr>
          <w:rFonts w:eastAsia="Times New Roman" w:cs="Times New Roman"/>
          <w:i/>
          <w:iCs/>
          <w:szCs w:val="24"/>
        </w:rPr>
        <w:t>.</w:t>
      </w:r>
      <w:r w:rsidRPr="003F1AF9">
        <w:rPr>
          <w:rFonts w:eastAsia="Times New Roman" w:cs="Times New Roman"/>
          <w:szCs w:val="24"/>
        </w:rPr>
        <w:t xml:space="preserve"> EDF.</w:t>
      </w:r>
    </w:p>
    <w:p w14:paraId="427ED823" w14:textId="674A72AA" w:rsidR="00AC3992" w:rsidRPr="003F1AF9" w:rsidRDefault="00721223" w:rsidP="00447380">
      <w:pPr>
        <w:spacing w:after="0"/>
        <w:ind w:hanging="480"/>
        <w:jc w:val="left"/>
        <w:rPr>
          <w:rFonts w:eastAsia="Times New Roman" w:cs="Times New Roman"/>
          <w:szCs w:val="24"/>
        </w:rPr>
      </w:pPr>
      <w:r w:rsidRPr="003F1AF9">
        <w:rPr>
          <w:rFonts w:eastAsia="Times New Roman" w:cs="Times New Roman"/>
          <w:szCs w:val="24"/>
        </w:rPr>
        <w:lastRenderedPageBreak/>
        <w:t>(n.d.)</w:t>
      </w:r>
      <w:r>
        <w:rPr>
          <w:rFonts w:eastAsia="Times New Roman" w:cs="Times New Roman"/>
          <w:szCs w:val="24"/>
        </w:rPr>
        <w:t xml:space="preserve"> </w:t>
      </w:r>
      <w:r w:rsidR="00AC3992" w:rsidRPr="003F1AF9">
        <w:rPr>
          <w:rFonts w:eastAsia="Times New Roman" w:cs="Times New Roman"/>
          <w:szCs w:val="24"/>
        </w:rPr>
        <w:t>Data &amp; forecasts for HP space heating &amp; water heating efficiency, cost, learning rates.</w:t>
      </w:r>
      <w:r w:rsidR="0078120E">
        <w:rPr>
          <w:rFonts w:eastAsia="Times New Roman" w:cs="Times New Roman"/>
          <w:szCs w:val="24"/>
        </w:rPr>
        <w:t xml:space="preserve"> </w:t>
      </w:r>
      <w:r w:rsidR="00AC3992" w:rsidRPr="003F1AF9">
        <w:rPr>
          <w:rFonts w:eastAsia="Times New Roman" w:cs="Times New Roman"/>
          <w:szCs w:val="24"/>
        </w:rPr>
        <w:t xml:space="preserve">US Residential &amp; Commercial. . </w:t>
      </w:r>
    </w:p>
    <w:p w14:paraId="17369308" w14:textId="6807274C"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Deutz, K. (2017). Performance evaluation of a Heat Pump Water Heater by means of thermodynamic simulation. In </w:t>
      </w:r>
      <w:r w:rsidRPr="003F1AF9">
        <w:rPr>
          <w:rFonts w:eastAsia="Times New Roman" w:cs="Times New Roman"/>
          <w:i/>
          <w:iCs/>
          <w:szCs w:val="24"/>
        </w:rPr>
        <w:t>12th Annual IEA Heat Pump Conference</w:t>
      </w:r>
      <w:r w:rsidRPr="003F1AF9">
        <w:rPr>
          <w:rFonts w:eastAsia="Times New Roman" w:cs="Times New Roman"/>
          <w:szCs w:val="24"/>
        </w:rPr>
        <w:t xml:space="preserve">. Retrieved from </w:t>
      </w:r>
      <w:hyperlink r:id="rId32" w:history="1">
        <w:r w:rsidRPr="003F1AF9">
          <w:rPr>
            <w:rFonts w:eastAsia="Times New Roman" w:cs="Times New Roman"/>
            <w:color w:val="0000FF"/>
            <w:szCs w:val="24"/>
            <w:u w:val="single"/>
          </w:rPr>
          <w:t>https://www.researchgate.net/publication/317091319_Performance_evaluation_of_a_Heat_Pump_Water_Heater_by_means_of_thermodynamic_simulation</w:t>
        </w:r>
      </w:hyperlink>
    </w:p>
    <w:p w14:paraId="23B344FE"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Deutz, K. R., </w:t>
      </w:r>
      <w:proofErr w:type="spellStart"/>
      <w:r w:rsidRPr="003F1AF9">
        <w:rPr>
          <w:rFonts w:eastAsia="Times New Roman" w:cs="Times New Roman"/>
          <w:szCs w:val="24"/>
        </w:rPr>
        <w:t>Cauret</w:t>
      </w:r>
      <w:proofErr w:type="spellEnd"/>
      <w:r w:rsidRPr="003F1AF9">
        <w:rPr>
          <w:rFonts w:eastAsia="Times New Roman" w:cs="Times New Roman"/>
          <w:szCs w:val="24"/>
        </w:rPr>
        <w:t xml:space="preserve">, O., </w:t>
      </w:r>
      <w:proofErr w:type="spellStart"/>
      <w:r w:rsidRPr="003F1AF9">
        <w:rPr>
          <w:rFonts w:eastAsia="Times New Roman" w:cs="Times New Roman"/>
          <w:szCs w:val="24"/>
        </w:rPr>
        <w:t>Rullière</w:t>
      </w:r>
      <w:proofErr w:type="spellEnd"/>
      <w:r w:rsidRPr="003F1AF9">
        <w:rPr>
          <w:rFonts w:eastAsia="Times New Roman" w:cs="Times New Roman"/>
          <w:szCs w:val="24"/>
        </w:rPr>
        <w:t xml:space="preserve">, R., &amp; Lyon, I. (2018). </w:t>
      </w:r>
      <w:r w:rsidRPr="003F1AF9">
        <w:rPr>
          <w:rFonts w:eastAsia="Times New Roman" w:cs="Times New Roman"/>
          <w:i/>
          <w:iCs/>
          <w:szCs w:val="24"/>
        </w:rPr>
        <w:t>MULTI-CRITERIA AIR SOURCE HEAT PUMP WATER HEATER OPTIMIZATION</w:t>
      </w:r>
      <w:r w:rsidRPr="003F1AF9">
        <w:rPr>
          <w:rFonts w:eastAsia="Times New Roman" w:cs="Times New Roman"/>
          <w:szCs w:val="24"/>
        </w:rPr>
        <w:t xml:space="preserve"> (p. 18).</w:t>
      </w:r>
    </w:p>
    <w:p w14:paraId="2F6A88C2" w14:textId="77777777"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t>Dulac</w:t>
      </w:r>
      <w:proofErr w:type="spellEnd"/>
      <w:r w:rsidRPr="003F1AF9">
        <w:rPr>
          <w:rFonts w:eastAsia="Times New Roman" w:cs="Times New Roman"/>
          <w:szCs w:val="24"/>
        </w:rPr>
        <w:t xml:space="preserve">, J. (2019). DHC Density Personal Communication John </w:t>
      </w:r>
      <w:proofErr w:type="spellStart"/>
      <w:r w:rsidRPr="003F1AF9">
        <w:rPr>
          <w:rFonts w:eastAsia="Times New Roman" w:cs="Times New Roman"/>
          <w:szCs w:val="24"/>
        </w:rPr>
        <w:t>Dulac</w:t>
      </w:r>
      <w:proofErr w:type="spellEnd"/>
      <w:r w:rsidRPr="003F1AF9">
        <w:rPr>
          <w:rFonts w:eastAsia="Times New Roman" w:cs="Times New Roman"/>
          <w:szCs w:val="24"/>
        </w:rPr>
        <w:t xml:space="preserve"> IEA 2019-01-25.docx.</w:t>
      </w:r>
    </w:p>
    <w:p w14:paraId="250D5511"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EFS_70485_figure_data.xlsx. (n.d.).</w:t>
      </w:r>
    </w:p>
    <w:p w14:paraId="0B8537CF" w14:textId="77777777"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t>EFS_Technology_Data</w:t>
      </w:r>
      <w:proofErr w:type="spellEnd"/>
      <w:r w:rsidRPr="003F1AF9">
        <w:rPr>
          <w:rFonts w:eastAsia="Times New Roman" w:cs="Times New Roman"/>
          <w:szCs w:val="24"/>
        </w:rPr>
        <w:t xml:space="preserve"> NREL 2017.xlsx. (n.d.).</w:t>
      </w:r>
    </w:p>
    <w:p w14:paraId="10BAB062" w14:textId="757B8A2A"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EHPA. (2014). EHPA_Statistics_Report_2014_ONLINE_VERSION.pdf. Retrieved November 16, 2018, from </w:t>
      </w:r>
      <w:hyperlink r:id="rId33" w:history="1">
        <w:r w:rsidRPr="003F1AF9">
          <w:rPr>
            <w:rFonts w:eastAsia="Times New Roman" w:cs="Times New Roman"/>
            <w:color w:val="0000FF"/>
            <w:szCs w:val="24"/>
            <w:u w:val="single"/>
          </w:rPr>
          <w:t>https://www.ehpa.org/fileadmin/red/07._Market_Data/2013/EHPA_Statistics_Report_2014_ONLINE_VERSION.pdf</w:t>
        </w:r>
      </w:hyperlink>
    </w:p>
    <w:p w14:paraId="650D4B35" w14:textId="1F705B41"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EHPA. (2015). EHPA_European_Heat_Pump_Market_and_Statistics_Report_2015_-_executive_Summary.pdf. Retrieved November 15, 2018, from </w:t>
      </w:r>
      <w:hyperlink r:id="rId34" w:history="1">
        <w:r w:rsidRPr="003F1AF9">
          <w:rPr>
            <w:rFonts w:eastAsia="Times New Roman" w:cs="Times New Roman"/>
            <w:color w:val="0000FF"/>
            <w:szCs w:val="24"/>
            <w:u w:val="single"/>
          </w:rPr>
          <w:t>https://www.ehpa.org/fileadmin/red/07._Market_Data/2014/EHPA_European_Heat_Pump_Market_and_Statistics_Report_2015_-_executive_Summary.pdf</w:t>
        </w:r>
      </w:hyperlink>
    </w:p>
    <w:p w14:paraId="4A0B2584" w14:textId="346998F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EHPA. (2018). The industry in a nutshell - EHPA. Retrieved December 5, 2018, from </w:t>
      </w:r>
      <w:hyperlink r:id="rId35" w:history="1">
        <w:r w:rsidRPr="003F1AF9">
          <w:rPr>
            <w:rFonts w:eastAsia="Times New Roman" w:cs="Times New Roman"/>
            <w:color w:val="0000FF"/>
            <w:szCs w:val="24"/>
            <w:u w:val="single"/>
          </w:rPr>
          <w:t>https://www.ehpa.org/market-data/the-industry-in-a-nutshell/</w:t>
        </w:r>
      </w:hyperlink>
    </w:p>
    <w:p w14:paraId="28AB1D0F" w14:textId="521E191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ENERGY STAR. (n.d.-a). Air-Source Heat Pumps and Central Air Conditioners Key Product Criteria. Retrieved November 9, 2018, from </w:t>
      </w:r>
      <w:hyperlink r:id="rId36" w:history="1">
        <w:r w:rsidRPr="003F1AF9">
          <w:rPr>
            <w:rFonts w:eastAsia="Times New Roman" w:cs="Times New Roman"/>
            <w:color w:val="0000FF"/>
            <w:szCs w:val="24"/>
            <w:u w:val="single"/>
          </w:rPr>
          <w:t>https://www.energystar.gov/products/heating_cooling/heat_pumps_air_source/key_product_criteria</w:t>
        </w:r>
      </w:hyperlink>
    </w:p>
    <w:p w14:paraId="478695B3" w14:textId="67B56DA1"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ENERGY STAR. (n.d.-b). CAC_ASHP_GHP ENERGY STAR Most Efficient 2018 Final Criteria.pdf. Retrieved November 9, 2018, from </w:t>
      </w:r>
      <w:hyperlink r:id="rId37" w:history="1">
        <w:r w:rsidRPr="003F1AF9">
          <w:rPr>
            <w:rFonts w:eastAsia="Times New Roman" w:cs="Times New Roman"/>
            <w:color w:val="0000FF"/>
            <w:szCs w:val="24"/>
            <w:u w:val="single"/>
          </w:rPr>
          <w:t>https://www.energystar.gov/sites/default/files/CAC_ASHP_GHP%20ENERGY%20STAR%20Most%20Efficient%202018%20Final%20Criteria.pdf</w:t>
        </w:r>
      </w:hyperlink>
    </w:p>
    <w:p w14:paraId="1129D849" w14:textId="363BB75E"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ENERGY STAR. (n.d.-c). Central Air Conditioners and Air Source Heat Pumps | ENERGY STAR. Retrieved November 9, 2018, from </w:t>
      </w:r>
      <w:hyperlink r:id="rId38" w:history="1">
        <w:r w:rsidRPr="003F1AF9">
          <w:rPr>
            <w:rFonts w:eastAsia="Times New Roman" w:cs="Times New Roman"/>
            <w:color w:val="0000FF"/>
            <w:szCs w:val="24"/>
            <w:u w:val="single"/>
          </w:rPr>
          <w:t>https://www.energystar.gov/index.cfm?c=most_efficient.me_cac_ashp</w:t>
        </w:r>
      </w:hyperlink>
    </w:p>
    <w:p w14:paraId="0D5B1D59" w14:textId="2BF670FC"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ENERGY STAR. (n.d.-d). Federal Tax Credits: Geothermal Heat Pumps. Retrieved November 29, 2018, from </w:t>
      </w:r>
      <w:hyperlink r:id="rId39" w:history="1">
        <w:r w:rsidRPr="003F1AF9">
          <w:rPr>
            <w:rFonts w:eastAsia="Times New Roman" w:cs="Times New Roman"/>
            <w:color w:val="0000FF"/>
            <w:szCs w:val="24"/>
            <w:u w:val="single"/>
          </w:rPr>
          <w:t>https://www.energystar.gov/about/federal_tax_credits/geothermal_heat_pumps</w:t>
        </w:r>
      </w:hyperlink>
    </w:p>
    <w:p w14:paraId="7B8194FA" w14:textId="2859333D"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ENERGY STAR. (n.d.-e). How a Product Earns the ENERGY STAR Label. Retrieved November 9, 2018, from </w:t>
      </w:r>
      <w:hyperlink r:id="rId40" w:history="1">
        <w:r w:rsidRPr="003F1AF9">
          <w:rPr>
            <w:rFonts w:eastAsia="Times New Roman" w:cs="Times New Roman"/>
            <w:color w:val="0000FF"/>
            <w:szCs w:val="24"/>
            <w:u w:val="single"/>
          </w:rPr>
          <w:t>https://www.energystar.gov/products/how-product-earns-energy-star-label</w:t>
        </w:r>
      </w:hyperlink>
    </w:p>
    <w:p w14:paraId="353D3D1F" w14:textId="010F6DC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lastRenderedPageBreak/>
        <w:t xml:space="preserve">ENERGY STAR. (n.d.-f). Room Air Conditioners Key Product Criteria. Retrieved November 9, 2018, from </w:t>
      </w:r>
      <w:hyperlink r:id="rId41" w:history="1">
        <w:r w:rsidRPr="003F1AF9">
          <w:rPr>
            <w:rFonts w:eastAsia="Times New Roman" w:cs="Times New Roman"/>
            <w:color w:val="0000FF"/>
            <w:szCs w:val="24"/>
            <w:u w:val="single"/>
          </w:rPr>
          <w:t>https://www.energystar.gov/products/heating_cooling/air_conditioning_room/key_product_criteria</w:t>
        </w:r>
      </w:hyperlink>
    </w:p>
    <w:p w14:paraId="095EA34F" w14:textId="47F30AC3"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t>Eom</w:t>
      </w:r>
      <w:proofErr w:type="spellEnd"/>
      <w:r w:rsidRPr="003F1AF9">
        <w:rPr>
          <w:rFonts w:eastAsia="Times New Roman" w:cs="Times New Roman"/>
          <w:szCs w:val="24"/>
        </w:rPr>
        <w:t xml:space="preserve">, J., Clarke, L. E., Kim, S. H., Kyle, G. P., &amp; Patel, P. L. (2012). </w:t>
      </w:r>
      <w:r w:rsidRPr="003F1AF9">
        <w:rPr>
          <w:rFonts w:eastAsia="Times New Roman" w:cs="Times New Roman"/>
          <w:i/>
          <w:iCs/>
          <w:szCs w:val="24"/>
        </w:rPr>
        <w:t>China’s Building Energy Use: A Long-Term Perspective based on a Detailed Assessment</w:t>
      </w:r>
      <w:r w:rsidRPr="003F1AF9">
        <w:rPr>
          <w:rFonts w:eastAsia="Times New Roman" w:cs="Times New Roman"/>
          <w:szCs w:val="24"/>
        </w:rPr>
        <w:t xml:space="preserve"> (No. PNNL-21073, 1034232). </w:t>
      </w:r>
      <w:hyperlink r:id="rId42" w:history="1">
        <w:r w:rsidRPr="003F1AF9">
          <w:rPr>
            <w:rFonts w:eastAsia="Times New Roman" w:cs="Times New Roman"/>
            <w:color w:val="0000FF"/>
            <w:szCs w:val="24"/>
            <w:u w:val="single"/>
          </w:rPr>
          <w:t>https://doi.org/10.2172/1034232</w:t>
        </w:r>
      </w:hyperlink>
    </w:p>
    <w:p w14:paraId="0EABC766" w14:textId="51F0BFC5"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European Commission. (2014). IMPACT ASSESSMENT Accompanying the document swd_2014_0015_en.pdf. Retrieved March 6, 2019, from </w:t>
      </w:r>
      <w:hyperlink r:id="rId43" w:history="1">
        <w:r w:rsidRPr="003F1AF9">
          <w:rPr>
            <w:rFonts w:eastAsia="Times New Roman" w:cs="Times New Roman"/>
            <w:color w:val="0000FF"/>
            <w:szCs w:val="24"/>
            <w:u w:val="single"/>
          </w:rPr>
          <w:t>http://ec.europa.eu/smart-regulation/impact/ia_carried_out/docs/ia_2014/swd_2014_0015_en.pdf</w:t>
        </w:r>
      </w:hyperlink>
    </w:p>
    <w:p w14:paraId="6F0D4248" w14:textId="1BF9C136"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Fairey, P. (2004). FSEC-PF-413-04 Climate Impacts on Heating Seasonal Performance Factor (HSPF) and Seasonal Energy Efficiency</w:t>
      </w:r>
      <w:r w:rsidR="0078120E">
        <w:rPr>
          <w:rFonts w:eastAsia="Times New Roman" w:cs="Times New Roman"/>
          <w:szCs w:val="24"/>
        </w:rPr>
        <w:t xml:space="preserve"> </w:t>
      </w:r>
      <w:r w:rsidRPr="003F1AF9">
        <w:rPr>
          <w:rFonts w:eastAsia="Times New Roman" w:cs="Times New Roman"/>
          <w:szCs w:val="24"/>
        </w:rPr>
        <w:t xml:space="preserve">Ratio (SEER) for Air Source Heat Pumps. Retrieved November 20, 2018, from </w:t>
      </w:r>
      <w:hyperlink r:id="rId44" w:history="1">
        <w:r w:rsidRPr="003F1AF9">
          <w:rPr>
            <w:rFonts w:eastAsia="Times New Roman" w:cs="Times New Roman"/>
            <w:color w:val="0000FF"/>
            <w:szCs w:val="24"/>
            <w:u w:val="single"/>
          </w:rPr>
          <w:t>http://www.fsec.ucf.edu/en/publications/html/FSEC-PF-413-04/</w:t>
        </w:r>
      </w:hyperlink>
    </w:p>
    <w:p w14:paraId="6AB4C721" w14:textId="5775E385"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Federal Energy Management Program. (2018). Incorporate Minimum Efficiency Requirements for Heating and Cooling Products into Federal Acquisition Documents | Department of Energy. Retrieved December 1, 2018, from </w:t>
      </w:r>
      <w:hyperlink r:id="rId45" w:anchor="airsource" w:history="1">
        <w:r w:rsidRPr="003F1AF9">
          <w:rPr>
            <w:rFonts w:eastAsia="Times New Roman" w:cs="Times New Roman"/>
            <w:color w:val="0000FF"/>
            <w:szCs w:val="24"/>
            <w:u w:val="single"/>
          </w:rPr>
          <w:t>https://www.energy.gov/eere/femp/incorporate-minimum-efficiency-requirements-heating-and-cooling-products-federal#airsource</w:t>
        </w:r>
      </w:hyperlink>
    </w:p>
    <w:p w14:paraId="34482A4F" w14:textId="60A65A47"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t>Goetzler</w:t>
      </w:r>
      <w:proofErr w:type="spellEnd"/>
      <w:r w:rsidRPr="003F1AF9">
        <w:rPr>
          <w:rFonts w:eastAsia="Times New Roman" w:cs="Times New Roman"/>
          <w:szCs w:val="24"/>
        </w:rPr>
        <w:t xml:space="preserve">, W., Guernsey, M., Young, J., </w:t>
      </w:r>
      <w:proofErr w:type="spellStart"/>
      <w:r w:rsidRPr="003F1AF9">
        <w:rPr>
          <w:rFonts w:eastAsia="Times New Roman" w:cs="Times New Roman"/>
          <w:szCs w:val="24"/>
        </w:rPr>
        <w:t>Fujrman</w:t>
      </w:r>
      <w:proofErr w:type="spellEnd"/>
      <w:r w:rsidRPr="003F1AF9">
        <w:rPr>
          <w:rFonts w:eastAsia="Times New Roman" w:cs="Times New Roman"/>
          <w:szCs w:val="24"/>
        </w:rPr>
        <w:t xml:space="preserve">, J., &amp; Abdelaziz, A. (2016). </w:t>
      </w:r>
      <w:r w:rsidRPr="003F1AF9">
        <w:rPr>
          <w:rFonts w:eastAsia="Times New Roman" w:cs="Times New Roman"/>
          <w:i/>
          <w:iCs/>
          <w:szCs w:val="24"/>
        </w:rPr>
        <w:t>The Future of Air Conditioning for Buildings</w:t>
      </w:r>
      <w:r w:rsidRPr="003F1AF9">
        <w:rPr>
          <w:rFonts w:eastAsia="Times New Roman" w:cs="Times New Roman"/>
          <w:szCs w:val="24"/>
        </w:rPr>
        <w:t xml:space="preserve"> (No. DOE/EE--1394, 1420235). Navigant Consulting, Inc. </w:t>
      </w:r>
      <w:hyperlink r:id="rId46" w:history="1">
        <w:r w:rsidRPr="003F1AF9">
          <w:rPr>
            <w:rFonts w:eastAsia="Times New Roman" w:cs="Times New Roman"/>
            <w:color w:val="0000FF"/>
            <w:szCs w:val="24"/>
            <w:u w:val="single"/>
          </w:rPr>
          <w:t>https://doi.org/10.2172/1420235</w:t>
        </w:r>
      </w:hyperlink>
    </w:p>
    <w:p w14:paraId="4F8BF310" w14:textId="68E24463"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t>Hendron</w:t>
      </w:r>
      <w:proofErr w:type="spellEnd"/>
      <w:r w:rsidRPr="003F1AF9">
        <w:rPr>
          <w:rFonts w:eastAsia="Times New Roman" w:cs="Times New Roman"/>
          <w:szCs w:val="24"/>
        </w:rPr>
        <w:t xml:space="preserve">, R., &amp; </w:t>
      </w:r>
      <w:proofErr w:type="spellStart"/>
      <w:r w:rsidRPr="003F1AF9">
        <w:rPr>
          <w:rFonts w:eastAsia="Times New Roman" w:cs="Times New Roman"/>
          <w:szCs w:val="24"/>
        </w:rPr>
        <w:t>Engebrecht</w:t>
      </w:r>
      <w:proofErr w:type="spellEnd"/>
      <w:r w:rsidRPr="003F1AF9">
        <w:rPr>
          <w:rFonts w:eastAsia="Times New Roman" w:cs="Times New Roman"/>
          <w:szCs w:val="24"/>
        </w:rPr>
        <w:t xml:space="preserve">, C. (2010). </w:t>
      </w:r>
      <w:r w:rsidRPr="003F1AF9">
        <w:rPr>
          <w:rFonts w:eastAsia="Times New Roman" w:cs="Times New Roman"/>
          <w:i/>
          <w:iCs/>
          <w:szCs w:val="24"/>
        </w:rPr>
        <w:t>Building America House Simulation Protocols (Revised)</w:t>
      </w:r>
      <w:r w:rsidRPr="003F1AF9">
        <w:rPr>
          <w:rFonts w:eastAsia="Times New Roman" w:cs="Times New Roman"/>
          <w:szCs w:val="24"/>
        </w:rPr>
        <w:t xml:space="preserve"> (No. DOE/GO-102010-3141, 989422). </w:t>
      </w:r>
      <w:hyperlink r:id="rId47" w:history="1">
        <w:r w:rsidRPr="003F1AF9">
          <w:rPr>
            <w:rFonts w:eastAsia="Times New Roman" w:cs="Times New Roman"/>
            <w:color w:val="0000FF"/>
            <w:szCs w:val="24"/>
            <w:u w:val="single"/>
          </w:rPr>
          <w:t>https://doi.org/10.2172/989422</w:t>
        </w:r>
      </w:hyperlink>
    </w:p>
    <w:p w14:paraId="46F888E6"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IEA Energy Technology Network. (2012). Space Heating and Cooling FINAL_GSOK IEA 2012.pdf.</w:t>
      </w:r>
    </w:p>
    <w:p w14:paraId="47A8C276"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IEA Heat Pumping Technologies. (2017). </w:t>
      </w:r>
      <w:r w:rsidRPr="003F1AF9">
        <w:rPr>
          <w:rFonts w:eastAsia="Times New Roman" w:cs="Times New Roman"/>
          <w:i/>
          <w:iCs/>
          <w:szCs w:val="24"/>
        </w:rPr>
        <w:t>HPT TCP Annex 41 Final report Cold Climate Heat Pumps 2017.pdf</w:t>
      </w:r>
      <w:r w:rsidRPr="003F1AF9">
        <w:rPr>
          <w:rFonts w:eastAsia="Times New Roman" w:cs="Times New Roman"/>
          <w:szCs w:val="24"/>
        </w:rPr>
        <w:t>.</w:t>
      </w:r>
    </w:p>
    <w:p w14:paraId="3038F9B7" w14:textId="4B6667B3"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IEA Heat Pumping Technologies. (n.d.-a). Efficiency and heat pumps. Retrieved November 28, 2018, from </w:t>
      </w:r>
      <w:hyperlink r:id="rId48" w:history="1">
        <w:r w:rsidRPr="003F1AF9">
          <w:rPr>
            <w:rFonts w:eastAsia="Times New Roman" w:cs="Times New Roman"/>
            <w:color w:val="0000FF"/>
            <w:szCs w:val="24"/>
            <w:u w:val="single"/>
          </w:rPr>
          <w:t>https://heatpumpingtechnologies.org/market-technology/efficiency-heat-pumps/</w:t>
        </w:r>
      </w:hyperlink>
    </w:p>
    <w:p w14:paraId="14D0BAF3" w14:textId="32A520C9"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IEA Heat Pumping Technologies. (n.d.-b). How does a heat pump work? Retrieved November 28, 2018, from </w:t>
      </w:r>
      <w:hyperlink r:id="rId49" w:history="1">
        <w:r w:rsidRPr="003F1AF9">
          <w:rPr>
            <w:rFonts w:eastAsia="Times New Roman" w:cs="Times New Roman"/>
            <w:color w:val="0000FF"/>
            <w:szCs w:val="24"/>
            <w:u w:val="single"/>
          </w:rPr>
          <w:t>https://heatpumpingtechnologies.org/market-technology/heat-pump-work/</w:t>
        </w:r>
      </w:hyperlink>
    </w:p>
    <w:p w14:paraId="26A0AB1C" w14:textId="03E781EF"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IEA HPT Annex 46 Domestic Hot Water Heat Pumps. (n.d.). Published papers by participants. Retrieved December 15, 2018, from </w:t>
      </w:r>
      <w:hyperlink r:id="rId50" w:history="1">
        <w:r w:rsidRPr="003F1AF9">
          <w:rPr>
            <w:rFonts w:eastAsia="Times New Roman" w:cs="Times New Roman"/>
            <w:color w:val="0000FF"/>
            <w:szCs w:val="24"/>
            <w:u w:val="single"/>
          </w:rPr>
          <w:t>http://www.hpt-annex46.org/published-papers-participants/</w:t>
        </w:r>
      </w:hyperlink>
    </w:p>
    <w:p w14:paraId="7CD118CD" w14:textId="6370692A"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IEA-ETSAP and IRENA. (2013). E19IR_Heat Pumps_HN_Jan2013_GSOK.pdf. Retrieved March 6, 2019, from </w:t>
      </w:r>
      <w:hyperlink r:id="rId51" w:history="1">
        <w:r w:rsidRPr="003F1AF9">
          <w:rPr>
            <w:rFonts w:eastAsia="Times New Roman" w:cs="Times New Roman"/>
            <w:color w:val="0000FF"/>
            <w:szCs w:val="24"/>
            <w:u w:val="single"/>
          </w:rPr>
          <w:t>http://iea-etsap.org/E-TechDS/PDF/E19IR_Heat%20Pumps_HN_Jan2013_GSOK.pdf</w:t>
        </w:r>
      </w:hyperlink>
    </w:p>
    <w:p w14:paraId="7CB1632F"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International Energy Agency. (2011). </w:t>
      </w:r>
      <w:r w:rsidRPr="003F1AF9">
        <w:rPr>
          <w:rFonts w:eastAsia="Times New Roman" w:cs="Times New Roman"/>
          <w:i/>
          <w:iCs/>
          <w:szCs w:val="24"/>
        </w:rPr>
        <w:t>Technology Roadmap Energy-efficient Buildings: Heating and Cooling Equipment</w:t>
      </w:r>
      <w:r w:rsidRPr="003F1AF9">
        <w:rPr>
          <w:rFonts w:eastAsia="Times New Roman" w:cs="Times New Roman"/>
          <w:szCs w:val="24"/>
        </w:rPr>
        <w:t xml:space="preserve"> (p. 56). International Energy Agency (IEA).</w:t>
      </w:r>
    </w:p>
    <w:p w14:paraId="3C3705E0"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International Energy Agency (Ed.). (2013). </w:t>
      </w:r>
      <w:r w:rsidRPr="003F1AF9">
        <w:rPr>
          <w:rFonts w:eastAsia="Times New Roman" w:cs="Times New Roman"/>
          <w:i/>
          <w:iCs/>
          <w:szCs w:val="24"/>
        </w:rPr>
        <w:t>Transition to sustainable buildings: strategies and opportunities to 2050</w:t>
      </w:r>
      <w:r w:rsidRPr="003F1AF9">
        <w:rPr>
          <w:rFonts w:eastAsia="Times New Roman" w:cs="Times New Roman"/>
          <w:szCs w:val="24"/>
        </w:rPr>
        <w:t>. Paris: IEA Publ.</w:t>
      </w:r>
    </w:p>
    <w:p w14:paraId="25E92956"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lastRenderedPageBreak/>
        <w:t xml:space="preserve">International Energy Agency. (2017). </w:t>
      </w:r>
      <w:r w:rsidRPr="003F1AF9">
        <w:rPr>
          <w:rFonts w:eastAsia="Times New Roman" w:cs="Times New Roman"/>
          <w:i/>
          <w:iCs/>
          <w:szCs w:val="24"/>
        </w:rPr>
        <w:t>Energy Technology Perspectives 2017</w:t>
      </w:r>
      <w:r w:rsidRPr="003F1AF9">
        <w:rPr>
          <w:rFonts w:eastAsia="Times New Roman" w:cs="Times New Roman"/>
          <w:szCs w:val="24"/>
        </w:rPr>
        <w:t xml:space="preserve"> (p. 443).</w:t>
      </w:r>
    </w:p>
    <w:p w14:paraId="7CE37C3D" w14:textId="6A7F6B10"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International Energy Agency. (2018a). Cooling In Buildings. Retrieved November 30, 2018, from </w:t>
      </w:r>
      <w:hyperlink r:id="rId52" w:history="1">
        <w:r w:rsidRPr="003F1AF9">
          <w:rPr>
            <w:rFonts w:eastAsia="Times New Roman" w:cs="Times New Roman"/>
            <w:color w:val="0000FF"/>
            <w:szCs w:val="24"/>
            <w:u w:val="single"/>
          </w:rPr>
          <w:t>https://www.iea.org/tcep/buildings/cooling/</w:t>
        </w:r>
      </w:hyperlink>
    </w:p>
    <w:p w14:paraId="3E22329C"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International Energy Agency. (2018b). The Future of Cooling, 92.</w:t>
      </w:r>
    </w:p>
    <w:p w14:paraId="40FC6DA7" w14:textId="353B39DA"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International Energy Agency. (n.d.). Global Exchange on Efficiency:</w:t>
      </w:r>
      <w:r w:rsidR="0078120E">
        <w:rPr>
          <w:rFonts w:eastAsia="Times New Roman" w:cs="Times New Roman"/>
          <w:szCs w:val="24"/>
        </w:rPr>
        <w:t xml:space="preserve"> </w:t>
      </w:r>
      <w:r w:rsidRPr="003F1AF9">
        <w:rPr>
          <w:rFonts w:eastAsia="Times New Roman" w:cs="Times New Roman"/>
          <w:szCs w:val="24"/>
        </w:rPr>
        <w:t xml:space="preserve">Cooling. Retrieved November 18, 2018, from </w:t>
      </w:r>
      <w:hyperlink r:id="rId53" w:history="1">
        <w:r w:rsidRPr="003F1AF9">
          <w:rPr>
            <w:rFonts w:eastAsia="Times New Roman" w:cs="Times New Roman"/>
            <w:color w:val="0000FF"/>
            <w:szCs w:val="24"/>
            <w:u w:val="single"/>
          </w:rPr>
          <w:t>https://www.iea.org/exchange/cooling/</w:t>
        </w:r>
      </w:hyperlink>
    </w:p>
    <w:p w14:paraId="2F07777C" w14:textId="3C272F65"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t>Jadun</w:t>
      </w:r>
      <w:proofErr w:type="spellEnd"/>
      <w:r w:rsidRPr="003F1AF9">
        <w:rPr>
          <w:rFonts w:eastAsia="Times New Roman" w:cs="Times New Roman"/>
          <w:szCs w:val="24"/>
        </w:rPr>
        <w:t xml:space="preserve"> et al. - Electrification Futures Study End-Use Electric Te.pdf. (n.d.). Retrieved from </w:t>
      </w:r>
      <w:hyperlink r:id="rId54" w:history="1">
        <w:r w:rsidRPr="003F1AF9">
          <w:rPr>
            <w:rFonts w:eastAsia="Times New Roman" w:cs="Times New Roman"/>
            <w:color w:val="0000FF"/>
            <w:szCs w:val="24"/>
            <w:u w:val="single"/>
          </w:rPr>
          <w:t>https://www.nrel.gov/docs/fy18osti/70485.pdf</w:t>
        </w:r>
      </w:hyperlink>
    </w:p>
    <w:p w14:paraId="4C7FA564" w14:textId="46520F4E"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t>Jadun</w:t>
      </w:r>
      <w:proofErr w:type="spellEnd"/>
      <w:r w:rsidRPr="003F1AF9">
        <w:rPr>
          <w:rFonts w:eastAsia="Times New Roman" w:cs="Times New Roman"/>
          <w:szCs w:val="24"/>
        </w:rPr>
        <w:t xml:space="preserve">, P., McMillan, C., Steinberg, D., </w:t>
      </w:r>
      <w:proofErr w:type="spellStart"/>
      <w:r w:rsidRPr="003F1AF9">
        <w:rPr>
          <w:rFonts w:eastAsia="Times New Roman" w:cs="Times New Roman"/>
          <w:szCs w:val="24"/>
        </w:rPr>
        <w:t>Muratori</w:t>
      </w:r>
      <w:proofErr w:type="spellEnd"/>
      <w:r w:rsidRPr="003F1AF9">
        <w:rPr>
          <w:rFonts w:eastAsia="Times New Roman" w:cs="Times New Roman"/>
          <w:szCs w:val="24"/>
        </w:rPr>
        <w:t xml:space="preserve">, M., </w:t>
      </w:r>
      <w:proofErr w:type="spellStart"/>
      <w:r w:rsidRPr="003F1AF9">
        <w:rPr>
          <w:rFonts w:eastAsia="Times New Roman" w:cs="Times New Roman"/>
          <w:szCs w:val="24"/>
        </w:rPr>
        <w:t>Vimmerstedt</w:t>
      </w:r>
      <w:proofErr w:type="spellEnd"/>
      <w:r w:rsidRPr="003F1AF9">
        <w:rPr>
          <w:rFonts w:eastAsia="Times New Roman" w:cs="Times New Roman"/>
          <w:szCs w:val="24"/>
        </w:rPr>
        <w:t xml:space="preserve">, L., &amp; Mai, T. (2017a). </w:t>
      </w:r>
      <w:r w:rsidRPr="003F1AF9">
        <w:rPr>
          <w:rFonts w:eastAsia="Times New Roman" w:cs="Times New Roman"/>
          <w:i/>
          <w:iCs/>
          <w:szCs w:val="24"/>
        </w:rPr>
        <w:t>Electrification Futures Study: End-Use Electric Technology Cost and Performance Projections through 2050</w:t>
      </w:r>
      <w:r w:rsidRPr="003F1AF9">
        <w:rPr>
          <w:rFonts w:eastAsia="Times New Roman" w:cs="Times New Roman"/>
          <w:szCs w:val="24"/>
        </w:rPr>
        <w:t xml:space="preserve"> (p. 108). National Renewable Energy Laboratory. Retrieved from </w:t>
      </w:r>
      <w:hyperlink r:id="rId55" w:history="1">
        <w:r w:rsidRPr="003F1AF9">
          <w:rPr>
            <w:rFonts w:eastAsia="Times New Roman" w:cs="Times New Roman"/>
            <w:color w:val="0000FF"/>
            <w:szCs w:val="24"/>
            <w:u w:val="single"/>
          </w:rPr>
          <w:t>https://www.nrel.gov/docs/fy18osti/70485.pdf</w:t>
        </w:r>
      </w:hyperlink>
    </w:p>
    <w:p w14:paraId="57F8C2E5" w14:textId="55220677" w:rsidR="00AC3992" w:rsidRPr="0003357C" w:rsidRDefault="00AC3992" w:rsidP="00447380">
      <w:pPr>
        <w:spacing w:after="0"/>
        <w:ind w:hanging="480"/>
        <w:jc w:val="left"/>
        <w:rPr>
          <w:rFonts w:eastAsia="Times New Roman" w:cs="Times New Roman"/>
          <w:szCs w:val="24"/>
          <w:lang w:val="de-DE"/>
        </w:rPr>
      </w:pPr>
      <w:r w:rsidRPr="0003357C">
        <w:rPr>
          <w:rFonts w:eastAsia="Times New Roman" w:cs="Times New Roman"/>
          <w:szCs w:val="24"/>
          <w:lang w:val="de-DE"/>
        </w:rPr>
        <w:t xml:space="preserve">Jadun, P., McMillan, C., Steinberg, D., Muratori, M., Vimmerstedt, L., &amp; Mai, T. (2017b). </w:t>
      </w:r>
      <w:r w:rsidRPr="003F1AF9">
        <w:rPr>
          <w:rFonts w:eastAsia="Times New Roman" w:cs="Times New Roman"/>
          <w:i/>
          <w:iCs/>
          <w:szCs w:val="24"/>
        </w:rPr>
        <w:t>Electrification Futures Study Technology Data</w:t>
      </w:r>
      <w:r w:rsidRPr="003F1AF9">
        <w:rPr>
          <w:rFonts w:eastAsia="Times New Roman" w:cs="Times New Roman"/>
          <w:szCs w:val="24"/>
        </w:rPr>
        <w:t xml:space="preserve"> [Data set]. National Renewable Energy Laboratory - Data (NREL-DATA), Golden, CO (United States); National Renewable Energy Laboratory. </w:t>
      </w:r>
      <w:hyperlink r:id="rId56" w:history="1">
        <w:r w:rsidRPr="0003357C">
          <w:rPr>
            <w:rFonts w:eastAsia="Times New Roman" w:cs="Times New Roman"/>
            <w:color w:val="0000FF"/>
            <w:szCs w:val="24"/>
            <w:u w:val="single"/>
            <w:lang w:val="de-DE"/>
          </w:rPr>
          <w:t>https://doi.org/10.7799/1414279</w:t>
        </w:r>
      </w:hyperlink>
    </w:p>
    <w:p w14:paraId="7D59B5A9" w14:textId="155EE8FC" w:rsidR="00AC3992" w:rsidRPr="003F1AF9" w:rsidRDefault="00AC3992" w:rsidP="00447380">
      <w:pPr>
        <w:spacing w:after="0"/>
        <w:ind w:hanging="480"/>
        <w:jc w:val="left"/>
        <w:rPr>
          <w:rFonts w:eastAsia="Times New Roman" w:cs="Times New Roman"/>
          <w:szCs w:val="24"/>
        </w:rPr>
      </w:pPr>
      <w:r w:rsidRPr="0003357C">
        <w:rPr>
          <w:rFonts w:eastAsia="Times New Roman" w:cs="Times New Roman"/>
          <w:szCs w:val="24"/>
          <w:lang w:val="de-DE"/>
        </w:rPr>
        <w:t xml:space="preserve">Jadun, P., McMillan, C., Steinberg, D., Muratori, M., Vimmerstedt, L., &amp; Mai, T. (2018). </w:t>
      </w:r>
      <w:r w:rsidRPr="003F1AF9">
        <w:rPr>
          <w:rFonts w:eastAsia="Times New Roman" w:cs="Times New Roman"/>
          <w:i/>
          <w:iCs/>
          <w:szCs w:val="24"/>
        </w:rPr>
        <w:t>Electrification Futures Study Technology Report Figure Data</w:t>
      </w:r>
      <w:r w:rsidRPr="003F1AF9">
        <w:rPr>
          <w:rFonts w:eastAsia="Times New Roman" w:cs="Times New Roman"/>
          <w:szCs w:val="24"/>
        </w:rPr>
        <w:t xml:space="preserve"> [Data set]. National Renewable Energy Laboratory - Data (NREL-DATA), Golden, CO (United States); National Renewable Energy Laboratory. </w:t>
      </w:r>
      <w:hyperlink r:id="rId57" w:history="1">
        <w:r w:rsidRPr="003F1AF9">
          <w:rPr>
            <w:rFonts w:eastAsia="Times New Roman" w:cs="Times New Roman"/>
            <w:color w:val="0000FF"/>
            <w:szCs w:val="24"/>
            <w:u w:val="single"/>
          </w:rPr>
          <w:t>https://doi.org/10.7799/1461483</w:t>
        </w:r>
      </w:hyperlink>
    </w:p>
    <w:p w14:paraId="759B18DD"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Johansson, T. B., Patwardhan, A., </w:t>
      </w:r>
      <w:proofErr w:type="spellStart"/>
      <w:r w:rsidRPr="003F1AF9">
        <w:rPr>
          <w:rFonts w:eastAsia="Times New Roman" w:cs="Times New Roman"/>
          <w:szCs w:val="24"/>
        </w:rPr>
        <w:t>Nakićenović</w:t>
      </w:r>
      <w:proofErr w:type="spellEnd"/>
      <w:r w:rsidRPr="003F1AF9">
        <w:rPr>
          <w:rFonts w:eastAsia="Times New Roman" w:cs="Times New Roman"/>
          <w:szCs w:val="24"/>
        </w:rPr>
        <w:t>, N., Gomez-</w:t>
      </w:r>
      <w:proofErr w:type="spellStart"/>
      <w:r w:rsidRPr="003F1AF9">
        <w:rPr>
          <w:rFonts w:eastAsia="Times New Roman" w:cs="Times New Roman"/>
          <w:szCs w:val="24"/>
        </w:rPr>
        <w:t>Echeverri</w:t>
      </w:r>
      <w:proofErr w:type="spellEnd"/>
      <w:r w:rsidRPr="003F1AF9">
        <w:rPr>
          <w:rFonts w:eastAsia="Times New Roman" w:cs="Times New Roman"/>
          <w:szCs w:val="24"/>
        </w:rPr>
        <w:t xml:space="preserve">, L., &amp; International Institute for Applied Systems Analysis (Eds.). (2012). </w:t>
      </w:r>
      <w:r w:rsidRPr="003F1AF9">
        <w:rPr>
          <w:rFonts w:eastAsia="Times New Roman" w:cs="Times New Roman"/>
          <w:i/>
          <w:iCs/>
          <w:szCs w:val="24"/>
        </w:rPr>
        <w:t>Global Energy Assessment (GEA)</w:t>
      </w:r>
      <w:r w:rsidRPr="003F1AF9">
        <w:rPr>
          <w:rFonts w:eastAsia="Times New Roman" w:cs="Times New Roman"/>
          <w:szCs w:val="24"/>
        </w:rPr>
        <w:t xml:space="preserve">. Cambridge : </w:t>
      </w:r>
      <w:proofErr w:type="spellStart"/>
      <w:r w:rsidRPr="003F1AF9">
        <w:rPr>
          <w:rFonts w:eastAsia="Times New Roman" w:cs="Times New Roman"/>
          <w:szCs w:val="24"/>
        </w:rPr>
        <w:t>Laxenburg</w:t>
      </w:r>
      <w:proofErr w:type="spellEnd"/>
      <w:r w:rsidRPr="003F1AF9">
        <w:rPr>
          <w:rFonts w:eastAsia="Times New Roman" w:cs="Times New Roman"/>
          <w:szCs w:val="24"/>
        </w:rPr>
        <w:t>, Austria: Cambridge University Press ; International Institute for Applied Systems Analysis.</w:t>
      </w:r>
    </w:p>
    <w:p w14:paraId="5A15DBE2" w14:textId="751CD8A5"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Johnson Controls. (2008). Brochure Fan powered </w:t>
      </w:r>
      <w:proofErr w:type="spellStart"/>
      <w:r w:rsidRPr="003F1AF9">
        <w:rPr>
          <w:rFonts w:eastAsia="Times New Roman" w:cs="Times New Roman"/>
          <w:szCs w:val="24"/>
        </w:rPr>
        <w:t>vav</w:t>
      </w:r>
      <w:proofErr w:type="spellEnd"/>
      <w:r w:rsidRPr="003F1AF9">
        <w:rPr>
          <w:rFonts w:eastAsia="Times New Roman" w:cs="Times New Roman"/>
          <w:szCs w:val="24"/>
        </w:rPr>
        <w:t xml:space="preserve"> terminal.pdf. Retrieved December 1, 2018, from </w:t>
      </w:r>
      <w:hyperlink r:id="rId58" w:history="1">
        <w:r w:rsidRPr="003F1AF9">
          <w:rPr>
            <w:rFonts w:eastAsia="Times New Roman" w:cs="Times New Roman"/>
            <w:color w:val="0000FF"/>
            <w:szCs w:val="24"/>
            <w:u w:val="single"/>
          </w:rPr>
          <w:t>https://www.johnsoncontrols.com/en_sg/-/media/jci/be/united-states/airside-systems/variable-air-volume-terminals/files/be_brochure_fanpoweredvavterminal.pdf?la=en&amp;hash=C78F55872C1C449EC7B8C2A28231B5975F636EA7</w:t>
        </w:r>
      </w:hyperlink>
    </w:p>
    <w:p w14:paraId="13A141D9"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Kegel, M., </w:t>
      </w:r>
      <w:proofErr w:type="spellStart"/>
      <w:r w:rsidRPr="003F1AF9">
        <w:rPr>
          <w:rFonts w:eastAsia="Times New Roman" w:cs="Times New Roman"/>
          <w:szCs w:val="24"/>
        </w:rPr>
        <w:t>Tamasauskas</w:t>
      </w:r>
      <w:proofErr w:type="spellEnd"/>
      <w:r w:rsidRPr="003F1AF9">
        <w:rPr>
          <w:rFonts w:eastAsia="Times New Roman" w:cs="Times New Roman"/>
          <w:szCs w:val="24"/>
        </w:rPr>
        <w:t xml:space="preserve">, J., </w:t>
      </w:r>
      <w:proofErr w:type="spellStart"/>
      <w:r w:rsidRPr="003F1AF9">
        <w:rPr>
          <w:rFonts w:eastAsia="Times New Roman" w:cs="Times New Roman"/>
          <w:szCs w:val="24"/>
        </w:rPr>
        <w:t>Sunye</w:t>
      </w:r>
      <w:proofErr w:type="spellEnd"/>
      <w:r w:rsidRPr="003F1AF9">
        <w:rPr>
          <w:rFonts w:eastAsia="Times New Roman" w:cs="Times New Roman"/>
          <w:szCs w:val="24"/>
        </w:rPr>
        <w:t xml:space="preserve">, R., &amp; </w:t>
      </w:r>
      <w:proofErr w:type="spellStart"/>
      <w:r w:rsidRPr="003F1AF9">
        <w:rPr>
          <w:rFonts w:eastAsia="Times New Roman" w:cs="Times New Roman"/>
          <w:szCs w:val="24"/>
        </w:rPr>
        <w:t>Giguere</w:t>
      </w:r>
      <w:proofErr w:type="spellEnd"/>
      <w:r w:rsidRPr="003F1AF9">
        <w:rPr>
          <w:rFonts w:eastAsia="Times New Roman" w:cs="Times New Roman"/>
          <w:szCs w:val="24"/>
        </w:rPr>
        <w:t>, D. (2017). Heat Pump Water Heaters in the Canadian Residential Market, 11.</w:t>
      </w:r>
    </w:p>
    <w:p w14:paraId="2C67E605" w14:textId="6EB02E9F"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t>Lacourt</w:t>
      </w:r>
      <w:proofErr w:type="spellEnd"/>
      <w:r w:rsidRPr="003F1AF9">
        <w:rPr>
          <w:rFonts w:eastAsia="Times New Roman" w:cs="Times New Roman"/>
          <w:szCs w:val="24"/>
        </w:rPr>
        <w:t xml:space="preserve">, A. (2014). </w:t>
      </w:r>
      <w:r w:rsidRPr="003F1AF9">
        <w:rPr>
          <w:rFonts w:eastAsia="Times New Roman" w:cs="Times New Roman"/>
          <w:i/>
          <w:iCs/>
          <w:szCs w:val="24"/>
        </w:rPr>
        <w:t>Requirements for Seasonal Efficiency for Air-conditioning Units</w:t>
      </w:r>
      <w:r w:rsidRPr="003F1AF9">
        <w:rPr>
          <w:rFonts w:eastAsia="Times New Roman" w:cs="Times New Roman"/>
          <w:szCs w:val="24"/>
        </w:rPr>
        <w:t xml:space="preserve">. </w:t>
      </w:r>
      <w:proofErr w:type="spellStart"/>
      <w:r w:rsidRPr="003F1AF9">
        <w:rPr>
          <w:rFonts w:eastAsia="Times New Roman" w:cs="Times New Roman"/>
          <w:szCs w:val="24"/>
        </w:rPr>
        <w:t>Eurovent</w:t>
      </w:r>
      <w:proofErr w:type="spellEnd"/>
      <w:r w:rsidRPr="003F1AF9">
        <w:rPr>
          <w:rFonts w:eastAsia="Times New Roman" w:cs="Times New Roman"/>
          <w:szCs w:val="24"/>
        </w:rPr>
        <w:t xml:space="preserve">. Retrieved from </w:t>
      </w:r>
      <w:hyperlink r:id="rId59" w:history="1">
        <w:r w:rsidRPr="003F1AF9">
          <w:rPr>
            <w:rFonts w:eastAsia="Times New Roman" w:cs="Times New Roman"/>
            <w:color w:val="0000FF"/>
            <w:szCs w:val="24"/>
            <w:u w:val="single"/>
          </w:rPr>
          <w:t>https://www.rehva.eu/fileadmin/REHVA_Journal/REHVA_Journal_2014/RJ_issue_2/P.32/32-35_SeasonalEfficiency_RJ1402_WEB.pdf</w:t>
        </w:r>
      </w:hyperlink>
    </w:p>
    <w:p w14:paraId="28F00C88" w14:textId="77F96D30"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t>Lacourt</w:t>
      </w:r>
      <w:proofErr w:type="spellEnd"/>
      <w:r w:rsidRPr="003F1AF9">
        <w:rPr>
          <w:rFonts w:eastAsia="Times New Roman" w:cs="Times New Roman"/>
          <w:szCs w:val="24"/>
        </w:rPr>
        <w:t xml:space="preserve">, A. (2018). </w:t>
      </w:r>
      <w:r w:rsidRPr="003F1AF9">
        <w:rPr>
          <w:rFonts w:eastAsia="Times New Roman" w:cs="Times New Roman"/>
          <w:i/>
          <w:iCs/>
          <w:szCs w:val="24"/>
        </w:rPr>
        <w:t>Seasonal Efficiencies for Rooftop units 76-79_RJ1801.pdf</w:t>
      </w:r>
      <w:r w:rsidRPr="003F1AF9">
        <w:rPr>
          <w:rFonts w:eastAsia="Times New Roman" w:cs="Times New Roman"/>
          <w:szCs w:val="24"/>
        </w:rPr>
        <w:t xml:space="preserve">. Retrieved from </w:t>
      </w:r>
      <w:hyperlink r:id="rId60" w:history="1">
        <w:r w:rsidRPr="003F1AF9">
          <w:rPr>
            <w:rFonts w:eastAsia="Times New Roman" w:cs="Times New Roman"/>
            <w:color w:val="0000FF"/>
            <w:szCs w:val="24"/>
            <w:u w:val="single"/>
          </w:rPr>
          <w:t>https://www.rehva.eu/fileadmin/REHVA_Journal/REHVA_Journal_2018/RJ1/RJ.76-79/76-79_RJ1801.pdf</w:t>
        </w:r>
      </w:hyperlink>
    </w:p>
    <w:p w14:paraId="1C1D9886" w14:textId="36DECC24"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lastRenderedPageBreak/>
        <w:t>Lapsa</w:t>
      </w:r>
      <w:proofErr w:type="spellEnd"/>
      <w:r w:rsidRPr="003F1AF9">
        <w:rPr>
          <w:rFonts w:eastAsia="Times New Roman" w:cs="Times New Roman"/>
          <w:szCs w:val="24"/>
        </w:rPr>
        <w:t xml:space="preserve">, M., </w:t>
      </w:r>
      <w:proofErr w:type="spellStart"/>
      <w:r w:rsidRPr="003F1AF9">
        <w:rPr>
          <w:rFonts w:eastAsia="Times New Roman" w:cs="Times New Roman"/>
          <w:szCs w:val="24"/>
        </w:rPr>
        <w:t>Khowailed</w:t>
      </w:r>
      <w:proofErr w:type="spellEnd"/>
      <w:r w:rsidRPr="003F1AF9">
        <w:rPr>
          <w:rFonts w:eastAsia="Times New Roman" w:cs="Times New Roman"/>
          <w:szCs w:val="24"/>
        </w:rPr>
        <w:t xml:space="preserve">, G., Sikes, K., &amp; Baxter, V. (2017a). Heat Pumps in North America – 2017 Regional Report (p. 10). Retrieved from </w:t>
      </w:r>
      <w:hyperlink r:id="rId61" w:history="1">
        <w:r w:rsidRPr="003F1AF9">
          <w:rPr>
            <w:rFonts w:eastAsia="Times New Roman" w:cs="Times New Roman"/>
            <w:color w:val="0000FF"/>
            <w:szCs w:val="24"/>
            <w:u w:val="single"/>
          </w:rPr>
          <w:t>http://hpc2017.org/wp-content/uploads/2017/05/P.2.1.3-Heat-Pumps-in-North-America-%E2%80%93-2017-Regional-Report.pdf</w:t>
        </w:r>
      </w:hyperlink>
    </w:p>
    <w:p w14:paraId="3670FB5C" w14:textId="77777777"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t>Lapsa</w:t>
      </w:r>
      <w:proofErr w:type="spellEnd"/>
      <w:r w:rsidRPr="003F1AF9">
        <w:rPr>
          <w:rFonts w:eastAsia="Times New Roman" w:cs="Times New Roman"/>
          <w:szCs w:val="24"/>
        </w:rPr>
        <w:t xml:space="preserve">, M., </w:t>
      </w:r>
      <w:proofErr w:type="spellStart"/>
      <w:r w:rsidRPr="003F1AF9">
        <w:rPr>
          <w:rFonts w:eastAsia="Times New Roman" w:cs="Times New Roman"/>
          <w:szCs w:val="24"/>
        </w:rPr>
        <w:t>Khowailed</w:t>
      </w:r>
      <w:proofErr w:type="spellEnd"/>
      <w:r w:rsidRPr="003F1AF9">
        <w:rPr>
          <w:rFonts w:eastAsia="Times New Roman" w:cs="Times New Roman"/>
          <w:szCs w:val="24"/>
        </w:rPr>
        <w:t>, G., Sikes, K., &amp; Baxter, V. (2017b). The U.S. Residential Heat Pump Market, a Decade after “The Crisis” (p. 11).</w:t>
      </w:r>
    </w:p>
    <w:p w14:paraId="2767D87B" w14:textId="1C4A44BE" w:rsidR="00AC3992" w:rsidRPr="0078120E"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Metz, P. D. (1984). The Use of Serpentine Earth Coils in Ground Coupled Heat Pump Systems. </w:t>
      </w:r>
      <w:r w:rsidRPr="003F1AF9">
        <w:rPr>
          <w:rFonts w:eastAsia="Times New Roman" w:cs="Times New Roman"/>
          <w:i/>
          <w:iCs/>
          <w:szCs w:val="24"/>
        </w:rPr>
        <w:t>Journal of Solar Energy Engineering</w:t>
      </w:r>
      <w:r w:rsidRPr="003F1AF9">
        <w:rPr>
          <w:rFonts w:eastAsia="Times New Roman" w:cs="Times New Roman"/>
          <w:szCs w:val="24"/>
        </w:rPr>
        <w:t xml:space="preserve">, </w:t>
      </w:r>
      <w:r w:rsidRPr="003F1AF9">
        <w:rPr>
          <w:rFonts w:eastAsia="Times New Roman" w:cs="Times New Roman"/>
          <w:i/>
          <w:iCs/>
          <w:szCs w:val="24"/>
        </w:rPr>
        <w:t>106</w:t>
      </w:r>
      <w:r w:rsidRPr="003F1AF9">
        <w:rPr>
          <w:rFonts w:eastAsia="Times New Roman" w:cs="Times New Roman"/>
          <w:szCs w:val="24"/>
        </w:rPr>
        <w:t xml:space="preserve">(4), 438–446. </w:t>
      </w:r>
      <w:hyperlink r:id="rId62" w:history="1">
        <w:r w:rsidRPr="0078120E">
          <w:rPr>
            <w:rFonts w:eastAsia="Times New Roman" w:cs="Times New Roman"/>
            <w:color w:val="0000FF"/>
            <w:szCs w:val="24"/>
            <w:u w:val="single"/>
          </w:rPr>
          <w:t>https://doi.org/10.1115/1.3267623</w:t>
        </w:r>
      </w:hyperlink>
    </w:p>
    <w:p w14:paraId="55E8BB47" w14:textId="77777777" w:rsidR="00AC3992" w:rsidRPr="003F1AF9" w:rsidRDefault="00AC3992" w:rsidP="00447380">
      <w:pPr>
        <w:spacing w:after="0"/>
        <w:ind w:hanging="480"/>
        <w:jc w:val="left"/>
        <w:rPr>
          <w:rFonts w:eastAsia="Times New Roman" w:cs="Times New Roman"/>
          <w:szCs w:val="24"/>
        </w:rPr>
      </w:pPr>
      <w:proofErr w:type="spellStart"/>
      <w:r w:rsidRPr="0078120E">
        <w:rPr>
          <w:rFonts w:eastAsia="Times New Roman" w:cs="Times New Roman"/>
          <w:szCs w:val="24"/>
        </w:rPr>
        <w:t>Miara</w:t>
      </w:r>
      <w:proofErr w:type="spellEnd"/>
      <w:r w:rsidRPr="0078120E">
        <w:rPr>
          <w:rFonts w:eastAsia="Times New Roman" w:cs="Times New Roman"/>
          <w:szCs w:val="24"/>
        </w:rPr>
        <w:t xml:space="preserve">, M., Günther, D., </w:t>
      </w:r>
      <w:proofErr w:type="spellStart"/>
      <w:r w:rsidRPr="0078120E">
        <w:rPr>
          <w:rFonts w:eastAsia="Times New Roman" w:cs="Times New Roman"/>
          <w:szCs w:val="24"/>
        </w:rPr>
        <w:t>Langner</w:t>
      </w:r>
      <w:proofErr w:type="spellEnd"/>
      <w:r w:rsidRPr="0078120E">
        <w:rPr>
          <w:rFonts w:eastAsia="Times New Roman" w:cs="Times New Roman"/>
          <w:szCs w:val="24"/>
        </w:rPr>
        <w:t xml:space="preserve">, R., &amp; </w:t>
      </w:r>
      <w:proofErr w:type="spellStart"/>
      <w:r w:rsidRPr="0078120E">
        <w:rPr>
          <w:rFonts w:eastAsia="Times New Roman" w:cs="Times New Roman"/>
          <w:szCs w:val="24"/>
        </w:rPr>
        <w:t>Helmling</w:t>
      </w:r>
      <w:proofErr w:type="spellEnd"/>
      <w:r w:rsidRPr="0078120E">
        <w:rPr>
          <w:rFonts w:eastAsia="Times New Roman" w:cs="Times New Roman"/>
          <w:szCs w:val="24"/>
        </w:rPr>
        <w:t xml:space="preserve">, S. (2014). </w:t>
      </w:r>
      <w:r w:rsidRPr="003F1AF9">
        <w:rPr>
          <w:rFonts w:eastAsia="Times New Roman" w:cs="Times New Roman"/>
          <w:szCs w:val="24"/>
        </w:rPr>
        <w:t xml:space="preserve">Efficiency of Heat Pumps in Real Operating Conditions. </w:t>
      </w:r>
      <w:r w:rsidRPr="003F1AF9">
        <w:rPr>
          <w:rFonts w:eastAsia="Times New Roman" w:cs="Times New Roman"/>
          <w:i/>
          <w:iCs/>
          <w:szCs w:val="24"/>
        </w:rPr>
        <w:t>REHVA Journal</w:t>
      </w:r>
      <w:r w:rsidRPr="003F1AF9">
        <w:rPr>
          <w:rFonts w:eastAsia="Times New Roman" w:cs="Times New Roman"/>
          <w:szCs w:val="24"/>
        </w:rPr>
        <w:t>, 7.</w:t>
      </w:r>
    </w:p>
    <w:p w14:paraId="5C656F67" w14:textId="683BE152"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Mitsubishi. (n.d.). Mitsubishi FH Series models with </w:t>
      </w:r>
      <w:proofErr w:type="spellStart"/>
      <w:r w:rsidRPr="003F1AF9">
        <w:rPr>
          <w:rFonts w:eastAsia="Times New Roman" w:cs="Times New Roman"/>
          <w:szCs w:val="24"/>
        </w:rPr>
        <w:t>Kumo</w:t>
      </w:r>
      <w:proofErr w:type="spellEnd"/>
      <w:r w:rsidRPr="003F1AF9">
        <w:rPr>
          <w:rFonts w:eastAsia="Times New Roman" w:cs="Times New Roman"/>
          <w:szCs w:val="24"/>
        </w:rPr>
        <w:t xml:space="preserve"> Cloud Controller Online Brochure. Retrieved March 1, 2019, from </w:t>
      </w:r>
      <w:hyperlink r:id="rId63" w:history="1">
        <w:r w:rsidRPr="003F1AF9">
          <w:rPr>
            <w:rFonts w:eastAsia="Times New Roman" w:cs="Times New Roman"/>
            <w:color w:val="0000FF"/>
            <w:szCs w:val="24"/>
            <w:u w:val="single"/>
          </w:rPr>
          <w:t>http://news.mehvac.com/Bulletins/Qualified_Systems.pdf</w:t>
        </w:r>
      </w:hyperlink>
    </w:p>
    <w:p w14:paraId="3A6FAFBD"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Murphy, J., </w:t>
      </w:r>
      <w:proofErr w:type="spellStart"/>
      <w:r w:rsidRPr="003F1AF9">
        <w:rPr>
          <w:rFonts w:eastAsia="Times New Roman" w:cs="Times New Roman"/>
          <w:szCs w:val="24"/>
        </w:rPr>
        <w:t>Harshaw</w:t>
      </w:r>
      <w:proofErr w:type="spellEnd"/>
      <w:r w:rsidRPr="003F1AF9">
        <w:rPr>
          <w:rFonts w:eastAsia="Times New Roman" w:cs="Times New Roman"/>
          <w:szCs w:val="24"/>
        </w:rPr>
        <w:t xml:space="preserve">, J., &amp; Engineering, T. A. (2011). </w:t>
      </w:r>
      <w:r w:rsidRPr="003F1AF9">
        <w:rPr>
          <w:rFonts w:eastAsia="Times New Roman" w:cs="Times New Roman"/>
          <w:i/>
          <w:iCs/>
          <w:szCs w:val="24"/>
        </w:rPr>
        <w:t>Understanding Chilled Beam Systems</w:t>
      </w:r>
      <w:r w:rsidRPr="003F1AF9">
        <w:rPr>
          <w:rFonts w:eastAsia="Times New Roman" w:cs="Times New Roman"/>
          <w:szCs w:val="24"/>
        </w:rPr>
        <w:t xml:space="preserve"> (p. 12). Trane.</w:t>
      </w:r>
    </w:p>
    <w:p w14:paraId="69B5C005" w14:textId="5C3FFEBF"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Navigant Consulting &amp; Leidos. (2016). </w:t>
      </w:r>
      <w:r w:rsidRPr="003F1AF9">
        <w:rPr>
          <w:rFonts w:eastAsia="Times New Roman" w:cs="Times New Roman"/>
          <w:i/>
          <w:iCs/>
          <w:szCs w:val="24"/>
        </w:rPr>
        <w:t>Updated Buildings Sector Appliance and Equipment Costs and Efficiencies 2016</w:t>
      </w:r>
      <w:r w:rsidRPr="003F1AF9">
        <w:rPr>
          <w:rFonts w:eastAsia="Times New Roman" w:cs="Times New Roman"/>
          <w:szCs w:val="24"/>
        </w:rPr>
        <w:t xml:space="preserve">. Retrieved from </w:t>
      </w:r>
      <w:hyperlink r:id="rId64" w:history="1">
        <w:r w:rsidRPr="003F1AF9">
          <w:rPr>
            <w:rFonts w:eastAsia="Times New Roman" w:cs="Times New Roman"/>
            <w:color w:val="0000FF"/>
            <w:szCs w:val="24"/>
            <w:u w:val="single"/>
          </w:rPr>
          <w:t>https://www.eia.gov/analysis/studies/buildings/equipcosts/archive/2016/pdf/full.pdf</w:t>
        </w:r>
      </w:hyperlink>
    </w:p>
    <w:p w14:paraId="7C948243"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Navigant Consulting, Inc. (2018). </w:t>
      </w:r>
      <w:r w:rsidRPr="003F1AF9">
        <w:rPr>
          <w:rFonts w:eastAsia="Times New Roman" w:cs="Times New Roman"/>
          <w:i/>
          <w:iCs/>
          <w:szCs w:val="24"/>
        </w:rPr>
        <w:t>Updated Buildings Sector Appliance and Equipment Costs and Efficiency 2018</w:t>
      </w:r>
      <w:r w:rsidRPr="003F1AF9">
        <w:rPr>
          <w:rFonts w:eastAsia="Times New Roman" w:cs="Times New Roman"/>
          <w:szCs w:val="24"/>
        </w:rPr>
        <w:t xml:space="preserve"> (Federal Report) (p. 740).</w:t>
      </w:r>
    </w:p>
    <w:p w14:paraId="68564D9B" w14:textId="1E1CDE2C" w:rsidR="00AC3992" w:rsidRPr="003F1AF9" w:rsidRDefault="00AC3992" w:rsidP="00447380">
      <w:pPr>
        <w:spacing w:after="0"/>
        <w:ind w:hanging="480"/>
        <w:jc w:val="left"/>
        <w:rPr>
          <w:rFonts w:eastAsia="Times New Roman" w:cs="Times New Roman"/>
          <w:szCs w:val="24"/>
        </w:rPr>
      </w:pPr>
      <w:proofErr w:type="spellStart"/>
      <w:r w:rsidRPr="0003357C">
        <w:rPr>
          <w:rFonts w:eastAsia="Times New Roman" w:cs="Times New Roman"/>
          <w:szCs w:val="24"/>
          <w:lang w:val="pt-PT"/>
        </w:rPr>
        <w:t>Nouvel</w:t>
      </w:r>
      <w:proofErr w:type="spellEnd"/>
      <w:r w:rsidRPr="0003357C">
        <w:rPr>
          <w:rFonts w:eastAsia="Times New Roman" w:cs="Times New Roman"/>
          <w:szCs w:val="24"/>
          <w:lang w:val="pt-PT"/>
        </w:rPr>
        <w:t xml:space="preserve">, R., </w:t>
      </w:r>
      <w:proofErr w:type="spellStart"/>
      <w:r w:rsidRPr="0003357C">
        <w:rPr>
          <w:rFonts w:eastAsia="Times New Roman" w:cs="Times New Roman"/>
          <w:szCs w:val="24"/>
          <w:lang w:val="pt-PT"/>
        </w:rPr>
        <w:t>Cotrado</w:t>
      </w:r>
      <w:proofErr w:type="spellEnd"/>
      <w:r w:rsidRPr="0003357C">
        <w:rPr>
          <w:rFonts w:eastAsia="Times New Roman" w:cs="Times New Roman"/>
          <w:szCs w:val="24"/>
          <w:lang w:val="pt-PT"/>
        </w:rPr>
        <w:t xml:space="preserve">, M., &amp; </w:t>
      </w:r>
      <w:proofErr w:type="spellStart"/>
      <w:r w:rsidRPr="0003357C">
        <w:rPr>
          <w:rFonts w:eastAsia="Times New Roman" w:cs="Times New Roman"/>
          <w:szCs w:val="24"/>
          <w:lang w:val="pt-PT"/>
        </w:rPr>
        <w:t>Pietruschka</w:t>
      </w:r>
      <w:proofErr w:type="spellEnd"/>
      <w:r w:rsidRPr="0003357C">
        <w:rPr>
          <w:rFonts w:eastAsia="Times New Roman" w:cs="Times New Roman"/>
          <w:szCs w:val="24"/>
          <w:lang w:val="pt-PT"/>
        </w:rPr>
        <w:t xml:space="preserve">, D. (2015). </w:t>
      </w:r>
      <w:r w:rsidRPr="003F1AF9">
        <w:rPr>
          <w:rFonts w:eastAsia="Times New Roman" w:cs="Times New Roman"/>
          <w:szCs w:val="24"/>
        </w:rPr>
        <w:t xml:space="preserve">European Mapping of Seasonal Performances of Air-source and Geothermal Heat Pumps for Residential Applications. In </w:t>
      </w:r>
      <w:r w:rsidRPr="003F1AF9">
        <w:rPr>
          <w:rFonts w:eastAsia="Times New Roman" w:cs="Times New Roman"/>
          <w:i/>
          <w:iCs/>
          <w:szCs w:val="24"/>
        </w:rPr>
        <w:t>ResearchGate</w:t>
      </w:r>
      <w:r w:rsidRPr="003F1AF9">
        <w:rPr>
          <w:rFonts w:eastAsia="Times New Roman" w:cs="Times New Roman"/>
          <w:szCs w:val="24"/>
        </w:rPr>
        <w:t xml:space="preserve">. Retrieved from </w:t>
      </w:r>
      <w:hyperlink r:id="rId65" w:history="1">
        <w:r w:rsidRPr="003F1AF9">
          <w:rPr>
            <w:rFonts w:eastAsia="Times New Roman" w:cs="Times New Roman"/>
            <w:color w:val="0000FF"/>
            <w:szCs w:val="24"/>
            <w:u w:val="single"/>
          </w:rPr>
          <w:t>https://www.researchgate.net/publication/281745223_European_Mapping_of_Seasonal_Performances_of_Air-source_and_Geothermal_Heat_Pumps_for_Residential_Applications</w:t>
        </w:r>
      </w:hyperlink>
    </w:p>
    <w:p w14:paraId="51EC2A85"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Nowak, T., &amp; </w:t>
      </w:r>
      <w:proofErr w:type="spellStart"/>
      <w:r w:rsidRPr="003F1AF9">
        <w:rPr>
          <w:rFonts w:eastAsia="Times New Roman" w:cs="Times New Roman"/>
          <w:szCs w:val="24"/>
        </w:rPr>
        <w:t>Westring</w:t>
      </w:r>
      <w:proofErr w:type="spellEnd"/>
      <w:r w:rsidRPr="003F1AF9">
        <w:rPr>
          <w:rFonts w:eastAsia="Times New Roman" w:cs="Times New Roman"/>
          <w:szCs w:val="24"/>
        </w:rPr>
        <w:t>, P. (2017). Growing for good? The European Heat Pump Market - Status and outlook (p. 10).</w:t>
      </w:r>
    </w:p>
    <w:p w14:paraId="6C2809C7" w14:textId="54841054"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PNNL. (2017). Traditional Split Heat Pumps | Building America Solution Center PNNL. Retrieved November 13, 2018, from </w:t>
      </w:r>
      <w:hyperlink r:id="rId66" w:anchor="quicktabs-guides=0" w:history="1">
        <w:r w:rsidRPr="003F1AF9">
          <w:rPr>
            <w:rFonts w:eastAsia="Times New Roman" w:cs="Times New Roman"/>
            <w:color w:val="0000FF"/>
            <w:szCs w:val="24"/>
            <w:u w:val="single"/>
          </w:rPr>
          <w:t>https://basc.pnnl.gov/resource-guides/traditional-split-heat-pumps#quicktabs-guides=0</w:t>
        </w:r>
      </w:hyperlink>
    </w:p>
    <w:p w14:paraId="570C12D9" w14:textId="69735841" w:rsidR="00AC3992" w:rsidRPr="003F1AF9" w:rsidRDefault="00AC3992" w:rsidP="00447380">
      <w:pPr>
        <w:spacing w:after="0"/>
        <w:ind w:hanging="480"/>
        <w:jc w:val="left"/>
        <w:rPr>
          <w:rFonts w:eastAsia="Times New Roman" w:cs="Times New Roman"/>
          <w:szCs w:val="24"/>
        </w:rPr>
      </w:pPr>
      <w:proofErr w:type="spellStart"/>
      <w:r w:rsidRPr="003F1AF9">
        <w:rPr>
          <w:rFonts w:eastAsia="Times New Roman" w:cs="Times New Roman"/>
          <w:szCs w:val="24"/>
        </w:rPr>
        <w:t>Radulescu</w:t>
      </w:r>
      <w:proofErr w:type="spellEnd"/>
      <w:r w:rsidRPr="003F1AF9">
        <w:rPr>
          <w:rFonts w:eastAsia="Times New Roman" w:cs="Times New Roman"/>
          <w:szCs w:val="24"/>
        </w:rPr>
        <w:t xml:space="preserve">, M. (2018). Task-4-HPT-Annex-46-RD-Overview-France.pdf. Retrieved December 21, 2018, from </w:t>
      </w:r>
      <w:hyperlink r:id="rId67" w:history="1">
        <w:r w:rsidRPr="003F1AF9">
          <w:rPr>
            <w:rFonts w:eastAsia="Times New Roman" w:cs="Times New Roman"/>
            <w:color w:val="0000FF"/>
            <w:szCs w:val="24"/>
            <w:u w:val="single"/>
          </w:rPr>
          <w:t>http://www.hpt-annex46.org/wp-content/uploads/2018/04/Task-4-HPT-Annex-46-RD-Overview-France.pdf</w:t>
        </w:r>
      </w:hyperlink>
    </w:p>
    <w:p w14:paraId="053BFCE8" w14:textId="090DAB7B" w:rsidR="00AC3992" w:rsidRPr="0003357C" w:rsidRDefault="00AC3992" w:rsidP="00447380">
      <w:pPr>
        <w:spacing w:after="0"/>
        <w:ind w:hanging="480"/>
        <w:jc w:val="left"/>
        <w:rPr>
          <w:rFonts w:eastAsia="Times New Roman" w:cs="Times New Roman"/>
          <w:szCs w:val="24"/>
          <w:lang w:val="de-DE"/>
        </w:rPr>
      </w:pPr>
      <w:r w:rsidRPr="0003357C">
        <w:rPr>
          <w:rFonts w:eastAsia="Times New Roman" w:cs="Times New Roman"/>
          <w:szCs w:val="24"/>
          <w:lang w:val="de-DE"/>
        </w:rPr>
        <w:t xml:space="preserve">Raghavan, S. V., Wei, M., &amp; Kammen, D. M. (2017). </w:t>
      </w:r>
      <w:r w:rsidRPr="003F1AF9">
        <w:rPr>
          <w:rFonts w:eastAsia="Times New Roman" w:cs="Times New Roman"/>
          <w:szCs w:val="24"/>
        </w:rPr>
        <w:t xml:space="preserve">Scenarios to decarbonize residential water heating in California. </w:t>
      </w:r>
      <w:r w:rsidRPr="0003357C">
        <w:rPr>
          <w:rFonts w:eastAsia="Times New Roman" w:cs="Times New Roman"/>
          <w:i/>
          <w:iCs/>
          <w:szCs w:val="24"/>
          <w:lang w:val="de-DE"/>
        </w:rPr>
        <w:t>Energy Policy</w:t>
      </w:r>
      <w:r w:rsidRPr="0003357C">
        <w:rPr>
          <w:rFonts w:eastAsia="Times New Roman" w:cs="Times New Roman"/>
          <w:szCs w:val="24"/>
          <w:lang w:val="de-DE"/>
        </w:rPr>
        <w:t xml:space="preserve">, </w:t>
      </w:r>
      <w:r w:rsidRPr="0003357C">
        <w:rPr>
          <w:rFonts w:eastAsia="Times New Roman" w:cs="Times New Roman"/>
          <w:i/>
          <w:iCs/>
          <w:szCs w:val="24"/>
          <w:lang w:val="de-DE"/>
        </w:rPr>
        <w:t>109</w:t>
      </w:r>
      <w:r w:rsidRPr="0003357C">
        <w:rPr>
          <w:rFonts w:eastAsia="Times New Roman" w:cs="Times New Roman"/>
          <w:szCs w:val="24"/>
          <w:lang w:val="de-DE"/>
        </w:rPr>
        <w:t xml:space="preserve">, 441–451. </w:t>
      </w:r>
      <w:r w:rsidR="00447380">
        <w:rPr>
          <w:rFonts w:eastAsia="Times New Roman" w:cs="Times New Roman"/>
          <w:color w:val="0000FF"/>
          <w:szCs w:val="24"/>
          <w:u w:val="single"/>
          <w:lang w:val="de-DE"/>
        </w:rPr>
        <w:fldChar w:fldCharType="begin"/>
      </w:r>
      <w:r w:rsidR="00447380">
        <w:rPr>
          <w:rFonts w:eastAsia="Times New Roman" w:cs="Times New Roman"/>
          <w:color w:val="0000FF"/>
          <w:szCs w:val="24"/>
          <w:u w:val="single"/>
          <w:lang w:val="de-DE"/>
        </w:rPr>
        <w:instrText xml:space="preserve"> HYPERLINK "https://doi.org/10.1016/j.enpol.2017.07.002" </w:instrText>
      </w:r>
      <w:r w:rsidR="00E60668">
        <w:rPr>
          <w:rFonts w:eastAsia="Times New Roman" w:cs="Times New Roman"/>
          <w:color w:val="0000FF"/>
          <w:szCs w:val="24"/>
          <w:u w:val="single"/>
          <w:lang w:val="de-DE"/>
        </w:rPr>
      </w:r>
      <w:r w:rsidR="00447380">
        <w:rPr>
          <w:rFonts w:eastAsia="Times New Roman" w:cs="Times New Roman"/>
          <w:color w:val="0000FF"/>
          <w:szCs w:val="24"/>
          <w:u w:val="single"/>
          <w:lang w:val="de-DE"/>
        </w:rPr>
        <w:fldChar w:fldCharType="separate"/>
      </w:r>
      <w:r w:rsidR="00447380" w:rsidRPr="00DD3082">
        <w:rPr>
          <w:rStyle w:val="Hyperlink"/>
          <w:rFonts w:eastAsia="Times New Roman" w:cs="Times New Roman"/>
          <w:szCs w:val="24"/>
          <w:lang w:val="de-DE"/>
        </w:rPr>
        <w:t>https://doi.org/10.1016/j.enpol.2017.07.002</w:t>
      </w:r>
      <w:r w:rsidR="00447380">
        <w:rPr>
          <w:rFonts w:eastAsia="Times New Roman" w:cs="Times New Roman"/>
          <w:color w:val="0000FF"/>
          <w:szCs w:val="24"/>
          <w:u w:val="single"/>
          <w:lang w:val="de-DE"/>
        </w:rPr>
        <w:fldChar w:fldCharType="end"/>
      </w:r>
      <w:r w:rsidR="00447380">
        <w:rPr>
          <w:rFonts w:eastAsia="Times New Roman" w:cs="Times New Roman"/>
          <w:color w:val="0000FF"/>
          <w:szCs w:val="24"/>
          <w:u w:val="single"/>
          <w:lang w:val="de-DE"/>
        </w:rPr>
        <w:t xml:space="preserve"> </w:t>
      </w:r>
    </w:p>
    <w:p w14:paraId="6961FD3C" w14:textId="6C783671" w:rsidR="00AC3992" w:rsidRPr="003F1AF9" w:rsidRDefault="00AC3992" w:rsidP="00447380">
      <w:pPr>
        <w:spacing w:after="0"/>
        <w:ind w:hanging="480"/>
        <w:jc w:val="left"/>
        <w:rPr>
          <w:rFonts w:eastAsia="Times New Roman" w:cs="Times New Roman"/>
          <w:szCs w:val="24"/>
        </w:rPr>
      </w:pPr>
      <w:r w:rsidRPr="0003357C">
        <w:rPr>
          <w:rFonts w:eastAsia="Times New Roman" w:cs="Times New Roman"/>
          <w:szCs w:val="24"/>
          <w:lang w:val="de-DE"/>
        </w:rPr>
        <w:t xml:space="preserve">Riahi, K., Kriegler, E., Johnson, N., Bertram, C., den Elzen, M., Eom, J., … </w:t>
      </w:r>
      <w:proofErr w:type="spellStart"/>
      <w:r w:rsidRPr="003F1AF9">
        <w:rPr>
          <w:rFonts w:eastAsia="Times New Roman" w:cs="Times New Roman"/>
          <w:szCs w:val="24"/>
        </w:rPr>
        <w:t>Edenhofer</w:t>
      </w:r>
      <w:proofErr w:type="spellEnd"/>
      <w:r w:rsidRPr="003F1AF9">
        <w:rPr>
          <w:rFonts w:eastAsia="Times New Roman" w:cs="Times New Roman"/>
          <w:szCs w:val="24"/>
        </w:rPr>
        <w:t xml:space="preserve">, O. (2015). Locked into Copenhagen pledges — Implications of short-term emission targets for the cost and feasibility of long-term climate goals. </w:t>
      </w:r>
      <w:r w:rsidRPr="003F1AF9">
        <w:rPr>
          <w:rFonts w:eastAsia="Times New Roman" w:cs="Times New Roman"/>
          <w:i/>
          <w:iCs/>
          <w:szCs w:val="24"/>
        </w:rPr>
        <w:t>Technological Forecasting and Social Change</w:t>
      </w:r>
      <w:r w:rsidRPr="003F1AF9">
        <w:rPr>
          <w:rFonts w:eastAsia="Times New Roman" w:cs="Times New Roman"/>
          <w:szCs w:val="24"/>
        </w:rPr>
        <w:t xml:space="preserve">, </w:t>
      </w:r>
      <w:r w:rsidRPr="003F1AF9">
        <w:rPr>
          <w:rFonts w:eastAsia="Times New Roman" w:cs="Times New Roman"/>
          <w:i/>
          <w:iCs/>
          <w:szCs w:val="24"/>
        </w:rPr>
        <w:t>90</w:t>
      </w:r>
      <w:r w:rsidRPr="003F1AF9">
        <w:rPr>
          <w:rFonts w:eastAsia="Times New Roman" w:cs="Times New Roman"/>
          <w:szCs w:val="24"/>
        </w:rPr>
        <w:t xml:space="preserve">, 8–23. </w:t>
      </w:r>
      <w:hyperlink r:id="rId68" w:history="1">
        <w:r w:rsidRPr="003F1AF9">
          <w:rPr>
            <w:rFonts w:eastAsia="Times New Roman" w:cs="Times New Roman"/>
            <w:color w:val="0000FF"/>
            <w:szCs w:val="24"/>
            <w:u w:val="single"/>
          </w:rPr>
          <w:t>https://doi.org/10.1016/j.techfore.2013.09.016</w:t>
        </w:r>
      </w:hyperlink>
    </w:p>
    <w:p w14:paraId="6F3CE666" w14:textId="5ACD860F" w:rsidR="00AC3992" w:rsidRPr="003F1AF9" w:rsidRDefault="00AC3992" w:rsidP="00447380">
      <w:pPr>
        <w:spacing w:after="0"/>
        <w:ind w:hanging="480"/>
        <w:jc w:val="left"/>
        <w:rPr>
          <w:rFonts w:eastAsia="Times New Roman" w:cs="Times New Roman"/>
          <w:szCs w:val="24"/>
        </w:rPr>
      </w:pPr>
      <w:r w:rsidRPr="0003357C">
        <w:rPr>
          <w:rFonts w:eastAsia="Times New Roman" w:cs="Times New Roman"/>
          <w:szCs w:val="24"/>
          <w:lang w:val="pt-PT"/>
        </w:rPr>
        <w:lastRenderedPageBreak/>
        <w:t xml:space="preserve">Serrano, S., </w:t>
      </w:r>
      <w:proofErr w:type="spellStart"/>
      <w:r w:rsidRPr="0003357C">
        <w:rPr>
          <w:rFonts w:eastAsia="Times New Roman" w:cs="Times New Roman"/>
          <w:szCs w:val="24"/>
          <w:lang w:val="pt-PT"/>
        </w:rPr>
        <w:t>Ürge-Vorsatz</w:t>
      </w:r>
      <w:proofErr w:type="spellEnd"/>
      <w:r w:rsidRPr="0003357C">
        <w:rPr>
          <w:rFonts w:eastAsia="Times New Roman" w:cs="Times New Roman"/>
          <w:szCs w:val="24"/>
          <w:lang w:val="pt-PT"/>
        </w:rPr>
        <w:t xml:space="preserve">, D., </w:t>
      </w:r>
      <w:proofErr w:type="spellStart"/>
      <w:r w:rsidRPr="0003357C">
        <w:rPr>
          <w:rFonts w:eastAsia="Times New Roman" w:cs="Times New Roman"/>
          <w:szCs w:val="24"/>
          <w:lang w:val="pt-PT"/>
        </w:rPr>
        <w:t>Barreneche</w:t>
      </w:r>
      <w:proofErr w:type="spellEnd"/>
      <w:r w:rsidRPr="0003357C">
        <w:rPr>
          <w:rFonts w:eastAsia="Times New Roman" w:cs="Times New Roman"/>
          <w:szCs w:val="24"/>
          <w:lang w:val="pt-PT"/>
        </w:rPr>
        <w:t xml:space="preserve">, C., </w:t>
      </w:r>
      <w:proofErr w:type="spellStart"/>
      <w:r w:rsidRPr="0003357C">
        <w:rPr>
          <w:rFonts w:eastAsia="Times New Roman" w:cs="Times New Roman"/>
          <w:szCs w:val="24"/>
          <w:lang w:val="pt-PT"/>
        </w:rPr>
        <w:t>Palacios</w:t>
      </w:r>
      <w:proofErr w:type="spellEnd"/>
      <w:r w:rsidRPr="0003357C">
        <w:rPr>
          <w:rFonts w:eastAsia="Times New Roman" w:cs="Times New Roman"/>
          <w:szCs w:val="24"/>
          <w:lang w:val="pt-PT"/>
        </w:rPr>
        <w:t xml:space="preserve">, A., &amp; </w:t>
      </w:r>
      <w:proofErr w:type="spellStart"/>
      <w:r w:rsidRPr="0003357C">
        <w:rPr>
          <w:rFonts w:eastAsia="Times New Roman" w:cs="Times New Roman"/>
          <w:szCs w:val="24"/>
          <w:lang w:val="pt-PT"/>
        </w:rPr>
        <w:t>Cabeza</w:t>
      </w:r>
      <w:proofErr w:type="spellEnd"/>
      <w:r w:rsidRPr="0003357C">
        <w:rPr>
          <w:rFonts w:eastAsia="Times New Roman" w:cs="Times New Roman"/>
          <w:szCs w:val="24"/>
          <w:lang w:val="pt-PT"/>
        </w:rPr>
        <w:t xml:space="preserve">, L. F. (2017). </w:t>
      </w:r>
      <w:r w:rsidRPr="003F1AF9">
        <w:rPr>
          <w:rFonts w:eastAsia="Times New Roman" w:cs="Times New Roman"/>
          <w:szCs w:val="24"/>
        </w:rPr>
        <w:t xml:space="preserve">Heating and cooling energy trends and drivers in Europe. </w:t>
      </w:r>
      <w:r w:rsidRPr="003F1AF9">
        <w:rPr>
          <w:rFonts w:eastAsia="Times New Roman" w:cs="Times New Roman"/>
          <w:i/>
          <w:iCs/>
          <w:szCs w:val="24"/>
        </w:rPr>
        <w:t>Energy</w:t>
      </w:r>
      <w:r w:rsidRPr="003F1AF9">
        <w:rPr>
          <w:rFonts w:eastAsia="Times New Roman" w:cs="Times New Roman"/>
          <w:szCs w:val="24"/>
        </w:rPr>
        <w:t xml:space="preserve">, </w:t>
      </w:r>
      <w:r w:rsidRPr="003F1AF9">
        <w:rPr>
          <w:rFonts w:eastAsia="Times New Roman" w:cs="Times New Roman"/>
          <w:i/>
          <w:iCs/>
          <w:szCs w:val="24"/>
        </w:rPr>
        <w:t>119</w:t>
      </w:r>
      <w:r w:rsidRPr="003F1AF9">
        <w:rPr>
          <w:rFonts w:eastAsia="Times New Roman" w:cs="Times New Roman"/>
          <w:szCs w:val="24"/>
        </w:rPr>
        <w:t xml:space="preserve">, 425–434. </w:t>
      </w:r>
      <w:hyperlink r:id="rId69" w:history="1">
        <w:r w:rsidRPr="003F1AF9">
          <w:rPr>
            <w:rFonts w:eastAsia="Times New Roman" w:cs="Times New Roman"/>
            <w:color w:val="0000FF"/>
            <w:szCs w:val="24"/>
            <w:u w:val="single"/>
          </w:rPr>
          <w:t>https://doi.org/10.1016/j.energy.2016.12.080</w:t>
        </w:r>
      </w:hyperlink>
    </w:p>
    <w:p w14:paraId="0E5FBDB6" w14:textId="199CD4C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Shah, N. (2016). </w:t>
      </w:r>
      <w:r w:rsidR="00E95A84" w:rsidRPr="003F1AF9">
        <w:rPr>
          <w:rFonts w:eastAsia="Times New Roman" w:cs="Times New Roman"/>
          <w:szCs w:val="24"/>
        </w:rPr>
        <w:t>Annex 46: Domestic Hot Water Heat Pump, Presentation at Centre for Sustainable Technologies at Ulster University</w:t>
      </w:r>
      <w:r w:rsidRPr="003F1AF9">
        <w:rPr>
          <w:rFonts w:eastAsia="Times New Roman" w:cs="Times New Roman"/>
          <w:szCs w:val="24"/>
        </w:rPr>
        <w:t xml:space="preserve">. Retrieved December 21, 2018, from </w:t>
      </w:r>
      <w:hyperlink r:id="rId70" w:history="1">
        <w:r w:rsidRPr="003F1AF9">
          <w:rPr>
            <w:rFonts w:eastAsia="Times New Roman" w:cs="Times New Roman"/>
            <w:color w:val="0000FF"/>
            <w:szCs w:val="24"/>
            <w:u w:val="single"/>
          </w:rPr>
          <w:t>http://www.hpt-annex46.org/wp-content/uploads/2017/05/2016-02-Nikhilkumar-Shah-Ulster-CST.pdf</w:t>
        </w:r>
      </w:hyperlink>
    </w:p>
    <w:p w14:paraId="7A045B68" w14:textId="309B9C47" w:rsidR="00DB1AB2" w:rsidRPr="003F1AF9" w:rsidRDefault="00DB1AB2" w:rsidP="00447380">
      <w:pPr>
        <w:spacing w:after="0"/>
        <w:ind w:hanging="480"/>
        <w:jc w:val="left"/>
        <w:rPr>
          <w:rFonts w:eastAsia="Times New Roman" w:cs="Times New Roman"/>
          <w:szCs w:val="24"/>
        </w:rPr>
      </w:pPr>
      <w:r w:rsidRPr="003F1AF9">
        <w:rPr>
          <w:rFonts w:eastAsia="Times New Roman" w:cs="Times New Roman"/>
          <w:szCs w:val="24"/>
        </w:rPr>
        <w:t xml:space="preserve">Shah, N. et al. (2015), Benefits of Leapfrogging to </w:t>
      </w:r>
      <w:proofErr w:type="spellStart"/>
      <w:r w:rsidRPr="003F1AF9">
        <w:rPr>
          <w:rFonts w:eastAsia="Times New Roman" w:cs="Times New Roman"/>
          <w:szCs w:val="24"/>
        </w:rPr>
        <w:t>Superefficiency</w:t>
      </w:r>
      <w:proofErr w:type="spellEnd"/>
      <w:r w:rsidRPr="003F1AF9">
        <w:rPr>
          <w:rFonts w:eastAsia="Times New Roman" w:cs="Times New Roman"/>
          <w:szCs w:val="24"/>
        </w:rPr>
        <w:t xml:space="preserve"> and Low Global Warming</w:t>
      </w:r>
      <w:r w:rsidR="002A2ED6" w:rsidRPr="003F1AF9">
        <w:rPr>
          <w:rFonts w:eastAsia="Times New Roman" w:cs="Times New Roman"/>
          <w:szCs w:val="24"/>
        </w:rPr>
        <w:t xml:space="preserve"> </w:t>
      </w:r>
      <w:r w:rsidRPr="003F1AF9">
        <w:rPr>
          <w:rFonts w:eastAsia="Times New Roman" w:cs="Times New Roman"/>
          <w:szCs w:val="24"/>
        </w:rPr>
        <w:t xml:space="preserve">Potential Refrigerants in Room Air Conditioning, LBNL, </w:t>
      </w:r>
      <w:hyperlink r:id="rId71" w:history="1">
        <w:r w:rsidR="002A2ED6" w:rsidRPr="003F1AF9">
          <w:rPr>
            <w:rStyle w:val="Hyperlink"/>
            <w:rFonts w:eastAsia="Times New Roman" w:cs="Times New Roman"/>
            <w:szCs w:val="24"/>
          </w:rPr>
          <w:t>https://eetd.lbl.gov/sites/all/files/lbnl‐1003671_0.pdf</w:t>
        </w:r>
      </w:hyperlink>
      <w:r w:rsidRPr="003F1AF9">
        <w:rPr>
          <w:rFonts w:eastAsia="Times New Roman" w:cs="Times New Roman"/>
          <w:szCs w:val="24"/>
        </w:rPr>
        <w:t>.</w:t>
      </w:r>
    </w:p>
    <w:p w14:paraId="09FD9CC1" w14:textId="0156CD08"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Shen, B. (2016). </w:t>
      </w:r>
      <w:r w:rsidRPr="003F1AF9">
        <w:rPr>
          <w:rFonts w:eastAsia="Times New Roman" w:cs="Times New Roman"/>
          <w:i/>
          <w:iCs/>
          <w:szCs w:val="24"/>
        </w:rPr>
        <w:t>High Efficiency Cold Climate Heat Pump</w:t>
      </w:r>
      <w:r w:rsidRPr="003F1AF9">
        <w:rPr>
          <w:rFonts w:eastAsia="Times New Roman" w:cs="Times New Roman"/>
          <w:szCs w:val="24"/>
        </w:rPr>
        <w:t>.</w:t>
      </w:r>
    </w:p>
    <w:p w14:paraId="61733CFA"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Sikorski, E., &amp; </w:t>
      </w:r>
      <w:proofErr w:type="spellStart"/>
      <w:r w:rsidRPr="003F1AF9">
        <w:rPr>
          <w:rFonts w:eastAsia="Times New Roman" w:cs="Times New Roman"/>
          <w:szCs w:val="24"/>
        </w:rPr>
        <w:t>Groll</w:t>
      </w:r>
      <w:proofErr w:type="spellEnd"/>
      <w:r w:rsidRPr="003F1AF9">
        <w:rPr>
          <w:rFonts w:eastAsia="Times New Roman" w:cs="Times New Roman"/>
          <w:szCs w:val="24"/>
        </w:rPr>
        <w:t>, E. (2011). EU-US COMPARISON OF ENERGY EFFICIENCY REQUIREMENTS FOR AIR-SOURCE HEAT PUMPS (p. 12).</w:t>
      </w:r>
    </w:p>
    <w:p w14:paraId="1CF72AC0" w14:textId="5CC71C4B"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Stanford University. (n.d.). Stanford Energy System Innovations (SESI). Retrieved December 9, 2018, from </w:t>
      </w:r>
      <w:hyperlink r:id="rId72" w:history="1">
        <w:r w:rsidRPr="003F1AF9">
          <w:rPr>
            <w:rFonts w:eastAsia="Times New Roman" w:cs="Times New Roman"/>
            <w:color w:val="0000FF"/>
            <w:szCs w:val="24"/>
            <w:u w:val="single"/>
          </w:rPr>
          <w:t>https://sustainable.stanford.edu/campus-action/stanford-energy-system-innovations-sesi</w:t>
        </w:r>
      </w:hyperlink>
    </w:p>
    <w:p w14:paraId="512FB8C1"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Taylor, M. (2018). HPT_Magazine_No1_2018_A_sustainable_energy_future The role of heat pumps 11-27-18.pdf.</w:t>
      </w:r>
    </w:p>
    <w:p w14:paraId="2ECF9603" w14:textId="5D95548B" w:rsidR="00AC3992" w:rsidRPr="003F1AF9" w:rsidRDefault="00AC3992" w:rsidP="00447380">
      <w:pPr>
        <w:spacing w:after="0"/>
        <w:ind w:hanging="480"/>
        <w:jc w:val="left"/>
        <w:rPr>
          <w:rFonts w:eastAsia="Times New Roman" w:cs="Times New Roman"/>
          <w:szCs w:val="24"/>
        </w:rPr>
      </w:pPr>
      <w:r w:rsidRPr="0003357C">
        <w:rPr>
          <w:rFonts w:eastAsia="Times New Roman" w:cs="Times New Roman"/>
          <w:szCs w:val="24"/>
          <w:lang w:val="de-DE"/>
        </w:rPr>
        <w:t xml:space="preserve">Ürge-Vorsatz, D., Cabeza, L. F., Serrano, S., Barreneche, C., &amp; Petrichenko, K. (2015). </w:t>
      </w:r>
      <w:r w:rsidRPr="003F1AF9">
        <w:rPr>
          <w:rFonts w:eastAsia="Times New Roman" w:cs="Times New Roman"/>
          <w:szCs w:val="24"/>
        </w:rPr>
        <w:t xml:space="preserve">Heating and cooling energy trends and drivers in buildings. </w:t>
      </w:r>
      <w:r w:rsidRPr="003F1AF9">
        <w:rPr>
          <w:rFonts w:eastAsia="Times New Roman" w:cs="Times New Roman"/>
          <w:i/>
          <w:iCs/>
          <w:szCs w:val="24"/>
        </w:rPr>
        <w:t>Renewable and Sustainable Energy Reviews</w:t>
      </w:r>
      <w:r w:rsidRPr="003F1AF9">
        <w:rPr>
          <w:rFonts w:eastAsia="Times New Roman" w:cs="Times New Roman"/>
          <w:szCs w:val="24"/>
        </w:rPr>
        <w:t xml:space="preserve">, </w:t>
      </w:r>
      <w:r w:rsidRPr="003F1AF9">
        <w:rPr>
          <w:rFonts w:eastAsia="Times New Roman" w:cs="Times New Roman"/>
          <w:i/>
          <w:iCs/>
          <w:szCs w:val="24"/>
        </w:rPr>
        <w:t>41</w:t>
      </w:r>
      <w:r w:rsidRPr="003F1AF9">
        <w:rPr>
          <w:rFonts w:eastAsia="Times New Roman" w:cs="Times New Roman"/>
          <w:szCs w:val="24"/>
        </w:rPr>
        <w:t xml:space="preserve">, 85–98. </w:t>
      </w:r>
      <w:hyperlink r:id="rId73" w:history="1">
        <w:r w:rsidRPr="003F1AF9">
          <w:rPr>
            <w:rFonts w:eastAsia="Times New Roman" w:cs="Times New Roman"/>
            <w:color w:val="0000FF"/>
            <w:szCs w:val="24"/>
            <w:u w:val="single"/>
          </w:rPr>
          <w:t>https://doi.org/10.1016/j.rser.2014.08.039</w:t>
        </w:r>
      </w:hyperlink>
    </w:p>
    <w:p w14:paraId="6CBAB905"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Urge-</w:t>
      </w:r>
      <w:proofErr w:type="spellStart"/>
      <w:r w:rsidRPr="003F1AF9">
        <w:rPr>
          <w:rFonts w:eastAsia="Times New Roman" w:cs="Times New Roman"/>
          <w:szCs w:val="24"/>
        </w:rPr>
        <w:t>Vorsatz</w:t>
      </w:r>
      <w:proofErr w:type="spellEnd"/>
      <w:r w:rsidRPr="003F1AF9">
        <w:rPr>
          <w:rFonts w:eastAsia="Times New Roman" w:cs="Times New Roman"/>
          <w:szCs w:val="24"/>
        </w:rPr>
        <w:t xml:space="preserve">, D., &amp; Central </w:t>
      </w:r>
      <w:proofErr w:type="spellStart"/>
      <w:r w:rsidRPr="003F1AF9">
        <w:rPr>
          <w:rFonts w:eastAsia="Times New Roman" w:cs="Times New Roman"/>
          <w:szCs w:val="24"/>
        </w:rPr>
        <w:t>european</w:t>
      </w:r>
      <w:proofErr w:type="spellEnd"/>
      <w:r w:rsidRPr="003F1AF9">
        <w:rPr>
          <w:rFonts w:eastAsia="Times New Roman" w:cs="Times New Roman"/>
          <w:szCs w:val="24"/>
        </w:rPr>
        <w:t xml:space="preserve"> university. (2012). </w:t>
      </w:r>
      <w:r w:rsidRPr="003F1AF9">
        <w:rPr>
          <w:rFonts w:eastAsia="Times New Roman" w:cs="Times New Roman"/>
          <w:i/>
          <w:iCs/>
          <w:szCs w:val="24"/>
        </w:rPr>
        <w:t>Best practice policies for low carbon &amp; energy buildings: based on scenario analysis</w:t>
      </w:r>
      <w:r w:rsidRPr="003F1AF9">
        <w:rPr>
          <w:rFonts w:eastAsia="Times New Roman" w:cs="Times New Roman"/>
          <w:szCs w:val="24"/>
        </w:rPr>
        <w:t xml:space="preserve">. Paris] (9 rue du Quatre </w:t>
      </w:r>
      <w:proofErr w:type="spellStart"/>
      <w:r w:rsidRPr="003F1AF9">
        <w:rPr>
          <w:rFonts w:eastAsia="Times New Roman" w:cs="Times New Roman"/>
          <w:szCs w:val="24"/>
        </w:rPr>
        <w:t>Septembre</w:t>
      </w:r>
      <w:proofErr w:type="spellEnd"/>
      <w:r w:rsidRPr="003F1AF9">
        <w:rPr>
          <w:rFonts w:eastAsia="Times New Roman" w:cs="Times New Roman"/>
          <w:szCs w:val="24"/>
        </w:rPr>
        <w:t>, 75002): Global buildings performance network.</w:t>
      </w:r>
    </w:p>
    <w:p w14:paraId="5258DD0A" w14:textId="44D93688"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U.S Department of Energy. (2013). 60187.pdf Performance of a Heat Pump Water Heater in the Hot-Humid Climate. Retrieved December 21, 2018, from </w:t>
      </w:r>
      <w:hyperlink r:id="rId74" w:history="1">
        <w:r w:rsidRPr="003F1AF9">
          <w:rPr>
            <w:rFonts w:eastAsia="Times New Roman" w:cs="Times New Roman"/>
            <w:color w:val="0000FF"/>
            <w:szCs w:val="24"/>
            <w:u w:val="single"/>
          </w:rPr>
          <w:t>https://www.nrel.gov/docs/fy14osti/60187.pdf</w:t>
        </w:r>
      </w:hyperlink>
    </w:p>
    <w:p w14:paraId="3624BBF3" w14:textId="5C0DD7AC"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U.S. Department of Energy. (2014). CAC Brochure Explaining Central Air Conditioner and Heat Pump Standards.pdf. Retrieved November 16, 2018, from </w:t>
      </w:r>
      <w:hyperlink r:id="rId75" w:history="1">
        <w:r w:rsidRPr="003F1AF9">
          <w:rPr>
            <w:rFonts w:eastAsia="Times New Roman" w:cs="Times New Roman"/>
            <w:color w:val="0000FF"/>
            <w:szCs w:val="24"/>
            <w:u w:val="single"/>
          </w:rPr>
          <w:t>https://www.energy.gov/sites/prod/files/2015/11/f27/CAC%20Brochure.pdf</w:t>
        </w:r>
      </w:hyperlink>
    </w:p>
    <w:p w14:paraId="3A4B21A9" w14:textId="1A17BA4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U.S Department of Energy. (2015a). Regulations.gov - Supporting &amp; Related Material Document: Residential Central Air Conditioners and Heat Pumps. Retrieved March 6, 2019, from </w:t>
      </w:r>
      <w:hyperlink r:id="rId76" w:history="1">
        <w:r w:rsidRPr="003F1AF9">
          <w:rPr>
            <w:rFonts w:eastAsia="Times New Roman" w:cs="Times New Roman"/>
            <w:color w:val="0000FF"/>
            <w:szCs w:val="24"/>
            <w:u w:val="single"/>
          </w:rPr>
          <w:t>https://www.regulations.gov/document?D=EERE-2014-BT-STD-0048-0029</w:t>
        </w:r>
      </w:hyperlink>
    </w:p>
    <w:p w14:paraId="6F5715B3" w14:textId="1B51F2A3"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U.S. Department of Energy. (2015). </w:t>
      </w:r>
      <w:r w:rsidRPr="003F1AF9">
        <w:rPr>
          <w:rFonts w:eastAsia="Times New Roman" w:cs="Times New Roman"/>
          <w:i/>
          <w:iCs/>
          <w:szCs w:val="24"/>
        </w:rPr>
        <w:t>“Technical Support Document: Energy Efficiency Program for Consumer Products: Residential Central Air Conditioners and Heat Pumps”</w:t>
      </w:r>
      <w:r w:rsidRPr="003F1AF9">
        <w:rPr>
          <w:rFonts w:eastAsia="Times New Roman" w:cs="Times New Roman"/>
          <w:szCs w:val="24"/>
        </w:rPr>
        <w:t xml:space="preserve"> (Federal Report). U.S. Department of Energy, Office of Energy Efficiency &amp; Renewable Energy. Retrieved from </w:t>
      </w:r>
      <w:hyperlink r:id="rId77" w:history="1">
        <w:r w:rsidRPr="003F1AF9">
          <w:rPr>
            <w:rFonts w:eastAsia="Times New Roman" w:cs="Times New Roman"/>
            <w:color w:val="0000FF"/>
            <w:szCs w:val="24"/>
            <w:u w:val="single"/>
          </w:rPr>
          <w:t>https://www.regulations.gov/document?D=EERE-2014-BT-STD-0048-0029</w:t>
        </w:r>
      </w:hyperlink>
    </w:p>
    <w:p w14:paraId="7AE874E7" w14:textId="31D61D93"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lastRenderedPageBreak/>
        <w:t xml:space="preserve">U.S Department of Energy. (2015b). </w:t>
      </w:r>
      <w:r w:rsidRPr="003F1AF9">
        <w:rPr>
          <w:rFonts w:eastAsia="Times New Roman" w:cs="Times New Roman"/>
          <w:i/>
          <w:iCs/>
          <w:szCs w:val="24"/>
        </w:rPr>
        <w:t>US Federal Rulemaking Boiler Technical Support Document</w:t>
      </w:r>
      <w:r w:rsidRPr="003F1AF9">
        <w:rPr>
          <w:rFonts w:eastAsia="Times New Roman" w:cs="Times New Roman"/>
          <w:szCs w:val="24"/>
        </w:rPr>
        <w:t xml:space="preserve"> (Federal Report). United States of America: Energy Efficiency and Renewable Energy Office. Retrieved from </w:t>
      </w:r>
      <w:hyperlink r:id="rId78" w:history="1">
        <w:r w:rsidRPr="003F1AF9">
          <w:rPr>
            <w:rFonts w:eastAsia="Times New Roman" w:cs="Times New Roman"/>
            <w:color w:val="0000FF"/>
            <w:szCs w:val="24"/>
            <w:u w:val="single"/>
          </w:rPr>
          <w:t>https://www.regulations.gov/document?D=EERE-2012-BT-STD-0047-0070</w:t>
        </w:r>
      </w:hyperlink>
    </w:p>
    <w:p w14:paraId="42D9ABF1" w14:textId="7E395961"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U.S Department of Energy. (2015c). </w:t>
      </w:r>
      <w:r w:rsidRPr="003F1AF9">
        <w:rPr>
          <w:rFonts w:eastAsia="Times New Roman" w:cs="Times New Roman"/>
          <w:i/>
          <w:iCs/>
          <w:szCs w:val="24"/>
        </w:rPr>
        <w:t>US Federal Rulemaking Furnace Technical Support Document</w:t>
      </w:r>
      <w:r w:rsidRPr="003F1AF9">
        <w:rPr>
          <w:rFonts w:eastAsia="Times New Roman" w:cs="Times New Roman"/>
          <w:szCs w:val="24"/>
        </w:rPr>
        <w:t xml:space="preserve"> (Federal Report). United States of America: Energy Efficiency and Renewable Energy Office. Retrieved from </w:t>
      </w:r>
      <w:hyperlink r:id="rId79" w:history="1">
        <w:r w:rsidRPr="003F1AF9">
          <w:rPr>
            <w:rFonts w:eastAsia="Times New Roman" w:cs="Times New Roman"/>
            <w:color w:val="0000FF"/>
            <w:szCs w:val="24"/>
            <w:u w:val="single"/>
          </w:rPr>
          <w:t>https://www.regulations.gov/document?D=EERE-2014-BT-STD-0031-0032</w:t>
        </w:r>
      </w:hyperlink>
    </w:p>
    <w:p w14:paraId="33A6174A" w14:textId="7926DB4A"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U.S. Department of Energy. (2016). Commercial Buildings Energy Consumption Survey (CBECS) Data-Energy Information Administration (EIA). Retrieved November 27, 2018, from </w:t>
      </w:r>
      <w:hyperlink r:id="rId80" w:anchor="b1-b2" w:history="1">
        <w:r w:rsidRPr="003F1AF9">
          <w:rPr>
            <w:rFonts w:eastAsia="Times New Roman" w:cs="Times New Roman"/>
            <w:color w:val="0000FF"/>
            <w:szCs w:val="24"/>
            <w:u w:val="single"/>
          </w:rPr>
          <w:t>https://www.eia.gov/consumption/commercial/data/2012/index.php?view=characteristics#b1-b2</w:t>
        </w:r>
      </w:hyperlink>
    </w:p>
    <w:p w14:paraId="05D84A74" w14:textId="62B7AC3A"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U.S Department of Energy. (2016). Regulations.gov - Rule Document. Retrieved December 6, 2018, from </w:t>
      </w:r>
      <w:hyperlink r:id="rId81" w:history="1">
        <w:r w:rsidRPr="003F1AF9">
          <w:rPr>
            <w:rFonts w:eastAsia="Times New Roman" w:cs="Times New Roman"/>
            <w:color w:val="0000FF"/>
            <w:szCs w:val="24"/>
            <w:u w:val="single"/>
          </w:rPr>
          <w:t>https://www.regulations.gov/document?D=EERE-2011-BT-CE-0077-0102</w:t>
        </w:r>
      </w:hyperlink>
    </w:p>
    <w:p w14:paraId="55ACEC14" w14:textId="3B572123"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U.S. Department of Energy. (2017a). 2017-01-06 Energy Conservation Program: Energy Conservation Standards for Residential Central Air Conditioners and Heat Pumps; Direct final rule. Retrieved November 10, 2018, from </w:t>
      </w:r>
      <w:hyperlink r:id="rId82" w:history="1">
        <w:r w:rsidRPr="003F1AF9">
          <w:rPr>
            <w:rFonts w:eastAsia="Times New Roman" w:cs="Times New Roman"/>
            <w:color w:val="0000FF"/>
            <w:szCs w:val="24"/>
            <w:u w:val="single"/>
          </w:rPr>
          <w:t>https://www.regulations.gov/document?D=EERE-2014-BT-STD-0048-0102</w:t>
        </w:r>
      </w:hyperlink>
    </w:p>
    <w:p w14:paraId="65E98DFC"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U.S. Department of Energy. (2017b). CFR-2017-title10-vol3-part430-subpartB-appM.pdf.</w:t>
      </w:r>
    </w:p>
    <w:p w14:paraId="4BF8EAC4" w14:textId="189EFD0E"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U.S. Department of Energy. (2017c). Regulations.gov - Rule Document. Retrieved November 16, 2018, from </w:t>
      </w:r>
      <w:hyperlink r:id="rId83" w:history="1">
        <w:r w:rsidRPr="003F1AF9">
          <w:rPr>
            <w:rFonts w:eastAsia="Times New Roman" w:cs="Times New Roman"/>
            <w:color w:val="0000FF"/>
            <w:szCs w:val="24"/>
            <w:u w:val="single"/>
          </w:rPr>
          <w:t>https://www.regulations.gov/document?D=EERE-2014-BT-STD-0048-0200</w:t>
        </w:r>
      </w:hyperlink>
    </w:p>
    <w:p w14:paraId="27534276" w14:textId="265EC48D"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U.S. Department of Energy. (2017d). Residential Energy Consumption Survey (RECS) - Energy Information Administration. Retrieved November 27, 2018, from </w:t>
      </w:r>
      <w:hyperlink r:id="rId84" w:history="1">
        <w:r w:rsidRPr="003F1AF9">
          <w:rPr>
            <w:rFonts w:eastAsia="Times New Roman" w:cs="Times New Roman"/>
            <w:color w:val="0000FF"/>
            <w:szCs w:val="24"/>
            <w:u w:val="single"/>
          </w:rPr>
          <w:t>https://www.eia.gov/consumption/residential/</w:t>
        </w:r>
      </w:hyperlink>
    </w:p>
    <w:p w14:paraId="402979DD"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U.S Department of Energy. (2018). Updated Buildings Sector Appliance and Equipment Costs and Efficiency, 740.</w:t>
      </w:r>
    </w:p>
    <w:p w14:paraId="1234FAB0" w14:textId="1CA70D1F"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U.S. Department of Energy. (n.d.). Code of Federal Regulations (CFR) § 430.B, App. M, 2018. Retrieved November 29, 2018, from </w:t>
      </w:r>
      <w:hyperlink r:id="rId85" w:history="1">
        <w:r w:rsidRPr="003F1AF9">
          <w:rPr>
            <w:rFonts w:eastAsia="Times New Roman" w:cs="Times New Roman"/>
            <w:color w:val="0000FF"/>
            <w:szCs w:val="24"/>
            <w:u w:val="single"/>
          </w:rPr>
          <w:t>https://www.gpo.gov/fdsys/pkg/CFR-2018-title10-vol3/xml/CFR-2018-title10-vol3-part430.xml</w:t>
        </w:r>
      </w:hyperlink>
    </w:p>
    <w:p w14:paraId="1581FEE4" w14:textId="4FAF2511" w:rsidR="00AC3992" w:rsidRPr="003F1AF9" w:rsidRDefault="00AC3992" w:rsidP="00447380">
      <w:pPr>
        <w:spacing w:after="0"/>
        <w:ind w:hanging="480"/>
        <w:jc w:val="left"/>
        <w:rPr>
          <w:rFonts w:eastAsia="Times New Roman" w:cs="Times New Roman"/>
          <w:szCs w:val="24"/>
        </w:rPr>
      </w:pPr>
      <w:r w:rsidRPr="0003357C">
        <w:rPr>
          <w:rFonts w:eastAsia="Times New Roman" w:cs="Times New Roman"/>
          <w:szCs w:val="24"/>
          <w:lang w:val="de-DE"/>
        </w:rPr>
        <w:t xml:space="preserve">Wang, W., Katipamula, S., Huang, Y., &amp; Brambley, M. R. (2011). </w:t>
      </w:r>
      <w:r w:rsidRPr="003F1AF9">
        <w:rPr>
          <w:rFonts w:eastAsia="Times New Roman" w:cs="Times New Roman"/>
          <w:i/>
          <w:iCs/>
          <w:szCs w:val="24"/>
        </w:rPr>
        <w:t>Energy Savings and Economics of Advanced Control Strategies for Packaged Air-Conditioning Units with Gas Heat</w:t>
      </w:r>
      <w:r w:rsidRPr="003F1AF9">
        <w:rPr>
          <w:rFonts w:eastAsia="Times New Roman" w:cs="Times New Roman"/>
          <w:szCs w:val="24"/>
        </w:rPr>
        <w:t xml:space="preserve"> (No. PNNL-20955, 1034593). </w:t>
      </w:r>
      <w:hyperlink r:id="rId86" w:history="1">
        <w:r w:rsidRPr="003F1AF9">
          <w:rPr>
            <w:rFonts w:eastAsia="Times New Roman" w:cs="Times New Roman"/>
            <w:color w:val="0000FF"/>
            <w:szCs w:val="24"/>
            <w:u w:val="single"/>
          </w:rPr>
          <w:t>https://doi.org/10.2172/1034593</w:t>
        </w:r>
      </w:hyperlink>
    </w:p>
    <w:p w14:paraId="371C3936" w14:textId="0D2DEFF8"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 xml:space="preserve">Wikipedia. (2018). Seasonal energy efficiency ratio. In </w:t>
      </w:r>
      <w:r w:rsidRPr="003F1AF9">
        <w:rPr>
          <w:rFonts w:eastAsia="Times New Roman" w:cs="Times New Roman"/>
          <w:i/>
          <w:iCs/>
          <w:szCs w:val="24"/>
        </w:rPr>
        <w:t>Wikipedia</w:t>
      </w:r>
      <w:r w:rsidRPr="003F1AF9">
        <w:rPr>
          <w:rFonts w:eastAsia="Times New Roman" w:cs="Times New Roman"/>
          <w:szCs w:val="24"/>
        </w:rPr>
        <w:t xml:space="preserve">. Retrieved from </w:t>
      </w:r>
      <w:hyperlink r:id="rId87" w:history="1">
        <w:r w:rsidRPr="003F1AF9">
          <w:rPr>
            <w:rFonts w:eastAsia="Times New Roman" w:cs="Times New Roman"/>
            <w:color w:val="0000FF"/>
            <w:szCs w:val="24"/>
            <w:u w:val="single"/>
          </w:rPr>
          <w:t>https://en.wikipedia.org/w/index.php?title=Seasonal_energy_efficiency_ratio&amp;oldid=863489663</w:t>
        </w:r>
      </w:hyperlink>
    </w:p>
    <w:p w14:paraId="50CB91ED" w14:textId="77777777" w:rsidR="00AC3992" w:rsidRPr="003F1AF9" w:rsidRDefault="00AC3992" w:rsidP="00447380">
      <w:pPr>
        <w:spacing w:after="0"/>
        <w:ind w:hanging="480"/>
        <w:jc w:val="left"/>
        <w:rPr>
          <w:rFonts w:eastAsia="Times New Roman" w:cs="Times New Roman"/>
          <w:szCs w:val="24"/>
        </w:rPr>
      </w:pPr>
      <w:r w:rsidRPr="003F1AF9">
        <w:rPr>
          <w:rFonts w:eastAsia="Times New Roman" w:cs="Times New Roman"/>
          <w:szCs w:val="24"/>
        </w:rPr>
        <w:t>Zhao, C. H. (2017). China air source heat pump market development (p. 23).</w:t>
      </w:r>
    </w:p>
    <w:p w14:paraId="2CAA0B9D" w14:textId="77777777" w:rsidR="00AC3992" w:rsidRPr="003F1AF9" w:rsidRDefault="00AC3992" w:rsidP="00447380">
      <w:pPr>
        <w:spacing w:after="0"/>
        <w:ind w:hanging="480"/>
        <w:jc w:val="left"/>
        <w:rPr>
          <w:rFonts w:eastAsia="Times New Roman" w:cs="Times New Roman"/>
          <w:szCs w:val="24"/>
        </w:rPr>
      </w:pPr>
      <w:proofErr w:type="spellStart"/>
      <w:r w:rsidRPr="0003357C">
        <w:rPr>
          <w:rFonts w:eastAsia="Times New Roman" w:cs="Times New Roman"/>
          <w:szCs w:val="24"/>
          <w:lang w:val="pt-PT"/>
        </w:rPr>
        <w:t>Zhao</w:t>
      </w:r>
      <w:proofErr w:type="spellEnd"/>
      <w:r w:rsidRPr="0003357C">
        <w:rPr>
          <w:rFonts w:eastAsia="Times New Roman" w:cs="Times New Roman"/>
          <w:szCs w:val="24"/>
          <w:lang w:val="pt-PT"/>
        </w:rPr>
        <w:t xml:space="preserve">, H., </w:t>
      </w:r>
      <w:proofErr w:type="spellStart"/>
      <w:r w:rsidRPr="0003357C">
        <w:rPr>
          <w:rFonts w:eastAsia="Times New Roman" w:cs="Times New Roman"/>
          <w:szCs w:val="24"/>
          <w:lang w:val="pt-PT"/>
        </w:rPr>
        <w:t>Gao</w:t>
      </w:r>
      <w:proofErr w:type="spellEnd"/>
      <w:r w:rsidRPr="0003357C">
        <w:rPr>
          <w:rFonts w:eastAsia="Times New Roman" w:cs="Times New Roman"/>
          <w:szCs w:val="24"/>
          <w:lang w:val="pt-PT"/>
        </w:rPr>
        <w:t xml:space="preserve">, Y., &amp; </w:t>
      </w:r>
      <w:proofErr w:type="spellStart"/>
      <w:r w:rsidRPr="0003357C">
        <w:rPr>
          <w:rFonts w:eastAsia="Times New Roman" w:cs="Times New Roman"/>
          <w:szCs w:val="24"/>
          <w:lang w:val="pt-PT"/>
        </w:rPr>
        <w:t>Song</w:t>
      </w:r>
      <w:proofErr w:type="spellEnd"/>
      <w:r w:rsidRPr="0003357C">
        <w:rPr>
          <w:rFonts w:eastAsia="Times New Roman" w:cs="Times New Roman"/>
          <w:szCs w:val="24"/>
          <w:lang w:val="pt-PT"/>
        </w:rPr>
        <w:t xml:space="preserve">, Z. (2017). </w:t>
      </w:r>
      <w:r w:rsidRPr="003F1AF9">
        <w:rPr>
          <w:rFonts w:eastAsia="Times New Roman" w:cs="Times New Roman"/>
          <w:szCs w:val="24"/>
        </w:rPr>
        <w:t>Strategic outlook of Heat pump development in China, 5.</w:t>
      </w:r>
    </w:p>
    <w:p w14:paraId="128C49B3" w14:textId="77777777" w:rsidR="00AC3992" w:rsidRPr="003F1AF9" w:rsidRDefault="00AC3992" w:rsidP="00AC3992">
      <w:pPr>
        <w:rPr>
          <w:sz w:val="20"/>
        </w:rPr>
      </w:pPr>
    </w:p>
    <w:p w14:paraId="1C566E7F" w14:textId="166E7A70" w:rsidR="00EF1EBC" w:rsidRPr="003F1AF9" w:rsidRDefault="00EF1EBC">
      <w:pPr>
        <w:spacing w:after="160" w:line="259" w:lineRule="auto"/>
        <w:jc w:val="left"/>
        <w:rPr>
          <w:rFonts w:asciiTheme="majorHAnsi" w:eastAsiaTheme="majorEastAsia" w:hAnsiTheme="majorHAnsi" w:cs="Times New Roman (Headings CS)"/>
          <w:b/>
          <w:bCs/>
          <w:smallCaps/>
          <w:color w:val="4F81BD" w:themeColor="accent1"/>
          <w:sz w:val="36"/>
          <w:szCs w:val="36"/>
        </w:rPr>
      </w:pPr>
    </w:p>
    <w:p w14:paraId="2A312074" w14:textId="77777777" w:rsidR="00447380" w:rsidRPr="00B8714F" w:rsidRDefault="00447380" w:rsidP="00447380">
      <w:pPr>
        <w:pStyle w:val="Heading1"/>
      </w:pPr>
      <w:bookmarkStart w:id="535" w:name="_Toc42284672"/>
      <w:bookmarkStart w:id="536" w:name="_Toc42289737"/>
      <w:bookmarkStart w:id="537" w:name="_Ref42289764"/>
      <w:r w:rsidRPr="00B8714F">
        <w:lastRenderedPageBreak/>
        <w:t>Glossary</w:t>
      </w:r>
      <w:bookmarkEnd w:id="535"/>
      <w:bookmarkEnd w:id="536"/>
      <w:bookmarkEnd w:id="537"/>
    </w:p>
    <w:p w14:paraId="39B6DD2E" w14:textId="77777777" w:rsidR="00447380" w:rsidRPr="00B8714F" w:rsidRDefault="00447380" w:rsidP="00447380">
      <w:r w:rsidRPr="00B8714F">
        <w:rPr>
          <w:b/>
        </w:rPr>
        <w:t>Adoption Scenario</w:t>
      </w:r>
      <w:r w:rsidRPr="00B8714F">
        <w:t xml:space="preserve"> – the predicted annual adoption over the period 2015 to 2060, which is usually measured in </w:t>
      </w:r>
      <w:r w:rsidRPr="00B8714F">
        <w:rPr>
          <w:b/>
        </w:rPr>
        <w:t>Functional Units</w:t>
      </w:r>
      <w:r w:rsidRPr="00B8714F">
        <w:t>. A range of scenarios is programmed in the model, but the user may enter her own. Note that the assumption behind most scenarios is one of growth. If</w:t>
      </w:r>
      <w:r>
        <w:t>,</w:t>
      </w:r>
      <w:r w:rsidRPr="00B8714F">
        <w:t xml:space="preserve"> for instance</w:t>
      </w:r>
      <w:r>
        <w:t>,</w:t>
      </w:r>
      <w:r w:rsidRPr="00B8714F">
        <w:t xml:space="preserve"> a solution is one of reduced heating energy usage due to better insulation, then the solution adoption is translated into an increase in use of insulation. There are two types of adoption scenarios in use: </w:t>
      </w:r>
      <w:r w:rsidRPr="00B8714F">
        <w:rPr>
          <w:b/>
        </w:rPr>
        <w:t>Reference (REF)</w:t>
      </w:r>
      <w:r w:rsidRPr="00B8714F">
        <w:t xml:space="preserve"> where global adoption remains mostly constant, and </w:t>
      </w:r>
      <w:r w:rsidRPr="00B8714F">
        <w:rPr>
          <w:b/>
        </w:rPr>
        <w:t>Project Drawdown Scenarios (PDS)</w:t>
      </w:r>
      <w:r w:rsidRPr="00B8714F">
        <w:t xml:space="preserve"> which illustrate high growth of the solution.</w:t>
      </w:r>
    </w:p>
    <w:p w14:paraId="374FFBC9" w14:textId="77777777" w:rsidR="00447380" w:rsidRPr="00B8714F" w:rsidRDefault="00447380" w:rsidP="00447380">
      <w:r w:rsidRPr="00B8714F">
        <w:rPr>
          <w:b/>
        </w:rPr>
        <w:t>Approximate PPM Equivalent</w:t>
      </w:r>
      <w:r w:rsidRPr="00B8714F">
        <w:t xml:space="preserve"> – the reduction in atmospheric concentration of CO</w:t>
      </w:r>
      <w:r w:rsidRPr="00B8714F">
        <w:rPr>
          <w:vertAlign w:val="subscript"/>
        </w:rPr>
        <w:t>2</w:t>
      </w:r>
      <w:r w:rsidRPr="00B8714F">
        <w:t xml:space="preserve"> (in </w:t>
      </w:r>
      <w:r w:rsidRPr="00B8714F">
        <w:rPr>
          <w:b/>
        </w:rPr>
        <w:t>PPM</w:t>
      </w:r>
      <w:r w:rsidRPr="00B8714F">
        <w:t xml:space="preserve">) that is expected to result if the </w:t>
      </w:r>
      <w:r w:rsidRPr="00B8714F">
        <w:rPr>
          <w:b/>
        </w:rPr>
        <w:t>PDS Scenario</w:t>
      </w:r>
      <w:r w:rsidRPr="00B8714F">
        <w:t xml:space="preserve"> occurs. This assumes a discrete avoided pulse model based on the Bern Carbon Cycle model.</w:t>
      </w:r>
    </w:p>
    <w:p w14:paraId="127B3234" w14:textId="77777777" w:rsidR="00447380" w:rsidRPr="00B8714F" w:rsidRDefault="00447380" w:rsidP="00447380">
      <w:r w:rsidRPr="00B8714F">
        <w:rPr>
          <w:b/>
        </w:rPr>
        <w:t>Average Abatement Cost</w:t>
      </w:r>
      <w:r w:rsidRPr="00B8714F">
        <w:t xml:space="preserve"> – the ratio of the present value of the solution (</w:t>
      </w:r>
      <w:r w:rsidRPr="00B8714F">
        <w:rPr>
          <w:b/>
        </w:rPr>
        <w:t>Net</w:t>
      </w:r>
      <w:r w:rsidRPr="00B8714F">
        <w:t xml:space="preserve"> </w:t>
      </w:r>
      <w:r w:rsidRPr="00B8714F">
        <w:rPr>
          <w:b/>
        </w:rPr>
        <w:t xml:space="preserve">Operating Savings </w:t>
      </w:r>
      <w:r w:rsidRPr="00B8714F">
        <w:t>minus</w:t>
      </w:r>
      <w:r w:rsidRPr="00B8714F">
        <w:rPr>
          <w:b/>
        </w:rPr>
        <w:t xml:space="preserve"> Marginal First Costs</w:t>
      </w:r>
      <w:r w:rsidRPr="00B8714F">
        <w:t xml:space="preserve">) and the </w:t>
      </w:r>
      <w:r w:rsidRPr="00B8714F">
        <w:rPr>
          <w:b/>
        </w:rPr>
        <w:t>Total Emissions Reduction</w:t>
      </w:r>
      <w:r w:rsidRPr="00B8714F">
        <w:t xml:space="preserve">. This is a single value for each solution for each </w:t>
      </w:r>
      <w:r w:rsidRPr="00B8714F">
        <w:rPr>
          <w:b/>
        </w:rPr>
        <w:t>PDS Scenario</w:t>
      </w:r>
      <w:r>
        <w:t xml:space="preserve"> </w:t>
      </w:r>
      <w:r w:rsidRPr="00B8714F">
        <w:t>and is used to build the characteristic “</w:t>
      </w:r>
      <w:r w:rsidRPr="00B8714F">
        <w:rPr>
          <w:i/>
        </w:rPr>
        <w:t>Marginal Abatement Cost</w:t>
      </w:r>
      <w:r w:rsidRPr="00B8714F">
        <w:t>” curves when Average Abatement Cost values for each solution are ordered and graphed.</w:t>
      </w:r>
    </w:p>
    <w:p w14:paraId="1B41A2C0" w14:textId="77777777" w:rsidR="00447380" w:rsidRPr="00B8714F" w:rsidRDefault="00447380" w:rsidP="00447380">
      <w:r w:rsidRPr="00B8714F">
        <w:rPr>
          <w:b/>
        </w:rPr>
        <w:t>Average Annual Use</w:t>
      </w:r>
      <w:r w:rsidRPr="00B8714F">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t>
      </w:r>
      <w:r>
        <w:t>G</w:t>
      </w:r>
      <w:r w:rsidRPr="00B8714F">
        <w:t>lobal weighted averages for this input</w:t>
      </w:r>
      <w:r>
        <w:t xml:space="preserve"> are </w:t>
      </w:r>
      <w:r w:rsidRPr="00B8714F">
        <w:t xml:space="preserve">used to estimate the </w:t>
      </w:r>
      <w:r w:rsidRPr="00B8714F">
        <w:rPr>
          <w:b/>
        </w:rPr>
        <w:t>Replacement Time</w:t>
      </w:r>
      <w:r w:rsidRPr="00B8714F">
        <w:t>.</w:t>
      </w:r>
    </w:p>
    <w:p w14:paraId="400D5985" w14:textId="77777777" w:rsidR="00447380" w:rsidRPr="00B8714F" w:rsidRDefault="00447380" w:rsidP="00447380">
      <w:r w:rsidRPr="00B8714F">
        <w:rPr>
          <w:b/>
        </w:rPr>
        <w:t>Cumulative First Cost</w:t>
      </w:r>
      <w:r w:rsidRPr="00B8714F">
        <w:t xml:space="preserve"> – the total </w:t>
      </w:r>
      <w:r w:rsidRPr="00B8714F">
        <w:rPr>
          <w:b/>
        </w:rPr>
        <w:t>First Cost</w:t>
      </w:r>
      <w:r w:rsidRPr="00B8714F">
        <w:t xml:space="preserve"> of solution </w:t>
      </w:r>
      <w:r w:rsidRPr="00B8714F">
        <w:rPr>
          <w:b/>
        </w:rPr>
        <w:t>Implementation Units</w:t>
      </w:r>
      <w:r w:rsidRPr="00B8714F">
        <w:t xml:space="preserve"> purchased in the </w:t>
      </w:r>
      <w:r w:rsidRPr="00B8714F">
        <w:rPr>
          <w:b/>
        </w:rPr>
        <w:t>PDS Scenario</w:t>
      </w:r>
      <w:r w:rsidRPr="00B8714F">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B301EE1" w14:textId="77777777" w:rsidR="00447380" w:rsidRPr="00B8714F" w:rsidRDefault="00447380" w:rsidP="00447380">
      <w:r w:rsidRPr="00B8714F">
        <w:rPr>
          <w:b/>
        </w:rPr>
        <w:t>Direct Emissions</w:t>
      </w:r>
      <w:r w:rsidRPr="00B8714F">
        <w:t xml:space="preserve"> – emissions caused by the operation of the solution, which are typically caused over the lifetime of the solution. They should be entered into the model normalized per functional unit.</w:t>
      </w:r>
    </w:p>
    <w:p w14:paraId="601D763A" w14:textId="77777777" w:rsidR="00447380" w:rsidRPr="00B8714F" w:rsidRDefault="00447380" w:rsidP="00447380">
      <w:r w:rsidRPr="00B8714F">
        <w:rPr>
          <w:b/>
        </w:rPr>
        <w:t>Discount Rate</w:t>
      </w:r>
      <w:r w:rsidRPr="00B8714F">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654D7CC3" w14:textId="77777777" w:rsidR="00447380" w:rsidRPr="00B8714F" w:rsidRDefault="00447380" w:rsidP="00447380">
      <w:r w:rsidRPr="00B8714F">
        <w:rPr>
          <w:b/>
        </w:rPr>
        <w:lastRenderedPageBreak/>
        <w:t>Emissions</w:t>
      </w:r>
      <w:r w:rsidRPr="00B8714F">
        <w:t xml:space="preserve"> </w:t>
      </w:r>
      <w:r w:rsidRPr="00B8714F">
        <w:rPr>
          <w:b/>
        </w:rPr>
        <w:t>Factor</w:t>
      </w:r>
      <w:r w:rsidRPr="00B8714F">
        <w:t>– the average normalized emissions resulting from consumption of a unit of electricity across the global grid. Typical units are kg CO</w:t>
      </w:r>
      <w:r w:rsidRPr="00B8714F">
        <w:rPr>
          <w:vertAlign w:val="subscript"/>
        </w:rPr>
        <w:t>2</w:t>
      </w:r>
      <w:r w:rsidRPr="00B8714F">
        <w:t>e/kWh.</w:t>
      </w:r>
    </w:p>
    <w:p w14:paraId="68B8420B" w14:textId="77777777" w:rsidR="00447380" w:rsidRPr="00B8714F" w:rsidRDefault="00447380" w:rsidP="00447380">
      <w:r w:rsidRPr="00B8714F">
        <w:rPr>
          <w:b/>
        </w:rPr>
        <w:t>First Cost</w:t>
      </w:r>
      <w:r w:rsidRPr="00B8714F">
        <w:t xml:space="preserve">- the investment cost per </w:t>
      </w:r>
      <w:r w:rsidRPr="00B8714F">
        <w:rPr>
          <w:b/>
        </w:rPr>
        <w:t>Implementation Unit</w:t>
      </w:r>
      <w:r w:rsidRPr="00B8714F">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w:t>
      </w:r>
      <w:r>
        <w:t>;</w:t>
      </w:r>
      <w:r w:rsidRPr="00B8714F">
        <w:t xml:space="preserve"> all years thereafter simply reflect the operating cost until replacement of the solution at its end of life.</w:t>
      </w:r>
    </w:p>
    <w:p w14:paraId="7FCA8DD6" w14:textId="77777777" w:rsidR="00447380" w:rsidRPr="00B8714F" w:rsidRDefault="00447380" w:rsidP="00447380">
      <w:r w:rsidRPr="00B8714F">
        <w:rPr>
          <w:b/>
        </w:rPr>
        <w:t>Functional Unit</w:t>
      </w:r>
      <w:r w:rsidRPr="00B8714F">
        <w:t xml:space="preserve"> – a measurement unit that represents the value, provided to the world, of the function that the solution performs. This depends on the solution. Therefore, LED Lighting provides petalumen-hours of light, Biomass provides tera-watt-hours of electricity</w:t>
      </w:r>
      <w:r>
        <w:t>,</w:t>
      </w:r>
      <w:r w:rsidRPr="00B8714F">
        <w:t xml:space="preserve"> and </w:t>
      </w:r>
      <w:proofErr w:type="gramStart"/>
      <w:r w:rsidRPr="00B8714F">
        <w:t>high speed</w:t>
      </w:r>
      <w:proofErr w:type="gramEnd"/>
      <w:r w:rsidRPr="00B8714F">
        <w:t xml:space="preserve"> rail provides billions of passenger-km of mobility.</w:t>
      </w:r>
    </w:p>
    <w:p w14:paraId="18B055E3" w14:textId="77777777" w:rsidR="00447380" w:rsidRPr="00B8714F" w:rsidRDefault="00447380" w:rsidP="00447380">
      <w:r w:rsidRPr="00B8714F">
        <w:rPr>
          <w:b/>
        </w:rPr>
        <w:t>Grid Emissions</w:t>
      </w:r>
      <w:r w:rsidRPr="00B8714F">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3FDBA4C8" w14:textId="77777777" w:rsidR="00447380" w:rsidRPr="00B8714F" w:rsidRDefault="00447380" w:rsidP="00447380">
      <w:r w:rsidRPr="00B8714F">
        <w:rPr>
          <w:b/>
        </w:rPr>
        <w:t>Implementation Unit</w:t>
      </w:r>
      <w:r w:rsidRPr="00B8714F">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4D52C9" w14:textId="77777777" w:rsidR="00447380" w:rsidRPr="00B8714F" w:rsidRDefault="00447380" w:rsidP="00447380">
      <w:r w:rsidRPr="00B8714F">
        <w:rPr>
          <w:b/>
        </w:rPr>
        <w:t>Indirect Emissions</w:t>
      </w:r>
      <w:r w:rsidRPr="00B8714F">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796DE9D1" w14:textId="77777777" w:rsidR="00447380" w:rsidRPr="00B8714F" w:rsidRDefault="00447380" w:rsidP="00447380">
      <w:r w:rsidRPr="00B8714F">
        <w:rPr>
          <w:b/>
        </w:rPr>
        <w:t>Learning Rate/Learning Curve</w:t>
      </w:r>
      <w:r w:rsidRPr="00B8714F">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 is acquired, costs decline, efficiency and quality improve, and waste is reduced. The model has a tool for calculating how costs change due to learning. A 2% learning rate means that the cost of producing a </w:t>
      </w:r>
      <w:r w:rsidRPr="00B8714F">
        <w:rPr>
          <w:i/>
        </w:rPr>
        <w:t>good</w:t>
      </w:r>
      <w:r w:rsidRPr="00B8714F">
        <w:t xml:space="preserve"> drops by 2% every time total production doubles.</w:t>
      </w:r>
    </w:p>
    <w:p w14:paraId="08B00059" w14:textId="77777777" w:rsidR="00447380" w:rsidRPr="00B8714F" w:rsidRDefault="00447380" w:rsidP="00447380">
      <w:r w:rsidRPr="00B8714F">
        <w:rPr>
          <w:b/>
        </w:rPr>
        <w:t>Lifetime Capacity</w:t>
      </w:r>
      <w:r w:rsidRPr="00B8714F">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8714F">
        <w:rPr>
          <w:b/>
        </w:rPr>
        <w:lastRenderedPageBreak/>
        <w:t>Replacement Time</w:t>
      </w:r>
      <w:r w:rsidRPr="00B8714F">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30A0EE7" w14:textId="77777777" w:rsidR="00447380" w:rsidRPr="00B8714F" w:rsidRDefault="00447380" w:rsidP="00447380">
      <w:r w:rsidRPr="00B8714F">
        <w:rPr>
          <w:b/>
        </w:rPr>
        <w:t>Lifetime Operating Savings</w:t>
      </w:r>
      <w:r w:rsidRPr="00B8714F">
        <w:t>–the operating cost in the PDS versus the REF scenarios over the lifetime of the implementation units purchased during the model period regardless of when their useful life ends.</w:t>
      </w:r>
    </w:p>
    <w:p w14:paraId="13EA9314" w14:textId="77777777" w:rsidR="00447380" w:rsidRPr="00B8714F" w:rsidRDefault="00447380" w:rsidP="00447380">
      <w:r w:rsidRPr="00B8714F">
        <w:rPr>
          <w:b/>
        </w:rPr>
        <w:t>Lifetime Cashflow NPV</w:t>
      </w:r>
      <w:r w:rsidRPr="00B8714F">
        <w:t xml:space="preserve">-the present value (PV) of the net cash flows (PDS versus REF) in each year of the model period (2015-2060). The net cash flows include net operating costs and first costs. There are two results in the model: Lifetime Cashflow NPV for a Single </w:t>
      </w:r>
      <w:r w:rsidRPr="00B8714F">
        <w:rPr>
          <w:b/>
        </w:rPr>
        <w:t>Implementation Unit</w:t>
      </w:r>
      <w:r w:rsidRPr="00B8714F">
        <w:t xml:space="preserve">, which refers to the installation of one </w:t>
      </w:r>
      <w:r w:rsidRPr="00B8714F">
        <w:rPr>
          <w:b/>
        </w:rPr>
        <w:t>Implementation Unit</w:t>
      </w:r>
      <w:r w:rsidRPr="00B8714F">
        <w:t xml:space="preserve">, and Lifetime Cashflow NPV of All Units, which refers to all </w:t>
      </w:r>
      <w:r w:rsidRPr="00B8714F">
        <w:rPr>
          <w:b/>
        </w:rPr>
        <w:t>Implementation Units</w:t>
      </w:r>
      <w:r w:rsidRPr="00B8714F">
        <w:t xml:space="preserve"> installed in a particular scenario. These calculations are also available using profit inputs instead of operating costs.</w:t>
      </w:r>
    </w:p>
    <w:p w14:paraId="291933F8" w14:textId="77777777" w:rsidR="00447380" w:rsidRPr="00B8714F" w:rsidRDefault="00447380" w:rsidP="00447380">
      <w:r w:rsidRPr="00B8714F">
        <w:rPr>
          <w:b/>
        </w:rPr>
        <w:t>Marginal First Cost</w:t>
      </w:r>
      <w:r w:rsidRPr="00B8714F">
        <w:t xml:space="preserve"> – the difference between the </w:t>
      </w:r>
      <w:r w:rsidRPr="00B8714F">
        <w:rPr>
          <w:b/>
        </w:rPr>
        <w:t>First Cost</w:t>
      </w:r>
      <w:r w:rsidRPr="00B8714F">
        <w:t xml:space="preserve"> of all units (solution and conventional) installed in the </w:t>
      </w:r>
      <w:r w:rsidRPr="00B8714F">
        <w:rPr>
          <w:b/>
        </w:rPr>
        <w:t>PDS Scenario</w:t>
      </w:r>
      <w:r w:rsidRPr="00B8714F">
        <w:t xml:space="preserve"> and the </w:t>
      </w:r>
      <w:r w:rsidRPr="00B8714F">
        <w:rPr>
          <w:b/>
        </w:rPr>
        <w:t>First Cost</w:t>
      </w:r>
      <w:r w:rsidRPr="00B8714F">
        <w:t xml:space="preserve"> of all units installed in the </w:t>
      </w:r>
      <w:r w:rsidRPr="00B8714F">
        <w:rPr>
          <w:b/>
        </w:rPr>
        <w:t>REF Scenario</w:t>
      </w:r>
      <w:r w:rsidRPr="00B8714F">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46EB726E" w14:textId="77777777" w:rsidR="00447380" w:rsidRPr="00B8714F" w:rsidRDefault="00447380" w:rsidP="00447380">
      <w:r w:rsidRPr="00B8714F">
        <w:rPr>
          <w:b/>
        </w:rPr>
        <w:t>Net Annual Functional Units (NAFU)</w:t>
      </w:r>
      <w:r w:rsidRPr="00B8714F">
        <w:t xml:space="preserve"> – the adoption in the PDS minus the adoption in the REF in each year of analysis. In the model, this represents the additional annual functional demand captured either by the solution in the </w:t>
      </w:r>
      <w:r w:rsidRPr="00B8714F">
        <w:rPr>
          <w:b/>
        </w:rPr>
        <w:t>PDS Scenario</w:t>
      </w:r>
      <w:r w:rsidRPr="00B8714F">
        <w:t xml:space="preserve"> or the conventional in the </w:t>
      </w:r>
      <w:r w:rsidRPr="00B8714F">
        <w:rPr>
          <w:b/>
        </w:rPr>
        <w:t>REF Scenario</w:t>
      </w:r>
      <w:r w:rsidRPr="00B8714F">
        <w:t>.</w:t>
      </w:r>
    </w:p>
    <w:p w14:paraId="5191CEC9" w14:textId="77777777" w:rsidR="00447380" w:rsidRPr="00B8714F" w:rsidRDefault="00447380" w:rsidP="00447380">
      <w:r w:rsidRPr="00B8714F">
        <w:rPr>
          <w:b/>
        </w:rPr>
        <w:t>Net Annual Implementation Units (NAIU)</w:t>
      </w:r>
      <w:r w:rsidRPr="00B8714F">
        <w:t xml:space="preserve"> – the number of </w:t>
      </w:r>
      <w:r w:rsidRPr="00B8714F">
        <w:rPr>
          <w:b/>
        </w:rPr>
        <w:t>Implementation Units</w:t>
      </w:r>
      <w:r w:rsidRPr="00B8714F">
        <w:t xml:space="preserve"> of the solution that are needed in the PDS to supply the </w:t>
      </w:r>
      <w:r w:rsidRPr="00B8714F">
        <w:rPr>
          <w:b/>
        </w:rPr>
        <w:t>Net Annual Functional Units (NAFU).</w:t>
      </w:r>
      <w:r w:rsidRPr="00B8714F">
        <w:t xml:space="preserve"> This equals the adoption in the PDS minus the adoption in the REF in each year of analysis divided by the average annual use.</w:t>
      </w:r>
    </w:p>
    <w:p w14:paraId="61B6D347" w14:textId="77777777" w:rsidR="00447380" w:rsidRPr="00B8714F" w:rsidRDefault="00447380" w:rsidP="00447380">
      <w:r w:rsidRPr="00B8714F">
        <w:rPr>
          <w:b/>
        </w:rPr>
        <w:t>Net Operating Savings</w:t>
      </w:r>
      <w:r w:rsidRPr="00B8714F">
        <w:t xml:space="preserve"> – The undiscounted difference between the operating cost of all units (solution and conventional) in the </w:t>
      </w:r>
      <w:r w:rsidRPr="00B8714F">
        <w:rPr>
          <w:b/>
        </w:rPr>
        <w:t>PDS Scenario</w:t>
      </w:r>
      <w:r w:rsidRPr="00B8714F">
        <w:t xml:space="preserve"> minus that of all units in the </w:t>
      </w:r>
      <w:r w:rsidRPr="00B8714F">
        <w:rPr>
          <w:b/>
        </w:rPr>
        <w:t>REF Scenario</w:t>
      </w:r>
      <w:r w:rsidRPr="00B8714F">
        <w:t>.</w:t>
      </w:r>
    </w:p>
    <w:p w14:paraId="3DD437F7" w14:textId="77777777" w:rsidR="00447380" w:rsidRPr="00B8714F" w:rsidRDefault="00447380" w:rsidP="00447380">
      <w:r w:rsidRPr="00B8714F">
        <w:rPr>
          <w:b/>
        </w:rPr>
        <w:t xml:space="preserve">Operating Costs </w:t>
      </w:r>
      <w:r w:rsidRPr="00B8714F">
        <w:t>– the average cost to ensure operation of an activity (conventional or solution) which is measured in 2014$US/</w:t>
      </w:r>
      <w:r w:rsidRPr="00B8714F">
        <w:rPr>
          <w:b/>
        </w:rPr>
        <w:t>Functional Unit</w:t>
      </w:r>
      <w:r w:rsidRPr="00B8714F">
        <w:t xml:space="preserve">.  This is needed to estimate how much it would cost to achieve the adoption projected when compared to the </w:t>
      </w:r>
      <w:r w:rsidRPr="00B8714F">
        <w:rPr>
          <w:b/>
        </w:rPr>
        <w:t>REF Case</w:t>
      </w:r>
      <w:r w:rsidRPr="00B8714F">
        <w:t xml:space="preserve">. Note that this excludes </w:t>
      </w:r>
      <w:r w:rsidRPr="00B8714F">
        <w:rPr>
          <w:b/>
        </w:rPr>
        <w:t>First Costs</w:t>
      </w:r>
      <w:r w:rsidRPr="00B8714F">
        <w:t xml:space="preserve"> for implementing the solution.</w:t>
      </w:r>
    </w:p>
    <w:p w14:paraId="1173CB29" w14:textId="77777777" w:rsidR="00447380" w:rsidRPr="00B8714F" w:rsidRDefault="00447380" w:rsidP="00447380">
      <w:r w:rsidRPr="00B8714F">
        <w:rPr>
          <w:b/>
        </w:rPr>
        <w:lastRenderedPageBreak/>
        <w:t>Payback Period</w:t>
      </w:r>
      <w:r w:rsidRPr="00B8714F">
        <w:t xml:space="preserve"> – the number of years required to pay all the </w:t>
      </w:r>
      <w:r w:rsidRPr="00B8714F">
        <w:rPr>
          <w:b/>
        </w:rPr>
        <w:t>First Costs</w:t>
      </w:r>
      <w:r w:rsidRPr="00B8714F">
        <w:t xml:space="preserve"> of the solution using </w:t>
      </w:r>
      <w:r w:rsidRPr="00B8714F">
        <w:rPr>
          <w:b/>
        </w:rPr>
        <w:t>Net Operating Savings</w:t>
      </w:r>
      <w:r w:rsidRPr="00B8714F">
        <w:t xml:space="preserve">. There are four specific metrics each with one of </w:t>
      </w:r>
      <w:r w:rsidRPr="00B8714F">
        <w:rPr>
          <w:b/>
        </w:rPr>
        <w:t>Marginal First Costs</w:t>
      </w:r>
      <w:r w:rsidRPr="00B8714F">
        <w:t xml:space="preserve"> or </w:t>
      </w:r>
      <w:r w:rsidRPr="00B8714F">
        <w:rPr>
          <w:b/>
        </w:rPr>
        <w:t>First Costs</w:t>
      </w:r>
      <w:r w:rsidRPr="00B8714F">
        <w:t xml:space="preserve"> of the solution only combined with either discounted or non-discounted values. All four are in the model. Additionally, the four outputs are calculated using the increased profit estimation instead of </w:t>
      </w:r>
      <w:r w:rsidRPr="00B8714F">
        <w:rPr>
          <w:b/>
        </w:rPr>
        <w:t>Net Operating Savings</w:t>
      </w:r>
      <w:r w:rsidRPr="00B8714F">
        <w:t>.</w:t>
      </w:r>
    </w:p>
    <w:p w14:paraId="2245A1DD" w14:textId="77777777" w:rsidR="00447380" w:rsidRPr="00B8714F" w:rsidRDefault="00447380" w:rsidP="00447380">
      <w:r w:rsidRPr="00B8714F">
        <w:rPr>
          <w:b/>
        </w:rPr>
        <w:t>PDS/ Project Drawdown Scenario</w:t>
      </w:r>
      <w:r w:rsidRPr="00B8714F">
        <w:t xml:space="preserve"> – this is the high growth scenario for adoption of the solution</w:t>
      </w:r>
    </w:p>
    <w:p w14:paraId="645F5713" w14:textId="77777777" w:rsidR="00447380" w:rsidRPr="00B8714F" w:rsidRDefault="00447380" w:rsidP="00447380">
      <w:r w:rsidRPr="00B8714F">
        <w:rPr>
          <w:b/>
        </w:rPr>
        <w:t>PPB/ Parts per Billion</w:t>
      </w:r>
      <w:r w:rsidRPr="00B8714F">
        <w:t xml:space="preserve"> – a measure of concentration for atmospheric gases. 10 million PPB = 1%.</w:t>
      </w:r>
    </w:p>
    <w:p w14:paraId="389C7228" w14:textId="77777777" w:rsidR="00447380" w:rsidRPr="00B8714F" w:rsidRDefault="00447380" w:rsidP="00447380">
      <w:r w:rsidRPr="00B8714F">
        <w:rPr>
          <w:b/>
        </w:rPr>
        <w:t>PPM/ Parts per Million</w:t>
      </w:r>
      <w:r w:rsidRPr="00B8714F">
        <w:t xml:space="preserve"> – a measure of concentration for atmospheric gases. 10 thousand PPM = 1%.</w:t>
      </w:r>
    </w:p>
    <w:p w14:paraId="64D444D7" w14:textId="77777777" w:rsidR="00447380" w:rsidRPr="00B8714F" w:rsidRDefault="00447380" w:rsidP="00447380">
      <w:r w:rsidRPr="00B8714F">
        <w:rPr>
          <w:b/>
        </w:rPr>
        <w:t>REF/ Reference Scenario</w:t>
      </w:r>
      <w:r w:rsidRPr="00B8714F">
        <w:t xml:space="preserve"> – this is the low growth scenario for adoption of the solution against which all </w:t>
      </w:r>
      <w:r w:rsidRPr="00B8714F">
        <w:rPr>
          <w:b/>
        </w:rPr>
        <w:t>PDS scenarios</w:t>
      </w:r>
      <w:r w:rsidRPr="00B8714F">
        <w:t xml:space="preserve"> are compared.</w:t>
      </w:r>
    </w:p>
    <w:p w14:paraId="3E61E3EB" w14:textId="77777777" w:rsidR="00447380" w:rsidRPr="00B8714F" w:rsidRDefault="00447380" w:rsidP="00447380">
      <w:r w:rsidRPr="00B8714F">
        <w:rPr>
          <w:b/>
        </w:rPr>
        <w:t>Replacement Time</w:t>
      </w:r>
      <w:r w:rsidRPr="00B8714F">
        <w:t xml:space="preserve">- the length of time in years, from installation/acquisition/setup of the solution through usage until a new installation/acquisition/setup is required to replace the earlier one.  This is calculated as the ratio of </w:t>
      </w:r>
      <w:r w:rsidRPr="00B8714F">
        <w:rPr>
          <w:b/>
        </w:rPr>
        <w:t>Lifetime Capacity</w:t>
      </w:r>
      <w:r w:rsidRPr="00B8714F">
        <w:t xml:space="preserve"> and the </w:t>
      </w:r>
      <w:r w:rsidRPr="00B8714F">
        <w:rPr>
          <w:b/>
        </w:rPr>
        <w:t>Average Annual Use</w:t>
      </w:r>
      <w:r w:rsidRPr="00B8714F">
        <w:t>.</w:t>
      </w:r>
    </w:p>
    <w:p w14:paraId="4C7172DB" w14:textId="77777777" w:rsidR="00447380" w:rsidRPr="00B8714F" w:rsidRDefault="00447380" w:rsidP="00447380">
      <w:r w:rsidRPr="00B8714F">
        <w:rPr>
          <w:b/>
        </w:rPr>
        <w:t>Total Emissions Reduction</w:t>
      </w:r>
      <w:r w:rsidRPr="00B8714F">
        <w:t xml:space="preserve"> – the sum of grid, fuel, indirect, and other direct emissions reductions over the analysis period. The emissions reduction of each of these is the difference between the emissions that would have resulted in the </w:t>
      </w:r>
      <w:r w:rsidRPr="00B8714F">
        <w:rPr>
          <w:b/>
        </w:rPr>
        <w:t>REF Scenario</w:t>
      </w:r>
      <w:r w:rsidRPr="00B8714F">
        <w:t xml:space="preserve"> (from both solution and conventional) and the emissions that would result in the </w:t>
      </w:r>
      <w:r w:rsidRPr="00B8714F">
        <w:rPr>
          <w:b/>
        </w:rPr>
        <w:t>PDS Scenario</w:t>
      </w:r>
      <w:r w:rsidRPr="00B8714F">
        <w:t>. These may also be considered as “emissions avoided” as they may have occurred in the REF Scenario, but not in the PDS Scenario.</w:t>
      </w:r>
    </w:p>
    <w:p w14:paraId="37501626" w14:textId="77777777" w:rsidR="00447380" w:rsidRPr="00B8714F" w:rsidRDefault="00447380" w:rsidP="00447380">
      <w:pPr>
        <w:rPr>
          <w:b/>
        </w:rPr>
      </w:pPr>
      <w:r w:rsidRPr="00B8714F">
        <w:rPr>
          <w:b/>
        </w:rPr>
        <w:t xml:space="preserve">TWh/ Terawatt-hour – </w:t>
      </w:r>
      <w:r w:rsidRPr="00B8714F">
        <w:t>A unit of energy equal to 1 billion kilowatt-hours</w:t>
      </w:r>
    </w:p>
    <w:p w14:paraId="57B3845F" w14:textId="7124C1F1" w:rsidR="006745FF" w:rsidRPr="003F1AF9" w:rsidRDefault="006745FF" w:rsidP="00447380"/>
    <w:sectPr w:rsidR="006745FF" w:rsidRPr="003F1AF9">
      <w:pgSz w:w="12240" w:h="15840"/>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80FB4" w16cex:dateUtc="2020-05-26T20:59:00Z"/>
  <w16cex:commentExtensible w16cex:durableId="2278FBA4" w16cex:dateUtc="2020-05-27T13:45:00Z"/>
  <w16cex:commentExtensible w16cex:durableId="2278FC75" w16cex:dateUtc="2020-05-27T13:49:00Z"/>
  <w16cex:commentExtensible w16cex:durableId="2278FD6B" w16cex:dateUtc="2020-05-27T13:53:00Z"/>
  <w16cex:commentExtensible w16cex:durableId="2278FE31" w16cex:dateUtc="2020-05-27T13:56:00Z"/>
  <w16cex:commentExtensible w16cex:durableId="2278FEB8" w16cex:dateUtc="2020-05-27T13:59:00Z"/>
  <w16cex:commentExtensible w16cex:durableId="2278FF31" w16cex:dateUtc="2020-05-27T14:01:00Z"/>
  <w16cex:commentExtensible w16cex:durableId="22790D41" w16cex:dateUtc="2020-05-27T15:01:00Z"/>
  <w16cex:commentExtensible w16cex:durableId="22790DC7" w16cex:dateUtc="2020-05-27T15:03:00Z"/>
  <w16cex:commentExtensible w16cex:durableId="22790EE1" w16cex:dateUtc="2020-05-27T15:08:00Z"/>
  <w16cex:commentExtensible w16cex:durableId="22790F26" w16cex:dateUtc="2020-05-27T15:09:00Z"/>
  <w16cex:commentExtensible w16cex:durableId="22790FA5" w16cex:dateUtc="2020-05-27T15:11:00Z"/>
  <w16cex:commentExtensible w16cex:durableId="22790FED" w16cex:dateUtc="2020-05-27T15:12:00Z"/>
  <w16cex:commentExtensible w16cex:durableId="22791197" w16cex:dateUtc="2020-05-27T15:1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FFE26" w14:textId="77777777" w:rsidR="00A30221" w:rsidRDefault="00A30221" w:rsidP="00D26F59">
      <w:pPr>
        <w:spacing w:after="0"/>
      </w:pPr>
      <w:r>
        <w:separator/>
      </w:r>
    </w:p>
  </w:endnote>
  <w:endnote w:type="continuationSeparator" w:id="0">
    <w:p w14:paraId="710C4CFD" w14:textId="77777777" w:rsidR="00A30221" w:rsidRDefault="00A30221"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3409" w14:textId="77777777" w:rsidR="0078120E" w:rsidRDefault="0078120E"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78120E" w:rsidRDefault="0078120E"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AE7D4" w14:textId="087E5F1B" w:rsidR="0078120E" w:rsidRPr="00F26176" w:rsidRDefault="0078120E"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III</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78120E" w:rsidRPr="00F26176" w:rsidRDefault="0078120E"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24</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F7BA7" w14:textId="77777777" w:rsidR="00A30221" w:rsidRDefault="00A30221" w:rsidP="00D26F59">
      <w:pPr>
        <w:spacing w:after="0"/>
      </w:pPr>
      <w:r>
        <w:separator/>
      </w:r>
    </w:p>
  </w:footnote>
  <w:footnote w:type="continuationSeparator" w:id="0">
    <w:p w14:paraId="703EFBAF" w14:textId="77777777" w:rsidR="00A30221" w:rsidRDefault="00A30221" w:rsidP="00D26F59">
      <w:pPr>
        <w:spacing w:after="0"/>
      </w:pPr>
      <w:r>
        <w:continuationSeparator/>
      </w:r>
    </w:p>
  </w:footnote>
  <w:footnote w:id="1">
    <w:p w14:paraId="113BBF08" w14:textId="3CF68712" w:rsidR="0078120E" w:rsidRDefault="0078120E">
      <w:pPr>
        <w:pStyle w:val="FootnoteText"/>
      </w:pPr>
      <w:r>
        <w:rPr>
          <w:rStyle w:val="FootnoteReference"/>
        </w:rPr>
        <w:footnoteRef/>
      </w:r>
      <w:r>
        <w:t xml:space="preserve"> This is an air-source heat pump that passes heat to the hydronic (water) piping in the building.</w:t>
      </w:r>
    </w:p>
  </w:footnote>
  <w:footnote w:id="2">
    <w:p w14:paraId="6602B154" w14:textId="349B1D08" w:rsidR="0078120E" w:rsidRDefault="0078120E" w:rsidP="000314B1">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w:t>
      </w:r>
      <w:r>
        <w:t>;</w:t>
      </w:r>
      <w:r>
        <w:t xml:space="preserve"> hence</w:t>
      </w:r>
      <w:r>
        <w:t>,</w:t>
      </w:r>
      <w:r>
        <w:t xml:space="preserve"> net first cost results rep</w:t>
      </w:r>
      <w:bookmarkStart w:id="350" w:name="_GoBack"/>
      <w:bookmarkEnd w:id="350"/>
      <w:r>
        <w:t>resent the period 2015-2050.</w:t>
      </w:r>
    </w:p>
  </w:footnote>
  <w:footnote w:id="3">
    <w:p w14:paraId="0FBDFCD3" w14:textId="77777777" w:rsidR="0078120E" w:rsidRDefault="0078120E" w:rsidP="00DF5AE8">
      <w:pPr>
        <w:pStyle w:val="FootnoteText"/>
      </w:pPr>
      <w:r>
        <w:rPr>
          <w:rStyle w:val="FootnoteReference"/>
        </w:rPr>
        <w:footnoteRef/>
      </w:r>
      <w:r>
        <w:t xml:space="preserve"> Space heating from biomass is not considered to be replaced by high-efficient heat pumps in this study.</w:t>
      </w:r>
    </w:p>
  </w:footnote>
  <w:footnote w:id="4">
    <w:p w14:paraId="1FA8B248" w14:textId="77777777" w:rsidR="0078120E" w:rsidRDefault="0078120E" w:rsidP="0022389C">
      <w:pPr>
        <w:pStyle w:val="FootnoteText"/>
      </w:pPr>
      <w:r>
        <w:rPr>
          <w:rStyle w:val="FootnoteReference"/>
        </w:rPr>
        <w:footnoteRef/>
      </w:r>
      <w:r>
        <w:t xml:space="preserve"> This can be interpreted as a single building with multiple efficiency technologies.</w:t>
      </w:r>
    </w:p>
  </w:footnote>
  <w:footnote w:id="5">
    <w:p w14:paraId="4B75B27C" w14:textId="77777777" w:rsidR="0078120E" w:rsidRDefault="0078120E" w:rsidP="00F92588">
      <w:pPr>
        <w:pStyle w:val="FootnoteText"/>
      </w:pPr>
      <w:r>
        <w:rPr>
          <w:rStyle w:val="FootnoteReference"/>
        </w:rPr>
        <w:footnoteRef/>
      </w:r>
      <w:r>
        <w:t xml:space="preserve"> Some solutions such as Electric Vehicles and High-Speed Rail increase the demand for electricity and reduce the demand for fuel.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6127FB"/>
    <w:multiLevelType w:val="hybridMultilevel"/>
    <w:tmpl w:val="936C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D5E8E"/>
    <w:multiLevelType w:val="hybridMultilevel"/>
    <w:tmpl w:val="5728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B5970"/>
    <w:multiLevelType w:val="hybridMultilevel"/>
    <w:tmpl w:val="CB2AB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CC61BD"/>
    <w:multiLevelType w:val="hybridMultilevel"/>
    <w:tmpl w:val="D5F6F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C1EDE"/>
    <w:multiLevelType w:val="hybridMultilevel"/>
    <w:tmpl w:val="D5AE2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C387C"/>
    <w:multiLevelType w:val="hybridMultilevel"/>
    <w:tmpl w:val="964C91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E84E83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4BC18C8"/>
    <w:multiLevelType w:val="hybridMultilevel"/>
    <w:tmpl w:val="5F943BE8"/>
    <w:lvl w:ilvl="0" w:tplc="28BC39D6">
      <w:start w:val="1"/>
      <w:numFmt w:val="decimal"/>
      <w:lvlText w:val="%1."/>
      <w:lvlJc w:val="left"/>
      <w:pPr>
        <w:ind w:left="720" w:hanging="360"/>
      </w:pPr>
      <w:rPr>
        <w:rFonts w:hint="default"/>
      </w:rPr>
    </w:lvl>
    <w:lvl w:ilvl="1" w:tplc="163A09D6">
      <w:start w:val="2"/>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285F4F"/>
    <w:multiLevelType w:val="hybridMultilevel"/>
    <w:tmpl w:val="F53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353884"/>
    <w:multiLevelType w:val="hybridMultilevel"/>
    <w:tmpl w:val="2670F024"/>
    <w:lvl w:ilvl="0" w:tplc="E4A667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FE77E6"/>
    <w:multiLevelType w:val="hybridMultilevel"/>
    <w:tmpl w:val="12BE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F75F5"/>
    <w:multiLevelType w:val="hybridMultilevel"/>
    <w:tmpl w:val="1258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32184"/>
    <w:multiLevelType w:val="hybridMultilevel"/>
    <w:tmpl w:val="DC4AB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74EB9"/>
    <w:multiLevelType w:val="hybridMultilevel"/>
    <w:tmpl w:val="417457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5E71E6"/>
    <w:multiLevelType w:val="hybridMultilevel"/>
    <w:tmpl w:val="96F6C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B2AA3"/>
    <w:multiLevelType w:val="hybridMultilevel"/>
    <w:tmpl w:val="ED708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021A08"/>
    <w:multiLevelType w:val="hybridMultilevel"/>
    <w:tmpl w:val="C2E0B7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5E4AB3"/>
    <w:multiLevelType w:val="multilevel"/>
    <w:tmpl w:val="2B02575C"/>
    <w:lvl w:ilvl="0">
      <w:start w:val="1"/>
      <w:numFmt w:val="decimal"/>
      <w:lvlText w:val="%1."/>
      <w:lvlJc w:val="left"/>
      <w:pPr>
        <w:ind w:left="720" w:hanging="360"/>
      </w:pPr>
    </w:lvl>
    <w:lvl w:ilvl="1">
      <w:start w:val="1"/>
      <w:numFmt w:val="decimal"/>
      <w:isLgl/>
      <w:lvlText w:val="%1.%2."/>
      <w:lvlJc w:val="left"/>
      <w:pPr>
        <w:ind w:left="10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C39048B"/>
    <w:multiLevelType w:val="hybridMultilevel"/>
    <w:tmpl w:val="E1368E30"/>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3CF9607D"/>
    <w:multiLevelType w:val="hybridMultilevel"/>
    <w:tmpl w:val="DDD6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E75D3"/>
    <w:multiLevelType w:val="hybridMultilevel"/>
    <w:tmpl w:val="E208F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94073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10E71C6"/>
    <w:multiLevelType w:val="hybridMultilevel"/>
    <w:tmpl w:val="0DEEB6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42102FB6"/>
    <w:multiLevelType w:val="hybridMultilevel"/>
    <w:tmpl w:val="CE16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1908D2"/>
    <w:multiLevelType w:val="hybridMultilevel"/>
    <w:tmpl w:val="134E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091BA4"/>
    <w:multiLevelType w:val="hybridMultilevel"/>
    <w:tmpl w:val="40A4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D1542"/>
    <w:multiLevelType w:val="hybridMultilevel"/>
    <w:tmpl w:val="54B4F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B33E7"/>
    <w:multiLevelType w:val="hybridMultilevel"/>
    <w:tmpl w:val="CD220982"/>
    <w:lvl w:ilvl="0" w:tplc="2B6E6E0C">
      <w:start w:val="1"/>
      <w:numFmt w:val="bullet"/>
      <w:lvlText w:val=""/>
      <w:lvlJc w:val="left"/>
      <w:pPr>
        <w:ind w:left="720" w:hanging="360"/>
      </w:pPr>
      <w:rPr>
        <w:rFonts w:ascii="Symbol" w:hAnsi="Symbol" w:hint="default"/>
      </w:rPr>
    </w:lvl>
    <w:lvl w:ilvl="1" w:tplc="580415DA">
      <w:start w:val="1"/>
      <w:numFmt w:val="bullet"/>
      <w:lvlText w:val="o"/>
      <w:lvlJc w:val="left"/>
      <w:pPr>
        <w:ind w:left="1440" w:hanging="360"/>
      </w:pPr>
      <w:rPr>
        <w:rFonts w:ascii="Courier New" w:hAnsi="Courier New" w:hint="default"/>
      </w:rPr>
    </w:lvl>
    <w:lvl w:ilvl="2" w:tplc="C1CC32A4">
      <w:start w:val="1"/>
      <w:numFmt w:val="bullet"/>
      <w:lvlText w:val=""/>
      <w:lvlJc w:val="left"/>
      <w:pPr>
        <w:ind w:left="2160" w:hanging="360"/>
      </w:pPr>
      <w:rPr>
        <w:rFonts w:ascii="Wingdings" w:hAnsi="Wingdings" w:hint="default"/>
      </w:rPr>
    </w:lvl>
    <w:lvl w:ilvl="3" w:tplc="0F00B544">
      <w:start w:val="1"/>
      <w:numFmt w:val="bullet"/>
      <w:lvlText w:val=""/>
      <w:lvlJc w:val="left"/>
      <w:pPr>
        <w:ind w:left="2880" w:hanging="360"/>
      </w:pPr>
      <w:rPr>
        <w:rFonts w:ascii="Symbol" w:hAnsi="Symbol" w:hint="default"/>
      </w:rPr>
    </w:lvl>
    <w:lvl w:ilvl="4" w:tplc="A70890C0">
      <w:start w:val="1"/>
      <w:numFmt w:val="bullet"/>
      <w:lvlText w:val="o"/>
      <w:lvlJc w:val="left"/>
      <w:pPr>
        <w:ind w:left="3600" w:hanging="360"/>
      </w:pPr>
      <w:rPr>
        <w:rFonts w:ascii="Courier New" w:hAnsi="Courier New" w:hint="default"/>
      </w:rPr>
    </w:lvl>
    <w:lvl w:ilvl="5" w:tplc="8CE6E45A">
      <w:start w:val="1"/>
      <w:numFmt w:val="bullet"/>
      <w:lvlText w:val=""/>
      <w:lvlJc w:val="left"/>
      <w:pPr>
        <w:ind w:left="4320" w:hanging="360"/>
      </w:pPr>
      <w:rPr>
        <w:rFonts w:ascii="Wingdings" w:hAnsi="Wingdings" w:hint="default"/>
      </w:rPr>
    </w:lvl>
    <w:lvl w:ilvl="6" w:tplc="FE827152">
      <w:start w:val="1"/>
      <w:numFmt w:val="bullet"/>
      <w:lvlText w:val=""/>
      <w:lvlJc w:val="left"/>
      <w:pPr>
        <w:ind w:left="5040" w:hanging="360"/>
      </w:pPr>
      <w:rPr>
        <w:rFonts w:ascii="Symbol" w:hAnsi="Symbol" w:hint="default"/>
      </w:rPr>
    </w:lvl>
    <w:lvl w:ilvl="7" w:tplc="CB96D23C">
      <w:start w:val="1"/>
      <w:numFmt w:val="bullet"/>
      <w:lvlText w:val="o"/>
      <w:lvlJc w:val="left"/>
      <w:pPr>
        <w:ind w:left="5760" w:hanging="360"/>
      </w:pPr>
      <w:rPr>
        <w:rFonts w:ascii="Courier New" w:hAnsi="Courier New" w:hint="default"/>
      </w:rPr>
    </w:lvl>
    <w:lvl w:ilvl="8" w:tplc="E0328FC0">
      <w:start w:val="1"/>
      <w:numFmt w:val="bullet"/>
      <w:lvlText w:val=""/>
      <w:lvlJc w:val="left"/>
      <w:pPr>
        <w:ind w:left="6480" w:hanging="360"/>
      </w:pPr>
      <w:rPr>
        <w:rFonts w:ascii="Wingdings" w:hAnsi="Wingdings" w:hint="default"/>
      </w:rPr>
    </w:lvl>
  </w:abstractNum>
  <w:abstractNum w:abstractNumId="32" w15:restartNumberingAfterBreak="0">
    <w:nsid w:val="4FEB32FC"/>
    <w:multiLevelType w:val="hybridMultilevel"/>
    <w:tmpl w:val="62C2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F81E3C"/>
    <w:multiLevelType w:val="hybridMultilevel"/>
    <w:tmpl w:val="BECC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2A2403"/>
    <w:multiLevelType w:val="hybridMultilevel"/>
    <w:tmpl w:val="65C2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440E00"/>
    <w:multiLevelType w:val="hybridMultilevel"/>
    <w:tmpl w:val="9C52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207A94"/>
    <w:multiLevelType w:val="hybridMultilevel"/>
    <w:tmpl w:val="952C2148"/>
    <w:lvl w:ilvl="0" w:tplc="163A09D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D06BD2"/>
    <w:multiLevelType w:val="hybridMultilevel"/>
    <w:tmpl w:val="6D724AEA"/>
    <w:lvl w:ilvl="0" w:tplc="245AF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4A491B"/>
    <w:multiLevelType w:val="hybridMultilevel"/>
    <w:tmpl w:val="795E8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2E961AC"/>
    <w:multiLevelType w:val="hybridMultilevel"/>
    <w:tmpl w:val="C194B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8352C5"/>
    <w:multiLevelType w:val="hybridMultilevel"/>
    <w:tmpl w:val="3C24815A"/>
    <w:lvl w:ilvl="0" w:tplc="E4A667B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44E6132"/>
    <w:multiLevelType w:val="hybridMultilevel"/>
    <w:tmpl w:val="1128A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06514"/>
    <w:multiLevelType w:val="hybridMultilevel"/>
    <w:tmpl w:val="936C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D70E2E"/>
    <w:multiLevelType w:val="hybridMultilevel"/>
    <w:tmpl w:val="6702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C75F5B"/>
    <w:multiLevelType w:val="hybridMultilevel"/>
    <w:tmpl w:val="D518A640"/>
    <w:lvl w:ilvl="0" w:tplc="28BC39D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540ECA"/>
    <w:multiLevelType w:val="hybridMultilevel"/>
    <w:tmpl w:val="BECC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8D06AC"/>
    <w:multiLevelType w:val="hybridMultilevel"/>
    <w:tmpl w:val="29A2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5E0381"/>
    <w:multiLevelType w:val="hybridMultilevel"/>
    <w:tmpl w:val="10C6EA14"/>
    <w:lvl w:ilvl="0" w:tplc="DA34A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E23DF7"/>
    <w:multiLevelType w:val="hybridMultilevel"/>
    <w:tmpl w:val="E3E0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B3113C"/>
    <w:multiLevelType w:val="hybridMultilevel"/>
    <w:tmpl w:val="BB70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A83986"/>
    <w:multiLevelType w:val="hybridMultilevel"/>
    <w:tmpl w:val="DB9C8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3F7341"/>
    <w:multiLevelType w:val="hybridMultilevel"/>
    <w:tmpl w:val="C53E58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EE7BF8"/>
    <w:multiLevelType w:val="hybridMultilevel"/>
    <w:tmpl w:val="45B213E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3" w15:restartNumberingAfterBreak="0">
    <w:nsid w:val="7EDB5C22"/>
    <w:multiLevelType w:val="hybridMultilevel"/>
    <w:tmpl w:val="477CCECC"/>
    <w:lvl w:ilvl="0" w:tplc="7F4281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B46E19"/>
    <w:multiLevelType w:val="hybridMultilevel"/>
    <w:tmpl w:val="E586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20"/>
  </w:num>
  <w:num w:numId="4">
    <w:abstractNumId w:val="24"/>
  </w:num>
  <w:num w:numId="5">
    <w:abstractNumId w:val="24"/>
    <w:lvlOverride w:ilvl="0">
      <w:startOverride w:val="2"/>
    </w:lvlOverride>
    <w:lvlOverride w:ilvl="1">
      <w:startOverride w:val="1"/>
    </w:lvlOverride>
  </w:num>
  <w:num w:numId="6">
    <w:abstractNumId w:val="4"/>
  </w:num>
  <w:num w:numId="7">
    <w:abstractNumId w:val="7"/>
  </w:num>
  <w:num w:numId="8">
    <w:abstractNumId w:val="2"/>
  </w:num>
  <w:num w:numId="9">
    <w:abstractNumId w:val="15"/>
  </w:num>
  <w:num w:numId="10">
    <w:abstractNumId w:val="34"/>
  </w:num>
  <w:num w:numId="11">
    <w:abstractNumId w:val="54"/>
  </w:num>
  <w:num w:numId="12">
    <w:abstractNumId w:val="32"/>
  </w:num>
  <w:num w:numId="13">
    <w:abstractNumId w:val="53"/>
  </w:num>
  <w:num w:numId="14">
    <w:abstractNumId w:val="29"/>
  </w:num>
  <w:num w:numId="15">
    <w:abstractNumId w:val="10"/>
  </w:num>
  <w:num w:numId="16">
    <w:abstractNumId w:val="27"/>
  </w:num>
  <w:num w:numId="17">
    <w:abstractNumId w:val="48"/>
  </w:num>
  <w:num w:numId="18">
    <w:abstractNumId w:val="45"/>
  </w:num>
  <w:num w:numId="19">
    <w:abstractNumId w:val="33"/>
  </w:num>
  <w:num w:numId="20">
    <w:abstractNumId w:val="8"/>
  </w:num>
  <w:num w:numId="21">
    <w:abstractNumId w:val="46"/>
  </w:num>
  <w:num w:numId="22">
    <w:abstractNumId w:val="28"/>
  </w:num>
  <w:num w:numId="23">
    <w:abstractNumId w:val="43"/>
  </w:num>
  <w:num w:numId="24">
    <w:abstractNumId w:val="13"/>
  </w:num>
  <w:num w:numId="25">
    <w:abstractNumId w:val="3"/>
  </w:num>
  <w:num w:numId="26">
    <w:abstractNumId w:val="38"/>
  </w:num>
  <w:num w:numId="27">
    <w:abstractNumId w:val="14"/>
  </w:num>
  <w:num w:numId="28">
    <w:abstractNumId w:val="22"/>
  </w:num>
  <w:num w:numId="29">
    <w:abstractNumId w:val="52"/>
  </w:num>
  <w:num w:numId="30">
    <w:abstractNumId w:val="39"/>
  </w:num>
  <w:num w:numId="31">
    <w:abstractNumId w:val="42"/>
  </w:num>
  <w:num w:numId="32">
    <w:abstractNumId w:val="47"/>
  </w:num>
  <w:num w:numId="33">
    <w:abstractNumId w:val="18"/>
  </w:num>
  <w:num w:numId="34">
    <w:abstractNumId w:val="24"/>
  </w:num>
  <w:num w:numId="35">
    <w:abstractNumId w:val="20"/>
  </w:num>
  <w:num w:numId="36">
    <w:abstractNumId w:val="2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49"/>
  </w:num>
  <w:num w:numId="40">
    <w:abstractNumId w:val="12"/>
  </w:num>
  <w:num w:numId="41">
    <w:abstractNumId w:val="44"/>
  </w:num>
  <w:num w:numId="42">
    <w:abstractNumId w:val="30"/>
  </w:num>
  <w:num w:numId="43">
    <w:abstractNumId w:val="19"/>
  </w:num>
  <w:num w:numId="44">
    <w:abstractNumId w:val="50"/>
  </w:num>
  <w:num w:numId="45">
    <w:abstractNumId w:val="23"/>
  </w:num>
  <w:num w:numId="46">
    <w:abstractNumId w:val="41"/>
  </w:num>
  <w:num w:numId="47">
    <w:abstractNumId w:val="25"/>
  </w:num>
  <w:num w:numId="48">
    <w:abstractNumId w:val="40"/>
  </w:num>
  <w:num w:numId="49">
    <w:abstractNumId w:val="51"/>
  </w:num>
  <w:num w:numId="50">
    <w:abstractNumId w:val="36"/>
  </w:num>
  <w:num w:numId="51">
    <w:abstractNumId w:val="21"/>
  </w:num>
  <w:num w:numId="52">
    <w:abstractNumId w:val="16"/>
  </w:num>
  <w:num w:numId="53">
    <w:abstractNumId w:val="17"/>
  </w:num>
  <w:num w:numId="54">
    <w:abstractNumId w:val="37"/>
  </w:num>
  <w:num w:numId="55">
    <w:abstractNumId w:val="5"/>
  </w:num>
  <w:num w:numId="56">
    <w:abstractNumId w:val="35"/>
  </w:num>
  <w:num w:numId="57">
    <w:abstractNumId w:val="6"/>
  </w:num>
  <w:num w:numId="58">
    <w:abstractNumId w:val="3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44D"/>
    <w:rsid w:val="0000143C"/>
    <w:rsid w:val="0000210F"/>
    <w:rsid w:val="000044A4"/>
    <w:rsid w:val="00004EDE"/>
    <w:rsid w:val="00012278"/>
    <w:rsid w:val="0001372A"/>
    <w:rsid w:val="000141B3"/>
    <w:rsid w:val="00014726"/>
    <w:rsid w:val="00014CE5"/>
    <w:rsid w:val="00015DBF"/>
    <w:rsid w:val="00016A5C"/>
    <w:rsid w:val="000178CE"/>
    <w:rsid w:val="00020595"/>
    <w:rsid w:val="000207C6"/>
    <w:rsid w:val="00020A8B"/>
    <w:rsid w:val="00020D14"/>
    <w:rsid w:val="00022CF3"/>
    <w:rsid w:val="00023658"/>
    <w:rsid w:val="00024E17"/>
    <w:rsid w:val="00024F11"/>
    <w:rsid w:val="00027345"/>
    <w:rsid w:val="00027B88"/>
    <w:rsid w:val="000314B1"/>
    <w:rsid w:val="00031C45"/>
    <w:rsid w:val="00032330"/>
    <w:rsid w:val="000330C6"/>
    <w:rsid w:val="0003357C"/>
    <w:rsid w:val="0003365D"/>
    <w:rsid w:val="00033D60"/>
    <w:rsid w:val="000367BA"/>
    <w:rsid w:val="00037072"/>
    <w:rsid w:val="000431F5"/>
    <w:rsid w:val="0004502B"/>
    <w:rsid w:val="00045A33"/>
    <w:rsid w:val="000508F0"/>
    <w:rsid w:val="0005098B"/>
    <w:rsid w:val="00052709"/>
    <w:rsid w:val="00054158"/>
    <w:rsid w:val="00054DDF"/>
    <w:rsid w:val="0005697F"/>
    <w:rsid w:val="00056ED1"/>
    <w:rsid w:val="00057050"/>
    <w:rsid w:val="00057AF4"/>
    <w:rsid w:val="00057EC4"/>
    <w:rsid w:val="00061EB2"/>
    <w:rsid w:val="00061EF1"/>
    <w:rsid w:val="00062D4B"/>
    <w:rsid w:val="0006400D"/>
    <w:rsid w:val="00064519"/>
    <w:rsid w:val="000663BB"/>
    <w:rsid w:val="0007028F"/>
    <w:rsid w:val="000717C3"/>
    <w:rsid w:val="00075F31"/>
    <w:rsid w:val="00076041"/>
    <w:rsid w:val="000764B0"/>
    <w:rsid w:val="000764CA"/>
    <w:rsid w:val="00080B3D"/>
    <w:rsid w:val="00081F00"/>
    <w:rsid w:val="000828F9"/>
    <w:rsid w:val="000829DC"/>
    <w:rsid w:val="000856B7"/>
    <w:rsid w:val="00086A98"/>
    <w:rsid w:val="00087289"/>
    <w:rsid w:val="000875B5"/>
    <w:rsid w:val="00087D3B"/>
    <w:rsid w:val="0009070C"/>
    <w:rsid w:val="0009232E"/>
    <w:rsid w:val="0009271D"/>
    <w:rsid w:val="0009541F"/>
    <w:rsid w:val="00096016"/>
    <w:rsid w:val="000971F9"/>
    <w:rsid w:val="000A1C0B"/>
    <w:rsid w:val="000A4E47"/>
    <w:rsid w:val="000A58E6"/>
    <w:rsid w:val="000A6521"/>
    <w:rsid w:val="000A6F40"/>
    <w:rsid w:val="000A73E5"/>
    <w:rsid w:val="000B1609"/>
    <w:rsid w:val="000B1918"/>
    <w:rsid w:val="000B3E6D"/>
    <w:rsid w:val="000B3EE3"/>
    <w:rsid w:val="000B5E1B"/>
    <w:rsid w:val="000C1D17"/>
    <w:rsid w:val="000C20AD"/>
    <w:rsid w:val="000C234F"/>
    <w:rsid w:val="000C3205"/>
    <w:rsid w:val="000C3869"/>
    <w:rsid w:val="000C3F49"/>
    <w:rsid w:val="000C53EC"/>
    <w:rsid w:val="000C7A55"/>
    <w:rsid w:val="000D30DE"/>
    <w:rsid w:val="000D3855"/>
    <w:rsid w:val="000D6606"/>
    <w:rsid w:val="000D7BC5"/>
    <w:rsid w:val="000D7D2B"/>
    <w:rsid w:val="000E10D8"/>
    <w:rsid w:val="000E210A"/>
    <w:rsid w:val="000E40FB"/>
    <w:rsid w:val="000E4C16"/>
    <w:rsid w:val="000E594F"/>
    <w:rsid w:val="000E62BE"/>
    <w:rsid w:val="000E62DE"/>
    <w:rsid w:val="000E7CD1"/>
    <w:rsid w:val="000F131E"/>
    <w:rsid w:val="000F264B"/>
    <w:rsid w:val="000F268F"/>
    <w:rsid w:val="000F371A"/>
    <w:rsid w:val="000F57B9"/>
    <w:rsid w:val="000F64FD"/>
    <w:rsid w:val="000F6B19"/>
    <w:rsid w:val="000F6C9A"/>
    <w:rsid w:val="00101408"/>
    <w:rsid w:val="00101F90"/>
    <w:rsid w:val="001021DC"/>
    <w:rsid w:val="001026D2"/>
    <w:rsid w:val="00102BA9"/>
    <w:rsid w:val="001042A1"/>
    <w:rsid w:val="0010590B"/>
    <w:rsid w:val="00105B8C"/>
    <w:rsid w:val="00105D05"/>
    <w:rsid w:val="00106E9C"/>
    <w:rsid w:val="001073C8"/>
    <w:rsid w:val="00112287"/>
    <w:rsid w:val="00112479"/>
    <w:rsid w:val="00112C1D"/>
    <w:rsid w:val="0011307D"/>
    <w:rsid w:val="001138D3"/>
    <w:rsid w:val="00113936"/>
    <w:rsid w:val="00114BB9"/>
    <w:rsid w:val="0011643C"/>
    <w:rsid w:val="00116682"/>
    <w:rsid w:val="0012129E"/>
    <w:rsid w:val="0012130B"/>
    <w:rsid w:val="00123A28"/>
    <w:rsid w:val="00124262"/>
    <w:rsid w:val="00124C49"/>
    <w:rsid w:val="00124FF2"/>
    <w:rsid w:val="00125B80"/>
    <w:rsid w:val="00126541"/>
    <w:rsid w:val="00126E78"/>
    <w:rsid w:val="001275D3"/>
    <w:rsid w:val="00127F0E"/>
    <w:rsid w:val="00132DCD"/>
    <w:rsid w:val="00132E27"/>
    <w:rsid w:val="001341E6"/>
    <w:rsid w:val="00134E4B"/>
    <w:rsid w:val="00136093"/>
    <w:rsid w:val="00137B37"/>
    <w:rsid w:val="00137B82"/>
    <w:rsid w:val="00140F1E"/>
    <w:rsid w:val="00141E70"/>
    <w:rsid w:val="001431EC"/>
    <w:rsid w:val="00146B02"/>
    <w:rsid w:val="001519B2"/>
    <w:rsid w:val="00152589"/>
    <w:rsid w:val="00152E5D"/>
    <w:rsid w:val="001551A8"/>
    <w:rsid w:val="001554A9"/>
    <w:rsid w:val="001555AC"/>
    <w:rsid w:val="001560BE"/>
    <w:rsid w:val="0015647E"/>
    <w:rsid w:val="00157A9C"/>
    <w:rsid w:val="0016050B"/>
    <w:rsid w:val="001605AE"/>
    <w:rsid w:val="001608B7"/>
    <w:rsid w:val="001667EA"/>
    <w:rsid w:val="001671B8"/>
    <w:rsid w:val="00170507"/>
    <w:rsid w:val="00170512"/>
    <w:rsid w:val="0017193C"/>
    <w:rsid w:val="0017263F"/>
    <w:rsid w:val="001759D2"/>
    <w:rsid w:val="0017673F"/>
    <w:rsid w:val="00176B3E"/>
    <w:rsid w:val="00176E17"/>
    <w:rsid w:val="00176F87"/>
    <w:rsid w:val="00181990"/>
    <w:rsid w:val="00191199"/>
    <w:rsid w:val="0019160F"/>
    <w:rsid w:val="00194B03"/>
    <w:rsid w:val="001957B2"/>
    <w:rsid w:val="00196AF1"/>
    <w:rsid w:val="001972FB"/>
    <w:rsid w:val="001A142A"/>
    <w:rsid w:val="001A1773"/>
    <w:rsid w:val="001A1AB8"/>
    <w:rsid w:val="001A32A0"/>
    <w:rsid w:val="001A622A"/>
    <w:rsid w:val="001A6DCB"/>
    <w:rsid w:val="001A6EB0"/>
    <w:rsid w:val="001B1300"/>
    <w:rsid w:val="001B1A65"/>
    <w:rsid w:val="001B2953"/>
    <w:rsid w:val="001B2AD1"/>
    <w:rsid w:val="001B3003"/>
    <w:rsid w:val="001B54E9"/>
    <w:rsid w:val="001B56C7"/>
    <w:rsid w:val="001B58F5"/>
    <w:rsid w:val="001B6745"/>
    <w:rsid w:val="001B6C7B"/>
    <w:rsid w:val="001B7A1F"/>
    <w:rsid w:val="001B7C80"/>
    <w:rsid w:val="001C1990"/>
    <w:rsid w:val="001C2B6F"/>
    <w:rsid w:val="001C37D3"/>
    <w:rsid w:val="001C3DC0"/>
    <w:rsid w:val="001C49CB"/>
    <w:rsid w:val="001C5872"/>
    <w:rsid w:val="001C6E8A"/>
    <w:rsid w:val="001C7B74"/>
    <w:rsid w:val="001D17E8"/>
    <w:rsid w:val="001D17FB"/>
    <w:rsid w:val="001D2F66"/>
    <w:rsid w:val="001D3A25"/>
    <w:rsid w:val="001D3EE5"/>
    <w:rsid w:val="001D464B"/>
    <w:rsid w:val="001D4936"/>
    <w:rsid w:val="001D524D"/>
    <w:rsid w:val="001D7AC2"/>
    <w:rsid w:val="001E0FF2"/>
    <w:rsid w:val="001E11CB"/>
    <w:rsid w:val="001E239A"/>
    <w:rsid w:val="001E4629"/>
    <w:rsid w:val="001E5699"/>
    <w:rsid w:val="001E69EB"/>
    <w:rsid w:val="001F2DC2"/>
    <w:rsid w:val="001F2EFC"/>
    <w:rsid w:val="001F6FB0"/>
    <w:rsid w:val="001F75EC"/>
    <w:rsid w:val="001F796B"/>
    <w:rsid w:val="00200BF1"/>
    <w:rsid w:val="002023CF"/>
    <w:rsid w:val="00202788"/>
    <w:rsid w:val="0020337E"/>
    <w:rsid w:val="00204CC2"/>
    <w:rsid w:val="00205081"/>
    <w:rsid w:val="002054FC"/>
    <w:rsid w:val="00206E6D"/>
    <w:rsid w:val="0020717F"/>
    <w:rsid w:val="0021082B"/>
    <w:rsid w:val="00214AC6"/>
    <w:rsid w:val="00215F04"/>
    <w:rsid w:val="00216B08"/>
    <w:rsid w:val="00217337"/>
    <w:rsid w:val="00221954"/>
    <w:rsid w:val="00221F9B"/>
    <w:rsid w:val="00222399"/>
    <w:rsid w:val="00222D5B"/>
    <w:rsid w:val="0022389C"/>
    <w:rsid w:val="00226312"/>
    <w:rsid w:val="002264E8"/>
    <w:rsid w:val="0023178B"/>
    <w:rsid w:val="00232AAA"/>
    <w:rsid w:val="00233BA9"/>
    <w:rsid w:val="00233C0E"/>
    <w:rsid w:val="00237CFC"/>
    <w:rsid w:val="00240215"/>
    <w:rsid w:val="00240F0C"/>
    <w:rsid w:val="002411F4"/>
    <w:rsid w:val="00242445"/>
    <w:rsid w:val="002449D3"/>
    <w:rsid w:val="002476A8"/>
    <w:rsid w:val="00251889"/>
    <w:rsid w:val="00253698"/>
    <w:rsid w:val="00255D19"/>
    <w:rsid w:val="00260326"/>
    <w:rsid w:val="002603E9"/>
    <w:rsid w:val="00260599"/>
    <w:rsid w:val="00262802"/>
    <w:rsid w:val="0026327C"/>
    <w:rsid w:val="00264D1A"/>
    <w:rsid w:val="00265BAD"/>
    <w:rsid w:val="00266635"/>
    <w:rsid w:val="002678A6"/>
    <w:rsid w:val="00270442"/>
    <w:rsid w:val="00270987"/>
    <w:rsid w:val="00271EE4"/>
    <w:rsid w:val="00272912"/>
    <w:rsid w:val="00273BFA"/>
    <w:rsid w:val="00274B56"/>
    <w:rsid w:val="0027770E"/>
    <w:rsid w:val="00280DDE"/>
    <w:rsid w:val="0028203A"/>
    <w:rsid w:val="00282F56"/>
    <w:rsid w:val="0028361E"/>
    <w:rsid w:val="0028765F"/>
    <w:rsid w:val="002909E8"/>
    <w:rsid w:val="00290C01"/>
    <w:rsid w:val="00290D71"/>
    <w:rsid w:val="00291D3C"/>
    <w:rsid w:val="002929B9"/>
    <w:rsid w:val="00295589"/>
    <w:rsid w:val="002A25AF"/>
    <w:rsid w:val="002A2ED6"/>
    <w:rsid w:val="002A4E84"/>
    <w:rsid w:val="002A5A18"/>
    <w:rsid w:val="002A62C7"/>
    <w:rsid w:val="002B12F9"/>
    <w:rsid w:val="002B45D1"/>
    <w:rsid w:val="002B4E23"/>
    <w:rsid w:val="002B5BA8"/>
    <w:rsid w:val="002B648F"/>
    <w:rsid w:val="002C005A"/>
    <w:rsid w:val="002C0282"/>
    <w:rsid w:val="002C33BD"/>
    <w:rsid w:val="002C7CFE"/>
    <w:rsid w:val="002D0995"/>
    <w:rsid w:val="002D331B"/>
    <w:rsid w:val="002D3549"/>
    <w:rsid w:val="002D402C"/>
    <w:rsid w:val="002D4B9E"/>
    <w:rsid w:val="002D52D7"/>
    <w:rsid w:val="002D5C14"/>
    <w:rsid w:val="002D6588"/>
    <w:rsid w:val="002D76B6"/>
    <w:rsid w:val="002E1F0A"/>
    <w:rsid w:val="002E31E7"/>
    <w:rsid w:val="002E330C"/>
    <w:rsid w:val="002E4141"/>
    <w:rsid w:val="002E4632"/>
    <w:rsid w:val="002E49AA"/>
    <w:rsid w:val="002E4B89"/>
    <w:rsid w:val="002E69FF"/>
    <w:rsid w:val="002F008D"/>
    <w:rsid w:val="002F1BA9"/>
    <w:rsid w:val="002F716C"/>
    <w:rsid w:val="0030099E"/>
    <w:rsid w:val="00300CEE"/>
    <w:rsid w:val="003012B6"/>
    <w:rsid w:val="003018BC"/>
    <w:rsid w:val="00302942"/>
    <w:rsid w:val="003035D7"/>
    <w:rsid w:val="00303670"/>
    <w:rsid w:val="00304036"/>
    <w:rsid w:val="00305994"/>
    <w:rsid w:val="003069EE"/>
    <w:rsid w:val="003139F5"/>
    <w:rsid w:val="00314F1B"/>
    <w:rsid w:val="00316E70"/>
    <w:rsid w:val="0031736C"/>
    <w:rsid w:val="003179DF"/>
    <w:rsid w:val="00320756"/>
    <w:rsid w:val="00322D47"/>
    <w:rsid w:val="0032353F"/>
    <w:rsid w:val="00323541"/>
    <w:rsid w:val="003245C4"/>
    <w:rsid w:val="003253B6"/>
    <w:rsid w:val="00325AF7"/>
    <w:rsid w:val="003260E9"/>
    <w:rsid w:val="00326DFF"/>
    <w:rsid w:val="00327B08"/>
    <w:rsid w:val="00331525"/>
    <w:rsid w:val="0033242D"/>
    <w:rsid w:val="00332AA4"/>
    <w:rsid w:val="00333492"/>
    <w:rsid w:val="00333748"/>
    <w:rsid w:val="00334199"/>
    <w:rsid w:val="00335040"/>
    <w:rsid w:val="0033518B"/>
    <w:rsid w:val="003365A1"/>
    <w:rsid w:val="00337EA8"/>
    <w:rsid w:val="00341435"/>
    <w:rsid w:val="003427A4"/>
    <w:rsid w:val="00342BBD"/>
    <w:rsid w:val="00344262"/>
    <w:rsid w:val="00344FCE"/>
    <w:rsid w:val="0034515E"/>
    <w:rsid w:val="0034565D"/>
    <w:rsid w:val="0034746E"/>
    <w:rsid w:val="00350188"/>
    <w:rsid w:val="00350528"/>
    <w:rsid w:val="0035382B"/>
    <w:rsid w:val="00367667"/>
    <w:rsid w:val="00367E1C"/>
    <w:rsid w:val="0037089C"/>
    <w:rsid w:val="00370E01"/>
    <w:rsid w:val="00371DD5"/>
    <w:rsid w:val="00372538"/>
    <w:rsid w:val="003727F8"/>
    <w:rsid w:val="00372A66"/>
    <w:rsid w:val="00374564"/>
    <w:rsid w:val="00374D2B"/>
    <w:rsid w:val="0037735E"/>
    <w:rsid w:val="003774F8"/>
    <w:rsid w:val="0038156B"/>
    <w:rsid w:val="0038334F"/>
    <w:rsid w:val="003840A1"/>
    <w:rsid w:val="00385E37"/>
    <w:rsid w:val="00391E8D"/>
    <w:rsid w:val="003922A1"/>
    <w:rsid w:val="0039256A"/>
    <w:rsid w:val="003935CD"/>
    <w:rsid w:val="003944C5"/>
    <w:rsid w:val="00395493"/>
    <w:rsid w:val="00395868"/>
    <w:rsid w:val="00396605"/>
    <w:rsid w:val="00396C97"/>
    <w:rsid w:val="003978E2"/>
    <w:rsid w:val="003A0234"/>
    <w:rsid w:val="003A059F"/>
    <w:rsid w:val="003A185B"/>
    <w:rsid w:val="003A25FD"/>
    <w:rsid w:val="003A2697"/>
    <w:rsid w:val="003A2A06"/>
    <w:rsid w:val="003A4027"/>
    <w:rsid w:val="003A471D"/>
    <w:rsid w:val="003A4CBC"/>
    <w:rsid w:val="003A6383"/>
    <w:rsid w:val="003A7929"/>
    <w:rsid w:val="003A7A8F"/>
    <w:rsid w:val="003A7F10"/>
    <w:rsid w:val="003A7FE2"/>
    <w:rsid w:val="003B01E2"/>
    <w:rsid w:val="003B1EA5"/>
    <w:rsid w:val="003B2A8A"/>
    <w:rsid w:val="003B2BDF"/>
    <w:rsid w:val="003B38D5"/>
    <w:rsid w:val="003B4C27"/>
    <w:rsid w:val="003B4CF9"/>
    <w:rsid w:val="003B5485"/>
    <w:rsid w:val="003B5999"/>
    <w:rsid w:val="003C025A"/>
    <w:rsid w:val="003C04AF"/>
    <w:rsid w:val="003C3271"/>
    <w:rsid w:val="003C365A"/>
    <w:rsid w:val="003C69B0"/>
    <w:rsid w:val="003C6FC8"/>
    <w:rsid w:val="003C70AF"/>
    <w:rsid w:val="003C75A2"/>
    <w:rsid w:val="003D0531"/>
    <w:rsid w:val="003E0AE3"/>
    <w:rsid w:val="003E1712"/>
    <w:rsid w:val="003E26D4"/>
    <w:rsid w:val="003F08B7"/>
    <w:rsid w:val="003F1AF9"/>
    <w:rsid w:val="003F2345"/>
    <w:rsid w:val="003F33F1"/>
    <w:rsid w:val="003F42AF"/>
    <w:rsid w:val="003F753E"/>
    <w:rsid w:val="00400BA1"/>
    <w:rsid w:val="00402F5F"/>
    <w:rsid w:val="004035B8"/>
    <w:rsid w:val="004057C8"/>
    <w:rsid w:val="004069E4"/>
    <w:rsid w:val="00407529"/>
    <w:rsid w:val="004109E6"/>
    <w:rsid w:val="00410EB8"/>
    <w:rsid w:val="00413CAA"/>
    <w:rsid w:val="004143D3"/>
    <w:rsid w:val="00414FD0"/>
    <w:rsid w:val="00415307"/>
    <w:rsid w:val="00416A4B"/>
    <w:rsid w:val="00420EED"/>
    <w:rsid w:val="00423471"/>
    <w:rsid w:val="00426A00"/>
    <w:rsid w:val="004301A5"/>
    <w:rsid w:val="00430711"/>
    <w:rsid w:val="00433358"/>
    <w:rsid w:val="00434F61"/>
    <w:rsid w:val="004375AC"/>
    <w:rsid w:val="0044137C"/>
    <w:rsid w:val="00441687"/>
    <w:rsid w:val="00441C46"/>
    <w:rsid w:val="00442F4B"/>
    <w:rsid w:val="00445CB2"/>
    <w:rsid w:val="00447380"/>
    <w:rsid w:val="00447C40"/>
    <w:rsid w:val="004523C5"/>
    <w:rsid w:val="00455284"/>
    <w:rsid w:val="0045676A"/>
    <w:rsid w:val="004575C6"/>
    <w:rsid w:val="00460465"/>
    <w:rsid w:val="0046060E"/>
    <w:rsid w:val="00462171"/>
    <w:rsid w:val="00463D0C"/>
    <w:rsid w:val="00466A7E"/>
    <w:rsid w:val="00466E5F"/>
    <w:rsid w:val="004746F5"/>
    <w:rsid w:val="00474B4B"/>
    <w:rsid w:val="00476C5B"/>
    <w:rsid w:val="00480241"/>
    <w:rsid w:val="00481941"/>
    <w:rsid w:val="00481F8C"/>
    <w:rsid w:val="00481FCB"/>
    <w:rsid w:val="0048384A"/>
    <w:rsid w:val="00483FFA"/>
    <w:rsid w:val="004858E0"/>
    <w:rsid w:val="00485AF4"/>
    <w:rsid w:val="00486C75"/>
    <w:rsid w:val="00487017"/>
    <w:rsid w:val="00490F36"/>
    <w:rsid w:val="00492F5E"/>
    <w:rsid w:val="00494186"/>
    <w:rsid w:val="004942B8"/>
    <w:rsid w:val="00495C83"/>
    <w:rsid w:val="00496526"/>
    <w:rsid w:val="004A2B1B"/>
    <w:rsid w:val="004A4DFA"/>
    <w:rsid w:val="004A50FC"/>
    <w:rsid w:val="004A516D"/>
    <w:rsid w:val="004A59AD"/>
    <w:rsid w:val="004A6074"/>
    <w:rsid w:val="004A662E"/>
    <w:rsid w:val="004B0280"/>
    <w:rsid w:val="004B18E4"/>
    <w:rsid w:val="004B1A0B"/>
    <w:rsid w:val="004B236B"/>
    <w:rsid w:val="004B2456"/>
    <w:rsid w:val="004B26C5"/>
    <w:rsid w:val="004B3401"/>
    <w:rsid w:val="004B45D0"/>
    <w:rsid w:val="004B47CF"/>
    <w:rsid w:val="004B4859"/>
    <w:rsid w:val="004B4939"/>
    <w:rsid w:val="004B4CBD"/>
    <w:rsid w:val="004B6C44"/>
    <w:rsid w:val="004B7175"/>
    <w:rsid w:val="004B75B7"/>
    <w:rsid w:val="004C1461"/>
    <w:rsid w:val="004C2EA3"/>
    <w:rsid w:val="004C37A8"/>
    <w:rsid w:val="004C4897"/>
    <w:rsid w:val="004C5211"/>
    <w:rsid w:val="004C5F3B"/>
    <w:rsid w:val="004D1BF0"/>
    <w:rsid w:val="004D345F"/>
    <w:rsid w:val="004D4515"/>
    <w:rsid w:val="004D4AA3"/>
    <w:rsid w:val="004D5520"/>
    <w:rsid w:val="004D7657"/>
    <w:rsid w:val="004E0138"/>
    <w:rsid w:val="004E1D5D"/>
    <w:rsid w:val="004E4047"/>
    <w:rsid w:val="004E4194"/>
    <w:rsid w:val="004E49D5"/>
    <w:rsid w:val="004E58E6"/>
    <w:rsid w:val="004F12AB"/>
    <w:rsid w:val="004F1696"/>
    <w:rsid w:val="004F4327"/>
    <w:rsid w:val="004F4BC1"/>
    <w:rsid w:val="004F5425"/>
    <w:rsid w:val="004F5FB0"/>
    <w:rsid w:val="00500F02"/>
    <w:rsid w:val="00503F11"/>
    <w:rsid w:val="00504997"/>
    <w:rsid w:val="00505B1F"/>
    <w:rsid w:val="00506C95"/>
    <w:rsid w:val="00510C43"/>
    <w:rsid w:val="005110E8"/>
    <w:rsid w:val="00511187"/>
    <w:rsid w:val="00513FA6"/>
    <w:rsid w:val="005144B5"/>
    <w:rsid w:val="005162D8"/>
    <w:rsid w:val="00517845"/>
    <w:rsid w:val="00517A3C"/>
    <w:rsid w:val="00522234"/>
    <w:rsid w:val="00522DE2"/>
    <w:rsid w:val="005243BA"/>
    <w:rsid w:val="005251A9"/>
    <w:rsid w:val="0052537A"/>
    <w:rsid w:val="00530CD4"/>
    <w:rsid w:val="00530D05"/>
    <w:rsid w:val="00532271"/>
    <w:rsid w:val="0053240D"/>
    <w:rsid w:val="005341AC"/>
    <w:rsid w:val="00535183"/>
    <w:rsid w:val="00535AC0"/>
    <w:rsid w:val="00537016"/>
    <w:rsid w:val="00537B1E"/>
    <w:rsid w:val="00540434"/>
    <w:rsid w:val="00540530"/>
    <w:rsid w:val="00541D39"/>
    <w:rsid w:val="00542221"/>
    <w:rsid w:val="0054384F"/>
    <w:rsid w:val="00547CB4"/>
    <w:rsid w:val="0055612F"/>
    <w:rsid w:val="0055644F"/>
    <w:rsid w:val="00556AB4"/>
    <w:rsid w:val="00557A3B"/>
    <w:rsid w:val="00561650"/>
    <w:rsid w:val="00562604"/>
    <w:rsid w:val="00563311"/>
    <w:rsid w:val="00563D10"/>
    <w:rsid w:val="00564C96"/>
    <w:rsid w:val="005655E2"/>
    <w:rsid w:val="00566437"/>
    <w:rsid w:val="00570C51"/>
    <w:rsid w:val="00571046"/>
    <w:rsid w:val="00571C64"/>
    <w:rsid w:val="00573960"/>
    <w:rsid w:val="0057438B"/>
    <w:rsid w:val="0057487B"/>
    <w:rsid w:val="00575BC5"/>
    <w:rsid w:val="005801A9"/>
    <w:rsid w:val="005820BF"/>
    <w:rsid w:val="00582BC1"/>
    <w:rsid w:val="00583458"/>
    <w:rsid w:val="0058490A"/>
    <w:rsid w:val="00584CBD"/>
    <w:rsid w:val="00584ECC"/>
    <w:rsid w:val="00586AA5"/>
    <w:rsid w:val="00586AE5"/>
    <w:rsid w:val="00592C39"/>
    <w:rsid w:val="00592D80"/>
    <w:rsid w:val="0059356A"/>
    <w:rsid w:val="005950F6"/>
    <w:rsid w:val="005A0AE6"/>
    <w:rsid w:val="005A216A"/>
    <w:rsid w:val="005A6167"/>
    <w:rsid w:val="005A6986"/>
    <w:rsid w:val="005A773F"/>
    <w:rsid w:val="005B10B5"/>
    <w:rsid w:val="005B154D"/>
    <w:rsid w:val="005B1AC1"/>
    <w:rsid w:val="005B2129"/>
    <w:rsid w:val="005B3C89"/>
    <w:rsid w:val="005B577F"/>
    <w:rsid w:val="005B7A11"/>
    <w:rsid w:val="005B7EAB"/>
    <w:rsid w:val="005C057B"/>
    <w:rsid w:val="005C0AEB"/>
    <w:rsid w:val="005C21A9"/>
    <w:rsid w:val="005C3BDB"/>
    <w:rsid w:val="005C3DCF"/>
    <w:rsid w:val="005C3F3A"/>
    <w:rsid w:val="005C5815"/>
    <w:rsid w:val="005C6A49"/>
    <w:rsid w:val="005C6EC2"/>
    <w:rsid w:val="005C77F5"/>
    <w:rsid w:val="005D026A"/>
    <w:rsid w:val="005D028F"/>
    <w:rsid w:val="005D208F"/>
    <w:rsid w:val="005D2C9C"/>
    <w:rsid w:val="005D313A"/>
    <w:rsid w:val="005D371F"/>
    <w:rsid w:val="005D49A8"/>
    <w:rsid w:val="005E0107"/>
    <w:rsid w:val="005E1CA6"/>
    <w:rsid w:val="005E2A19"/>
    <w:rsid w:val="005E40E9"/>
    <w:rsid w:val="005E5460"/>
    <w:rsid w:val="005E5487"/>
    <w:rsid w:val="005E7481"/>
    <w:rsid w:val="005E7C61"/>
    <w:rsid w:val="005F09BE"/>
    <w:rsid w:val="005F13E0"/>
    <w:rsid w:val="005F1E2F"/>
    <w:rsid w:val="005F38E3"/>
    <w:rsid w:val="005F3C97"/>
    <w:rsid w:val="005F574A"/>
    <w:rsid w:val="005F5E45"/>
    <w:rsid w:val="005F6AE9"/>
    <w:rsid w:val="005F6F5D"/>
    <w:rsid w:val="006009B9"/>
    <w:rsid w:val="00602B17"/>
    <w:rsid w:val="00602DF7"/>
    <w:rsid w:val="00603300"/>
    <w:rsid w:val="006035E9"/>
    <w:rsid w:val="0060448A"/>
    <w:rsid w:val="00605065"/>
    <w:rsid w:val="0060672D"/>
    <w:rsid w:val="00606EBC"/>
    <w:rsid w:val="00606EEE"/>
    <w:rsid w:val="006104EA"/>
    <w:rsid w:val="00610596"/>
    <w:rsid w:val="00612D45"/>
    <w:rsid w:val="0061497A"/>
    <w:rsid w:val="006164C1"/>
    <w:rsid w:val="00616993"/>
    <w:rsid w:val="00621080"/>
    <w:rsid w:val="006220A7"/>
    <w:rsid w:val="006234B5"/>
    <w:rsid w:val="00624CEF"/>
    <w:rsid w:val="006265B1"/>
    <w:rsid w:val="00630CD1"/>
    <w:rsid w:val="00631D39"/>
    <w:rsid w:val="00635618"/>
    <w:rsid w:val="0063662C"/>
    <w:rsid w:val="0063676D"/>
    <w:rsid w:val="00636840"/>
    <w:rsid w:val="00636FE6"/>
    <w:rsid w:val="00637D6E"/>
    <w:rsid w:val="00640665"/>
    <w:rsid w:val="0064187B"/>
    <w:rsid w:val="00641C88"/>
    <w:rsid w:val="00642D4B"/>
    <w:rsid w:val="006437D4"/>
    <w:rsid w:val="00647EFF"/>
    <w:rsid w:val="00652B00"/>
    <w:rsid w:val="00654D87"/>
    <w:rsid w:val="006552DD"/>
    <w:rsid w:val="0065579A"/>
    <w:rsid w:val="00657C89"/>
    <w:rsid w:val="0066191E"/>
    <w:rsid w:val="00664469"/>
    <w:rsid w:val="00666AAB"/>
    <w:rsid w:val="00666D3D"/>
    <w:rsid w:val="00666EC8"/>
    <w:rsid w:val="0066753A"/>
    <w:rsid w:val="0066787A"/>
    <w:rsid w:val="00667C9C"/>
    <w:rsid w:val="006702FC"/>
    <w:rsid w:val="00671EC4"/>
    <w:rsid w:val="00672195"/>
    <w:rsid w:val="00673C91"/>
    <w:rsid w:val="006745FF"/>
    <w:rsid w:val="0067493E"/>
    <w:rsid w:val="00674D4F"/>
    <w:rsid w:val="00675967"/>
    <w:rsid w:val="00677DFB"/>
    <w:rsid w:val="00677E4F"/>
    <w:rsid w:val="00680D97"/>
    <w:rsid w:val="00682BD8"/>
    <w:rsid w:val="00682C03"/>
    <w:rsid w:val="00682EFB"/>
    <w:rsid w:val="00683100"/>
    <w:rsid w:val="006833F8"/>
    <w:rsid w:val="00685A55"/>
    <w:rsid w:val="00686965"/>
    <w:rsid w:val="0069014F"/>
    <w:rsid w:val="0069015D"/>
    <w:rsid w:val="00693103"/>
    <w:rsid w:val="0069370D"/>
    <w:rsid w:val="00693F14"/>
    <w:rsid w:val="00695682"/>
    <w:rsid w:val="00695E13"/>
    <w:rsid w:val="006966BD"/>
    <w:rsid w:val="006970FA"/>
    <w:rsid w:val="006A106E"/>
    <w:rsid w:val="006A1812"/>
    <w:rsid w:val="006A1B95"/>
    <w:rsid w:val="006A49D2"/>
    <w:rsid w:val="006A4A08"/>
    <w:rsid w:val="006A7503"/>
    <w:rsid w:val="006B1EBE"/>
    <w:rsid w:val="006B267A"/>
    <w:rsid w:val="006B2E3E"/>
    <w:rsid w:val="006B675D"/>
    <w:rsid w:val="006C24E8"/>
    <w:rsid w:val="006C273F"/>
    <w:rsid w:val="006C2991"/>
    <w:rsid w:val="006C3D0F"/>
    <w:rsid w:val="006C62BF"/>
    <w:rsid w:val="006C66DB"/>
    <w:rsid w:val="006C7AE5"/>
    <w:rsid w:val="006D059B"/>
    <w:rsid w:val="006D0D85"/>
    <w:rsid w:val="006D0DE0"/>
    <w:rsid w:val="006D1128"/>
    <w:rsid w:val="006D24F8"/>
    <w:rsid w:val="006D2DB3"/>
    <w:rsid w:val="006D6012"/>
    <w:rsid w:val="006D6758"/>
    <w:rsid w:val="006D6FD6"/>
    <w:rsid w:val="006D7A59"/>
    <w:rsid w:val="006E05F6"/>
    <w:rsid w:val="006E1CAA"/>
    <w:rsid w:val="006E32FC"/>
    <w:rsid w:val="006E4F85"/>
    <w:rsid w:val="006E5C1A"/>
    <w:rsid w:val="006E6C65"/>
    <w:rsid w:val="006E706F"/>
    <w:rsid w:val="006F1FD1"/>
    <w:rsid w:val="006F2600"/>
    <w:rsid w:val="006F4144"/>
    <w:rsid w:val="006F505C"/>
    <w:rsid w:val="006F53DB"/>
    <w:rsid w:val="006F5F4B"/>
    <w:rsid w:val="006F6334"/>
    <w:rsid w:val="007007DD"/>
    <w:rsid w:val="00701862"/>
    <w:rsid w:val="007026F4"/>
    <w:rsid w:val="00703339"/>
    <w:rsid w:val="007046E3"/>
    <w:rsid w:val="007054E5"/>
    <w:rsid w:val="007062D6"/>
    <w:rsid w:val="00706CED"/>
    <w:rsid w:val="007102BE"/>
    <w:rsid w:val="00711ABE"/>
    <w:rsid w:val="00713274"/>
    <w:rsid w:val="00714016"/>
    <w:rsid w:val="007141A1"/>
    <w:rsid w:val="0071523F"/>
    <w:rsid w:val="00715EA7"/>
    <w:rsid w:val="00716B54"/>
    <w:rsid w:val="00716B69"/>
    <w:rsid w:val="00717861"/>
    <w:rsid w:val="00720F3A"/>
    <w:rsid w:val="00721223"/>
    <w:rsid w:val="0072606A"/>
    <w:rsid w:val="0072630C"/>
    <w:rsid w:val="00726C09"/>
    <w:rsid w:val="0072738A"/>
    <w:rsid w:val="00730171"/>
    <w:rsid w:val="00730D42"/>
    <w:rsid w:val="00731102"/>
    <w:rsid w:val="00731C06"/>
    <w:rsid w:val="007342A3"/>
    <w:rsid w:val="007361AA"/>
    <w:rsid w:val="00736D2D"/>
    <w:rsid w:val="0073700D"/>
    <w:rsid w:val="0073763A"/>
    <w:rsid w:val="00740504"/>
    <w:rsid w:val="0074125B"/>
    <w:rsid w:val="007422C9"/>
    <w:rsid w:val="0074284C"/>
    <w:rsid w:val="00744561"/>
    <w:rsid w:val="00746777"/>
    <w:rsid w:val="00747787"/>
    <w:rsid w:val="007500D3"/>
    <w:rsid w:val="00750FA7"/>
    <w:rsid w:val="0075165B"/>
    <w:rsid w:val="007529A9"/>
    <w:rsid w:val="007536DE"/>
    <w:rsid w:val="00753F11"/>
    <w:rsid w:val="007546AE"/>
    <w:rsid w:val="007546C9"/>
    <w:rsid w:val="007576C6"/>
    <w:rsid w:val="00757DA6"/>
    <w:rsid w:val="00760D80"/>
    <w:rsid w:val="00760F3F"/>
    <w:rsid w:val="00761959"/>
    <w:rsid w:val="007626AD"/>
    <w:rsid w:val="00762877"/>
    <w:rsid w:val="00763931"/>
    <w:rsid w:val="00764C72"/>
    <w:rsid w:val="007652F9"/>
    <w:rsid w:val="007653A5"/>
    <w:rsid w:val="00767F96"/>
    <w:rsid w:val="007700D2"/>
    <w:rsid w:val="007716AF"/>
    <w:rsid w:val="00773187"/>
    <w:rsid w:val="00774A5B"/>
    <w:rsid w:val="00775712"/>
    <w:rsid w:val="00780FF0"/>
    <w:rsid w:val="0078120E"/>
    <w:rsid w:val="00782F18"/>
    <w:rsid w:val="007841BB"/>
    <w:rsid w:val="00784961"/>
    <w:rsid w:val="007864AB"/>
    <w:rsid w:val="00791571"/>
    <w:rsid w:val="00792D08"/>
    <w:rsid w:val="0079350D"/>
    <w:rsid w:val="00793C5B"/>
    <w:rsid w:val="00793CF5"/>
    <w:rsid w:val="007955B0"/>
    <w:rsid w:val="007A58F9"/>
    <w:rsid w:val="007A5B0F"/>
    <w:rsid w:val="007B2935"/>
    <w:rsid w:val="007B3DE2"/>
    <w:rsid w:val="007B4689"/>
    <w:rsid w:val="007B5D39"/>
    <w:rsid w:val="007B5FF1"/>
    <w:rsid w:val="007B64AF"/>
    <w:rsid w:val="007B6507"/>
    <w:rsid w:val="007B6910"/>
    <w:rsid w:val="007C28E3"/>
    <w:rsid w:val="007C3133"/>
    <w:rsid w:val="007C367A"/>
    <w:rsid w:val="007C645A"/>
    <w:rsid w:val="007D0349"/>
    <w:rsid w:val="007D0504"/>
    <w:rsid w:val="007D1608"/>
    <w:rsid w:val="007D2A38"/>
    <w:rsid w:val="007D2C50"/>
    <w:rsid w:val="007D2C6A"/>
    <w:rsid w:val="007D37FF"/>
    <w:rsid w:val="007D4C43"/>
    <w:rsid w:val="007D515A"/>
    <w:rsid w:val="007E0E28"/>
    <w:rsid w:val="007E296D"/>
    <w:rsid w:val="007E42ED"/>
    <w:rsid w:val="007E4591"/>
    <w:rsid w:val="007F080F"/>
    <w:rsid w:val="007F1A54"/>
    <w:rsid w:val="007F1DCD"/>
    <w:rsid w:val="007F1FA3"/>
    <w:rsid w:val="007F218C"/>
    <w:rsid w:val="007F25CA"/>
    <w:rsid w:val="007F47EB"/>
    <w:rsid w:val="007F54D5"/>
    <w:rsid w:val="007F5514"/>
    <w:rsid w:val="007F7093"/>
    <w:rsid w:val="007F723E"/>
    <w:rsid w:val="008006D0"/>
    <w:rsid w:val="00801004"/>
    <w:rsid w:val="008048BE"/>
    <w:rsid w:val="00806D0A"/>
    <w:rsid w:val="00807899"/>
    <w:rsid w:val="00807D37"/>
    <w:rsid w:val="00807F0E"/>
    <w:rsid w:val="008113FA"/>
    <w:rsid w:val="0081293A"/>
    <w:rsid w:val="008146AD"/>
    <w:rsid w:val="00814ECA"/>
    <w:rsid w:val="00814EF4"/>
    <w:rsid w:val="008203FB"/>
    <w:rsid w:val="00822047"/>
    <w:rsid w:val="00822C3D"/>
    <w:rsid w:val="00822EEC"/>
    <w:rsid w:val="008249D4"/>
    <w:rsid w:val="008264A2"/>
    <w:rsid w:val="008267D0"/>
    <w:rsid w:val="00826C41"/>
    <w:rsid w:val="008274C2"/>
    <w:rsid w:val="008300E2"/>
    <w:rsid w:val="008308E8"/>
    <w:rsid w:val="00831B72"/>
    <w:rsid w:val="00832263"/>
    <w:rsid w:val="008324D7"/>
    <w:rsid w:val="008332CA"/>
    <w:rsid w:val="0083366D"/>
    <w:rsid w:val="0083415A"/>
    <w:rsid w:val="0083431E"/>
    <w:rsid w:val="0083647A"/>
    <w:rsid w:val="0083674E"/>
    <w:rsid w:val="008368CA"/>
    <w:rsid w:val="00837784"/>
    <w:rsid w:val="00841A35"/>
    <w:rsid w:val="00841DA7"/>
    <w:rsid w:val="00841EB1"/>
    <w:rsid w:val="00843F48"/>
    <w:rsid w:val="0084641A"/>
    <w:rsid w:val="008466EF"/>
    <w:rsid w:val="00846EF5"/>
    <w:rsid w:val="00847D79"/>
    <w:rsid w:val="00850445"/>
    <w:rsid w:val="00851031"/>
    <w:rsid w:val="0085286D"/>
    <w:rsid w:val="008614E5"/>
    <w:rsid w:val="00861CFD"/>
    <w:rsid w:val="00861FE7"/>
    <w:rsid w:val="008627CC"/>
    <w:rsid w:val="00870926"/>
    <w:rsid w:val="00870976"/>
    <w:rsid w:val="008709A4"/>
    <w:rsid w:val="00871D18"/>
    <w:rsid w:val="00872E5E"/>
    <w:rsid w:val="00873883"/>
    <w:rsid w:val="00873C16"/>
    <w:rsid w:val="00874002"/>
    <w:rsid w:val="00874203"/>
    <w:rsid w:val="0088002B"/>
    <w:rsid w:val="008806DE"/>
    <w:rsid w:val="00883C76"/>
    <w:rsid w:val="008854E6"/>
    <w:rsid w:val="0088784B"/>
    <w:rsid w:val="00890389"/>
    <w:rsid w:val="00891C50"/>
    <w:rsid w:val="00891F93"/>
    <w:rsid w:val="00894E84"/>
    <w:rsid w:val="008A1021"/>
    <w:rsid w:val="008A157E"/>
    <w:rsid w:val="008A1AD4"/>
    <w:rsid w:val="008A402B"/>
    <w:rsid w:val="008A49B2"/>
    <w:rsid w:val="008A6D10"/>
    <w:rsid w:val="008A7600"/>
    <w:rsid w:val="008B05F8"/>
    <w:rsid w:val="008B22A8"/>
    <w:rsid w:val="008B249F"/>
    <w:rsid w:val="008B3CF3"/>
    <w:rsid w:val="008B46AB"/>
    <w:rsid w:val="008B5AFC"/>
    <w:rsid w:val="008B608D"/>
    <w:rsid w:val="008C1580"/>
    <w:rsid w:val="008C1AC5"/>
    <w:rsid w:val="008C3A17"/>
    <w:rsid w:val="008C4151"/>
    <w:rsid w:val="008C515C"/>
    <w:rsid w:val="008D05B8"/>
    <w:rsid w:val="008D1491"/>
    <w:rsid w:val="008D169D"/>
    <w:rsid w:val="008D1D51"/>
    <w:rsid w:val="008D28C3"/>
    <w:rsid w:val="008D3481"/>
    <w:rsid w:val="008D3D9C"/>
    <w:rsid w:val="008D567E"/>
    <w:rsid w:val="008D6D1A"/>
    <w:rsid w:val="008E08A7"/>
    <w:rsid w:val="008E0EE4"/>
    <w:rsid w:val="008E5CD2"/>
    <w:rsid w:val="008E6040"/>
    <w:rsid w:val="008E6B1D"/>
    <w:rsid w:val="008F0F3F"/>
    <w:rsid w:val="008F194E"/>
    <w:rsid w:val="008F2ACC"/>
    <w:rsid w:val="008F597D"/>
    <w:rsid w:val="008F72B3"/>
    <w:rsid w:val="008F7ED2"/>
    <w:rsid w:val="0090115F"/>
    <w:rsid w:val="00903587"/>
    <w:rsid w:val="00905204"/>
    <w:rsid w:val="00905FBB"/>
    <w:rsid w:val="009063C9"/>
    <w:rsid w:val="00906EC1"/>
    <w:rsid w:val="00907456"/>
    <w:rsid w:val="009077CD"/>
    <w:rsid w:val="00907A00"/>
    <w:rsid w:val="00907B1B"/>
    <w:rsid w:val="00910644"/>
    <w:rsid w:val="00910DE0"/>
    <w:rsid w:val="0091270D"/>
    <w:rsid w:val="00912A91"/>
    <w:rsid w:val="0091496E"/>
    <w:rsid w:val="00914A08"/>
    <w:rsid w:val="00915A1F"/>
    <w:rsid w:val="00920BB3"/>
    <w:rsid w:val="00923F5D"/>
    <w:rsid w:val="00925096"/>
    <w:rsid w:val="0092530D"/>
    <w:rsid w:val="00925E06"/>
    <w:rsid w:val="009263A1"/>
    <w:rsid w:val="00926C81"/>
    <w:rsid w:val="00926CDF"/>
    <w:rsid w:val="00927149"/>
    <w:rsid w:val="0093067B"/>
    <w:rsid w:val="00930DE7"/>
    <w:rsid w:val="009314BF"/>
    <w:rsid w:val="009323F1"/>
    <w:rsid w:val="00933894"/>
    <w:rsid w:val="00933D0B"/>
    <w:rsid w:val="00933FD7"/>
    <w:rsid w:val="00936B09"/>
    <w:rsid w:val="00937CEB"/>
    <w:rsid w:val="00940E55"/>
    <w:rsid w:val="009415A0"/>
    <w:rsid w:val="00941CE1"/>
    <w:rsid w:val="00943243"/>
    <w:rsid w:val="0094349E"/>
    <w:rsid w:val="00943F5F"/>
    <w:rsid w:val="009470AC"/>
    <w:rsid w:val="00951B63"/>
    <w:rsid w:val="00953781"/>
    <w:rsid w:val="009546EE"/>
    <w:rsid w:val="00954872"/>
    <w:rsid w:val="00954CF1"/>
    <w:rsid w:val="009553D2"/>
    <w:rsid w:val="00957E92"/>
    <w:rsid w:val="0096211B"/>
    <w:rsid w:val="00962201"/>
    <w:rsid w:val="009645B8"/>
    <w:rsid w:val="00966563"/>
    <w:rsid w:val="00967E71"/>
    <w:rsid w:val="00971A3F"/>
    <w:rsid w:val="00971B85"/>
    <w:rsid w:val="0097265D"/>
    <w:rsid w:val="00975049"/>
    <w:rsid w:val="00975091"/>
    <w:rsid w:val="00975CA5"/>
    <w:rsid w:val="0097689D"/>
    <w:rsid w:val="009777E1"/>
    <w:rsid w:val="00977BCB"/>
    <w:rsid w:val="00977F6D"/>
    <w:rsid w:val="00981A95"/>
    <w:rsid w:val="00982379"/>
    <w:rsid w:val="009839B8"/>
    <w:rsid w:val="00983E39"/>
    <w:rsid w:val="00986AB7"/>
    <w:rsid w:val="00991407"/>
    <w:rsid w:val="00991B4F"/>
    <w:rsid w:val="00992B8D"/>
    <w:rsid w:val="009942BB"/>
    <w:rsid w:val="00996E17"/>
    <w:rsid w:val="00996E91"/>
    <w:rsid w:val="009A0C43"/>
    <w:rsid w:val="009A1817"/>
    <w:rsid w:val="009A2064"/>
    <w:rsid w:val="009A3AF0"/>
    <w:rsid w:val="009A3D1C"/>
    <w:rsid w:val="009A4537"/>
    <w:rsid w:val="009B24C6"/>
    <w:rsid w:val="009B361C"/>
    <w:rsid w:val="009B472D"/>
    <w:rsid w:val="009B7069"/>
    <w:rsid w:val="009B7C4C"/>
    <w:rsid w:val="009C0921"/>
    <w:rsid w:val="009C09DC"/>
    <w:rsid w:val="009C0F77"/>
    <w:rsid w:val="009C2A5B"/>
    <w:rsid w:val="009C30D4"/>
    <w:rsid w:val="009C3FB3"/>
    <w:rsid w:val="009C48AA"/>
    <w:rsid w:val="009C54AC"/>
    <w:rsid w:val="009C57FB"/>
    <w:rsid w:val="009D0A52"/>
    <w:rsid w:val="009D118F"/>
    <w:rsid w:val="009D3B78"/>
    <w:rsid w:val="009D4A11"/>
    <w:rsid w:val="009D4F86"/>
    <w:rsid w:val="009D698B"/>
    <w:rsid w:val="009D6CF3"/>
    <w:rsid w:val="009E057B"/>
    <w:rsid w:val="009E3C88"/>
    <w:rsid w:val="009E4471"/>
    <w:rsid w:val="009E4666"/>
    <w:rsid w:val="009E6074"/>
    <w:rsid w:val="009E6E89"/>
    <w:rsid w:val="009E73AE"/>
    <w:rsid w:val="009F105F"/>
    <w:rsid w:val="009F306A"/>
    <w:rsid w:val="009F4361"/>
    <w:rsid w:val="009F52C1"/>
    <w:rsid w:val="009F5599"/>
    <w:rsid w:val="009F77C6"/>
    <w:rsid w:val="00A02F46"/>
    <w:rsid w:val="00A0321D"/>
    <w:rsid w:val="00A038CD"/>
    <w:rsid w:val="00A0399A"/>
    <w:rsid w:val="00A048EE"/>
    <w:rsid w:val="00A06482"/>
    <w:rsid w:val="00A07B5E"/>
    <w:rsid w:val="00A07DE0"/>
    <w:rsid w:val="00A12A0A"/>
    <w:rsid w:val="00A12A64"/>
    <w:rsid w:val="00A15761"/>
    <w:rsid w:val="00A16FFA"/>
    <w:rsid w:val="00A20684"/>
    <w:rsid w:val="00A2204D"/>
    <w:rsid w:val="00A2416F"/>
    <w:rsid w:val="00A30010"/>
    <w:rsid w:val="00A30221"/>
    <w:rsid w:val="00A34C5B"/>
    <w:rsid w:val="00A34C76"/>
    <w:rsid w:val="00A359EA"/>
    <w:rsid w:val="00A35BB5"/>
    <w:rsid w:val="00A40119"/>
    <w:rsid w:val="00A418A4"/>
    <w:rsid w:val="00A41AC7"/>
    <w:rsid w:val="00A42AC9"/>
    <w:rsid w:val="00A44819"/>
    <w:rsid w:val="00A45612"/>
    <w:rsid w:val="00A504AA"/>
    <w:rsid w:val="00A508A1"/>
    <w:rsid w:val="00A50AB9"/>
    <w:rsid w:val="00A50BF2"/>
    <w:rsid w:val="00A51BED"/>
    <w:rsid w:val="00A52E22"/>
    <w:rsid w:val="00A53CDF"/>
    <w:rsid w:val="00A56499"/>
    <w:rsid w:val="00A5758D"/>
    <w:rsid w:val="00A6035D"/>
    <w:rsid w:val="00A60EEE"/>
    <w:rsid w:val="00A616D9"/>
    <w:rsid w:val="00A62695"/>
    <w:rsid w:val="00A63C99"/>
    <w:rsid w:val="00A64FFE"/>
    <w:rsid w:val="00A65656"/>
    <w:rsid w:val="00A65986"/>
    <w:rsid w:val="00A67518"/>
    <w:rsid w:val="00A67E2F"/>
    <w:rsid w:val="00A7030F"/>
    <w:rsid w:val="00A70D18"/>
    <w:rsid w:val="00A735A6"/>
    <w:rsid w:val="00A74BFC"/>
    <w:rsid w:val="00A760F2"/>
    <w:rsid w:val="00A767C0"/>
    <w:rsid w:val="00A80F86"/>
    <w:rsid w:val="00A8420B"/>
    <w:rsid w:val="00A84714"/>
    <w:rsid w:val="00A84C51"/>
    <w:rsid w:val="00A84D1B"/>
    <w:rsid w:val="00A8560C"/>
    <w:rsid w:val="00A87030"/>
    <w:rsid w:val="00A87490"/>
    <w:rsid w:val="00A87D0F"/>
    <w:rsid w:val="00A94791"/>
    <w:rsid w:val="00A95496"/>
    <w:rsid w:val="00A95567"/>
    <w:rsid w:val="00A957B7"/>
    <w:rsid w:val="00A97FE4"/>
    <w:rsid w:val="00AA228F"/>
    <w:rsid w:val="00AA2525"/>
    <w:rsid w:val="00AA2EAF"/>
    <w:rsid w:val="00AA4FC5"/>
    <w:rsid w:val="00AB01A1"/>
    <w:rsid w:val="00AB0F3B"/>
    <w:rsid w:val="00AB15BA"/>
    <w:rsid w:val="00AB210A"/>
    <w:rsid w:val="00AB4943"/>
    <w:rsid w:val="00AB5125"/>
    <w:rsid w:val="00AB71E0"/>
    <w:rsid w:val="00AB783D"/>
    <w:rsid w:val="00AC07CF"/>
    <w:rsid w:val="00AC096F"/>
    <w:rsid w:val="00AC167E"/>
    <w:rsid w:val="00AC2596"/>
    <w:rsid w:val="00AC3992"/>
    <w:rsid w:val="00AC493E"/>
    <w:rsid w:val="00AC6870"/>
    <w:rsid w:val="00AC7108"/>
    <w:rsid w:val="00AC773A"/>
    <w:rsid w:val="00AC78D8"/>
    <w:rsid w:val="00AC78E8"/>
    <w:rsid w:val="00AD3ABE"/>
    <w:rsid w:val="00AD4CF8"/>
    <w:rsid w:val="00AD5AF3"/>
    <w:rsid w:val="00AD6C73"/>
    <w:rsid w:val="00AD723C"/>
    <w:rsid w:val="00AE01BA"/>
    <w:rsid w:val="00AE08AF"/>
    <w:rsid w:val="00AE1C1F"/>
    <w:rsid w:val="00AE3F8B"/>
    <w:rsid w:val="00AE6EB5"/>
    <w:rsid w:val="00AE749D"/>
    <w:rsid w:val="00AE7A86"/>
    <w:rsid w:val="00AF03B0"/>
    <w:rsid w:val="00AF0AA6"/>
    <w:rsid w:val="00AF1049"/>
    <w:rsid w:val="00AF151E"/>
    <w:rsid w:val="00AF3254"/>
    <w:rsid w:val="00AF3449"/>
    <w:rsid w:val="00AF38A7"/>
    <w:rsid w:val="00AF4FDF"/>
    <w:rsid w:val="00AF6378"/>
    <w:rsid w:val="00AF6B9A"/>
    <w:rsid w:val="00AF78D3"/>
    <w:rsid w:val="00AF7DA5"/>
    <w:rsid w:val="00B045AB"/>
    <w:rsid w:val="00B0562C"/>
    <w:rsid w:val="00B11201"/>
    <w:rsid w:val="00B11449"/>
    <w:rsid w:val="00B144E5"/>
    <w:rsid w:val="00B15FD3"/>
    <w:rsid w:val="00B24F59"/>
    <w:rsid w:val="00B251A2"/>
    <w:rsid w:val="00B261E0"/>
    <w:rsid w:val="00B26517"/>
    <w:rsid w:val="00B31E0F"/>
    <w:rsid w:val="00B32099"/>
    <w:rsid w:val="00B32D1C"/>
    <w:rsid w:val="00B32DE2"/>
    <w:rsid w:val="00B35A81"/>
    <w:rsid w:val="00B36063"/>
    <w:rsid w:val="00B36750"/>
    <w:rsid w:val="00B376F0"/>
    <w:rsid w:val="00B404A4"/>
    <w:rsid w:val="00B4068D"/>
    <w:rsid w:val="00B42816"/>
    <w:rsid w:val="00B4313F"/>
    <w:rsid w:val="00B43EF7"/>
    <w:rsid w:val="00B449AF"/>
    <w:rsid w:val="00B46C1C"/>
    <w:rsid w:val="00B502A3"/>
    <w:rsid w:val="00B518A0"/>
    <w:rsid w:val="00B51ACB"/>
    <w:rsid w:val="00B5320C"/>
    <w:rsid w:val="00B546A7"/>
    <w:rsid w:val="00B6183A"/>
    <w:rsid w:val="00B6274D"/>
    <w:rsid w:val="00B62C79"/>
    <w:rsid w:val="00B636ED"/>
    <w:rsid w:val="00B63BD4"/>
    <w:rsid w:val="00B65A3B"/>
    <w:rsid w:val="00B66AFF"/>
    <w:rsid w:val="00B7202B"/>
    <w:rsid w:val="00B76505"/>
    <w:rsid w:val="00B76D3C"/>
    <w:rsid w:val="00B76E3B"/>
    <w:rsid w:val="00B80E57"/>
    <w:rsid w:val="00B825F0"/>
    <w:rsid w:val="00B826D7"/>
    <w:rsid w:val="00B86095"/>
    <w:rsid w:val="00B86F46"/>
    <w:rsid w:val="00B87CD0"/>
    <w:rsid w:val="00B945AD"/>
    <w:rsid w:val="00B949E1"/>
    <w:rsid w:val="00B94F2A"/>
    <w:rsid w:val="00B9504A"/>
    <w:rsid w:val="00B952BF"/>
    <w:rsid w:val="00B95FAE"/>
    <w:rsid w:val="00B96AE0"/>
    <w:rsid w:val="00BA128F"/>
    <w:rsid w:val="00BA21EF"/>
    <w:rsid w:val="00BA3504"/>
    <w:rsid w:val="00BA393A"/>
    <w:rsid w:val="00BA72C6"/>
    <w:rsid w:val="00BB1291"/>
    <w:rsid w:val="00BB5EC1"/>
    <w:rsid w:val="00BB7005"/>
    <w:rsid w:val="00BB79D6"/>
    <w:rsid w:val="00BC0097"/>
    <w:rsid w:val="00BC1ECD"/>
    <w:rsid w:val="00BD0354"/>
    <w:rsid w:val="00BD0AB9"/>
    <w:rsid w:val="00BD136D"/>
    <w:rsid w:val="00BD3252"/>
    <w:rsid w:val="00BD373A"/>
    <w:rsid w:val="00BD4434"/>
    <w:rsid w:val="00BD484A"/>
    <w:rsid w:val="00BD4917"/>
    <w:rsid w:val="00BD5090"/>
    <w:rsid w:val="00BD662B"/>
    <w:rsid w:val="00BE2EE4"/>
    <w:rsid w:val="00BE3050"/>
    <w:rsid w:val="00BE42B4"/>
    <w:rsid w:val="00BE6288"/>
    <w:rsid w:val="00BE63C7"/>
    <w:rsid w:val="00BE65D0"/>
    <w:rsid w:val="00BF1D02"/>
    <w:rsid w:val="00BF2B02"/>
    <w:rsid w:val="00BF2CFA"/>
    <w:rsid w:val="00BF643F"/>
    <w:rsid w:val="00C002D1"/>
    <w:rsid w:val="00C00C85"/>
    <w:rsid w:val="00C01C35"/>
    <w:rsid w:val="00C0422C"/>
    <w:rsid w:val="00C0437B"/>
    <w:rsid w:val="00C04501"/>
    <w:rsid w:val="00C057BF"/>
    <w:rsid w:val="00C05CEC"/>
    <w:rsid w:val="00C1033E"/>
    <w:rsid w:val="00C110B5"/>
    <w:rsid w:val="00C1145B"/>
    <w:rsid w:val="00C13105"/>
    <w:rsid w:val="00C144A8"/>
    <w:rsid w:val="00C144FE"/>
    <w:rsid w:val="00C15067"/>
    <w:rsid w:val="00C156C3"/>
    <w:rsid w:val="00C1579C"/>
    <w:rsid w:val="00C20E98"/>
    <w:rsid w:val="00C237DC"/>
    <w:rsid w:val="00C23CAC"/>
    <w:rsid w:val="00C27314"/>
    <w:rsid w:val="00C334A5"/>
    <w:rsid w:val="00C37AA2"/>
    <w:rsid w:val="00C44058"/>
    <w:rsid w:val="00C466CC"/>
    <w:rsid w:val="00C47563"/>
    <w:rsid w:val="00C47CB0"/>
    <w:rsid w:val="00C500D5"/>
    <w:rsid w:val="00C500E8"/>
    <w:rsid w:val="00C50F2C"/>
    <w:rsid w:val="00C53A13"/>
    <w:rsid w:val="00C542B8"/>
    <w:rsid w:val="00C57FAA"/>
    <w:rsid w:val="00C61EF3"/>
    <w:rsid w:val="00C62CFB"/>
    <w:rsid w:val="00C66D65"/>
    <w:rsid w:val="00C67283"/>
    <w:rsid w:val="00C674A8"/>
    <w:rsid w:val="00C70218"/>
    <w:rsid w:val="00C70809"/>
    <w:rsid w:val="00C713AD"/>
    <w:rsid w:val="00C71601"/>
    <w:rsid w:val="00C718D9"/>
    <w:rsid w:val="00C73DD5"/>
    <w:rsid w:val="00C755EB"/>
    <w:rsid w:val="00C75D94"/>
    <w:rsid w:val="00C809E3"/>
    <w:rsid w:val="00C81D94"/>
    <w:rsid w:val="00C82C2B"/>
    <w:rsid w:val="00C8497D"/>
    <w:rsid w:val="00C857CD"/>
    <w:rsid w:val="00C85FF3"/>
    <w:rsid w:val="00C867F8"/>
    <w:rsid w:val="00C904CD"/>
    <w:rsid w:val="00C91367"/>
    <w:rsid w:val="00C939E9"/>
    <w:rsid w:val="00C964A4"/>
    <w:rsid w:val="00CA2A6E"/>
    <w:rsid w:val="00CA2EB1"/>
    <w:rsid w:val="00CA36A0"/>
    <w:rsid w:val="00CA38A4"/>
    <w:rsid w:val="00CA4BA6"/>
    <w:rsid w:val="00CA77F2"/>
    <w:rsid w:val="00CA7AD6"/>
    <w:rsid w:val="00CB00A8"/>
    <w:rsid w:val="00CB0DC9"/>
    <w:rsid w:val="00CB11C0"/>
    <w:rsid w:val="00CB603A"/>
    <w:rsid w:val="00CB693B"/>
    <w:rsid w:val="00CB706F"/>
    <w:rsid w:val="00CC01F9"/>
    <w:rsid w:val="00CC2C3C"/>
    <w:rsid w:val="00CC3376"/>
    <w:rsid w:val="00CC3B2F"/>
    <w:rsid w:val="00CC4DBD"/>
    <w:rsid w:val="00CC5771"/>
    <w:rsid w:val="00CC732B"/>
    <w:rsid w:val="00CC73AC"/>
    <w:rsid w:val="00CD165E"/>
    <w:rsid w:val="00CD1855"/>
    <w:rsid w:val="00CD1975"/>
    <w:rsid w:val="00CD25CE"/>
    <w:rsid w:val="00CD5E07"/>
    <w:rsid w:val="00CD75A8"/>
    <w:rsid w:val="00CE2FEA"/>
    <w:rsid w:val="00CE38A3"/>
    <w:rsid w:val="00CE63A2"/>
    <w:rsid w:val="00CE7A4C"/>
    <w:rsid w:val="00CF04EF"/>
    <w:rsid w:val="00CF061E"/>
    <w:rsid w:val="00CF25BA"/>
    <w:rsid w:val="00CF4E33"/>
    <w:rsid w:val="00CF4EE5"/>
    <w:rsid w:val="00CF602A"/>
    <w:rsid w:val="00CF6B3C"/>
    <w:rsid w:val="00CF7461"/>
    <w:rsid w:val="00CF7F28"/>
    <w:rsid w:val="00D02239"/>
    <w:rsid w:val="00D03634"/>
    <w:rsid w:val="00D04C69"/>
    <w:rsid w:val="00D05A8B"/>
    <w:rsid w:val="00D06C81"/>
    <w:rsid w:val="00D07373"/>
    <w:rsid w:val="00D1007B"/>
    <w:rsid w:val="00D10D21"/>
    <w:rsid w:val="00D11DA4"/>
    <w:rsid w:val="00D125AA"/>
    <w:rsid w:val="00D13629"/>
    <w:rsid w:val="00D139DE"/>
    <w:rsid w:val="00D13FAA"/>
    <w:rsid w:val="00D14B14"/>
    <w:rsid w:val="00D14FFB"/>
    <w:rsid w:val="00D1508C"/>
    <w:rsid w:val="00D158BC"/>
    <w:rsid w:val="00D164DA"/>
    <w:rsid w:val="00D201BF"/>
    <w:rsid w:val="00D2050B"/>
    <w:rsid w:val="00D21571"/>
    <w:rsid w:val="00D23482"/>
    <w:rsid w:val="00D251A6"/>
    <w:rsid w:val="00D25887"/>
    <w:rsid w:val="00D25FC7"/>
    <w:rsid w:val="00D26F59"/>
    <w:rsid w:val="00D27070"/>
    <w:rsid w:val="00D27C35"/>
    <w:rsid w:val="00D27CA8"/>
    <w:rsid w:val="00D30AC3"/>
    <w:rsid w:val="00D30E16"/>
    <w:rsid w:val="00D3311F"/>
    <w:rsid w:val="00D33658"/>
    <w:rsid w:val="00D337A8"/>
    <w:rsid w:val="00D3497F"/>
    <w:rsid w:val="00D34DF6"/>
    <w:rsid w:val="00D35237"/>
    <w:rsid w:val="00D35569"/>
    <w:rsid w:val="00D35D1F"/>
    <w:rsid w:val="00D36117"/>
    <w:rsid w:val="00D36377"/>
    <w:rsid w:val="00D37ACE"/>
    <w:rsid w:val="00D40639"/>
    <w:rsid w:val="00D40C5E"/>
    <w:rsid w:val="00D4289B"/>
    <w:rsid w:val="00D450A0"/>
    <w:rsid w:val="00D4582D"/>
    <w:rsid w:val="00D50A31"/>
    <w:rsid w:val="00D53424"/>
    <w:rsid w:val="00D541B8"/>
    <w:rsid w:val="00D542AF"/>
    <w:rsid w:val="00D558A5"/>
    <w:rsid w:val="00D55C62"/>
    <w:rsid w:val="00D6055A"/>
    <w:rsid w:val="00D6471D"/>
    <w:rsid w:val="00D653EA"/>
    <w:rsid w:val="00D661BC"/>
    <w:rsid w:val="00D670A6"/>
    <w:rsid w:val="00D71096"/>
    <w:rsid w:val="00D72C4D"/>
    <w:rsid w:val="00D72D0B"/>
    <w:rsid w:val="00D74228"/>
    <w:rsid w:val="00D75275"/>
    <w:rsid w:val="00D761B2"/>
    <w:rsid w:val="00D77BDC"/>
    <w:rsid w:val="00D81AF4"/>
    <w:rsid w:val="00D83D24"/>
    <w:rsid w:val="00D85366"/>
    <w:rsid w:val="00D867CD"/>
    <w:rsid w:val="00D873C4"/>
    <w:rsid w:val="00D87C90"/>
    <w:rsid w:val="00D9073E"/>
    <w:rsid w:val="00D90938"/>
    <w:rsid w:val="00D90F79"/>
    <w:rsid w:val="00D92FB5"/>
    <w:rsid w:val="00D93BC3"/>
    <w:rsid w:val="00D93C18"/>
    <w:rsid w:val="00D93F3E"/>
    <w:rsid w:val="00D94EC5"/>
    <w:rsid w:val="00D96E7A"/>
    <w:rsid w:val="00DA06FE"/>
    <w:rsid w:val="00DA1392"/>
    <w:rsid w:val="00DA3F8A"/>
    <w:rsid w:val="00DA44EB"/>
    <w:rsid w:val="00DA57F1"/>
    <w:rsid w:val="00DA7530"/>
    <w:rsid w:val="00DB0CAA"/>
    <w:rsid w:val="00DB1467"/>
    <w:rsid w:val="00DB1AB2"/>
    <w:rsid w:val="00DB44B4"/>
    <w:rsid w:val="00DB494E"/>
    <w:rsid w:val="00DB7964"/>
    <w:rsid w:val="00DC0250"/>
    <w:rsid w:val="00DC131E"/>
    <w:rsid w:val="00DC1888"/>
    <w:rsid w:val="00DC43CC"/>
    <w:rsid w:val="00DC4503"/>
    <w:rsid w:val="00DC51DF"/>
    <w:rsid w:val="00DD23FA"/>
    <w:rsid w:val="00DD2BFC"/>
    <w:rsid w:val="00DD34C2"/>
    <w:rsid w:val="00DD3972"/>
    <w:rsid w:val="00DD43B9"/>
    <w:rsid w:val="00DD4FC2"/>
    <w:rsid w:val="00DD74EA"/>
    <w:rsid w:val="00DD7667"/>
    <w:rsid w:val="00DE4061"/>
    <w:rsid w:val="00DE5C00"/>
    <w:rsid w:val="00DE693E"/>
    <w:rsid w:val="00DE7C5E"/>
    <w:rsid w:val="00DF021F"/>
    <w:rsid w:val="00DF0D64"/>
    <w:rsid w:val="00DF1480"/>
    <w:rsid w:val="00DF1E6A"/>
    <w:rsid w:val="00DF3295"/>
    <w:rsid w:val="00DF4904"/>
    <w:rsid w:val="00DF5AE8"/>
    <w:rsid w:val="00DF5D64"/>
    <w:rsid w:val="00DF740B"/>
    <w:rsid w:val="00DF7508"/>
    <w:rsid w:val="00E014ED"/>
    <w:rsid w:val="00E028B6"/>
    <w:rsid w:val="00E02916"/>
    <w:rsid w:val="00E031C5"/>
    <w:rsid w:val="00E051D1"/>
    <w:rsid w:val="00E10266"/>
    <w:rsid w:val="00E116B4"/>
    <w:rsid w:val="00E11CD2"/>
    <w:rsid w:val="00E131B4"/>
    <w:rsid w:val="00E13790"/>
    <w:rsid w:val="00E14F94"/>
    <w:rsid w:val="00E15736"/>
    <w:rsid w:val="00E2123F"/>
    <w:rsid w:val="00E23241"/>
    <w:rsid w:val="00E25CFA"/>
    <w:rsid w:val="00E260FB"/>
    <w:rsid w:val="00E2663F"/>
    <w:rsid w:val="00E2775F"/>
    <w:rsid w:val="00E3046D"/>
    <w:rsid w:val="00E30692"/>
    <w:rsid w:val="00E31A00"/>
    <w:rsid w:val="00E32B05"/>
    <w:rsid w:val="00E33621"/>
    <w:rsid w:val="00E3442D"/>
    <w:rsid w:val="00E3495B"/>
    <w:rsid w:val="00E34B9A"/>
    <w:rsid w:val="00E35ABF"/>
    <w:rsid w:val="00E36AAB"/>
    <w:rsid w:val="00E40D4B"/>
    <w:rsid w:val="00E40FBA"/>
    <w:rsid w:val="00E42D56"/>
    <w:rsid w:val="00E439FB"/>
    <w:rsid w:val="00E43DEA"/>
    <w:rsid w:val="00E44A83"/>
    <w:rsid w:val="00E44D5C"/>
    <w:rsid w:val="00E45212"/>
    <w:rsid w:val="00E462FF"/>
    <w:rsid w:val="00E46393"/>
    <w:rsid w:val="00E46E0D"/>
    <w:rsid w:val="00E523A2"/>
    <w:rsid w:val="00E52A1C"/>
    <w:rsid w:val="00E542F5"/>
    <w:rsid w:val="00E55DEC"/>
    <w:rsid w:val="00E60242"/>
    <w:rsid w:val="00E60668"/>
    <w:rsid w:val="00E62D9D"/>
    <w:rsid w:val="00E6450B"/>
    <w:rsid w:val="00E6531F"/>
    <w:rsid w:val="00E656DA"/>
    <w:rsid w:val="00E674BE"/>
    <w:rsid w:val="00E701E5"/>
    <w:rsid w:val="00E7049F"/>
    <w:rsid w:val="00E70F33"/>
    <w:rsid w:val="00E72077"/>
    <w:rsid w:val="00E74AA3"/>
    <w:rsid w:val="00E74BD5"/>
    <w:rsid w:val="00E76A64"/>
    <w:rsid w:val="00E76D8B"/>
    <w:rsid w:val="00E805A1"/>
    <w:rsid w:val="00E815C8"/>
    <w:rsid w:val="00E82D62"/>
    <w:rsid w:val="00E8320F"/>
    <w:rsid w:val="00E844EA"/>
    <w:rsid w:val="00E905B5"/>
    <w:rsid w:val="00E95A84"/>
    <w:rsid w:val="00E9782A"/>
    <w:rsid w:val="00E978D4"/>
    <w:rsid w:val="00E9792F"/>
    <w:rsid w:val="00E97B6E"/>
    <w:rsid w:val="00EA337D"/>
    <w:rsid w:val="00EA34EF"/>
    <w:rsid w:val="00EA45C6"/>
    <w:rsid w:val="00EA549C"/>
    <w:rsid w:val="00EA63A7"/>
    <w:rsid w:val="00EA6778"/>
    <w:rsid w:val="00EB12DA"/>
    <w:rsid w:val="00EB247F"/>
    <w:rsid w:val="00EB5FF1"/>
    <w:rsid w:val="00EC3814"/>
    <w:rsid w:val="00EC57B8"/>
    <w:rsid w:val="00EC7288"/>
    <w:rsid w:val="00EC72B5"/>
    <w:rsid w:val="00EC7F83"/>
    <w:rsid w:val="00ED0029"/>
    <w:rsid w:val="00ED1D4F"/>
    <w:rsid w:val="00ED34E3"/>
    <w:rsid w:val="00ED3919"/>
    <w:rsid w:val="00ED4FAC"/>
    <w:rsid w:val="00ED5F44"/>
    <w:rsid w:val="00ED7489"/>
    <w:rsid w:val="00ED7EE0"/>
    <w:rsid w:val="00EE018E"/>
    <w:rsid w:val="00EE0272"/>
    <w:rsid w:val="00EE1532"/>
    <w:rsid w:val="00EE274A"/>
    <w:rsid w:val="00EE5D03"/>
    <w:rsid w:val="00EE6B71"/>
    <w:rsid w:val="00EF1EBC"/>
    <w:rsid w:val="00EF21F4"/>
    <w:rsid w:val="00EF2247"/>
    <w:rsid w:val="00EF55DB"/>
    <w:rsid w:val="00EF6DE3"/>
    <w:rsid w:val="00F02421"/>
    <w:rsid w:val="00F035E7"/>
    <w:rsid w:val="00F04916"/>
    <w:rsid w:val="00F04B9D"/>
    <w:rsid w:val="00F05491"/>
    <w:rsid w:val="00F0595F"/>
    <w:rsid w:val="00F0598F"/>
    <w:rsid w:val="00F06A16"/>
    <w:rsid w:val="00F06CAF"/>
    <w:rsid w:val="00F06F88"/>
    <w:rsid w:val="00F0779C"/>
    <w:rsid w:val="00F11102"/>
    <w:rsid w:val="00F15AEE"/>
    <w:rsid w:val="00F15C5C"/>
    <w:rsid w:val="00F219D8"/>
    <w:rsid w:val="00F236BF"/>
    <w:rsid w:val="00F24B8C"/>
    <w:rsid w:val="00F26176"/>
    <w:rsid w:val="00F26679"/>
    <w:rsid w:val="00F26F9C"/>
    <w:rsid w:val="00F30206"/>
    <w:rsid w:val="00F338B6"/>
    <w:rsid w:val="00F33DD6"/>
    <w:rsid w:val="00F346F2"/>
    <w:rsid w:val="00F36F07"/>
    <w:rsid w:val="00F3760C"/>
    <w:rsid w:val="00F402B4"/>
    <w:rsid w:val="00F436B3"/>
    <w:rsid w:val="00F43765"/>
    <w:rsid w:val="00F4393C"/>
    <w:rsid w:val="00F44953"/>
    <w:rsid w:val="00F46737"/>
    <w:rsid w:val="00F46C70"/>
    <w:rsid w:val="00F5019E"/>
    <w:rsid w:val="00F50A63"/>
    <w:rsid w:val="00F52595"/>
    <w:rsid w:val="00F53092"/>
    <w:rsid w:val="00F530FC"/>
    <w:rsid w:val="00F54BD3"/>
    <w:rsid w:val="00F55A81"/>
    <w:rsid w:val="00F56693"/>
    <w:rsid w:val="00F569EE"/>
    <w:rsid w:val="00F6042A"/>
    <w:rsid w:val="00F61989"/>
    <w:rsid w:val="00F61D97"/>
    <w:rsid w:val="00F61DCA"/>
    <w:rsid w:val="00F65F73"/>
    <w:rsid w:val="00F6635F"/>
    <w:rsid w:val="00F668A9"/>
    <w:rsid w:val="00F66966"/>
    <w:rsid w:val="00F66D25"/>
    <w:rsid w:val="00F70A71"/>
    <w:rsid w:val="00F73235"/>
    <w:rsid w:val="00F74517"/>
    <w:rsid w:val="00F83B82"/>
    <w:rsid w:val="00F84DB6"/>
    <w:rsid w:val="00F85DB9"/>
    <w:rsid w:val="00F85FFB"/>
    <w:rsid w:val="00F86234"/>
    <w:rsid w:val="00F90167"/>
    <w:rsid w:val="00F90730"/>
    <w:rsid w:val="00F90D56"/>
    <w:rsid w:val="00F92588"/>
    <w:rsid w:val="00F92767"/>
    <w:rsid w:val="00F93C47"/>
    <w:rsid w:val="00F9445C"/>
    <w:rsid w:val="00F94B28"/>
    <w:rsid w:val="00F94CCC"/>
    <w:rsid w:val="00F95B1B"/>
    <w:rsid w:val="00FA140A"/>
    <w:rsid w:val="00FA1799"/>
    <w:rsid w:val="00FA2194"/>
    <w:rsid w:val="00FA5114"/>
    <w:rsid w:val="00FA5FB3"/>
    <w:rsid w:val="00FA66AD"/>
    <w:rsid w:val="00FA6897"/>
    <w:rsid w:val="00FA740A"/>
    <w:rsid w:val="00FA75B4"/>
    <w:rsid w:val="00FA7BBB"/>
    <w:rsid w:val="00FA7C26"/>
    <w:rsid w:val="00FB03A0"/>
    <w:rsid w:val="00FB2C53"/>
    <w:rsid w:val="00FB2DC0"/>
    <w:rsid w:val="00FB3AB3"/>
    <w:rsid w:val="00FB649C"/>
    <w:rsid w:val="00FB787B"/>
    <w:rsid w:val="00FB7DC9"/>
    <w:rsid w:val="00FC05C0"/>
    <w:rsid w:val="00FC2C8B"/>
    <w:rsid w:val="00FC2FDA"/>
    <w:rsid w:val="00FC3402"/>
    <w:rsid w:val="00FC451C"/>
    <w:rsid w:val="00FC4943"/>
    <w:rsid w:val="00FC5829"/>
    <w:rsid w:val="00FD0860"/>
    <w:rsid w:val="00FD0B58"/>
    <w:rsid w:val="00FD2788"/>
    <w:rsid w:val="00FD30D1"/>
    <w:rsid w:val="00FD3933"/>
    <w:rsid w:val="00FD6EF6"/>
    <w:rsid w:val="00FD77AF"/>
    <w:rsid w:val="00FE17F4"/>
    <w:rsid w:val="00FE3188"/>
    <w:rsid w:val="00FE53D4"/>
    <w:rsid w:val="00FE58A5"/>
    <w:rsid w:val="00FE7D23"/>
    <w:rsid w:val="00FF038A"/>
    <w:rsid w:val="00FF17D2"/>
    <w:rsid w:val="00FF3BD1"/>
    <w:rsid w:val="00FF407C"/>
    <w:rsid w:val="00FF47F5"/>
    <w:rsid w:val="00FF4857"/>
    <w:rsid w:val="00FF5986"/>
    <w:rsid w:val="00FF6EF1"/>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A884DDE7-821F-462F-8B19-8765E6D5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4"/>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4F4327"/>
    <w:pPr>
      <w:keepNext/>
      <w:keepLines/>
      <w:numPr>
        <w:ilvl w:val="1"/>
        <w:numId w:val="4"/>
      </w:numPr>
      <w:tabs>
        <w:tab w:val="left" w:pos="3690"/>
      </w:tabs>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4F4327"/>
    <w:pPr>
      <w:keepNext/>
      <w:keepLines/>
      <w:numPr>
        <w:ilvl w:val="2"/>
        <w:numId w:val="4"/>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E25CFA"/>
    <w:pPr>
      <w:keepNext/>
      <w:keepLines/>
      <w:spacing w:before="20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4F4327"/>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4F4327"/>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customStyle="1" w:styleId="UnresolvedMention1">
    <w:name w:val="Unresolved Mention1"/>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table" w:styleId="MediumGrid3-Accent5">
    <w:name w:val="Medium Grid 3 Accent 5"/>
    <w:basedOn w:val="TableNormal"/>
    <w:uiPriority w:val="69"/>
    <w:rsid w:val="00873C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UnresolvedMention">
    <w:name w:val="Unresolved Mention"/>
    <w:basedOn w:val="DefaultParagraphFont"/>
    <w:uiPriority w:val="99"/>
    <w:semiHidden/>
    <w:unhideWhenUsed/>
    <w:rsid w:val="002A2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83869119">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060054068">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58707428">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542552854">
      <w:bodyDiv w:val="1"/>
      <w:marLeft w:val="0"/>
      <w:marRight w:val="0"/>
      <w:marTop w:val="0"/>
      <w:marBottom w:val="0"/>
      <w:divBdr>
        <w:top w:val="none" w:sz="0" w:space="0" w:color="auto"/>
        <w:left w:val="none" w:sz="0" w:space="0" w:color="auto"/>
        <w:bottom w:val="none" w:sz="0" w:space="0" w:color="auto"/>
        <w:right w:val="none" w:sz="0" w:space="0" w:color="auto"/>
      </w:divBdr>
    </w:div>
    <w:div w:id="1621447834">
      <w:bodyDiv w:val="1"/>
      <w:marLeft w:val="0"/>
      <w:marRight w:val="0"/>
      <w:marTop w:val="0"/>
      <w:marBottom w:val="0"/>
      <w:divBdr>
        <w:top w:val="none" w:sz="0" w:space="0" w:color="auto"/>
        <w:left w:val="none" w:sz="0" w:space="0" w:color="auto"/>
        <w:bottom w:val="none" w:sz="0" w:space="0" w:color="auto"/>
        <w:right w:val="none" w:sz="0" w:space="0" w:color="auto"/>
      </w:divBdr>
    </w:div>
    <w:div w:id="1625501137">
      <w:bodyDiv w:val="1"/>
      <w:marLeft w:val="0"/>
      <w:marRight w:val="0"/>
      <w:marTop w:val="0"/>
      <w:marBottom w:val="0"/>
      <w:divBdr>
        <w:top w:val="none" w:sz="0" w:space="0" w:color="auto"/>
        <w:left w:val="none" w:sz="0" w:space="0" w:color="auto"/>
        <w:bottom w:val="none" w:sz="0" w:space="0" w:color="auto"/>
        <w:right w:val="none" w:sz="0" w:space="0" w:color="auto"/>
      </w:divBdr>
    </w:div>
    <w:div w:id="1669675414">
      <w:bodyDiv w:val="1"/>
      <w:marLeft w:val="0"/>
      <w:marRight w:val="0"/>
      <w:marTop w:val="0"/>
      <w:marBottom w:val="0"/>
      <w:divBdr>
        <w:top w:val="none" w:sz="0" w:space="0" w:color="auto"/>
        <w:left w:val="none" w:sz="0" w:space="0" w:color="auto"/>
        <w:bottom w:val="none" w:sz="0" w:space="0" w:color="auto"/>
        <w:right w:val="none" w:sz="0" w:space="0" w:color="auto"/>
      </w:divBdr>
    </w:div>
    <w:div w:id="1727295828">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35027651">
      <w:bodyDiv w:val="1"/>
      <w:marLeft w:val="0"/>
      <w:marRight w:val="0"/>
      <w:marTop w:val="0"/>
      <w:marBottom w:val="0"/>
      <w:divBdr>
        <w:top w:val="none" w:sz="0" w:space="0" w:color="auto"/>
        <w:left w:val="none" w:sz="0" w:space="0" w:color="auto"/>
        <w:bottom w:val="none" w:sz="0" w:space="0" w:color="auto"/>
        <w:right w:val="none" w:sz="0" w:space="0" w:color="auto"/>
      </w:divBdr>
    </w:div>
    <w:div w:id="1885825615">
      <w:bodyDiv w:val="1"/>
      <w:marLeft w:val="0"/>
      <w:marRight w:val="0"/>
      <w:marTop w:val="0"/>
      <w:marBottom w:val="0"/>
      <w:divBdr>
        <w:top w:val="none" w:sz="0" w:space="0" w:color="auto"/>
        <w:left w:val="none" w:sz="0" w:space="0" w:color="auto"/>
        <w:bottom w:val="none" w:sz="0" w:space="0" w:color="auto"/>
        <w:right w:val="none" w:sz="0" w:space="0" w:color="auto"/>
      </w:divBdr>
    </w:div>
    <w:div w:id="1906448823">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56666490">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130930746">
      <w:bodyDiv w:val="1"/>
      <w:marLeft w:val="0"/>
      <w:marRight w:val="0"/>
      <w:marTop w:val="0"/>
      <w:marBottom w:val="0"/>
      <w:divBdr>
        <w:top w:val="none" w:sz="0" w:space="0" w:color="auto"/>
        <w:left w:val="none" w:sz="0" w:space="0" w:color="auto"/>
        <w:bottom w:val="none" w:sz="0" w:space="0" w:color="auto"/>
        <w:right w:val="none" w:sz="0" w:space="0" w:color="auto"/>
      </w:divBdr>
    </w:div>
    <w:div w:id="214134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awdown.org" TargetMode="External"/><Relationship Id="rId18" Type="http://schemas.openxmlformats.org/officeDocument/2006/relationships/footer" Target="footer3.xml"/><Relationship Id="rId26" Type="http://schemas.openxmlformats.org/officeDocument/2006/relationships/hyperlink" Target="http://www.ahrinet.org/App_Content/ahri/files/STANDARDS/AHRI/AHRI_Standard_210-240_2017.pdf" TargetMode="External"/><Relationship Id="rId39" Type="http://schemas.openxmlformats.org/officeDocument/2006/relationships/hyperlink" Target="https://www.energystar.gov/about/federal_tax_credits/geothermal_heat_pumps" TargetMode="External"/><Relationship Id="rId21" Type="http://schemas.openxmlformats.org/officeDocument/2006/relationships/image" Target="media/image3.png"/><Relationship Id="rId34" Type="http://schemas.openxmlformats.org/officeDocument/2006/relationships/hyperlink" Target="https://www.ehpa.org/fileadmin/red/07._Market_Data/2014/EHPA_European_Heat_Pump_Market_and_Statistics_Report_2015_-_executive_Summary.pdf" TargetMode="External"/><Relationship Id="rId42" Type="http://schemas.openxmlformats.org/officeDocument/2006/relationships/hyperlink" Target="https://doi.org/10.2172/1034232" TargetMode="External"/><Relationship Id="rId47" Type="http://schemas.openxmlformats.org/officeDocument/2006/relationships/hyperlink" Target="https://doi.org/10.2172/989422" TargetMode="External"/><Relationship Id="rId50" Type="http://schemas.openxmlformats.org/officeDocument/2006/relationships/hyperlink" Target="http://www.hpt-annex46.org/published-papers-participants/" TargetMode="External"/><Relationship Id="rId55" Type="http://schemas.openxmlformats.org/officeDocument/2006/relationships/hyperlink" Target="https://www.nrel.gov/docs/fy18osti/70485.pdf" TargetMode="External"/><Relationship Id="rId63" Type="http://schemas.openxmlformats.org/officeDocument/2006/relationships/hyperlink" Target="http://news.mehvac.com/Bulletins/Qualified_Systems.pdf" TargetMode="External"/><Relationship Id="rId68" Type="http://schemas.openxmlformats.org/officeDocument/2006/relationships/hyperlink" Target="https://doi.org/10.1016/j.techfore.2013.09.016" TargetMode="External"/><Relationship Id="rId76" Type="http://schemas.openxmlformats.org/officeDocument/2006/relationships/hyperlink" Target="https://www.regulations.gov/document?D=EERE-2014-BT-STD-0048-0029" TargetMode="External"/><Relationship Id="rId84" Type="http://schemas.openxmlformats.org/officeDocument/2006/relationships/hyperlink" Target="https://www.eia.gov/consumption/residential/" TargetMode="Externa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eetd.lbl.gov/sites/all/files/lbnl&#8208;1003671_0.pdf"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www.ahrinet.org/Resources/Statistics/Historical-Data/Central-Air-Conditioners-and-Air-Source-Heat-Pumps" TargetMode="External"/><Relationship Id="rId11" Type="http://schemas.openxmlformats.org/officeDocument/2006/relationships/hyperlink" Target="http://www.drawdown.org" TargetMode="External"/><Relationship Id="rId24" Type="http://schemas.openxmlformats.org/officeDocument/2006/relationships/image" Target="media/image6.png"/><Relationship Id="rId32" Type="http://schemas.openxmlformats.org/officeDocument/2006/relationships/hyperlink" Target="https://www.researchgate.net/publication/317091319_Performance_evaluation_of_a_Heat_Pump_Water_Heater_by_means_of_thermodynamic_simulation" TargetMode="External"/><Relationship Id="rId37" Type="http://schemas.openxmlformats.org/officeDocument/2006/relationships/hyperlink" Target="https://www.energystar.gov/sites/default/files/CAC_ASHP_GHP%20ENERGY%20STAR%20Most%20Efficient%202018%20Final%20Criteria.pdf" TargetMode="External"/><Relationship Id="rId40" Type="http://schemas.openxmlformats.org/officeDocument/2006/relationships/hyperlink" Target="https://www.energystar.gov/products/how-product-earns-energy-star-label" TargetMode="External"/><Relationship Id="rId45" Type="http://schemas.openxmlformats.org/officeDocument/2006/relationships/hyperlink" Target="https://www.energy.gov/eere/femp/incorporate-minimum-efficiency-requirements-heating-and-cooling-products-federal" TargetMode="External"/><Relationship Id="rId53" Type="http://schemas.openxmlformats.org/officeDocument/2006/relationships/hyperlink" Target="https://www.iea.org/exchange/cooling/" TargetMode="External"/><Relationship Id="rId58" Type="http://schemas.openxmlformats.org/officeDocument/2006/relationships/hyperlink" Target="https://www.johnsoncontrols.com/en_sg/-/media/jci/be/united-states/airside-systems/variable-air-volume-terminals/files/be_brochure_fanpoweredvavterminal.pdf?la=en&amp;hash=C78F55872C1C449EC7B8C2A28231B5975F636EA7" TargetMode="External"/><Relationship Id="rId66" Type="http://schemas.openxmlformats.org/officeDocument/2006/relationships/hyperlink" Target="https://basc.pnnl.gov/resource-guides/traditional-split-heat-pumps" TargetMode="External"/><Relationship Id="rId74" Type="http://schemas.openxmlformats.org/officeDocument/2006/relationships/hyperlink" Target="https://www.nrel.gov/docs/fy14osti/60187.pdf" TargetMode="External"/><Relationship Id="rId79" Type="http://schemas.openxmlformats.org/officeDocument/2006/relationships/hyperlink" Target="https://www.regulations.gov/document?D=EERE-2014-BT-STD-0031-0032" TargetMode="External"/><Relationship Id="rId87" Type="http://schemas.openxmlformats.org/officeDocument/2006/relationships/hyperlink" Target="https://en.wikipedia.org/w/index.php?title=Seasonal_energy_efficiency_ratio&amp;oldid=863489663" TargetMode="External"/><Relationship Id="rId5" Type="http://schemas.openxmlformats.org/officeDocument/2006/relationships/settings" Target="settings.xml"/><Relationship Id="rId61" Type="http://schemas.openxmlformats.org/officeDocument/2006/relationships/hyperlink" Target="http://hpc2017.org/wp-content/uploads/2017/05/P.2.1.3-Heat-Pumps-in-North-America-%E2%80%93-2017-Regional-Report.pdf" TargetMode="External"/><Relationship Id="rId82" Type="http://schemas.openxmlformats.org/officeDocument/2006/relationships/hyperlink" Target="https://www.regulations.gov/document?D=EERE-2014-BT-STD-0048-0102" TargetMode="External"/><Relationship Id="rId90" Type="http://schemas.microsoft.com/office/2018/08/relationships/commentsExtensible" Target="commentsExtensible.xml"/><Relationship Id="rId19" Type="http://schemas.openxmlformats.org/officeDocument/2006/relationships/hyperlink" Target="http://www.drawdown.or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www.ahrinet.org/App_Content/ahri/files/STANDARDS/AHRI/AHRI_Standard_310-380_2017_CSA_C744_17.pdf" TargetMode="External"/><Relationship Id="rId30" Type="http://schemas.openxmlformats.org/officeDocument/2006/relationships/hyperlink" Target="https://secure.iiasa.ac.at/web-apps/ene/AMPEREDB" TargetMode="External"/><Relationship Id="rId35" Type="http://schemas.openxmlformats.org/officeDocument/2006/relationships/hyperlink" Target="https://www.ehpa.org/market-data/the-industry-in-a-nutshell/" TargetMode="External"/><Relationship Id="rId43" Type="http://schemas.openxmlformats.org/officeDocument/2006/relationships/hyperlink" Target="http://ec.europa.eu/smart-regulation/impact/ia_carried_out/docs/ia_2014/swd_2014_0015_en.pdf" TargetMode="External"/><Relationship Id="rId48" Type="http://schemas.openxmlformats.org/officeDocument/2006/relationships/hyperlink" Target="https://heatpumpingtechnologies.org/market-technology/efficiency-heat-pumps/" TargetMode="External"/><Relationship Id="rId56" Type="http://schemas.openxmlformats.org/officeDocument/2006/relationships/hyperlink" Target="https://doi.org/10.7799/1414279" TargetMode="External"/><Relationship Id="rId64" Type="http://schemas.openxmlformats.org/officeDocument/2006/relationships/hyperlink" Target="https://www.eia.gov/analysis/studies/buildings/equipcosts/archive/2016/pdf/full.pdf" TargetMode="External"/><Relationship Id="rId69" Type="http://schemas.openxmlformats.org/officeDocument/2006/relationships/hyperlink" Target="https://doi.org/10.1016/j.energy.2016.12.080" TargetMode="External"/><Relationship Id="rId77" Type="http://schemas.openxmlformats.org/officeDocument/2006/relationships/hyperlink" Target="https://www.regulations.gov/document?D=EERE-2014-BT-STD-0048-0029" TargetMode="External"/><Relationship Id="rId8" Type="http://schemas.openxmlformats.org/officeDocument/2006/relationships/endnotes" Target="endnotes.xml"/><Relationship Id="rId51" Type="http://schemas.openxmlformats.org/officeDocument/2006/relationships/hyperlink" Target="http://iea-etsap.org/E-TechDS/PDF/E19IR_Heat%20Pumps_HN_Jan2013_GSOK.pdf" TargetMode="External"/><Relationship Id="rId72" Type="http://schemas.openxmlformats.org/officeDocument/2006/relationships/hyperlink" Target="https://sustainable.stanford.edu/campus-action/stanford-energy-system-innovations-sesi" TargetMode="External"/><Relationship Id="rId80" Type="http://schemas.openxmlformats.org/officeDocument/2006/relationships/hyperlink" Target="https://www.eia.gov/consumption/commercial/data/2012/index.php?view=characteristics" TargetMode="External"/><Relationship Id="rId85" Type="http://schemas.openxmlformats.org/officeDocument/2006/relationships/hyperlink" Target="https://www.gpo.gov/fdsys/pkg/CFR-2018-title10-vol3/xml/CFR-2018-title10-vol3-part430.xml" TargetMode="External"/><Relationship Id="rId3" Type="http://schemas.openxmlformats.org/officeDocument/2006/relationships/numbering" Target="numbering.xml"/><Relationship Id="rId12" Type="http://schemas.openxmlformats.org/officeDocument/2006/relationships/hyperlink" Target="mailto:info@drawdown.org" TargetMode="External"/><Relationship Id="rId17" Type="http://schemas.openxmlformats.org/officeDocument/2006/relationships/hyperlink" Target="https://creativecommons.org/licenses/by-sa/4.0" TargetMode="External"/><Relationship Id="rId25" Type="http://schemas.openxmlformats.org/officeDocument/2006/relationships/hyperlink" Target="http://www.ahrinet.org/App_Content/ahri/files/STANDARDS/AHRI/AHRI_Standard_340-360_2015.pdf" TargetMode="External"/><Relationship Id="rId33" Type="http://schemas.openxmlformats.org/officeDocument/2006/relationships/hyperlink" Target="https://www.ehpa.org/fileadmin/red/07._Market_Data/2013/EHPA_Statistics_Report_2014_ONLINE_VERSION.pdf" TargetMode="External"/><Relationship Id="rId38" Type="http://schemas.openxmlformats.org/officeDocument/2006/relationships/hyperlink" Target="https://www.energystar.gov/index.cfm?c=most_efficient.me_cac_ashp" TargetMode="External"/><Relationship Id="rId46" Type="http://schemas.openxmlformats.org/officeDocument/2006/relationships/hyperlink" Target="https://doi.org/10.2172/1420235" TargetMode="External"/><Relationship Id="rId59" Type="http://schemas.openxmlformats.org/officeDocument/2006/relationships/hyperlink" Target="https://www.rehva.eu/fileadmin/REHVA_Journal/REHVA_Journal_2014/RJ_issue_2/P.32/32-35_SeasonalEfficiency_RJ1402_WEB.pdf" TargetMode="External"/><Relationship Id="rId67" Type="http://schemas.openxmlformats.org/officeDocument/2006/relationships/hyperlink" Target="http://www.hpt-annex46.org/wp-content/uploads/2018/04/Task-4-HPT-Annex-46-RD-Overview-France.pdf" TargetMode="External"/><Relationship Id="rId20" Type="http://schemas.openxmlformats.org/officeDocument/2006/relationships/hyperlink" Target="http://www.drawdown.org" TargetMode="External"/><Relationship Id="rId41" Type="http://schemas.openxmlformats.org/officeDocument/2006/relationships/hyperlink" Target="https://www.energystar.gov/products/heating_cooling/air_conditioning_room/key_product_criteria" TargetMode="External"/><Relationship Id="rId54" Type="http://schemas.openxmlformats.org/officeDocument/2006/relationships/hyperlink" Target="https://www.nrel.gov/docs/fy18osti/70485.pdf" TargetMode="External"/><Relationship Id="rId62" Type="http://schemas.openxmlformats.org/officeDocument/2006/relationships/hyperlink" Target="https://doi.org/10.1115/1.3267623" TargetMode="External"/><Relationship Id="rId70" Type="http://schemas.openxmlformats.org/officeDocument/2006/relationships/hyperlink" Target="http://www.hpt-annex46.org/wp-content/uploads/2017/05/2016-02-Nikhilkumar-Shah-Ulster-CST.pdf" TargetMode="External"/><Relationship Id="rId75" Type="http://schemas.openxmlformats.org/officeDocument/2006/relationships/hyperlink" Target="https://www.energy.gov/sites/prod/files/2015/11/f27/CAC%20Brochure.pdf" TargetMode="External"/><Relationship Id="rId83" Type="http://schemas.openxmlformats.org/officeDocument/2006/relationships/hyperlink" Target="https://www.regulations.gov/document?D=EERE-2014-BT-STD-0048-0200"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yperlink" Target="http://www.ahrinet.org/App_Content/ahri/files/standards%20pdfs/ANSI%20standards%20pdfs/ANSI.AHRI%20Standard%20210.240%20with%20Addenda%201%20and%202.pdf" TargetMode="External"/><Relationship Id="rId36" Type="http://schemas.openxmlformats.org/officeDocument/2006/relationships/hyperlink" Target="https://www.energystar.gov/products/heating_cooling/heat_pumps_air_source/key_product_criteria" TargetMode="External"/><Relationship Id="rId49" Type="http://schemas.openxmlformats.org/officeDocument/2006/relationships/hyperlink" Target="https://heatpumpingtechnologies.org/market-technology/heat-pump-work/" TargetMode="External"/><Relationship Id="rId57" Type="http://schemas.openxmlformats.org/officeDocument/2006/relationships/hyperlink" Target="https://doi.org/10.7799/1461483" TargetMode="External"/><Relationship Id="rId10" Type="http://schemas.openxmlformats.org/officeDocument/2006/relationships/hyperlink" Target="mailto:info@drawdown.org" TargetMode="External"/><Relationship Id="rId31" Type="http://schemas.openxmlformats.org/officeDocument/2006/relationships/hyperlink" Target="https://doi.org/10.1016/j.esr.2013.12.007" TargetMode="External"/><Relationship Id="rId44" Type="http://schemas.openxmlformats.org/officeDocument/2006/relationships/hyperlink" Target="http://www.fsec.ucf.edu/en/publications/html/FSEC-PF-413-04/" TargetMode="External"/><Relationship Id="rId52" Type="http://schemas.openxmlformats.org/officeDocument/2006/relationships/hyperlink" Target="https://www.iea.org/tcep/buildings/cooling/" TargetMode="External"/><Relationship Id="rId60" Type="http://schemas.openxmlformats.org/officeDocument/2006/relationships/hyperlink" Target="https://www.rehva.eu/fileadmin/REHVA_Journal/REHVA_Journal_2018/RJ1/RJ.76-79/76-79_RJ1801.pdf" TargetMode="External"/><Relationship Id="rId65" Type="http://schemas.openxmlformats.org/officeDocument/2006/relationships/hyperlink" Target="https://www.researchgate.net/publication/281745223_European_Mapping_of_Seasonal_Performances_of_Air-source_and_Geothermal_Heat_Pumps_for_Residential_Applications" TargetMode="External"/><Relationship Id="rId73" Type="http://schemas.openxmlformats.org/officeDocument/2006/relationships/hyperlink" Target="https://doi.org/10.1016/j.rser.2014.08.039" TargetMode="External"/><Relationship Id="rId78" Type="http://schemas.openxmlformats.org/officeDocument/2006/relationships/hyperlink" Target="https://www.regulations.gov/document?D=EERE-2012-BT-STD-0047-0070" TargetMode="External"/><Relationship Id="rId81" Type="http://schemas.openxmlformats.org/officeDocument/2006/relationships/hyperlink" Target="https://www.regulations.gov/document?D=EERE-2011-BT-CE-0077-0102" TargetMode="External"/><Relationship Id="rId86" Type="http://schemas.openxmlformats.org/officeDocument/2006/relationships/hyperlink" Target="https://doi.org/10.2172/10345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CED5231-3A4E-4119-AB53-9C9680B9D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41</TotalTime>
  <Pages>70</Pages>
  <Words>23108</Words>
  <Characters>131719</Characters>
  <Application>Microsoft Office Word</Application>
  <DocSecurity>0</DocSecurity>
  <Lines>1097</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lastModifiedBy>Ryan Allard</cp:lastModifiedBy>
  <cp:revision>8</cp:revision>
  <cp:lastPrinted>2019-09-12T14:40:00Z</cp:lastPrinted>
  <dcterms:created xsi:type="dcterms:W3CDTF">2020-06-06T02:18:00Z</dcterms:created>
  <dcterms:modified xsi:type="dcterms:W3CDTF">2020-06-06T02:50:00Z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