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0861DCFD" w:rsidR="00C81D94" w:rsidRPr="000829DC" w:rsidRDefault="00630CD1" w:rsidP="00EB247F">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601915" w:rsidRPr="00E91BE1" w:rsidRDefault="00601915"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10C450E2" w:rsidR="00601915" w:rsidRPr="00E91BE1" w:rsidRDefault="00601915"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Residential LED Lighting</w:t>
                            </w:r>
                          </w:p>
                          <w:p w14:paraId="6774E85B" w14:textId="77777777" w:rsidR="00601915" w:rsidRPr="00EB247F" w:rsidRDefault="00601915" w:rsidP="00EB247F">
                            <w:pPr>
                              <w:spacing w:line="240" w:lineRule="auto"/>
                              <w:jc w:val="center"/>
                              <w:rPr>
                                <w:rFonts w:cs="Times New Roman"/>
                                <w:smallCaps/>
                                <w:color w:val="404040" w:themeColor="text1" w:themeTint="BF"/>
                                <w:sz w:val="36"/>
                                <w:szCs w:val="36"/>
                              </w:rPr>
                            </w:pPr>
                          </w:p>
                          <w:p w14:paraId="4699D449" w14:textId="27F690B9" w:rsidR="00601915" w:rsidRPr="00E91BE1" w:rsidRDefault="00601915"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Buildings</w:t>
                            </w:r>
                          </w:p>
                          <w:p w14:paraId="1671E118" w14:textId="1AFE0315" w:rsidR="00601915" w:rsidRPr="00E91BE1" w:rsidRDefault="00601915"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Building Owners</w:t>
                            </w:r>
                          </w:p>
                          <w:p w14:paraId="29D510C4" w14:textId="0D9BF1BE" w:rsidR="00601915" w:rsidRPr="00E91BE1" w:rsidRDefault="00601915"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r w:rsidRPr="00476FC7">
                              <w:rPr>
                                <w:rFonts w:cs="Times New Roman"/>
                                <w:smallCaps/>
                                <w:color w:val="404040" w:themeColor="text1" w:themeTint="BF"/>
                                <w:sz w:val="36"/>
                                <w:szCs w:val="36"/>
                              </w:rPr>
                              <w:t>LED, Lighting, Lamps, Households, Energy Saving, Luminous Efficacy, Light Sources</w:t>
                            </w:r>
                          </w:p>
                          <w:p w14:paraId="6DF0E7C6" w14:textId="77777777" w:rsidR="00601915" w:rsidRDefault="00601915" w:rsidP="00FB2C53"/>
                          <w:p w14:paraId="4DF87617" w14:textId="77777777" w:rsidR="00601915" w:rsidRDefault="00601915" w:rsidP="00FB2C53"/>
                          <w:p w14:paraId="4FD71E35" w14:textId="77777777" w:rsidR="00601915" w:rsidRDefault="00601915" w:rsidP="00FB2C53"/>
                          <w:p w14:paraId="0AAEA688" w14:textId="77777777" w:rsidR="00601915" w:rsidRDefault="00601915" w:rsidP="00FB2C53"/>
                          <w:p w14:paraId="693769A0" w14:textId="7ACB9FFD" w:rsidR="00601915" w:rsidRPr="00E91BE1" w:rsidRDefault="006F1368"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w:t>
                            </w:r>
                            <w:r w:rsidR="00601915" w:rsidRPr="00E91BE1">
                              <w:rPr>
                                <w:rFonts w:cs="Times New Roman"/>
                                <w:smallCaps/>
                                <w:color w:val="404040" w:themeColor="text1" w:themeTint="BF"/>
                                <w:sz w:val="36"/>
                                <w:szCs w:val="36"/>
                              </w:rPr>
                              <w:t xml:space="preserve"> 1</w:t>
                            </w:r>
                          </w:p>
                          <w:p w14:paraId="0DDBFE23" w14:textId="77777777" w:rsidR="00601915" w:rsidRPr="000829DC" w:rsidRDefault="00601915" w:rsidP="00FB2C53"/>
                          <w:p w14:paraId="4BB1447A" w14:textId="77777777" w:rsidR="00601915" w:rsidRDefault="00601915" w:rsidP="00FB2C53"/>
                          <w:p w14:paraId="7DCFFDCF" w14:textId="77777777" w:rsidR="00601915" w:rsidRDefault="00601915" w:rsidP="00FB2C53"/>
                          <w:p w14:paraId="2F48DE38" w14:textId="77777777" w:rsidR="00601915" w:rsidRPr="000829DC" w:rsidRDefault="00601915" w:rsidP="00FB2C53"/>
                          <w:p w14:paraId="1981D31A" w14:textId="77777777" w:rsidR="00601915" w:rsidRPr="00E91BE1" w:rsidRDefault="00601915"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0FF74DE4" w14:textId="5A1774F2" w:rsidR="00601915" w:rsidRDefault="00601915" w:rsidP="00476FC7">
                            <w:pPr>
                              <w:spacing w:after="0" w:line="240" w:lineRule="auto"/>
                              <w:rPr>
                                <w:smallCaps/>
                                <w:color w:val="404040" w:themeColor="text1" w:themeTint="BF"/>
                                <w:sz w:val="28"/>
                                <w:szCs w:val="28"/>
                              </w:rPr>
                            </w:pPr>
                            <w:r w:rsidRPr="00476FC7">
                              <w:rPr>
                                <w:rFonts w:cs="Times New Roman"/>
                                <w:smallCaps/>
                                <w:color w:val="404040" w:themeColor="text1" w:themeTint="BF"/>
                                <w:sz w:val="28"/>
                                <w:szCs w:val="28"/>
                              </w:rPr>
                              <w:t>Leena Tähkämö</w:t>
                            </w:r>
                            <w:r w:rsidRPr="000829DC">
                              <w:rPr>
                                <w:smallCaps/>
                                <w:color w:val="404040" w:themeColor="text1" w:themeTint="BF"/>
                                <w:sz w:val="28"/>
                                <w:szCs w:val="28"/>
                              </w:rPr>
                              <w:t xml:space="preserve">, Research Fellow </w:t>
                            </w:r>
                          </w:p>
                          <w:p w14:paraId="50EE54EF" w14:textId="6BB777B7" w:rsidR="00601915" w:rsidRPr="00C644FD" w:rsidRDefault="00601915" w:rsidP="00476FC7">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Barbara Rodriguez Droguett, research  fellow</w:t>
                            </w:r>
                          </w:p>
                          <w:p w14:paraId="1D73E252" w14:textId="77777777" w:rsidR="00601915" w:rsidRPr="008C17C4" w:rsidRDefault="00601915" w:rsidP="00476FC7">
                            <w:pPr>
                              <w:rPr>
                                <w:smallCaps/>
                                <w:color w:val="404040" w:themeColor="text1" w:themeTint="BF"/>
                                <w:sz w:val="28"/>
                                <w:szCs w:val="28"/>
                              </w:rPr>
                            </w:pPr>
                            <w:bookmarkStart w:id="0" w:name="_Hlk7112557"/>
                            <w:r w:rsidRPr="00476FC7">
                              <w:rPr>
                                <w:rFonts w:cs="Times New Roman"/>
                                <w:smallCaps/>
                                <w:color w:val="404040" w:themeColor="text1" w:themeTint="BF"/>
                                <w:sz w:val="28"/>
                                <w:szCs w:val="28"/>
                              </w:rPr>
                              <w:t>Ryan Allard</w:t>
                            </w:r>
                            <w:r w:rsidRPr="008C17C4">
                              <w:rPr>
                                <w:smallCaps/>
                                <w:color w:val="404040" w:themeColor="text1" w:themeTint="BF"/>
                                <w:sz w:val="28"/>
                                <w:szCs w:val="28"/>
                              </w:rPr>
                              <w:t>, Senior Fellow</w:t>
                            </w:r>
                          </w:p>
                          <w:bookmarkEnd w:id="0"/>
                          <w:p w14:paraId="1C3CFB47" w14:textId="77777777" w:rsidR="00601915" w:rsidRPr="00EB247F" w:rsidRDefault="00601915" w:rsidP="007864AB">
                            <w:pPr>
                              <w:rPr>
                                <w:rFonts w:cs="Times New Roman"/>
                                <w:smallCaps/>
                                <w:color w:val="404040" w:themeColor="text1" w:themeTint="BF"/>
                              </w:rPr>
                            </w:pPr>
                          </w:p>
                          <w:p w14:paraId="4481356F" w14:textId="5C443070" w:rsidR="00601915" w:rsidRPr="00EB247F" w:rsidRDefault="00601915" w:rsidP="007864AB">
                            <w:pPr>
                              <w:rPr>
                                <w:rFonts w:cs="Times New Roman"/>
                                <w:smallCaps/>
                                <w:color w:val="404040" w:themeColor="text1" w:themeTint="BF"/>
                              </w:rPr>
                            </w:pPr>
                            <w:r w:rsidRPr="00EB247F">
                              <w:rPr>
                                <w:rFonts w:cs="Times New Roman"/>
                                <w:noProof/>
                                <w:lang w:val="es-CL" w:eastAsia="es-CL"/>
                              </w:rPr>
                              <w:drawing>
                                <wp:inline distT="0" distB="0" distL="0" distR="0" wp14:anchorId="6131614C" wp14:editId="3E6E7E0C">
                                  <wp:extent cx="3203517" cy="7531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53CC925A" w:rsidR="00601915" w:rsidRPr="00941177" w:rsidRDefault="00444FB8" w:rsidP="007864AB">
                            <w:pPr>
                              <w:rPr>
                                <w:rFonts w:asciiTheme="minorHAnsi" w:hAnsiTheme="minorHAnsi"/>
                                <w:smallCaps/>
                                <w:color w:val="000000" w:themeColor="text1"/>
                                <w:sz w:val="20"/>
                                <w:szCs w:val="20"/>
                              </w:rPr>
                            </w:pPr>
                            <w:hyperlink r:id="rId10" w:history="1">
                              <w:r w:rsidR="00601915" w:rsidRPr="00941177">
                                <w:rPr>
                                  <w:rFonts w:asciiTheme="minorHAnsi" w:hAnsiTheme="minorHAnsi"/>
                                  <w:color w:val="000000" w:themeColor="text1"/>
                                </w:rPr>
                                <w:t>info@drawdown.org</w:t>
                              </w:r>
                            </w:hyperlink>
                            <w:r w:rsidR="00601915" w:rsidRPr="00941177">
                              <w:rPr>
                                <w:rFonts w:asciiTheme="minorHAnsi" w:hAnsiTheme="minorHAnsi"/>
                                <w:smallCaps/>
                                <w:color w:val="000000" w:themeColor="text1"/>
                                <w:sz w:val="20"/>
                                <w:szCs w:val="20"/>
                              </w:rPr>
                              <w:t xml:space="preserve">             </w:t>
                            </w:r>
                            <w:hyperlink r:id="rId11" w:history="1">
                              <w:r w:rsidR="00601915" w:rsidRPr="00941177">
                                <w:rPr>
                                  <w:rFonts w:asciiTheme="minorHAnsi" w:hAnsiTheme="minorHAnsi"/>
                                  <w:color w:val="000000" w:themeColor="text1"/>
                                </w:rPr>
                                <w:t>www.drawdown.org</w:t>
                              </w:r>
                            </w:hyperlink>
                            <w:r w:rsidR="00601915" w:rsidRPr="00941177">
                              <w:rPr>
                                <w:rFonts w:asciiTheme="minorHAnsi" w:hAnsiTheme="minorHAnsi"/>
                                <w:smallCaps/>
                                <w:color w:val="000000" w:themeColor="text1"/>
                                <w:sz w:val="20"/>
                                <w:szCs w:val="20"/>
                              </w:rPr>
                              <w:t xml:space="preserve">  </w:t>
                            </w:r>
                          </w:p>
                          <w:p w14:paraId="05DAFFE7" w14:textId="77777777" w:rsidR="00601915" w:rsidRPr="00941177" w:rsidRDefault="00601915" w:rsidP="00C81D94">
                            <w:pPr>
                              <w:rPr>
                                <w:rFonts w:cs="Times New Roman"/>
                                <w:smallCaps/>
                                <w:color w:val="404040" w:themeColor="text1" w:themeTint="BF"/>
                                <w:sz w:val="36"/>
                                <w:szCs w:val="36"/>
                              </w:rPr>
                            </w:pPr>
                          </w:p>
                          <w:p w14:paraId="3D97FBF6" w14:textId="77777777" w:rsidR="00601915" w:rsidRPr="00941177" w:rsidRDefault="00601915" w:rsidP="00C81D94">
                            <w:pPr>
                              <w:rPr>
                                <w:rFonts w:cs="Times New Roman"/>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" filled="f" stroked="f" strokeweight=".5pt">
                <v:textbox inset=",0,54pt,0">
                  <w:txbxContent>
                    <w:p w14:paraId="3A69A438" w14:textId="77777777" w:rsidR="00601915" w:rsidRPr="00E91BE1" w:rsidRDefault="00601915"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10C450E2" w:rsidR="00601915" w:rsidRPr="00E91BE1" w:rsidRDefault="00601915"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Residential LED Lighting</w:t>
                      </w:r>
                    </w:p>
                    <w:p w14:paraId="6774E85B" w14:textId="77777777" w:rsidR="00601915" w:rsidRPr="00EB247F" w:rsidRDefault="00601915" w:rsidP="00EB247F">
                      <w:pPr>
                        <w:spacing w:line="240" w:lineRule="auto"/>
                        <w:jc w:val="center"/>
                        <w:rPr>
                          <w:rFonts w:cs="Times New Roman"/>
                          <w:smallCaps/>
                          <w:color w:val="404040" w:themeColor="text1" w:themeTint="BF"/>
                          <w:sz w:val="36"/>
                          <w:szCs w:val="36"/>
                        </w:rPr>
                      </w:pPr>
                    </w:p>
                    <w:p w14:paraId="4699D449" w14:textId="27F690B9" w:rsidR="00601915" w:rsidRPr="00E91BE1" w:rsidRDefault="00601915"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Buildings</w:t>
                      </w:r>
                    </w:p>
                    <w:p w14:paraId="1671E118" w14:textId="1AFE0315" w:rsidR="00601915" w:rsidRPr="00E91BE1" w:rsidRDefault="00601915"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Building Owners</w:t>
                      </w:r>
                    </w:p>
                    <w:p w14:paraId="29D510C4" w14:textId="0D9BF1BE" w:rsidR="00601915" w:rsidRPr="00E91BE1" w:rsidRDefault="00601915"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r w:rsidRPr="00476FC7">
                        <w:rPr>
                          <w:rFonts w:cs="Times New Roman"/>
                          <w:smallCaps/>
                          <w:color w:val="404040" w:themeColor="text1" w:themeTint="BF"/>
                          <w:sz w:val="36"/>
                          <w:szCs w:val="36"/>
                        </w:rPr>
                        <w:t>LED, Lighting, Lamps, Households, Energy Saving, Luminous Efficacy, Light Sources</w:t>
                      </w:r>
                    </w:p>
                    <w:p w14:paraId="6DF0E7C6" w14:textId="77777777" w:rsidR="00601915" w:rsidRDefault="00601915" w:rsidP="00FB2C53"/>
                    <w:p w14:paraId="4DF87617" w14:textId="77777777" w:rsidR="00601915" w:rsidRDefault="00601915" w:rsidP="00FB2C53"/>
                    <w:p w14:paraId="4FD71E35" w14:textId="77777777" w:rsidR="00601915" w:rsidRDefault="00601915" w:rsidP="00FB2C53"/>
                    <w:p w14:paraId="0AAEA688" w14:textId="77777777" w:rsidR="00601915" w:rsidRDefault="00601915" w:rsidP="00FB2C53"/>
                    <w:p w14:paraId="693769A0" w14:textId="7ACB9FFD" w:rsidR="00601915" w:rsidRPr="00E91BE1" w:rsidRDefault="006F1368"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w:t>
                      </w:r>
                      <w:bookmarkStart w:id="2" w:name="_GoBack"/>
                      <w:bookmarkEnd w:id="2"/>
                      <w:r w:rsidR="00601915" w:rsidRPr="00E91BE1">
                        <w:rPr>
                          <w:rFonts w:cs="Times New Roman"/>
                          <w:smallCaps/>
                          <w:color w:val="404040" w:themeColor="text1" w:themeTint="BF"/>
                          <w:sz w:val="36"/>
                          <w:szCs w:val="36"/>
                        </w:rPr>
                        <w:t xml:space="preserve"> 1</w:t>
                      </w:r>
                    </w:p>
                    <w:p w14:paraId="0DDBFE23" w14:textId="77777777" w:rsidR="00601915" w:rsidRPr="000829DC" w:rsidRDefault="00601915" w:rsidP="00FB2C53"/>
                    <w:p w14:paraId="4BB1447A" w14:textId="77777777" w:rsidR="00601915" w:rsidRDefault="00601915" w:rsidP="00FB2C53"/>
                    <w:p w14:paraId="7DCFFDCF" w14:textId="77777777" w:rsidR="00601915" w:rsidRDefault="00601915" w:rsidP="00FB2C53"/>
                    <w:p w14:paraId="2F48DE38" w14:textId="77777777" w:rsidR="00601915" w:rsidRPr="000829DC" w:rsidRDefault="00601915" w:rsidP="00FB2C53"/>
                    <w:p w14:paraId="1981D31A" w14:textId="77777777" w:rsidR="00601915" w:rsidRPr="00E91BE1" w:rsidRDefault="00601915"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0FF74DE4" w14:textId="5A1774F2" w:rsidR="00601915" w:rsidRDefault="00601915" w:rsidP="00476FC7">
                      <w:pPr>
                        <w:spacing w:after="0" w:line="240" w:lineRule="auto"/>
                        <w:rPr>
                          <w:smallCaps/>
                          <w:color w:val="404040" w:themeColor="text1" w:themeTint="BF"/>
                          <w:sz w:val="28"/>
                          <w:szCs w:val="28"/>
                        </w:rPr>
                      </w:pPr>
                      <w:r w:rsidRPr="00476FC7">
                        <w:rPr>
                          <w:rFonts w:cs="Times New Roman"/>
                          <w:smallCaps/>
                          <w:color w:val="404040" w:themeColor="text1" w:themeTint="BF"/>
                          <w:sz w:val="28"/>
                          <w:szCs w:val="28"/>
                        </w:rPr>
                        <w:t>Leena Tähkämö</w:t>
                      </w:r>
                      <w:r w:rsidRPr="000829DC">
                        <w:rPr>
                          <w:smallCaps/>
                          <w:color w:val="404040" w:themeColor="text1" w:themeTint="BF"/>
                          <w:sz w:val="28"/>
                          <w:szCs w:val="28"/>
                        </w:rPr>
                        <w:t xml:space="preserve">, Research Fellow </w:t>
                      </w:r>
                    </w:p>
                    <w:p w14:paraId="50EE54EF" w14:textId="6BB777B7" w:rsidR="00601915" w:rsidRPr="00C644FD" w:rsidRDefault="00601915" w:rsidP="00476FC7">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Barbara Rodriguez Droguett, research  fellow</w:t>
                      </w:r>
                    </w:p>
                    <w:p w14:paraId="1D73E252" w14:textId="77777777" w:rsidR="00601915" w:rsidRPr="008C17C4" w:rsidRDefault="00601915" w:rsidP="00476FC7">
                      <w:pPr>
                        <w:rPr>
                          <w:smallCaps/>
                          <w:color w:val="404040" w:themeColor="text1" w:themeTint="BF"/>
                          <w:sz w:val="28"/>
                          <w:szCs w:val="28"/>
                        </w:rPr>
                      </w:pPr>
                      <w:bookmarkStart w:id="3" w:name="_Hlk7112557"/>
                      <w:r w:rsidRPr="00476FC7">
                        <w:rPr>
                          <w:rFonts w:cs="Times New Roman"/>
                          <w:smallCaps/>
                          <w:color w:val="404040" w:themeColor="text1" w:themeTint="BF"/>
                          <w:sz w:val="28"/>
                          <w:szCs w:val="28"/>
                        </w:rPr>
                        <w:t>Ryan Allard</w:t>
                      </w:r>
                      <w:r w:rsidRPr="008C17C4">
                        <w:rPr>
                          <w:smallCaps/>
                          <w:color w:val="404040" w:themeColor="text1" w:themeTint="BF"/>
                          <w:sz w:val="28"/>
                          <w:szCs w:val="28"/>
                        </w:rPr>
                        <w:t>, Senior Fellow</w:t>
                      </w:r>
                    </w:p>
                    <w:bookmarkEnd w:id="3"/>
                    <w:p w14:paraId="1C3CFB47" w14:textId="77777777" w:rsidR="00601915" w:rsidRPr="00EB247F" w:rsidRDefault="00601915" w:rsidP="007864AB">
                      <w:pPr>
                        <w:rPr>
                          <w:rFonts w:cs="Times New Roman"/>
                          <w:smallCaps/>
                          <w:color w:val="404040" w:themeColor="text1" w:themeTint="BF"/>
                        </w:rPr>
                      </w:pPr>
                    </w:p>
                    <w:p w14:paraId="4481356F" w14:textId="5C443070" w:rsidR="00601915" w:rsidRPr="00EB247F" w:rsidRDefault="00601915" w:rsidP="007864AB">
                      <w:pPr>
                        <w:rPr>
                          <w:rFonts w:cs="Times New Roman"/>
                          <w:smallCaps/>
                          <w:color w:val="404040" w:themeColor="text1" w:themeTint="BF"/>
                        </w:rPr>
                      </w:pPr>
                      <w:r w:rsidRPr="00EB247F">
                        <w:rPr>
                          <w:rFonts w:cs="Times New Roman"/>
                          <w:noProof/>
                          <w:lang w:val="es-CL" w:eastAsia="es-CL"/>
                        </w:rPr>
                        <w:drawing>
                          <wp:inline distT="0" distB="0" distL="0" distR="0" wp14:anchorId="6131614C" wp14:editId="3E6E7E0C">
                            <wp:extent cx="3203517" cy="7531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2">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53CC925A" w:rsidR="00601915" w:rsidRPr="00941177" w:rsidRDefault="00601915" w:rsidP="007864AB">
                      <w:pPr>
                        <w:rPr>
                          <w:rFonts w:asciiTheme="minorHAnsi" w:hAnsiTheme="minorHAnsi"/>
                          <w:smallCaps/>
                          <w:color w:val="000000" w:themeColor="text1"/>
                          <w:sz w:val="20"/>
                          <w:szCs w:val="20"/>
                        </w:rPr>
                      </w:pPr>
                      <w:hyperlink r:id="rId13" w:history="1">
                        <w:r w:rsidRPr="00941177">
                          <w:rPr>
                            <w:rFonts w:asciiTheme="minorHAnsi" w:hAnsiTheme="minorHAnsi"/>
                            <w:color w:val="000000" w:themeColor="text1"/>
                          </w:rPr>
                          <w:t>info@drawdown.org</w:t>
                        </w:r>
                      </w:hyperlink>
                      <w:r w:rsidRPr="00941177">
                        <w:rPr>
                          <w:rFonts w:asciiTheme="minorHAnsi" w:hAnsiTheme="minorHAnsi"/>
                          <w:smallCaps/>
                          <w:color w:val="000000" w:themeColor="text1"/>
                          <w:sz w:val="20"/>
                          <w:szCs w:val="20"/>
                        </w:rPr>
                        <w:t xml:space="preserve">             </w:t>
                      </w:r>
                      <w:hyperlink r:id="rId14" w:history="1">
                        <w:r w:rsidRPr="00941177">
                          <w:rPr>
                            <w:rFonts w:asciiTheme="minorHAnsi" w:hAnsiTheme="minorHAnsi"/>
                            <w:color w:val="000000" w:themeColor="text1"/>
                          </w:rPr>
                          <w:t>www.drawdown.org</w:t>
                        </w:r>
                      </w:hyperlink>
                      <w:r w:rsidRPr="00941177">
                        <w:rPr>
                          <w:rFonts w:asciiTheme="minorHAnsi" w:hAnsiTheme="minorHAnsi"/>
                          <w:smallCaps/>
                          <w:color w:val="000000" w:themeColor="text1"/>
                          <w:sz w:val="20"/>
                          <w:szCs w:val="20"/>
                        </w:rPr>
                        <w:t xml:space="preserve">  </w:t>
                      </w:r>
                    </w:p>
                    <w:p w14:paraId="05DAFFE7" w14:textId="77777777" w:rsidR="00601915" w:rsidRPr="00941177" w:rsidRDefault="00601915" w:rsidP="00C81D94">
                      <w:pPr>
                        <w:rPr>
                          <w:rFonts w:cs="Times New Roman"/>
                          <w:smallCaps/>
                          <w:color w:val="404040" w:themeColor="text1" w:themeTint="BF"/>
                          <w:sz w:val="36"/>
                          <w:szCs w:val="36"/>
                        </w:rPr>
                      </w:pPr>
                    </w:p>
                    <w:p w14:paraId="3D97FBF6" w14:textId="77777777" w:rsidR="00601915" w:rsidRPr="00941177" w:rsidRDefault="00601915" w:rsidP="00C81D94">
                      <w:pPr>
                        <w:rPr>
                          <w:rFonts w:cs="Times New Roman"/>
                          <w:smallCaps/>
                          <w:color w:val="404040" w:themeColor="text1" w:themeTint="BF"/>
                          <w:sz w:val="36"/>
                          <w:szCs w:val="36"/>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EB247F">
          <w:pPr>
            <w:rPr>
              <w:rStyle w:val="Heading1Char"/>
            </w:rPr>
          </w:pPr>
          <w:r w:rsidRPr="00C44058">
            <w:rPr>
              <w:rStyle w:val="Heading1Char"/>
            </w:rPr>
            <w:t>Table of Contents</w:t>
          </w:r>
        </w:p>
        <w:p w14:paraId="6F71831C" w14:textId="527BD34C" w:rsidR="006F1368" w:rsidRDefault="00640665">
          <w:pPr>
            <w:pStyle w:val="TOC1"/>
            <w:tabs>
              <w:tab w:val="right" w:leader="dot" w:pos="9350"/>
            </w:tabs>
            <w:rPr>
              <w:rFonts w:asciiTheme="minorHAnsi" w:hAnsiTheme="minorHAnsi"/>
              <w:noProof/>
              <w:lang w:eastAsia="en-US"/>
            </w:rPr>
          </w:pPr>
          <w:r w:rsidRPr="00C44058">
            <w:fldChar w:fldCharType="begin"/>
          </w:r>
          <w:r w:rsidRPr="00C44058">
            <w:instrText xml:space="preserve"> TOC \o "1-3" \h \z \u </w:instrText>
          </w:r>
          <w:r w:rsidRPr="00C44058">
            <w:fldChar w:fldCharType="separate"/>
          </w:r>
          <w:hyperlink w:anchor="_Toc44585056" w:history="1">
            <w:r w:rsidR="006F1368" w:rsidRPr="00A11E9B">
              <w:rPr>
                <w:rStyle w:val="Hyperlink"/>
                <w:noProof/>
              </w:rPr>
              <w:t>List of Figures</w:t>
            </w:r>
            <w:r w:rsidR="006F1368">
              <w:rPr>
                <w:noProof/>
                <w:webHidden/>
              </w:rPr>
              <w:tab/>
            </w:r>
            <w:r w:rsidR="006F1368">
              <w:rPr>
                <w:noProof/>
                <w:webHidden/>
              </w:rPr>
              <w:fldChar w:fldCharType="begin"/>
            </w:r>
            <w:r w:rsidR="006F1368">
              <w:rPr>
                <w:noProof/>
                <w:webHidden/>
              </w:rPr>
              <w:instrText xml:space="preserve"> PAGEREF _Toc44585056 \h </w:instrText>
            </w:r>
            <w:r w:rsidR="006F1368">
              <w:rPr>
                <w:noProof/>
                <w:webHidden/>
              </w:rPr>
            </w:r>
            <w:r w:rsidR="006F1368">
              <w:rPr>
                <w:noProof/>
                <w:webHidden/>
              </w:rPr>
              <w:fldChar w:fldCharType="separate"/>
            </w:r>
            <w:r w:rsidR="006F1368">
              <w:rPr>
                <w:noProof/>
                <w:webHidden/>
              </w:rPr>
              <w:t>4</w:t>
            </w:r>
            <w:r w:rsidR="006F1368">
              <w:rPr>
                <w:noProof/>
                <w:webHidden/>
              </w:rPr>
              <w:fldChar w:fldCharType="end"/>
            </w:r>
          </w:hyperlink>
        </w:p>
        <w:p w14:paraId="70BFB8BD" w14:textId="47E4C380" w:rsidR="006F1368" w:rsidRDefault="00444FB8">
          <w:pPr>
            <w:pStyle w:val="TOC1"/>
            <w:tabs>
              <w:tab w:val="right" w:leader="dot" w:pos="9350"/>
            </w:tabs>
            <w:rPr>
              <w:rFonts w:asciiTheme="minorHAnsi" w:hAnsiTheme="minorHAnsi"/>
              <w:noProof/>
              <w:lang w:eastAsia="en-US"/>
            </w:rPr>
          </w:pPr>
          <w:hyperlink w:anchor="_Toc44585057" w:history="1">
            <w:r w:rsidR="006F1368" w:rsidRPr="00A11E9B">
              <w:rPr>
                <w:rStyle w:val="Hyperlink"/>
                <w:noProof/>
              </w:rPr>
              <w:t>List of Tables</w:t>
            </w:r>
            <w:r w:rsidR="006F1368">
              <w:rPr>
                <w:noProof/>
                <w:webHidden/>
              </w:rPr>
              <w:tab/>
            </w:r>
            <w:r w:rsidR="006F1368">
              <w:rPr>
                <w:noProof/>
                <w:webHidden/>
              </w:rPr>
              <w:fldChar w:fldCharType="begin"/>
            </w:r>
            <w:r w:rsidR="006F1368">
              <w:rPr>
                <w:noProof/>
                <w:webHidden/>
              </w:rPr>
              <w:instrText xml:space="preserve"> PAGEREF _Toc44585057 \h </w:instrText>
            </w:r>
            <w:r w:rsidR="006F1368">
              <w:rPr>
                <w:noProof/>
                <w:webHidden/>
              </w:rPr>
            </w:r>
            <w:r w:rsidR="006F1368">
              <w:rPr>
                <w:noProof/>
                <w:webHidden/>
              </w:rPr>
              <w:fldChar w:fldCharType="separate"/>
            </w:r>
            <w:r w:rsidR="006F1368">
              <w:rPr>
                <w:noProof/>
                <w:webHidden/>
              </w:rPr>
              <w:t>4</w:t>
            </w:r>
            <w:r w:rsidR="006F1368">
              <w:rPr>
                <w:noProof/>
                <w:webHidden/>
              </w:rPr>
              <w:fldChar w:fldCharType="end"/>
            </w:r>
          </w:hyperlink>
        </w:p>
        <w:p w14:paraId="061F1656" w14:textId="646CAA35" w:rsidR="006F1368" w:rsidRDefault="00444FB8">
          <w:pPr>
            <w:pStyle w:val="TOC1"/>
            <w:tabs>
              <w:tab w:val="right" w:leader="dot" w:pos="9350"/>
            </w:tabs>
            <w:rPr>
              <w:rFonts w:asciiTheme="minorHAnsi" w:hAnsiTheme="minorHAnsi"/>
              <w:noProof/>
              <w:lang w:eastAsia="en-US"/>
            </w:rPr>
          </w:pPr>
          <w:hyperlink w:anchor="_Toc44585058" w:history="1">
            <w:r w:rsidR="006F1368" w:rsidRPr="00A11E9B">
              <w:rPr>
                <w:rStyle w:val="Hyperlink"/>
                <w:noProof/>
              </w:rPr>
              <w:t>Acronyms and Symbols Used</w:t>
            </w:r>
            <w:r w:rsidR="006F1368">
              <w:rPr>
                <w:noProof/>
                <w:webHidden/>
              </w:rPr>
              <w:tab/>
            </w:r>
            <w:r w:rsidR="006F1368">
              <w:rPr>
                <w:noProof/>
                <w:webHidden/>
              </w:rPr>
              <w:fldChar w:fldCharType="begin"/>
            </w:r>
            <w:r w:rsidR="006F1368">
              <w:rPr>
                <w:noProof/>
                <w:webHidden/>
              </w:rPr>
              <w:instrText xml:space="preserve"> PAGEREF _Toc44585058 \h </w:instrText>
            </w:r>
            <w:r w:rsidR="006F1368">
              <w:rPr>
                <w:noProof/>
                <w:webHidden/>
              </w:rPr>
            </w:r>
            <w:r w:rsidR="006F1368">
              <w:rPr>
                <w:noProof/>
                <w:webHidden/>
              </w:rPr>
              <w:fldChar w:fldCharType="separate"/>
            </w:r>
            <w:r w:rsidR="006F1368">
              <w:rPr>
                <w:noProof/>
                <w:webHidden/>
              </w:rPr>
              <w:t>5</w:t>
            </w:r>
            <w:r w:rsidR="006F1368">
              <w:rPr>
                <w:noProof/>
                <w:webHidden/>
              </w:rPr>
              <w:fldChar w:fldCharType="end"/>
            </w:r>
          </w:hyperlink>
        </w:p>
        <w:p w14:paraId="71A89577" w14:textId="548160F8" w:rsidR="006F1368" w:rsidRDefault="00444FB8">
          <w:pPr>
            <w:pStyle w:val="TOC1"/>
            <w:tabs>
              <w:tab w:val="right" w:leader="dot" w:pos="9350"/>
            </w:tabs>
            <w:rPr>
              <w:rFonts w:asciiTheme="minorHAnsi" w:hAnsiTheme="minorHAnsi"/>
              <w:noProof/>
              <w:lang w:eastAsia="en-US"/>
            </w:rPr>
          </w:pPr>
          <w:hyperlink w:anchor="_Toc44585059" w:history="1">
            <w:r w:rsidR="006F1368" w:rsidRPr="00A11E9B">
              <w:rPr>
                <w:rStyle w:val="Hyperlink"/>
                <w:noProof/>
              </w:rPr>
              <w:t>Executive Summary</w:t>
            </w:r>
            <w:r w:rsidR="006F1368">
              <w:rPr>
                <w:noProof/>
                <w:webHidden/>
              </w:rPr>
              <w:tab/>
            </w:r>
            <w:r w:rsidR="006F1368">
              <w:rPr>
                <w:noProof/>
                <w:webHidden/>
              </w:rPr>
              <w:fldChar w:fldCharType="begin"/>
            </w:r>
            <w:r w:rsidR="006F1368">
              <w:rPr>
                <w:noProof/>
                <w:webHidden/>
              </w:rPr>
              <w:instrText xml:space="preserve"> PAGEREF _Toc44585059 \h </w:instrText>
            </w:r>
            <w:r w:rsidR="006F1368">
              <w:rPr>
                <w:noProof/>
                <w:webHidden/>
              </w:rPr>
            </w:r>
            <w:r w:rsidR="006F1368">
              <w:rPr>
                <w:noProof/>
                <w:webHidden/>
              </w:rPr>
              <w:fldChar w:fldCharType="separate"/>
            </w:r>
            <w:r w:rsidR="006F1368">
              <w:rPr>
                <w:noProof/>
                <w:webHidden/>
              </w:rPr>
              <w:t>6</w:t>
            </w:r>
            <w:r w:rsidR="006F1368">
              <w:rPr>
                <w:noProof/>
                <w:webHidden/>
              </w:rPr>
              <w:fldChar w:fldCharType="end"/>
            </w:r>
          </w:hyperlink>
        </w:p>
        <w:p w14:paraId="6B7AE738" w14:textId="3C97A5A3" w:rsidR="006F1368" w:rsidRDefault="00444FB8">
          <w:pPr>
            <w:pStyle w:val="TOC1"/>
            <w:tabs>
              <w:tab w:val="left" w:pos="440"/>
              <w:tab w:val="right" w:leader="dot" w:pos="9350"/>
            </w:tabs>
            <w:rPr>
              <w:rFonts w:asciiTheme="minorHAnsi" w:hAnsiTheme="minorHAnsi"/>
              <w:noProof/>
              <w:lang w:eastAsia="en-US"/>
            </w:rPr>
          </w:pPr>
          <w:hyperlink w:anchor="_Toc44585060" w:history="1">
            <w:r w:rsidR="006F1368" w:rsidRPr="00A11E9B">
              <w:rPr>
                <w:rStyle w:val="Hyperlink"/>
                <w:noProof/>
              </w:rPr>
              <w:t>1</w:t>
            </w:r>
            <w:r w:rsidR="006F1368">
              <w:rPr>
                <w:rFonts w:asciiTheme="minorHAnsi" w:hAnsiTheme="minorHAnsi"/>
                <w:noProof/>
                <w:lang w:eastAsia="en-US"/>
              </w:rPr>
              <w:tab/>
            </w:r>
            <w:r w:rsidR="006F1368" w:rsidRPr="00A11E9B">
              <w:rPr>
                <w:rStyle w:val="Hyperlink"/>
                <w:noProof/>
              </w:rPr>
              <w:t>Literature Review</w:t>
            </w:r>
            <w:r w:rsidR="006F1368">
              <w:rPr>
                <w:noProof/>
                <w:webHidden/>
              </w:rPr>
              <w:tab/>
            </w:r>
            <w:r w:rsidR="006F1368">
              <w:rPr>
                <w:noProof/>
                <w:webHidden/>
              </w:rPr>
              <w:fldChar w:fldCharType="begin"/>
            </w:r>
            <w:r w:rsidR="006F1368">
              <w:rPr>
                <w:noProof/>
                <w:webHidden/>
              </w:rPr>
              <w:instrText xml:space="preserve"> PAGEREF _Toc44585060 \h </w:instrText>
            </w:r>
            <w:r w:rsidR="006F1368">
              <w:rPr>
                <w:noProof/>
                <w:webHidden/>
              </w:rPr>
            </w:r>
            <w:r w:rsidR="006F1368">
              <w:rPr>
                <w:noProof/>
                <w:webHidden/>
              </w:rPr>
              <w:fldChar w:fldCharType="separate"/>
            </w:r>
            <w:r w:rsidR="006F1368">
              <w:rPr>
                <w:noProof/>
                <w:webHidden/>
              </w:rPr>
              <w:t>7</w:t>
            </w:r>
            <w:r w:rsidR="006F1368">
              <w:rPr>
                <w:noProof/>
                <w:webHidden/>
              </w:rPr>
              <w:fldChar w:fldCharType="end"/>
            </w:r>
          </w:hyperlink>
        </w:p>
        <w:p w14:paraId="65054C3F" w14:textId="74B63ABA" w:rsidR="006F1368" w:rsidRDefault="00444FB8">
          <w:pPr>
            <w:pStyle w:val="TOC2"/>
            <w:tabs>
              <w:tab w:val="left" w:pos="880"/>
              <w:tab w:val="right" w:leader="dot" w:pos="9350"/>
            </w:tabs>
            <w:rPr>
              <w:rFonts w:asciiTheme="minorHAnsi" w:hAnsiTheme="minorHAnsi"/>
              <w:noProof/>
              <w:lang w:eastAsia="en-US"/>
            </w:rPr>
          </w:pPr>
          <w:hyperlink w:anchor="_Toc44585061" w:history="1">
            <w:r w:rsidR="006F1368" w:rsidRPr="00A11E9B">
              <w:rPr>
                <w:rStyle w:val="Hyperlink"/>
                <w:noProof/>
              </w:rPr>
              <w:t>1.1</w:t>
            </w:r>
            <w:r w:rsidR="006F1368">
              <w:rPr>
                <w:rFonts w:asciiTheme="minorHAnsi" w:hAnsiTheme="minorHAnsi"/>
                <w:noProof/>
                <w:lang w:eastAsia="en-US"/>
              </w:rPr>
              <w:tab/>
            </w:r>
            <w:r w:rsidR="006F1368" w:rsidRPr="00A11E9B">
              <w:rPr>
                <w:rStyle w:val="Hyperlink"/>
                <w:noProof/>
              </w:rPr>
              <w:t>State of Residential LED</w:t>
            </w:r>
            <w:r w:rsidR="006F1368">
              <w:rPr>
                <w:noProof/>
                <w:webHidden/>
              </w:rPr>
              <w:tab/>
            </w:r>
            <w:r w:rsidR="006F1368">
              <w:rPr>
                <w:noProof/>
                <w:webHidden/>
              </w:rPr>
              <w:fldChar w:fldCharType="begin"/>
            </w:r>
            <w:r w:rsidR="006F1368">
              <w:rPr>
                <w:noProof/>
                <w:webHidden/>
              </w:rPr>
              <w:instrText xml:space="preserve"> PAGEREF _Toc44585061 \h </w:instrText>
            </w:r>
            <w:r w:rsidR="006F1368">
              <w:rPr>
                <w:noProof/>
                <w:webHidden/>
              </w:rPr>
            </w:r>
            <w:r w:rsidR="006F1368">
              <w:rPr>
                <w:noProof/>
                <w:webHidden/>
              </w:rPr>
              <w:fldChar w:fldCharType="separate"/>
            </w:r>
            <w:r w:rsidR="006F1368">
              <w:rPr>
                <w:noProof/>
                <w:webHidden/>
              </w:rPr>
              <w:t>7</w:t>
            </w:r>
            <w:r w:rsidR="006F1368">
              <w:rPr>
                <w:noProof/>
                <w:webHidden/>
              </w:rPr>
              <w:fldChar w:fldCharType="end"/>
            </w:r>
          </w:hyperlink>
        </w:p>
        <w:p w14:paraId="174B054D" w14:textId="60821CC8" w:rsidR="006F1368" w:rsidRDefault="00444FB8">
          <w:pPr>
            <w:pStyle w:val="TOC3"/>
            <w:tabs>
              <w:tab w:val="left" w:pos="1320"/>
              <w:tab w:val="right" w:leader="dot" w:pos="9350"/>
            </w:tabs>
            <w:rPr>
              <w:rFonts w:asciiTheme="minorHAnsi" w:hAnsiTheme="minorHAnsi"/>
              <w:noProof/>
              <w:lang w:eastAsia="en-US"/>
            </w:rPr>
          </w:pPr>
          <w:hyperlink w:anchor="_Toc44585062" w:history="1">
            <w:r w:rsidR="006F1368" w:rsidRPr="00A11E9B">
              <w:rPr>
                <w:rStyle w:val="Hyperlink"/>
                <w:noProof/>
              </w:rPr>
              <w:t>1.1.1</w:t>
            </w:r>
            <w:r w:rsidR="006F1368">
              <w:rPr>
                <w:rFonts w:asciiTheme="minorHAnsi" w:hAnsiTheme="minorHAnsi"/>
                <w:noProof/>
                <w:lang w:eastAsia="en-US"/>
              </w:rPr>
              <w:tab/>
            </w:r>
            <w:r w:rsidR="006F1368" w:rsidRPr="00A11E9B">
              <w:rPr>
                <w:rStyle w:val="Hyperlink"/>
                <w:noProof/>
              </w:rPr>
              <w:t>Light-Emitting Diode Basics</w:t>
            </w:r>
            <w:r w:rsidR="006F1368">
              <w:rPr>
                <w:noProof/>
                <w:webHidden/>
              </w:rPr>
              <w:tab/>
            </w:r>
            <w:r w:rsidR="006F1368">
              <w:rPr>
                <w:noProof/>
                <w:webHidden/>
              </w:rPr>
              <w:fldChar w:fldCharType="begin"/>
            </w:r>
            <w:r w:rsidR="006F1368">
              <w:rPr>
                <w:noProof/>
                <w:webHidden/>
              </w:rPr>
              <w:instrText xml:space="preserve"> PAGEREF _Toc44585062 \h </w:instrText>
            </w:r>
            <w:r w:rsidR="006F1368">
              <w:rPr>
                <w:noProof/>
                <w:webHidden/>
              </w:rPr>
            </w:r>
            <w:r w:rsidR="006F1368">
              <w:rPr>
                <w:noProof/>
                <w:webHidden/>
              </w:rPr>
              <w:fldChar w:fldCharType="separate"/>
            </w:r>
            <w:r w:rsidR="006F1368">
              <w:rPr>
                <w:noProof/>
                <w:webHidden/>
              </w:rPr>
              <w:t>7</w:t>
            </w:r>
            <w:r w:rsidR="006F1368">
              <w:rPr>
                <w:noProof/>
                <w:webHidden/>
              </w:rPr>
              <w:fldChar w:fldCharType="end"/>
            </w:r>
          </w:hyperlink>
        </w:p>
        <w:p w14:paraId="34170A7A" w14:textId="13382AA1" w:rsidR="006F1368" w:rsidRDefault="00444FB8">
          <w:pPr>
            <w:pStyle w:val="TOC3"/>
            <w:tabs>
              <w:tab w:val="left" w:pos="1320"/>
              <w:tab w:val="right" w:leader="dot" w:pos="9350"/>
            </w:tabs>
            <w:rPr>
              <w:rFonts w:asciiTheme="minorHAnsi" w:hAnsiTheme="minorHAnsi"/>
              <w:noProof/>
              <w:lang w:eastAsia="en-US"/>
            </w:rPr>
          </w:pPr>
          <w:hyperlink w:anchor="_Toc44585063" w:history="1">
            <w:r w:rsidR="006F1368" w:rsidRPr="00A11E9B">
              <w:rPr>
                <w:rStyle w:val="Hyperlink"/>
                <w:noProof/>
              </w:rPr>
              <w:t>1.1.2</w:t>
            </w:r>
            <w:r w:rsidR="006F1368">
              <w:rPr>
                <w:rFonts w:asciiTheme="minorHAnsi" w:hAnsiTheme="minorHAnsi"/>
                <w:noProof/>
                <w:lang w:eastAsia="en-US"/>
              </w:rPr>
              <w:tab/>
            </w:r>
            <w:r w:rsidR="006F1368" w:rsidRPr="00A11E9B">
              <w:rPr>
                <w:rStyle w:val="Hyperlink"/>
                <w:noProof/>
              </w:rPr>
              <w:t>Energy Efficiency of LED Technology</w:t>
            </w:r>
            <w:r w:rsidR="006F1368">
              <w:rPr>
                <w:noProof/>
                <w:webHidden/>
              </w:rPr>
              <w:tab/>
            </w:r>
            <w:r w:rsidR="006F1368">
              <w:rPr>
                <w:noProof/>
                <w:webHidden/>
              </w:rPr>
              <w:fldChar w:fldCharType="begin"/>
            </w:r>
            <w:r w:rsidR="006F1368">
              <w:rPr>
                <w:noProof/>
                <w:webHidden/>
              </w:rPr>
              <w:instrText xml:space="preserve"> PAGEREF _Toc44585063 \h </w:instrText>
            </w:r>
            <w:r w:rsidR="006F1368">
              <w:rPr>
                <w:noProof/>
                <w:webHidden/>
              </w:rPr>
            </w:r>
            <w:r w:rsidR="006F1368">
              <w:rPr>
                <w:noProof/>
                <w:webHidden/>
              </w:rPr>
              <w:fldChar w:fldCharType="separate"/>
            </w:r>
            <w:r w:rsidR="006F1368">
              <w:rPr>
                <w:noProof/>
                <w:webHidden/>
              </w:rPr>
              <w:t>9</w:t>
            </w:r>
            <w:r w:rsidR="006F1368">
              <w:rPr>
                <w:noProof/>
                <w:webHidden/>
              </w:rPr>
              <w:fldChar w:fldCharType="end"/>
            </w:r>
          </w:hyperlink>
        </w:p>
        <w:p w14:paraId="72F9CA4D" w14:textId="7DB4315D" w:rsidR="006F1368" w:rsidRDefault="00444FB8">
          <w:pPr>
            <w:pStyle w:val="TOC3"/>
            <w:tabs>
              <w:tab w:val="left" w:pos="1320"/>
              <w:tab w:val="right" w:leader="dot" w:pos="9350"/>
            </w:tabs>
            <w:rPr>
              <w:rFonts w:asciiTheme="minorHAnsi" w:hAnsiTheme="minorHAnsi"/>
              <w:noProof/>
              <w:lang w:eastAsia="en-US"/>
            </w:rPr>
          </w:pPr>
          <w:hyperlink w:anchor="_Toc44585064" w:history="1">
            <w:r w:rsidR="006F1368" w:rsidRPr="00A11E9B">
              <w:rPr>
                <w:rStyle w:val="Hyperlink"/>
                <w:noProof/>
              </w:rPr>
              <w:t>1.1.3</w:t>
            </w:r>
            <w:r w:rsidR="006F1368">
              <w:rPr>
                <w:rFonts w:asciiTheme="minorHAnsi" w:hAnsiTheme="minorHAnsi"/>
                <w:noProof/>
                <w:lang w:eastAsia="en-US"/>
              </w:rPr>
              <w:tab/>
            </w:r>
            <w:r w:rsidR="006F1368" w:rsidRPr="00A11E9B">
              <w:rPr>
                <w:rStyle w:val="Hyperlink"/>
                <w:noProof/>
              </w:rPr>
              <w:t>Lighting Service and Energy Consumption</w:t>
            </w:r>
            <w:r w:rsidR="006F1368">
              <w:rPr>
                <w:noProof/>
                <w:webHidden/>
              </w:rPr>
              <w:tab/>
            </w:r>
            <w:r w:rsidR="006F1368">
              <w:rPr>
                <w:noProof/>
                <w:webHidden/>
              </w:rPr>
              <w:fldChar w:fldCharType="begin"/>
            </w:r>
            <w:r w:rsidR="006F1368">
              <w:rPr>
                <w:noProof/>
                <w:webHidden/>
              </w:rPr>
              <w:instrText xml:space="preserve"> PAGEREF _Toc44585064 \h </w:instrText>
            </w:r>
            <w:r w:rsidR="006F1368">
              <w:rPr>
                <w:noProof/>
                <w:webHidden/>
              </w:rPr>
            </w:r>
            <w:r w:rsidR="006F1368">
              <w:rPr>
                <w:noProof/>
                <w:webHidden/>
              </w:rPr>
              <w:fldChar w:fldCharType="separate"/>
            </w:r>
            <w:r w:rsidR="006F1368">
              <w:rPr>
                <w:noProof/>
                <w:webHidden/>
              </w:rPr>
              <w:t>10</w:t>
            </w:r>
            <w:r w:rsidR="006F1368">
              <w:rPr>
                <w:noProof/>
                <w:webHidden/>
              </w:rPr>
              <w:fldChar w:fldCharType="end"/>
            </w:r>
          </w:hyperlink>
        </w:p>
        <w:p w14:paraId="73D2DFF5" w14:textId="501B3AB4" w:rsidR="006F1368" w:rsidRDefault="00444FB8">
          <w:pPr>
            <w:pStyle w:val="TOC2"/>
            <w:tabs>
              <w:tab w:val="left" w:pos="880"/>
              <w:tab w:val="right" w:leader="dot" w:pos="9350"/>
            </w:tabs>
            <w:rPr>
              <w:rFonts w:asciiTheme="minorHAnsi" w:hAnsiTheme="minorHAnsi"/>
              <w:noProof/>
              <w:lang w:eastAsia="en-US"/>
            </w:rPr>
          </w:pPr>
          <w:hyperlink w:anchor="_Toc44585065" w:history="1">
            <w:r w:rsidR="006F1368" w:rsidRPr="00A11E9B">
              <w:rPr>
                <w:rStyle w:val="Hyperlink"/>
                <w:noProof/>
              </w:rPr>
              <w:t>1.2</w:t>
            </w:r>
            <w:r w:rsidR="006F1368">
              <w:rPr>
                <w:rFonts w:asciiTheme="minorHAnsi" w:hAnsiTheme="minorHAnsi"/>
                <w:noProof/>
                <w:lang w:eastAsia="en-US"/>
              </w:rPr>
              <w:tab/>
            </w:r>
            <w:r w:rsidR="006F1368" w:rsidRPr="00A11E9B">
              <w:rPr>
                <w:rStyle w:val="Hyperlink"/>
                <w:noProof/>
              </w:rPr>
              <w:t>Adoption Path</w:t>
            </w:r>
            <w:r w:rsidR="006F1368">
              <w:rPr>
                <w:noProof/>
                <w:webHidden/>
              </w:rPr>
              <w:tab/>
            </w:r>
            <w:r w:rsidR="006F1368">
              <w:rPr>
                <w:noProof/>
                <w:webHidden/>
              </w:rPr>
              <w:fldChar w:fldCharType="begin"/>
            </w:r>
            <w:r w:rsidR="006F1368">
              <w:rPr>
                <w:noProof/>
                <w:webHidden/>
              </w:rPr>
              <w:instrText xml:space="preserve"> PAGEREF _Toc44585065 \h </w:instrText>
            </w:r>
            <w:r w:rsidR="006F1368">
              <w:rPr>
                <w:noProof/>
                <w:webHidden/>
              </w:rPr>
            </w:r>
            <w:r w:rsidR="006F1368">
              <w:rPr>
                <w:noProof/>
                <w:webHidden/>
              </w:rPr>
              <w:fldChar w:fldCharType="separate"/>
            </w:r>
            <w:r w:rsidR="006F1368">
              <w:rPr>
                <w:noProof/>
                <w:webHidden/>
              </w:rPr>
              <w:t>10</w:t>
            </w:r>
            <w:r w:rsidR="006F1368">
              <w:rPr>
                <w:noProof/>
                <w:webHidden/>
              </w:rPr>
              <w:fldChar w:fldCharType="end"/>
            </w:r>
          </w:hyperlink>
        </w:p>
        <w:p w14:paraId="7BE6C119" w14:textId="5CB29BDD" w:rsidR="006F1368" w:rsidRDefault="00444FB8">
          <w:pPr>
            <w:pStyle w:val="TOC3"/>
            <w:tabs>
              <w:tab w:val="left" w:pos="1320"/>
              <w:tab w:val="right" w:leader="dot" w:pos="9350"/>
            </w:tabs>
            <w:rPr>
              <w:rFonts w:asciiTheme="minorHAnsi" w:hAnsiTheme="minorHAnsi"/>
              <w:noProof/>
              <w:lang w:eastAsia="en-US"/>
            </w:rPr>
          </w:pPr>
          <w:hyperlink w:anchor="_Toc44585066" w:history="1">
            <w:r w:rsidR="006F1368" w:rsidRPr="00A11E9B">
              <w:rPr>
                <w:rStyle w:val="Hyperlink"/>
                <w:noProof/>
              </w:rPr>
              <w:t>1.2.1</w:t>
            </w:r>
            <w:r w:rsidR="006F1368">
              <w:rPr>
                <w:rFonts w:asciiTheme="minorHAnsi" w:hAnsiTheme="minorHAnsi"/>
                <w:noProof/>
                <w:lang w:eastAsia="en-US"/>
              </w:rPr>
              <w:tab/>
            </w:r>
            <w:r w:rsidR="006F1368" w:rsidRPr="00A11E9B">
              <w:rPr>
                <w:rStyle w:val="Hyperlink"/>
                <w:noProof/>
              </w:rPr>
              <w:t>Current Adoption</w:t>
            </w:r>
            <w:r w:rsidR="006F1368">
              <w:rPr>
                <w:noProof/>
                <w:webHidden/>
              </w:rPr>
              <w:tab/>
            </w:r>
            <w:r w:rsidR="006F1368">
              <w:rPr>
                <w:noProof/>
                <w:webHidden/>
              </w:rPr>
              <w:fldChar w:fldCharType="begin"/>
            </w:r>
            <w:r w:rsidR="006F1368">
              <w:rPr>
                <w:noProof/>
                <w:webHidden/>
              </w:rPr>
              <w:instrText xml:space="preserve"> PAGEREF _Toc44585066 \h </w:instrText>
            </w:r>
            <w:r w:rsidR="006F1368">
              <w:rPr>
                <w:noProof/>
                <w:webHidden/>
              </w:rPr>
            </w:r>
            <w:r w:rsidR="006F1368">
              <w:rPr>
                <w:noProof/>
                <w:webHidden/>
              </w:rPr>
              <w:fldChar w:fldCharType="separate"/>
            </w:r>
            <w:r w:rsidR="006F1368">
              <w:rPr>
                <w:noProof/>
                <w:webHidden/>
              </w:rPr>
              <w:t>10</w:t>
            </w:r>
            <w:r w:rsidR="006F1368">
              <w:rPr>
                <w:noProof/>
                <w:webHidden/>
              </w:rPr>
              <w:fldChar w:fldCharType="end"/>
            </w:r>
          </w:hyperlink>
        </w:p>
        <w:p w14:paraId="5E8AC91A" w14:textId="2A6E23E7" w:rsidR="006F1368" w:rsidRDefault="00444FB8">
          <w:pPr>
            <w:pStyle w:val="TOC3"/>
            <w:tabs>
              <w:tab w:val="left" w:pos="1320"/>
              <w:tab w:val="right" w:leader="dot" w:pos="9350"/>
            </w:tabs>
            <w:rPr>
              <w:rFonts w:asciiTheme="minorHAnsi" w:hAnsiTheme="minorHAnsi"/>
              <w:noProof/>
              <w:lang w:eastAsia="en-US"/>
            </w:rPr>
          </w:pPr>
          <w:hyperlink w:anchor="_Toc44585067" w:history="1">
            <w:r w:rsidR="006F1368" w:rsidRPr="00A11E9B">
              <w:rPr>
                <w:rStyle w:val="Hyperlink"/>
                <w:noProof/>
              </w:rPr>
              <w:t>1.2.2</w:t>
            </w:r>
            <w:r w:rsidR="006F1368">
              <w:rPr>
                <w:rFonts w:asciiTheme="minorHAnsi" w:hAnsiTheme="minorHAnsi"/>
                <w:noProof/>
                <w:lang w:eastAsia="en-US"/>
              </w:rPr>
              <w:tab/>
            </w:r>
            <w:r w:rsidR="006F1368" w:rsidRPr="00A11E9B">
              <w:rPr>
                <w:rStyle w:val="Hyperlink"/>
                <w:noProof/>
              </w:rPr>
              <w:t>Trends to Accelerate Adoption</w:t>
            </w:r>
            <w:r w:rsidR="006F1368">
              <w:rPr>
                <w:noProof/>
                <w:webHidden/>
              </w:rPr>
              <w:tab/>
            </w:r>
            <w:r w:rsidR="006F1368">
              <w:rPr>
                <w:noProof/>
                <w:webHidden/>
              </w:rPr>
              <w:fldChar w:fldCharType="begin"/>
            </w:r>
            <w:r w:rsidR="006F1368">
              <w:rPr>
                <w:noProof/>
                <w:webHidden/>
              </w:rPr>
              <w:instrText xml:space="preserve"> PAGEREF _Toc44585067 \h </w:instrText>
            </w:r>
            <w:r w:rsidR="006F1368">
              <w:rPr>
                <w:noProof/>
                <w:webHidden/>
              </w:rPr>
            </w:r>
            <w:r w:rsidR="006F1368">
              <w:rPr>
                <w:noProof/>
                <w:webHidden/>
              </w:rPr>
              <w:fldChar w:fldCharType="separate"/>
            </w:r>
            <w:r w:rsidR="006F1368">
              <w:rPr>
                <w:noProof/>
                <w:webHidden/>
              </w:rPr>
              <w:t>12</w:t>
            </w:r>
            <w:r w:rsidR="006F1368">
              <w:rPr>
                <w:noProof/>
                <w:webHidden/>
              </w:rPr>
              <w:fldChar w:fldCharType="end"/>
            </w:r>
          </w:hyperlink>
        </w:p>
        <w:p w14:paraId="0D51CF61" w14:textId="57D74A87" w:rsidR="006F1368" w:rsidRDefault="00444FB8">
          <w:pPr>
            <w:pStyle w:val="TOC3"/>
            <w:tabs>
              <w:tab w:val="left" w:pos="1320"/>
              <w:tab w:val="right" w:leader="dot" w:pos="9350"/>
            </w:tabs>
            <w:rPr>
              <w:rFonts w:asciiTheme="minorHAnsi" w:hAnsiTheme="minorHAnsi"/>
              <w:noProof/>
              <w:lang w:eastAsia="en-US"/>
            </w:rPr>
          </w:pPr>
          <w:hyperlink w:anchor="_Toc44585068" w:history="1">
            <w:r w:rsidR="006F1368" w:rsidRPr="00A11E9B">
              <w:rPr>
                <w:rStyle w:val="Hyperlink"/>
                <w:noProof/>
              </w:rPr>
              <w:t>1.2.3</w:t>
            </w:r>
            <w:r w:rsidR="006F1368">
              <w:rPr>
                <w:rFonts w:asciiTheme="minorHAnsi" w:hAnsiTheme="minorHAnsi"/>
                <w:noProof/>
                <w:lang w:eastAsia="en-US"/>
              </w:rPr>
              <w:tab/>
            </w:r>
            <w:r w:rsidR="006F1368" w:rsidRPr="00A11E9B">
              <w:rPr>
                <w:rStyle w:val="Hyperlink"/>
                <w:noProof/>
              </w:rPr>
              <w:t>Barriers to Adoption</w:t>
            </w:r>
            <w:r w:rsidR="006F1368">
              <w:rPr>
                <w:noProof/>
                <w:webHidden/>
              </w:rPr>
              <w:tab/>
            </w:r>
            <w:r w:rsidR="006F1368">
              <w:rPr>
                <w:noProof/>
                <w:webHidden/>
              </w:rPr>
              <w:fldChar w:fldCharType="begin"/>
            </w:r>
            <w:r w:rsidR="006F1368">
              <w:rPr>
                <w:noProof/>
                <w:webHidden/>
              </w:rPr>
              <w:instrText xml:space="preserve"> PAGEREF _Toc44585068 \h </w:instrText>
            </w:r>
            <w:r w:rsidR="006F1368">
              <w:rPr>
                <w:noProof/>
                <w:webHidden/>
              </w:rPr>
            </w:r>
            <w:r w:rsidR="006F1368">
              <w:rPr>
                <w:noProof/>
                <w:webHidden/>
              </w:rPr>
              <w:fldChar w:fldCharType="separate"/>
            </w:r>
            <w:r w:rsidR="006F1368">
              <w:rPr>
                <w:noProof/>
                <w:webHidden/>
              </w:rPr>
              <w:t>12</w:t>
            </w:r>
            <w:r w:rsidR="006F1368">
              <w:rPr>
                <w:noProof/>
                <w:webHidden/>
              </w:rPr>
              <w:fldChar w:fldCharType="end"/>
            </w:r>
          </w:hyperlink>
        </w:p>
        <w:p w14:paraId="168D630E" w14:textId="4E9AF854" w:rsidR="006F1368" w:rsidRDefault="00444FB8">
          <w:pPr>
            <w:pStyle w:val="TOC3"/>
            <w:tabs>
              <w:tab w:val="left" w:pos="1320"/>
              <w:tab w:val="right" w:leader="dot" w:pos="9350"/>
            </w:tabs>
            <w:rPr>
              <w:rFonts w:asciiTheme="minorHAnsi" w:hAnsiTheme="minorHAnsi"/>
              <w:noProof/>
              <w:lang w:eastAsia="en-US"/>
            </w:rPr>
          </w:pPr>
          <w:hyperlink w:anchor="_Toc44585069" w:history="1">
            <w:r w:rsidR="006F1368" w:rsidRPr="00A11E9B">
              <w:rPr>
                <w:rStyle w:val="Hyperlink"/>
                <w:noProof/>
              </w:rPr>
              <w:t>1.2.4</w:t>
            </w:r>
            <w:r w:rsidR="006F1368">
              <w:rPr>
                <w:rFonts w:asciiTheme="minorHAnsi" w:hAnsiTheme="minorHAnsi"/>
                <w:noProof/>
                <w:lang w:eastAsia="en-US"/>
              </w:rPr>
              <w:tab/>
            </w:r>
            <w:r w:rsidR="006F1368" w:rsidRPr="00A11E9B">
              <w:rPr>
                <w:rStyle w:val="Hyperlink"/>
                <w:noProof/>
              </w:rPr>
              <w:t>Adoption Potential</w:t>
            </w:r>
            <w:r w:rsidR="006F1368">
              <w:rPr>
                <w:noProof/>
                <w:webHidden/>
              </w:rPr>
              <w:tab/>
            </w:r>
            <w:r w:rsidR="006F1368">
              <w:rPr>
                <w:noProof/>
                <w:webHidden/>
              </w:rPr>
              <w:fldChar w:fldCharType="begin"/>
            </w:r>
            <w:r w:rsidR="006F1368">
              <w:rPr>
                <w:noProof/>
                <w:webHidden/>
              </w:rPr>
              <w:instrText xml:space="preserve"> PAGEREF _Toc44585069 \h </w:instrText>
            </w:r>
            <w:r w:rsidR="006F1368">
              <w:rPr>
                <w:noProof/>
                <w:webHidden/>
              </w:rPr>
            </w:r>
            <w:r w:rsidR="006F1368">
              <w:rPr>
                <w:noProof/>
                <w:webHidden/>
              </w:rPr>
              <w:fldChar w:fldCharType="separate"/>
            </w:r>
            <w:r w:rsidR="006F1368">
              <w:rPr>
                <w:noProof/>
                <w:webHidden/>
              </w:rPr>
              <w:t>14</w:t>
            </w:r>
            <w:r w:rsidR="006F1368">
              <w:rPr>
                <w:noProof/>
                <w:webHidden/>
              </w:rPr>
              <w:fldChar w:fldCharType="end"/>
            </w:r>
          </w:hyperlink>
        </w:p>
        <w:p w14:paraId="491DC702" w14:textId="46B2ABEB" w:rsidR="006F1368" w:rsidRDefault="00444FB8">
          <w:pPr>
            <w:pStyle w:val="TOC2"/>
            <w:tabs>
              <w:tab w:val="left" w:pos="880"/>
              <w:tab w:val="right" w:leader="dot" w:pos="9350"/>
            </w:tabs>
            <w:rPr>
              <w:rFonts w:asciiTheme="minorHAnsi" w:hAnsiTheme="minorHAnsi"/>
              <w:noProof/>
              <w:lang w:eastAsia="en-US"/>
            </w:rPr>
          </w:pPr>
          <w:hyperlink w:anchor="_Toc44585070" w:history="1">
            <w:r w:rsidR="006F1368" w:rsidRPr="00A11E9B">
              <w:rPr>
                <w:rStyle w:val="Hyperlink"/>
                <w:noProof/>
              </w:rPr>
              <w:t>1.3</w:t>
            </w:r>
            <w:r w:rsidR="006F1368">
              <w:rPr>
                <w:rFonts w:asciiTheme="minorHAnsi" w:hAnsiTheme="minorHAnsi"/>
                <w:noProof/>
                <w:lang w:eastAsia="en-US"/>
              </w:rPr>
              <w:tab/>
            </w:r>
            <w:r w:rsidR="006F1368" w:rsidRPr="00A11E9B">
              <w:rPr>
                <w:rStyle w:val="Hyperlink"/>
                <w:noProof/>
              </w:rPr>
              <w:t>Advantages  and Disadvantages of Residential LED Lighting</w:t>
            </w:r>
            <w:r w:rsidR="006F1368">
              <w:rPr>
                <w:noProof/>
                <w:webHidden/>
              </w:rPr>
              <w:tab/>
            </w:r>
            <w:r w:rsidR="006F1368">
              <w:rPr>
                <w:noProof/>
                <w:webHidden/>
              </w:rPr>
              <w:fldChar w:fldCharType="begin"/>
            </w:r>
            <w:r w:rsidR="006F1368">
              <w:rPr>
                <w:noProof/>
                <w:webHidden/>
              </w:rPr>
              <w:instrText xml:space="preserve"> PAGEREF _Toc44585070 \h </w:instrText>
            </w:r>
            <w:r w:rsidR="006F1368">
              <w:rPr>
                <w:noProof/>
                <w:webHidden/>
              </w:rPr>
            </w:r>
            <w:r w:rsidR="006F1368">
              <w:rPr>
                <w:noProof/>
                <w:webHidden/>
              </w:rPr>
              <w:fldChar w:fldCharType="separate"/>
            </w:r>
            <w:r w:rsidR="006F1368">
              <w:rPr>
                <w:noProof/>
                <w:webHidden/>
              </w:rPr>
              <w:t>14</w:t>
            </w:r>
            <w:r w:rsidR="006F1368">
              <w:rPr>
                <w:noProof/>
                <w:webHidden/>
              </w:rPr>
              <w:fldChar w:fldCharType="end"/>
            </w:r>
          </w:hyperlink>
        </w:p>
        <w:p w14:paraId="1668770A" w14:textId="06BE12DC" w:rsidR="006F1368" w:rsidRDefault="00444FB8">
          <w:pPr>
            <w:pStyle w:val="TOC3"/>
            <w:tabs>
              <w:tab w:val="left" w:pos="1320"/>
              <w:tab w:val="right" w:leader="dot" w:pos="9350"/>
            </w:tabs>
            <w:rPr>
              <w:rFonts w:asciiTheme="minorHAnsi" w:hAnsiTheme="minorHAnsi"/>
              <w:noProof/>
              <w:lang w:eastAsia="en-US"/>
            </w:rPr>
          </w:pPr>
          <w:hyperlink w:anchor="_Toc44585071" w:history="1">
            <w:r w:rsidR="006F1368" w:rsidRPr="00A11E9B">
              <w:rPr>
                <w:rStyle w:val="Hyperlink"/>
                <w:noProof/>
              </w:rPr>
              <w:t>1.3.1</w:t>
            </w:r>
            <w:r w:rsidR="006F1368">
              <w:rPr>
                <w:rFonts w:asciiTheme="minorHAnsi" w:hAnsiTheme="minorHAnsi"/>
                <w:noProof/>
                <w:lang w:eastAsia="en-US"/>
              </w:rPr>
              <w:tab/>
            </w:r>
            <w:r w:rsidR="006F1368" w:rsidRPr="00A11E9B">
              <w:rPr>
                <w:rStyle w:val="Hyperlink"/>
                <w:noProof/>
              </w:rPr>
              <w:t>Similar Solutions</w:t>
            </w:r>
            <w:r w:rsidR="006F1368">
              <w:rPr>
                <w:noProof/>
                <w:webHidden/>
              </w:rPr>
              <w:tab/>
            </w:r>
            <w:r w:rsidR="006F1368">
              <w:rPr>
                <w:noProof/>
                <w:webHidden/>
              </w:rPr>
              <w:fldChar w:fldCharType="begin"/>
            </w:r>
            <w:r w:rsidR="006F1368">
              <w:rPr>
                <w:noProof/>
                <w:webHidden/>
              </w:rPr>
              <w:instrText xml:space="preserve"> PAGEREF _Toc44585071 \h </w:instrText>
            </w:r>
            <w:r w:rsidR="006F1368">
              <w:rPr>
                <w:noProof/>
                <w:webHidden/>
              </w:rPr>
            </w:r>
            <w:r w:rsidR="006F1368">
              <w:rPr>
                <w:noProof/>
                <w:webHidden/>
              </w:rPr>
              <w:fldChar w:fldCharType="separate"/>
            </w:r>
            <w:r w:rsidR="006F1368">
              <w:rPr>
                <w:noProof/>
                <w:webHidden/>
              </w:rPr>
              <w:t>14</w:t>
            </w:r>
            <w:r w:rsidR="006F1368">
              <w:rPr>
                <w:noProof/>
                <w:webHidden/>
              </w:rPr>
              <w:fldChar w:fldCharType="end"/>
            </w:r>
          </w:hyperlink>
        </w:p>
        <w:p w14:paraId="40AB6FE8" w14:textId="6111D50C" w:rsidR="006F1368" w:rsidRDefault="00444FB8">
          <w:pPr>
            <w:pStyle w:val="TOC3"/>
            <w:tabs>
              <w:tab w:val="left" w:pos="1320"/>
              <w:tab w:val="right" w:leader="dot" w:pos="9350"/>
            </w:tabs>
            <w:rPr>
              <w:rFonts w:asciiTheme="minorHAnsi" w:hAnsiTheme="minorHAnsi"/>
              <w:noProof/>
              <w:lang w:eastAsia="en-US"/>
            </w:rPr>
          </w:pPr>
          <w:hyperlink w:anchor="_Toc44585072" w:history="1">
            <w:r w:rsidR="006F1368" w:rsidRPr="00A11E9B">
              <w:rPr>
                <w:rStyle w:val="Hyperlink"/>
                <w:noProof/>
              </w:rPr>
              <w:t>1.3.2</w:t>
            </w:r>
            <w:r w:rsidR="006F1368">
              <w:rPr>
                <w:rFonts w:asciiTheme="minorHAnsi" w:hAnsiTheme="minorHAnsi"/>
                <w:noProof/>
                <w:lang w:eastAsia="en-US"/>
              </w:rPr>
              <w:tab/>
            </w:r>
            <w:r w:rsidR="006F1368" w:rsidRPr="00A11E9B">
              <w:rPr>
                <w:rStyle w:val="Hyperlink"/>
                <w:noProof/>
              </w:rPr>
              <w:t>Arguments for Adoption</w:t>
            </w:r>
            <w:r w:rsidR="006F1368">
              <w:rPr>
                <w:noProof/>
                <w:webHidden/>
              </w:rPr>
              <w:tab/>
            </w:r>
            <w:r w:rsidR="006F1368">
              <w:rPr>
                <w:noProof/>
                <w:webHidden/>
              </w:rPr>
              <w:fldChar w:fldCharType="begin"/>
            </w:r>
            <w:r w:rsidR="006F1368">
              <w:rPr>
                <w:noProof/>
                <w:webHidden/>
              </w:rPr>
              <w:instrText xml:space="preserve"> PAGEREF _Toc44585072 \h </w:instrText>
            </w:r>
            <w:r w:rsidR="006F1368">
              <w:rPr>
                <w:noProof/>
                <w:webHidden/>
              </w:rPr>
            </w:r>
            <w:r w:rsidR="006F1368">
              <w:rPr>
                <w:noProof/>
                <w:webHidden/>
              </w:rPr>
              <w:fldChar w:fldCharType="separate"/>
            </w:r>
            <w:r w:rsidR="006F1368">
              <w:rPr>
                <w:noProof/>
                <w:webHidden/>
              </w:rPr>
              <w:t>15</w:t>
            </w:r>
            <w:r w:rsidR="006F1368">
              <w:rPr>
                <w:noProof/>
                <w:webHidden/>
              </w:rPr>
              <w:fldChar w:fldCharType="end"/>
            </w:r>
          </w:hyperlink>
        </w:p>
        <w:p w14:paraId="0BF0F6BE" w14:textId="314E32B6" w:rsidR="006F1368" w:rsidRDefault="00444FB8">
          <w:pPr>
            <w:pStyle w:val="TOC3"/>
            <w:tabs>
              <w:tab w:val="left" w:pos="1320"/>
              <w:tab w:val="right" w:leader="dot" w:pos="9350"/>
            </w:tabs>
            <w:rPr>
              <w:rFonts w:asciiTheme="minorHAnsi" w:hAnsiTheme="minorHAnsi"/>
              <w:noProof/>
              <w:lang w:eastAsia="en-US"/>
            </w:rPr>
          </w:pPr>
          <w:hyperlink w:anchor="_Toc44585073" w:history="1">
            <w:r w:rsidR="006F1368" w:rsidRPr="00A11E9B">
              <w:rPr>
                <w:rStyle w:val="Hyperlink"/>
                <w:noProof/>
              </w:rPr>
              <w:t>1.3.3</w:t>
            </w:r>
            <w:r w:rsidR="006F1368">
              <w:rPr>
                <w:rFonts w:asciiTheme="minorHAnsi" w:hAnsiTheme="minorHAnsi"/>
                <w:noProof/>
                <w:lang w:eastAsia="en-US"/>
              </w:rPr>
              <w:tab/>
            </w:r>
            <w:r w:rsidR="006F1368" w:rsidRPr="00A11E9B">
              <w:rPr>
                <w:rStyle w:val="Hyperlink"/>
                <w:noProof/>
              </w:rPr>
              <w:t>Additional Benefits and Burdens</w:t>
            </w:r>
            <w:r w:rsidR="006F1368">
              <w:rPr>
                <w:noProof/>
                <w:webHidden/>
              </w:rPr>
              <w:tab/>
            </w:r>
            <w:r w:rsidR="006F1368">
              <w:rPr>
                <w:noProof/>
                <w:webHidden/>
              </w:rPr>
              <w:fldChar w:fldCharType="begin"/>
            </w:r>
            <w:r w:rsidR="006F1368">
              <w:rPr>
                <w:noProof/>
                <w:webHidden/>
              </w:rPr>
              <w:instrText xml:space="preserve"> PAGEREF _Toc44585073 \h </w:instrText>
            </w:r>
            <w:r w:rsidR="006F1368">
              <w:rPr>
                <w:noProof/>
                <w:webHidden/>
              </w:rPr>
            </w:r>
            <w:r w:rsidR="006F1368">
              <w:rPr>
                <w:noProof/>
                <w:webHidden/>
              </w:rPr>
              <w:fldChar w:fldCharType="separate"/>
            </w:r>
            <w:r w:rsidR="006F1368">
              <w:rPr>
                <w:noProof/>
                <w:webHidden/>
              </w:rPr>
              <w:t>15</w:t>
            </w:r>
            <w:r w:rsidR="006F1368">
              <w:rPr>
                <w:noProof/>
                <w:webHidden/>
              </w:rPr>
              <w:fldChar w:fldCharType="end"/>
            </w:r>
          </w:hyperlink>
        </w:p>
        <w:p w14:paraId="36369A3C" w14:textId="032F321A" w:rsidR="006F1368" w:rsidRDefault="00444FB8">
          <w:pPr>
            <w:pStyle w:val="TOC1"/>
            <w:tabs>
              <w:tab w:val="left" w:pos="440"/>
              <w:tab w:val="right" w:leader="dot" w:pos="9350"/>
            </w:tabs>
            <w:rPr>
              <w:rFonts w:asciiTheme="minorHAnsi" w:hAnsiTheme="minorHAnsi"/>
              <w:noProof/>
              <w:lang w:eastAsia="en-US"/>
            </w:rPr>
          </w:pPr>
          <w:hyperlink w:anchor="_Toc44585074" w:history="1">
            <w:r w:rsidR="006F1368" w:rsidRPr="00A11E9B">
              <w:rPr>
                <w:rStyle w:val="Hyperlink"/>
                <w:noProof/>
              </w:rPr>
              <w:t>2</w:t>
            </w:r>
            <w:r w:rsidR="006F1368">
              <w:rPr>
                <w:rFonts w:asciiTheme="minorHAnsi" w:hAnsiTheme="minorHAnsi"/>
                <w:noProof/>
                <w:lang w:eastAsia="en-US"/>
              </w:rPr>
              <w:tab/>
            </w:r>
            <w:r w:rsidR="006F1368" w:rsidRPr="00A11E9B">
              <w:rPr>
                <w:rStyle w:val="Hyperlink"/>
                <w:noProof/>
              </w:rPr>
              <w:t>Methodology</w:t>
            </w:r>
            <w:r w:rsidR="006F1368">
              <w:rPr>
                <w:noProof/>
                <w:webHidden/>
              </w:rPr>
              <w:tab/>
            </w:r>
            <w:r w:rsidR="006F1368">
              <w:rPr>
                <w:noProof/>
                <w:webHidden/>
              </w:rPr>
              <w:fldChar w:fldCharType="begin"/>
            </w:r>
            <w:r w:rsidR="006F1368">
              <w:rPr>
                <w:noProof/>
                <w:webHidden/>
              </w:rPr>
              <w:instrText xml:space="preserve"> PAGEREF _Toc44585074 \h </w:instrText>
            </w:r>
            <w:r w:rsidR="006F1368">
              <w:rPr>
                <w:noProof/>
                <w:webHidden/>
              </w:rPr>
            </w:r>
            <w:r w:rsidR="006F1368">
              <w:rPr>
                <w:noProof/>
                <w:webHidden/>
              </w:rPr>
              <w:fldChar w:fldCharType="separate"/>
            </w:r>
            <w:r w:rsidR="006F1368">
              <w:rPr>
                <w:noProof/>
                <w:webHidden/>
              </w:rPr>
              <w:t>18</w:t>
            </w:r>
            <w:r w:rsidR="006F1368">
              <w:rPr>
                <w:noProof/>
                <w:webHidden/>
              </w:rPr>
              <w:fldChar w:fldCharType="end"/>
            </w:r>
          </w:hyperlink>
        </w:p>
        <w:p w14:paraId="67C7C703" w14:textId="7D50E712" w:rsidR="006F1368" w:rsidRDefault="00444FB8">
          <w:pPr>
            <w:pStyle w:val="TOC2"/>
            <w:tabs>
              <w:tab w:val="left" w:pos="880"/>
              <w:tab w:val="right" w:leader="dot" w:pos="9350"/>
            </w:tabs>
            <w:rPr>
              <w:rFonts w:asciiTheme="minorHAnsi" w:hAnsiTheme="minorHAnsi"/>
              <w:noProof/>
              <w:lang w:eastAsia="en-US"/>
            </w:rPr>
          </w:pPr>
          <w:hyperlink w:anchor="_Toc44585075" w:history="1">
            <w:r w:rsidR="006F1368" w:rsidRPr="00A11E9B">
              <w:rPr>
                <w:rStyle w:val="Hyperlink"/>
                <w:noProof/>
              </w:rPr>
              <w:t>2.1</w:t>
            </w:r>
            <w:r w:rsidR="006F1368">
              <w:rPr>
                <w:rFonts w:asciiTheme="minorHAnsi" w:hAnsiTheme="minorHAnsi"/>
                <w:noProof/>
                <w:lang w:eastAsia="en-US"/>
              </w:rPr>
              <w:tab/>
            </w:r>
            <w:r w:rsidR="006F1368" w:rsidRPr="00A11E9B">
              <w:rPr>
                <w:rStyle w:val="Hyperlink"/>
                <w:noProof/>
              </w:rPr>
              <w:t>Introduction</w:t>
            </w:r>
            <w:r w:rsidR="006F1368">
              <w:rPr>
                <w:noProof/>
                <w:webHidden/>
              </w:rPr>
              <w:tab/>
            </w:r>
            <w:r w:rsidR="006F1368">
              <w:rPr>
                <w:noProof/>
                <w:webHidden/>
              </w:rPr>
              <w:fldChar w:fldCharType="begin"/>
            </w:r>
            <w:r w:rsidR="006F1368">
              <w:rPr>
                <w:noProof/>
                <w:webHidden/>
              </w:rPr>
              <w:instrText xml:space="preserve"> PAGEREF _Toc44585075 \h </w:instrText>
            </w:r>
            <w:r w:rsidR="006F1368">
              <w:rPr>
                <w:noProof/>
                <w:webHidden/>
              </w:rPr>
            </w:r>
            <w:r w:rsidR="006F1368">
              <w:rPr>
                <w:noProof/>
                <w:webHidden/>
              </w:rPr>
              <w:fldChar w:fldCharType="separate"/>
            </w:r>
            <w:r w:rsidR="006F1368">
              <w:rPr>
                <w:noProof/>
                <w:webHidden/>
              </w:rPr>
              <w:t>18</w:t>
            </w:r>
            <w:r w:rsidR="006F1368">
              <w:rPr>
                <w:noProof/>
                <w:webHidden/>
              </w:rPr>
              <w:fldChar w:fldCharType="end"/>
            </w:r>
          </w:hyperlink>
        </w:p>
        <w:p w14:paraId="762AA869" w14:textId="14624539" w:rsidR="006F1368" w:rsidRDefault="00444FB8">
          <w:pPr>
            <w:pStyle w:val="TOC2"/>
            <w:tabs>
              <w:tab w:val="left" w:pos="880"/>
              <w:tab w:val="right" w:leader="dot" w:pos="9350"/>
            </w:tabs>
            <w:rPr>
              <w:rFonts w:asciiTheme="minorHAnsi" w:hAnsiTheme="minorHAnsi"/>
              <w:noProof/>
              <w:lang w:eastAsia="en-US"/>
            </w:rPr>
          </w:pPr>
          <w:hyperlink w:anchor="_Toc44585076" w:history="1">
            <w:r w:rsidR="006F1368" w:rsidRPr="00A11E9B">
              <w:rPr>
                <w:rStyle w:val="Hyperlink"/>
                <w:noProof/>
              </w:rPr>
              <w:t>2.2</w:t>
            </w:r>
            <w:r w:rsidR="006F1368">
              <w:rPr>
                <w:rFonts w:asciiTheme="minorHAnsi" w:hAnsiTheme="minorHAnsi"/>
                <w:noProof/>
                <w:lang w:eastAsia="en-US"/>
              </w:rPr>
              <w:tab/>
            </w:r>
            <w:r w:rsidR="006F1368" w:rsidRPr="00A11E9B">
              <w:rPr>
                <w:rStyle w:val="Hyperlink"/>
                <w:noProof/>
              </w:rPr>
              <w:t>Data Sources</w:t>
            </w:r>
            <w:r w:rsidR="006F1368">
              <w:rPr>
                <w:noProof/>
                <w:webHidden/>
              </w:rPr>
              <w:tab/>
            </w:r>
            <w:r w:rsidR="006F1368">
              <w:rPr>
                <w:noProof/>
                <w:webHidden/>
              </w:rPr>
              <w:fldChar w:fldCharType="begin"/>
            </w:r>
            <w:r w:rsidR="006F1368">
              <w:rPr>
                <w:noProof/>
                <w:webHidden/>
              </w:rPr>
              <w:instrText xml:space="preserve"> PAGEREF _Toc44585076 \h </w:instrText>
            </w:r>
            <w:r w:rsidR="006F1368">
              <w:rPr>
                <w:noProof/>
                <w:webHidden/>
              </w:rPr>
            </w:r>
            <w:r w:rsidR="006F1368">
              <w:rPr>
                <w:noProof/>
                <w:webHidden/>
              </w:rPr>
              <w:fldChar w:fldCharType="separate"/>
            </w:r>
            <w:r w:rsidR="006F1368">
              <w:rPr>
                <w:noProof/>
                <w:webHidden/>
              </w:rPr>
              <w:t>19</w:t>
            </w:r>
            <w:r w:rsidR="006F1368">
              <w:rPr>
                <w:noProof/>
                <w:webHidden/>
              </w:rPr>
              <w:fldChar w:fldCharType="end"/>
            </w:r>
          </w:hyperlink>
        </w:p>
        <w:p w14:paraId="5D8BBAAE" w14:textId="72F5FDB8" w:rsidR="006F1368" w:rsidRDefault="00444FB8">
          <w:pPr>
            <w:pStyle w:val="TOC2"/>
            <w:tabs>
              <w:tab w:val="left" w:pos="880"/>
              <w:tab w:val="right" w:leader="dot" w:pos="9350"/>
            </w:tabs>
            <w:rPr>
              <w:rFonts w:asciiTheme="minorHAnsi" w:hAnsiTheme="minorHAnsi"/>
              <w:noProof/>
              <w:lang w:eastAsia="en-US"/>
            </w:rPr>
          </w:pPr>
          <w:hyperlink w:anchor="_Toc44585077" w:history="1">
            <w:r w:rsidR="006F1368" w:rsidRPr="00A11E9B">
              <w:rPr>
                <w:rStyle w:val="Hyperlink"/>
                <w:noProof/>
              </w:rPr>
              <w:t>2.3</w:t>
            </w:r>
            <w:r w:rsidR="006F1368">
              <w:rPr>
                <w:rFonts w:asciiTheme="minorHAnsi" w:hAnsiTheme="minorHAnsi"/>
                <w:noProof/>
                <w:lang w:eastAsia="en-US"/>
              </w:rPr>
              <w:tab/>
            </w:r>
            <w:r w:rsidR="006F1368" w:rsidRPr="00A11E9B">
              <w:rPr>
                <w:rStyle w:val="Hyperlink"/>
                <w:noProof/>
              </w:rPr>
              <w:t>Total Addressable Market</w:t>
            </w:r>
            <w:r w:rsidR="006F1368">
              <w:rPr>
                <w:noProof/>
                <w:webHidden/>
              </w:rPr>
              <w:tab/>
            </w:r>
            <w:r w:rsidR="006F1368">
              <w:rPr>
                <w:noProof/>
                <w:webHidden/>
              </w:rPr>
              <w:fldChar w:fldCharType="begin"/>
            </w:r>
            <w:r w:rsidR="006F1368">
              <w:rPr>
                <w:noProof/>
                <w:webHidden/>
              </w:rPr>
              <w:instrText xml:space="preserve"> PAGEREF _Toc44585077 \h </w:instrText>
            </w:r>
            <w:r w:rsidR="006F1368">
              <w:rPr>
                <w:noProof/>
                <w:webHidden/>
              </w:rPr>
            </w:r>
            <w:r w:rsidR="006F1368">
              <w:rPr>
                <w:noProof/>
                <w:webHidden/>
              </w:rPr>
              <w:fldChar w:fldCharType="separate"/>
            </w:r>
            <w:r w:rsidR="006F1368">
              <w:rPr>
                <w:noProof/>
                <w:webHidden/>
              </w:rPr>
              <w:t>20</w:t>
            </w:r>
            <w:r w:rsidR="006F1368">
              <w:rPr>
                <w:noProof/>
                <w:webHidden/>
              </w:rPr>
              <w:fldChar w:fldCharType="end"/>
            </w:r>
          </w:hyperlink>
        </w:p>
        <w:p w14:paraId="54858CD6" w14:textId="188CC46C" w:rsidR="006F1368" w:rsidRDefault="00444FB8">
          <w:pPr>
            <w:pStyle w:val="TOC2"/>
            <w:tabs>
              <w:tab w:val="left" w:pos="880"/>
              <w:tab w:val="right" w:leader="dot" w:pos="9350"/>
            </w:tabs>
            <w:rPr>
              <w:rFonts w:asciiTheme="minorHAnsi" w:hAnsiTheme="minorHAnsi"/>
              <w:noProof/>
              <w:lang w:eastAsia="en-US"/>
            </w:rPr>
          </w:pPr>
          <w:hyperlink w:anchor="_Toc44585078" w:history="1">
            <w:r w:rsidR="006F1368" w:rsidRPr="00A11E9B">
              <w:rPr>
                <w:rStyle w:val="Hyperlink"/>
                <w:noProof/>
              </w:rPr>
              <w:t>2.4</w:t>
            </w:r>
            <w:r w:rsidR="006F1368">
              <w:rPr>
                <w:rFonts w:asciiTheme="minorHAnsi" w:hAnsiTheme="minorHAnsi"/>
                <w:noProof/>
                <w:lang w:eastAsia="en-US"/>
              </w:rPr>
              <w:tab/>
            </w:r>
            <w:r w:rsidR="006F1368" w:rsidRPr="00A11E9B">
              <w:rPr>
                <w:rStyle w:val="Hyperlink"/>
                <w:noProof/>
              </w:rPr>
              <w:t>Adoption Scenarios</w:t>
            </w:r>
            <w:r w:rsidR="006F1368">
              <w:rPr>
                <w:noProof/>
                <w:webHidden/>
              </w:rPr>
              <w:tab/>
            </w:r>
            <w:r w:rsidR="006F1368">
              <w:rPr>
                <w:noProof/>
                <w:webHidden/>
              </w:rPr>
              <w:fldChar w:fldCharType="begin"/>
            </w:r>
            <w:r w:rsidR="006F1368">
              <w:rPr>
                <w:noProof/>
                <w:webHidden/>
              </w:rPr>
              <w:instrText xml:space="preserve"> PAGEREF _Toc44585078 \h </w:instrText>
            </w:r>
            <w:r w:rsidR="006F1368">
              <w:rPr>
                <w:noProof/>
                <w:webHidden/>
              </w:rPr>
            </w:r>
            <w:r w:rsidR="006F1368">
              <w:rPr>
                <w:noProof/>
                <w:webHidden/>
              </w:rPr>
              <w:fldChar w:fldCharType="separate"/>
            </w:r>
            <w:r w:rsidR="006F1368">
              <w:rPr>
                <w:noProof/>
                <w:webHidden/>
              </w:rPr>
              <w:t>20</w:t>
            </w:r>
            <w:r w:rsidR="006F1368">
              <w:rPr>
                <w:noProof/>
                <w:webHidden/>
              </w:rPr>
              <w:fldChar w:fldCharType="end"/>
            </w:r>
          </w:hyperlink>
        </w:p>
        <w:p w14:paraId="2278CF9A" w14:textId="52AEE710" w:rsidR="006F1368" w:rsidRDefault="00444FB8">
          <w:pPr>
            <w:pStyle w:val="TOC3"/>
            <w:tabs>
              <w:tab w:val="left" w:pos="1320"/>
              <w:tab w:val="right" w:leader="dot" w:pos="9350"/>
            </w:tabs>
            <w:rPr>
              <w:rFonts w:asciiTheme="minorHAnsi" w:hAnsiTheme="minorHAnsi"/>
              <w:noProof/>
              <w:lang w:eastAsia="en-US"/>
            </w:rPr>
          </w:pPr>
          <w:hyperlink w:anchor="_Toc44585079" w:history="1">
            <w:r w:rsidR="006F1368" w:rsidRPr="00A11E9B">
              <w:rPr>
                <w:rStyle w:val="Hyperlink"/>
                <w:noProof/>
              </w:rPr>
              <w:t>2.4.1</w:t>
            </w:r>
            <w:r w:rsidR="006F1368">
              <w:rPr>
                <w:rFonts w:asciiTheme="minorHAnsi" w:hAnsiTheme="minorHAnsi"/>
                <w:noProof/>
                <w:lang w:eastAsia="en-US"/>
              </w:rPr>
              <w:tab/>
            </w:r>
            <w:r w:rsidR="006F1368" w:rsidRPr="00A11E9B">
              <w:rPr>
                <w:rStyle w:val="Hyperlink"/>
                <w:noProof/>
              </w:rPr>
              <w:t>Reference Case / Current Adoption</w:t>
            </w:r>
            <w:r w:rsidR="006F1368">
              <w:rPr>
                <w:noProof/>
                <w:webHidden/>
              </w:rPr>
              <w:tab/>
            </w:r>
            <w:r w:rsidR="006F1368">
              <w:rPr>
                <w:noProof/>
                <w:webHidden/>
              </w:rPr>
              <w:fldChar w:fldCharType="begin"/>
            </w:r>
            <w:r w:rsidR="006F1368">
              <w:rPr>
                <w:noProof/>
                <w:webHidden/>
              </w:rPr>
              <w:instrText xml:space="preserve"> PAGEREF _Toc44585079 \h </w:instrText>
            </w:r>
            <w:r w:rsidR="006F1368">
              <w:rPr>
                <w:noProof/>
                <w:webHidden/>
              </w:rPr>
            </w:r>
            <w:r w:rsidR="006F1368">
              <w:rPr>
                <w:noProof/>
                <w:webHidden/>
              </w:rPr>
              <w:fldChar w:fldCharType="separate"/>
            </w:r>
            <w:r w:rsidR="006F1368">
              <w:rPr>
                <w:noProof/>
                <w:webHidden/>
              </w:rPr>
              <w:t>21</w:t>
            </w:r>
            <w:r w:rsidR="006F1368">
              <w:rPr>
                <w:noProof/>
                <w:webHidden/>
              </w:rPr>
              <w:fldChar w:fldCharType="end"/>
            </w:r>
          </w:hyperlink>
        </w:p>
        <w:p w14:paraId="0FC102F7" w14:textId="7CAAC469" w:rsidR="006F1368" w:rsidRDefault="00444FB8">
          <w:pPr>
            <w:pStyle w:val="TOC3"/>
            <w:tabs>
              <w:tab w:val="left" w:pos="1320"/>
              <w:tab w:val="right" w:leader="dot" w:pos="9350"/>
            </w:tabs>
            <w:rPr>
              <w:rFonts w:asciiTheme="minorHAnsi" w:hAnsiTheme="minorHAnsi"/>
              <w:noProof/>
              <w:lang w:eastAsia="en-US"/>
            </w:rPr>
          </w:pPr>
          <w:hyperlink w:anchor="_Toc44585080" w:history="1">
            <w:r w:rsidR="006F1368" w:rsidRPr="00A11E9B">
              <w:rPr>
                <w:rStyle w:val="Hyperlink"/>
                <w:noProof/>
              </w:rPr>
              <w:t>2.4.2</w:t>
            </w:r>
            <w:r w:rsidR="006F1368">
              <w:rPr>
                <w:rFonts w:asciiTheme="minorHAnsi" w:hAnsiTheme="minorHAnsi"/>
                <w:noProof/>
                <w:lang w:eastAsia="en-US"/>
              </w:rPr>
              <w:tab/>
            </w:r>
            <w:r w:rsidR="006F1368" w:rsidRPr="00A11E9B">
              <w:rPr>
                <w:rStyle w:val="Hyperlink"/>
                <w:noProof/>
              </w:rPr>
              <w:t>Project Drawdown Scenarios</w:t>
            </w:r>
            <w:r w:rsidR="006F1368">
              <w:rPr>
                <w:noProof/>
                <w:webHidden/>
              </w:rPr>
              <w:tab/>
            </w:r>
            <w:r w:rsidR="006F1368">
              <w:rPr>
                <w:noProof/>
                <w:webHidden/>
              </w:rPr>
              <w:fldChar w:fldCharType="begin"/>
            </w:r>
            <w:r w:rsidR="006F1368">
              <w:rPr>
                <w:noProof/>
                <w:webHidden/>
              </w:rPr>
              <w:instrText xml:space="preserve"> PAGEREF _Toc44585080 \h </w:instrText>
            </w:r>
            <w:r w:rsidR="006F1368">
              <w:rPr>
                <w:noProof/>
                <w:webHidden/>
              </w:rPr>
            </w:r>
            <w:r w:rsidR="006F1368">
              <w:rPr>
                <w:noProof/>
                <w:webHidden/>
              </w:rPr>
              <w:fldChar w:fldCharType="separate"/>
            </w:r>
            <w:r w:rsidR="006F1368">
              <w:rPr>
                <w:noProof/>
                <w:webHidden/>
              </w:rPr>
              <w:t>21</w:t>
            </w:r>
            <w:r w:rsidR="006F1368">
              <w:rPr>
                <w:noProof/>
                <w:webHidden/>
              </w:rPr>
              <w:fldChar w:fldCharType="end"/>
            </w:r>
          </w:hyperlink>
        </w:p>
        <w:p w14:paraId="7A9B8429" w14:textId="75A7D37F" w:rsidR="006F1368" w:rsidRDefault="00444FB8">
          <w:pPr>
            <w:pStyle w:val="TOC2"/>
            <w:tabs>
              <w:tab w:val="left" w:pos="880"/>
              <w:tab w:val="right" w:leader="dot" w:pos="9350"/>
            </w:tabs>
            <w:rPr>
              <w:rFonts w:asciiTheme="minorHAnsi" w:hAnsiTheme="minorHAnsi"/>
              <w:noProof/>
              <w:lang w:eastAsia="en-US"/>
            </w:rPr>
          </w:pPr>
          <w:hyperlink w:anchor="_Toc44585081" w:history="1">
            <w:r w:rsidR="006F1368" w:rsidRPr="00A11E9B">
              <w:rPr>
                <w:rStyle w:val="Hyperlink"/>
                <w:noProof/>
              </w:rPr>
              <w:t>2.5</w:t>
            </w:r>
            <w:r w:rsidR="006F1368">
              <w:rPr>
                <w:rFonts w:asciiTheme="minorHAnsi" w:hAnsiTheme="minorHAnsi"/>
                <w:noProof/>
                <w:lang w:eastAsia="en-US"/>
              </w:rPr>
              <w:tab/>
            </w:r>
            <w:r w:rsidR="006F1368" w:rsidRPr="00A11E9B">
              <w:rPr>
                <w:rStyle w:val="Hyperlink"/>
                <w:noProof/>
              </w:rPr>
              <w:t>Inputs</w:t>
            </w:r>
            <w:r w:rsidR="006F1368">
              <w:rPr>
                <w:noProof/>
                <w:webHidden/>
              </w:rPr>
              <w:tab/>
            </w:r>
            <w:r w:rsidR="006F1368">
              <w:rPr>
                <w:noProof/>
                <w:webHidden/>
              </w:rPr>
              <w:fldChar w:fldCharType="begin"/>
            </w:r>
            <w:r w:rsidR="006F1368">
              <w:rPr>
                <w:noProof/>
                <w:webHidden/>
              </w:rPr>
              <w:instrText xml:space="preserve"> PAGEREF _Toc44585081 \h </w:instrText>
            </w:r>
            <w:r w:rsidR="006F1368">
              <w:rPr>
                <w:noProof/>
                <w:webHidden/>
              </w:rPr>
            </w:r>
            <w:r w:rsidR="006F1368">
              <w:rPr>
                <w:noProof/>
                <w:webHidden/>
              </w:rPr>
              <w:fldChar w:fldCharType="separate"/>
            </w:r>
            <w:r w:rsidR="006F1368">
              <w:rPr>
                <w:noProof/>
                <w:webHidden/>
              </w:rPr>
              <w:t>21</w:t>
            </w:r>
            <w:r w:rsidR="006F1368">
              <w:rPr>
                <w:noProof/>
                <w:webHidden/>
              </w:rPr>
              <w:fldChar w:fldCharType="end"/>
            </w:r>
          </w:hyperlink>
        </w:p>
        <w:p w14:paraId="3B2A0F35" w14:textId="35CD0FC4" w:rsidR="006F1368" w:rsidRDefault="00444FB8">
          <w:pPr>
            <w:pStyle w:val="TOC3"/>
            <w:tabs>
              <w:tab w:val="left" w:pos="1320"/>
              <w:tab w:val="right" w:leader="dot" w:pos="9350"/>
            </w:tabs>
            <w:rPr>
              <w:rFonts w:asciiTheme="minorHAnsi" w:hAnsiTheme="minorHAnsi"/>
              <w:noProof/>
              <w:lang w:eastAsia="en-US"/>
            </w:rPr>
          </w:pPr>
          <w:hyperlink w:anchor="_Toc44585082" w:history="1">
            <w:r w:rsidR="006F1368" w:rsidRPr="00A11E9B">
              <w:rPr>
                <w:rStyle w:val="Hyperlink"/>
                <w:noProof/>
              </w:rPr>
              <w:t>2.5.1</w:t>
            </w:r>
            <w:r w:rsidR="006F1368">
              <w:rPr>
                <w:rFonts w:asciiTheme="minorHAnsi" w:hAnsiTheme="minorHAnsi"/>
                <w:noProof/>
                <w:lang w:eastAsia="en-US"/>
              </w:rPr>
              <w:tab/>
            </w:r>
            <w:r w:rsidR="006F1368" w:rsidRPr="00A11E9B">
              <w:rPr>
                <w:rStyle w:val="Hyperlink"/>
                <w:noProof/>
              </w:rPr>
              <w:t>Climate Inputs</w:t>
            </w:r>
            <w:r w:rsidR="006F1368">
              <w:rPr>
                <w:noProof/>
                <w:webHidden/>
              </w:rPr>
              <w:tab/>
            </w:r>
            <w:r w:rsidR="006F1368">
              <w:rPr>
                <w:noProof/>
                <w:webHidden/>
              </w:rPr>
              <w:fldChar w:fldCharType="begin"/>
            </w:r>
            <w:r w:rsidR="006F1368">
              <w:rPr>
                <w:noProof/>
                <w:webHidden/>
              </w:rPr>
              <w:instrText xml:space="preserve"> PAGEREF _Toc44585082 \h </w:instrText>
            </w:r>
            <w:r w:rsidR="006F1368">
              <w:rPr>
                <w:noProof/>
                <w:webHidden/>
              </w:rPr>
            </w:r>
            <w:r w:rsidR="006F1368">
              <w:rPr>
                <w:noProof/>
                <w:webHidden/>
              </w:rPr>
              <w:fldChar w:fldCharType="separate"/>
            </w:r>
            <w:r w:rsidR="006F1368">
              <w:rPr>
                <w:noProof/>
                <w:webHidden/>
              </w:rPr>
              <w:t>21</w:t>
            </w:r>
            <w:r w:rsidR="006F1368">
              <w:rPr>
                <w:noProof/>
                <w:webHidden/>
              </w:rPr>
              <w:fldChar w:fldCharType="end"/>
            </w:r>
          </w:hyperlink>
        </w:p>
        <w:p w14:paraId="579636E6" w14:textId="159B38A9" w:rsidR="006F1368" w:rsidRDefault="00444FB8">
          <w:pPr>
            <w:pStyle w:val="TOC3"/>
            <w:tabs>
              <w:tab w:val="left" w:pos="1320"/>
              <w:tab w:val="right" w:leader="dot" w:pos="9350"/>
            </w:tabs>
            <w:rPr>
              <w:rFonts w:asciiTheme="minorHAnsi" w:hAnsiTheme="minorHAnsi"/>
              <w:noProof/>
              <w:lang w:eastAsia="en-US"/>
            </w:rPr>
          </w:pPr>
          <w:hyperlink w:anchor="_Toc44585083" w:history="1">
            <w:r w:rsidR="006F1368" w:rsidRPr="00A11E9B">
              <w:rPr>
                <w:rStyle w:val="Hyperlink"/>
                <w:noProof/>
              </w:rPr>
              <w:t>2.5.2</w:t>
            </w:r>
            <w:r w:rsidR="006F1368">
              <w:rPr>
                <w:rFonts w:asciiTheme="minorHAnsi" w:hAnsiTheme="minorHAnsi"/>
                <w:noProof/>
                <w:lang w:eastAsia="en-US"/>
              </w:rPr>
              <w:tab/>
            </w:r>
            <w:r w:rsidR="006F1368" w:rsidRPr="00A11E9B">
              <w:rPr>
                <w:rStyle w:val="Hyperlink"/>
                <w:noProof/>
              </w:rPr>
              <w:t>Financial Inputs</w:t>
            </w:r>
            <w:r w:rsidR="006F1368">
              <w:rPr>
                <w:noProof/>
                <w:webHidden/>
              </w:rPr>
              <w:tab/>
            </w:r>
            <w:r w:rsidR="006F1368">
              <w:rPr>
                <w:noProof/>
                <w:webHidden/>
              </w:rPr>
              <w:fldChar w:fldCharType="begin"/>
            </w:r>
            <w:r w:rsidR="006F1368">
              <w:rPr>
                <w:noProof/>
                <w:webHidden/>
              </w:rPr>
              <w:instrText xml:space="preserve"> PAGEREF _Toc44585083 \h </w:instrText>
            </w:r>
            <w:r w:rsidR="006F1368">
              <w:rPr>
                <w:noProof/>
                <w:webHidden/>
              </w:rPr>
            </w:r>
            <w:r w:rsidR="006F1368">
              <w:rPr>
                <w:noProof/>
                <w:webHidden/>
              </w:rPr>
              <w:fldChar w:fldCharType="separate"/>
            </w:r>
            <w:r w:rsidR="006F1368">
              <w:rPr>
                <w:noProof/>
                <w:webHidden/>
              </w:rPr>
              <w:t>23</w:t>
            </w:r>
            <w:r w:rsidR="006F1368">
              <w:rPr>
                <w:noProof/>
                <w:webHidden/>
              </w:rPr>
              <w:fldChar w:fldCharType="end"/>
            </w:r>
          </w:hyperlink>
        </w:p>
        <w:p w14:paraId="38C4FCCE" w14:textId="6C54CDBE" w:rsidR="006F1368" w:rsidRDefault="00444FB8">
          <w:pPr>
            <w:pStyle w:val="TOC3"/>
            <w:tabs>
              <w:tab w:val="left" w:pos="1320"/>
              <w:tab w:val="right" w:leader="dot" w:pos="9350"/>
            </w:tabs>
            <w:rPr>
              <w:rFonts w:asciiTheme="minorHAnsi" w:hAnsiTheme="minorHAnsi"/>
              <w:noProof/>
              <w:lang w:eastAsia="en-US"/>
            </w:rPr>
          </w:pPr>
          <w:hyperlink w:anchor="_Toc44585084" w:history="1">
            <w:r w:rsidR="006F1368" w:rsidRPr="00A11E9B">
              <w:rPr>
                <w:rStyle w:val="Hyperlink"/>
                <w:noProof/>
              </w:rPr>
              <w:t>2.5.3</w:t>
            </w:r>
            <w:r w:rsidR="006F1368">
              <w:rPr>
                <w:rFonts w:asciiTheme="minorHAnsi" w:hAnsiTheme="minorHAnsi"/>
                <w:noProof/>
                <w:lang w:eastAsia="en-US"/>
              </w:rPr>
              <w:tab/>
            </w:r>
            <w:r w:rsidR="006F1368" w:rsidRPr="00A11E9B">
              <w:rPr>
                <w:rStyle w:val="Hyperlink"/>
                <w:noProof/>
              </w:rPr>
              <w:t>Technical Inputs</w:t>
            </w:r>
            <w:r w:rsidR="006F1368">
              <w:rPr>
                <w:noProof/>
                <w:webHidden/>
              </w:rPr>
              <w:tab/>
            </w:r>
            <w:r w:rsidR="006F1368">
              <w:rPr>
                <w:noProof/>
                <w:webHidden/>
              </w:rPr>
              <w:fldChar w:fldCharType="begin"/>
            </w:r>
            <w:r w:rsidR="006F1368">
              <w:rPr>
                <w:noProof/>
                <w:webHidden/>
              </w:rPr>
              <w:instrText xml:space="preserve"> PAGEREF _Toc44585084 \h </w:instrText>
            </w:r>
            <w:r w:rsidR="006F1368">
              <w:rPr>
                <w:noProof/>
                <w:webHidden/>
              </w:rPr>
            </w:r>
            <w:r w:rsidR="006F1368">
              <w:rPr>
                <w:noProof/>
                <w:webHidden/>
              </w:rPr>
              <w:fldChar w:fldCharType="separate"/>
            </w:r>
            <w:r w:rsidR="006F1368">
              <w:rPr>
                <w:noProof/>
                <w:webHidden/>
              </w:rPr>
              <w:t>24</w:t>
            </w:r>
            <w:r w:rsidR="006F1368">
              <w:rPr>
                <w:noProof/>
                <w:webHidden/>
              </w:rPr>
              <w:fldChar w:fldCharType="end"/>
            </w:r>
          </w:hyperlink>
        </w:p>
        <w:p w14:paraId="78235036" w14:textId="5A52C4BA" w:rsidR="006F1368" w:rsidRDefault="00444FB8">
          <w:pPr>
            <w:pStyle w:val="TOC2"/>
            <w:tabs>
              <w:tab w:val="left" w:pos="880"/>
              <w:tab w:val="right" w:leader="dot" w:pos="9350"/>
            </w:tabs>
            <w:rPr>
              <w:rFonts w:asciiTheme="minorHAnsi" w:hAnsiTheme="minorHAnsi"/>
              <w:noProof/>
              <w:lang w:eastAsia="en-US"/>
            </w:rPr>
          </w:pPr>
          <w:hyperlink w:anchor="_Toc44585085" w:history="1">
            <w:r w:rsidR="006F1368" w:rsidRPr="00A11E9B">
              <w:rPr>
                <w:rStyle w:val="Hyperlink"/>
                <w:noProof/>
              </w:rPr>
              <w:t>2.6</w:t>
            </w:r>
            <w:r w:rsidR="006F1368">
              <w:rPr>
                <w:rFonts w:asciiTheme="minorHAnsi" w:hAnsiTheme="minorHAnsi"/>
                <w:noProof/>
                <w:lang w:eastAsia="en-US"/>
              </w:rPr>
              <w:tab/>
            </w:r>
            <w:r w:rsidR="006F1368" w:rsidRPr="00A11E9B">
              <w:rPr>
                <w:rStyle w:val="Hyperlink"/>
                <w:noProof/>
              </w:rPr>
              <w:t>Assumptions</w:t>
            </w:r>
            <w:r w:rsidR="006F1368">
              <w:rPr>
                <w:noProof/>
                <w:webHidden/>
              </w:rPr>
              <w:tab/>
            </w:r>
            <w:r w:rsidR="006F1368">
              <w:rPr>
                <w:noProof/>
                <w:webHidden/>
              </w:rPr>
              <w:fldChar w:fldCharType="begin"/>
            </w:r>
            <w:r w:rsidR="006F1368">
              <w:rPr>
                <w:noProof/>
                <w:webHidden/>
              </w:rPr>
              <w:instrText xml:space="preserve"> PAGEREF _Toc44585085 \h </w:instrText>
            </w:r>
            <w:r w:rsidR="006F1368">
              <w:rPr>
                <w:noProof/>
                <w:webHidden/>
              </w:rPr>
            </w:r>
            <w:r w:rsidR="006F1368">
              <w:rPr>
                <w:noProof/>
                <w:webHidden/>
              </w:rPr>
              <w:fldChar w:fldCharType="separate"/>
            </w:r>
            <w:r w:rsidR="006F1368">
              <w:rPr>
                <w:noProof/>
                <w:webHidden/>
              </w:rPr>
              <w:t>25</w:t>
            </w:r>
            <w:r w:rsidR="006F1368">
              <w:rPr>
                <w:noProof/>
                <w:webHidden/>
              </w:rPr>
              <w:fldChar w:fldCharType="end"/>
            </w:r>
          </w:hyperlink>
        </w:p>
        <w:p w14:paraId="7DC91E9A" w14:textId="424650F5" w:rsidR="006F1368" w:rsidRDefault="00444FB8">
          <w:pPr>
            <w:pStyle w:val="TOC2"/>
            <w:tabs>
              <w:tab w:val="left" w:pos="880"/>
              <w:tab w:val="right" w:leader="dot" w:pos="9350"/>
            </w:tabs>
            <w:rPr>
              <w:rFonts w:asciiTheme="minorHAnsi" w:hAnsiTheme="minorHAnsi"/>
              <w:noProof/>
              <w:lang w:eastAsia="en-US"/>
            </w:rPr>
          </w:pPr>
          <w:hyperlink w:anchor="_Toc44585086" w:history="1">
            <w:r w:rsidR="006F1368" w:rsidRPr="00A11E9B">
              <w:rPr>
                <w:rStyle w:val="Hyperlink"/>
                <w:noProof/>
              </w:rPr>
              <w:t>2.7</w:t>
            </w:r>
            <w:r w:rsidR="006F1368">
              <w:rPr>
                <w:rFonts w:asciiTheme="minorHAnsi" w:hAnsiTheme="minorHAnsi"/>
                <w:noProof/>
                <w:lang w:eastAsia="en-US"/>
              </w:rPr>
              <w:tab/>
            </w:r>
            <w:r w:rsidR="006F1368" w:rsidRPr="00A11E9B">
              <w:rPr>
                <w:rStyle w:val="Hyperlink"/>
                <w:noProof/>
              </w:rPr>
              <w:t>Integration</w:t>
            </w:r>
            <w:r w:rsidR="006F1368">
              <w:rPr>
                <w:noProof/>
                <w:webHidden/>
              </w:rPr>
              <w:tab/>
            </w:r>
            <w:r w:rsidR="006F1368">
              <w:rPr>
                <w:noProof/>
                <w:webHidden/>
              </w:rPr>
              <w:fldChar w:fldCharType="begin"/>
            </w:r>
            <w:r w:rsidR="006F1368">
              <w:rPr>
                <w:noProof/>
                <w:webHidden/>
              </w:rPr>
              <w:instrText xml:space="preserve"> PAGEREF _Toc44585086 \h </w:instrText>
            </w:r>
            <w:r w:rsidR="006F1368">
              <w:rPr>
                <w:noProof/>
                <w:webHidden/>
              </w:rPr>
            </w:r>
            <w:r w:rsidR="006F1368">
              <w:rPr>
                <w:noProof/>
                <w:webHidden/>
              </w:rPr>
              <w:fldChar w:fldCharType="separate"/>
            </w:r>
            <w:r w:rsidR="006F1368">
              <w:rPr>
                <w:noProof/>
                <w:webHidden/>
              </w:rPr>
              <w:t>26</w:t>
            </w:r>
            <w:r w:rsidR="006F1368">
              <w:rPr>
                <w:noProof/>
                <w:webHidden/>
              </w:rPr>
              <w:fldChar w:fldCharType="end"/>
            </w:r>
          </w:hyperlink>
        </w:p>
        <w:p w14:paraId="27A7E4DF" w14:textId="4DCDB0B8" w:rsidR="006F1368" w:rsidRDefault="00444FB8">
          <w:pPr>
            <w:pStyle w:val="TOC2"/>
            <w:tabs>
              <w:tab w:val="left" w:pos="880"/>
              <w:tab w:val="right" w:leader="dot" w:pos="9350"/>
            </w:tabs>
            <w:rPr>
              <w:rFonts w:asciiTheme="minorHAnsi" w:hAnsiTheme="minorHAnsi"/>
              <w:noProof/>
              <w:lang w:eastAsia="en-US"/>
            </w:rPr>
          </w:pPr>
          <w:hyperlink w:anchor="_Toc44585087" w:history="1">
            <w:r w:rsidR="006F1368" w:rsidRPr="00A11E9B">
              <w:rPr>
                <w:rStyle w:val="Hyperlink"/>
                <w:noProof/>
              </w:rPr>
              <w:t>2.8</w:t>
            </w:r>
            <w:r w:rsidR="006F1368">
              <w:rPr>
                <w:rFonts w:asciiTheme="minorHAnsi" w:hAnsiTheme="minorHAnsi"/>
                <w:noProof/>
                <w:lang w:eastAsia="en-US"/>
              </w:rPr>
              <w:tab/>
            </w:r>
            <w:r w:rsidR="006F1368" w:rsidRPr="00A11E9B">
              <w:rPr>
                <w:rStyle w:val="Hyperlink"/>
                <w:noProof/>
              </w:rPr>
              <w:t>Limitations/Further Development</w:t>
            </w:r>
            <w:r w:rsidR="006F1368">
              <w:rPr>
                <w:noProof/>
                <w:webHidden/>
              </w:rPr>
              <w:tab/>
            </w:r>
            <w:r w:rsidR="006F1368">
              <w:rPr>
                <w:noProof/>
                <w:webHidden/>
              </w:rPr>
              <w:fldChar w:fldCharType="begin"/>
            </w:r>
            <w:r w:rsidR="006F1368">
              <w:rPr>
                <w:noProof/>
                <w:webHidden/>
              </w:rPr>
              <w:instrText xml:space="preserve"> PAGEREF _Toc44585087 \h </w:instrText>
            </w:r>
            <w:r w:rsidR="006F1368">
              <w:rPr>
                <w:noProof/>
                <w:webHidden/>
              </w:rPr>
            </w:r>
            <w:r w:rsidR="006F1368">
              <w:rPr>
                <w:noProof/>
                <w:webHidden/>
              </w:rPr>
              <w:fldChar w:fldCharType="separate"/>
            </w:r>
            <w:r w:rsidR="006F1368">
              <w:rPr>
                <w:noProof/>
                <w:webHidden/>
              </w:rPr>
              <w:t>27</w:t>
            </w:r>
            <w:r w:rsidR="006F1368">
              <w:rPr>
                <w:noProof/>
                <w:webHidden/>
              </w:rPr>
              <w:fldChar w:fldCharType="end"/>
            </w:r>
          </w:hyperlink>
        </w:p>
        <w:p w14:paraId="6F03FA47" w14:textId="00799BE7" w:rsidR="006F1368" w:rsidRDefault="00444FB8">
          <w:pPr>
            <w:pStyle w:val="TOC1"/>
            <w:tabs>
              <w:tab w:val="left" w:pos="440"/>
              <w:tab w:val="right" w:leader="dot" w:pos="9350"/>
            </w:tabs>
            <w:rPr>
              <w:rFonts w:asciiTheme="minorHAnsi" w:hAnsiTheme="minorHAnsi"/>
              <w:noProof/>
              <w:lang w:eastAsia="en-US"/>
            </w:rPr>
          </w:pPr>
          <w:hyperlink w:anchor="_Toc44585088" w:history="1">
            <w:r w:rsidR="006F1368" w:rsidRPr="00A11E9B">
              <w:rPr>
                <w:rStyle w:val="Hyperlink"/>
                <w:noProof/>
              </w:rPr>
              <w:t>3</w:t>
            </w:r>
            <w:r w:rsidR="006F1368">
              <w:rPr>
                <w:rFonts w:asciiTheme="minorHAnsi" w:hAnsiTheme="minorHAnsi"/>
                <w:noProof/>
                <w:lang w:eastAsia="en-US"/>
              </w:rPr>
              <w:tab/>
            </w:r>
            <w:r w:rsidR="006F1368" w:rsidRPr="00A11E9B">
              <w:rPr>
                <w:rStyle w:val="Hyperlink"/>
                <w:noProof/>
              </w:rPr>
              <w:t>Results</w:t>
            </w:r>
            <w:r w:rsidR="006F1368">
              <w:rPr>
                <w:noProof/>
                <w:webHidden/>
              </w:rPr>
              <w:tab/>
            </w:r>
            <w:r w:rsidR="006F1368">
              <w:rPr>
                <w:noProof/>
                <w:webHidden/>
              </w:rPr>
              <w:fldChar w:fldCharType="begin"/>
            </w:r>
            <w:r w:rsidR="006F1368">
              <w:rPr>
                <w:noProof/>
                <w:webHidden/>
              </w:rPr>
              <w:instrText xml:space="preserve"> PAGEREF _Toc44585088 \h </w:instrText>
            </w:r>
            <w:r w:rsidR="006F1368">
              <w:rPr>
                <w:noProof/>
                <w:webHidden/>
              </w:rPr>
            </w:r>
            <w:r w:rsidR="006F1368">
              <w:rPr>
                <w:noProof/>
                <w:webHidden/>
              </w:rPr>
              <w:fldChar w:fldCharType="separate"/>
            </w:r>
            <w:r w:rsidR="006F1368">
              <w:rPr>
                <w:noProof/>
                <w:webHidden/>
              </w:rPr>
              <w:t>28</w:t>
            </w:r>
            <w:r w:rsidR="006F1368">
              <w:rPr>
                <w:noProof/>
                <w:webHidden/>
              </w:rPr>
              <w:fldChar w:fldCharType="end"/>
            </w:r>
          </w:hyperlink>
        </w:p>
        <w:p w14:paraId="06A569A3" w14:textId="5D751403" w:rsidR="006F1368" w:rsidRDefault="00444FB8">
          <w:pPr>
            <w:pStyle w:val="TOC2"/>
            <w:tabs>
              <w:tab w:val="left" w:pos="880"/>
              <w:tab w:val="right" w:leader="dot" w:pos="9350"/>
            </w:tabs>
            <w:rPr>
              <w:rFonts w:asciiTheme="minorHAnsi" w:hAnsiTheme="minorHAnsi"/>
              <w:noProof/>
              <w:lang w:eastAsia="en-US"/>
            </w:rPr>
          </w:pPr>
          <w:hyperlink w:anchor="_Toc44585089" w:history="1">
            <w:r w:rsidR="006F1368" w:rsidRPr="00A11E9B">
              <w:rPr>
                <w:rStyle w:val="Hyperlink"/>
                <w:noProof/>
              </w:rPr>
              <w:t>3.1</w:t>
            </w:r>
            <w:r w:rsidR="006F1368">
              <w:rPr>
                <w:rFonts w:asciiTheme="minorHAnsi" w:hAnsiTheme="minorHAnsi"/>
                <w:noProof/>
                <w:lang w:eastAsia="en-US"/>
              </w:rPr>
              <w:tab/>
            </w:r>
            <w:r w:rsidR="006F1368" w:rsidRPr="00A11E9B">
              <w:rPr>
                <w:rStyle w:val="Hyperlink"/>
                <w:noProof/>
              </w:rPr>
              <w:t>Adoption</w:t>
            </w:r>
            <w:r w:rsidR="006F1368">
              <w:rPr>
                <w:noProof/>
                <w:webHidden/>
              </w:rPr>
              <w:tab/>
            </w:r>
            <w:r w:rsidR="006F1368">
              <w:rPr>
                <w:noProof/>
                <w:webHidden/>
              </w:rPr>
              <w:fldChar w:fldCharType="begin"/>
            </w:r>
            <w:r w:rsidR="006F1368">
              <w:rPr>
                <w:noProof/>
                <w:webHidden/>
              </w:rPr>
              <w:instrText xml:space="preserve"> PAGEREF _Toc44585089 \h </w:instrText>
            </w:r>
            <w:r w:rsidR="006F1368">
              <w:rPr>
                <w:noProof/>
                <w:webHidden/>
              </w:rPr>
            </w:r>
            <w:r w:rsidR="006F1368">
              <w:rPr>
                <w:noProof/>
                <w:webHidden/>
              </w:rPr>
              <w:fldChar w:fldCharType="separate"/>
            </w:r>
            <w:r w:rsidR="006F1368">
              <w:rPr>
                <w:noProof/>
                <w:webHidden/>
              </w:rPr>
              <w:t>28</w:t>
            </w:r>
            <w:r w:rsidR="006F1368">
              <w:rPr>
                <w:noProof/>
                <w:webHidden/>
              </w:rPr>
              <w:fldChar w:fldCharType="end"/>
            </w:r>
          </w:hyperlink>
        </w:p>
        <w:p w14:paraId="12D23ECD" w14:textId="7AE5ED7F" w:rsidR="006F1368" w:rsidRDefault="00444FB8">
          <w:pPr>
            <w:pStyle w:val="TOC2"/>
            <w:tabs>
              <w:tab w:val="left" w:pos="880"/>
              <w:tab w:val="right" w:leader="dot" w:pos="9350"/>
            </w:tabs>
            <w:rPr>
              <w:rFonts w:asciiTheme="minorHAnsi" w:hAnsiTheme="minorHAnsi"/>
              <w:noProof/>
              <w:lang w:eastAsia="en-US"/>
            </w:rPr>
          </w:pPr>
          <w:hyperlink w:anchor="_Toc44585090" w:history="1">
            <w:r w:rsidR="006F1368" w:rsidRPr="00A11E9B">
              <w:rPr>
                <w:rStyle w:val="Hyperlink"/>
                <w:noProof/>
              </w:rPr>
              <w:t>3.2</w:t>
            </w:r>
            <w:r w:rsidR="006F1368">
              <w:rPr>
                <w:rFonts w:asciiTheme="minorHAnsi" w:hAnsiTheme="minorHAnsi"/>
                <w:noProof/>
                <w:lang w:eastAsia="en-US"/>
              </w:rPr>
              <w:tab/>
            </w:r>
            <w:r w:rsidR="006F1368" w:rsidRPr="00A11E9B">
              <w:rPr>
                <w:rStyle w:val="Hyperlink"/>
                <w:noProof/>
              </w:rPr>
              <w:t>Climate Impacts</w:t>
            </w:r>
            <w:r w:rsidR="006F1368">
              <w:rPr>
                <w:noProof/>
                <w:webHidden/>
              </w:rPr>
              <w:tab/>
            </w:r>
            <w:r w:rsidR="006F1368">
              <w:rPr>
                <w:noProof/>
                <w:webHidden/>
              </w:rPr>
              <w:fldChar w:fldCharType="begin"/>
            </w:r>
            <w:r w:rsidR="006F1368">
              <w:rPr>
                <w:noProof/>
                <w:webHidden/>
              </w:rPr>
              <w:instrText xml:space="preserve"> PAGEREF _Toc44585090 \h </w:instrText>
            </w:r>
            <w:r w:rsidR="006F1368">
              <w:rPr>
                <w:noProof/>
                <w:webHidden/>
              </w:rPr>
            </w:r>
            <w:r w:rsidR="006F1368">
              <w:rPr>
                <w:noProof/>
                <w:webHidden/>
              </w:rPr>
              <w:fldChar w:fldCharType="separate"/>
            </w:r>
            <w:r w:rsidR="006F1368">
              <w:rPr>
                <w:noProof/>
                <w:webHidden/>
              </w:rPr>
              <w:t>29</w:t>
            </w:r>
            <w:r w:rsidR="006F1368">
              <w:rPr>
                <w:noProof/>
                <w:webHidden/>
              </w:rPr>
              <w:fldChar w:fldCharType="end"/>
            </w:r>
          </w:hyperlink>
        </w:p>
        <w:p w14:paraId="26BFF4DF" w14:textId="2A3C019F" w:rsidR="006F1368" w:rsidRDefault="00444FB8">
          <w:pPr>
            <w:pStyle w:val="TOC2"/>
            <w:tabs>
              <w:tab w:val="left" w:pos="880"/>
              <w:tab w:val="right" w:leader="dot" w:pos="9350"/>
            </w:tabs>
            <w:rPr>
              <w:rFonts w:asciiTheme="minorHAnsi" w:hAnsiTheme="minorHAnsi"/>
              <w:noProof/>
              <w:lang w:eastAsia="en-US"/>
            </w:rPr>
          </w:pPr>
          <w:hyperlink w:anchor="_Toc44585091" w:history="1">
            <w:r w:rsidR="006F1368" w:rsidRPr="00A11E9B">
              <w:rPr>
                <w:rStyle w:val="Hyperlink"/>
                <w:noProof/>
              </w:rPr>
              <w:t>3.3</w:t>
            </w:r>
            <w:r w:rsidR="006F1368">
              <w:rPr>
                <w:rFonts w:asciiTheme="minorHAnsi" w:hAnsiTheme="minorHAnsi"/>
                <w:noProof/>
                <w:lang w:eastAsia="en-US"/>
              </w:rPr>
              <w:tab/>
            </w:r>
            <w:r w:rsidR="006F1368" w:rsidRPr="00A11E9B">
              <w:rPr>
                <w:rStyle w:val="Hyperlink"/>
                <w:noProof/>
              </w:rPr>
              <w:t>Financial Impacts</w:t>
            </w:r>
            <w:r w:rsidR="006F1368">
              <w:rPr>
                <w:noProof/>
                <w:webHidden/>
              </w:rPr>
              <w:tab/>
            </w:r>
            <w:r w:rsidR="006F1368">
              <w:rPr>
                <w:noProof/>
                <w:webHidden/>
              </w:rPr>
              <w:fldChar w:fldCharType="begin"/>
            </w:r>
            <w:r w:rsidR="006F1368">
              <w:rPr>
                <w:noProof/>
                <w:webHidden/>
              </w:rPr>
              <w:instrText xml:space="preserve"> PAGEREF _Toc44585091 \h </w:instrText>
            </w:r>
            <w:r w:rsidR="006F1368">
              <w:rPr>
                <w:noProof/>
                <w:webHidden/>
              </w:rPr>
            </w:r>
            <w:r w:rsidR="006F1368">
              <w:rPr>
                <w:noProof/>
                <w:webHidden/>
              </w:rPr>
              <w:fldChar w:fldCharType="separate"/>
            </w:r>
            <w:r w:rsidR="006F1368">
              <w:rPr>
                <w:noProof/>
                <w:webHidden/>
              </w:rPr>
              <w:t>31</w:t>
            </w:r>
            <w:r w:rsidR="006F1368">
              <w:rPr>
                <w:noProof/>
                <w:webHidden/>
              </w:rPr>
              <w:fldChar w:fldCharType="end"/>
            </w:r>
          </w:hyperlink>
        </w:p>
        <w:p w14:paraId="2D21E3E8" w14:textId="6264DEBA" w:rsidR="006F1368" w:rsidRDefault="00444FB8">
          <w:pPr>
            <w:pStyle w:val="TOC1"/>
            <w:tabs>
              <w:tab w:val="left" w:pos="440"/>
              <w:tab w:val="right" w:leader="dot" w:pos="9350"/>
            </w:tabs>
            <w:rPr>
              <w:rFonts w:asciiTheme="minorHAnsi" w:hAnsiTheme="minorHAnsi"/>
              <w:noProof/>
              <w:lang w:eastAsia="en-US"/>
            </w:rPr>
          </w:pPr>
          <w:hyperlink w:anchor="_Toc44585092" w:history="1">
            <w:r w:rsidR="006F1368" w:rsidRPr="00A11E9B">
              <w:rPr>
                <w:rStyle w:val="Hyperlink"/>
                <w:noProof/>
              </w:rPr>
              <w:t>4</w:t>
            </w:r>
            <w:r w:rsidR="006F1368">
              <w:rPr>
                <w:rFonts w:asciiTheme="minorHAnsi" w:hAnsiTheme="minorHAnsi"/>
                <w:noProof/>
                <w:lang w:eastAsia="en-US"/>
              </w:rPr>
              <w:tab/>
            </w:r>
            <w:r w:rsidR="006F1368" w:rsidRPr="00A11E9B">
              <w:rPr>
                <w:rStyle w:val="Hyperlink"/>
                <w:noProof/>
              </w:rPr>
              <w:t>Discussion</w:t>
            </w:r>
            <w:r w:rsidR="006F1368">
              <w:rPr>
                <w:noProof/>
                <w:webHidden/>
              </w:rPr>
              <w:tab/>
            </w:r>
            <w:r w:rsidR="006F1368">
              <w:rPr>
                <w:noProof/>
                <w:webHidden/>
              </w:rPr>
              <w:fldChar w:fldCharType="begin"/>
            </w:r>
            <w:r w:rsidR="006F1368">
              <w:rPr>
                <w:noProof/>
                <w:webHidden/>
              </w:rPr>
              <w:instrText xml:space="preserve"> PAGEREF _Toc44585092 \h </w:instrText>
            </w:r>
            <w:r w:rsidR="006F1368">
              <w:rPr>
                <w:noProof/>
                <w:webHidden/>
              </w:rPr>
            </w:r>
            <w:r w:rsidR="006F1368">
              <w:rPr>
                <w:noProof/>
                <w:webHidden/>
              </w:rPr>
              <w:fldChar w:fldCharType="separate"/>
            </w:r>
            <w:r w:rsidR="006F1368">
              <w:rPr>
                <w:noProof/>
                <w:webHidden/>
              </w:rPr>
              <w:t>32</w:t>
            </w:r>
            <w:r w:rsidR="006F1368">
              <w:rPr>
                <w:noProof/>
                <w:webHidden/>
              </w:rPr>
              <w:fldChar w:fldCharType="end"/>
            </w:r>
          </w:hyperlink>
        </w:p>
        <w:p w14:paraId="08310D68" w14:textId="3F153B50" w:rsidR="006F1368" w:rsidRDefault="00444FB8">
          <w:pPr>
            <w:pStyle w:val="TOC2"/>
            <w:tabs>
              <w:tab w:val="left" w:pos="880"/>
              <w:tab w:val="right" w:leader="dot" w:pos="9350"/>
            </w:tabs>
            <w:rPr>
              <w:rFonts w:asciiTheme="minorHAnsi" w:hAnsiTheme="minorHAnsi"/>
              <w:noProof/>
              <w:lang w:eastAsia="en-US"/>
            </w:rPr>
          </w:pPr>
          <w:hyperlink w:anchor="_Toc44585093" w:history="1">
            <w:r w:rsidR="006F1368" w:rsidRPr="00A11E9B">
              <w:rPr>
                <w:rStyle w:val="Hyperlink"/>
                <w:noProof/>
              </w:rPr>
              <w:t>4.1</w:t>
            </w:r>
            <w:r w:rsidR="006F1368">
              <w:rPr>
                <w:rFonts w:asciiTheme="minorHAnsi" w:hAnsiTheme="minorHAnsi"/>
                <w:noProof/>
                <w:lang w:eastAsia="en-US"/>
              </w:rPr>
              <w:tab/>
            </w:r>
            <w:r w:rsidR="006F1368" w:rsidRPr="00A11E9B">
              <w:rPr>
                <w:rStyle w:val="Hyperlink"/>
                <w:noProof/>
              </w:rPr>
              <w:t>Limitations</w:t>
            </w:r>
            <w:r w:rsidR="006F1368">
              <w:rPr>
                <w:noProof/>
                <w:webHidden/>
              </w:rPr>
              <w:tab/>
            </w:r>
            <w:r w:rsidR="006F1368">
              <w:rPr>
                <w:noProof/>
                <w:webHidden/>
              </w:rPr>
              <w:fldChar w:fldCharType="begin"/>
            </w:r>
            <w:r w:rsidR="006F1368">
              <w:rPr>
                <w:noProof/>
                <w:webHidden/>
              </w:rPr>
              <w:instrText xml:space="preserve"> PAGEREF _Toc44585093 \h </w:instrText>
            </w:r>
            <w:r w:rsidR="006F1368">
              <w:rPr>
                <w:noProof/>
                <w:webHidden/>
              </w:rPr>
            </w:r>
            <w:r w:rsidR="006F1368">
              <w:rPr>
                <w:noProof/>
                <w:webHidden/>
              </w:rPr>
              <w:fldChar w:fldCharType="separate"/>
            </w:r>
            <w:r w:rsidR="006F1368">
              <w:rPr>
                <w:noProof/>
                <w:webHidden/>
              </w:rPr>
              <w:t>33</w:t>
            </w:r>
            <w:r w:rsidR="006F1368">
              <w:rPr>
                <w:noProof/>
                <w:webHidden/>
              </w:rPr>
              <w:fldChar w:fldCharType="end"/>
            </w:r>
          </w:hyperlink>
        </w:p>
        <w:p w14:paraId="5CDC0541" w14:textId="395D5DFF" w:rsidR="006F1368" w:rsidRDefault="00444FB8">
          <w:pPr>
            <w:pStyle w:val="TOC2"/>
            <w:tabs>
              <w:tab w:val="left" w:pos="880"/>
              <w:tab w:val="right" w:leader="dot" w:pos="9350"/>
            </w:tabs>
            <w:rPr>
              <w:rFonts w:asciiTheme="minorHAnsi" w:hAnsiTheme="minorHAnsi"/>
              <w:noProof/>
              <w:lang w:eastAsia="en-US"/>
            </w:rPr>
          </w:pPr>
          <w:hyperlink w:anchor="_Toc44585094" w:history="1">
            <w:r w:rsidR="006F1368" w:rsidRPr="00A11E9B">
              <w:rPr>
                <w:rStyle w:val="Hyperlink"/>
                <w:noProof/>
              </w:rPr>
              <w:t>4.2</w:t>
            </w:r>
            <w:r w:rsidR="006F1368">
              <w:rPr>
                <w:rFonts w:asciiTheme="minorHAnsi" w:hAnsiTheme="minorHAnsi"/>
                <w:noProof/>
                <w:lang w:eastAsia="en-US"/>
              </w:rPr>
              <w:tab/>
            </w:r>
            <w:r w:rsidR="006F1368" w:rsidRPr="00A11E9B">
              <w:rPr>
                <w:rStyle w:val="Hyperlink"/>
                <w:noProof/>
              </w:rPr>
              <w:t>Benchmarks</w:t>
            </w:r>
            <w:r w:rsidR="006F1368">
              <w:rPr>
                <w:noProof/>
                <w:webHidden/>
              </w:rPr>
              <w:tab/>
            </w:r>
            <w:r w:rsidR="006F1368">
              <w:rPr>
                <w:noProof/>
                <w:webHidden/>
              </w:rPr>
              <w:fldChar w:fldCharType="begin"/>
            </w:r>
            <w:r w:rsidR="006F1368">
              <w:rPr>
                <w:noProof/>
                <w:webHidden/>
              </w:rPr>
              <w:instrText xml:space="preserve"> PAGEREF _Toc44585094 \h </w:instrText>
            </w:r>
            <w:r w:rsidR="006F1368">
              <w:rPr>
                <w:noProof/>
                <w:webHidden/>
              </w:rPr>
            </w:r>
            <w:r w:rsidR="006F1368">
              <w:rPr>
                <w:noProof/>
                <w:webHidden/>
              </w:rPr>
              <w:fldChar w:fldCharType="separate"/>
            </w:r>
            <w:r w:rsidR="006F1368">
              <w:rPr>
                <w:noProof/>
                <w:webHidden/>
              </w:rPr>
              <w:t>33</w:t>
            </w:r>
            <w:r w:rsidR="006F1368">
              <w:rPr>
                <w:noProof/>
                <w:webHidden/>
              </w:rPr>
              <w:fldChar w:fldCharType="end"/>
            </w:r>
          </w:hyperlink>
        </w:p>
        <w:p w14:paraId="7FC26A79" w14:textId="0D110D4D" w:rsidR="006F1368" w:rsidRDefault="00444FB8">
          <w:pPr>
            <w:pStyle w:val="TOC1"/>
            <w:tabs>
              <w:tab w:val="left" w:pos="440"/>
              <w:tab w:val="right" w:leader="dot" w:pos="9350"/>
            </w:tabs>
            <w:rPr>
              <w:rFonts w:asciiTheme="minorHAnsi" w:hAnsiTheme="minorHAnsi"/>
              <w:noProof/>
              <w:lang w:eastAsia="en-US"/>
            </w:rPr>
          </w:pPr>
          <w:hyperlink w:anchor="_Toc44585095" w:history="1">
            <w:r w:rsidR="006F1368" w:rsidRPr="00A11E9B">
              <w:rPr>
                <w:rStyle w:val="Hyperlink"/>
                <w:noProof/>
              </w:rPr>
              <w:t>5</w:t>
            </w:r>
            <w:r w:rsidR="006F1368">
              <w:rPr>
                <w:rFonts w:asciiTheme="minorHAnsi" w:hAnsiTheme="minorHAnsi"/>
                <w:noProof/>
                <w:lang w:eastAsia="en-US"/>
              </w:rPr>
              <w:tab/>
            </w:r>
            <w:r w:rsidR="006F1368" w:rsidRPr="00A11E9B">
              <w:rPr>
                <w:rStyle w:val="Hyperlink"/>
                <w:noProof/>
              </w:rPr>
              <w:t>References</w:t>
            </w:r>
            <w:r w:rsidR="006F1368">
              <w:rPr>
                <w:noProof/>
                <w:webHidden/>
              </w:rPr>
              <w:tab/>
            </w:r>
            <w:r w:rsidR="006F1368">
              <w:rPr>
                <w:noProof/>
                <w:webHidden/>
              </w:rPr>
              <w:fldChar w:fldCharType="begin"/>
            </w:r>
            <w:r w:rsidR="006F1368">
              <w:rPr>
                <w:noProof/>
                <w:webHidden/>
              </w:rPr>
              <w:instrText xml:space="preserve"> PAGEREF _Toc44585095 \h </w:instrText>
            </w:r>
            <w:r w:rsidR="006F1368">
              <w:rPr>
                <w:noProof/>
                <w:webHidden/>
              </w:rPr>
            </w:r>
            <w:r w:rsidR="006F1368">
              <w:rPr>
                <w:noProof/>
                <w:webHidden/>
              </w:rPr>
              <w:fldChar w:fldCharType="separate"/>
            </w:r>
            <w:r w:rsidR="006F1368">
              <w:rPr>
                <w:noProof/>
                <w:webHidden/>
              </w:rPr>
              <w:t>33</w:t>
            </w:r>
            <w:r w:rsidR="006F1368">
              <w:rPr>
                <w:noProof/>
                <w:webHidden/>
              </w:rPr>
              <w:fldChar w:fldCharType="end"/>
            </w:r>
          </w:hyperlink>
        </w:p>
        <w:p w14:paraId="607B9852" w14:textId="085AFCED" w:rsidR="006F1368" w:rsidRDefault="00444FB8">
          <w:pPr>
            <w:pStyle w:val="TOC1"/>
            <w:tabs>
              <w:tab w:val="left" w:pos="440"/>
              <w:tab w:val="right" w:leader="dot" w:pos="9350"/>
            </w:tabs>
            <w:rPr>
              <w:rFonts w:asciiTheme="minorHAnsi" w:hAnsiTheme="minorHAnsi"/>
              <w:noProof/>
              <w:lang w:eastAsia="en-US"/>
            </w:rPr>
          </w:pPr>
          <w:hyperlink w:anchor="_Toc44585096" w:history="1">
            <w:r w:rsidR="006F1368" w:rsidRPr="00A11E9B">
              <w:rPr>
                <w:rStyle w:val="Hyperlink"/>
                <w:noProof/>
              </w:rPr>
              <w:t>6</w:t>
            </w:r>
            <w:r w:rsidR="006F1368">
              <w:rPr>
                <w:rFonts w:asciiTheme="minorHAnsi" w:hAnsiTheme="minorHAnsi"/>
                <w:noProof/>
                <w:lang w:eastAsia="en-US"/>
              </w:rPr>
              <w:tab/>
            </w:r>
            <w:r w:rsidR="006F1368" w:rsidRPr="00A11E9B">
              <w:rPr>
                <w:rStyle w:val="Hyperlink"/>
                <w:noProof/>
              </w:rPr>
              <w:t>Glossary</w:t>
            </w:r>
            <w:r w:rsidR="006F1368">
              <w:rPr>
                <w:noProof/>
                <w:webHidden/>
              </w:rPr>
              <w:tab/>
            </w:r>
            <w:r w:rsidR="006F1368">
              <w:rPr>
                <w:noProof/>
                <w:webHidden/>
              </w:rPr>
              <w:fldChar w:fldCharType="begin"/>
            </w:r>
            <w:r w:rsidR="006F1368">
              <w:rPr>
                <w:noProof/>
                <w:webHidden/>
              </w:rPr>
              <w:instrText xml:space="preserve"> PAGEREF _Toc44585096 \h </w:instrText>
            </w:r>
            <w:r w:rsidR="006F1368">
              <w:rPr>
                <w:noProof/>
                <w:webHidden/>
              </w:rPr>
            </w:r>
            <w:r w:rsidR="006F1368">
              <w:rPr>
                <w:noProof/>
                <w:webHidden/>
              </w:rPr>
              <w:fldChar w:fldCharType="separate"/>
            </w:r>
            <w:r w:rsidR="006F1368">
              <w:rPr>
                <w:noProof/>
                <w:webHidden/>
              </w:rPr>
              <w:t>36</w:t>
            </w:r>
            <w:r w:rsidR="006F1368">
              <w:rPr>
                <w:noProof/>
                <w:webHidden/>
              </w:rPr>
              <w:fldChar w:fldCharType="end"/>
            </w:r>
          </w:hyperlink>
        </w:p>
        <w:p w14:paraId="12C7DAF6" w14:textId="1D7A1482" w:rsidR="00640665" w:rsidRDefault="00640665" w:rsidP="00EB247F">
          <w:pPr>
            <w:spacing w:after="0"/>
          </w:pPr>
          <w:r w:rsidRPr="00C44058">
            <w:rPr>
              <w:b/>
              <w:bCs/>
              <w:noProof/>
            </w:rPr>
            <w:fldChar w:fldCharType="end"/>
          </w:r>
        </w:p>
      </w:sdtContent>
    </w:sdt>
    <w:p w14:paraId="1827C10C" w14:textId="3B09BCA5" w:rsidR="00F15AEE" w:rsidRDefault="00F15AEE" w:rsidP="00EB247F">
      <w:pPr>
        <w:spacing w:after="0"/>
      </w:pPr>
      <w:r>
        <w:br w:type="page"/>
      </w:r>
    </w:p>
    <w:p w14:paraId="325B3971" w14:textId="4DF0A92F" w:rsidR="2D56E7D4" w:rsidRDefault="00C23CAC" w:rsidP="00EB247F">
      <w:pPr>
        <w:pStyle w:val="Heading1"/>
        <w:numPr>
          <w:ilvl w:val="0"/>
          <w:numId w:val="0"/>
        </w:numPr>
        <w:rPr>
          <w:noProof/>
        </w:rPr>
      </w:pPr>
      <w:bookmarkStart w:id="1" w:name="_Toc44585056"/>
      <w:r>
        <w:rPr>
          <w:noProof/>
        </w:rPr>
        <w:lastRenderedPageBreak/>
        <w:t xml:space="preserve">List of </w:t>
      </w:r>
      <w:r w:rsidR="2D56E7D4" w:rsidRPr="2D56E7D4">
        <w:rPr>
          <w:noProof/>
        </w:rPr>
        <w:t>Figures</w:t>
      </w:r>
      <w:bookmarkEnd w:id="1"/>
    </w:p>
    <w:p w14:paraId="36FDD494" w14:textId="234C0BD2" w:rsidR="006F1368" w:rsidRDefault="00F15AEE">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"Figure" </w:instrText>
      </w:r>
      <w:r w:rsidRPr="003A0234">
        <w:fldChar w:fldCharType="separate"/>
      </w:r>
      <w:hyperlink w:anchor="_Toc44585097" w:history="1">
        <w:r w:rsidR="006F1368" w:rsidRPr="00197DB1">
          <w:rPr>
            <w:rStyle w:val="Hyperlink"/>
            <w:noProof/>
          </w:rPr>
          <w:t>Figure 2.1 Lighting TAM for Global Building Stock</w:t>
        </w:r>
        <w:r w:rsidR="006F1368">
          <w:rPr>
            <w:noProof/>
            <w:webHidden/>
          </w:rPr>
          <w:tab/>
        </w:r>
        <w:r w:rsidR="006F1368">
          <w:rPr>
            <w:noProof/>
            <w:webHidden/>
          </w:rPr>
          <w:fldChar w:fldCharType="begin"/>
        </w:r>
        <w:r w:rsidR="006F1368">
          <w:rPr>
            <w:noProof/>
            <w:webHidden/>
          </w:rPr>
          <w:instrText xml:space="preserve"> PAGEREF _Toc44585097 \h </w:instrText>
        </w:r>
        <w:r w:rsidR="006F1368">
          <w:rPr>
            <w:noProof/>
            <w:webHidden/>
          </w:rPr>
        </w:r>
        <w:r w:rsidR="006F1368">
          <w:rPr>
            <w:noProof/>
            <w:webHidden/>
          </w:rPr>
          <w:fldChar w:fldCharType="separate"/>
        </w:r>
        <w:r w:rsidR="006F1368">
          <w:rPr>
            <w:noProof/>
            <w:webHidden/>
          </w:rPr>
          <w:t>20</w:t>
        </w:r>
        <w:r w:rsidR="006F1368">
          <w:rPr>
            <w:noProof/>
            <w:webHidden/>
          </w:rPr>
          <w:fldChar w:fldCharType="end"/>
        </w:r>
      </w:hyperlink>
    </w:p>
    <w:p w14:paraId="42D0F2BB" w14:textId="31A91177" w:rsidR="006F1368" w:rsidRDefault="00444FB8">
      <w:pPr>
        <w:pStyle w:val="TableofFigures"/>
        <w:tabs>
          <w:tab w:val="right" w:leader="dot" w:pos="9350"/>
        </w:tabs>
        <w:rPr>
          <w:rFonts w:asciiTheme="minorHAnsi" w:hAnsiTheme="minorHAnsi"/>
          <w:noProof/>
          <w:lang w:eastAsia="en-US"/>
        </w:rPr>
      </w:pPr>
      <w:hyperlink w:anchor="_Toc44585098" w:history="1">
        <w:r w:rsidR="006F1368" w:rsidRPr="00197DB1">
          <w:rPr>
            <w:rStyle w:val="Hyperlink"/>
            <w:noProof/>
          </w:rPr>
          <w:t>Figure 3.1 World Annual Adoption 2020-2050</w:t>
        </w:r>
        <w:r w:rsidR="006F1368">
          <w:rPr>
            <w:noProof/>
            <w:webHidden/>
          </w:rPr>
          <w:tab/>
        </w:r>
        <w:r w:rsidR="006F1368">
          <w:rPr>
            <w:noProof/>
            <w:webHidden/>
          </w:rPr>
          <w:fldChar w:fldCharType="begin"/>
        </w:r>
        <w:r w:rsidR="006F1368">
          <w:rPr>
            <w:noProof/>
            <w:webHidden/>
          </w:rPr>
          <w:instrText xml:space="preserve"> PAGEREF _Toc44585098 \h </w:instrText>
        </w:r>
        <w:r w:rsidR="006F1368">
          <w:rPr>
            <w:noProof/>
            <w:webHidden/>
          </w:rPr>
        </w:r>
        <w:r w:rsidR="006F1368">
          <w:rPr>
            <w:noProof/>
            <w:webHidden/>
          </w:rPr>
          <w:fldChar w:fldCharType="separate"/>
        </w:r>
        <w:r w:rsidR="006F1368">
          <w:rPr>
            <w:noProof/>
            <w:webHidden/>
          </w:rPr>
          <w:t>29</w:t>
        </w:r>
        <w:r w:rsidR="006F1368">
          <w:rPr>
            <w:noProof/>
            <w:webHidden/>
          </w:rPr>
          <w:fldChar w:fldCharType="end"/>
        </w:r>
      </w:hyperlink>
    </w:p>
    <w:p w14:paraId="64FCB5EA" w14:textId="584FC4C4" w:rsidR="006F1368" w:rsidRDefault="00444FB8">
      <w:pPr>
        <w:pStyle w:val="TableofFigures"/>
        <w:tabs>
          <w:tab w:val="right" w:leader="dot" w:pos="9350"/>
        </w:tabs>
        <w:rPr>
          <w:rFonts w:asciiTheme="minorHAnsi" w:hAnsiTheme="minorHAnsi"/>
          <w:noProof/>
          <w:lang w:eastAsia="en-US"/>
        </w:rPr>
      </w:pPr>
      <w:hyperlink w:anchor="_Toc44585099" w:history="1">
        <w:r w:rsidR="006F1368" w:rsidRPr="00197DB1">
          <w:rPr>
            <w:rStyle w:val="Hyperlink"/>
            <w:noProof/>
          </w:rPr>
          <w:t>Figure 3.2 World Annual</w:t>
        </w:r>
        <w:r w:rsidR="006F1368" w:rsidRPr="00197DB1">
          <w:rPr>
            <w:rStyle w:val="Hyperlink"/>
            <w:noProof/>
            <w:vertAlign w:val="subscript"/>
          </w:rPr>
          <w:t xml:space="preserve"> </w:t>
        </w:r>
        <w:r w:rsidR="006F1368" w:rsidRPr="00197DB1">
          <w:rPr>
            <w:rStyle w:val="Hyperlink"/>
            <w:noProof/>
          </w:rPr>
          <w:t>Greenhouse Gas Emissions Reduction</w:t>
        </w:r>
        <w:r w:rsidR="006F1368">
          <w:rPr>
            <w:noProof/>
            <w:webHidden/>
          </w:rPr>
          <w:tab/>
        </w:r>
        <w:r w:rsidR="006F1368">
          <w:rPr>
            <w:noProof/>
            <w:webHidden/>
          </w:rPr>
          <w:fldChar w:fldCharType="begin"/>
        </w:r>
        <w:r w:rsidR="006F1368">
          <w:rPr>
            <w:noProof/>
            <w:webHidden/>
          </w:rPr>
          <w:instrText xml:space="preserve"> PAGEREF _Toc44585099 \h </w:instrText>
        </w:r>
        <w:r w:rsidR="006F1368">
          <w:rPr>
            <w:noProof/>
            <w:webHidden/>
          </w:rPr>
        </w:r>
        <w:r w:rsidR="006F1368">
          <w:rPr>
            <w:noProof/>
            <w:webHidden/>
          </w:rPr>
          <w:fldChar w:fldCharType="separate"/>
        </w:r>
        <w:r w:rsidR="006F1368">
          <w:rPr>
            <w:noProof/>
            <w:webHidden/>
          </w:rPr>
          <w:t>31</w:t>
        </w:r>
        <w:r w:rsidR="006F1368">
          <w:rPr>
            <w:noProof/>
            <w:webHidden/>
          </w:rPr>
          <w:fldChar w:fldCharType="end"/>
        </w:r>
      </w:hyperlink>
    </w:p>
    <w:p w14:paraId="4DDBC4DF" w14:textId="57910036" w:rsidR="006F1368" w:rsidRDefault="00444FB8">
      <w:pPr>
        <w:pStyle w:val="TableofFigures"/>
        <w:tabs>
          <w:tab w:val="right" w:leader="dot" w:pos="9350"/>
        </w:tabs>
        <w:rPr>
          <w:rFonts w:asciiTheme="minorHAnsi" w:hAnsiTheme="minorHAnsi"/>
          <w:noProof/>
          <w:lang w:eastAsia="en-US"/>
        </w:rPr>
      </w:pPr>
      <w:hyperlink w:anchor="_Toc44585100" w:history="1">
        <w:r w:rsidR="006F1368" w:rsidRPr="00197DB1">
          <w:rPr>
            <w:rStyle w:val="Hyperlink"/>
            <w:noProof/>
          </w:rPr>
          <w:t>Figure 3.3 Operating Costs Over Time</w:t>
        </w:r>
        <w:r w:rsidR="006F1368">
          <w:rPr>
            <w:noProof/>
            <w:webHidden/>
          </w:rPr>
          <w:tab/>
        </w:r>
        <w:r w:rsidR="006F1368">
          <w:rPr>
            <w:noProof/>
            <w:webHidden/>
          </w:rPr>
          <w:fldChar w:fldCharType="begin"/>
        </w:r>
        <w:r w:rsidR="006F1368">
          <w:rPr>
            <w:noProof/>
            <w:webHidden/>
          </w:rPr>
          <w:instrText xml:space="preserve"> PAGEREF _Toc44585100 \h </w:instrText>
        </w:r>
        <w:r w:rsidR="006F1368">
          <w:rPr>
            <w:noProof/>
            <w:webHidden/>
          </w:rPr>
        </w:r>
        <w:r w:rsidR="006F1368">
          <w:rPr>
            <w:noProof/>
            <w:webHidden/>
          </w:rPr>
          <w:fldChar w:fldCharType="separate"/>
        </w:r>
        <w:r w:rsidR="006F1368">
          <w:rPr>
            <w:noProof/>
            <w:webHidden/>
          </w:rPr>
          <w:t>32</w:t>
        </w:r>
        <w:r w:rsidR="006F1368">
          <w:rPr>
            <w:noProof/>
            <w:webHidden/>
          </w:rPr>
          <w:fldChar w:fldCharType="end"/>
        </w:r>
      </w:hyperlink>
    </w:p>
    <w:p w14:paraId="5AD133BD" w14:textId="4BA93FB5" w:rsidR="00640665" w:rsidRPr="003A0234" w:rsidRDefault="00F15AEE" w:rsidP="00483FFA">
      <w:r w:rsidRPr="003A0234">
        <w:fldChar w:fldCharType="end"/>
      </w:r>
    </w:p>
    <w:p w14:paraId="6055DED9" w14:textId="24973E3A" w:rsidR="006A4A08" w:rsidRPr="003A0234" w:rsidRDefault="00C23CAC" w:rsidP="00EB247F">
      <w:pPr>
        <w:pStyle w:val="Heading1"/>
        <w:numPr>
          <w:ilvl w:val="0"/>
          <w:numId w:val="0"/>
        </w:numPr>
      </w:pPr>
      <w:bookmarkStart w:id="2" w:name="_Toc44585057"/>
      <w:r w:rsidRPr="003A0234">
        <w:t xml:space="preserve">List of </w:t>
      </w:r>
      <w:r w:rsidR="2D56E7D4" w:rsidRPr="003A0234">
        <w:t>Tables</w:t>
      </w:r>
      <w:bookmarkEnd w:id="2"/>
    </w:p>
    <w:p w14:paraId="22889099" w14:textId="70C5C62E" w:rsidR="006F1368" w:rsidRDefault="006A4A08">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"Table" </w:instrText>
      </w:r>
      <w:r w:rsidRPr="003A0234">
        <w:fldChar w:fldCharType="separate"/>
      </w:r>
      <w:hyperlink w:anchor="_Toc44585101" w:history="1">
        <w:r w:rsidR="006F1368" w:rsidRPr="00662637">
          <w:rPr>
            <w:rStyle w:val="Hyperlink"/>
            <w:noProof/>
          </w:rPr>
          <w:t>Table 1.1</w:t>
        </w:r>
        <w:r w:rsidR="006F1368" w:rsidRPr="00662637">
          <w:rPr>
            <w:rStyle w:val="Hyperlink"/>
            <w:bCs/>
            <w:noProof/>
          </w:rPr>
          <w:t xml:space="preserve"> Shares of Lighting Technologies in Residential Market in Europe and US</w:t>
        </w:r>
        <w:r w:rsidR="006F1368">
          <w:rPr>
            <w:noProof/>
            <w:webHidden/>
          </w:rPr>
          <w:tab/>
        </w:r>
        <w:r w:rsidR="006F1368">
          <w:rPr>
            <w:noProof/>
            <w:webHidden/>
          </w:rPr>
          <w:fldChar w:fldCharType="begin"/>
        </w:r>
        <w:r w:rsidR="006F1368">
          <w:rPr>
            <w:noProof/>
            <w:webHidden/>
          </w:rPr>
          <w:instrText xml:space="preserve"> PAGEREF _Toc44585101 \h </w:instrText>
        </w:r>
        <w:r w:rsidR="006F1368">
          <w:rPr>
            <w:noProof/>
            <w:webHidden/>
          </w:rPr>
        </w:r>
        <w:r w:rsidR="006F1368">
          <w:rPr>
            <w:noProof/>
            <w:webHidden/>
          </w:rPr>
          <w:fldChar w:fldCharType="separate"/>
        </w:r>
        <w:r w:rsidR="006F1368">
          <w:rPr>
            <w:noProof/>
            <w:webHidden/>
          </w:rPr>
          <w:t>11</w:t>
        </w:r>
        <w:r w:rsidR="006F1368">
          <w:rPr>
            <w:noProof/>
            <w:webHidden/>
          </w:rPr>
          <w:fldChar w:fldCharType="end"/>
        </w:r>
      </w:hyperlink>
    </w:p>
    <w:p w14:paraId="6C1FFC38" w14:textId="3E5697DA" w:rsidR="006F1368" w:rsidRDefault="00444FB8">
      <w:pPr>
        <w:pStyle w:val="TableofFigures"/>
        <w:tabs>
          <w:tab w:val="right" w:leader="dot" w:pos="9350"/>
        </w:tabs>
        <w:rPr>
          <w:rFonts w:asciiTheme="minorHAnsi" w:hAnsiTheme="minorHAnsi"/>
          <w:noProof/>
          <w:lang w:eastAsia="en-US"/>
        </w:rPr>
      </w:pPr>
      <w:hyperlink w:anchor="_Toc44585102" w:history="1">
        <w:r w:rsidR="006F1368" w:rsidRPr="00662637">
          <w:rPr>
            <w:rStyle w:val="Hyperlink"/>
            <w:noProof/>
          </w:rPr>
          <w:t>Table 1.2 List of the main advantages and disadvantages of LED lighting in residential buildings.</w:t>
        </w:r>
        <w:r w:rsidR="006F1368">
          <w:rPr>
            <w:noProof/>
            <w:webHidden/>
          </w:rPr>
          <w:tab/>
        </w:r>
        <w:r w:rsidR="006F1368">
          <w:rPr>
            <w:noProof/>
            <w:webHidden/>
          </w:rPr>
          <w:fldChar w:fldCharType="begin"/>
        </w:r>
        <w:r w:rsidR="006F1368">
          <w:rPr>
            <w:noProof/>
            <w:webHidden/>
          </w:rPr>
          <w:instrText xml:space="preserve"> PAGEREF _Toc44585102 \h </w:instrText>
        </w:r>
        <w:r w:rsidR="006F1368">
          <w:rPr>
            <w:noProof/>
            <w:webHidden/>
          </w:rPr>
        </w:r>
        <w:r w:rsidR="006F1368">
          <w:rPr>
            <w:noProof/>
            <w:webHidden/>
          </w:rPr>
          <w:fldChar w:fldCharType="separate"/>
        </w:r>
        <w:r w:rsidR="006F1368">
          <w:rPr>
            <w:noProof/>
            <w:webHidden/>
          </w:rPr>
          <w:t>16</w:t>
        </w:r>
        <w:r w:rsidR="006F1368">
          <w:rPr>
            <w:noProof/>
            <w:webHidden/>
          </w:rPr>
          <w:fldChar w:fldCharType="end"/>
        </w:r>
      </w:hyperlink>
    </w:p>
    <w:p w14:paraId="221BEADB" w14:textId="09924D12" w:rsidR="006F1368" w:rsidRDefault="00444FB8">
      <w:pPr>
        <w:pStyle w:val="TableofFigures"/>
        <w:tabs>
          <w:tab w:val="right" w:leader="dot" w:pos="9350"/>
        </w:tabs>
        <w:rPr>
          <w:rFonts w:asciiTheme="minorHAnsi" w:hAnsiTheme="minorHAnsi"/>
          <w:noProof/>
          <w:lang w:eastAsia="en-US"/>
        </w:rPr>
      </w:pPr>
      <w:hyperlink w:anchor="_Toc44585103" w:history="1">
        <w:r w:rsidR="006F1368" w:rsidRPr="00662637">
          <w:rPr>
            <w:rStyle w:val="Hyperlink"/>
            <w:noProof/>
          </w:rPr>
          <w:t xml:space="preserve">Table 1.3 Technology  Comparison of various lighting sources </w:t>
        </w:r>
        <w:r w:rsidR="006F1368" w:rsidRPr="00662637">
          <w:rPr>
            <w:rStyle w:val="Hyperlink"/>
            <w:rFonts w:cs="Times New Roman"/>
            <w:noProof/>
          </w:rPr>
          <w:t>(Weisbuch, 2018)</w:t>
        </w:r>
        <w:r w:rsidR="006F1368">
          <w:rPr>
            <w:noProof/>
            <w:webHidden/>
          </w:rPr>
          <w:tab/>
        </w:r>
        <w:r w:rsidR="006F1368">
          <w:rPr>
            <w:noProof/>
            <w:webHidden/>
          </w:rPr>
          <w:fldChar w:fldCharType="begin"/>
        </w:r>
        <w:r w:rsidR="006F1368">
          <w:rPr>
            <w:noProof/>
            <w:webHidden/>
          </w:rPr>
          <w:instrText xml:space="preserve"> PAGEREF _Toc44585103 \h </w:instrText>
        </w:r>
        <w:r w:rsidR="006F1368">
          <w:rPr>
            <w:noProof/>
            <w:webHidden/>
          </w:rPr>
        </w:r>
        <w:r w:rsidR="006F1368">
          <w:rPr>
            <w:noProof/>
            <w:webHidden/>
          </w:rPr>
          <w:fldChar w:fldCharType="separate"/>
        </w:r>
        <w:r w:rsidR="006F1368">
          <w:rPr>
            <w:noProof/>
            <w:webHidden/>
          </w:rPr>
          <w:t>17</w:t>
        </w:r>
        <w:r w:rsidR="006F1368">
          <w:rPr>
            <w:noProof/>
            <w:webHidden/>
          </w:rPr>
          <w:fldChar w:fldCharType="end"/>
        </w:r>
      </w:hyperlink>
    </w:p>
    <w:p w14:paraId="240D8670" w14:textId="36F1EB36" w:rsidR="006F1368" w:rsidRDefault="00444FB8">
      <w:pPr>
        <w:pStyle w:val="TableofFigures"/>
        <w:tabs>
          <w:tab w:val="right" w:leader="dot" w:pos="9350"/>
        </w:tabs>
        <w:rPr>
          <w:rFonts w:asciiTheme="minorHAnsi" w:hAnsiTheme="minorHAnsi"/>
          <w:noProof/>
          <w:lang w:eastAsia="en-US"/>
        </w:rPr>
      </w:pPr>
      <w:hyperlink w:anchor="_Toc44585104" w:history="1">
        <w:r w:rsidR="006F1368" w:rsidRPr="00662637">
          <w:rPr>
            <w:rStyle w:val="Hyperlink"/>
            <w:noProof/>
          </w:rPr>
          <w:t>Table 2.1 Climate Inputs</w:t>
        </w:r>
        <w:r w:rsidR="006F1368">
          <w:rPr>
            <w:noProof/>
            <w:webHidden/>
          </w:rPr>
          <w:tab/>
        </w:r>
        <w:r w:rsidR="006F1368">
          <w:rPr>
            <w:noProof/>
            <w:webHidden/>
          </w:rPr>
          <w:fldChar w:fldCharType="begin"/>
        </w:r>
        <w:r w:rsidR="006F1368">
          <w:rPr>
            <w:noProof/>
            <w:webHidden/>
          </w:rPr>
          <w:instrText xml:space="preserve"> PAGEREF _Toc44585104 \h </w:instrText>
        </w:r>
        <w:r w:rsidR="006F1368">
          <w:rPr>
            <w:noProof/>
            <w:webHidden/>
          </w:rPr>
        </w:r>
        <w:r w:rsidR="006F1368">
          <w:rPr>
            <w:noProof/>
            <w:webHidden/>
          </w:rPr>
          <w:fldChar w:fldCharType="separate"/>
        </w:r>
        <w:r w:rsidR="006F1368">
          <w:rPr>
            <w:noProof/>
            <w:webHidden/>
          </w:rPr>
          <w:t>22</w:t>
        </w:r>
        <w:r w:rsidR="006F1368">
          <w:rPr>
            <w:noProof/>
            <w:webHidden/>
          </w:rPr>
          <w:fldChar w:fldCharType="end"/>
        </w:r>
      </w:hyperlink>
    </w:p>
    <w:p w14:paraId="35EB36FA" w14:textId="08F5A7AE" w:rsidR="006F1368" w:rsidRDefault="00444FB8">
      <w:pPr>
        <w:pStyle w:val="TableofFigures"/>
        <w:tabs>
          <w:tab w:val="right" w:leader="dot" w:pos="9350"/>
        </w:tabs>
        <w:rPr>
          <w:rFonts w:asciiTheme="minorHAnsi" w:hAnsiTheme="minorHAnsi"/>
          <w:noProof/>
          <w:lang w:eastAsia="en-US"/>
        </w:rPr>
      </w:pPr>
      <w:hyperlink w:anchor="_Toc44585105" w:history="1">
        <w:r w:rsidR="006F1368" w:rsidRPr="00662637">
          <w:rPr>
            <w:rStyle w:val="Hyperlink"/>
            <w:noProof/>
          </w:rPr>
          <w:t>Table 2.2 Financial Inputs for Conventional Technologies</w:t>
        </w:r>
        <w:r w:rsidR="006F1368">
          <w:rPr>
            <w:noProof/>
            <w:webHidden/>
          </w:rPr>
          <w:tab/>
        </w:r>
        <w:r w:rsidR="006F1368">
          <w:rPr>
            <w:noProof/>
            <w:webHidden/>
          </w:rPr>
          <w:fldChar w:fldCharType="begin"/>
        </w:r>
        <w:r w:rsidR="006F1368">
          <w:rPr>
            <w:noProof/>
            <w:webHidden/>
          </w:rPr>
          <w:instrText xml:space="preserve"> PAGEREF _Toc44585105 \h </w:instrText>
        </w:r>
        <w:r w:rsidR="006F1368">
          <w:rPr>
            <w:noProof/>
            <w:webHidden/>
          </w:rPr>
        </w:r>
        <w:r w:rsidR="006F1368">
          <w:rPr>
            <w:noProof/>
            <w:webHidden/>
          </w:rPr>
          <w:fldChar w:fldCharType="separate"/>
        </w:r>
        <w:r w:rsidR="006F1368">
          <w:rPr>
            <w:noProof/>
            <w:webHidden/>
          </w:rPr>
          <w:t>24</w:t>
        </w:r>
        <w:r w:rsidR="006F1368">
          <w:rPr>
            <w:noProof/>
            <w:webHidden/>
          </w:rPr>
          <w:fldChar w:fldCharType="end"/>
        </w:r>
      </w:hyperlink>
    </w:p>
    <w:p w14:paraId="1BA8E8D1" w14:textId="38FD9EF0" w:rsidR="006F1368" w:rsidRDefault="00444FB8">
      <w:pPr>
        <w:pStyle w:val="TableofFigures"/>
        <w:tabs>
          <w:tab w:val="right" w:leader="dot" w:pos="9350"/>
        </w:tabs>
        <w:rPr>
          <w:rFonts w:asciiTheme="minorHAnsi" w:hAnsiTheme="minorHAnsi"/>
          <w:noProof/>
          <w:lang w:eastAsia="en-US"/>
        </w:rPr>
      </w:pPr>
      <w:hyperlink w:anchor="_Toc44585106" w:history="1">
        <w:r w:rsidR="006F1368" w:rsidRPr="00662637">
          <w:rPr>
            <w:rStyle w:val="Hyperlink"/>
            <w:noProof/>
          </w:rPr>
          <w:t>Table 2.3 Financial Inputs for Solution</w:t>
        </w:r>
        <w:r w:rsidR="006F1368">
          <w:rPr>
            <w:noProof/>
            <w:webHidden/>
          </w:rPr>
          <w:tab/>
        </w:r>
        <w:r w:rsidR="006F1368">
          <w:rPr>
            <w:noProof/>
            <w:webHidden/>
          </w:rPr>
          <w:fldChar w:fldCharType="begin"/>
        </w:r>
        <w:r w:rsidR="006F1368">
          <w:rPr>
            <w:noProof/>
            <w:webHidden/>
          </w:rPr>
          <w:instrText xml:space="preserve"> PAGEREF _Toc44585106 \h </w:instrText>
        </w:r>
        <w:r w:rsidR="006F1368">
          <w:rPr>
            <w:noProof/>
            <w:webHidden/>
          </w:rPr>
        </w:r>
        <w:r w:rsidR="006F1368">
          <w:rPr>
            <w:noProof/>
            <w:webHidden/>
          </w:rPr>
          <w:fldChar w:fldCharType="separate"/>
        </w:r>
        <w:r w:rsidR="006F1368">
          <w:rPr>
            <w:noProof/>
            <w:webHidden/>
          </w:rPr>
          <w:t>24</w:t>
        </w:r>
        <w:r w:rsidR="006F1368">
          <w:rPr>
            <w:noProof/>
            <w:webHidden/>
          </w:rPr>
          <w:fldChar w:fldCharType="end"/>
        </w:r>
      </w:hyperlink>
    </w:p>
    <w:p w14:paraId="39F86528" w14:textId="2D869337" w:rsidR="006F1368" w:rsidRDefault="00444FB8">
      <w:pPr>
        <w:pStyle w:val="TableofFigures"/>
        <w:tabs>
          <w:tab w:val="right" w:leader="dot" w:pos="9350"/>
        </w:tabs>
        <w:rPr>
          <w:rFonts w:asciiTheme="minorHAnsi" w:hAnsiTheme="minorHAnsi"/>
          <w:noProof/>
          <w:lang w:eastAsia="en-US"/>
        </w:rPr>
      </w:pPr>
      <w:hyperlink w:anchor="_Toc44585107" w:history="1">
        <w:r w:rsidR="006F1368" w:rsidRPr="00662637">
          <w:rPr>
            <w:rStyle w:val="Hyperlink"/>
            <w:noProof/>
          </w:rPr>
          <w:t>Table 2.4 Technical  Inputs Conventional Technologies</w:t>
        </w:r>
        <w:r w:rsidR="006F1368">
          <w:rPr>
            <w:noProof/>
            <w:webHidden/>
          </w:rPr>
          <w:tab/>
        </w:r>
        <w:r w:rsidR="006F1368">
          <w:rPr>
            <w:noProof/>
            <w:webHidden/>
          </w:rPr>
          <w:fldChar w:fldCharType="begin"/>
        </w:r>
        <w:r w:rsidR="006F1368">
          <w:rPr>
            <w:noProof/>
            <w:webHidden/>
          </w:rPr>
          <w:instrText xml:space="preserve"> PAGEREF _Toc44585107 \h </w:instrText>
        </w:r>
        <w:r w:rsidR="006F1368">
          <w:rPr>
            <w:noProof/>
            <w:webHidden/>
          </w:rPr>
        </w:r>
        <w:r w:rsidR="006F1368">
          <w:rPr>
            <w:noProof/>
            <w:webHidden/>
          </w:rPr>
          <w:fldChar w:fldCharType="separate"/>
        </w:r>
        <w:r w:rsidR="006F1368">
          <w:rPr>
            <w:noProof/>
            <w:webHidden/>
          </w:rPr>
          <w:t>24</w:t>
        </w:r>
        <w:r w:rsidR="006F1368">
          <w:rPr>
            <w:noProof/>
            <w:webHidden/>
          </w:rPr>
          <w:fldChar w:fldCharType="end"/>
        </w:r>
      </w:hyperlink>
    </w:p>
    <w:p w14:paraId="094D7119" w14:textId="2A79EBF6" w:rsidR="006F1368" w:rsidRDefault="00444FB8">
      <w:pPr>
        <w:pStyle w:val="TableofFigures"/>
        <w:tabs>
          <w:tab w:val="right" w:leader="dot" w:pos="9350"/>
        </w:tabs>
        <w:rPr>
          <w:rFonts w:asciiTheme="minorHAnsi" w:hAnsiTheme="minorHAnsi"/>
          <w:noProof/>
          <w:lang w:eastAsia="en-US"/>
        </w:rPr>
      </w:pPr>
      <w:hyperlink w:anchor="_Toc44585108" w:history="1">
        <w:r w:rsidR="006F1368" w:rsidRPr="00662637">
          <w:rPr>
            <w:rStyle w:val="Hyperlink"/>
            <w:noProof/>
          </w:rPr>
          <w:t>Table 2.5 Technical Inputs Solution</w:t>
        </w:r>
        <w:r w:rsidR="006F1368">
          <w:rPr>
            <w:noProof/>
            <w:webHidden/>
          </w:rPr>
          <w:tab/>
        </w:r>
        <w:r w:rsidR="006F1368">
          <w:rPr>
            <w:noProof/>
            <w:webHidden/>
          </w:rPr>
          <w:fldChar w:fldCharType="begin"/>
        </w:r>
        <w:r w:rsidR="006F1368">
          <w:rPr>
            <w:noProof/>
            <w:webHidden/>
          </w:rPr>
          <w:instrText xml:space="preserve"> PAGEREF _Toc44585108 \h </w:instrText>
        </w:r>
        <w:r w:rsidR="006F1368">
          <w:rPr>
            <w:noProof/>
            <w:webHidden/>
          </w:rPr>
        </w:r>
        <w:r w:rsidR="006F1368">
          <w:rPr>
            <w:noProof/>
            <w:webHidden/>
          </w:rPr>
          <w:fldChar w:fldCharType="separate"/>
        </w:r>
        <w:r w:rsidR="006F1368">
          <w:rPr>
            <w:noProof/>
            <w:webHidden/>
          </w:rPr>
          <w:t>25</w:t>
        </w:r>
        <w:r w:rsidR="006F1368">
          <w:rPr>
            <w:noProof/>
            <w:webHidden/>
          </w:rPr>
          <w:fldChar w:fldCharType="end"/>
        </w:r>
      </w:hyperlink>
    </w:p>
    <w:p w14:paraId="7AF87D15" w14:textId="380C508F" w:rsidR="006F1368" w:rsidRDefault="00444FB8">
      <w:pPr>
        <w:pStyle w:val="TableofFigures"/>
        <w:tabs>
          <w:tab w:val="right" w:leader="dot" w:pos="9350"/>
        </w:tabs>
        <w:rPr>
          <w:rFonts w:asciiTheme="minorHAnsi" w:hAnsiTheme="minorHAnsi"/>
          <w:noProof/>
          <w:lang w:eastAsia="en-US"/>
        </w:rPr>
      </w:pPr>
      <w:hyperlink w:anchor="_Toc44585109" w:history="1">
        <w:r w:rsidR="006F1368" w:rsidRPr="00662637">
          <w:rPr>
            <w:rStyle w:val="Hyperlink"/>
            <w:noProof/>
          </w:rPr>
          <w:t>Table 3.1 World Adoption of the Solution</w:t>
        </w:r>
        <w:r w:rsidR="006F1368">
          <w:rPr>
            <w:noProof/>
            <w:webHidden/>
          </w:rPr>
          <w:tab/>
        </w:r>
        <w:r w:rsidR="006F1368">
          <w:rPr>
            <w:noProof/>
            <w:webHidden/>
          </w:rPr>
          <w:fldChar w:fldCharType="begin"/>
        </w:r>
        <w:r w:rsidR="006F1368">
          <w:rPr>
            <w:noProof/>
            <w:webHidden/>
          </w:rPr>
          <w:instrText xml:space="preserve"> PAGEREF _Toc44585109 \h </w:instrText>
        </w:r>
        <w:r w:rsidR="006F1368">
          <w:rPr>
            <w:noProof/>
            <w:webHidden/>
          </w:rPr>
        </w:r>
        <w:r w:rsidR="006F1368">
          <w:rPr>
            <w:noProof/>
            <w:webHidden/>
          </w:rPr>
          <w:fldChar w:fldCharType="separate"/>
        </w:r>
        <w:r w:rsidR="006F1368">
          <w:rPr>
            <w:noProof/>
            <w:webHidden/>
          </w:rPr>
          <w:t>28</w:t>
        </w:r>
        <w:r w:rsidR="006F1368">
          <w:rPr>
            <w:noProof/>
            <w:webHidden/>
          </w:rPr>
          <w:fldChar w:fldCharType="end"/>
        </w:r>
      </w:hyperlink>
    </w:p>
    <w:p w14:paraId="29E386E4" w14:textId="2F0A0C04" w:rsidR="006F1368" w:rsidRDefault="00444FB8">
      <w:pPr>
        <w:pStyle w:val="TableofFigures"/>
        <w:tabs>
          <w:tab w:val="right" w:leader="dot" w:pos="9350"/>
        </w:tabs>
        <w:rPr>
          <w:rFonts w:asciiTheme="minorHAnsi" w:hAnsiTheme="minorHAnsi"/>
          <w:noProof/>
          <w:lang w:eastAsia="en-US"/>
        </w:rPr>
      </w:pPr>
      <w:hyperlink w:anchor="_Toc44585110" w:history="1">
        <w:r w:rsidR="006F1368" w:rsidRPr="00662637">
          <w:rPr>
            <w:rStyle w:val="Hyperlink"/>
            <w:noProof/>
          </w:rPr>
          <w:t>Table 3.2 Climate Impacts</w:t>
        </w:r>
        <w:r w:rsidR="006F1368">
          <w:rPr>
            <w:noProof/>
            <w:webHidden/>
          </w:rPr>
          <w:tab/>
        </w:r>
        <w:r w:rsidR="006F1368">
          <w:rPr>
            <w:noProof/>
            <w:webHidden/>
          </w:rPr>
          <w:fldChar w:fldCharType="begin"/>
        </w:r>
        <w:r w:rsidR="006F1368">
          <w:rPr>
            <w:noProof/>
            <w:webHidden/>
          </w:rPr>
          <w:instrText xml:space="preserve"> PAGEREF _Toc44585110 \h </w:instrText>
        </w:r>
        <w:r w:rsidR="006F1368">
          <w:rPr>
            <w:noProof/>
            <w:webHidden/>
          </w:rPr>
        </w:r>
        <w:r w:rsidR="006F1368">
          <w:rPr>
            <w:noProof/>
            <w:webHidden/>
          </w:rPr>
          <w:fldChar w:fldCharType="separate"/>
        </w:r>
        <w:r w:rsidR="006F1368">
          <w:rPr>
            <w:noProof/>
            <w:webHidden/>
          </w:rPr>
          <w:t>29</w:t>
        </w:r>
        <w:r w:rsidR="006F1368">
          <w:rPr>
            <w:noProof/>
            <w:webHidden/>
          </w:rPr>
          <w:fldChar w:fldCharType="end"/>
        </w:r>
      </w:hyperlink>
    </w:p>
    <w:p w14:paraId="18BAA0D6" w14:textId="7C7275E1" w:rsidR="006F1368" w:rsidRDefault="00444FB8">
      <w:pPr>
        <w:pStyle w:val="TableofFigures"/>
        <w:tabs>
          <w:tab w:val="right" w:leader="dot" w:pos="9350"/>
        </w:tabs>
        <w:rPr>
          <w:rFonts w:asciiTheme="minorHAnsi" w:hAnsiTheme="minorHAnsi"/>
          <w:noProof/>
          <w:lang w:eastAsia="en-US"/>
        </w:rPr>
      </w:pPr>
      <w:hyperlink w:anchor="_Toc44585111" w:history="1">
        <w:r w:rsidR="006F1368" w:rsidRPr="00662637">
          <w:rPr>
            <w:rStyle w:val="Hyperlink"/>
            <w:noProof/>
          </w:rPr>
          <w:t>Table 3.3 Impacts on Atmospheric Concentrations of CO</w:t>
        </w:r>
        <w:r w:rsidR="006F1368" w:rsidRPr="00662637">
          <w:rPr>
            <w:rStyle w:val="Hyperlink"/>
            <w:noProof/>
            <w:vertAlign w:val="subscript"/>
          </w:rPr>
          <w:t>2</w:t>
        </w:r>
        <w:r w:rsidR="006F1368" w:rsidRPr="00662637">
          <w:rPr>
            <w:rStyle w:val="Hyperlink"/>
            <w:noProof/>
          </w:rPr>
          <w:t>-eq</w:t>
        </w:r>
        <w:r w:rsidR="006F1368">
          <w:rPr>
            <w:noProof/>
            <w:webHidden/>
          </w:rPr>
          <w:tab/>
        </w:r>
        <w:r w:rsidR="006F1368">
          <w:rPr>
            <w:noProof/>
            <w:webHidden/>
          </w:rPr>
          <w:fldChar w:fldCharType="begin"/>
        </w:r>
        <w:r w:rsidR="006F1368">
          <w:rPr>
            <w:noProof/>
            <w:webHidden/>
          </w:rPr>
          <w:instrText xml:space="preserve"> PAGEREF _Toc44585111 \h </w:instrText>
        </w:r>
        <w:r w:rsidR="006F1368">
          <w:rPr>
            <w:noProof/>
            <w:webHidden/>
          </w:rPr>
        </w:r>
        <w:r w:rsidR="006F1368">
          <w:rPr>
            <w:noProof/>
            <w:webHidden/>
          </w:rPr>
          <w:fldChar w:fldCharType="separate"/>
        </w:r>
        <w:r w:rsidR="006F1368">
          <w:rPr>
            <w:noProof/>
            <w:webHidden/>
          </w:rPr>
          <w:t>30</w:t>
        </w:r>
        <w:r w:rsidR="006F1368">
          <w:rPr>
            <w:noProof/>
            <w:webHidden/>
          </w:rPr>
          <w:fldChar w:fldCharType="end"/>
        </w:r>
      </w:hyperlink>
    </w:p>
    <w:p w14:paraId="4AB8FA92" w14:textId="20A31349" w:rsidR="006F1368" w:rsidRDefault="00444FB8">
      <w:pPr>
        <w:pStyle w:val="TableofFigures"/>
        <w:tabs>
          <w:tab w:val="right" w:leader="dot" w:pos="9350"/>
        </w:tabs>
        <w:rPr>
          <w:rFonts w:asciiTheme="minorHAnsi" w:hAnsiTheme="minorHAnsi"/>
          <w:noProof/>
          <w:lang w:eastAsia="en-US"/>
        </w:rPr>
      </w:pPr>
      <w:hyperlink w:anchor="_Toc44585112" w:history="1">
        <w:r w:rsidR="006F1368" w:rsidRPr="00662637">
          <w:rPr>
            <w:rStyle w:val="Hyperlink"/>
            <w:noProof/>
          </w:rPr>
          <w:t>Table 3.4 Financial Impacts</w:t>
        </w:r>
        <w:r w:rsidR="006F1368">
          <w:rPr>
            <w:noProof/>
            <w:webHidden/>
          </w:rPr>
          <w:tab/>
        </w:r>
        <w:r w:rsidR="006F1368">
          <w:rPr>
            <w:noProof/>
            <w:webHidden/>
          </w:rPr>
          <w:fldChar w:fldCharType="begin"/>
        </w:r>
        <w:r w:rsidR="006F1368">
          <w:rPr>
            <w:noProof/>
            <w:webHidden/>
          </w:rPr>
          <w:instrText xml:space="preserve"> PAGEREF _Toc44585112 \h </w:instrText>
        </w:r>
        <w:r w:rsidR="006F1368">
          <w:rPr>
            <w:noProof/>
            <w:webHidden/>
          </w:rPr>
        </w:r>
        <w:r w:rsidR="006F1368">
          <w:rPr>
            <w:noProof/>
            <w:webHidden/>
          </w:rPr>
          <w:fldChar w:fldCharType="separate"/>
        </w:r>
        <w:r w:rsidR="006F1368">
          <w:rPr>
            <w:noProof/>
            <w:webHidden/>
          </w:rPr>
          <w:t>31</w:t>
        </w:r>
        <w:r w:rsidR="006F1368">
          <w:rPr>
            <w:noProof/>
            <w:webHidden/>
          </w:rPr>
          <w:fldChar w:fldCharType="end"/>
        </w:r>
      </w:hyperlink>
    </w:p>
    <w:p w14:paraId="59531BD3" w14:textId="1910548E" w:rsidR="006A4A08" w:rsidRPr="003A0234" w:rsidRDefault="006A4A08" w:rsidP="003A0234">
      <w:r w:rsidRPr="003A0234">
        <w:fldChar w:fldCharType="end"/>
      </w:r>
    </w:p>
    <w:p w14:paraId="4825AD3F" w14:textId="40954F23" w:rsidR="00640665" w:rsidRDefault="00640665" w:rsidP="00EB247F">
      <w:pPr>
        <w:rPr>
          <w:rFonts w:asciiTheme="majorHAnsi" w:eastAsiaTheme="majorEastAsia" w:hAnsiTheme="majorHAnsi" w:cstheme="majorBidi"/>
          <w:b/>
          <w:bCs/>
          <w:smallCaps/>
          <w:color w:val="000000" w:themeColor="text1"/>
          <w:sz w:val="36"/>
          <w:szCs w:val="36"/>
        </w:rPr>
      </w:pPr>
      <w:r>
        <w:br w:type="page"/>
      </w:r>
    </w:p>
    <w:p w14:paraId="314CD877" w14:textId="0A90708E" w:rsidR="00FA6897" w:rsidRDefault="2D56E7D4" w:rsidP="00EB247F">
      <w:pPr>
        <w:pStyle w:val="Heading1"/>
        <w:numPr>
          <w:ilvl w:val="0"/>
          <w:numId w:val="0"/>
        </w:numPr>
        <w:ind w:left="720" w:hanging="360"/>
      </w:pPr>
      <w:bookmarkStart w:id="3" w:name="_Toc44585058"/>
      <w:r>
        <w:lastRenderedPageBreak/>
        <w:t>Acronyms and Symbols Used</w:t>
      </w:r>
      <w:bookmarkEnd w:id="3"/>
    </w:p>
    <w:p w14:paraId="7DCEE1CD" w14:textId="000D3203" w:rsidR="00E876F9" w:rsidRDefault="00E876F9" w:rsidP="00EE5035">
      <w:pPr>
        <w:ind w:left="360"/>
      </w:pPr>
      <w:r w:rsidRPr="00EE5035">
        <w:rPr>
          <w:b/>
        </w:rPr>
        <w:t xml:space="preserve">CFL </w:t>
      </w:r>
      <w:r w:rsidRPr="00476FC7">
        <w:t>– Compact Fluorescent Lamp</w:t>
      </w:r>
    </w:p>
    <w:p w14:paraId="15445FEE" w14:textId="234F0F37" w:rsidR="009B3EE0" w:rsidRPr="00476FC7" w:rsidRDefault="009B3EE0" w:rsidP="00EE5035">
      <w:pPr>
        <w:ind w:left="360"/>
      </w:pPr>
      <w:r>
        <w:rPr>
          <w:b/>
        </w:rPr>
        <w:t xml:space="preserve">DC </w:t>
      </w:r>
      <w:r>
        <w:t>– Direct Current</w:t>
      </w:r>
    </w:p>
    <w:p w14:paraId="2FE7400F" w14:textId="55AD0204" w:rsidR="00FB2C53" w:rsidRDefault="0035261B" w:rsidP="00EE5035">
      <w:pPr>
        <w:ind w:left="360"/>
      </w:pPr>
      <w:r w:rsidRPr="00EE5035">
        <w:rPr>
          <w:b/>
        </w:rPr>
        <w:t>GBPN</w:t>
      </w:r>
      <w:r w:rsidR="00FB2C53" w:rsidRPr="00476FC7">
        <w:t xml:space="preserve"> – </w:t>
      </w:r>
      <w:r w:rsidRPr="00476FC7">
        <w:t>Global Building Performance Network</w:t>
      </w:r>
    </w:p>
    <w:p w14:paraId="693323ED" w14:textId="54BC4930" w:rsidR="004A11E3" w:rsidRPr="00476FC7" w:rsidRDefault="004A11E3" w:rsidP="00EE5035">
      <w:pPr>
        <w:ind w:left="360"/>
      </w:pPr>
      <w:r>
        <w:rPr>
          <w:b/>
        </w:rPr>
        <w:t xml:space="preserve">GHG </w:t>
      </w:r>
      <w:r>
        <w:t>– Greenhouse Gas</w:t>
      </w:r>
    </w:p>
    <w:p w14:paraId="7C44AC59" w14:textId="20B55118" w:rsidR="00E876F9" w:rsidRPr="00476FC7" w:rsidRDefault="00E876F9" w:rsidP="00EE5035">
      <w:pPr>
        <w:ind w:left="360"/>
      </w:pPr>
      <w:r w:rsidRPr="00EE5035">
        <w:rPr>
          <w:b/>
        </w:rPr>
        <w:t xml:space="preserve">HID </w:t>
      </w:r>
      <w:r w:rsidRPr="00476FC7">
        <w:t>– High Intensity Discharge Lamp</w:t>
      </w:r>
    </w:p>
    <w:p w14:paraId="137AF43E" w14:textId="609BD402" w:rsidR="00E876F9" w:rsidRPr="00476FC7" w:rsidRDefault="00E876F9" w:rsidP="00EE5035">
      <w:pPr>
        <w:ind w:left="360"/>
      </w:pPr>
      <w:r w:rsidRPr="00EE5035">
        <w:rPr>
          <w:b/>
        </w:rPr>
        <w:t xml:space="preserve">IEA </w:t>
      </w:r>
      <w:r w:rsidRPr="00476FC7">
        <w:t>– International Energy Agency</w:t>
      </w:r>
    </w:p>
    <w:p w14:paraId="55212C37" w14:textId="5378A382" w:rsidR="000C4F0D" w:rsidRDefault="00CF7311" w:rsidP="00EE5035">
      <w:pPr>
        <w:ind w:left="360"/>
      </w:pPr>
      <w:r w:rsidRPr="00EE5035">
        <w:rPr>
          <w:b/>
        </w:rPr>
        <w:t>klm</w:t>
      </w:r>
      <w:r w:rsidR="000C4F0D" w:rsidRPr="00EE5035">
        <w:rPr>
          <w:b/>
        </w:rPr>
        <w:t xml:space="preserve"> </w:t>
      </w:r>
      <w:r w:rsidR="00EE5035">
        <w:t>–</w:t>
      </w:r>
      <w:r w:rsidR="000C4F0D" w:rsidRPr="00476FC7">
        <w:t xml:space="preserve"> Kilolumen</w:t>
      </w:r>
      <w:r w:rsidR="00EE5035">
        <w:t xml:space="preserve"> </w:t>
      </w:r>
    </w:p>
    <w:p w14:paraId="56259249" w14:textId="225FEDE0" w:rsidR="00EE5035" w:rsidRPr="00476FC7" w:rsidRDefault="00EE5035" w:rsidP="00EE5035">
      <w:pPr>
        <w:ind w:left="360"/>
      </w:pPr>
      <w:r>
        <w:rPr>
          <w:b/>
        </w:rPr>
        <w:t xml:space="preserve">LCA </w:t>
      </w:r>
      <w:r>
        <w:t>– Life</w:t>
      </w:r>
      <w:r w:rsidR="004A11E3">
        <w:t>-Cycle Assessment</w:t>
      </w:r>
    </w:p>
    <w:p w14:paraId="55915684" w14:textId="7545ACC3" w:rsidR="00FB2C53" w:rsidRPr="00476FC7" w:rsidRDefault="0035261B" w:rsidP="00EE5035">
      <w:pPr>
        <w:ind w:left="360"/>
      </w:pPr>
      <w:r w:rsidRPr="00EE5035">
        <w:rPr>
          <w:b/>
        </w:rPr>
        <w:t>LED</w:t>
      </w:r>
      <w:r w:rsidRPr="00476FC7">
        <w:t xml:space="preserve"> – Light Emitting Diode</w:t>
      </w:r>
    </w:p>
    <w:p w14:paraId="0D01BB1D" w14:textId="3BE7059C" w:rsidR="00E876F9" w:rsidRPr="00476FC7" w:rsidRDefault="00E876F9" w:rsidP="00EE5035">
      <w:pPr>
        <w:ind w:left="360"/>
      </w:pPr>
      <w:r w:rsidRPr="00EE5035">
        <w:rPr>
          <w:b/>
        </w:rPr>
        <w:t xml:space="preserve">LFL </w:t>
      </w:r>
      <w:r w:rsidRPr="00476FC7">
        <w:t>– Linear Fluorescent Lamp</w:t>
      </w:r>
    </w:p>
    <w:p w14:paraId="28CEFA48" w14:textId="51717C50" w:rsidR="000C4F0D" w:rsidRDefault="000C4F0D" w:rsidP="00EE5035">
      <w:pPr>
        <w:ind w:left="360"/>
      </w:pPr>
      <w:r w:rsidRPr="00EE5035">
        <w:rPr>
          <w:b/>
        </w:rPr>
        <w:t xml:space="preserve">Lm/W </w:t>
      </w:r>
      <w:r w:rsidRPr="00476FC7">
        <w:t>– Lumen per Watt</w:t>
      </w:r>
    </w:p>
    <w:p w14:paraId="09BADD23" w14:textId="7EDB9916" w:rsidR="009C5B28" w:rsidRDefault="009C5B28" w:rsidP="00EE5035">
      <w:pPr>
        <w:ind w:left="360"/>
      </w:pPr>
      <w:r>
        <w:rPr>
          <w:b/>
        </w:rPr>
        <w:t xml:space="preserve">Lmh </w:t>
      </w:r>
      <w:r>
        <w:t>– Lumen hour</w:t>
      </w:r>
    </w:p>
    <w:p w14:paraId="498CEBFC" w14:textId="3CFC4235" w:rsidR="000F747F" w:rsidRDefault="000F747F" w:rsidP="00EE5035">
      <w:pPr>
        <w:ind w:left="360"/>
      </w:pPr>
      <w:r>
        <w:rPr>
          <w:b/>
        </w:rPr>
        <w:t xml:space="preserve">MT </w:t>
      </w:r>
      <w:r>
        <w:t>– Million metric tonnes</w:t>
      </w:r>
    </w:p>
    <w:p w14:paraId="404F8131" w14:textId="58F14A22" w:rsidR="003776B1" w:rsidRDefault="003776B1" w:rsidP="00EE5035">
      <w:pPr>
        <w:ind w:left="360"/>
      </w:pPr>
      <w:r>
        <w:rPr>
          <w:b/>
        </w:rPr>
        <w:t xml:space="preserve">nm </w:t>
      </w:r>
      <w:r>
        <w:t>– nanometer (= 1 billionth of a meter)</w:t>
      </w:r>
    </w:p>
    <w:p w14:paraId="64F37532" w14:textId="7B8360B1" w:rsidR="00EE5035" w:rsidRDefault="00EE5035" w:rsidP="00EE5035">
      <w:pPr>
        <w:ind w:left="360"/>
      </w:pPr>
      <w:r>
        <w:rPr>
          <w:b/>
        </w:rPr>
        <w:t xml:space="preserve">OECD </w:t>
      </w:r>
      <w:r>
        <w:t xml:space="preserve">– Organisation for Economic Cooperation and Development </w:t>
      </w:r>
    </w:p>
    <w:p w14:paraId="7A215A10" w14:textId="0FA5D1AE" w:rsidR="00F456FD" w:rsidRPr="00476FC7" w:rsidRDefault="00F456FD" w:rsidP="00EE5035">
      <w:pPr>
        <w:ind w:left="360"/>
      </w:pPr>
      <w:r>
        <w:rPr>
          <w:b/>
        </w:rPr>
        <w:t xml:space="preserve">OLED </w:t>
      </w:r>
      <w:r>
        <w:t>– Organic LED</w:t>
      </w:r>
    </w:p>
    <w:p w14:paraId="43B0E257" w14:textId="66F4D3A4" w:rsidR="00FB2C53" w:rsidRPr="00476FC7" w:rsidRDefault="0035261B" w:rsidP="00EE5035">
      <w:pPr>
        <w:ind w:left="360"/>
      </w:pPr>
      <w:r w:rsidRPr="00EE5035">
        <w:rPr>
          <w:b/>
        </w:rPr>
        <w:t>PDS</w:t>
      </w:r>
      <w:r w:rsidRPr="00476FC7">
        <w:t xml:space="preserve"> – Project Drawdown Scenario</w:t>
      </w:r>
    </w:p>
    <w:p w14:paraId="5968372F" w14:textId="008DDF8E" w:rsidR="00E876F9" w:rsidRPr="00F92985" w:rsidRDefault="00476FC7" w:rsidP="00EE5035">
      <w:pPr>
        <w:ind w:left="360"/>
        <w:rPr>
          <w:lang w:val="de-DE"/>
        </w:rPr>
      </w:pPr>
      <w:r w:rsidRPr="00F92985">
        <w:rPr>
          <w:b/>
          <w:lang w:val="de-DE"/>
        </w:rPr>
        <w:t>Plm</w:t>
      </w:r>
      <w:r w:rsidR="00E876F9" w:rsidRPr="00F92985">
        <w:rPr>
          <w:b/>
          <w:lang w:val="de-DE"/>
        </w:rPr>
        <w:t xml:space="preserve"> </w:t>
      </w:r>
      <w:r w:rsidR="00E876F9" w:rsidRPr="00F92985">
        <w:rPr>
          <w:lang w:val="de-DE"/>
        </w:rPr>
        <w:t xml:space="preserve">– Petalumen </w:t>
      </w:r>
      <w:r w:rsidR="00822FB0" w:rsidRPr="00F92985">
        <w:rPr>
          <w:lang w:val="de-DE"/>
        </w:rPr>
        <w:t xml:space="preserve">(1 </w:t>
      </w:r>
      <w:r w:rsidR="00822FB0" w:rsidRPr="00F92985">
        <w:rPr>
          <w:i/>
          <w:lang w:val="de-DE"/>
        </w:rPr>
        <w:t>million</w:t>
      </w:r>
      <w:r w:rsidR="00822FB0" w:rsidRPr="00F92985">
        <w:rPr>
          <w:lang w:val="de-DE"/>
        </w:rPr>
        <w:t xml:space="preserve"> billion lumens)</w:t>
      </w:r>
    </w:p>
    <w:p w14:paraId="13CACED5" w14:textId="6315519A" w:rsidR="00E876F9" w:rsidRPr="00572349" w:rsidRDefault="00476FC7" w:rsidP="00EE5035">
      <w:pPr>
        <w:ind w:left="360"/>
      </w:pPr>
      <w:r w:rsidRPr="00572349">
        <w:rPr>
          <w:b/>
        </w:rPr>
        <w:t>Plmh</w:t>
      </w:r>
      <w:r w:rsidR="00E876F9" w:rsidRPr="00572349">
        <w:rPr>
          <w:b/>
        </w:rPr>
        <w:t xml:space="preserve"> </w:t>
      </w:r>
      <w:r w:rsidR="00E876F9" w:rsidRPr="00572349">
        <w:t>– Petalumen-Hour</w:t>
      </w:r>
      <w:r w:rsidR="00572349" w:rsidRPr="00572349">
        <w:t xml:space="preserve"> (1 </w:t>
      </w:r>
      <w:r w:rsidR="00572349" w:rsidRPr="00572349">
        <w:rPr>
          <w:i/>
        </w:rPr>
        <w:t>million</w:t>
      </w:r>
      <w:r w:rsidR="00572349" w:rsidRPr="00572349">
        <w:t xml:space="preserve"> billion lumen-hours)</w:t>
      </w:r>
    </w:p>
    <w:p w14:paraId="0AA794A9" w14:textId="4E457EEC" w:rsidR="0035261B" w:rsidRDefault="0035261B" w:rsidP="00EE5035">
      <w:pPr>
        <w:ind w:left="360"/>
      </w:pPr>
      <w:r w:rsidRPr="00EE5035">
        <w:rPr>
          <w:b/>
        </w:rPr>
        <w:t>REF</w:t>
      </w:r>
      <w:r w:rsidRPr="00476FC7">
        <w:t xml:space="preserve"> – Reference Scenario (of Project Drawdown)</w:t>
      </w:r>
    </w:p>
    <w:p w14:paraId="5B230118" w14:textId="471A5509" w:rsidR="00EB4F0E" w:rsidRPr="00476FC7" w:rsidRDefault="00EB4F0E" w:rsidP="00EE5035">
      <w:pPr>
        <w:ind w:left="360"/>
      </w:pPr>
      <w:r>
        <w:rPr>
          <w:b/>
        </w:rPr>
        <w:t xml:space="preserve">SSL </w:t>
      </w:r>
      <w:r>
        <w:t>– Solid State Lighting</w:t>
      </w:r>
    </w:p>
    <w:p w14:paraId="3E662419" w14:textId="78F72DBA" w:rsidR="00822FB0" w:rsidRDefault="00E876F9" w:rsidP="007015D4">
      <w:pPr>
        <w:ind w:left="360"/>
      </w:pPr>
      <w:r w:rsidRPr="00EE5035">
        <w:rPr>
          <w:b/>
        </w:rPr>
        <w:t>TAM</w:t>
      </w:r>
      <w:r w:rsidRPr="00476FC7">
        <w:t xml:space="preserve"> – Total Addressable Market</w:t>
      </w:r>
    </w:p>
    <w:p w14:paraId="3DA2406A" w14:textId="091FEB7E" w:rsidR="00D64EA3" w:rsidRPr="00476FC7" w:rsidRDefault="00D64EA3" w:rsidP="007015D4">
      <w:pPr>
        <w:ind w:left="360"/>
      </w:pPr>
      <w:r>
        <w:rPr>
          <w:b/>
        </w:rPr>
        <w:t xml:space="preserve">TCO </w:t>
      </w:r>
      <w:r>
        <w:t>– Total Cost of Ownership</w:t>
      </w:r>
    </w:p>
    <w:p w14:paraId="25BC328C" w14:textId="77777777" w:rsidR="00FB2C53" w:rsidRDefault="00FB2C53">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3990A925" w14:textId="6E4B4CFC" w:rsidR="00F52595" w:rsidRPr="00352F94" w:rsidRDefault="551A77D0" w:rsidP="00932548">
      <w:pPr>
        <w:pStyle w:val="Heading1"/>
        <w:numPr>
          <w:ilvl w:val="0"/>
          <w:numId w:val="0"/>
        </w:numPr>
      </w:pPr>
      <w:bookmarkStart w:id="4" w:name="_Toc44585059"/>
      <w:r w:rsidRPr="00352F94">
        <w:lastRenderedPageBreak/>
        <w:t>Executive Summary</w:t>
      </w:r>
      <w:bookmarkEnd w:id="4"/>
    </w:p>
    <w:p w14:paraId="147EC751" w14:textId="24E2ADB1" w:rsidR="00932548" w:rsidRPr="00352F94" w:rsidRDefault="00932548" w:rsidP="00932548">
      <w:r w:rsidRPr="00352F94">
        <w:t>LED lighting offers a great possibility to reduce the GHG emissions in residential lighting. Traditionally, there have been four types of lamps used in residential lighting: incandescent lamp, halogen lamp, compact fluorescent lamp (CFL) and linear fluorescent lamp (LFL). Globally, the lamps of the lowest luminous efficacy, i.e., incandescent and halogen lamps, have been the most widely used, but the trend is currently changing: in 201</w:t>
      </w:r>
      <w:r w:rsidR="00D37120">
        <w:t>4</w:t>
      </w:r>
      <w:r w:rsidRPr="00352F94">
        <w:t>, the market share of incandescent and halogen lamps accounted for approximately 5</w:t>
      </w:r>
      <w:r w:rsidR="00D37120">
        <w:t>1</w:t>
      </w:r>
      <w:r w:rsidR="001B2805" w:rsidRPr="00352F94">
        <w:t>%</w:t>
      </w:r>
      <w:r w:rsidRPr="00352F94">
        <w:t xml:space="preserve"> of global residential lighting, but in</w:t>
      </w:r>
      <w:r w:rsidR="00D37120">
        <w:t xml:space="preserve"> the</w:t>
      </w:r>
      <w:r w:rsidRPr="00352F94">
        <w:t xml:space="preserve"> 2020</w:t>
      </w:r>
      <w:r w:rsidR="00D37120">
        <w:t>’s</w:t>
      </w:r>
      <w:r w:rsidRPr="00352F94">
        <w:t>, their market share is expected to be decreased to 10</w:t>
      </w:r>
      <w:r w:rsidR="001B2805" w:rsidRPr="00352F94">
        <w:t>%</w:t>
      </w:r>
      <w:r w:rsidRPr="00352F94">
        <w:t xml:space="preserve">. In some areas, incandescent lamps are replaced by halogen lamps that are a bit more energy efficient: the luminous efficacy of incandescent lamp is around 14 lm/W whereas that of halogen lamp is around 22 lm/W. If the challenges are overcome in the product quality, reducing the purchase price and increasing the luminous efficacy even further, the LED lighting is expected to take over the residential sector nearly entirely by </w:t>
      </w:r>
      <w:r w:rsidR="00C72A90" w:rsidRPr="00352F94">
        <w:t>2050</w:t>
      </w:r>
      <w:r w:rsidRPr="00352F94">
        <w:t>.</w:t>
      </w:r>
    </w:p>
    <w:p w14:paraId="50092313" w14:textId="5B6AD25A" w:rsidR="00932548" w:rsidRPr="00352F94" w:rsidRDefault="00A13717" w:rsidP="00932548">
      <w:r w:rsidRPr="00352F94">
        <w:t xml:space="preserve">LED lighting products offer high luminous efficacy and thus high energy efficiency, emission reductions, and reduced costs during operation. </w:t>
      </w:r>
      <w:r w:rsidR="00932548" w:rsidRPr="00352F94">
        <w:t xml:space="preserve">Despite the high purchase price, the total life cycle costs of LED residential lighting are typically lower than those of conventional technologies due to the low operating costs. </w:t>
      </w:r>
      <w:r w:rsidR="009C5B28" w:rsidRPr="00352F94">
        <w:t>The high energy efficiency</w:t>
      </w:r>
      <w:r w:rsidR="00932548" w:rsidRPr="00352F94">
        <w:t xml:space="preserve"> reduced operating costs and reduced amount of GHG emissions are considered to be the main benefits of LED lighting. Also, LED lighting products have much longer service life, usually 50 000 hours, which reduces the need for replacement.</w:t>
      </w:r>
    </w:p>
    <w:p w14:paraId="1679E0D5" w14:textId="2700F660" w:rsidR="00932548" w:rsidRPr="00352F94" w:rsidRDefault="00932548" w:rsidP="00932548">
      <w:r w:rsidRPr="00352F94">
        <w:t xml:space="preserve">The LED technology is expected to save a significant amount of energy in residential buildings. According to the calculations </w:t>
      </w:r>
      <w:r w:rsidR="000B4C13" w:rsidRPr="00352F94">
        <w:t>in the model developed</w:t>
      </w:r>
      <w:r w:rsidRPr="00352F94">
        <w:t xml:space="preserve">, the LED lighting solution consume approximately 14 TWh per Plmh, whereas the conventional technologies (incandescent lamp, halogen lamp, CFL, and LFL) consume </w:t>
      </w:r>
      <w:r w:rsidR="0006454E">
        <w:t>42</w:t>
      </w:r>
      <w:r w:rsidRPr="00352F94">
        <w:t xml:space="preserve"> TWh per Plmh. This is also seen in the average luminous efficacies of the various technologies: LED lamp is estimated to have a luminous efficacy of 73 lm/W, whereas the conventional technologies have generally lower efficacies (incandescent lamp approximately 14 lm/W, halogen lamp 22 lm/W, CFL 61 lm/W, and LFL 80 lm/W).</w:t>
      </w:r>
    </w:p>
    <w:p w14:paraId="591612AC" w14:textId="502BB317" w:rsidR="00932548" w:rsidRPr="00352F94" w:rsidRDefault="00932548" w:rsidP="00932548">
      <w:r w:rsidRPr="00352F94">
        <w:t xml:space="preserve">With the expected high adoption rate of LED lighting in residential buildings in </w:t>
      </w:r>
      <w:r w:rsidR="00C72A90" w:rsidRPr="00352F94">
        <w:t>2050</w:t>
      </w:r>
      <w:r w:rsidRPr="00352F94">
        <w:t xml:space="preserve">, the GHG emission reduction is estimated to be approximately </w:t>
      </w:r>
      <w:r w:rsidR="0006454E">
        <w:t>631 MMt</w:t>
      </w:r>
      <w:r w:rsidRPr="00352F94">
        <w:t xml:space="preserve"> CO2-eq. globally</w:t>
      </w:r>
      <w:r w:rsidR="0006454E">
        <w:t xml:space="preserve"> in 2050</w:t>
      </w:r>
      <w:r w:rsidRPr="00352F94">
        <w:t xml:space="preserve">. As a cumulative emission reduction </w:t>
      </w:r>
      <w:r w:rsidR="0006454E">
        <w:t>for</w:t>
      </w:r>
      <w:r w:rsidRPr="00352F94">
        <w:t xml:space="preserve"> </w:t>
      </w:r>
      <w:r w:rsidR="00C72A90" w:rsidRPr="00352F94">
        <w:t>2020</w:t>
      </w:r>
      <w:r w:rsidRPr="00352F94">
        <w:t>-</w:t>
      </w:r>
      <w:r w:rsidR="00C72A90" w:rsidRPr="00352F94">
        <w:t>2050</w:t>
      </w:r>
      <w:r w:rsidRPr="00352F94">
        <w:t xml:space="preserve">, the LED residential lighting is estimated to result </w:t>
      </w:r>
      <w:r w:rsidR="0006454E">
        <w:t>in</w:t>
      </w:r>
      <w:r w:rsidRPr="00352F94">
        <w:t xml:space="preserve"> a reduction of approximately </w:t>
      </w:r>
      <w:r w:rsidR="0006454E">
        <w:t>12.1</w:t>
      </w:r>
      <w:r w:rsidRPr="00352F94">
        <w:t xml:space="preserve"> Gt CO2 globally.</w:t>
      </w:r>
      <w:r w:rsidR="0006454E">
        <w:t xml:space="preserve"> When combined with commercial LED adoption, total reduction over this period should be around 20.3 Gt CO2e.</w:t>
      </w:r>
    </w:p>
    <w:p w14:paraId="34916870" w14:textId="1F782053" w:rsidR="00E815C8" w:rsidRPr="00352F94" w:rsidRDefault="551A77D0" w:rsidP="00EB247F">
      <w:pPr>
        <w:pStyle w:val="Heading1"/>
      </w:pPr>
      <w:bookmarkStart w:id="5" w:name="_Toc9619486"/>
      <w:bookmarkStart w:id="6" w:name="_Toc9619582"/>
      <w:bookmarkStart w:id="7" w:name="_Toc9619656"/>
      <w:bookmarkStart w:id="8" w:name="_Toc44585060"/>
      <w:bookmarkEnd w:id="5"/>
      <w:bookmarkEnd w:id="6"/>
      <w:bookmarkEnd w:id="7"/>
      <w:r w:rsidRPr="00352F94">
        <w:t>Literature Review</w:t>
      </w:r>
      <w:bookmarkEnd w:id="8"/>
    </w:p>
    <w:p w14:paraId="5E7CCE0B" w14:textId="3B9561EE" w:rsidR="004678DC" w:rsidRPr="00352F94" w:rsidRDefault="004678DC" w:rsidP="004678DC">
      <w:pPr>
        <w:rPr>
          <w:color w:val="FF0000"/>
        </w:rPr>
      </w:pPr>
      <w:r w:rsidRPr="00352F94">
        <w:t>Globally, the buildings sector is one of the largest end-use sectors, accounting for 30% of global final energy usage. Including building construction increases this to 36%. These two together account for 39% of energy-related CO</w:t>
      </w:r>
      <w:r w:rsidRPr="00352F94">
        <w:rPr>
          <w:vertAlign w:val="subscript"/>
        </w:rPr>
        <w:t>2</w:t>
      </w:r>
      <w:r w:rsidRPr="00352F94">
        <w:t xml:space="preserve"> emissions (UN Environment &amp; IEA, 2017). Thus, the global building sector needs innovative technologies and approaches to reduce energy consumption while ensuring building operations are not affected. Breaking down the building sector by energy end-use gives us an idea of where the potentials lie. Space heating consumed 32% of final building energy in 2014. The other top uses are cooking energy (22%), water heating (19%), appliances and equipment (16%), and lighting (6%) (IEA, 2017).</w:t>
      </w:r>
      <w:r w:rsidRPr="00352F94">
        <w:fldChar w:fldCharType="begin"/>
      </w:r>
      <w:r w:rsidRPr="00352F94">
        <w:instrText xml:space="preserve"> ADDIN ZOTERO_TEMP </w:instrText>
      </w:r>
      <w:r w:rsidRPr="00352F94">
        <w:fldChar w:fldCharType="end"/>
      </w:r>
      <w:r w:rsidRPr="00352F94">
        <w:t xml:space="preserve"> Clearly there are many opportunities across the building sector for energy efficiency. Space and water heating energy is affected by windows, walls and heat source, cooking energy is affected by source and cooking technology, appliance energy by appliance efficiency and use, and lighting is affected by light technology and use. </w:t>
      </w:r>
    </w:p>
    <w:p w14:paraId="26CC9C15" w14:textId="75FA6BA3" w:rsidR="00FB2C53" w:rsidRPr="00352F94" w:rsidRDefault="551A77D0" w:rsidP="00B12F40">
      <w:pPr>
        <w:pStyle w:val="Heading2"/>
      </w:pPr>
      <w:bookmarkStart w:id="9" w:name="_Toc44585061"/>
      <w:r w:rsidRPr="00352F94">
        <w:t xml:space="preserve">State of </w:t>
      </w:r>
      <w:r w:rsidR="00932548" w:rsidRPr="00352F94">
        <w:t>Residential LED</w:t>
      </w:r>
      <w:bookmarkEnd w:id="9"/>
    </w:p>
    <w:p w14:paraId="305C058D" w14:textId="0BBA5B73" w:rsidR="00F15AEE" w:rsidRPr="00352F94" w:rsidRDefault="00932548" w:rsidP="00B12F40">
      <w:pPr>
        <w:pStyle w:val="Heading3"/>
      </w:pPr>
      <w:bookmarkStart w:id="10" w:name="_Toc44585062"/>
      <w:bookmarkStart w:id="11" w:name="_Hlk4361899"/>
      <w:r w:rsidRPr="00352F94">
        <w:t>Light-Emitting Diode Basics</w:t>
      </w:r>
      <w:bookmarkEnd w:id="10"/>
      <w:r w:rsidR="00B312CF" w:rsidRPr="00352F94">
        <w:t xml:space="preserve"> </w:t>
      </w:r>
    </w:p>
    <w:bookmarkEnd w:id="11"/>
    <w:p w14:paraId="43D42FFB" w14:textId="76CA238D" w:rsidR="00B312CF" w:rsidRPr="00352F94" w:rsidRDefault="00B312CF" w:rsidP="00B312CF">
      <w:r w:rsidRPr="00352F94">
        <w:t xml:space="preserve">The light emitting diode (LED) technology, also known as “Solid State Lighting” </w:t>
      </w:r>
      <w:r w:rsidRPr="00352F94">
        <w:fldChar w:fldCharType="begin"/>
      </w:r>
      <w:r w:rsidRPr="00352F94">
        <w:instrText xml:space="preserve"> ADDIN ZOTERO_ITEM CSL_CITATION {"citationID":"52ZWLoJg","properties":{"formattedCitation":"(US DOE SSL, 2017b)","plainCitation":"(US DOE SSL, 2017b)","noteIndex":0},"citationItems":[{"id":1422,"uris":["http://zotero.org/groups/2241931/items/M9S7MB74"],"uri":["http://zotero.org/groups/2241931/items/M9S7MB74"],"itemData":{"id":1422,"type":"article","title":"Solid-State Lighting 2017 Suggested Research Topics Supplement: Technology and Market Context","publisher":"US DOE SSL","URL":"https://www.energy.gov/sites/prod/files/2017/09/f37/ssl_supplement_suggested-topics_sep2017_0.pdf","author":[{"family":"US DOE SSL","given":""}],"issued":{"date-parts":[["2017"]]},"accessed":{"date-parts":[["2019",2,22]]}}}],"schema":"https://github.com/citation-style-language/schema/raw/master/csl-citation.json"} </w:instrText>
      </w:r>
      <w:r w:rsidRPr="00352F94">
        <w:fldChar w:fldCharType="separate"/>
      </w:r>
      <w:r w:rsidRPr="00352F94">
        <w:rPr>
          <w:rFonts w:cs="Times New Roman"/>
          <w:szCs w:val="24"/>
        </w:rPr>
        <w:t>(US DOE SSL, 2017b)</w:t>
      </w:r>
      <w:r w:rsidRPr="00352F94">
        <w:fldChar w:fldCharType="end"/>
      </w:r>
      <w:r w:rsidRPr="00352F94">
        <w:t>,  is used to convert electrical energy into visible radiation, i.e., light. In</w:t>
      </w:r>
      <w:r w:rsidR="00EA659A" w:rsidRPr="00352F94">
        <w:t xml:space="preserve"> </w:t>
      </w:r>
      <w:r w:rsidRPr="00352F94">
        <w:t>buildings, the LED lighting products provide illumination especially for visual performance but also for visibility, safety and atmosphere. The LED technology is especially suitable for decorative lighting as there are LEDs of various colors in the market and the size of the LED is small so that it can be attached or integrated, for example, into furniture. The LED lighting products can also be easily controlled, which enables further energy savings without decreasing the user satisfaction or even improving the alertness and comfort of the user by modifying the intensity and the color of the light.</w:t>
      </w:r>
    </w:p>
    <w:p w14:paraId="3E418C45" w14:textId="440B2199" w:rsidR="00B312CF" w:rsidRPr="00352F94" w:rsidRDefault="00B312CF" w:rsidP="00B312CF">
      <w:r w:rsidRPr="00352F94">
        <w:t xml:space="preserve"> LEDs are the latest of many lighting revolutions, </w:t>
      </w:r>
      <w:r w:rsidR="00ED272A">
        <w:t>albeit</w:t>
      </w:r>
      <w:r w:rsidR="00FE43F2" w:rsidRPr="00352F94">
        <w:t xml:space="preserve"> </w:t>
      </w:r>
      <w:r w:rsidRPr="00352F94">
        <w:t xml:space="preserve">still </w:t>
      </w:r>
      <w:r w:rsidR="00ED272A">
        <w:t>relying</w:t>
      </w:r>
      <w:r w:rsidRPr="00352F94">
        <w:t xml:space="preserve"> on electricity. LED technology direct</w:t>
      </w:r>
      <w:r w:rsidR="00ED272A">
        <w:t>ly</w:t>
      </w:r>
      <w:r w:rsidRPr="00352F94">
        <w:t xml:space="preserve"> conver</w:t>
      </w:r>
      <w:r w:rsidR="00ED272A">
        <w:t>t</w:t>
      </w:r>
      <w:r w:rsidRPr="00352F94">
        <w:t>s electricity in</w:t>
      </w:r>
      <w:r w:rsidR="00ED272A">
        <w:t>to</w:t>
      </w:r>
      <w:r w:rsidRPr="00352F94">
        <w:t xml:space="preserve"> light</w:t>
      </w:r>
      <w:r w:rsidR="00D83B36" w:rsidRPr="00352F94">
        <w:t xml:space="preserve">, </w:t>
      </w:r>
      <w:r w:rsidRPr="00352F94">
        <w:t>by radiative electron</w:t>
      </w:r>
      <w:r w:rsidR="00ED272A">
        <w:t xml:space="preserve"> and </w:t>
      </w:r>
      <w:r w:rsidRPr="00352F94">
        <w:t xml:space="preserve">hole </w:t>
      </w:r>
      <w:r w:rsidR="00770D3B" w:rsidRPr="00352F94">
        <w:t>recombination</w:t>
      </w:r>
      <w:r w:rsidRPr="00352F94">
        <w:t xml:space="preserve"> in semiconductor junctions </w:t>
      </w:r>
      <w:r w:rsidRPr="00352F94">
        <w:fldChar w:fldCharType="begin"/>
      </w:r>
      <w:r w:rsidRPr="00352F94">
        <w:instrText xml:space="preserve"> ADDIN ZOTERO_ITEM CSL_CITATION {"citationID":"B1Jtzn8G","properties":{"formattedCitation":"(Weisbuch, 2018)","plainCitation":"(Weisbuch, 2018)","noteIndex":0},"citationItems":[{"id":1377,"uris":["http://zotero.org/groups/2241931/items/NE5ASC6Z"],"uri":["http://zotero.org/groups/2241931/items/NE5ASC6Z"],"itemData":{"id":1377,"type":"article-journal","title":"Historical perspective on the physics of artificial lighting","container-title":"Comptes Rendus Physique","collection-title":"LEDs: The new revolution in lighting / Les LED : la nouvelle révolution de l’éclairage","page":"89-112","volume":"19","issue":"3","source":"ScienceDirect","abstract":"We describe the evolution of lighting technologies used throughout the ages, and how the need for improvements was such that any new technology giving better and cheaper lighting was immediately implemented. Thus, every revolution in energy sources – gas, petrol electricity – was first put to large-scale use in lighting. We describe in some detail several “ancient” techniques of scientific interest, along with their physical limitations. Electroluminescence – the phenomenon by which LEDs directly convert electricity into light – was long thought to only be of use for indicators or flat panel displays supposed to replace the bulky cathode-ray tubes. The more recent uses of LEDs were mainly for street traffic lights, car indicators, small phone displays, followed by backlighting of TV screens. LED lamps for general lighting only emerged recently as the dominant application of LEDs thanks to dramatic decrease in cost, and continuous improvements of color quality and energy conversion efficiency.\nRésumé\nNous décrivons l'évolution des technologies d'éclairage utilisées à travers les âges, et comment le besoin d'améliorations était tel que toute nouvelle technologie donnant un éclairage meilleur et moins cher a été immédiatement mise en œuvre. Ainsi, chaque révolution en matière de sources d'énergie – gaz, pétrole, électricité – a été dans un premier temps utilisée à grande échelle dans l'éclairage. Nous décrivons en détail plusieurs techniques anciennes présentant un intérêt scientifique, ainsi que leurs limites physiques. L'électroluminescence – le phénomène par lequel les LED convertissent directement l'électricité en lumière – a longtemps été considérée comme étant uniquement utile pour les indicateurs ou les écrans plats censés remplacer les tubes cathodiques volumineux. Les utilisations les plus récentes des LED concernaient principalement les feux de signalisation, les indicateurs pour voitures, les écrans de téléphone, suivies par le rétroéclairage des écrans de télévision. Les lampes LED pour l'éclairage général ne sont apparues que récemment, comme leur application dominante grâce à une réduction spectaculaire des coûts et à des améliorations continues de la qualité des couleurs et de l'efficacité de la conversion d'énergie.","URL":"http://www.sciencedirect.com/science/article/pii/S1631070518300306","DOI":"10.1016/j.crhy.2018.03.001","ISSN":"1631-0705","journalAbbreviation":"Comptes Rendus Physique","author":[{"family":"Weisbuch","given":"Claude"}],"issued":{"date-parts":[["2018",3,1]]},"accessed":{"date-parts":[["2019",2,14]]}}}],"schema":"https://github.com/citation-style-language/schema/raw/master/csl-citation.json"} </w:instrText>
      </w:r>
      <w:r w:rsidRPr="00352F94">
        <w:fldChar w:fldCharType="separate"/>
      </w:r>
      <w:r w:rsidRPr="00352F94">
        <w:rPr>
          <w:rFonts w:cs="Times New Roman"/>
          <w:szCs w:val="24"/>
        </w:rPr>
        <w:t>(Weisbuch, 2018)</w:t>
      </w:r>
      <w:r w:rsidRPr="00352F94">
        <w:fldChar w:fldCharType="end"/>
      </w:r>
      <w:r w:rsidRPr="00352F94">
        <w:t xml:space="preserve">. </w:t>
      </w:r>
      <w:r w:rsidRPr="008F0AA6">
        <w:t xml:space="preserve">When the electrons and holes recombine in the junction, a quantum of energy (a photon) is emitted. </w:t>
      </w:r>
      <w:r w:rsidRPr="00352F94">
        <w:t>Semiconductors are materials characterized by a small band gap (the energy difference between isolat</w:t>
      </w:r>
      <w:r w:rsidR="009A3D28">
        <w:t>e</w:t>
      </w:r>
      <w:r w:rsidR="008837B5">
        <w:t>d</w:t>
      </w:r>
      <w:r w:rsidRPr="00352F94">
        <w:t xml:space="preserve"> and conducting states) </w:t>
      </w:r>
      <w:r w:rsidRPr="00352F94">
        <w:fldChar w:fldCharType="begin"/>
      </w:r>
      <w:r w:rsidR="00D479DA" w:rsidRPr="00352F94">
        <w:instrText xml:space="preserve"> ADDIN ZOTERO_ITEM CSL_CITATION {"citationID":"xz9g9Ltd","properties":{"formattedCitation":"(Franz &amp; Wenzl, 2017)","plainCitation":"(Franz &amp; Wenzl, 2017)","noteIndex":0},"citationItems":[{"id":82,"uris":["http://zotero.org/groups/2241931/items/AK4VVVW6"],"uri":["http://zotero.org/groups/2241931/items/AK4VVVW6"],"itemData":{"id":82,"type":"article-journal","title":"Critical review on life cycle inventories and environmental assessments of LED-lamps","container-title":"Critical Reviews in Environmental Science and Technology","page":"2017-2078","volume":"47","issue":"21","source":"Crossref","abstract":"Resource scarcity, hazardous waste, and climate change are the driving forces for developing energy efﬁcient and low-toxic lighting sources. Currently, solid state lighting based on lightemitting diodes is expected to become the most dominant lighting technology of the future, mostly driven by its advantage with respect to energy efﬁciency. Parallel to the ongoing development of light-emitting diode-based lighting sources, a number of single case and comparative life cycle assessment studies of LED-lamps and components in varying study settings were carried out. However, these studies mostly rely to speciﬁc lamp designs, which limits general conclusions. This work includes a summary of the global market of lighting and LEDlamp technologies, followed by a comprehensive review and comparison of published life cycle assessment studies. In addition, we take also some aspects, which are relevant for the well-being of an end-user and which are usually not treated in life cycle assessment studies, like glare and health issues, into consideration. A critical interpretation of the assumptions and outcomes of these studies is given and questions that remain unsettled and therefore should be addressed in future studies are discussed.","URL":"https://www.tandfonline.com/doi/full/10.1080/10643389.2017.1370989","DOI":"10.1080/10643389.2017.1370989","ISSN":"1064-3389, 1547-6537","note":"reviewed","language":"en","author":[{"family":"Franz","given":"Manuela"},{"family":"Wenzl","given":"Franz P."}],"issued":{"date-parts":[["2017"]]},"accessed":{"date-parts":[["2019",2,27]]}}}],"schema":"https://github.com/citation-style-language/schema/raw/master/csl-citation.json"} </w:instrText>
      </w:r>
      <w:r w:rsidRPr="00352F94">
        <w:fldChar w:fldCharType="separate"/>
      </w:r>
      <w:r w:rsidR="00887012" w:rsidRPr="008F0AA6">
        <w:rPr>
          <w:rFonts w:cs="Times New Roman"/>
          <w:szCs w:val="24"/>
        </w:rPr>
        <w:t>(Franz &amp; Wenzl, 2017)</w:t>
      </w:r>
      <w:r w:rsidRPr="00352F94">
        <w:fldChar w:fldCharType="end"/>
      </w:r>
      <w:r w:rsidRPr="00352F94">
        <w:t>.</w:t>
      </w:r>
      <w:r w:rsidRPr="008F0AA6">
        <w:t xml:space="preserve">The </w:t>
      </w:r>
      <w:r w:rsidR="008837B5" w:rsidRPr="008F0AA6">
        <w:t xml:space="preserve">wavelength of the photon </w:t>
      </w:r>
      <w:r w:rsidR="008837B5">
        <w:t xml:space="preserve">released determines the </w:t>
      </w:r>
      <w:r w:rsidRPr="008F0AA6">
        <w:t xml:space="preserve">color of the light </w:t>
      </w:r>
      <w:r w:rsidR="008837B5">
        <w:t xml:space="preserve">emitted. This wavelength </w:t>
      </w:r>
      <w:r w:rsidRPr="008F0AA6">
        <w:t xml:space="preserve"> depends on the characteristics of the semiconductor material.</w:t>
      </w:r>
      <w:r w:rsidRPr="00352F94">
        <w:t xml:space="preserve"> LED solid-state lighting offers great versatility and </w:t>
      </w:r>
      <w:r w:rsidR="00ED272A">
        <w:t>fulfils a broad range of lighting needs</w:t>
      </w:r>
      <w:r w:rsidRPr="00352F94">
        <w:t xml:space="preserve"> </w:t>
      </w:r>
      <w:r w:rsidR="00ED272A">
        <w:t>considering</w:t>
      </w:r>
      <w:r w:rsidRPr="00352F94">
        <w:t xml:space="preserve"> its quality, ease of use, reliability, and its </w:t>
      </w:r>
      <w:r w:rsidR="00ED272A">
        <w:t>very high efficiency</w:t>
      </w:r>
      <w:r w:rsidRPr="00352F94">
        <w:t xml:space="preserve"> </w:t>
      </w:r>
      <w:r w:rsidRPr="00352F94">
        <w:fldChar w:fldCharType="begin"/>
      </w:r>
      <w:r w:rsidRPr="00352F94">
        <w:instrText xml:space="preserve"> ADDIN ZOTERO_ITEM CSL_CITATION {"citationID":"teoBv3LK","properties":{"formattedCitation":"(Weisbuch, 2018)","plainCitation":"(Weisbuch, 2018)","noteIndex":0},"citationItems":[{"id":1377,"uris":["http://zotero.org/groups/2241931/items/NE5ASC6Z"],"uri":["http://zotero.org/groups/2241931/items/NE5ASC6Z"],"itemData":{"id":1377,"type":"article-journal","title":"Historical perspective on the physics of artificial lighting","container-title":"Comptes Rendus Physique","collection-title":"LEDs: The new revolution in lighting / Les LED : la nouvelle révolution de l’éclairage","page":"89-112","volume":"19","issue":"3","source":"ScienceDirect","abstract":"We describe the evolution of lighting technologies used throughout the ages, and how the need for improvements was such that any new technology giving better and cheaper lighting was immediately implemented. Thus, every revolution in energy sources – gas, petrol electricity – was first put to large-scale use in lighting. We describe in some detail several “ancient” techniques of scientific interest, along with their physical limitations. Electroluminescence – the phenomenon by which LEDs directly convert electricity into light – was long thought to only be of use for indicators or flat panel displays supposed to replace the bulky cathode-ray tubes. The more recent uses of LEDs were mainly for street traffic lights, car indicators, small phone displays, followed by backlighting of TV screens. LED lamps for general lighting only emerged recently as the dominant application of LEDs thanks to dramatic decrease in cost, and continuous improvements of color quality and energy conversion efficiency.\nRésumé\nNous décrivons l'évolution des technologies d'éclairage utilisées à travers les âges, et comment le besoin d'améliorations était tel que toute nouvelle technologie donnant un éclairage meilleur et moins cher a été immédiatement mise en œuvre. Ainsi, chaque révolution en matière de sources d'énergie – gaz, pétrole, électricité – a été dans un premier temps utilisée à grande échelle dans l'éclairage. Nous décrivons en détail plusieurs techniques anciennes présentant un intérêt scientifique, ainsi que leurs limites physiques. L'électroluminescence – le phénomène par lequel les LED convertissent directement l'électricité en lumière – a longtemps été considérée comme étant uniquement utile pour les indicateurs ou les écrans plats censés remplacer les tubes cathodiques volumineux. Les utilisations les plus récentes des LED concernaient principalement les feux de signalisation, les indicateurs pour voitures, les écrans de téléphone, suivies par le rétroéclairage des écrans de télévision. Les lampes LED pour l'éclairage général ne sont apparues que récemment, comme leur application dominante grâce à une réduction spectaculaire des coûts et à des améliorations continues de la qualité des couleurs et de l'efficacité de la conversion d'énergie.","URL":"http://www.sciencedirect.com/science/article/pii/S1631070518300306","DOI":"10.1016/j.crhy.2018.03.001","ISSN":"1631-0705","journalAbbreviation":"Comptes Rendus Physique","author":[{"family":"Weisbuch","given":"Claude"}],"issued":{"date-parts":[["2018",3,1]]},"accessed":{"date-parts":[["2019",2,14]]}}}],"schema":"https://github.com/citation-style-language/schema/raw/master/csl-citation.json"} </w:instrText>
      </w:r>
      <w:r w:rsidRPr="00352F94">
        <w:fldChar w:fldCharType="separate"/>
      </w:r>
      <w:r w:rsidRPr="00352F94">
        <w:rPr>
          <w:rFonts w:cs="Times New Roman"/>
          <w:szCs w:val="24"/>
        </w:rPr>
        <w:t>(Weisbuch, 2018)</w:t>
      </w:r>
      <w:r w:rsidRPr="00352F94">
        <w:fldChar w:fldCharType="end"/>
      </w:r>
      <w:r w:rsidRPr="00352F94">
        <w:t>.</w:t>
      </w:r>
    </w:p>
    <w:p w14:paraId="73AF15F8" w14:textId="14903D1C" w:rsidR="00B312CF" w:rsidRPr="00352F94" w:rsidRDefault="00B312CF" w:rsidP="00B312CF">
      <w:r w:rsidRPr="00352F94">
        <w:t>The phenomenon of a semiconductor junction to produce light was first reported by H. J. Round in 1907 in England. The phenomenon was also investigated by O. Losev in Russia in the 1920’s, but it was only in the 1962 when an American engineer N. Holonyak Jr developed the first practical LED of visible spectrum, succeeding in observing laser emission at 710 nm</w:t>
      </w:r>
      <w:r w:rsidR="003776B1" w:rsidRPr="00352F94">
        <w:t xml:space="preserve"> wavelength</w:t>
      </w:r>
      <w:r w:rsidRPr="00352F94">
        <w:t xml:space="preserve"> (red</w:t>
      </w:r>
      <w:r w:rsidR="003776B1" w:rsidRPr="00352F94">
        <w:t xml:space="preserve"> light</w:t>
      </w:r>
      <w:r w:rsidRPr="00352F94">
        <w:t xml:space="preserve">) </w:t>
      </w:r>
      <w:r w:rsidRPr="00352F94">
        <w:fldChar w:fldCharType="begin"/>
      </w:r>
      <w:r w:rsidRPr="00352F94">
        <w:instrText xml:space="preserve"> ADDIN ZOTERO_ITEM CSL_CITATION {"citationID":"LPqlKmEG","properties":{"formattedCitation":"(Weisbuch, 2018)","plainCitation":"(Weisbuch, 2018)","noteIndex":0},"citationItems":[{"id":1377,"uris":["http://zotero.org/groups/2241931/items/NE5ASC6Z"],"uri":["http://zotero.org/groups/2241931/items/NE5ASC6Z"],"itemData":{"id":1377,"type":"article-journal","title":"Historical perspective on the physics of artificial lighting","container-title":"Comptes Rendus Physique","collection-title":"LEDs: The new revolution in lighting / Les LED : la nouvelle révolution de l’éclairage","page":"89-112","volume":"19","issue":"3","source":"ScienceDirect","abstract":"We describe the evolution of lighting technologies used throughout the ages, and how the need for improvements was such that any new technology giving better and cheaper lighting was immediately implemented. Thus, every revolution in energy sources – gas, petrol electricity – was first put to large-scale use in lighting. We describe in some detail several “ancient” techniques of scientific interest, along with their physical limitations. Electroluminescence – the phenomenon by which LEDs directly convert electricity into light – was long thought to only be of use for indicators or flat panel displays supposed to replace the bulky cathode-ray tubes. The more recent uses of LEDs were mainly for street traffic lights, car indicators, small phone displays, followed by backlighting of TV screens. LED lamps for general lighting only emerged recently as the dominant application of LEDs thanks to dramatic decrease in cost, and continuous improvements of color quality and energy conversion efficiency.\nRésumé\nNous décrivons l'évolution des technologies d'éclairage utilisées à travers les âges, et comment le besoin d'améliorations était tel que toute nouvelle technologie donnant un éclairage meilleur et moins cher a été immédiatement mise en œuvre. Ainsi, chaque révolution en matière de sources d'énergie – gaz, pétrole, électricité – a été dans un premier temps utilisée à grande échelle dans l'éclairage. Nous décrivons en détail plusieurs techniques anciennes présentant un intérêt scientifique, ainsi que leurs limites physiques. L'électroluminescence – le phénomène par lequel les LED convertissent directement l'électricité en lumière – a longtemps été considérée comme étant uniquement utile pour les indicateurs ou les écrans plats censés remplacer les tubes cathodiques volumineux. Les utilisations les plus récentes des LED concernaient principalement les feux de signalisation, les indicateurs pour voitures, les écrans de téléphone, suivies par le rétroéclairage des écrans de télévision. Les lampes LED pour l'éclairage général ne sont apparues que récemment, comme leur application dominante grâce à une réduction spectaculaire des coûts et à des améliorations continues de la qualité des couleurs et de l'efficacité de la conversion d'énergie.","URL":"http://www.sciencedirect.com/science/article/pii/S1631070518300306","DOI":"10.1016/j.crhy.2018.03.001","ISSN":"1631-0705","journalAbbreviation":"Comptes Rendus Physique","author":[{"family":"Weisbuch","given":"Claude"}],"issued":{"date-parts":[["2018",3,1]]},"accessed":{"date-parts":[["2019",2,14]]}}}],"schema":"https://github.com/citation-style-language/schema/raw/master/csl-citation.json"} </w:instrText>
      </w:r>
      <w:r w:rsidRPr="00352F94">
        <w:fldChar w:fldCharType="separate"/>
      </w:r>
      <w:r w:rsidRPr="00352F94">
        <w:rPr>
          <w:rFonts w:cs="Times New Roman"/>
          <w:szCs w:val="24"/>
        </w:rPr>
        <w:t>(Weisbuch, 2018)</w:t>
      </w:r>
      <w:r w:rsidRPr="00352F94">
        <w:fldChar w:fldCharType="end"/>
      </w:r>
      <w:r w:rsidRPr="00352F94">
        <w:t>. Since then, colored LEDs were used as indicator lights in electronic devices. In the 1990’s, after the development of blue LED by S. Nakamura, which was crucial for the production of white light, the use of LED products spread from indicator and decorative lighting to various lighting applications, such as general and task lighting in buildings and road and park lighting in outdoor areas. LED lighting only developed into the major market from 2012 on</w:t>
      </w:r>
      <w:r w:rsidR="00ED272A">
        <w:t>wards</w:t>
      </w:r>
      <w:r w:rsidRPr="00352F94">
        <w:t>, when e</w:t>
      </w:r>
      <w:r w:rsidRPr="00352F94">
        <w:rPr>
          <w:rFonts w:ascii="Cambria Math" w:hAnsi="Cambria Math" w:cs="Cambria Math"/>
        </w:rPr>
        <w:t>ﬃ</w:t>
      </w:r>
      <w:r w:rsidRPr="00352F94">
        <w:rPr>
          <w:rFonts w:cs="Times New Roman"/>
        </w:rPr>
        <w:t xml:space="preserve">ciency and cost made them </w:t>
      </w:r>
      <w:r w:rsidR="00ED272A">
        <w:rPr>
          <w:rFonts w:cs="Times New Roman"/>
        </w:rPr>
        <w:t xml:space="preserve">cost </w:t>
      </w:r>
      <w:r w:rsidRPr="00352F94">
        <w:rPr>
          <w:rFonts w:cs="Times New Roman"/>
        </w:rPr>
        <w:t xml:space="preserve">competitive with </w:t>
      </w:r>
      <w:r w:rsidR="00ED272A">
        <w:rPr>
          <w:rFonts w:cs="Times New Roman"/>
        </w:rPr>
        <w:t xml:space="preserve">alternatives </w:t>
      </w:r>
      <w:r w:rsidRPr="00352F94">
        <w:rPr>
          <w:rFonts w:cs="Times New Roman"/>
        </w:rPr>
        <w:fldChar w:fldCharType="begin"/>
      </w:r>
      <w:r w:rsidRPr="00352F94">
        <w:rPr>
          <w:rFonts w:cs="Times New Roman"/>
        </w:rPr>
        <w:instrText xml:space="preserve"> ADDIN ZOTERO_ITEM CSL_CITATION {"citationID":"g0fCGfMj","properties":{"formattedCitation":"(Weisbuch, 2018)","plainCitation":"(Weisbuch, 2018)","noteIndex":0},"citationItems":[{"id":1377,"uris":["http://zotero.org/groups/2241931/items/NE5ASC6Z"],"uri":["http://zotero.org/groups/2241931/items/NE5ASC6Z"],"itemData":{"id":1377,"type":"article-journal","title":"Historical perspective on the physics of artificial lighting","container-title":"Comptes Rendus Physique","collection-title":"LEDs: The new revolution in lighting / Les LED : la nouvelle révolution de l’éclairage","page":"89-112","volume":"19","issue":"3","source":"ScienceDirect","abstract":"We describe the evolution of lighting technologies used throughout the ages, and how the need for improvements was such that any new technology giving better and cheaper lighting was immediately implemented. Thus, every revolution in energy sources – gas, petrol electricity – was first put to large-scale use in lighting. We describe in some detail several “ancient” techniques of scientific interest, along with their physical limitations. Electroluminescence – the phenomenon by which LEDs directly convert electricity into light – was long thought to only be of use for indicators or flat panel displays supposed to replace the bulky cathode-ray tubes. The more recent uses of LEDs were mainly for street traffic lights, car indicators, small phone displays, followed by backlighting of TV screens. LED lamps for general lighting only emerged recently as the dominant application of LEDs thanks to dramatic decrease in cost, and continuous improvements of color quality and energy conversion efficiency.\nRésumé\nNous décrivons l'évolution des technologies d'éclairage utilisées à travers les âges, et comment le besoin d'améliorations était tel que toute nouvelle technologie donnant un éclairage meilleur et moins cher a été immédiatement mise en œuvre. Ainsi, chaque révolution en matière de sources d'énergie – gaz, pétrole, électricité – a été dans un premier temps utilisée à grande échelle dans l'éclairage. Nous décrivons en détail plusieurs techniques anciennes présentant un intérêt scientifique, ainsi que leurs limites physiques. L'électroluminescence – le phénomène par lequel les LED convertissent directement l'électricité en lumière – a longtemps été considérée comme étant uniquement utile pour les indicateurs ou les écrans plats censés remplacer les tubes cathodiques volumineux. Les utilisations les plus récentes des LED concernaient principalement les feux de signalisation, les indicateurs pour voitures, les écrans de téléphone, suivies par le rétroéclairage des écrans de télévision. Les lampes LED pour l'éclairage général ne sont apparues que récemment, comme leur application dominante grâce à une réduction spectaculaire des coûts et à des améliorations continues de la qualité des couleurs et de l'efficacité de la conversion d'énergie.","URL":"http://www.sciencedirect.com/science/article/pii/S1631070518300306","DOI":"10.1016/j.crhy.2018.03.001","ISSN":"1631-0705","journalAbbreviation":"Comptes Rendus Physique","author":[{"family":"Weisbuch","given":"Claude"}],"issued":{"date-parts":[["2018",3,1]]},"accessed":{"date-parts":[["2019",2,14]]}}}],"schema":"https://github.com/citation-style-language/schema/raw/master/csl-citation.json"} </w:instrText>
      </w:r>
      <w:r w:rsidRPr="00352F94">
        <w:rPr>
          <w:rFonts w:cs="Times New Roman"/>
        </w:rPr>
        <w:fldChar w:fldCharType="separate"/>
      </w:r>
      <w:r w:rsidRPr="00352F94">
        <w:rPr>
          <w:rFonts w:cs="Times New Roman"/>
          <w:szCs w:val="24"/>
        </w:rPr>
        <w:t>(Weisbuch, 2018)</w:t>
      </w:r>
      <w:r w:rsidRPr="00352F94">
        <w:rPr>
          <w:rFonts w:cs="Times New Roman"/>
        </w:rPr>
        <w:fldChar w:fldCharType="end"/>
      </w:r>
      <w:r w:rsidRPr="00352F94">
        <w:rPr>
          <w:rFonts w:cs="Times New Roman"/>
        </w:rPr>
        <w:t>. In 2014 the Nobel Prize in Physics was awarded to Akasaki, Amano, and Nakamura for “the invention of e</w:t>
      </w:r>
      <w:r w:rsidRPr="00352F94">
        <w:rPr>
          <w:rFonts w:ascii="Cambria Math" w:hAnsi="Cambria Math" w:cs="Cambria Math"/>
        </w:rPr>
        <w:t>ﬃ</w:t>
      </w:r>
      <w:r w:rsidRPr="00352F94">
        <w:rPr>
          <w:rFonts w:cs="Times New Roman"/>
        </w:rPr>
        <w:t xml:space="preserve">cient blue light-emitting diodes which has enabled bright and energy-saving white light sources” </w:t>
      </w:r>
      <w:r w:rsidRPr="00352F94">
        <w:rPr>
          <w:rFonts w:cs="Times New Roman"/>
        </w:rPr>
        <w:fldChar w:fldCharType="begin"/>
      </w:r>
      <w:r w:rsidR="005B5BA6" w:rsidRPr="00352F94">
        <w:rPr>
          <w:rFonts w:cs="Times New Roman"/>
        </w:rPr>
        <w:instrText xml:space="preserve"> ADDIN ZOTERO_ITEM CSL_CITATION {"citationID":"auxws4Uf","properties":{"formattedCitation":"(Gayral, 2017)","plainCitation":"(Gayral, 2017)","noteIndex":0},"citationItems":[{"id":98,"uris":["http://zotero.org/groups/2241931/items/E3XKI3EI"],"uri":["http://zotero.org/groups/2241931/items/E3XKI3EI"],"itemData":{"id":98,"type":"article-journal","title":"LEDs for lighting: Basic physics and prospects for energy savings","container-title":"Comptes Rendus Physique","page":"453-461","volume":"18","issue":"7-8","source":"Crossref","abstract":"In 2014, Isamu Akasaki, Hiroshi Amano, and Shuji Nakamura received the Nobel Prize in Physics for “the invention of eﬃcient blue light-emitting diodes which has enabled bright and energy-saving white light sources”. Indeed, in the recent years, Light-Emitting Diodes (LEDs) have progressively made their way to the home lighting market, as well as to other mass markets. This article aims at giving an insight on LEDs physics, on the key inventions that led to the 2014 Nobel Prize and on the prospects for energy savings that LEDs could allow.","URL":"https://linkinghub.elsevier.com/retrieve/pii/S163107051730052X","DOI":"10.1016/j.crhy.2017.09.001","ISSN":"16310705","note":"reviewed","title-short":"LEDs for lighting","language":"en","author":[{"family":"Gayral","given":"Bruno"}],"issued":{"date-parts":[["2017",9]]},"accessed":{"date-parts":[["2019",2,14]]}}}],"schema":"https://github.com/citation-style-language/schema/raw/master/csl-citation.json"} </w:instrText>
      </w:r>
      <w:r w:rsidRPr="00352F94">
        <w:rPr>
          <w:rFonts w:cs="Times New Roman"/>
        </w:rPr>
        <w:fldChar w:fldCharType="separate"/>
      </w:r>
      <w:r w:rsidRPr="00352F94">
        <w:rPr>
          <w:rFonts w:cs="Times New Roman"/>
          <w:szCs w:val="24"/>
        </w:rPr>
        <w:t>(Gayral, 2017)</w:t>
      </w:r>
      <w:r w:rsidRPr="00352F94">
        <w:rPr>
          <w:rFonts w:cs="Times New Roman"/>
        </w:rPr>
        <w:fldChar w:fldCharType="end"/>
      </w:r>
      <w:r w:rsidRPr="00352F94">
        <w:rPr>
          <w:rFonts w:cs="Times New Roman"/>
        </w:rPr>
        <w:t>.</w:t>
      </w:r>
    </w:p>
    <w:p w14:paraId="1EEAC24F" w14:textId="363487F9" w:rsidR="00B312CF" w:rsidRPr="00352F94" w:rsidRDefault="00B312CF" w:rsidP="00B312CF">
      <w:r w:rsidRPr="00352F94">
        <w:t xml:space="preserve">White light, which is especially needed for general lighting applications, may be produced by LED technology in two basic methods: </w:t>
      </w:r>
      <w:r w:rsidR="00ED272A">
        <w:t xml:space="preserve">1. </w:t>
      </w:r>
      <w:r w:rsidR="00FD6A6F">
        <w:t>mixing</w:t>
      </w:r>
      <w:r w:rsidRPr="00352F94">
        <w:t xml:space="preserve"> monochromatic LEDs </w:t>
      </w:r>
      <w:r w:rsidR="00FD6A6F">
        <w:t>(such as red + blue + green)</w:t>
      </w:r>
      <w:r w:rsidRPr="00352F94">
        <w:t xml:space="preserve">) or </w:t>
      </w:r>
      <w:r w:rsidR="00ED272A">
        <w:t xml:space="preserve">2. </w:t>
      </w:r>
      <w:r w:rsidR="00DE5F7C">
        <w:t>converting</w:t>
      </w:r>
      <w:r w:rsidRPr="00352F94">
        <w:t xml:space="preserve"> blue or UV </w:t>
      </w:r>
      <w:r w:rsidR="00DE5F7C">
        <w:t>light using a phosphor layer</w:t>
      </w:r>
      <w:r w:rsidRPr="00352F94">
        <w:t xml:space="preserve"> (phosphor-conversion)</w:t>
      </w:r>
      <w:r w:rsidR="00FF68CE">
        <w:t xml:space="preserve"> </w:t>
      </w:r>
      <w:r w:rsidRPr="00352F94">
        <w:fldChar w:fldCharType="begin"/>
      </w:r>
      <w:r w:rsidR="00D479DA" w:rsidRPr="00352F94">
        <w:instrText xml:space="preserve"> ADDIN ZOTERO_ITEM CSL_CITATION {"citationID":"HN9KojdM","properties":{"formattedCitation":"(Franz &amp; Wenzl, 2017)","plainCitation":"(Franz &amp; Wenzl, 2017)","noteIndex":0},"citationItems":[{"id":82,"uris":["http://zotero.org/groups/2241931/items/AK4VVVW6"],"uri":["http://zotero.org/groups/2241931/items/AK4VVVW6"],"itemData":{"id":82,"type":"article-journal","title":"Critical review on life cycle inventories and environmental assessments of LED-lamps","container-title":"Critical Reviews in Environmental Science and Technology","page":"2017-2078","volume":"47","issue":"21","source":"Crossref","abstract":"Resource scarcity, hazardous waste, and climate change are the driving forces for developing energy efﬁcient and low-toxic lighting sources. Currently, solid state lighting based on lightemitting diodes is expected to become the most dominant lighting technology of the future, mostly driven by its advantage with respect to energy efﬁciency. Parallel to the ongoing development of light-emitting diode-based lighting sources, a number of single case and comparative life cycle assessment studies of LED-lamps and components in varying study settings were carried out. However, these studies mostly rely to speciﬁc lamp designs, which limits general conclusions. This work includes a summary of the global market of lighting and LEDlamp technologies, followed by a comprehensive review and comparison of published life cycle assessment studies. In addition, we take also some aspects, which are relevant for the well-being of an end-user and which are usually not treated in life cycle assessment studies, like glare and health issues, into consideration. A critical interpretation of the assumptions and outcomes of these studies is given and questions that remain unsettled and therefore should be addressed in future studies are discussed.","URL":"https://www.tandfonline.com/doi/full/10.1080/10643389.2017.1370989","DOI":"10.1080/10643389.2017.1370989","ISSN":"1064-3389, 1547-6537","note":"reviewed","language":"en","author":[{"family":"Franz","given":"Manuela"},{"family":"Wenzl","given":"Franz P."}],"issued":{"date-parts":[["2017"]]},"accessed":{"date-parts":[["2019",2,27]]}}}],"schema":"https://github.com/citation-style-language/schema/raw/master/csl-citation.json"} </w:instrText>
      </w:r>
      <w:r w:rsidRPr="00352F94">
        <w:fldChar w:fldCharType="separate"/>
      </w:r>
      <w:r w:rsidR="00887012" w:rsidRPr="008F0AA6">
        <w:rPr>
          <w:rFonts w:cs="Times New Roman"/>
          <w:szCs w:val="24"/>
        </w:rPr>
        <w:t>(Franz &amp; Wenzl, 2017)</w:t>
      </w:r>
      <w:r w:rsidRPr="00352F94">
        <w:fldChar w:fldCharType="end"/>
      </w:r>
      <w:r w:rsidRPr="00352F94">
        <w:t xml:space="preserve">. In phosphor conversion, the radiation from a blue or ultra violet (UV) LED is converted into white light by using </w:t>
      </w:r>
      <w:r w:rsidR="009F7B5E" w:rsidRPr="00352F94">
        <w:t>phosphors</w:t>
      </w:r>
      <w:r w:rsidR="00DE5F7C">
        <w:t>, however t</w:t>
      </w:r>
      <w:r w:rsidRPr="00352F94">
        <w:t>he color mixing method makes is possible to tune the color of the light, for example, if a colored or cooler or warmer white light is needed.</w:t>
      </w:r>
    </w:p>
    <w:p w14:paraId="6CFA8489" w14:textId="5CE1400F" w:rsidR="00B312CF" w:rsidRPr="00352F94" w:rsidRDefault="00B312CF" w:rsidP="00B312CF">
      <w:r w:rsidRPr="00352F94">
        <w:t xml:space="preserve">A LED component is rarely used in lighting </w:t>
      </w:r>
      <w:r w:rsidR="009F7B5E" w:rsidRPr="00352F94">
        <w:t>alone</w:t>
      </w:r>
      <w:r w:rsidRPr="00352F94">
        <w:t xml:space="preserve"> </w:t>
      </w:r>
      <w:r w:rsidR="009F7B5E" w:rsidRPr="00352F94">
        <w:t>as</w:t>
      </w:r>
      <w:r w:rsidRPr="00352F94">
        <w:t xml:space="preserve"> it needs auxiliary components to operate properly, such as optical, thermal, mechanical and electrical interfaces. The light from the LED chip may need to be controlled by adding lens(es) on it. The LED package, i.e., the LED component with possible additional interfaces, is attached on a printed circuit board, which forms a single or multichip (array) LED module</w:t>
      </w:r>
      <w:r w:rsidRPr="00352F94">
        <w:fldChar w:fldCharType="begin"/>
      </w:r>
      <w:r w:rsidR="00D479DA" w:rsidRPr="00352F94">
        <w:instrText xml:space="preserve"> ADDIN ZOTERO_ITEM CSL_CITATION {"citationID":"DNZ5dtbE","properties":{"formattedCitation":"(Franz &amp; Wenzl, 2017)","plainCitation":"(Franz &amp; Wenzl, 2017)","noteIndex":0},"citationItems":[{"id":82,"uris":["http://zotero.org/groups/2241931/items/AK4VVVW6"],"uri":["http://zotero.org/groups/2241931/items/AK4VVVW6"],"itemData":{"id":82,"type":"article-journal","title":"Critical review on life cycle inventories and environmental assessments of LED-lamps","container-title":"Critical Reviews in Environmental Science and Technology","page":"2017-2078","volume":"47","issue":"21","source":"Crossref","abstract":"Resource scarcity, hazardous waste, and climate change are the driving forces for developing energy efﬁcient and low-toxic lighting sources. Currently, solid state lighting based on lightemitting diodes is expected to become the most dominant lighting technology of the future, mostly driven by its advantage with respect to energy efﬁciency. Parallel to the ongoing development of light-emitting diode-based lighting sources, a number of single case and comparative life cycle assessment studies of LED-lamps and components in varying study settings were carried out. However, these studies mostly rely to speciﬁc lamp designs, which limits general conclusions. This work includes a summary of the global market of lighting and LEDlamp technologies, followed by a comprehensive review and comparison of published life cycle assessment studies. In addition, we take also some aspects, which are relevant for the well-being of an end-user and which are usually not treated in life cycle assessment studies, like glare and health issues, into consideration. A critical interpretation of the assumptions and outcomes of these studies is given and questions that remain unsettled and therefore should be addressed in future studies are discussed.","URL":"https://www.tandfonline.com/doi/full/10.1080/10643389.2017.1370989","DOI":"10.1080/10643389.2017.1370989","ISSN":"1064-3389, 1547-6537","note":"reviewed","language":"en","author":[{"family":"Franz","given":"Manuela"},{"family":"Wenzl","given":"Franz P."}],"issued":{"date-parts":[["2017"]]},"accessed":{"date-parts":[["2019",2,27]]}}}],"schema":"https://github.com/citation-style-language/schema/raw/master/csl-citation.json"} </w:instrText>
      </w:r>
      <w:r w:rsidRPr="00352F94">
        <w:fldChar w:fldCharType="separate"/>
      </w:r>
      <w:r w:rsidR="00887012" w:rsidRPr="008F0AA6">
        <w:rPr>
          <w:rFonts w:cs="Times New Roman"/>
          <w:szCs w:val="24"/>
        </w:rPr>
        <w:t>(Franz &amp; Wenzl, 2017)</w:t>
      </w:r>
      <w:r w:rsidRPr="00352F94">
        <w:fldChar w:fldCharType="end"/>
      </w:r>
      <w:r w:rsidRPr="00352F94">
        <w:t>. One or</w:t>
      </w:r>
      <w:r w:rsidR="00753CB8" w:rsidRPr="00352F94">
        <w:t xml:space="preserve"> </w:t>
      </w:r>
      <w:r w:rsidRPr="00352F94">
        <w:t xml:space="preserve">several LED modules may form a LED lamp with an integrated control gear and a cap for easy installation. LED module(s) may also form a LED luminaire with a separate control gear. Control gear, consisting the power supply and control unit, serves to supply the rated voltage or current for the LED package and may enable the dimming, power-factor correcting and other control functions. LED luminaires are the LED lighting products typically used in commercial buildings, whereas residential lighting is assumed to be based on LED lamps. LED lamps and LED tubes are may also be used in commercial lighting to replace conventional light sources, such as a linear fluorescent lamp (FL) or an incandescent lamp. </w:t>
      </w:r>
      <w:r w:rsidR="00ED272A">
        <w:t>L</w:t>
      </w:r>
      <w:r w:rsidRPr="00352F94">
        <w:t xml:space="preserve">amp </w:t>
      </w:r>
      <w:r w:rsidR="00ED272A">
        <w:t xml:space="preserve">design </w:t>
      </w:r>
      <w:r w:rsidRPr="00352F94">
        <w:t>has</w:t>
      </w:r>
      <w:r w:rsidR="00ED272A">
        <w:t xml:space="preserve"> a</w:t>
      </w:r>
      <w:r w:rsidRPr="00352F94">
        <w:t xml:space="preserve"> large influence on </w:t>
      </w:r>
      <w:r w:rsidR="00ED272A">
        <w:t xml:space="preserve">lamp </w:t>
      </w:r>
      <w:r w:rsidRPr="00352F94">
        <w:t>performance. For instance, retrofit lamps</w:t>
      </w:r>
      <w:r w:rsidR="00623AC4">
        <w:t xml:space="preserve"> may</w:t>
      </w:r>
      <w:r w:rsidRPr="00352F94">
        <w:t xml:space="preserve"> have less favorable </w:t>
      </w:r>
      <w:r w:rsidR="00623AC4" w:rsidRPr="00352F94">
        <w:t>thermal management and lifetime</w:t>
      </w:r>
      <w:r w:rsidR="00623AC4">
        <w:t xml:space="preserve"> performance</w:t>
      </w:r>
      <w:r w:rsidRPr="00352F94">
        <w:t xml:space="preserve">, but they can fit into existing luminaires and sockets </w:t>
      </w:r>
      <w:r w:rsidRPr="00352F94">
        <w:fldChar w:fldCharType="begin"/>
      </w:r>
      <w:r w:rsidR="00D479DA" w:rsidRPr="00352F94">
        <w:instrText xml:space="preserve"> ADDIN ZOTERO_ITEM CSL_CITATION {"citationID":"Md9RccPv","properties":{"formattedCitation":"(Franz &amp; Wenzl, 2017)","plainCitation":"(Franz &amp; Wenzl, 2017)","noteIndex":0},"citationItems":[{"id":82,"uris":["http://zotero.org/groups/2241931/items/AK4VVVW6"],"uri":["http://zotero.org/groups/2241931/items/AK4VVVW6"],"itemData":{"id":82,"type":"article-journal","title":"Critical review on life cycle inventories and environmental assessments of LED-lamps","container-title":"Critical Reviews in Environmental Science and Technology","page":"2017-2078","volume":"47","issue":"21","source":"Crossref","abstract":"Resource scarcity, hazardous waste, and climate change are the driving forces for developing energy efﬁcient and low-toxic lighting sources. Currently, solid state lighting based on lightemitting diodes is expected to become the most dominant lighting technology of the future, mostly driven by its advantage with respect to energy efﬁciency. Parallel to the ongoing development of light-emitting diode-based lighting sources, a number of single case and comparative life cycle assessment studies of LED-lamps and components in varying study settings were carried out. However, these studies mostly rely to speciﬁc lamp designs, which limits general conclusions. This work includes a summary of the global market of lighting and LEDlamp technologies, followed by a comprehensive review and comparison of published life cycle assessment studies. In addition, we take also some aspects, which are relevant for the well-being of an end-user and which are usually not treated in life cycle assessment studies, like glare and health issues, into consideration. A critical interpretation of the assumptions and outcomes of these studies is given and questions that remain unsettled and therefore should be addressed in future studies are discussed.","URL":"https://www.tandfonline.com/doi/full/10.1080/10643389.2017.1370989","DOI":"10.1080/10643389.2017.1370989","ISSN":"1064-3389, 1547-6537","note":"reviewed","language":"en","author":[{"family":"Franz","given":"Manuela"},{"family":"Wenzl","given":"Franz P."}],"issued":{"date-parts":[["2017"]]},"accessed":{"date-parts":[["2019",2,27]]}}}],"schema":"https://github.com/citation-style-language/schema/raw/master/csl-citation.json"} </w:instrText>
      </w:r>
      <w:r w:rsidRPr="00352F94">
        <w:fldChar w:fldCharType="separate"/>
      </w:r>
      <w:r w:rsidR="00887012" w:rsidRPr="008F0AA6">
        <w:rPr>
          <w:rFonts w:cs="Times New Roman"/>
          <w:szCs w:val="24"/>
        </w:rPr>
        <w:t>(Franz &amp; Wenzl, 2017)</w:t>
      </w:r>
      <w:r w:rsidRPr="00352F94">
        <w:fldChar w:fldCharType="end"/>
      </w:r>
      <w:r w:rsidRPr="00352F94">
        <w:t>.</w:t>
      </w:r>
    </w:p>
    <w:p w14:paraId="04F3D6BD" w14:textId="77777777" w:rsidR="008F0AA6" w:rsidRDefault="00B312CF" w:rsidP="008F0AA6">
      <w:r w:rsidRPr="00352F94">
        <w:t>A LED lamp can directly replace any lamp of the same cap type. For example, a LED lamp with an E27 cap can directly replace a compact fluorescent lamp (CFL) or a halogen lamp of the same cap type. This kind of direct replacement is typical in residential lighting where the luminaire usually remains the same and only the light source inside is replaced. LED luminaires are less frequently used in residential lighting, whereas the LED lamps are assumed to be the solution for households. An LED luminaire may replace a luminaire of some other lighting technology, e.g., a fluorescent lamp (FL) luminaire or a high-intensity discharge (HID) luminaire. Control gear, consisting the power supply and control unit, serves to supply the rated voltage or current for the LED package and may enable the dimming, power-factor correcting and other control functions.</w:t>
      </w:r>
      <w:bookmarkStart w:id="12" w:name="_Hlk4362027"/>
    </w:p>
    <w:p w14:paraId="7347A686" w14:textId="7506122A" w:rsidR="00932548" w:rsidRPr="00352F94" w:rsidRDefault="00932548">
      <w:pPr>
        <w:pStyle w:val="Heading3"/>
      </w:pPr>
      <w:bookmarkStart w:id="13" w:name="_Toc44585063"/>
      <w:r w:rsidRPr="00352F94">
        <w:t xml:space="preserve">Energy </w:t>
      </w:r>
      <w:r w:rsidR="00790B3F" w:rsidRPr="00352F94">
        <w:t xml:space="preserve">Efficiency </w:t>
      </w:r>
      <w:r w:rsidRPr="00352F94">
        <w:t xml:space="preserve">of LED </w:t>
      </w:r>
      <w:r w:rsidR="00790B3F" w:rsidRPr="00352F94">
        <w:t>Technology</w:t>
      </w:r>
      <w:bookmarkEnd w:id="13"/>
    </w:p>
    <w:bookmarkEnd w:id="12"/>
    <w:p w14:paraId="4161BD14" w14:textId="6B1039CE" w:rsidR="00817BFA" w:rsidRPr="00352F94" w:rsidRDefault="00A8423D" w:rsidP="00817BFA">
      <w:r w:rsidRPr="00352F94">
        <w:t xml:space="preserve">LED products are currently one of the most energy efficient light sources on the market. The energy efficiency of lighting products is measured in luminous efficacy. </w:t>
      </w:r>
      <w:r w:rsidR="000065AC">
        <w:t xml:space="preserve">1 lumen is the amount of </w:t>
      </w:r>
      <w:r w:rsidR="000065AC" w:rsidRPr="000065AC">
        <w:rPr>
          <w:i/>
        </w:rPr>
        <w:t>visible</w:t>
      </w:r>
      <w:r w:rsidR="000065AC">
        <w:t xml:space="preserve"> light emitted from a source per unit time, and t</w:t>
      </w:r>
      <w:r w:rsidRPr="00352F94">
        <w:t xml:space="preserve">he unit of </w:t>
      </w:r>
      <w:r w:rsidR="00411585" w:rsidRPr="00352F94">
        <w:t xml:space="preserve">luminous </w:t>
      </w:r>
      <w:r w:rsidRPr="00352F94">
        <w:t xml:space="preserve">efficiency is lumens per watt i.e., the ratio of luminous flux (unit lumen, lm) produced by the light source and respective electrical power (unit watt, W) required for the operation. </w:t>
      </w:r>
      <w:r w:rsidR="000065AC">
        <w:t>Since introduction, t</w:t>
      </w:r>
      <w:r w:rsidR="00817BFA" w:rsidRPr="00352F94">
        <w:t>he luminous efficacy of LED lighting products ha</w:t>
      </w:r>
      <w:r w:rsidR="000065AC">
        <w:t>s</w:t>
      </w:r>
      <w:r w:rsidR="00817BFA" w:rsidRPr="00352F94">
        <w:t xml:space="preserve"> improved from around 25 lm/W to over 160 lm/W, depending on color quality and drive conditions </w:t>
      </w:r>
      <w:r w:rsidR="00817BFA" w:rsidRPr="00352F94">
        <w:fldChar w:fldCharType="begin"/>
      </w:r>
      <w:r w:rsidR="005B5BA6" w:rsidRPr="00352F94">
        <w:instrText xml:space="preserve"> ADDIN ZOTERO_ITEM CSL_CITATION {"citationID":"isCIxGwj","properties":{"formattedCitation":"(Morgan Pattison, Hansen, &amp; Tsao, 2018)","plainCitation":"(Morgan Pattison, Hansen, &amp; Tsao, 2018)","noteIndex":0},"citationItems":[{"id":95,"uris":["http://zotero.org/groups/2241931/items/PDGCC668"],"uri":["http://zotero.org/groups/2241931/items/PDGCC668"],"itemData":{"id":95,"type":"article-journal","title":"LED lighting efficacy: Status and directions","container-title":"Comptes Rendus Physique","collection-title":"LEDs: The new revolution in lighting / Les LED : la nouvelle révolution de l’éclairage","page":"134-145","volume":"19","issue":"3","source":"ScienceDirect","abstract":"A monumental shift from conventional lighting technologies (incandescent, fluorescent, high intensity discharge) to LED lighting is currently transpiring. The primary driver for this shift has been energy efficiency and associated cost savings. LED lighting is now more efficacious than any of the conventional lighting technologies with room to still improve. Near term, phosphor-converted LED packages have the potential for efficacy improvement between 160 lm/W (now) to 255 lm/W. Longer term, color-mixed LED packages have the potential for efficacy levels conceivably as high as 330 lm/W, though reaching these performance levels requires breakthroughs in green and amber LED efficiency. LED package efficacy sets the upper limit to luminaire efficacy, with the luminaire containing its own efficacy loss channels. In this paper, based on analyses performed through the U.S. Department of Energy Solid State Lighting Program, various LED and luminaire loss channels are elucidated, and critical areas for improvement identified. Beyond massive energy savings, LED technology enables a host of new applications and added value not possible or economical with previous lighting technologies. These include connected lighting, lighting tailored for human physiological responses, horticultural lighting, and ecologically conscious lighting. None of these new applications would be viable if not for the high efficacies that have been achieved, and are themselves just the beginning of what LED lighting can do.\nRésumé\nUn passage radical des techniques d'éclairage conventionnelles (incandescent, fluorescent, décharge de haute intensité) aux technologies LED est en train de s'opérer. La première raison de cette mutation est à rechercher dans l'efficacité énergétique de ces dernières et dans les économies associées. L'éclairage LED est maintenant plus efficace qu'aucune des technologies d'éclairage conventionnelles, mais il reste de l'espace pour des améliorations. À court terme, les ensembles à LED converties au phosphore peuvent encore voir leur efficacité améliorée de 160 lm/W à 255 lm/W. À long terme, il est concevable que les ensembles à LED à mélange de LED de différentes couleurs puissent atteindre des niveaux d'efficacité de 330 lm/W, quoiqu'atteindre de telles performances demande des avancées majeures du côté des LED de couleurs verte et ambre. L'efficacité des ensembles à LED détermine la limite supérieure du luminaire, ce dernier contenant ses propres canaux de perte d'efficacité. Dans cet article, sur la base d'analyses réalisées au Department of Energy au sein du Solid State Lighting Program américain, différents canaux de perte des LED et des luminaires ont été élucidés, et des domaines critiques permettant leur amélioration ont été identifiés. Au-delà d'économies d'énergie massives, la technologie LED permet de nouvelles applications et une valeur ajoutée non possible ou non économiquement faisable avec les anciennes technologies d'éclairage. Celles-ci incluent l'éclairage connecté, l'éclairage adapté aux réponses physiologiques humaines, l'éclairage horticole et l'éclairage respectueux de l'écologie. Aucune de ces nouvelles applications ne serait viable sans les hautes efficacités qui ont été atteintes, et qui ne sont elles-mêmes que les prémices de ce que l'éclairage LED peut faire.","URL":"http://www.sciencedirect.com/science/article/pii/S1631070517300932","DOI":"10.1016/j.crhy.2017.10.013","ISSN":"1631-0705","title-short":"LED lighting efficacy","journalAbbreviation":"Comptes Rendus Physique","author":[{"family":"Morgan Pattison","given":"Paul"},{"family":"Hansen","given":"Monica"},{"family":"Tsao","given":"Jeffrey Y."}],"issued":{"date-parts":[["2018",3,1]]},"accessed":{"date-parts":[["2019",2,23]]}}}],"schema":"https://github.com/citation-style-language/schema/raw/master/csl-citation.json"} </w:instrText>
      </w:r>
      <w:r w:rsidR="00817BFA" w:rsidRPr="00352F94">
        <w:fldChar w:fldCharType="separate"/>
      </w:r>
      <w:r w:rsidR="00887012" w:rsidRPr="00352F94">
        <w:rPr>
          <w:rFonts w:cs="Times New Roman"/>
        </w:rPr>
        <w:t>(Morgan Pattison, Hansen, &amp; Tsao, 2018)</w:t>
      </w:r>
      <w:r w:rsidR="00817BFA" w:rsidRPr="00352F94">
        <w:fldChar w:fldCharType="end"/>
      </w:r>
      <w:r w:rsidR="00817BFA" w:rsidRPr="00352F94">
        <w:t xml:space="preserve"> and  is increasing more rapidly than any other light source technology. The luminous efficacy of a top performing LED lamp or luminaire has been reported to range between 86 and 149 lm/W in 2017 while the long-term future goal for LED package luminous efficacy is set at 255 lm/W and luminaire luminous efficacy at 218 lm/W</w:t>
      </w:r>
      <w:bookmarkStart w:id="14" w:name="_Ref536777846"/>
      <w:r w:rsidR="00817BFA" w:rsidRPr="00352F94">
        <w:fldChar w:fldCharType="begin"/>
      </w:r>
      <w:r w:rsidR="00817BFA" w:rsidRPr="00352F94">
        <w:instrText xml:space="preserve"> ADDIN ZOTERO_ITEM CSL_CITATION {"citationID":"ThUJmvof","properties":{"formattedCitation":"(US DOE SSL, 2017a)","plainCitation":"(US DOE SSL, 2017a)","noteIndex":0},"citationItems":[{"id":1421,"uris":["http://zotero.org/groups/2241931/items/VTZ27LE9"],"uri":["http://zotero.org/groups/2241931/items/VTZ27LE9"],"itemData":{"id":1421,"type":"report","title":"Solid-State Lighting 2017 Suggested Research Topics","page":"22","source":"Zotero","language":"en","author":[{"family":"US DOE SSL","given":""}],"issued":{"date-parts":[["2017"]]}}}],"schema":"https://github.com/citation-style-language/schema/raw/master/csl-citation.json"} </w:instrText>
      </w:r>
      <w:r w:rsidR="00817BFA" w:rsidRPr="00352F94">
        <w:fldChar w:fldCharType="separate"/>
      </w:r>
      <w:r w:rsidR="00817BFA" w:rsidRPr="00352F94">
        <w:rPr>
          <w:rFonts w:cs="Times New Roman"/>
          <w:szCs w:val="24"/>
        </w:rPr>
        <w:t>(US DOE SSL, 2017a)</w:t>
      </w:r>
      <w:r w:rsidR="00817BFA" w:rsidRPr="00352F94">
        <w:fldChar w:fldCharType="end"/>
      </w:r>
      <w:bookmarkEnd w:id="14"/>
      <w:r w:rsidR="00817BFA" w:rsidRPr="00352F94">
        <w:t xml:space="preserve">. In contrast, conventional lighting products are </w:t>
      </w:r>
      <w:r w:rsidR="00817BFA" w:rsidRPr="008F0AA6">
        <w:rPr>
          <w:i/>
        </w:rPr>
        <w:t>not</w:t>
      </w:r>
      <w:r w:rsidR="00817BFA" w:rsidRPr="00352F94">
        <w:t xml:space="preserve"> expected to be developed as drastically. </w:t>
      </w:r>
    </w:p>
    <w:p w14:paraId="49F34721" w14:textId="77777777" w:rsidR="00817BFA" w:rsidRPr="00352F94" w:rsidRDefault="00817BFA">
      <w:r w:rsidRPr="00352F94">
        <w:t xml:space="preserve">The efficiency of a luminaire is determined as the light output ratio (LOR). LOR is defined as the ratio of the total luminous flux of the luminaire to the sum of the individual luminous fluxes of the light sources (lamps) when operated outside the luminaire with the same control gear needed. The LOR value depends on the shape and materials of the luminaire and varies a lot. Generally, the LOR ranges around 50-80%. </w:t>
      </w:r>
    </w:p>
    <w:p w14:paraId="14FC964E" w14:textId="6DF0AE4A" w:rsidR="00817BFA" w:rsidRPr="00352F94" w:rsidRDefault="00817BFA">
      <w:r w:rsidRPr="00352F94">
        <w:t xml:space="preserve">The LED lighting has good potential to reduce the GHG emissions from </w:t>
      </w:r>
      <w:r w:rsidR="00C534B7" w:rsidRPr="00352F94">
        <w:t>residential</w:t>
      </w:r>
      <w:r w:rsidRPr="00352F94">
        <w:t xml:space="preserve"> sector, since its operation may be more energy efficient compared to most other lighting technologies There is a great potential to further develop the luminous efficacy of LED products, as the ultimate goal is set at 255 lm/W for a LED </w:t>
      </w:r>
      <w:r w:rsidR="00C534B7" w:rsidRPr="00352F94">
        <w:t xml:space="preserve">luminaire </w:t>
      </w:r>
      <w:r w:rsidRPr="00352F94">
        <w:fldChar w:fldCharType="begin"/>
      </w:r>
      <w:r w:rsidRPr="00352F94">
        <w:instrText xml:space="preserve"> ADDIN ZOTERO_ITEM CSL_CITATION {"citationID":"xxtIAjd7","properties":{"formattedCitation":"(US DOE SSL, 2017a)","plainCitation":"(US DOE SSL, 2017a)","noteIndex":0},"citationItems":[{"id":1421,"uris":["http://zotero.org/groups/2241931/items/VTZ27LE9"],"uri":["http://zotero.org/groups/2241931/items/VTZ27LE9"],"itemData":{"id":1421,"type":"report","title":"Solid-State Lighting 2017 Suggested Research Topics","page":"22","source":"Zotero","language":"en","author":[{"family":"US DOE SSL","given":""}],"issued":{"date-parts":[["2017"]]}}}],"schema":"https://github.com/citation-style-language/schema/raw/master/csl-citation.json"} </w:instrText>
      </w:r>
      <w:r w:rsidRPr="00352F94">
        <w:fldChar w:fldCharType="separate"/>
      </w:r>
      <w:r w:rsidRPr="00352F94">
        <w:rPr>
          <w:rFonts w:cs="Times New Roman"/>
          <w:szCs w:val="24"/>
        </w:rPr>
        <w:t>(US DOE SSL, 2017a)</w:t>
      </w:r>
      <w:r w:rsidRPr="00352F94">
        <w:fldChar w:fldCharType="end"/>
      </w:r>
      <w:r w:rsidR="00EB1CBC" w:rsidRPr="00352F94">
        <w:t xml:space="preserve">. </w:t>
      </w:r>
      <w:r w:rsidRPr="00352F94">
        <w:t xml:space="preserve">In contrast, the efficacy of other light source technologies is not expected to have such a development potential.  For instance, kerosene lamps account </w:t>
      </w:r>
      <w:r w:rsidR="00EB1CBC" w:rsidRPr="00352F94">
        <w:t>for</w:t>
      </w:r>
      <w:r w:rsidRPr="00352F94">
        <w:t xml:space="preserve"> 3% of total lighting, yet are responsible for 20% of CO2e emissions due to lighting</w:t>
      </w:r>
      <w:r w:rsidRPr="00352F94">
        <w:fldChar w:fldCharType="begin"/>
      </w:r>
      <w:r w:rsidR="005B5BA6" w:rsidRPr="00352F94">
        <w:instrText xml:space="preserve"> ADDIN ZOTERO_ITEM CSL_CITATION {"citationID":"PoJtWeQm","properties":{"formattedCitation":"(Gayral, 2017)","plainCitation":"(Gayral, 2017)","noteIndex":0},"citationItems":[{"id":98,"uris":["http://zotero.org/groups/2241931/items/E3XKI3EI"],"uri":["http://zotero.org/groups/2241931/items/E3XKI3EI"],"itemData":{"id":98,"type":"article-journal","title":"LEDs for lighting: Basic physics and prospects for energy savings","container-title":"Comptes Rendus Physique","page":"453-461","volume":"18","issue":"7-8","source":"Crossref","abstract":"In 2014, Isamu Akasaki, Hiroshi Amano, and Shuji Nakamura received the Nobel Prize in Physics for “the invention of eﬃcient blue light-emitting diodes which has enabled bright and energy-saving white light sources”. Indeed, in the recent years, Light-Emitting Diodes (LEDs) have progressively made their way to the home lighting market, as well as to other mass markets. This article aims at giving an insight on LEDs physics, on the key inventions that led to the 2014 Nobel Prize and on the prospects for energy savings that LEDs could allow.","URL":"https://linkinghub.elsevier.com/retrieve/pii/S163107051730052X","DOI":"10.1016/j.crhy.2017.09.001","ISSN":"16310705","note":"reviewed","title-short":"LEDs for lighting","language":"en","author":[{"family":"Gayral","given":"Bruno"}],"issued":{"date-parts":[["2017",9]]},"accessed":{"date-parts":[["2019",2,14]]}}}],"schema":"https://github.com/citation-style-language/schema/raw/master/csl-citation.json"} </w:instrText>
      </w:r>
      <w:r w:rsidRPr="00352F94">
        <w:fldChar w:fldCharType="separate"/>
      </w:r>
      <w:r w:rsidRPr="00352F94">
        <w:rPr>
          <w:rFonts w:cs="Times New Roman"/>
          <w:szCs w:val="24"/>
        </w:rPr>
        <w:t>(Gayral, 2017)</w:t>
      </w:r>
      <w:r w:rsidRPr="00352F94">
        <w:fldChar w:fldCharType="end"/>
      </w:r>
      <w:r w:rsidRPr="00352F94">
        <w:t xml:space="preserve">. However, daylighting, as a non-electric type of lighting, could be another clearly sustainable lighting technology, but it’s not sufficient as the </w:t>
      </w:r>
      <w:r w:rsidRPr="00352F94">
        <w:rPr>
          <w:i/>
        </w:rPr>
        <w:t>only</w:t>
      </w:r>
      <w:r w:rsidRPr="00352F94">
        <w:t xml:space="preserve"> type of lighting due to its limitations, such as the restrictions of availability.</w:t>
      </w:r>
    </w:p>
    <w:p w14:paraId="000FA6A9" w14:textId="75B0D698" w:rsidR="00932548" w:rsidRPr="00352F94" w:rsidRDefault="00932548" w:rsidP="008F0AA6">
      <w:pPr>
        <w:pStyle w:val="Heading3"/>
      </w:pPr>
      <w:bookmarkStart w:id="15" w:name="_Toc9619493"/>
      <w:bookmarkStart w:id="16" w:name="_Toc9619589"/>
      <w:bookmarkStart w:id="17" w:name="_Toc9619663"/>
      <w:bookmarkStart w:id="18" w:name="_Toc9619494"/>
      <w:bookmarkStart w:id="19" w:name="_Toc9619590"/>
      <w:bookmarkStart w:id="20" w:name="_Toc9619664"/>
      <w:bookmarkStart w:id="21" w:name="_Toc9619495"/>
      <w:bookmarkStart w:id="22" w:name="_Toc9619591"/>
      <w:bookmarkStart w:id="23" w:name="_Toc9619665"/>
      <w:bookmarkStart w:id="24" w:name="bookmark0"/>
      <w:bookmarkStart w:id="25" w:name="_Toc470809691"/>
      <w:bookmarkStart w:id="26" w:name="_Toc470809693"/>
      <w:bookmarkStart w:id="27" w:name="_Toc470809694"/>
      <w:bookmarkStart w:id="28" w:name="_Toc9619496"/>
      <w:bookmarkStart w:id="29" w:name="_Toc9619592"/>
      <w:bookmarkStart w:id="30" w:name="_Toc9619666"/>
      <w:bookmarkStart w:id="31" w:name="_Toc470809765"/>
      <w:bookmarkStart w:id="32" w:name="_Toc4458506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352F94">
        <w:t xml:space="preserve">Lighting </w:t>
      </w:r>
      <w:r w:rsidR="00C33A39" w:rsidRPr="00352F94">
        <w:t>Service and Energy Consumption</w:t>
      </w:r>
      <w:bookmarkEnd w:id="31"/>
      <w:bookmarkEnd w:id="32"/>
    </w:p>
    <w:p w14:paraId="6243919F" w14:textId="57B42787" w:rsidR="00932548" w:rsidRPr="00352F94" w:rsidRDefault="00932548" w:rsidP="008F0AA6">
      <w:pPr>
        <w:spacing w:after="0"/>
      </w:pPr>
      <w:r w:rsidRPr="00352F94">
        <w:rPr>
          <w:bCs/>
        </w:rPr>
        <w:t xml:space="preserve">The residential lighting was estimated to account for 19.2 Plmh in 2005 and to increase to 49 Plmh in 2030. In 2005, average households in International Energy Agency (IEA) member countries were estimated to have 27.5 lamps, </w:t>
      </w:r>
      <w:r w:rsidR="00C33A39" w:rsidRPr="00352F94">
        <w:rPr>
          <w:bCs/>
        </w:rPr>
        <w:t>including</w:t>
      </w:r>
      <w:r w:rsidRPr="00352F94">
        <w:rPr>
          <w:bCs/>
        </w:rPr>
        <w:t xml:space="preserve"> 19.9 incandescent lamps, 5.2 linear fluorescent lamps (LFL), 0.8 halogen lamps and 1.7 compact fluorescent lamps (CFL) globally but regional differences were estimated to be significant</w:t>
      </w:r>
      <w:r w:rsidR="00D479DA" w:rsidRPr="00352F94">
        <w:rPr>
          <w:bCs/>
        </w:rPr>
        <w:t xml:space="preserve"> </w:t>
      </w:r>
      <w:r w:rsidR="00D479DA" w:rsidRPr="00352F94">
        <w:rPr>
          <w:bCs/>
        </w:rPr>
        <w:fldChar w:fldCharType="begin"/>
      </w:r>
      <w:r w:rsidR="005B5BA6" w:rsidRPr="00352F94">
        <w:rPr>
          <w:bCs/>
        </w:rPr>
        <w:instrText xml:space="preserve"> ADDIN ZOTERO_ITEM CSL_CITATION {"citationID":"TsI2x9nK","properties":{"formattedCitation":"(IEA, 2006)","plainCitation":"(IEA, 2006)","noteIndex":0},"citationItems":[{"id":3243,"uris":["http://zotero.org/groups/2241931/items/8Q5FZZAN"],"uri":["http://zotero.org/groups/2241931/items/8Q5FZZAN"],"itemData":{"id":3243,"type":"report","title":"Light's labour's lost: Policies for Energy-Efficient Lighting","publisher":"OECD","source":"Crossref","URL":"https://www.oecd-ilibrary.org/energy/light-s-labour-s-lost_9789264109520-en","note":"DOI: 10.1787/9789264109520-en","title-short":"Light's labour's lost","language":"en","author":[{"literal":"IEA"}],"issued":{"date-parts":[["2006"]]},"accessed":{"date-parts":[["2019",3,20]]}}}],"schema":"https://github.com/citation-style-language/schema/raw/master/csl-citation.json"} </w:instrText>
      </w:r>
      <w:r w:rsidR="00D479DA" w:rsidRPr="00352F94">
        <w:rPr>
          <w:bCs/>
        </w:rPr>
        <w:fldChar w:fldCharType="separate"/>
      </w:r>
      <w:r w:rsidR="00D479DA" w:rsidRPr="00352F94">
        <w:rPr>
          <w:rFonts w:cs="Times New Roman"/>
        </w:rPr>
        <w:t>(IEA, 2006)</w:t>
      </w:r>
      <w:r w:rsidR="00D479DA" w:rsidRPr="00352F94">
        <w:rPr>
          <w:bCs/>
        </w:rPr>
        <w:fldChar w:fldCharType="end"/>
      </w:r>
      <w:r w:rsidRPr="00352F94">
        <w:rPr>
          <w:bCs/>
        </w:rPr>
        <w:t xml:space="preserve">. </w:t>
      </w:r>
    </w:p>
    <w:p w14:paraId="111F4010" w14:textId="43A6976C" w:rsidR="00434F61" w:rsidRPr="00352F94" w:rsidRDefault="551A77D0" w:rsidP="00EB247F">
      <w:pPr>
        <w:pStyle w:val="Heading2"/>
      </w:pPr>
      <w:bookmarkStart w:id="33" w:name="_Toc44585065"/>
      <w:r w:rsidRPr="00352F94">
        <w:t>Adoption Path</w:t>
      </w:r>
      <w:bookmarkEnd w:id="33"/>
    </w:p>
    <w:p w14:paraId="2DE714B4" w14:textId="1AC1BC5E" w:rsidR="00112479" w:rsidRPr="00352F94" w:rsidRDefault="551A77D0" w:rsidP="00EB247F">
      <w:pPr>
        <w:pStyle w:val="Heading3"/>
      </w:pPr>
      <w:bookmarkStart w:id="34" w:name="_Toc44585066"/>
      <w:r w:rsidRPr="00352F94">
        <w:t>Current Adoption</w:t>
      </w:r>
      <w:bookmarkEnd w:id="34"/>
    </w:p>
    <w:p w14:paraId="54F0A79E" w14:textId="4FFE147B" w:rsidR="00184A1D" w:rsidRPr="00352F94" w:rsidRDefault="00A05C4C" w:rsidP="00184A1D">
      <w:bookmarkStart w:id="35" w:name="_Hlk5188283"/>
      <w:r w:rsidRPr="00352F94">
        <w:t>Since</w:t>
      </w:r>
      <w:r w:rsidR="00184A1D" w:rsidRPr="00352F94">
        <w:t xml:space="preserve"> LEDs are more expensive than traditional technologies, </w:t>
      </w:r>
      <w:r w:rsidR="004647E5">
        <w:t xml:space="preserve">the </w:t>
      </w:r>
      <w:r w:rsidR="00184A1D" w:rsidRPr="00352F94">
        <w:t xml:space="preserve">market share </w:t>
      </w:r>
      <w:r w:rsidR="000065AC">
        <w:t>if based on</w:t>
      </w:r>
      <w:r w:rsidR="00184A1D" w:rsidRPr="00352F94">
        <w:t xml:space="preserve"> sales will be greater </w:t>
      </w:r>
      <w:r w:rsidR="000065AC">
        <w:t xml:space="preserve">than if based on </w:t>
      </w:r>
      <w:r w:rsidR="00184A1D" w:rsidRPr="00352F94">
        <w:t xml:space="preserve"> units. LED penetration of the </w:t>
      </w:r>
      <w:r w:rsidR="000065AC">
        <w:t xml:space="preserve">unit </w:t>
      </w:r>
      <w:r w:rsidR="00184A1D" w:rsidRPr="00352F94">
        <w:t>install</w:t>
      </w:r>
      <w:r w:rsidR="000065AC">
        <w:t>ations</w:t>
      </w:r>
      <w:r w:rsidR="00184A1D" w:rsidRPr="00352F94">
        <w:t xml:space="preserve"> will </w:t>
      </w:r>
      <w:r w:rsidR="004647E5">
        <w:t>grow</w:t>
      </w:r>
      <w:r w:rsidR="00184A1D" w:rsidRPr="00352F94">
        <w:t xml:space="preserve"> more slowly</w:t>
      </w:r>
      <w:r w:rsidR="000065AC">
        <w:t xml:space="preserve"> than of sales or revenue</w:t>
      </w:r>
      <w:r w:rsidR="00184A1D" w:rsidRPr="00352F94">
        <w:t xml:space="preserve">, as LEDs become the majority of sales and </w:t>
      </w:r>
      <w:r w:rsidR="004647E5">
        <w:t xml:space="preserve">replace </w:t>
      </w:r>
      <w:r w:rsidR="00184A1D" w:rsidRPr="00352F94">
        <w:t xml:space="preserve">existing installations </w:t>
      </w:r>
      <w:r w:rsidR="00184A1D" w:rsidRPr="00352F94">
        <w:fldChar w:fldCharType="begin"/>
      </w:r>
      <w:r w:rsidR="00184A1D" w:rsidRPr="00352F94">
        <w:instrText xml:space="preserve"> ADDIN ZOTERO_ITEM CSL_CITATION {"citationID":"6cSVlG91","properties":{"formattedCitation":"(US DOE SSL, 2017a)","plainCitation":"(US DOE SSL, 2017a)","noteIndex":0},"citationItems":[{"id":1421,"uris":["http://zotero.org/groups/2241931/items/VTZ27LE9"],"uri":["http://zotero.org/groups/2241931/items/VTZ27LE9"],"itemData":{"id":1421,"type":"report","title":"Solid-State Lighting 2017 Suggested Research Topics","page":"22","source":"Zotero","language":"en","author":[{"family":"US DOE SSL","given":""}],"issued":{"date-parts":[["2017"]]}}}],"schema":"https://github.com/citation-style-language/schema/raw/master/csl-citation.json"} </w:instrText>
      </w:r>
      <w:r w:rsidR="00184A1D" w:rsidRPr="00352F94">
        <w:fldChar w:fldCharType="separate"/>
      </w:r>
      <w:r w:rsidR="00184A1D" w:rsidRPr="00352F94">
        <w:rPr>
          <w:rFonts w:cs="Times New Roman"/>
        </w:rPr>
        <w:t>(US DOE SSL, 2017a)</w:t>
      </w:r>
      <w:r w:rsidR="00184A1D" w:rsidRPr="00352F94">
        <w:fldChar w:fldCharType="end"/>
      </w:r>
      <w:r w:rsidR="00184A1D" w:rsidRPr="00352F94">
        <w:t>.</w:t>
      </w:r>
    </w:p>
    <w:bookmarkEnd w:id="35"/>
    <w:p w14:paraId="1E1CABCA" w14:textId="582672E0" w:rsidR="00184A1D" w:rsidRPr="00352F94" w:rsidRDefault="00A05C4C" w:rsidP="00F92888">
      <w:r w:rsidRPr="0024787A">
        <w:t>The US DOE</w:t>
      </w:r>
      <w:r w:rsidR="004F14B6" w:rsidRPr="0024787A">
        <w:t xml:space="preserve"> </w:t>
      </w:r>
      <w:r w:rsidRPr="0024787A">
        <w:t xml:space="preserve">estimated that LED technology accounted for approximately 3% of global installed base in 2014, 11% at the end of 2016, and forecasts that the penetration of the global installed lamp base will reach 50% around 2022 and 74% by 2030  </w:t>
      </w:r>
      <w:r w:rsidRPr="0024787A">
        <w:fldChar w:fldCharType="begin"/>
      </w:r>
      <w:r w:rsidRPr="0024787A">
        <w:instrText xml:space="preserve"> ADDIN ZOTERO_ITEM CSL_CITATION {"citationID":"PP2ZQ8Nc","properties":{"formattedCitation":"(US DOE SSL, 2017b)","plainCitation":"(US DOE SSL, 2017b)","noteIndex":0},"citationItems":[{"id":1422,"uris":["http://zotero.org/groups/2241931/items/M9S7MB74"],"uri":["http://zotero.org/groups/2241931/items/M9S7MB74"],"itemData":{"id":1422,"type":"article","title":"Solid-State Lighting 2017 Suggested Research Topics Supplement: Technology and Market Context","publisher":"US DOE SSL","URL":"https://www.energy.gov/sites/prod/files/2017/09/f37/ssl_supplement_suggested-topics_sep2017_0.pdf","author":[{"family":"US DOE SSL","given":""}],"issued":{"date-parts":[["2017"]]},"accessed":{"date-parts":[["2019",2,22]]}}}],"schema":"https://github.com/citation-style-language/schema/raw/master/csl-citation.json"} </w:instrText>
      </w:r>
      <w:r w:rsidRPr="0024787A">
        <w:fldChar w:fldCharType="separate"/>
      </w:r>
      <w:r w:rsidRPr="0024787A">
        <w:rPr>
          <w:rFonts w:cs="Times New Roman"/>
          <w:szCs w:val="24"/>
        </w:rPr>
        <w:t>(US DOE SSL, 2017b)</w:t>
      </w:r>
      <w:r w:rsidRPr="0024787A">
        <w:fldChar w:fldCharType="end"/>
      </w:r>
      <w:r w:rsidRPr="0024787A">
        <w:t>. This covers all lighting sectors.</w:t>
      </w:r>
      <w:r w:rsidRPr="00352F94">
        <w:t xml:space="preserve"> The global estimates for LED adoption vary significantly, and some sources double the estimate for the lamp sales (from 3% to 6%)</w:t>
      </w:r>
      <w:r w:rsidRPr="00352F94">
        <w:fldChar w:fldCharType="begin"/>
      </w:r>
      <w:r w:rsidRPr="00352F94">
        <w:instrText xml:space="preserve"> ADDIN ZOTERO_ITEM CSL_CITATION {"citationID":"nymMwgYB","properties":{"formattedCitation":"(US DOE SSL, 2014)","plainCitation":"(US DOE SSL, 2014)","noteIndex":0},"citationItems":[{"id":1423,"uris":["http://zotero.org/groups/2241931/items/BTL3K6HT"],"uri":["http://zotero.org/groups/2241931/items/BTL3K6HT"],"itemData":{"id":1423,"type":"report","title":"Solid-State Lighting Research and Development: Multi-Year Program Plan April 2014 (Updated May 2014)","page":"104","note":"reviewed","language":"en","author":[{"family":"US DOE SSL","given":""}],"issued":{"date-parts":[["2014"]]}}}],"schema":"https://github.com/citation-style-language/schema/raw/master/csl-citation.json"} </w:instrText>
      </w:r>
      <w:r w:rsidRPr="00352F94">
        <w:fldChar w:fldCharType="separate"/>
      </w:r>
      <w:r w:rsidRPr="00352F94">
        <w:rPr>
          <w:rFonts w:cs="Times New Roman"/>
          <w:szCs w:val="24"/>
        </w:rPr>
        <w:t>(US DOE SSL, 2014)</w:t>
      </w:r>
      <w:r w:rsidRPr="00352F94">
        <w:fldChar w:fldCharType="end"/>
      </w:r>
      <w:r w:rsidRPr="00352F94">
        <w:t>, but it’s generally agreed that the revenue from and the market penetration of LED technology are increasing.</w:t>
      </w:r>
    </w:p>
    <w:p w14:paraId="3CFFFCE4" w14:textId="4591BE17" w:rsidR="00F92888" w:rsidRPr="00352F94" w:rsidRDefault="00F92888" w:rsidP="00740468">
      <w:r w:rsidRPr="00352F94">
        <w:t xml:space="preserve">The penetration rate of LED technology </w:t>
      </w:r>
      <w:r w:rsidR="00A32796" w:rsidRPr="00352F94">
        <w:t xml:space="preserve">has been largest in the </w:t>
      </w:r>
      <w:r w:rsidRPr="00352F94">
        <w:t>residential lighting</w:t>
      </w:r>
      <w:r w:rsidR="00A32796" w:rsidRPr="00352F94">
        <w:t xml:space="preserve"> sector. I</w:t>
      </w:r>
      <w:r w:rsidRPr="00352F94">
        <w:t>n the U.S.</w:t>
      </w:r>
      <w:r w:rsidR="00446653" w:rsidRPr="00352F94">
        <w:t xml:space="preserve"> it</w:t>
      </w:r>
      <w:r w:rsidRPr="00352F94">
        <w:t xml:space="preserve"> was estimated to be the greatest</w:t>
      </w:r>
      <w:r w:rsidR="00A32796" w:rsidRPr="00352F94">
        <w:t xml:space="preserve"> in terms of number of lamp and luminaire installations. In 2015, residences accounted for 71 percent of all lighting installations nationwide, at 6.2 billion</w:t>
      </w:r>
      <w:r w:rsidR="0014163E" w:rsidRPr="00352F94">
        <w:t xml:space="preserve"> </w:t>
      </w:r>
      <w:r w:rsidR="0014163E" w:rsidRPr="00352F94">
        <w:fldChar w:fldCharType="begin"/>
      </w:r>
      <w:r w:rsidR="0014163E" w:rsidRPr="00352F94">
        <w:instrText xml:space="preserve"> ADDIN ZOTERO_ITEM CSL_CITATION {"citationID":"YsBQADPP","properties":{"formattedCitation":"(US DOE SSL, 2014)","plainCitation":"(US DOE SSL, 2014)","noteIndex":0},"citationItems":[{"id":1423,"uris":["http://zotero.org/groups/2241931/items/BTL3K6HT"],"uri":["http://zotero.org/groups/2241931/items/BTL3K6HT"],"itemData":{"id":1423,"type":"report","title":"Solid-State Lighting Research and Development: Multi-Year Program Plan April 2014 (Updated May 2014)","page":"104","note":"reviewed","language":"en","author":[{"family":"US DOE SSL","given":""}],"issued":{"date-parts":[["2014"]]}}}],"schema":"https://github.com/citation-style-language/schema/raw/master/csl-citation.json"} </w:instrText>
      </w:r>
      <w:r w:rsidR="0014163E" w:rsidRPr="00352F94">
        <w:fldChar w:fldCharType="separate"/>
      </w:r>
      <w:r w:rsidR="0014163E" w:rsidRPr="00352F94">
        <w:rPr>
          <w:rFonts w:cs="Times New Roman"/>
        </w:rPr>
        <w:t>(US DOE SSL, 2014)</w:t>
      </w:r>
      <w:r w:rsidR="0014163E" w:rsidRPr="00352F94">
        <w:fldChar w:fldCharType="end"/>
      </w:r>
      <w:r w:rsidR="00A32796" w:rsidRPr="00352F94">
        <w:t>.</w:t>
      </w:r>
      <w:r w:rsidRPr="00352F94">
        <w:t xml:space="preserve"> </w:t>
      </w:r>
      <w:r w:rsidR="00740468" w:rsidRPr="00352F94">
        <w:t>Although the annual installation of residential LED bulbs increased six-fold to 78 million between 2012 and 2014 (there were fewer than 400,000 installations in 2009), LED bulbs account</w:t>
      </w:r>
      <w:r w:rsidR="002E6026">
        <w:t>ed</w:t>
      </w:r>
      <w:r w:rsidR="00740468" w:rsidRPr="00352F94">
        <w:t xml:space="preserve"> for only 3 percent of the</w:t>
      </w:r>
      <w:r w:rsidR="00446653" w:rsidRPr="00352F94">
        <w:t xml:space="preserve"> </w:t>
      </w:r>
      <w:r w:rsidR="00740468" w:rsidRPr="00352F94">
        <w:t xml:space="preserve">installed base of indoor lighting and 14 percent of outdoor </w:t>
      </w:r>
      <w:r w:rsidR="00807270">
        <w:t xml:space="preserve">in 2014 </w:t>
      </w:r>
      <w:r w:rsidR="00740468" w:rsidRPr="00352F94">
        <w:fldChar w:fldCharType="begin"/>
      </w:r>
      <w:r w:rsidR="00740468" w:rsidRPr="00352F94">
        <w:instrText xml:space="preserve"> ADDIN ZOTERO_ITEM CSL_CITATION {"citationID":"VHsd6AHN","properties":{"formattedCitation":"(National Academies of Sciences, Engineering, and Medicine, 2017)","plainCitation":"(National Academies of Sciences, Engineering, and Medicine, 2017)","noteIndex":0},"citationItems":[{"id":3592,"uris":["http://zotero.org/groups/2241931/items/IE6SQSQE"],"uri":["http://zotero.org/groups/2241931/items/IE6SQSQE"],"itemData":{"id":3592,"type":"book","title":"Assessment of Solid-State Lighting, Phase Two","publisher":"National Academies Press","publisher-place":"Washington, D.C.","source":"Crossref","event-place":"Washington, D.C.","URL":"https://www.nap.edu/catalog/24619","ISBN":"978-0-309-45257-1","note":"reviewed","language":"en","author":[{"family":"National Academies of Sciences, Engineering, and Medicine","given":""}],"issued":{"date-parts":[["2017"]]},"accessed":{"date-parts":[["2019",4,3]]}}}],"schema":"https://github.com/citation-style-language/schema/raw/master/csl-citation.json"} </w:instrText>
      </w:r>
      <w:r w:rsidR="00740468" w:rsidRPr="00352F94">
        <w:fldChar w:fldCharType="separate"/>
      </w:r>
      <w:r w:rsidR="00740468" w:rsidRPr="00352F94">
        <w:rPr>
          <w:rFonts w:cs="Times New Roman"/>
        </w:rPr>
        <w:t>(National Academies of Sciences, Engineering, and Medicine, 2017)</w:t>
      </w:r>
      <w:r w:rsidR="00740468" w:rsidRPr="00352F94">
        <w:fldChar w:fldCharType="end"/>
      </w:r>
      <w:r w:rsidR="00740468" w:rsidRPr="00352F94">
        <w:t>.</w:t>
      </w:r>
      <w:r w:rsidRPr="00352F94">
        <w:t>This is also in line with the McKinsey estimates of linear fluorescent lamps (LFL) still remaining approximately at 16</w:t>
      </w:r>
      <w:r w:rsidR="001B2805" w:rsidRPr="00352F94">
        <w:t>%</w:t>
      </w:r>
      <w:r w:rsidRPr="00352F94">
        <w:t xml:space="preserve"> of value-based market share in all general lighting in 2020. The reason for LED technology to replace LFL technology more slowly compared to other conventional lighting technologies is the robustness, maturity, energy efficiency (approx. 100 lm/W) and cost efficiency of LFL. Residential lighting uses </w:t>
      </w:r>
      <w:r w:rsidR="004647E5">
        <w:t>few</w:t>
      </w:r>
      <w:r w:rsidRPr="00352F94">
        <w:t xml:space="preserve"> LFLs (</w:t>
      </w:r>
      <w:r w:rsidRPr="00352F94">
        <w:fldChar w:fldCharType="begin"/>
      </w:r>
      <w:r w:rsidRPr="00352F94">
        <w:instrText xml:space="preserve"> REF _Ref536640791 \h  \* MERGEFORMAT </w:instrText>
      </w:r>
      <w:r w:rsidRPr="00352F94">
        <w:fldChar w:fldCharType="separate"/>
      </w:r>
      <w:r w:rsidR="006F1368" w:rsidRPr="00352F94">
        <w:t xml:space="preserve">Table </w:t>
      </w:r>
      <w:r w:rsidR="006F1368">
        <w:t>1.1</w:t>
      </w:r>
      <w:r w:rsidRPr="00352F94">
        <w:fldChar w:fldCharType="end"/>
      </w:r>
      <w:r w:rsidRPr="00352F94">
        <w:t>)</w:t>
      </w:r>
      <w:r w:rsidR="00A32796" w:rsidRPr="00352F94">
        <w:t xml:space="preserve"> and the</w:t>
      </w:r>
      <w:r w:rsidR="00A32796" w:rsidRPr="008F0AA6">
        <w:t xml:space="preserve"> uptake for compact fluorescent lighting (CFL) in </w:t>
      </w:r>
      <w:r w:rsidR="004647E5">
        <w:t>residences</w:t>
      </w:r>
      <w:r w:rsidR="00A32796" w:rsidRPr="008F0AA6">
        <w:t xml:space="preserve"> was relatively slow until the 1990s, </w:t>
      </w:r>
      <w:r w:rsidR="004647E5">
        <w:t>led by</w:t>
      </w:r>
      <w:r w:rsidR="00A32796" w:rsidRPr="008F0AA6">
        <w:t xml:space="preserve"> Western European market</w:t>
      </w:r>
      <w:r w:rsidR="004647E5">
        <w:t>s</w:t>
      </w:r>
      <w:r w:rsidR="00A32796" w:rsidRPr="008F0AA6">
        <w:t xml:space="preserve"> </w:t>
      </w:r>
      <w:r w:rsidR="00A32796" w:rsidRPr="00352F94">
        <w:fldChar w:fldCharType="begin"/>
      </w:r>
      <w:r w:rsidR="00A32796" w:rsidRPr="00352F94">
        <w:instrText xml:space="preserve"> ADDIN ZOTERO_ITEM CSL_CITATION {"citationID":"sWLBKqHl","properties":{"formattedCitation":"(Luth, 2012)","plainCitation":"(Luth, 2012)","noteIndex":0},"citationItems":[{"id":3507,"uris":["http://zotero.org/groups/2241931/items/8N5QLSF6"],"uri":["http://zotero.org/groups/2241931/items/8N5QLSF6"],"itemData":{"id":3507,"type":"thesis","title":"Extended Producer Responsibility for Closing Material Loops: Lessons from energy-efficient lighting products","URL":"https://www.iiiee.lu.se/sites/iiiee.lu.se/files/jessika_luth_richter_hela.pdf","author":[{"family":"Luth","given":"Jessika"}],"issued":{"date-parts":[["2012"]]},"accessed":{"date-parts":[["2019",3,30]]}}}],"schema":"https://github.com/citation-style-language/schema/raw/master/csl-citation.json"} </w:instrText>
      </w:r>
      <w:r w:rsidR="00A32796" w:rsidRPr="00352F94">
        <w:fldChar w:fldCharType="separate"/>
      </w:r>
      <w:r w:rsidR="00A32796" w:rsidRPr="00352F94">
        <w:t>(Luth, 2012)</w:t>
      </w:r>
      <w:r w:rsidR="00A32796" w:rsidRPr="00352F94">
        <w:fldChar w:fldCharType="end"/>
      </w:r>
      <w:r w:rsidRPr="00352F94">
        <w:t xml:space="preserve">. </w:t>
      </w:r>
    </w:p>
    <w:p w14:paraId="5A9130AA" w14:textId="6C3C4905" w:rsidR="00F92888" w:rsidRPr="00352F94" w:rsidRDefault="00F92888" w:rsidP="007015D4">
      <w:r w:rsidRPr="00352F94">
        <w:t>LED lighting is already in use in households. On the basis of McKinsey data for 2012 and 2016 (</w:t>
      </w:r>
      <w:r w:rsidRPr="00352F94">
        <w:fldChar w:fldCharType="begin"/>
      </w:r>
      <w:r w:rsidRPr="00352F94">
        <w:instrText xml:space="preserve"> REF _Ref536640791 \h  \* MERGEFORMAT </w:instrText>
      </w:r>
      <w:r w:rsidRPr="00352F94">
        <w:fldChar w:fldCharType="separate"/>
      </w:r>
      <w:r w:rsidR="006F1368" w:rsidRPr="00352F94">
        <w:t xml:space="preserve">Table </w:t>
      </w:r>
      <w:r w:rsidR="006F1368">
        <w:rPr>
          <w:noProof/>
        </w:rPr>
        <w:t>1.1</w:t>
      </w:r>
      <w:r w:rsidRPr="00352F94">
        <w:fldChar w:fldCharType="end"/>
      </w:r>
      <w:r w:rsidRPr="00352F94">
        <w:t>), the market share of LED lighting is estimated to be approximately 31</w:t>
      </w:r>
      <w:r w:rsidR="001B2805" w:rsidRPr="00352F94">
        <w:t>%</w:t>
      </w:r>
      <w:r w:rsidRPr="00352F94">
        <w:t xml:space="preserve"> in 2014 (linear interpolation), but it is noted that this is the market share of </w:t>
      </w:r>
      <w:r w:rsidRPr="00352F94">
        <w:rPr>
          <w:i/>
        </w:rPr>
        <w:t>sales,</w:t>
      </w:r>
      <w:r w:rsidRPr="00352F94">
        <w:t xml:space="preserve"> not that of the installed base, so this value cannot be used for the share of LED products in installed base. Installed base refers to the light sources in use, while market refers to the sales of light sources in a year. It turned out to be rather difficult to collect LED adoption data globally and regionally. US DOE estimated that in 2014 the penetration rate of LED lighting of the installed base was 2.4% in replacing A19 general service lamps</w:t>
      </w:r>
      <w:r w:rsidR="0014163E" w:rsidRPr="00352F94">
        <w:t xml:space="preserve"> </w:t>
      </w:r>
      <w:r w:rsidR="0014163E" w:rsidRPr="00352F94">
        <w:fldChar w:fldCharType="begin"/>
      </w:r>
      <w:r w:rsidR="0014163E" w:rsidRPr="00352F94">
        <w:instrText xml:space="preserve"> ADDIN ZOTERO_ITEM CSL_CITATION {"citationID":"lRt7rXke","properties":{"formattedCitation":"(US DOE, 2015)","plainCitation":"(US DOE, 2015)","noteIndex":0},"citationItems":[{"id":3534,"uris":["http://zotero.org/groups/2241931/items/S7JYUYL6"],"uri":["http://zotero.org/groups/2241931/items/S7JYUYL6"],"itemData":{"id":3534,"type":"article-journal","title":"2015 U.S. Lighting Market Characterization","page":"135","source":"Zotero","language":"en","author":[{"family":"US DOE","given":""}],"issued":{"date-parts":[["2015"]]}}}],"schema":"https://github.com/citation-style-language/schema/raw/master/csl-citation.json"} </w:instrText>
      </w:r>
      <w:r w:rsidR="0014163E" w:rsidRPr="00352F94">
        <w:fldChar w:fldCharType="separate"/>
      </w:r>
      <w:r w:rsidR="0014163E" w:rsidRPr="00352F94">
        <w:t>(US DOE, 2015)</w:t>
      </w:r>
      <w:r w:rsidR="0014163E" w:rsidRPr="00352F94">
        <w:fldChar w:fldCharType="end"/>
      </w:r>
      <w:r w:rsidRPr="00352F94">
        <w:t xml:space="preserve">. These lamps and this share are used as a proxy for residential lighting penetration rate in the U.S. </w:t>
      </w:r>
      <w:r w:rsidRPr="00352F94">
        <w:rPr>
          <w:b/>
        </w:rPr>
        <w:t xml:space="preserve"> </w:t>
      </w:r>
    </w:p>
    <w:p w14:paraId="20B3CB4D" w14:textId="460A3AD7" w:rsidR="00E853F6" w:rsidRPr="00E853F6" w:rsidRDefault="00F92888" w:rsidP="00F92888">
      <w:pPr>
        <w:pStyle w:val="Caption"/>
        <w:spacing w:after="0"/>
        <w:jc w:val="center"/>
        <w:rPr>
          <w:bCs/>
          <w:vanish/>
          <w:specVanish/>
        </w:rPr>
      </w:pPr>
      <w:bookmarkStart w:id="36" w:name="_Ref536640791"/>
      <w:bookmarkStart w:id="37" w:name="_Toc44585101"/>
      <w:bookmarkStart w:id="38" w:name="_Toc456117420"/>
      <w:r w:rsidRPr="00352F94">
        <w:t xml:space="preserve">Table </w:t>
      </w:r>
      <w:r w:rsidR="00ED272A">
        <w:rPr>
          <w:noProof/>
        </w:rPr>
        <w:fldChar w:fldCharType="begin"/>
      </w:r>
      <w:r w:rsidR="00ED272A">
        <w:rPr>
          <w:noProof/>
        </w:rPr>
        <w:instrText xml:space="preserve"> STYLEREF 1 \s </w:instrText>
      </w:r>
      <w:r w:rsidR="00ED272A">
        <w:rPr>
          <w:noProof/>
        </w:rPr>
        <w:fldChar w:fldCharType="separate"/>
      </w:r>
      <w:r w:rsidR="006F1368">
        <w:rPr>
          <w:noProof/>
        </w:rPr>
        <w:t>1</w:t>
      </w:r>
      <w:r w:rsidR="00ED272A">
        <w:rPr>
          <w:noProof/>
        </w:rPr>
        <w:fldChar w:fldCharType="end"/>
      </w:r>
      <w:r w:rsidR="00E853F6">
        <w:t>.</w:t>
      </w:r>
      <w:r w:rsidR="00ED272A">
        <w:rPr>
          <w:noProof/>
        </w:rPr>
        <w:fldChar w:fldCharType="begin"/>
      </w:r>
      <w:r w:rsidR="00ED272A">
        <w:rPr>
          <w:noProof/>
        </w:rPr>
        <w:instrText xml:space="preserve"> SEQ Table \* ARABIC \s 1 </w:instrText>
      </w:r>
      <w:r w:rsidR="00ED272A">
        <w:rPr>
          <w:noProof/>
        </w:rPr>
        <w:fldChar w:fldCharType="separate"/>
      </w:r>
      <w:r w:rsidR="006F1368">
        <w:rPr>
          <w:noProof/>
        </w:rPr>
        <w:t>1</w:t>
      </w:r>
      <w:r w:rsidR="00ED272A">
        <w:rPr>
          <w:noProof/>
        </w:rPr>
        <w:fldChar w:fldCharType="end"/>
      </w:r>
      <w:bookmarkEnd w:id="36"/>
      <w:r w:rsidRPr="00352F94">
        <w:rPr>
          <w:bCs/>
        </w:rPr>
        <w:t xml:space="preserve"> Shares </w:t>
      </w:r>
      <w:r w:rsidR="007860B2" w:rsidRPr="00352F94">
        <w:rPr>
          <w:bCs/>
        </w:rPr>
        <w:t xml:space="preserve">of Lighting Technologies in Residential Market </w:t>
      </w:r>
      <w:r w:rsidR="008F7578" w:rsidRPr="00352F94">
        <w:rPr>
          <w:bCs/>
        </w:rPr>
        <w:t>in Europe and US</w:t>
      </w:r>
      <w:bookmarkEnd w:id="37"/>
    </w:p>
    <w:p w14:paraId="0F04D0B6" w14:textId="76E740F4" w:rsidR="00F92888" w:rsidRPr="00352F94" w:rsidRDefault="00857DED" w:rsidP="00F92888">
      <w:pPr>
        <w:pStyle w:val="Caption"/>
        <w:spacing w:after="0"/>
        <w:jc w:val="center"/>
        <w:rPr>
          <w:bCs/>
        </w:rPr>
      </w:pPr>
      <w:r w:rsidRPr="00352F94">
        <w:rPr>
          <w:bCs/>
        </w:rPr>
        <w:t xml:space="preserve"> </w:t>
      </w:r>
      <w:r w:rsidR="007860B2" w:rsidRPr="00352F94">
        <w:rPr>
          <w:bCs/>
        </w:rPr>
        <w:t>(Excluding Lighting Control Market</w:t>
      </w:r>
      <w:r w:rsidR="00F92888" w:rsidRPr="00352F94">
        <w:rPr>
          <w:bCs/>
        </w:rPr>
        <w:t>)</w:t>
      </w:r>
      <w:bookmarkEnd w:id="38"/>
      <w:r w:rsidR="0014163E" w:rsidRPr="00352F94">
        <w:rPr>
          <w:bCs/>
        </w:rPr>
        <w:t xml:space="preserve"> percent in Euros </w:t>
      </w:r>
      <w:r w:rsidR="0014163E" w:rsidRPr="00352F94">
        <w:rPr>
          <w:bCs/>
        </w:rPr>
        <w:fldChar w:fldCharType="begin"/>
      </w:r>
      <w:r w:rsidR="0014163E" w:rsidRPr="00352F94">
        <w:rPr>
          <w:bCs/>
        </w:rPr>
        <w:instrText xml:space="preserve"> ADDIN ZOTERO_ITEM CSL_CITATION {"citationID":"alXtSdFO","properties":{"formattedCitation":"(US DOE SSL, 2014)","plainCitation":"(US DOE SSL, 2014)","noteIndex":0},"citationItems":[{"id":1423,"uris":["http://zotero.org/groups/2241931/items/BTL3K6HT"],"uri":["http://zotero.org/groups/2241931/items/BTL3K6HT"],"itemData":{"id":1423,"type":"report","title":"Solid-State Lighting Research and Development: Multi-Year Program Plan April 2014 (Updated May 2014)","page":"104","note":"reviewed","language":"en","author":[{"family":"US DOE SSL","given":""}],"issued":{"date-parts":[["2014"]]}}}],"schema":"https://github.com/citation-style-language/schema/raw/master/csl-citation.json"} </w:instrText>
      </w:r>
      <w:r w:rsidR="0014163E" w:rsidRPr="00352F94">
        <w:rPr>
          <w:bCs/>
        </w:rPr>
        <w:fldChar w:fldCharType="separate"/>
      </w:r>
      <w:r w:rsidR="0014163E" w:rsidRPr="00352F94">
        <w:rPr>
          <w:rFonts w:cs="Times New Roman"/>
        </w:rPr>
        <w:t>(US DOE SSL, 2014)</w:t>
      </w:r>
      <w:r w:rsidR="0014163E" w:rsidRPr="00352F94">
        <w:rPr>
          <w:bCs/>
        </w:rPr>
        <w:fldChar w:fldCharType="end"/>
      </w:r>
    </w:p>
    <w:tbl>
      <w:tblPr>
        <w:tblStyle w:val="TableGrid"/>
        <w:tblW w:w="8784" w:type="dxa"/>
        <w:jc w:val="center"/>
        <w:tblLayout w:type="fixed"/>
        <w:tblLook w:val="04A0" w:firstRow="1" w:lastRow="0" w:firstColumn="1" w:lastColumn="0" w:noHBand="0" w:noVBand="1"/>
      </w:tblPr>
      <w:tblGrid>
        <w:gridCol w:w="704"/>
        <w:gridCol w:w="1606"/>
        <w:gridCol w:w="1607"/>
        <w:gridCol w:w="1607"/>
        <w:gridCol w:w="1086"/>
        <w:gridCol w:w="1087"/>
        <w:gridCol w:w="1087"/>
      </w:tblGrid>
      <w:tr w:rsidR="00F92888" w:rsidRPr="00352F94" w14:paraId="0BF887BC" w14:textId="77777777" w:rsidTr="00467D3D">
        <w:trPr>
          <w:trHeight w:val="300"/>
          <w:jc w:val="center"/>
        </w:trPr>
        <w:tc>
          <w:tcPr>
            <w:tcW w:w="704" w:type="dxa"/>
            <w:shd w:val="clear" w:color="auto" w:fill="4F81BD" w:themeFill="accent1"/>
            <w:noWrap/>
            <w:vAlign w:val="center"/>
            <w:hideMark/>
          </w:tcPr>
          <w:p w14:paraId="46C79F9F" w14:textId="77777777" w:rsidR="00F92888" w:rsidRPr="00352F94" w:rsidRDefault="00F92888" w:rsidP="00467D3D">
            <w:pPr>
              <w:spacing w:line="259" w:lineRule="auto"/>
              <w:jc w:val="center"/>
              <w:rPr>
                <w:b/>
                <w:bCs/>
                <w:color w:val="FFFFFF" w:themeColor="background1"/>
              </w:rPr>
            </w:pPr>
            <w:r w:rsidRPr="00352F94">
              <w:rPr>
                <w:b/>
                <w:bCs/>
                <w:color w:val="FFFFFF" w:themeColor="background1"/>
              </w:rPr>
              <w:t>Year</w:t>
            </w:r>
          </w:p>
        </w:tc>
        <w:tc>
          <w:tcPr>
            <w:tcW w:w="1606" w:type="dxa"/>
            <w:shd w:val="clear" w:color="auto" w:fill="4F81BD" w:themeFill="accent1"/>
            <w:noWrap/>
            <w:vAlign w:val="center"/>
            <w:hideMark/>
          </w:tcPr>
          <w:p w14:paraId="734377DE" w14:textId="77777777" w:rsidR="00F92888" w:rsidRPr="00352F94" w:rsidRDefault="00F92888" w:rsidP="00467D3D">
            <w:pPr>
              <w:spacing w:line="259" w:lineRule="auto"/>
              <w:jc w:val="center"/>
              <w:rPr>
                <w:b/>
                <w:bCs/>
                <w:color w:val="FFFFFF" w:themeColor="background1"/>
              </w:rPr>
            </w:pPr>
            <w:r w:rsidRPr="00352F94">
              <w:rPr>
                <w:b/>
                <w:bCs/>
                <w:color w:val="FFFFFF" w:themeColor="background1"/>
              </w:rPr>
              <w:t>Incandescent lamp</w:t>
            </w:r>
          </w:p>
        </w:tc>
        <w:tc>
          <w:tcPr>
            <w:tcW w:w="1607" w:type="dxa"/>
            <w:shd w:val="clear" w:color="auto" w:fill="4F81BD" w:themeFill="accent1"/>
            <w:noWrap/>
            <w:vAlign w:val="center"/>
            <w:hideMark/>
          </w:tcPr>
          <w:p w14:paraId="7E5A6912" w14:textId="77777777" w:rsidR="00F92888" w:rsidRPr="00352F94" w:rsidRDefault="00F92888" w:rsidP="00467D3D">
            <w:pPr>
              <w:spacing w:line="259" w:lineRule="auto"/>
              <w:jc w:val="center"/>
              <w:rPr>
                <w:b/>
                <w:bCs/>
                <w:color w:val="FFFFFF" w:themeColor="background1"/>
              </w:rPr>
            </w:pPr>
            <w:r w:rsidRPr="00352F94">
              <w:rPr>
                <w:b/>
                <w:bCs/>
                <w:color w:val="FFFFFF" w:themeColor="background1"/>
              </w:rPr>
              <w:t>Halogen lamp</w:t>
            </w:r>
          </w:p>
        </w:tc>
        <w:tc>
          <w:tcPr>
            <w:tcW w:w="1607" w:type="dxa"/>
            <w:shd w:val="clear" w:color="auto" w:fill="4F81BD" w:themeFill="accent1"/>
            <w:noWrap/>
            <w:vAlign w:val="center"/>
            <w:hideMark/>
          </w:tcPr>
          <w:p w14:paraId="6D7DC741" w14:textId="77777777" w:rsidR="00F92888" w:rsidRPr="00352F94" w:rsidRDefault="00F92888" w:rsidP="00467D3D">
            <w:pPr>
              <w:spacing w:line="259" w:lineRule="auto"/>
              <w:jc w:val="center"/>
              <w:rPr>
                <w:b/>
                <w:bCs/>
                <w:color w:val="FFFFFF" w:themeColor="background1"/>
              </w:rPr>
            </w:pPr>
            <w:r w:rsidRPr="00352F94">
              <w:rPr>
                <w:b/>
                <w:bCs/>
                <w:color w:val="FFFFFF" w:themeColor="background1"/>
              </w:rPr>
              <w:t>HID lamp</w:t>
            </w:r>
          </w:p>
        </w:tc>
        <w:tc>
          <w:tcPr>
            <w:tcW w:w="1086" w:type="dxa"/>
            <w:shd w:val="clear" w:color="auto" w:fill="4F81BD" w:themeFill="accent1"/>
            <w:noWrap/>
            <w:vAlign w:val="center"/>
            <w:hideMark/>
          </w:tcPr>
          <w:p w14:paraId="0D52023A" w14:textId="77777777" w:rsidR="00F92888" w:rsidRPr="00352F94" w:rsidRDefault="00F92888" w:rsidP="00467D3D">
            <w:pPr>
              <w:spacing w:line="259" w:lineRule="auto"/>
              <w:jc w:val="center"/>
              <w:rPr>
                <w:b/>
                <w:bCs/>
                <w:color w:val="FFFFFF" w:themeColor="background1"/>
              </w:rPr>
            </w:pPr>
            <w:r w:rsidRPr="00352F94">
              <w:rPr>
                <w:b/>
                <w:bCs/>
                <w:color w:val="FFFFFF" w:themeColor="background1"/>
              </w:rPr>
              <w:t>LFL</w:t>
            </w:r>
          </w:p>
        </w:tc>
        <w:tc>
          <w:tcPr>
            <w:tcW w:w="1087" w:type="dxa"/>
            <w:shd w:val="clear" w:color="auto" w:fill="4F81BD" w:themeFill="accent1"/>
            <w:noWrap/>
            <w:vAlign w:val="center"/>
            <w:hideMark/>
          </w:tcPr>
          <w:p w14:paraId="1E2C170E" w14:textId="77777777" w:rsidR="00F92888" w:rsidRPr="00352F94" w:rsidRDefault="00F92888" w:rsidP="00467D3D">
            <w:pPr>
              <w:spacing w:line="259" w:lineRule="auto"/>
              <w:jc w:val="center"/>
              <w:rPr>
                <w:b/>
                <w:bCs/>
                <w:color w:val="FFFFFF" w:themeColor="background1"/>
              </w:rPr>
            </w:pPr>
            <w:r w:rsidRPr="00352F94">
              <w:rPr>
                <w:b/>
                <w:bCs/>
                <w:color w:val="FFFFFF" w:themeColor="background1"/>
              </w:rPr>
              <w:t>CFL</w:t>
            </w:r>
          </w:p>
        </w:tc>
        <w:tc>
          <w:tcPr>
            <w:tcW w:w="1087" w:type="dxa"/>
            <w:shd w:val="clear" w:color="auto" w:fill="4F81BD" w:themeFill="accent1"/>
            <w:noWrap/>
            <w:vAlign w:val="center"/>
            <w:hideMark/>
          </w:tcPr>
          <w:p w14:paraId="1C7D3F77" w14:textId="77777777" w:rsidR="00F92888" w:rsidRPr="00352F94" w:rsidRDefault="00F92888" w:rsidP="00467D3D">
            <w:pPr>
              <w:spacing w:line="259" w:lineRule="auto"/>
              <w:jc w:val="center"/>
              <w:rPr>
                <w:b/>
                <w:bCs/>
                <w:color w:val="FFFFFF" w:themeColor="background1"/>
              </w:rPr>
            </w:pPr>
            <w:r w:rsidRPr="00352F94">
              <w:rPr>
                <w:b/>
                <w:bCs/>
                <w:color w:val="FFFFFF" w:themeColor="background1"/>
              </w:rPr>
              <w:t>LED</w:t>
            </w:r>
          </w:p>
        </w:tc>
      </w:tr>
      <w:tr w:rsidR="00F92888" w:rsidRPr="00352F94" w14:paraId="04CBF1A6" w14:textId="77777777" w:rsidTr="00467D3D">
        <w:trPr>
          <w:trHeight w:val="300"/>
          <w:jc w:val="center"/>
        </w:trPr>
        <w:tc>
          <w:tcPr>
            <w:tcW w:w="704" w:type="dxa"/>
            <w:noWrap/>
            <w:hideMark/>
          </w:tcPr>
          <w:p w14:paraId="587BE00F" w14:textId="77777777" w:rsidR="00F92888" w:rsidRPr="00352F94" w:rsidRDefault="00F92888" w:rsidP="00467D3D">
            <w:pPr>
              <w:spacing w:line="259" w:lineRule="auto"/>
              <w:rPr>
                <w:bCs/>
              </w:rPr>
            </w:pPr>
            <w:r w:rsidRPr="00352F94">
              <w:rPr>
                <w:bCs/>
              </w:rPr>
              <w:t>2011</w:t>
            </w:r>
          </w:p>
        </w:tc>
        <w:tc>
          <w:tcPr>
            <w:tcW w:w="1606" w:type="dxa"/>
            <w:noWrap/>
            <w:hideMark/>
          </w:tcPr>
          <w:p w14:paraId="234F7219" w14:textId="5537EA17" w:rsidR="00F92888" w:rsidRPr="00352F94" w:rsidRDefault="00F92888" w:rsidP="00467D3D">
            <w:pPr>
              <w:spacing w:line="259" w:lineRule="auto"/>
              <w:rPr>
                <w:bCs/>
              </w:rPr>
            </w:pPr>
            <w:r w:rsidRPr="00352F94">
              <w:rPr>
                <w:bCs/>
              </w:rPr>
              <w:t>26</w:t>
            </w:r>
            <w:r w:rsidR="001B2805" w:rsidRPr="00352F94">
              <w:rPr>
                <w:bCs/>
              </w:rPr>
              <w:t>%</w:t>
            </w:r>
          </w:p>
        </w:tc>
        <w:tc>
          <w:tcPr>
            <w:tcW w:w="1607" w:type="dxa"/>
            <w:noWrap/>
            <w:hideMark/>
          </w:tcPr>
          <w:p w14:paraId="39D8E9F8" w14:textId="23665507" w:rsidR="00F92888" w:rsidRPr="00352F94" w:rsidRDefault="00F92888" w:rsidP="00467D3D">
            <w:pPr>
              <w:spacing w:line="259" w:lineRule="auto"/>
              <w:rPr>
                <w:bCs/>
              </w:rPr>
            </w:pPr>
            <w:r w:rsidRPr="00352F94">
              <w:rPr>
                <w:bCs/>
              </w:rPr>
              <w:t>27</w:t>
            </w:r>
            <w:r w:rsidR="001B2805" w:rsidRPr="00352F94">
              <w:rPr>
                <w:bCs/>
              </w:rPr>
              <w:t>%</w:t>
            </w:r>
          </w:p>
        </w:tc>
        <w:tc>
          <w:tcPr>
            <w:tcW w:w="1607" w:type="dxa"/>
            <w:noWrap/>
            <w:hideMark/>
          </w:tcPr>
          <w:p w14:paraId="5194B479" w14:textId="3CC88CF0" w:rsidR="00F92888" w:rsidRPr="00352F94" w:rsidRDefault="00F92888" w:rsidP="00467D3D">
            <w:pPr>
              <w:spacing w:line="259" w:lineRule="auto"/>
              <w:rPr>
                <w:bCs/>
              </w:rPr>
            </w:pPr>
            <w:r w:rsidRPr="00352F94">
              <w:rPr>
                <w:bCs/>
              </w:rPr>
              <w:t>0</w:t>
            </w:r>
            <w:r w:rsidR="001B2805" w:rsidRPr="00352F94">
              <w:rPr>
                <w:bCs/>
              </w:rPr>
              <w:t>%</w:t>
            </w:r>
          </w:p>
        </w:tc>
        <w:tc>
          <w:tcPr>
            <w:tcW w:w="1086" w:type="dxa"/>
            <w:noWrap/>
            <w:hideMark/>
          </w:tcPr>
          <w:p w14:paraId="50DC5694" w14:textId="75E70B21" w:rsidR="00F92888" w:rsidRPr="00352F94" w:rsidRDefault="00F92888" w:rsidP="00467D3D">
            <w:pPr>
              <w:spacing w:line="259" w:lineRule="auto"/>
              <w:rPr>
                <w:bCs/>
              </w:rPr>
            </w:pPr>
            <w:r w:rsidRPr="00352F94">
              <w:rPr>
                <w:bCs/>
              </w:rPr>
              <w:t>11</w:t>
            </w:r>
            <w:r w:rsidR="001B2805" w:rsidRPr="00352F94">
              <w:rPr>
                <w:bCs/>
              </w:rPr>
              <w:t>%</w:t>
            </w:r>
          </w:p>
        </w:tc>
        <w:tc>
          <w:tcPr>
            <w:tcW w:w="1087" w:type="dxa"/>
            <w:noWrap/>
            <w:hideMark/>
          </w:tcPr>
          <w:p w14:paraId="2FF256B1" w14:textId="7259D595" w:rsidR="00F92888" w:rsidRPr="00352F94" w:rsidRDefault="00F92888" w:rsidP="00467D3D">
            <w:pPr>
              <w:spacing w:line="259" w:lineRule="auto"/>
              <w:rPr>
                <w:bCs/>
              </w:rPr>
            </w:pPr>
            <w:r w:rsidRPr="00352F94">
              <w:rPr>
                <w:bCs/>
              </w:rPr>
              <w:t>28</w:t>
            </w:r>
            <w:r w:rsidR="001B2805" w:rsidRPr="00352F94">
              <w:rPr>
                <w:bCs/>
              </w:rPr>
              <w:t>%</w:t>
            </w:r>
          </w:p>
        </w:tc>
        <w:tc>
          <w:tcPr>
            <w:tcW w:w="1087" w:type="dxa"/>
            <w:noWrap/>
            <w:hideMark/>
          </w:tcPr>
          <w:p w14:paraId="7EF47F7E" w14:textId="3AE872EF" w:rsidR="00F92888" w:rsidRPr="00352F94" w:rsidRDefault="00F92888" w:rsidP="00467D3D">
            <w:pPr>
              <w:spacing w:line="259" w:lineRule="auto"/>
              <w:rPr>
                <w:bCs/>
              </w:rPr>
            </w:pPr>
            <w:r w:rsidRPr="00352F94">
              <w:rPr>
                <w:bCs/>
              </w:rPr>
              <w:t>7</w:t>
            </w:r>
            <w:r w:rsidR="001B2805" w:rsidRPr="00352F94">
              <w:rPr>
                <w:bCs/>
              </w:rPr>
              <w:t>%</w:t>
            </w:r>
          </w:p>
        </w:tc>
      </w:tr>
      <w:tr w:rsidR="00F92888" w:rsidRPr="00352F94" w14:paraId="5859632E" w14:textId="77777777" w:rsidTr="00467D3D">
        <w:trPr>
          <w:trHeight w:val="300"/>
          <w:jc w:val="center"/>
        </w:trPr>
        <w:tc>
          <w:tcPr>
            <w:tcW w:w="704" w:type="dxa"/>
            <w:noWrap/>
            <w:hideMark/>
          </w:tcPr>
          <w:p w14:paraId="1F021DEF" w14:textId="77777777" w:rsidR="00F92888" w:rsidRPr="00352F94" w:rsidRDefault="00F92888" w:rsidP="00467D3D">
            <w:pPr>
              <w:spacing w:line="259" w:lineRule="auto"/>
              <w:rPr>
                <w:bCs/>
              </w:rPr>
            </w:pPr>
            <w:r w:rsidRPr="00352F94">
              <w:rPr>
                <w:bCs/>
              </w:rPr>
              <w:t>2012</w:t>
            </w:r>
          </w:p>
        </w:tc>
        <w:tc>
          <w:tcPr>
            <w:tcW w:w="1606" w:type="dxa"/>
            <w:noWrap/>
            <w:hideMark/>
          </w:tcPr>
          <w:p w14:paraId="2F432F3E" w14:textId="1FF50CD8" w:rsidR="00F92888" w:rsidRPr="00352F94" w:rsidRDefault="00F92888" w:rsidP="00467D3D">
            <w:pPr>
              <w:spacing w:line="259" w:lineRule="auto"/>
              <w:rPr>
                <w:bCs/>
              </w:rPr>
            </w:pPr>
            <w:r w:rsidRPr="00352F94">
              <w:rPr>
                <w:bCs/>
              </w:rPr>
              <w:t>22</w:t>
            </w:r>
            <w:r w:rsidR="001B2805" w:rsidRPr="00352F94">
              <w:rPr>
                <w:bCs/>
              </w:rPr>
              <w:t>%</w:t>
            </w:r>
          </w:p>
        </w:tc>
        <w:tc>
          <w:tcPr>
            <w:tcW w:w="1607" w:type="dxa"/>
            <w:noWrap/>
            <w:hideMark/>
          </w:tcPr>
          <w:p w14:paraId="3F783A0F" w14:textId="252CCDFB" w:rsidR="00F92888" w:rsidRPr="00352F94" w:rsidRDefault="00F92888" w:rsidP="00467D3D">
            <w:pPr>
              <w:spacing w:line="259" w:lineRule="auto"/>
              <w:rPr>
                <w:bCs/>
              </w:rPr>
            </w:pPr>
            <w:r w:rsidRPr="00352F94">
              <w:rPr>
                <w:bCs/>
              </w:rPr>
              <w:t>26</w:t>
            </w:r>
            <w:r w:rsidR="001B2805" w:rsidRPr="00352F94">
              <w:rPr>
                <w:bCs/>
              </w:rPr>
              <w:t>%</w:t>
            </w:r>
          </w:p>
        </w:tc>
        <w:tc>
          <w:tcPr>
            <w:tcW w:w="1607" w:type="dxa"/>
            <w:noWrap/>
            <w:hideMark/>
          </w:tcPr>
          <w:p w14:paraId="025837CE" w14:textId="2E0C24F4" w:rsidR="00F92888" w:rsidRPr="00352F94" w:rsidRDefault="00F92888" w:rsidP="00467D3D">
            <w:pPr>
              <w:spacing w:line="259" w:lineRule="auto"/>
              <w:rPr>
                <w:bCs/>
              </w:rPr>
            </w:pPr>
            <w:r w:rsidRPr="00352F94">
              <w:rPr>
                <w:bCs/>
              </w:rPr>
              <w:t>0</w:t>
            </w:r>
            <w:r w:rsidR="001B2805" w:rsidRPr="00352F94">
              <w:rPr>
                <w:bCs/>
              </w:rPr>
              <w:t>%</w:t>
            </w:r>
          </w:p>
        </w:tc>
        <w:tc>
          <w:tcPr>
            <w:tcW w:w="1086" w:type="dxa"/>
            <w:noWrap/>
            <w:hideMark/>
          </w:tcPr>
          <w:p w14:paraId="0D6191F6" w14:textId="47141E18" w:rsidR="00F92888" w:rsidRPr="00352F94" w:rsidRDefault="00F92888" w:rsidP="00467D3D">
            <w:pPr>
              <w:spacing w:line="259" w:lineRule="auto"/>
              <w:rPr>
                <w:bCs/>
              </w:rPr>
            </w:pPr>
            <w:r w:rsidRPr="00352F94">
              <w:rPr>
                <w:bCs/>
              </w:rPr>
              <w:t>11</w:t>
            </w:r>
            <w:r w:rsidR="001B2805" w:rsidRPr="00352F94">
              <w:rPr>
                <w:bCs/>
              </w:rPr>
              <w:t>%</w:t>
            </w:r>
          </w:p>
        </w:tc>
        <w:tc>
          <w:tcPr>
            <w:tcW w:w="1087" w:type="dxa"/>
            <w:noWrap/>
            <w:hideMark/>
          </w:tcPr>
          <w:p w14:paraId="73293FB7" w14:textId="6D9FC49C" w:rsidR="00F92888" w:rsidRPr="00352F94" w:rsidRDefault="00F92888" w:rsidP="00467D3D">
            <w:pPr>
              <w:spacing w:line="259" w:lineRule="auto"/>
              <w:rPr>
                <w:bCs/>
              </w:rPr>
            </w:pPr>
            <w:r w:rsidRPr="00352F94">
              <w:rPr>
                <w:bCs/>
              </w:rPr>
              <w:t>27</w:t>
            </w:r>
            <w:r w:rsidR="001B2805" w:rsidRPr="00352F94">
              <w:rPr>
                <w:bCs/>
              </w:rPr>
              <w:t>%</w:t>
            </w:r>
          </w:p>
        </w:tc>
        <w:tc>
          <w:tcPr>
            <w:tcW w:w="1087" w:type="dxa"/>
            <w:noWrap/>
            <w:hideMark/>
          </w:tcPr>
          <w:p w14:paraId="107E4CEA" w14:textId="1B2CBC34" w:rsidR="00F92888" w:rsidRPr="00352F94" w:rsidRDefault="00F92888" w:rsidP="00467D3D">
            <w:pPr>
              <w:spacing w:line="259" w:lineRule="auto"/>
              <w:rPr>
                <w:bCs/>
              </w:rPr>
            </w:pPr>
            <w:r w:rsidRPr="00352F94">
              <w:rPr>
                <w:bCs/>
              </w:rPr>
              <w:t>13</w:t>
            </w:r>
            <w:r w:rsidR="001B2805" w:rsidRPr="00352F94">
              <w:rPr>
                <w:bCs/>
              </w:rPr>
              <w:t>%</w:t>
            </w:r>
          </w:p>
        </w:tc>
      </w:tr>
      <w:tr w:rsidR="00F92888" w:rsidRPr="00352F94" w14:paraId="2C4165C8" w14:textId="77777777" w:rsidTr="00467D3D">
        <w:trPr>
          <w:trHeight w:val="300"/>
          <w:jc w:val="center"/>
        </w:trPr>
        <w:tc>
          <w:tcPr>
            <w:tcW w:w="704" w:type="dxa"/>
            <w:noWrap/>
            <w:hideMark/>
          </w:tcPr>
          <w:p w14:paraId="783EC20F" w14:textId="77777777" w:rsidR="00F92888" w:rsidRPr="00352F94" w:rsidRDefault="00F92888" w:rsidP="00467D3D">
            <w:pPr>
              <w:spacing w:line="259" w:lineRule="auto"/>
              <w:rPr>
                <w:bCs/>
              </w:rPr>
            </w:pPr>
            <w:r w:rsidRPr="00352F94">
              <w:rPr>
                <w:bCs/>
              </w:rPr>
              <w:t>2016</w:t>
            </w:r>
          </w:p>
        </w:tc>
        <w:tc>
          <w:tcPr>
            <w:tcW w:w="1606" w:type="dxa"/>
            <w:noWrap/>
            <w:hideMark/>
          </w:tcPr>
          <w:p w14:paraId="1AA7BE4D" w14:textId="1DF860A4" w:rsidR="00F92888" w:rsidRPr="00352F94" w:rsidRDefault="00F92888" w:rsidP="00467D3D">
            <w:pPr>
              <w:spacing w:line="259" w:lineRule="auto"/>
              <w:rPr>
                <w:bCs/>
              </w:rPr>
            </w:pPr>
            <w:r w:rsidRPr="00352F94">
              <w:rPr>
                <w:bCs/>
              </w:rPr>
              <w:t>5</w:t>
            </w:r>
            <w:r w:rsidR="001B2805" w:rsidRPr="00352F94">
              <w:rPr>
                <w:bCs/>
              </w:rPr>
              <w:t>%</w:t>
            </w:r>
          </w:p>
        </w:tc>
        <w:tc>
          <w:tcPr>
            <w:tcW w:w="1607" w:type="dxa"/>
            <w:noWrap/>
            <w:hideMark/>
          </w:tcPr>
          <w:p w14:paraId="303C4566" w14:textId="091ADDD6" w:rsidR="00F92888" w:rsidRPr="00352F94" w:rsidRDefault="00F92888" w:rsidP="00467D3D">
            <w:pPr>
              <w:spacing w:line="259" w:lineRule="auto"/>
              <w:rPr>
                <w:bCs/>
              </w:rPr>
            </w:pPr>
            <w:r w:rsidRPr="00352F94">
              <w:rPr>
                <w:bCs/>
              </w:rPr>
              <w:t>19</w:t>
            </w:r>
            <w:r w:rsidR="001B2805" w:rsidRPr="00352F94">
              <w:rPr>
                <w:bCs/>
              </w:rPr>
              <w:t>%</w:t>
            </w:r>
          </w:p>
        </w:tc>
        <w:tc>
          <w:tcPr>
            <w:tcW w:w="1607" w:type="dxa"/>
            <w:noWrap/>
            <w:hideMark/>
          </w:tcPr>
          <w:p w14:paraId="133F2117" w14:textId="7E80E462" w:rsidR="00F92888" w:rsidRPr="00352F94" w:rsidRDefault="00F92888" w:rsidP="00467D3D">
            <w:pPr>
              <w:spacing w:line="259" w:lineRule="auto"/>
              <w:rPr>
                <w:bCs/>
              </w:rPr>
            </w:pPr>
            <w:r w:rsidRPr="00352F94">
              <w:rPr>
                <w:bCs/>
              </w:rPr>
              <w:t>0</w:t>
            </w:r>
            <w:r w:rsidR="001B2805" w:rsidRPr="00352F94">
              <w:rPr>
                <w:bCs/>
              </w:rPr>
              <w:t>%</w:t>
            </w:r>
          </w:p>
        </w:tc>
        <w:tc>
          <w:tcPr>
            <w:tcW w:w="1086" w:type="dxa"/>
            <w:noWrap/>
            <w:hideMark/>
          </w:tcPr>
          <w:p w14:paraId="77E52A52" w14:textId="25B8BEA9" w:rsidR="00F92888" w:rsidRPr="00352F94" w:rsidRDefault="00F92888" w:rsidP="00467D3D">
            <w:pPr>
              <w:spacing w:line="259" w:lineRule="auto"/>
              <w:rPr>
                <w:bCs/>
              </w:rPr>
            </w:pPr>
            <w:r w:rsidRPr="00352F94">
              <w:rPr>
                <w:bCs/>
              </w:rPr>
              <w:t>9</w:t>
            </w:r>
            <w:r w:rsidR="001B2805" w:rsidRPr="00352F94">
              <w:rPr>
                <w:bCs/>
              </w:rPr>
              <w:t>%</w:t>
            </w:r>
          </w:p>
        </w:tc>
        <w:tc>
          <w:tcPr>
            <w:tcW w:w="1087" w:type="dxa"/>
            <w:noWrap/>
            <w:hideMark/>
          </w:tcPr>
          <w:p w14:paraId="2D958A1F" w14:textId="6274AA54" w:rsidR="00F92888" w:rsidRPr="00352F94" w:rsidRDefault="00F92888" w:rsidP="00467D3D">
            <w:pPr>
              <w:spacing w:line="259" w:lineRule="auto"/>
              <w:rPr>
                <w:bCs/>
              </w:rPr>
            </w:pPr>
            <w:r w:rsidRPr="00352F94">
              <w:rPr>
                <w:bCs/>
              </w:rPr>
              <w:t>18</w:t>
            </w:r>
            <w:r w:rsidR="001B2805" w:rsidRPr="00352F94">
              <w:rPr>
                <w:bCs/>
              </w:rPr>
              <w:t>%</w:t>
            </w:r>
          </w:p>
        </w:tc>
        <w:tc>
          <w:tcPr>
            <w:tcW w:w="1087" w:type="dxa"/>
            <w:noWrap/>
            <w:hideMark/>
          </w:tcPr>
          <w:p w14:paraId="5CE08454" w14:textId="7F727A76" w:rsidR="00F92888" w:rsidRPr="00352F94" w:rsidRDefault="00F92888" w:rsidP="00467D3D">
            <w:pPr>
              <w:spacing w:line="259" w:lineRule="auto"/>
              <w:rPr>
                <w:bCs/>
              </w:rPr>
            </w:pPr>
            <w:r w:rsidRPr="00352F94">
              <w:rPr>
                <w:bCs/>
              </w:rPr>
              <w:t>49</w:t>
            </w:r>
            <w:r w:rsidR="001B2805" w:rsidRPr="00352F94">
              <w:rPr>
                <w:bCs/>
              </w:rPr>
              <w:t>%</w:t>
            </w:r>
          </w:p>
        </w:tc>
      </w:tr>
      <w:tr w:rsidR="00F92888" w:rsidRPr="00352F94" w14:paraId="275FB7D1" w14:textId="77777777" w:rsidTr="00467D3D">
        <w:trPr>
          <w:trHeight w:val="300"/>
          <w:jc w:val="center"/>
        </w:trPr>
        <w:tc>
          <w:tcPr>
            <w:tcW w:w="704" w:type="dxa"/>
            <w:noWrap/>
            <w:hideMark/>
          </w:tcPr>
          <w:p w14:paraId="63EA6645" w14:textId="77777777" w:rsidR="00F92888" w:rsidRPr="00352F94" w:rsidRDefault="00F92888" w:rsidP="00467D3D">
            <w:pPr>
              <w:spacing w:line="259" w:lineRule="auto"/>
              <w:rPr>
                <w:bCs/>
              </w:rPr>
            </w:pPr>
            <w:r w:rsidRPr="00352F94">
              <w:rPr>
                <w:bCs/>
              </w:rPr>
              <w:t>2020</w:t>
            </w:r>
          </w:p>
        </w:tc>
        <w:tc>
          <w:tcPr>
            <w:tcW w:w="1606" w:type="dxa"/>
            <w:noWrap/>
            <w:hideMark/>
          </w:tcPr>
          <w:p w14:paraId="3262633F" w14:textId="1AEFA639" w:rsidR="00F92888" w:rsidRPr="00352F94" w:rsidRDefault="00F92888" w:rsidP="00467D3D">
            <w:pPr>
              <w:spacing w:line="259" w:lineRule="auto"/>
              <w:rPr>
                <w:bCs/>
              </w:rPr>
            </w:pPr>
            <w:r w:rsidRPr="00352F94">
              <w:rPr>
                <w:bCs/>
              </w:rPr>
              <w:t>2</w:t>
            </w:r>
            <w:r w:rsidR="001B2805" w:rsidRPr="00352F94">
              <w:rPr>
                <w:bCs/>
              </w:rPr>
              <w:t>%</w:t>
            </w:r>
          </w:p>
        </w:tc>
        <w:tc>
          <w:tcPr>
            <w:tcW w:w="1607" w:type="dxa"/>
            <w:noWrap/>
            <w:hideMark/>
          </w:tcPr>
          <w:p w14:paraId="03863D3C" w14:textId="0685DAF3" w:rsidR="00F92888" w:rsidRPr="00352F94" w:rsidRDefault="00F92888" w:rsidP="00467D3D">
            <w:pPr>
              <w:spacing w:line="259" w:lineRule="auto"/>
              <w:rPr>
                <w:bCs/>
              </w:rPr>
            </w:pPr>
            <w:r w:rsidRPr="00352F94">
              <w:rPr>
                <w:bCs/>
              </w:rPr>
              <w:t>8</w:t>
            </w:r>
            <w:r w:rsidR="001B2805" w:rsidRPr="00352F94">
              <w:rPr>
                <w:bCs/>
              </w:rPr>
              <w:t>%</w:t>
            </w:r>
          </w:p>
        </w:tc>
        <w:tc>
          <w:tcPr>
            <w:tcW w:w="1607" w:type="dxa"/>
            <w:noWrap/>
            <w:hideMark/>
          </w:tcPr>
          <w:p w14:paraId="4FE7D600" w14:textId="5C4B3CF1" w:rsidR="00F92888" w:rsidRPr="00352F94" w:rsidRDefault="00F92888" w:rsidP="00467D3D">
            <w:pPr>
              <w:spacing w:line="259" w:lineRule="auto"/>
              <w:rPr>
                <w:bCs/>
              </w:rPr>
            </w:pPr>
            <w:r w:rsidRPr="00352F94">
              <w:rPr>
                <w:bCs/>
              </w:rPr>
              <w:t>0</w:t>
            </w:r>
            <w:r w:rsidR="001B2805" w:rsidRPr="00352F94">
              <w:rPr>
                <w:bCs/>
              </w:rPr>
              <w:t>%</w:t>
            </w:r>
          </w:p>
        </w:tc>
        <w:tc>
          <w:tcPr>
            <w:tcW w:w="1086" w:type="dxa"/>
            <w:noWrap/>
            <w:hideMark/>
          </w:tcPr>
          <w:p w14:paraId="0C09A87A" w14:textId="076C1F50" w:rsidR="00F92888" w:rsidRPr="00352F94" w:rsidRDefault="00F92888" w:rsidP="00467D3D">
            <w:pPr>
              <w:spacing w:line="259" w:lineRule="auto"/>
              <w:rPr>
                <w:bCs/>
              </w:rPr>
            </w:pPr>
            <w:r w:rsidRPr="00352F94">
              <w:rPr>
                <w:bCs/>
              </w:rPr>
              <w:t>6</w:t>
            </w:r>
            <w:r w:rsidR="001B2805" w:rsidRPr="00352F94">
              <w:rPr>
                <w:bCs/>
              </w:rPr>
              <w:t>%</w:t>
            </w:r>
          </w:p>
        </w:tc>
        <w:tc>
          <w:tcPr>
            <w:tcW w:w="1087" w:type="dxa"/>
            <w:noWrap/>
            <w:hideMark/>
          </w:tcPr>
          <w:p w14:paraId="69910811" w14:textId="6681F579" w:rsidR="00F92888" w:rsidRPr="00352F94" w:rsidRDefault="00F92888" w:rsidP="00467D3D">
            <w:pPr>
              <w:spacing w:line="259" w:lineRule="auto"/>
              <w:rPr>
                <w:bCs/>
              </w:rPr>
            </w:pPr>
            <w:r w:rsidRPr="00352F94">
              <w:rPr>
                <w:bCs/>
              </w:rPr>
              <w:t>11</w:t>
            </w:r>
            <w:r w:rsidR="001B2805" w:rsidRPr="00352F94">
              <w:rPr>
                <w:bCs/>
              </w:rPr>
              <w:t>%</w:t>
            </w:r>
          </w:p>
        </w:tc>
        <w:tc>
          <w:tcPr>
            <w:tcW w:w="1087" w:type="dxa"/>
            <w:noWrap/>
            <w:hideMark/>
          </w:tcPr>
          <w:p w14:paraId="7BEF5368" w14:textId="4B02C877" w:rsidR="00F92888" w:rsidRPr="00352F94" w:rsidRDefault="00F92888" w:rsidP="00467D3D">
            <w:pPr>
              <w:spacing w:line="259" w:lineRule="auto"/>
              <w:rPr>
                <w:bCs/>
              </w:rPr>
            </w:pPr>
            <w:r w:rsidRPr="00352F94">
              <w:rPr>
                <w:bCs/>
              </w:rPr>
              <w:t>73</w:t>
            </w:r>
            <w:r w:rsidR="001B2805" w:rsidRPr="00352F94">
              <w:rPr>
                <w:bCs/>
              </w:rPr>
              <w:t>%</w:t>
            </w:r>
          </w:p>
        </w:tc>
      </w:tr>
    </w:tbl>
    <w:p w14:paraId="04195918" w14:textId="77777777" w:rsidR="007860B2" w:rsidRPr="00352F94" w:rsidRDefault="007860B2" w:rsidP="007860B2">
      <w:pPr>
        <w:spacing w:after="0"/>
        <w:ind w:left="180"/>
        <w:rPr>
          <w:bCs/>
          <w:sz w:val="18"/>
        </w:rPr>
      </w:pPr>
    </w:p>
    <w:p w14:paraId="15641ED8" w14:textId="1CF4A96B" w:rsidR="00F92888" w:rsidRPr="00352F94" w:rsidRDefault="00744004" w:rsidP="00F92888">
      <w:pPr>
        <w:spacing w:after="0"/>
        <w:rPr>
          <w:bCs/>
        </w:rPr>
      </w:pPr>
      <w:r w:rsidRPr="00352F94">
        <w:rPr>
          <w:bCs/>
        </w:rPr>
        <w:t xml:space="preserve">The </w:t>
      </w:r>
      <w:r w:rsidR="00F92888" w:rsidRPr="00352F94">
        <w:rPr>
          <w:bCs/>
        </w:rPr>
        <w:t>US DOE</w:t>
      </w:r>
      <w:r w:rsidR="00857DED" w:rsidRPr="00352F94">
        <w:rPr>
          <w:bCs/>
        </w:rPr>
        <w:t xml:space="preserve"> </w:t>
      </w:r>
      <w:r w:rsidR="00F92888" w:rsidRPr="00352F94">
        <w:rPr>
          <w:bCs/>
        </w:rPr>
        <w:t>estimated that LED technology accounted for approximately 3% of</w:t>
      </w:r>
      <w:r w:rsidRPr="00352F94">
        <w:rPr>
          <w:bCs/>
        </w:rPr>
        <w:t xml:space="preserve"> the</w:t>
      </w:r>
      <w:r w:rsidR="00F92888" w:rsidRPr="00352F94">
        <w:rPr>
          <w:bCs/>
        </w:rPr>
        <w:t xml:space="preserve"> </w:t>
      </w:r>
      <w:r w:rsidR="00F92888" w:rsidRPr="00352F94">
        <w:rPr>
          <w:bCs/>
          <w:i/>
        </w:rPr>
        <w:t xml:space="preserve">global </w:t>
      </w:r>
      <w:r w:rsidR="00F92888" w:rsidRPr="00352F94">
        <w:rPr>
          <w:bCs/>
        </w:rPr>
        <w:t>installed base in 2014</w:t>
      </w:r>
      <w:r w:rsidR="0014163E" w:rsidRPr="00352F94">
        <w:rPr>
          <w:bCs/>
        </w:rPr>
        <w:t xml:space="preserve"> </w:t>
      </w:r>
      <w:r w:rsidR="0014163E" w:rsidRPr="00352F94">
        <w:rPr>
          <w:bCs/>
        </w:rPr>
        <w:fldChar w:fldCharType="begin"/>
      </w:r>
      <w:r w:rsidR="0014163E" w:rsidRPr="00352F94">
        <w:rPr>
          <w:bCs/>
        </w:rPr>
        <w:instrText xml:space="preserve"> ADDIN ZOTERO_ITEM CSL_CITATION {"citationID":"YVlgsKy8","properties":{"formattedCitation":"(US DOE SSL, 2014)","plainCitation":"(US DOE SSL, 2014)","noteIndex":0},"citationItems":[{"id":1423,"uris":["http://zotero.org/groups/2241931/items/BTL3K6HT"],"uri":["http://zotero.org/groups/2241931/items/BTL3K6HT"],"itemData":{"id":1423,"type":"report","title":"Solid-State Lighting Research and Development: Multi-Year Program Plan April 2014 (Updated May 2014)","page":"104","note":"reviewed","language":"en","author":[{"family":"US DOE SSL","given":""}],"issued":{"date-parts":[["2014"]]}}}],"schema":"https://github.com/citation-style-language/schema/raw/master/csl-citation.json"} </w:instrText>
      </w:r>
      <w:r w:rsidR="0014163E" w:rsidRPr="00352F94">
        <w:rPr>
          <w:bCs/>
        </w:rPr>
        <w:fldChar w:fldCharType="separate"/>
      </w:r>
      <w:r w:rsidR="0014163E" w:rsidRPr="00352F94">
        <w:rPr>
          <w:rFonts w:cs="Times New Roman"/>
        </w:rPr>
        <w:t>(US DOE SSL, 2014)</w:t>
      </w:r>
      <w:r w:rsidR="0014163E" w:rsidRPr="00352F94">
        <w:rPr>
          <w:bCs/>
        </w:rPr>
        <w:fldChar w:fldCharType="end"/>
      </w:r>
      <w:r w:rsidR="00F92888" w:rsidRPr="00352F94">
        <w:rPr>
          <w:bCs/>
        </w:rPr>
        <w:t xml:space="preserve">. This is a value for all lighting sectors, but it’s used as a proxy for residential lighting. </w:t>
      </w:r>
      <w:r w:rsidR="00235C3B" w:rsidRPr="00352F94">
        <w:rPr>
          <w:bCs/>
        </w:rPr>
        <w:t>A s</w:t>
      </w:r>
      <w:r w:rsidR="00F92888" w:rsidRPr="00352F94">
        <w:rPr>
          <w:bCs/>
        </w:rPr>
        <w:t xml:space="preserve">imilar estimate was provided by a model used in UNEP Enlighten Initiative, where 2% of the </w:t>
      </w:r>
      <w:r w:rsidR="007015D4" w:rsidRPr="00352F94">
        <w:rPr>
          <w:bCs/>
        </w:rPr>
        <w:t>P</w:t>
      </w:r>
      <w:r w:rsidR="00F92888" w:rsidRPr="00352F94">
        <w:rPr>
          <w:bCs/>
        </w:rPr>
        <w:t>lmh/a of lighting consumption was produced by LED technology in residential lighting in 2014</w:t>
      </w:r>
      <w:r w:rsidR="0014163E" w:rsidRPr="00352F94">
        <w:rPr>
          <w:bCs/>
        </w:rPr>
        <w:t xml:space="preserve"> </w:t>
      </w:r>
      <w:r w:rsidR="0014163E" w:rsidRPr="00352F94">
        <w:rPr>
          <w:bCs/>
        </w:rPr>
        <w:fldChar w:fldCharType="begin"/>
      </w:r>
      <w:r w:rsidR="0014163E" w:rsidRPr="00352F94">
        <w:rPr>
          <w:bCs/>
        </w:rPr>
        <w:instrText xml:space="preserve"> ADDIN ZOTERO_ITEM CSL_CITATION {"citationID":"R9vLG7OD","properties":{"formattedCitation":"(UN Environment, 2017)","plainCitation":"(UN Environment, 2017)","noteIndex":0},"citationItems":[{"id":3574,"uris":["http://zotero.org/groups/2241931/items/XJLLUB8F"],"uri":["http://zotero.org/groups/2241931/items/XJLLUB8F"],"itemData":{"id":3574,"type":"report","title":"Terminal Evaluation of the UN Environment/Global Environment Facility project “Global Market Transformation for Efficient Lighting” (en.lighten initiative)","URL":"http://wedocs.unep.org/bitstream/handle/20.500.11822/25443/3755_2017_te_unenvironment_gef_global_cc_-msp_fsp__global_market_transformation_for_efficient_lighting.pdf?sequence=1&amp;isAllowed=y","author":[{"family":"UN Environment","given":""}],"issued":{"date-parts":[["2017"]]},"accessed":{"date-parts":[["2019",4,2]]}}}],"schema":"https://github.com/citation-style-language/schema/raw/master/csl-citation.json"} </w:instrText>
      </w:r>
      <w:r w:rsidR="0014163E" w:rsidRPr="00352F94">
        <w:rPr>
          <w:bCs/>
        </w:rPr>
        <w:fldChar w:fldCharType="separate"/>
      </w:r>
      <w:r w:rsidR="0014163E" w:rsidRPr="00352F94">
        <w:rPr>
          <w:rFonts w:cs="Times New Roman"/>
        </w:rPr>
        <w:t>(UN Environment, 2017)</w:t>
      </w:r>
      <w:r w:rsidR="0014163E" w:rsidRPr="00352F94">
        <w:rPr>
          <w:bCs/>
        </w:rPr>
        <w:fldChar w:fldCharType="end"/>
      </w:r>
      <w:r w:rsidR="00F92888" w:rsidRPr="00352F94">
        <w:rPr>
          <w:bCs/>
        </w:rPr>
        <w:t xml:space="preserve">. The global lamp sales estimates vary significantly, and some estimates are double the Strategies Unlimited estimate (3%), resulting </w:t>
      </w:r>
      <w:r w:rsidR="00235C3B" w:rsidRPr="00352F94">
        <w:rPr>
          <w:bCs/>
        </w:rPr>
        <w:t xml:space="preserve">in </w:t>
      </w:r>
      <w:r w:rsidR="00F92888" w:rsidRPr="00352F94">
        <w:rPr>
          <w:bCs/>
        </w:rPr>
        <w:t>6% of unit sales</w:t>
      </w:r>
      <w:r w:rsidR="00116FD7" w:rsidRPr="00352F94">
        <w:rPr>
          <w:bCs/>
        </w:rPr>
        <w:fldChar w:fldCharType="begin"/>
      </w:r>
      <w:r w:rsidR="00116FD7" w:rsidRPr="00352F94">
        <w:rPr>
          <w:bCs/>
        </w:rPr>
        <w:instrText xml:space="preserve"> ADDIN ZOTERO_ITEM CSL_CITATION {"citationID":"vGbPWzae","properties":{"formattedCitation":"(US DOE SSL, 2014)","plainCitation":"(US DOE SSL, 2014)","noteIndex":0},"citationItems":[{"id":1423,"uris":["http://zotero.org/groups/2241931/items/BTL3K6HT"],"uri":["http://zotero.org/groups/2241931/items/BTL3K6HT"],"itemData":{"id":1423,"type":"report","title":"Solid-State Lighting Research and Development: Multi-Year Program Plan April 2014 (Updated May 2014)","page":"104","note":"reviewed","language":"en","author":[{"family":"US DOE SSL","given":""}],"issued":{"date-parts":[["2014"]]}}}],"schema":"https://github.com/citation-style-language/schema/raw/master/csl-citation.json"} </w:instrText>
      </w:r>
      <w:r w:rsidR="00116FD7" w:rsidRPr="00352F94">
        <w:rPr>
          <w:bCs/>
        </w:rPr>
        <w:fldChar w:fldCharType="separate"/>
      </w:r>
      <w:r w:rsidR="00116FD7" w:rsidRPr="00352F94">
        <w:rPr>
          <w:rFonts w:cs="Times New Roman"/>
        </w:rPr>
        <w:t>(US DOE SSL, 2014)</w:t>
      </w:r>
      <w:r w:rsidR="00116FD7" w:rsidRPr="00352F94">
        <w:rPr>
          <w:bCs/>
        </w:rPr>
        <w:fldChar w:fldCharType="end"/>
      </w:r>
      <w:r w:rsidR="00F92888" w:rsidRPr="00352F94">
        <w:rPr>
          <w:bCs/>
        </w:rPr>
        <w:t>. What is generally agreed in all references is the increase in the revenue from and the market penetration of LED lighting products. In contrast to the market shares (sales) of LED lighting, only very few data sources were found for global or regional LED lighting shares of the installed base.</w:t>
      </w:r>
    </w:p>
    <w:p w14:paraId="3C4E3FEB" w14:textId="71143A12" w:rsidR="00A80555" w:rsidRPr="00352F94" w:rsidRDefault="00A80555" w:rsidP="00A80555">
      <w:pPr>
        <w:rPr>
          <w:bCs/>
        </w:rPr>
      </w:pPr>
      <w:r w:rsidRPr="00352F94">
        <w:rPr>
          <w:bCs/>
        </w:rPr>
        <w:t>In 2014, it has been estimated that LED products have penetrated approximately 3% of the installed base of lighting, or 2%</w:t>
      </w:r>
      <w:r w:rsidR="00116FD7" w:rsidRPr="00352F94">
        <w:rPr>
          <w:bCs/>
        </w:rPr>
        <w:fldChar w:fldCharType="begin"/>
      </w:r>
      <w:r w:rsidR="00116FD7" w:rsidRPr="00352F94">
        <w:rPr>
          <w:bCs/>
        </w:rPr>
        <w:instrText xml:space="preserve"> ADDIN ZOTERO_ITEM CSL_CITATION {"citationID":"TduyETu6","properties":{"formattedCitation":"(US DOE SSL, 2015)","plainCitation":"(US DOE SSL, 2015)","noteIndex":0},"citationItems":[{"id":3079,"uris":["http://zotero.org/groups/2241931/items/3R5WEGK3"],"uri":["http://zotero.org/groups/2241931/items/3R5WEGK3"],"itemData":{"id":3079,"type":"report","title":"Solid-State Lighting R&amp;D Plan","publisher":"DOE SSL Program","page":"168","genre":"prepared by Bardsley Consulting, SB Consulting, SSLS, Inc., LED Lighting Advisors, and Navigant Consulting, Inc.,","source":"Zotero","language":"en","author":[{"family":"US DOE SSL","given":""}],"issued":{"date-parts":[["2015",5]]}}}],"schema":"https://github.com/citation-style-language/schema/raw/master/csl-citation.json"} </w:instrText>
      </w:r>
      <w:r w:rsidR="00116FD7" w:rsidRPr="00352F94">
        <w:rPr>
          <w:bCs/>
        </w:rPr>
        <w:fldChar w:fldCharType="separate"/>
      </w:r>
      <w:r w:rsidR="00116FD7" w:rsidRPr="00352F94">
        <w:rPr>
          <w:rFonts w:cs="Times New Roman"/>
        </w:rPr>
        <w:t>(US DOE SSL, 2015)</w:t>
      </w:r>
      <w:r w:rsidR="00116FD7" w:rsidRPr="00352F94">
        <w:rPr>
          <w:bCs/>
        </w:rPr>
        <w:fldChar w:fldCharType="end"/>
      </w:r>
      <w:r w:rsidRPr="00352F94">
        <w:rPr>
          <w:bCs/>
        </w:rPr>
        <w:t>. It is assumed that the installed base is expressed in lumen-hours. In addition, the 3% share of the installed base refers to all lighting, and the specific share in residential lighting may differ. The UNEP data provides also regional LED adoption rates based on annual lmh consumption: 1.8% global, 2.2% in China, 0.5% in India, 2.0% in EU, and 1.2% in the US. These adoption rates are used to calculate average LED adoption in 2014.</w:t>
      </w:r>
    </w:p>
    <w:p w14:paraId="7C329A16" w14:textId="406CF0AC" w:rsidR="00A80555" w:rsidRPr="00352F94" w:rsidRDefault="00A80555" w:rsidP="00A80555">
      <w:pPr>
        <w:rPr>
          <w:bCs/>
        </w:rPr>
      </w:pPr>
      <w:r w:rsidRPr="00352F94">
        <w:rPr>
          <w:bCs/>
        </w:rPr>
        <w:t xml:space="preserve">There is clearly a lack of global and regional data for the adoption rate for and near the base year. Most data on residential lighting focus on the sales and market value, not the lighting demand expressed in lumen-hours. The base year adoption </w:t>
      </w:r>
      <w:r w:rsidR="000C4B0A" w:rsidRPr="00352F94">
        <w:rPr>
          <w:bCs/>
        </w:rPr>
        <w:t xml:space="preserve">uses </w:t>
      </w:r>
      <w:r w:rsidRPr="00352F94">
        <w:rPr>
          <w:bCs/>
        </w:rPr>
        <w:t>year 2010 estimates with the respective estimated growth from 2010 to 2014 and all adoption data directly available for 2014. Globally, LED technology accounts for approximately 3% of the TAM. The adoptions are admittedly somewhat exaggerated in certain areas, such as Eastern Europe and Middle East &amp; Africa, compared to other areas of few more datapoints available, such as EU and USA.</w:t>
      </w:r>
    </w:p>
    <w:p w14:paraId="4B6E5C96" w14:textId="74239392" w:rsidR="00D1508C" w:rsidRPr="00352F94" w:rsidRDefault="551A77D0" w:rsidP="005D49A8">
      <w:pPr>
        <w:pStyle w:val="Heading3"/>
      </w:pPr>
      <w:bookmarkStart w:id="39" w:name="_Toc44585067"/>
      <w:r w:rsidRPr="00352F94">
        <w:t>Trends</w:t>
      </w:r>
      <w:r w:rsidR="000C3205" w:rsidRPr="00352F94">
        <w:t xml:space="preserve"> </w:t>
      </w:r>
      <w:r w:rsidR="00A53CDF" w:rsidRPr="00352F94">
        <w:t>to Accelerate Adoption</w:t>
      </w:r>
      <w:bookmarkEnd w:id="39"/>
    </w:p>
    <w:p w14:paraId="30392847" w14:textId="60714296" w:rsidR="00BB3317" w:rsidRPr="00352F94" w:rsidRDefault="009747AA" w:rsidP="009747AA">
      <w:pPr>
        <w:tabs>
          <w:tab w:val="left" w:pos="5400"/>
        </w:tabs>
        <w:rPr>
          <w:sz w:val="21"/>
          <w:szCs w:val="21"/>
        </w:rPr>
      </w:pPr>
      <w:r w:rsidRPr="00025408">
        <w:rPr>
          <w:u w:val="single"/>
        </w:rPr>
        <w:t>Increase in National Programs</w:t>
      </w:r>
      <w:r w:rsidRPr="00025408">
        <w:rPr>
          <w:sz w:val="21"/>
          <w:szCs w:val="21"/>
          <w:u w:val="single"/>
        </w:rPr>
        <w:t xml:space="preserve"> for LED-based residential</w:t>
      </w:r>
      <w:r w:rsidRPr="00352F94">
        <w:rPr>
          <w:sz w:val="21"/>
          <w:szCs w:val="21"/>
        </w:rPr>
        <w:t xml:space="preserve">: The number one trend fueling the increasing adoption of LED in the residential sector is the </w:t>
      </w:r>
      <w:r w:rsidRPr="008F0AA6">
        <w:rPr>
          <w:b/>
          <w:sz w:val="21"/>
          <w:szCs w:val="21"/>
        </w:rPr>
        <w:t xml:space="preserve">increasing number of </w:t>
      </w:r>
      <w:r w:rsidR="00FB2BE5" w:rsidRPr="00352F94">
        <w:rPr>
          <w:b/>
          <w:sz w:val="21"/>
          <w:szCs w:val="21"/>
        </w:rPr>
        <w:t>energy efficiency</w:t>
      </w:r>
      <w:r w:rsidRPr="008F0AA6">
        <w:rPr>
          <w:b/>
          <w:sz w:val="21"/>
          <w:szCs w:val="21"/>
        </w:rPr>
        <w:t xml:space="preserve"> programs from utility companies</w:t>
      </w:r>
      <w:r w:rsidRPr="00352F94">
        <w:rPr>
          <w:sz w:val="21"/>
          <w:szCs w:val="21"/>
        </w:rPr>
        <w:t xml:space="preserve">. </w:t>
      </w:r>
      <w:r w:rsidR="00BB3317" w:rsidRPr="00352F94">
        <w:rPr>
          <w:sz w:val="21"/>
          <w:szCs w:val="21"/>
        </w:rPr>
        <w:t xml:space="preserve">In the US, </w:t>
      </w:r>
      <w:r w:rsidR="00BB3317" w:rsidRPr="00352F94">
        <w:t xml:space="preserve">the boom in LED A-lamp stock is due to residential utility energy efficiency programs </w:t>
      </w:r>
      <w:r w:rsidR="00886884" w:rsidRPr="00352F94">
        <w:fldChar w:fldCharType="begin"/>
      </w:r>
      <w:r w:rsidR="00886884" w:rsidRPr="00352F94">
        <w:instrText xml:space="preserve"> ADDIN ZOTERO_ITEM CSL_CITATION {"citationID":"ntgs9ppy","properties":{"formattedCitation":"(Navigant Consulting, 2017)","plainCitation":"(Navigant Consulting, 2017)","noteIndex":0},"citationItems":[{"id":3606,"uris":["http://zotero.org/groups/2241931/items/7RC6WASQ"],"uri":["http://zotero.org/groups/2241931/items/7RC6WASQ"],"itemData":{"id":3606,"type":"report","title":"Adoption of Light-Emitting Diodes in Common Lighting Applications","page":"67","source":"Zotero","language":"en","author":[{"family":"Navigant Consulting","given":""}],"issued":{"date-parts":[["2017"]]}}}],"schema":"https://github.com/citation-style-language/schema/raw/master/csl-citation.json"} </w:instrText>
      </w:r>
      <w:r w:rsidR="00886884" w:rsidRPr="00352F94">
        <w:fldChar w:fldCharType="separate"/>
      </w:r>
      <w:r w:rsidR="00886884" w:rsidRPr="00352F94">
        <w:rPr>
          <w:rFonts w:cs="Times New Roman"/>
        </w:rPr>
        <w:t>(Navigant Consulting, 2017)</w:t>
      </w:r>
      <w:r w:rsidR="00886884" w:rsidRPr="00352F94">
        <w:fldChar w:fldCharType="end"/>
      </w:r>
      <w:r w:rsidR="00BB3317" w:rsidRPr="00352F94">
        <w:t>.</w:t>
      </w:r>
      <w:r w:rsidR="00C55750" w:rsidRPr="00352F94">
        <w:t xml:space="preserve"> According to the report prepared for US DOE SSL, many utilit</w:t>
      </w:r>
      <w:r w:rsidR="001E4DC6">
        <w:t>ies have</w:t>
      </w:r>
      <w:r w:rsidR="00C55750" w:rsidRPr="00352F94">
        <w:t xml:space="preserve"> efficiency programs</w:t>
      </w:r>
      <w:r w:rsidR="00025408">
        <w:t xml:space="preserve"> that</w:t>
      </w:r>
      <w:r w:rsidR="00BB3317" w:rsidRPr="00352F94">
        <w:t xml:space="preserve"> provide incentives </w:t>
      </w:r>
      <w:r w:rsidR="00025408">
        <w:t xml:space="preserve">(typically rebates) </w:t>
      </w:r>
      <w:r w:rsidR="00BB3317" w:rsidRPr="00352F94">
        <w:t>that lower the cost of LED A-lamps.</w:t>
      </w:r>
      <w:r w:rsidR="00C55750" w:rsidRPr="00352F94">
        <w:t xml:space="preserve"> For instance,</w:t>
      </w:r>
      <w:r w:rsidR="00BB3317" w:rsidRPr="00352F94">
        <w:t xml:space="preserve"> replacement </w:t>
      </w:r>
      <w:r w:rsidR="00025408">
        <w:t>LED A-</w:t>
      </w:r>
      <w:r w:rsidR="00BB3317" w:rsidRPr="00352F94">
        <w:t>lamps became available to consumers between 2007 and 2009 at a typical cost</w:t>
      </w:r>
      <w:r w:rsidR="00025408">
        <w:t xml:space="preserve"> of</w:t>
      </w:r>
      <w:r w:rsidR="00BB3317" w:rsidRPr="00352F94">
        <w:t xml:space="preserve"> over $50 per lamp</w:t>
      </w:r>
      <w:r w:rsidR="00807270">
        <w:t xml:space="preserve"> and by </w:t>
      </w:r>
      <w:r w:rsidR="00BB3317" w:rsidRPr="00352F94">
        <w:t>2016</w:t>
      </w:r>
      <w:r w:rsidR="00807270">
        <w:t>, for only $5 or 90% less, consumers could obtain</w:t>
      </w:r>
      <w:r w:rsidR="00BB3317" w:rsidRPr="00352F94">
        <w:t xml:space="preserve"> a dimmable A19 60 Watt-equivalent </w:t>
      </w:r>
      <w:r w:rsidR="00807270">
        <w:t xml:space="preserve">LED </w:t>
      </w:r>
      <w:r w:rsidR="00BB3317" w:rsidRPr="00352F94">
        <w:t xml:space="preserve">replacement lamp </w:t>
      </w:r>
      <w:r w:rsidR="00025408">
        <w:t>partly due to r</w:t>
      </w:r>
      <w:r w:rsidR="00BB3317" w:rsidRPr="00352F94">
        <w:t xml:space="preserve">ebates and incentives </w:t>
      </w:r>
      <w:r w:rsidR="00FB2BE5" w:rsidRPr="00352F94">
        <w:fldChar w:fldCharType="begin"/>
      </w:r>
      <w:r w:rsidR="00FB2BE5" w:rsidRPr="00352F94">
        <w:instrText xml:space="preserve"> ADDIN ZOTERO_ITEM CSL_CITATION {"citationID":"5sbOWfM5","properties":{"formattedCitation":"(Navigant Consulting, 2017)","plainCitation":"(Navigant Consulting, 2017)","noteIndex":0},"citationItems":[{"id":3606,"uris":["http://zotero.org/groups/2241931/items/7RC6WASQ"],"uri":["http://zotero.org/groups/2241931/items/7RC6WASQ"],"itemData":{"id":3606,"type":"report","title":"Adoption of Light-Emitting Diodes in Common Lighting Applications","page":"67","source":"Zotero","language":"en","author":[{"family":"Navigant Consulting","given":""}],"issued":{"date-parts":[["2017"]]}}}],"schema":"https://github.com/citation-style-language/schema/raw/master/csl-citation.json"} </w:instrText>
      </w:r>
      <w:r w:rsidR="00FB2BE5" w:rsidRPr="00352F94">
        <w:fldChar w:fldCharType="separate"/>
      </w:r>
      <w:r w:rsidR="00FB2BE5" w:rsidRPr="00352F94">
        <w:rPr>
          <w:rFonts w:cs="Times New Roman"/>
        </w:rPr>
        <w:t>(Navigant Consulting, 2017)</w:t>
      </w:r>
      <w:r w:rsidR="00FB2BE5" w:rsidRPr="00352F94">
        <w:fldChar w:fldCharType="end"/>
      </w:r>
      <w:r w:rsidR="00FB2BE5" w:rsidRPr="00352F94">
        <w:t xml:space="preserve">. </w:t>
      </w:r>
    </w:p>
    <w:p w14:paraId="43221F27" w14:textId="3C3C1FA6" w:rsidR="00D3109C" w:rsidRPr="00352F94" w:rsidRDefault="00D3109C" w:rsidP="00D3109C">
      <w:pPr>
        <w:spacing w:after="0"/>
        <w:rPr>
          <w:bCs/>
        </w:rPr>
      </w:pPr>
      <w:r w:rsidRPr="00025408">
        <w:rPr>
          <w:bCs/>
          <w:u w:val="single"/>
        </w:rPr>
        <w:t>A global trend in lighting in general is the increase of the need for artificial light</w:t>
      </w:r>
      <w:r w:rsidRPr="00352F94">
        <w:rPr>
          <w:bCs/>
        </w:rPr>
        <w:t>. Modern and modernizing societies use increasing amount</w:t>
      </w:r>
      <w:r w:rsidR="00B5239A" w:rsidRPr="00352F94">
        <w:rPr>
          <w:bCs/>
        </w:rPr>
        <w:t>s</w:t>
      </w:r>
      <w:r w:rsidRPr="00352F94">
        <w:rPr>
          <w:bCs/>
        </w:rPr>
        <w:t xml:space="preserve"> of light. No saturation has been found in the empirical evidence of per-capita consumption of light</w:t>
      </w:r>
      <w:r w:rsidR="00F77ADD" w:rsidRPr="00352F94">
        <w:rPr>
          <w:bCs/>
        </w:rPr>
        <w:fldChar w:fldCharType="begin"/>
      </w:r>
      <w:r w:rsidR="005B5BA6" w:rsidRPr="00352F94">
        <w:rPr>
          <w:bCs/>
        </w:rPr>
        <w:instrText xml:space="preserve"> ADDIN ZOTERO_ITEM CSL_CITATION {"citationID":"kQgVK2DC","properties":{"formattedCitation":"(Tsao &amp; Waide, 2010)","plainCitation":"(Tsao &amp; Waide, 2010)","noteIndex":0},"citationItems":[{"id":3580,"uris":["http://zotero.org/groups/2241931/items/TEXAES52"],"uri":["http://zotero.org/groups/2241931/items/TEXAES52"],"itemData":{"id":3580,"type":"article-journal","title":"The World's Appetite for Light: Empirical Data and Trends Spanning Three Centuries and Six Continents","container-title":"LEUKOS","page":"259-281","volume":"6","issue":"4","source":"ies.tandfonline.com (Atypon)","abstract":"We have collected and self-consistently analyzed data for per-capita consumption of artificial light, per-capita gross domestic product, and ownership cost of light. The data span a wide range (three centuries, six continents, five lighting technologies, and five orders of magnitude), and are consistent with a linear variation of per-capita consumption of light with the ratio between per-capita gross domestic product and ownership cost of light. No empirical evidence is found for a saturation in per-capita consumption of light, even in contemporary developed nations. Finally, we extrapolate to the world in 2005, and find that 0.72 percent ($437B/year) of world gross domestic product and 6.5 percent (29.5 Quads/year) of world primary energy was used to produce 130 Plmh/year of artificial light.","URL":"https://ies.tandfonline.com/doi/abs/10.1582/LEUKOS.2010.06.04001","DOI":"10.1582/LEUKOS.2010.06.04001","ISSN":"1550-2724","title-short":"The World's Appetite for Light","journalAbbreviation":"LEUKOS","author":[{"family":"Tsao","given":"Jeffrey Y."},{"family":"Waide","given":"Paul"}],"issued":{"date-parts":[["2010",4,1]]},"accessed":{"date-parts":[["2019",4,3]]}}}],"schema":"https://github.com/citation-style-language/schema/raw/master/csl-citation.json"} </w:instrText>
      </w:r>
      <w:r w:rsidR="00F77ADD" w:rsidRPr="00352F94">
        <w:rPr>
          <w:bCs/>
        </w:rPr>
        <w:fldChar w:fldCharType="separate"/>
      </w:r>
      <w:r w:rsidR="00F77ADD" w:rsidRPr="00352F94">
        <w:rPr>
          <w:rFonts w:cs="Times New Roman"/>
        </w:rPr>
        <w:t>(Tsao &amp; Waide, 2010)</w:t>
      </w:r>
      <w:r w:rsidR="00F77ADD" w:rsidRPr="00352F94">
        <w:rPr>
          <w:bCs/>
        </w:rPr>
        <w:fldChar w:fldCharType="end"/>
      </w:r>
      <w:r w:rsidRPr="00352F94">
        <w:rPr>
          <w:bCs/>
        </w:rPr>
        <w:t xml:space="preserve">, and with the growing population, the light consumption is expected to increase globally for the duration of </w:t>
      </w:r>
      <w:r w:rsidR="00B5239A" w:rsidRPr="00352F94">
        <w:rPr>
          <w:bCs/>
        </w:rPr>
        <w:t xml:space="preserve">Project Drawdown’s analysis period </w:t>
      </w:r>
      <w:r w:rsidRPr="00352F94">
        <w:rPr>
          <w:bCs/>
        </w:rPr>
        <w:t>(2050).</w:t>
      </w:r>
    </w:p>
    <w:p w14:paraId="0B8C3EFB" w14:textId="73CB9DB8" w:rsidR="00D1508C" w:rsidRPr="00352F94" w:rsidRDefault="551A77D0" w:rsidP="005D49A8">
      <w:pPr>
        <w:pStyle w:val="Heading3"/>
      </w:pPr>
      <w:bookmarkStart w:id="40" w:name="_Toc44585068"/>
      <w:r w:rsidRPr="00352F94">
        <w:t>Barriers to Adoption</w:t>
      </w:r>
      <w:bookmarkEnd w:id="40"/>
    </w:p>
    <w:p w14:paraId="6F2AD866" w14:textId="24817096" w:rsidR="00847E74" w:rsidRPr="00352F94" w:rsidRDefault="00F92888" w:rsidP="00F92888">
      <w:pPr>
        <w:spacing w:after="0"/>
        <w:rPr>
          <w:bCs/>
        </w:rPr>
      </w:pPr>
      <w:r w:rsidRPr="00352F94">
        <w:rPr>
          <w:bCs/>
        </w:rPr>
        <w:t xml:space="preserve">There are several issues that need to be solved before LED lighting can reach its full market potential in residential lighting. </w:t>
      </w:r>
    </w:p>
    <w:p w14:paraId="14C8FA72" w14:textId="1C4088D1" w:rsidR="00EB4F0E" w:rsidRPr="00352F94" w:rsidRDefault="00EB4F0E" w:rsidP="008F0AA6">
      <w:pPr>
        <w:pStyle w:val="Heading4"/>
      </w:pPr>
      <w:r w:rsidRPr="00352F94">
        <w:t>First Cost</w:t>
      </w:r>
    </w:p>
    <w:p w14:paraId="3B6C91A4" w14:textId="1CE8CDCF" w:rsidR="00847E74" w:rsidRPr="008F0AA6" w:rsidRDefault="00847E74" w:rsidP="008F0AA6">
      <w:pPr>
        <w:rPr>
          <w:sz w:val="21"/>
          <w:szCs w:val="21"/>
        </w:rPr>
      </w:pPr>
      <w:r w:rsidRPr="00352F94">
        <w:t xml:space="preserve">The primary barrier of adoption in the residential sector has been the first cost of LED. </w:t>
      </w:r>
      <w:r w:rsidRPr="00352F94">
        <w:rPr>
          <w:bCs/>
        </w:rPr>
        <w:t>According to the  US DOE SSL program, “The adoption of LED-based products in many commercial and industrial applications has accelerated as the payback period reaches the one to two year level, but lighting sold at the consumer level will tend to depend less on</w:t>
      </w:r>
      <w:r w:rsidR="000637D5" w:rsidRPr="00352F94">
        <w:rPr>
          <w:bCs/>
        </w:rPr>
        <w:t xml:space="preserve"> total cost of ownership </w:t>
      </w:r>
      <w:r w:rsidRPr="00352F94">
        <w:rPr>
          <w:bCs/>
        </w:rPr>
        <w:t xml:space="preserve"> </w:t>
      </w:r>
      <w:r w:rsidR="000637D5" w:rsidRPr="00352F94">
        <w:rPr>
          <w:bCs/>
        </w:rPr>
        <w:t>(</w:t>
      </w:r>
      <w:r w:rsidRPr="00352F94">
        <w:rPr>
          <w:bCs/>
        </w:rPr>
        <w:t>TCO</w:t>
      </w:r>
      <w:r w:rsidR="000637D5" w:rsidRPr="00352F94">
        <w:rPr>
          <w:bCs/>
        </w:rPr>
        <w:t>)</w:t>
      </w:r>
      <w:r w:rsidRPr="00352F94">
        <w:rPr>
          <w:bCs/>
        </w:rPr>
        <w:t xml:space="preserve"> considerations and more on first cost. Part of the reason for this is that the average residential consumer uses lighting for shorter periods of time and does not factor in maintenance costs to install or replace lights. So, while falling prices have helped drive LED adoption, first cost</w:t>
      </w:r>
      <w:r w:rsidR="003E2F55">
        <w:rPr>
          <w:bCs/>
        </w:rPr>
        <w:t>s</w:t>
      </w:r>
      <w:r w:rsidRPr="00352F94">
        <w:rPr>
          <w:bCs/>
        </w:rPr>
        <w:t xml:space="preserve"> </w:t>
      </w:r>
      <w:r w:rsidR="003E2F55">
        <w:rPr>
          <w:bCs/>
        </w:rPr>
        <w:t>have been</w:t>
      </w:r>
      <w:r w:rsidRPr="00352F94">
        <w:rPr>
          <w:bCs/>
        </w:rPr>
        <w:t xml:space="preserve"> a significant barrier </w:t>
      </w:r>
      <w:r w:rsidRPr="00352F94">
        <w:rPr>
          <w:bCs/>
        </w:rPr>
        <w:fldChar w:fldCharType="begin"/>
      </w:r>
      <w:r w:rsidRPr="00352F94">
        <w:rPr>
          <w:bCs/>
        </w:rPr>
        <w:instrText xml:space="preserve"> ADDIN ZOTERO_ITEM CSL_CITATION {"citationID":"2B4bC8Hd","properties":{"formattedCitation":"(US DOE SSL, 2014)","plainCitation":"(US DOE SSL, 2014)","noteIndex":0},"citationItems":[{"id":1423,"uris":["http://zotero.org/groups/2241931/items/BTL3K6HT"],"uri":["http://zotero.org/groups/2241931/items/BTL3K6HT"],"itemData":{"id":1423,"type":"report","title":"Solid-State Lighting Research and Development: Multi-Year Program Plan April 2014 (Updated May 2014)","page":"104","note":"reviewed","language":"en","author":[{"family":"US DOE SSL","given":""}],"issued":{"date-parts":[["2014"]]}}}],"schema":"https://github.com/citation-style-language/schema/raw/master/csl-citation.json"} </w:instrText>
      </w:r>
      <w:r w:rsidRPr="00352F94">
        <w:rPr>
          <w:bCs/>
        </w:rPr>
        <w:fldChar w:fldCharType="separate"/>
      </w:r>
      <w:r w:rsidRPr="00352F94">
        <w:rPr>
          <w:rFonts w:cs="Times New Roman"/>
        </w:rPr>
        <w:t>(US DOE SSL, 2014)</w:t>
      </w:r>
      <w:r w:rsidRPr="00352F94">
        <w:rPr>
          <w:bCs/>
        </w:rPr>
        <w:fldChar w:fldCharType="end"/>
      </w:r>
      <w:r w:rsidR="003E2F55">
        <w:rPr>
          <w:bCs/>
        </w:rPr>
        <w:t>. LEDs were still</w:t>
      </w:r>
      <w:r w:rsidR="00F92888" w:rsidRPr="00352F94">
        <w:rPr>
          <w:bCs/>
        </w:rPr>
        <w:t xml:space="preserve"> </w:t>
      </w:r>
      <w:r w:rsidR="00FB2BE5" w:rsidRPr="00352F94">
        <w:t xml:space="preserve">about five times that of halogen ($2/klm) and non-dimmable CFL replacements ($2.50/klm) </w:t>
      </w:r>
      <w:r w:rsidR="003E2F55">
        <w:t xml:space="preserve">around 2014 </w:t>
      </w:r>
      <w:r w:rsidR="00FB2BE5" w:rsidRPr="00352F94">
        <w:fldChar w:fldCharType="begin"/>
      </w:r>
      <w:r w:rsidR="00DC6459" w:rsidRPr="00352F94">
        <w:instrText xml:space="preserve"> ADDIN ZOTERO_ITEM CSL_CITATION {"citationID":"gjALKhd9","properties":{"formattedCitation":"(Navigant Consulting, 2017)","plainCitation":"(Navigant Consulting, 2017)","noteIndex":0},"citationItems":[{"id":3606,"uris":["http://zotero.org/groups/2241931/items/7RC6WASQ"],"uri":["http://zotero.org/groups/2241931/items/7RC6WASQ"],"itemData":{"id":3606,"type":"report","title":"Adoption of Light-Emitting Diodes in Common Lighting Applications","page":"67","source":"Zotero","language":"en","author":[{"family":"Navigant Consulting","given":""}],"issued":{"date-parts":[["2017"]]}}}],"schema":"https://github.com/citation-style-language/schema/raw/master/csl-citation.json"} </w:instrText>
      </w:r>
      <w:r w:rsidR="00FB2BE5" w:rsidRPr="00352F94">
        <w:fldChar w:fldCharType="separate"/>
      </w:r>
      <w:r w:rsidR="00FB2BE5" w:rsidRPr="00352F94">
        <w:rPr>
          <w:rFonts w:cs="Times New Roman"/>
        </w:rPr>
        <w:t>(Navigant Consulting, 2017)</w:t>
      </w:r>
      <w:r w:rsidR="00FB2BE5" w:rsidRPr="00352F94">
        <w:fldChar w:fldCharType="end"/>
      </w:r>
      <w:r w:rsidR="003E2F55">
        <w:t>, but today LEDs likely have dropped in price helping reduce this price barrier.</w:t>
      </w:r>
    </w:p>
    <w:p w14:paraId="5A2BDC0A" w14:textId="3CF727EC" w:rsidR="005F445F" w:rsidRPr="00352F94" w:rsidRDefault="003E2F55" w:rsidP="00847E74">
      <w:pPr>
        <w:spacing w:after="0"/>
        <w:rPr>
          <w:bCs/>
        </w:rPr>
      </w:pPr>
      <w:r>
        <w:rPr>
          <w:bCs/>
        </w:rPr>
        <w:t>Higher prices</w:t>
      </w:r>
      <w:r w:rsidR="007015D4" w:rsidRPr="00352F94">
        <w:rPr>
          <w:bCs/>
        </w:rPr>
        <w:t xml:space="preserve"> hamper</w:t>
      </w:r>
      <w:r>
        <w:rPr>
          <w:bCs/>
        </w:rPr>
        <w:t xml:space="preserve"> </w:t>
      </w:r>
      <w:r w:rsidR="007015D4" w:rsidRPr="00352F94">
        <w:rPr>
          <w:bCs/>
        </w:rPr>
        <w:t xml:space="preserve">the wider use of LEDs, unless the life cycle costs are taken into account in purchase decision making. The </w:t>
      </w:r>
      <w:r w:rsidR="000637D5" w:rsidRPr="00352F94">
        <w:rPr>
          <w:bCs/>
        </w:rPr>
        <w:t xml:space="preserve">TCO </w:t>
      </w:r>
      <w:r w:rsidR="007015D4" w:rsidRPr="00352F94">
        <w:rPr>
          <w:bCs/>
        </w:rPr>
        <w:t xml:space="preserve"> or life cycle costs of an LED lighting product may well be lower compared to other technologies, due to the greater luminous efficiency and possibly improved performance (e.g., need for fewer luminaires). </w:t>
      </w:r>
    </w:p>
    <w:p w14:paraId="31C5300F" w14:textId="55B75FEC" w:rsidR="00EB4F0E" w:rsidRPr="00352F94" w:rsidRDefault="005F445F" w:rsidP="008F0AA6">
      <w:pPr>
        <w:pStyle w:val="Heading4"/>
      </w:pPr>
      <w:r w:rsidRPr="00352F94">
        <w:t xml:space="preserve">Reliability </w:t>
      </w:r>
      <w:r w:rsidR="00EB4F0E" w:rsidRPr="00352F94">
        <w:t xml:space="preserve">Across The Lifetime </w:t>
      </w:r>
      <w:r w:rsidRPr="00352F94">
        <w:t xml:space="preserve">of  a LED </w:t>
      </w:r>
      <w:r w:rsidR="00EB4F0E" w:rsidRPr="00352F94">
        <w:t xml:space="preserve">Luminaire </w:t>
      </w:r>
    </w:p>
    <w:p w14:paraId="6647FF5D" w14:textId="0AD20F7B" w:rsidR="005F445F" w:rsidRPr="00352F94" w:rsidRDefault="005F445F" w:rsidP="008F0AA6">
      <w:pPr>
        <w:spacing w:after="0"/>
      </w:pPr>
      <w:r w:rsidRPr="008F0AA6">
        <w:t>A key advantage of LED luminaire is its lifetime, however it requires better development (and cost) of electronic drivers</w:t>
      </w:r>
      <w:r w:rsidRPr="00352F94">
        <w:t xml:space="preserve">. Individual LED products may not meet </w:t>
      </w:r>
      <w:r w:rsidR="00025408">
        <w:t xml:space="preserve">a </w:t>
      </w:r>
      <w:r w:rsidRPr="00352F94">
        <w:t xml:space="preserve">user’s reliability expectations due to the use of low cost materials, designs or manufacturing processes </w:t>
      </w:r>
      <w:r w:rsidRPr="00352F94">
        <w:fldChar w:fldCharType="begin"/>
      </w:r>
      <w:r w:rsidRPr="00352F94">
        <w:instrText xml:space="preserve"> ADDIN ZOTERO_ITEM CSL_CITATION {"citationID":"lP7qHpRq","properties":{"formattedCitation":"(US DOE SSL, 2017b)","plainCitation":"(US DOE SSL, 2017b)","noteIndex":0},"citationItems":[{"id":1422,"uris":["http://zotero.org/groups/2241931/items/M9S7MB74"],"uri":["http://zotero.org/groups/2241931/items/M9S7MB74"],"itemData":{"id":1422,"type":"article","title":"Solid-State Lighting 2017 Suggested Research Topics Supplement: Technology and Market Context","publisher":"US DOE SSL","URL":"https://www.energy.gov/sites/prod/files/2017/09/f37/ssl_supplement_suggested-topics_sep2017_0.pdf","author":[{"family":"US DOE SSL","given":""}],"issued":{"date-parts":[["2017"]]},"accessed":{"date-parts":[["2019",2,22]]}}}],"schema":"https://github.com/citation-style-language/schema/raw/master/csl-citation.json"} </w:instrText>
      </w:r>
      <w:r w:rsidRPr="00352F94">
        <w:fldChar w:fldCharType="separate"/>
      </w:r>
      <w:r w:rsidRPr="00352F94">
        <w:rPr>
          <w:rFonts w:cs="Times New Roman"/>
          <w:szCs w:val="24"/>
        </w:rPr>
        <w:t>(US DOE SSL, 2017b)</w:t>
      </w:r>
      <w:r w:rsidRPr="00352F94">
        <w:fldChar w:fldCharType="end"/>
      </w:r>
      <w:r w:rsidRPr="00352F94">
        <w:t xml:space="preserve">. There are still technical problems </w:t>
      </w:r>
      <w:r w:rsidR="00025408">
        <w:t>of</w:t>
      </w:r>
      <w:r w:rsidRPr="00352F94">
        <w:t xml:space="preserve"> reliability, thermal overload, irreversible color shift, decrease of efficacy, and other material fatigue problems </w:t>
      </w:r>
      <w:r w:rsidRPr="00352F94">
        <w:fldChar w:fldCharType="begin"/>
      </w:r>
      <w:r w:rsidRPr="00352F94">
        <w:instrText xml:space="preserve"> ADDIN ZOTERO_ITEM CSL_CITATION {"citationID":"0Ay0dwNq","properties":{"formattedCitation":"(Franz &amp; Wenzl, 2017)","plainCitation":"(Franz &amp; Wenzl, 2017)","noteIndex":0},"citationItems":[{"id":82,"uris":["http://zotero.org/groups/2241931/items/AK4VVVW6"],"uri":["http://zotero.org/groups/2241931/items/AK4VVVW6"],"itemData":{"id":82,"type":"article-journal","title":"Critical review on life cycle inventories and environmental assessments of LED-lamps","container-title":"Critical Reviews in Environmental Science and Technology","page":"2017-2078","volume":"47","issue":"21","source":"Crossref","abstract":"Resource scarcity, hazardous waste, and climate change are the driving forces for developing energy efﬁcient and low-toxic lighting sources. Currently, solid state lighting based on lightemitting diodes is expected to become the most dominant lighting technology of the future, mostly driven by its advantage with respect to energy efﬁciency. Parallel to the ongoing development of light-emitting diode-based lighting sources, a number of single case and comparative life cycle assessment studies of LED-lamps and components in varying study settings were carried out. However, these studies mostly rely to speciﬁc lamp designs, which limits general conclusions. This work includes a summary of the global market of lighting and LEDlamp technologies, followed by a comprehensive review and comparison of published life cycle assessment studies. In addition, we take also some aspects, which are relevant for the well-being of an end-user and which are usually not treated in life cycle assessment studies, like glare and health issues, into consideration. A critical interpretation of the assumptions and outcomes of these studies is given and questions that remain unsettled and therefore should be addressed in future studies are discussed.","URL":"https://www.tandfonline.com/doi/full/10.1080/10643389.2017.1370989","DOI":"10.1080/10643389.2017.1370989","ISSN":"1064-3389, 1547-6537","note":"reviewed","language":"en","author":[{"family":"Franz","given":"Manuela"},{"family":"Wenzl","given":"Franz P."}],"issued":{"date-parts":[["2017"]]},"accessed":{"date-parts":[["2019",2,27]]}}}],"schema":"https://github.com/citation-style-language/schema/raw/master/csl-citation.json"} </w:instrText>
      </w:r>
      <w:r w:rsidRPr="00352F94">
        <w:fldChar w:fldCharType="separate"/>
      </w:r>
      <w:r w:rsidRPr="00352F94">
        <w:rPr>
          <w:rFonts w:cs="Times New Roman"/>
          <w:szCs w:val="24"/>
        </w:rPr>
        <w:t>(Franz &amp; Wenzl, 2017)</w:t>
      </w:r>
      <w:r w:rsidRPr="00352F94">
        <w:fldChar w:fldCharType="end"/>
      </w:r>
      <w:r w:rsidRPr="00352F94">
        <w:t>.  According to Gayral, the lifetime of the LED</w:t>
      </w:r>
      <w:r w:rsidR="003E2F55">
        <w:t>’s</w:t>
      </w:r>
      <w:r w:rsidRPr="00352F94">
        <w:t xml:space="preserve"> </w:t>
      </w:r>
      <w:r w:rsidR="003E2F55" w:rsidRPr="00352F94">
        <w:t xml:space="preserve">semiconductor </w:t>
      </w:r>
      <w:r w:rsidRPr="00352F94">
        <w:t xml:space="preserve">chip itself is very large, </w:t>
      </w:r>
      <w:r w:rsidRPr="00352F94">
        <w:rPr>
          <w:rFonts w:cs="Times New Roman"/>
        </w:rPr>
        <w:t>(</w:t>
      </w:r>
      <w:r w:rsidR="003E2F55">
        <w:rPr>
          <w:rFonts w:cs="Times New Roman"/>
        </w:rPr>
        <w:t>over</w:t>
      </w:r>
      <w:r w:rsidRPr="00352F94">
        <w:rPr>
          <w:rFonts w:cs="Times New Roman"/>
        </w:rPr>
        <w:t xml:space="preserve"> 50,000 h, </w:t>
      </w:r>
      <w:r w:rsidR="003E2F55">
        <w:rPr>
          <w:rFonts w:cs="Times New Roman"/>
        </w:rPr>
        <w:t>or</w:t>
      </w:r>
      <w:r w:rsidRPr="00352F94">
        <w:rPr>
          <w:rFonts w:cs="Times New Roman"/>
        </w:rPr>
        <w:t xml:space="preserve"> </w:t>
      </w:r>
      <w:r w:rsidRPr="00352F94">
        <w:t xml:space="preserve">6 years of continuous operation). But </w:t>
      </w:r>
      <w:r w:rsidR="00025408">
        <w:t xml:space="preserve">other LED components </w:t>
      </w:r>
      <w:r w:rsidR="00F85363">
        <w:t xml:space="preserve">or metallic contacts </w:t>
      </w:r>
      <w:r w:rsidR="00025408">
        <w:t>may fail before this</w:t>
      </w:r>
      <w:r w:rsidR="003E2F55">
        <w:t>,</w:t>
      </w:r>
      <w:r w:rsidR="00025408">
        <w:t xml:space="preserve"> </w:t>
      </w:r>
      <w:r w:rsidR="003E2F55">
        <w:t xml:space="preserve">for instance </w:t>
      </w:r>
      <w:r w:rsidRPr="00352F94">
        <w:t xml:space="preserve">electrical drivers that convert the AC 220 V (or 110 V) into continuous low voltage (around 3 V), which is suitable for the LED. </w:t>
      </w:r>
      <w:r w:rsidR="00F85363">
        <w:t>Lifetime is a c</w:t>
      </w:r>
      <w:r w:rsidRPr="00352F94">
        <w:t xml:space="preserve">onsequence of the care (and cost) that the manufacturer has put in the packaging and in the electronic drivers </w:t>
      </w:r>
      <w:r w:rsidRPr="00352F94">
        <w:fldChar w:fldCharType="begin"/>
      </w:r>
      <w:r w:rsidR="005B5BA6" w:rsidRPr="00352F94">
        <w:instrText xml:space="preserve"> ADDIN ZOTERO_ITEM CSL_CITATION {"citationID":"z12QLacu","properties":{"formattedCitation":"(Gayral, 2017)","plainCitation":"(Gayral, 2017)","noteIndex":0},"citationItems":[{"id":98,"uris":["http://zotero.org/groups/2241931/items/E3XKI3EI"],"uri":["http://zotero.org/groups/2241931/items/E3XKI3EI"],"itemData":{"id":98,"type":"article-journal","title":"LEDs for lighting: Basic physics and prospects for energy savings","container-title":"Comptes Rendus Physique","page":"453-461","volume":"18","issue":"7-8","source":"Crossref","abstract":"In 2014, Isamu Akasaki, Hiroshi Amano, and Shuji Nakamura received the Nobel Prize in Physics for “the invention of eﬃcient blue light-emitting diodes which has enabled bright and energy-saving white light sources”. Indeed, in the recent years, Light-Emitting Diodes (LEDs) have progressively made their way to the home lighting market, as well as to other mass markets. This article aims at giving an insight on LEDs physics, on the key inventions that led to the 2014 Nobel Prize and on the prospects for energy savings that LEDs could allow.","URL":"https://linkinghub.elsevier.com/retrieve/pii/S163107051730052X","DOI":"10.1016/j.crhy.2017.09.001","ISSN":"16310705","note":"reviewed","title-short":"LEDs for lighting","language":"en","author":[{"family":"Gayral","given":"Bruno"}],"issued":{"date-parts":[["2017",9]]},"accessed":{"date-parts":[["2019",2,14]]}}}],"schema":"https://github.com/citation-style-language/schema/raw/master/csl-citation.json"} </w:instrText>
      </w:r>
      <w:r w:rsidRPr="00352F94">
        <w:fldChar w:fldCharType="separate"/>
      </w:r>
      <w:r w:rsidRPr="00352F94">
        <w:rPr>
          <w:rFonts w:cs="Times New Roman"/>
          <w:szCs w:val="24"/>
        </w:rPr>
        <w:t>(Gayral, 2017)</w:t>
      </w:r>
      <w:r w:rsidRPr="00352F94">
        <w:fldChar w:fldCharType="end"/>
      </w:r>
      <w:r w:rsidRPr="00352F94">
        <w:t xml:space="preserve">. </w:t>
      </w:r>
      <w:r w:rsidRPr="00352F94">
        <w:rPr>
          <w:bCs/>
        </w:rPr>
        <w:t>The  quality of products needs to be ensured also with regard to the light sources it may replace. For example, in Europe, there have been problems in the equivalence of the light distribution from the LED lamp compared to conventional technologies. Replacement lamps that are not equivalent to the technology to be replaced tend to annoy the consumers.</w:t>
      </w:r>
    </w:p>
    <w:p w14:paraId="731C8CB1" w14:textId="33BAE92D" w:rsidR="005F445F" w:rsidRPr="00352F94" w:rsidRDefault="005F445F" w:rsidP="005F445F">
      <w:bookmarkStart w:id="41" w:name="_Hlk44583482"/>
      <w:r w:rsidRPr="00352F94">
        <w:t xml:space="preserve">According to Ding et al., </w:t>
      </w:r>
      <w:r w:rsidR="003E2F55">
        <w:t xml:space="preserve">while </w:t>
      </w:r>
      <w:r w:rsidRPr="00352F94">
        <w:t xml:space="preserve">China is the </w:t>
      </w:r>
      <w:r w:rsidR="003E2F55">
        <w:t>world’s largest</w:t>
      </w:r>
      <w:r w:rsidRPr="00352F94">
        <w:t xml:space="preserve"> producer, consumer</w:t>
      </w:r>
      <w:r w:rsidR="003E2F55">
        <w:t>,</w:t>
      </w:r>
      <w:r w:rsidRPr="00352F94">
        <w:t xml:space="preserve"> and exporter of efficient lighting products</w:t>
      </w:r>
      <w:r w:rsidR="00F85363">
        <w:t xml:space="preserve">, </w:t>
      </w:r>
      <w:r w:rsidRPr="00352F94">
        <w:t xml:space="preserve">the U.S. </w:t>
      </w:r>
      <w:r w:rsidR="003E2F55">
        <w:t>is the world’s largest producer of</w:t>
      </w:r>
      <w:r w:rsidRPr="00352F94">
        <w:t xml:space="preserve"> LED chip technology</w:t>
      </w:r>
      <w:r w:rsidR="003E2F55">
        <w:t>.</w:t>
      </w:r>
      <w:r w:rsidRPr="00352F94">
        <w:t xml:space="preserve"> Therefore, </w:t>
      </w:r>
      <w:r w:rsidR="00BA704D">
        <w:t xml:space="preserve">it’s important for these two industries to work together for uniform policy/regulations, products, and systems </w:t>
      </w:r>
      <w:r w:rsidRPr="00352F94">
        <w:fldChar w:fldCharType="begin"/>
      </w:r>
      <w:r w:rsidRPr="00352F94">
        <w:instrText xml:space="preserve"> ADDIN ZOTERO_ITEM CSL_CITATION {"citationID":"20SeWyWy","properties":{"formattedCitation":"(Ding et al., 2018)","plainCitation":"(Ding et al., 2018)","noteIndex":0},"citationItems":[{"id":1393,"uris":["http://zotero.org/groups/2241931/items/SZKMA9XZ"],"uri":["http://zotero.org/groups/2241931/items/SZKMA9XZ"],"itemData":{"id":1393,"type":"article-journal","title":"Study on Chinese and U.S. Energy Efficiency Regulations and Standards for Efficient Lighting Products","container-title":"E3S Web of Conferences","page":"02010","volume":"53","source":"www.e3s-conferences.org","abstract":"We have analyzed Chinese and U.S. Energy efficiency policies, regulations and standards for LED and other efficient lighting products. The similarities and differences of the lighting products between the two countries in the energy efficiency policies and technical indexes were contrasted and analyzed. Accordingly, we have put forward the recommendations for improving China's efficient lighting standards system as well as establishing and implementing the effective labelling and certification programs of efficient lighting products.","URL":"https:/articles/e3sconf/abs/2018/28/e3sconf_icaeer2018_02010/e3sconf_icaeer2018_02010.html","DOI":"10.1051/e3sconf/20185302010","ISSN":"2267-1242","note":"reviewed","journalAbbreviation":"E3S Web Conf.","language":"en","author":[{"family":"Ding","given":"Qing"},{"family":"Liang","given":"Xiuying"},{"family":"Zhao","given":"Yuejin"},{"family":"Liu","given":"Ren"},{"family":"Li","given":"Pengcheng"},{"family":"Liu","given":"Meng"},{"family":"Lin","given":"Ling"}],"issued":{"date-parts":[["2018"]]},"accessed":{"date-parts":[["2019",2,23]]}}}],"schema":"https://github.com/citation-style-language/schema/raw/master/csl-citation.json"} </w:instrText>
      </w:r>
      <w:r w:rsidRPr="00352F94">
        <w:fldChar w:fldCharType="separate"/>
      </w:r>
      <w:r w:rsidRPr="00352F94">
        <w:rPr>
          <w:rFonts w:cs="Times New Roman"/>
          <w:szCs w:val="24"/>
        </w:rPr>
        <w:t>(Ding et al., 2018)</w:t>
      </w:r>
      <w:r w:rsidRPr="00352F94">
        <w:fldChar w:fldCharType="end"/>
      </w:r>
      <w:r w:rsidR="00B827F8">
        <w:t>.</w:t>
      </w:r>
    </w:p>
    <w:bookmarkEnd w:id="41"/>
    <w:p w14:paraId="59905E08" w14:textId="60FDC752" w:rsidR="00EB4F0E" w:rsidRPr="00352F94" w:rsidRDefault="00EB4F0E" w:rsidP="008F0AA6">
      <w:pPr>
        <w:pStyle w:val="Heading4"/>
      </w:pPr>
      <w:r w:rsidRPr="00352F94">
        <w:t>Development Progress</w:t>
      </w:r>
    </w:p>
    <w:p w14:paraId="656E9EE4" w14:textId="6A8E9896" w:rsidR="00F92888" w:rsidRPr="00352F94" w:rsidRDefault="005F445F" w:rsidP="00034FEA">
      <w:pPr>
        <w:spacing w:after="0"/>
        <w:rPr>
          <w:bCs/>
        </w:rPr>
      </w:pPr>
      <w:r w:rsidRPr="008F0AA6">
        <w:rPr>
          <w:rFonts w:eastAsia="Times New Roman"/>
          <w:color w:val="000000"/>
        </w:rPr>
        <w:t>LED lighting products are still developing, and this may affect compatibility and result to difference in timescales for the building industry and the timescale of progress for LEDs.</w:t>
      </w:r>
      <w:r w:rsidRPr="00352F94">
        <w:rPr>
          <w:rFonts w:eastAsia="Times New Roman"/>
          <w:color w:val="000000"/>
        </w:rPr>
        <w:t xml:space="preserve"> If a LED module or a luminaire needs to be replaced, the replacement need may occur years after the initial installation. Given the fast development of the technology, the same (looking) luminaires may not be available in the market anymore. This long-term maintenance issue may be solved by using certain typical luminaire design types. According to Gayral, this is one of the most important paradox</w:t>
      </w:r>
      <w:r w:rsidR="00F85363">
        <w:rPr>
          <w:rFonts w:eastAsia="Times New Roman"/>
          <w:color w:val="000000"/>
        </w:rPr>
        <w:t>es</w:t>
      </w:r>
      <w:r w:rsidRPr="00352F94">
        <w:rPr>
          <w:rFonts w:eastAsia="Times New Roman"/>
          <w:color w:val="000000"/>
        </w:rPr>
        <w:t xml:space="preserve">: the LEDs bought today will be outdated by new products long before they fail, </w:t>
      </w:r>
      <w:r w:rsidR="00F85363">
        <w:rPr>
          <w:rFonts w:eastAsia="Times New Roman"/>
          <w:color w:val="000000"/>
        </w:rPr>
        <w:t>so</w:t>
      </w:r>
      <w:r w:rsidRPr="00352F94">
        <w:rPr>
          <w:rFonts w:eastAsia="Times New Roman"/>
          <w:color w:val="000000"/>
        </w:rPr>
        <w:t xml:space="preserve"> their actual lifetime </w:t>
      </w:r>
      <w:r w:rsidR="00F85363">
        <w:rPr>
          <w:rFonts w:eastAsia="Times New Roman"/>
          <w:color w:val="000000"/>
        </w:rPr>
        <w:t>may</w:t>
      </w:r>
      <w:r w:rsidRPr="00352F94">
        <w:rPr>
          <w:rFonts w:eastAsia="Times New Roman"/>
          <w:color w:val="000000"/>
        </w:rPr>
        <w:t xml:space="preserve"> be much shorter than it should </w:t>
      </w:r>
      <w:r w:rsidR="00F85363">
        <w:rPr>
          <w:rFonts w:eastAsia="Times New Roman"/>
          <w:color w:val="000000"/>
        </w:rPr>
        <w:t>be due to better technology replacements. This</w:t>
      </w:r>
      <w:r w:rsidRPr="00352F94">
        <w:rPr>
          <w:rFonts w:eastAsia="Times New Roman"/>
          <w:color w:val="000000"/>
        </w:rPr>
        <w:t xml:space="preserve"> will improve the customer experience, but at a larger cost  due to premature bulb replacement</w:t>
      </w:r>
      <w:r w:rsidR="00EB4F0E" w:rsidRPr="00352F94">
        <w:rPr>
          <w:bCs/>
        </w:rPr>
        <w:t>.</w:t>
      </w:r>
    </w:p>
    <w:p w14:paraId="34222FBE" w14:textId="4EEBECBF" w:rsidR="00D1508C" w:rsidRPr="00352F94" w:rsidRDefault="551A77D0" w:rsidP="005D49A8">
      <w:pPr>
        <w:pStyle w:val="Heading3"/>
      </w:pPr>
      <w:bookmarkStart w:id="42" w:name="_Toc44585069"/>
      <w:r w:rsidRPr="00352F94">
        <w:t>Adoption</w:t>
      </w:r>
      <w:r w:rsidR="006E6C65" w:rsidRPr="00352F94">
        <w:t xml:space="preserve"> </w:t>
      </w:r>
      <w:r w:rsidRPr="00352F94">
        <w:t>Potential</w:t>
      </w:r>
      <w:bookmarkEnd w:id="42"/>
    </w:p>
    <w:p w14:paraId="50F5F259" w14:textId="29287EA8" w:rsidR="006137E2" w:rsidRPr="00352F94" w:rsidRDefault="00081F2B" w:rsidP="00932548">
      <w:pPr>
        <w:spacing w:after="0"/>
        <w:rPr>
          <w:bCs/>
        </w:rPr>
      </w:pPr>
      <w:r w:rsidRPr="00352F94">
        <w:t xml:space="preserve">The LED is expected to account for half of lamps worldwide in 2020 </w:t>
      </w:r>
      <w:r w:rsidRPr="00352F94">
        <w:fldChar w:fldCharType="begin"/>
      </w:r>
      <w:r w:rsidRPr="00352F94">
        <w:instrText xml:space="preserve"> ADDIN ZOTERO_ITEM CSL_CITATION {"citationID":"ZKtPE1H6","properties":{"formattedCitation":"(De Almeida, Santos, Paolo, &amp; Quicheron, 2014)","plainCitation":"(De Almeida, Santos, Paolo, &amp; Quicheron, 2014)","noteIndex":0},"citationItems":[{"id":1425,"uris":["http://zotero.org/groups/2241931/items/UGUSCGHW"],"uri":["http://zotero.org/groups/2241931/items/UGUSCGHW"],"itemData":{"id":1425,"type":"article-journal","title":"Solid state lighting review – Potential and challenges in Europe","container-title":"Renewable and Sustainable Energy Reviews","page":"30-48","volume":"34","source":"ScienceDirect","abstract":"According to IEA estimates, about 19% of the electricity used in the world is for lighting loads with a slightly smaller fraction used in the European Union (14%). Lighting was the first service offered by electric utilities and still continues to be one of the largest electrical end-uses. Most current lighting technologies can be vastly improved, and therefore lighting loads present a huge potential for electricity savings. Solid State Lighting (SSL) is amongst the most energy-efficient and environmentally friendly lighting technology. SSL has already reached a high efficiency level (over 276lm/W) at ever-decreasing costs. Additionally the lifetime of LED lamps is several times longer than discharge lamps. This paper presents an overview of the state of the art SSL technology trends. SSL technology is evolving fast, which can bring many advantages to the lighting marketplace. However, there are still some market barriers that are hindering the high cost-effective potential of energy-efficient lighting from being achieved. This paper presents several strategies and recommendations in order to overcome existing barriers and promote a faster penetration of SSL. The estimated savings potential through the application of SSL lighting systems in the European Union (EU) is around 209TWh, which translates into 77 million tonnes of CO2. The economic benefits translate into the equivalent annual electrical output of about 26 large power plants (1000MW electric). Similar impacts, in terms of percentage savings, can be expected in other parts of the World.","URL":"http://www.sciencedirect.com/science/article/pii/S1364032114001506","DOI":"10.1016/j.rser.2014.02.029","ISSN":"1364-0321","note":"reviewed","journalAbbreviation":"Renewable and Sustainable Energy Reviews","author":[{"family":"De Almeida","given":"Aníbal"},{"family":"Santos","given":"Bruno"},{"family":"Paolo","given":"Bertoldi"},{"family":"Quicheron","given":"Michel"}],"issued":{"date-parts":[["2014"]]},"accessed":{"date-parts":[["2019",2,22]]}}}],"schema":"https://github.com/citation-style-language/schema/raw/master/csl-citation.json"} </w:instrText>
      </w:r>
      <w:r w:rsidRPr="00352F94">
        <w:fldChar w:fldCharType="separate"/>
      </w:r>
      <w:r w:rsidRPr="00352F94">
        <w:rPr>
          <w:rFonts w:cs="Times New Roman"/>
          <w:szCs w:val="24"/>
        </w:rPr>
        <w:t>(De Almeida, Santos, Paolo, &amp; Quicheron, 2014)</w:t>
      </w:r>
      <w:r w:rsidRPr="00352F94">
        <w:fldChar w:fldCharType="end"/>
      </w:r>
      <w:r w:rsidRPr="00352F94">
        <w:t xml:space="preserve"> and is expected to replace traditional types of lighting, such as fluorescent and hydrogen lamps, because of its</w:t>
      </w:r>
      <w:r w:rsidR="00A252CF">
        <w:t xml:space="preserve"> superior characteristics </w:t>
      </w:r>
      <w:r w:rsidRPr="00352F94">
        <w:fldChar w:fldCharType="begin"/>
      </w:r>
      <w:r w:rsidRPr="00352F94">
        <w:instrText xml:space="preserve"> ADDIN ZOTERO_ITEM CSL_CITATION {"citationID":"za7jyU0U","properties":{"formattedCitation":"(Ahn et al., 2016)","plainCitation":"(Ahn et al., 2016)","noteIndex":0},"citationItems":[{"id":1376,"uris":["http://zotero.org/groups/2241931/items/WYTY7J8X"],"uri":["http://zotero.org/groups/2241931/items/WYTY7J8X"],"itemData":{"id":1376,"type":"article-journal","title":"Thermal management of LED lighting integrated with HVAC systems in office buildings","container-title":"Energy and Buildings","page":"1159-1170","volume":"127","source":"ScienceDirect","abstract":"The light-emitting diode (LED) market is expected to account for half of lamps worldwide in 2020. Despite the numerous benefits of LED lighting, the heat from LED lights affects indoor thermal conditions in buildings and increases the indoor cooling load in summer. A new method for integrating LED lighting with heating, ventilation, and air conditioning (HVAC) systems are proposed to prevent this heating effect in buildings by exchanging the lighting heat to outdoor and indoor spaces according to a seasonal operating strategy. Field measurements of a mock-up model were used to determine the lighting heat removal and reuse rates of the seasonal strategy. The ratio of lighting heat removal and reuse to LED input power was 70.3% in the summer test and 49.5% in the winter test. An indoor thermal effect analysis was performed using a simulation program with lighting heat input fractions obtained from the measured data. The sensible thermal loads in the mock-up chamber were reduced by 7.5% for cooling and 1.4% for heating using the proposed method, and the annual site energy reductions of reference office buildings were 8.5% for Houston, 8.1% for Atlanta, and 5.9% for Boulder, compared to the base case.","URL":"http://www.sciencedirect.com/science/article/pii/S0378778816305163","DOI":"10.1016/j.enbuild.2016.06.027","ISSN":"0378-7788","note":"reviewed","journalAbbreviation":"Energy and Buildings","author":[{"family":"Ahn","given":"Byung-Lip"},{"family":"Yoo","given":"Seunghwan"},{"family":"Kim","given":"Jonghun"},{"family":"Jeong","given":"Hakgeun"},{"family":"Leigh","given":"Seung-Bok"},{"family":"Jang","given":"Cheol-Yong"}],"issued":{"date-parts":[["2016"]]},"accessed":{"date-parts":[["2019",2,14]]}}}],"schema":"https://github.com/citation-style-language/schema/raw/master/csl-citation.json"} </w:instrText>
      </w:r>
      <w:r w:rsidRPr="00352F94">
        <w:fldChar w:fldCharType="separate"/>
      </w:r>
      <w:r w:rsidRPr="00352F94">
        <w:rPr>
          <w:rFonts w:cs="Times New Roman"/>
          <w:szCs w:val="24"/>
        </w:rPr>
        <w:t>(Ahn et al., 2016)</w:t>
      </w:r>
      <w:r w:rsidRPr="00352F94">
        <w:fldChar w:fldCharType="end"/>
      </w:r>
      <w:r w:rsidRPr="00352F94">
        <w:t xml:space="preserve">. In the residential sector, however, even when the market penetration has been dramatic, </w:t>
      </w:r>
      <w:r w:rsidRPr="00352F94">
        <w:rPr>
          <w:bCs/>
        </w:rPr>
        <w:t>t</w:t>
      </w:r>
      <w:r w:rsidR="006137E2" w:rsidRPr="008F0AA6">
        <w:rPr>
          <w:bCs/>
        </w:rPr>
        <w:t>here remains a large opportunity for SSL products worldwide</w:t>
      </w:r>
      <w:r w:rsidRPr="00352F94">
        <w:rPr>
          <w:bCs/>
        </w:rPr>
        <w:t>. I</w:t>
      </w:r>
      <w:r w:rsidR="006137E2" w:rsidRPr="008F0AA6">
        <w:rPr>
          <w:bCs/>
        </w:rPr>
        <w:t xml:space="preserve">n 2010 4 billion incandescent and halogen lamps </w:t>
      </w:r>
      <w:r w:rsidR="00A252CF">
        <w:rPr>
          <w:bCs/>
        </w:rPr>
        <w:t xml:space="preserve">were </w:t>
      </w:r>
      <w:r w:rsidR="006137E2" w:rsidRPr="008F0AA6">
        <w:rPr>
          <w:bCs/>
        </w:rPr>
        <w:t xml:space="preserve">installed in residential </w:t>
      </w:r>
      <w:r w:rsidR="00A252CF">
        <w:rPr>
          <w:bCs/>
        </w:rPr>
        <w:t xml:space="preserve">buildings </w:t>
      </w:r>
      <w:r w:rsidRPr="00352F94">
        <w:rPr>
          <w:bCs/>
        </w:rPr>
        <w:fldChar w:fldCharType="begin"/>
      </w:r>
      <w:r w:rsidR="00740468" w:rsidRPr="00352F94">
        <w:rPr>
          <w:bCs/>
        </w:rPr>
        <w:instrText xml:space="preserve"> ADDIN ZOTERO_ITEM CSL_CITATION {"citationID":"RDem1529","properties":{"formattedCitation":"(National Academies of Sciences, Engineering, and Medicine, 2017)","plainCitation":"(National Academies of Sciences, Engineering, and Medicine, 2017)","noteIndex":0},"citationItems":[{"id":3592,"uris":["http://zotero.org/groups/2241931/items/IE6SQSQE"],"uri":["http://zotero.org/groups/2241931/items/IE6SQSQE"],"itemData":{"id":3592,"type":"book","title":"Assessment of Solid-State Lighting, Phase Two","publisher":"National Academies Press","publisher-place":"Washington, D.C.","source":"Crossref","event-place":"Washington, D.C.","URL":"https://www.nap.edu/catalog/24619","ISBN":"978-0-309-45257-1","note":"reviewed","language":"en","author":[{"family":"National Academies of Sciences, Engineering, and Medicine","given":""}],"issued":{"date-parts":[["2017"]]},"accessed":{"date-parts":[["2019",4,3]]}}}],"schema":"https://github.com/citation-style-language/schema/raw/master/csl-citation.json"} </w:instrText>
      </w:r>
      <w:r w:rsidRPr="00352F94">
        <w:rPr>
          <w:bCs/>
        </w:rPr>
        <w:fldChar w:fldCharType="separate"/>
      </w:r>
      <w:r w:rsidR="00740468" w:rsidRPr="00352F94">
        <w:rPr>
          <w:rFonts w:cs="Times New Roman"/>
        </w:rPr>
        <w:t>(National Academies of Sciences, Engineering, and Medicine, 2017)</w:t>
      </w:r>
      <w:r w:rsidRPr="00352F94">
        <w:rPr>
          <w:bCs/>
        </w:rPr>
        <w:fldChar w:fldCharType="end"/>
      </w:r>
      <w:r w:rsidR="006137E2" w:rsidRPr="00352F94">
        <w:rPr>
          <w:bCs/>
        </w:rPr>
        <w:t xml:space="preserve">. </w:t>
      </w:r>
    </w:p>
    <w:p w14:paraId="248DB825" w14:textId="357E2581" w:rsidR="00932548" w:rsidRPr="00352F94" w:rsidRDefault="00932548" w:rsidP="00932548">
      <w:pPr>
        <w:spacing w:after="0"/>
        <w:rPr>
          <w:bCs/>
        </w:rPr>
      </w:pPr>
      <w:r w:rsidRPr="00352F94">
        <w:rPr>
          <w:bCs/>
        </w:rPr>
        <w:t xml:space="preserve">There are various adoption scenarios for global and regional LED lighting markets. </w:t>
      </w:r>
      <w:r w:rsidR="006137E2" w:rsidRPr="00352F94">
        <w:rPr>
          <w:bCs/>
        </w:rPr>
        <w:t xml:space="preserve">In 2012, </w:t>
      </w:r>
      <w:r w:rsidRPr="00352F94">
        <w:rPr>
          <w:bCs/>
        </w:rPr>
        <w:t>McKinsey estimated the penetration of the LED lighting to be the greatest in Asia (12</w:t>
      </w:r>
      <w:r w:rsidR="001B2805" w:rsidRPr="00352F94">
        <w:rPr>
          <w:bCs/>
        </w:rPr>
        <w:t>%</w:t>
      </w:r>
      <w:r w:rsidRPr="00352F94">
        <w:rPr>
          <w:bCs/>
        </w:rPr>
        <w:t xml:space="preserve"> of value-based market share in China, 11</w:t>
      </w:r>
      <w:r w:rsidR="001B2805" w:rsidRPr="00352F94">
        <w:rPr>
          <w:bCs/>
        </w:rPr>
        <w:t>%</w:t>
      </w:r>
      <w:r w:rsidRPr="00352F94">
        <w:rPr>
          <w:bCs/>
        </w:rPr>
        <w:t xml:space="preserve"> in </w:t>
      </w:r>
      <w:r w:rsidR="009C5B28" w:rsidRPr="00352F94">
        <w:rPr>
          <w:bCs/>
        </w:rPr>
        <w:t>“</w:t>
      </w:r>
      <w:r w:rsidR="009C5B28" w:rsidRPr="00352F94">
        <w:rPr>
          <w:bCs/>
          <w:i/>
        </w:rPr>
        <w:t>O</w:t>
      </w:r>
      <w:r w:rsidRPr="00352F94">
        <w:rPr>
          <w:bCs/>
          <w:i/>
        </w:rPr>
        <w:t>ther Asia</w:t>
      </w:r>
      <w:r w:rsidR="009C5B28" w:rsidRPr="00352F94">
        <w:rPr>
          <w:bCs/>
        </w:rPr>
        <w:t>”</w:t>
      </w:r>
      <w:r w:rsidRPr="00352F94">
        <w:rPr>
          <w:bCs/>
        </w:rPr>
        <w:t>) in 2011</w:t>
      </w:r>
      <w:r w:rsidR="00081F2B" w:rsidRPr="00352F94">
        <w:rPr>
          <w:bCs/>
        </w:rPr>
        <w:fldChar w:fldCharType="begin"/>
      </w:r>
      <w:r w:rsidR="00081F2B" w:rsidRPr="00352F94">
        <w:rPr>
          <w:bCs/>
        </w:rPr>
        <w:instrText xml:space="preserve"> ADDIN ZOTERO_ITEM CSL_CITATION {"citationID":"801662nx","properties":{"formattedCitation":"(McKinsey, 2012)","plainCitation":"(McKinsey, 2012)","noteIndex":0},"citationItems":[{"id":3511,"uris":["http://zotero.org/groups/2241931/items/DFRA4PU9"],"uri":["http://zotero.org/groups/2241931/items/DFRA4PU9"],"itemData":{"id":3511,"type":"report","title":"Lighting the way: Perspectives on the global lighting market","page":"58","source":"Zotero","language":"en","author":[{"family":"McKinsey","given":""}],"issued":{"date-parts":[["2012"]]}}}],"schema":"https://github.com/citation-style-language/schema/raw/master/csl-citation.json"} </w:instrText>
      </w:r>
      <w:r w:rsidR="00081F2B" w:rsidRPr="00352F94">
        <w:rPr>
          <w:bCs/>
        </w:rPr>
        <w:fldChar w:fldCharType="separate"/>
      </w:r>
      <w:r w:rsidR="00081F2B" w:rsidRPr="00352F94">
        <w:rPr>
          <w:rFonts w:cs="Times New Roman"/>
        </w:rPr>
        <w:t>(McKinsey, 2012)</w:t>
      </w:r>
      <w:r w:rsidR="00081F2B" w:rsidRPr="00352F94">
        <w:rPr>
          <w:bCs/>
        </w:rPr>
        <w:fldChar w:fldCharType="end"/>
      </w:r>
      <w:r w:rsidRPr="00352F94">
        <w:rPr>
          <w:bCs/>
        </w:rPr>
        <w:t>. It was estimated that the greatest penetration in 2020 will be in Europe and North America (73</w:t>
      </w:r>
      <w:r w:rsidR="001B2805" w:rsidRPr="00352F94">
        <w:rPr>
          <w:bCs/>
        </w:rPr>
        <w:t>%</w:t>
      </w:r>
      <w:r w:rsidRPr="00352F94">
        <w:rPr>
          <w:bCs/>
        </w:rPr>
        <w:t xml:space="preserve"> and 72</w:t>
      </w:r>
      <w:r w:rsidR="001B2805" w:rsidRPr="00352F94">
        <w:rPr>
          <w:bCs/>
        </w:rPr>
        <w:t>%</w:t>
      </w:r>
      <w:r w:rsidRPr="00352F94">
        <w:rPr>
          <w:bCs/>
        </w:rPr>
        <w:t>, respectively). The penetration of LED lighting measured in value-based market share was estimated to remain the lowest in Middle East and Africa (56</w:t>
      </w:r>
      <w:r w:rsidR="001B2805" w:rsidRPr="00352F94">
        <w:rPr>
          <w:bCs/>
        </w:rPr>
        <w:t>%</w:t>
      </w:r>
      <w:r w:rsidRPr="00352F94">
        <w:rPr>
          <w:bCs/>
        </w:rPr>
        <w:t xml:space="preserve"> in 2020) and in Latin America (61</w:t>
      </w:r>
      <w:r w:rsidR="001B2805" w:rsidRPr="00352F94">
        <w:rPr>
          <w:bCs/>
        </w:rPr>
        <w:t>%</w:t>
      </w:r>
      <w:r w:rsidRPr="00352F94">
        <w:rPr>
          <w:bCs/>
        </w:rPr>
        <w:t xml:space="preserve"> in 2020). Yet, it is acknowledged that government industry policy may have a significant impact on the LED penetration rate.</w:t>
      </w:r>
    </w:p>
    <w:p w14:paraId="2F568046" w14:textId="05AE0547" w:rsidR="00932548" w:rsidRPr="00352F94" w:rsidRDefault="00932548" w:rsidP="00932548">
      <w:pPr>
        <w:spacing w:after="0"/>
        <w:rPr>
          <w:bCs/>
        </w:rPr>
      </w:pPr>
      <w:r w:rsidRPr="00352F94">
        <w:rPr>
          <w:bCs/>
        </w:rPr>
        <w:t xml:space="preserve">In developing countries, especially </w:t>
      </w:r>
      <w:r w:rsidR="009B3EE0" w:rsidRPr="00352F94">
        <w:rPr>
          <w:bCs/>
        </w:rPr>
        <w:t>where</w:t>
      </w:r>
      <w:r w:rsidRPr="00352F94">
        <w:rPr>
          <w:bCs/>
        </w:rPr>
        <w:t xml:space="preserve"> there is no electric grid available, off-grid lighting solutions are needed. LED lighting may well be combined with solar panels (both DC solutions) for efficient off-grid lighting, or, as a high-efficacy light source technology powered by </w:t>
      </w:r>
      <w:r w:rsidR="00D3109C" w:rsidRPr="00352F94">
        <w:rPr>
          <w:bCs/>
        </w:rPr>
        <w:t>the sun</w:t>
      </w:r>
      <w:r w:rsidRPr="00352F94">
        <w:rPr>
          <w:bCs/>
        </w:rPr>
        <w:t xml:space="preserve">. These kind of solutions have a significant social impact on the entire community enabling working hours after dark, improving schooling conditions, reducing accidents related to candle or paraffin use and improving the indoor air quality. Non-electric and off-grid lighting solutions </w:t>
      </w:r>
      <w:r w:rsidR="00D3109C" w:rsidRPr="00352F94">
        <w:rPr>
          <w:bCs/>
        </w:rPr>
        <w:t xml:space="preserve">though, </w:t>
      </w:r>
      <w:r w:rsidRPr="00352F94">
        <w:rPr>
          <w:bCs/>
        </w:rPr>
        <w:t>are excluded from the scope of the current study.</w:t>
      </w:r>
    </w:p>
    <w:p w14:paraId="5ACB03AC" w14:textId="61BF1F72" w:rsidR="00932548" w:rsidRPr="00352F94" w:rsidRDefault="00932548" w:rsidP="00932548">
      <w:pPr>
        <w:spacing w:after="0"/>
        <w:rPr>
          <w:bCs/>
        </w:rPr>
      </w:pPr>
      <w:r w:rsidRPr="00352F94">
        <w:rPr>
          <w:bCs/>
        </w:rPr>
        <w:t>countries but due to the versatility of LED lighting products, it is expected that LED lighting can be widely used throughout the world.</w:t>
      </w:r>
    </w:p>
    <w:p w14:paraId="12A2F24A" w14:textId="3CD34135" w:rsidR="001C49CB" w:rsidRPr="00352F94" w:rsidRDefault="551A77D0" w:rsidP="00483FFA">
      <w:pPr>
        <w:pStyle w:val="Heading2"/>
      </w:pPr>
      <w:bookmarkStart w:id="43" w:name="_Toc44585070"/>
      <w:r w:rsidRPr="00352F94">
        <w:t xml:space="preserve">Advantages  and </w:t>
      </w:r>
      <w:r w:rsidR="006D22F8" w:rsidRPr="00352F94">
        <w:t>D</w:t>
      </w:r>
      <w:r w:rsidRPr="00352F94">
        <w:t xml:space="preserve">isadvantages of </w:t>
      </w:r>
      <w:r w:rsidR="00EE5035" w:rsidRPr="00352F94">
        <w:t>Residential LED Lighting</w:t>
      </w:r>
      <w:bookmarkEnd w:id="43"/>
    </w:p>
    <w:p w14:paraId="473285D3" w14:textId="2BCCBFDA" w:rsidR="00202788" w:rsidRPr="00352F94" w:rsidRDefault="551A77D0" w:rsidP="005D49A8">
      <w:pPr>
        <w:pStyle w:val="Heading3"/>
      </w:pPr>
      <w:bookmarkStart w:id="44" w:name="_Toc44585071"/>
      <w:r w:rsidRPr="00352F94">
        <w:t>Similar Solutions</w:t>
      </w:r>
      <w:bookmarkEnd w:id="44"/>
    </w:p>
    <w:p w14:paraId="68E8D0E1" w14:textId="645AC968" w:rsidR="001B2805" w:rsidRPr="00352F94" w:rsidRDefault="00123397" w:rsidP="001B2805">
      <w:r w:rsidRPr="00352F94">
        <w:t>LED lighting is by far the most promising lighting solution in a large scale at the moment. A related technology is organic LED (OLED), based also on semiconductor junctions but otherwise very different light source technology in practice. OLEDs are illuminating surfaces rather than lamps and they are not expected to replace the existing lighting technologies directly but offering a new kind of lighting, for example when integrated into walls, ceilings or windows. The price of OLED systems per kilolumen is very high and their functionality is not fully developed yet. Rigorous product development is needed for OLED technology to become more widely used. In the future, it may offer new possibilities if integrated into construction materials. In the far future, laser diodes may be developed to be used in general lighting, as they are already penetrating car headlight market. Laser diodes are not likely to penetrate the general lighting market in the near future. It is possible by 2050 but it is very unsure that laser diodes could provide radically better and more energy efficient lighting compared to LED technology in residential buildings.</w:t>
      </w:r>
    </w:p>
    <w:p w14:paraId="66FEF337" w14:textId="6D70C159" w:rsidR="000330C6" w:rsidRPr="00352F94" w:rsidRDefault="551A77D0" w:rsidP="005D49A8">
      <w:pPr>
        <w:pStyle w:val="Heading3"/>
      </w:pPr>
      <w:bookmarkStart w:id="45" w:name="_Toc44585072"/>
      <w:r w:rsidRPr="00352F94">
        <w:t>Arguments for Adoption</w:t>
      </w:r>
      <w:bookmarkEnd w:id="45"/>
    </w:p>
    <w:p w14:paraId="3207B9D4" w14:textId="38A0220D" w:rsidR="00E37D2B" w:rsidRPr="00352F94" w:rsidRDefault="00E37D2B" w:rsidP="00E37D2B">
      <w:r w:rsidRPr="00352F94">
        <w:t>LED lighting offers many advantages in residential lighting compared to conventional light sources (</w:t>
      </w:r>
      <w:r w:rsidRPr="00352F94">
        <w:fldChar w:fldCharType="begin"/>
      </w:r>
      <w:r w:rsidRPr="00352F94">
        <w:instrText xml:space="preserve"> REF _Ref536640812 \h </w:instrText>
      </w:r>
      <w:r w:rsidR="00352F94">
        <w:instrText xml:space="preserve"> \* MERGEFORMAT </w:instrText>
      </w:r>
      <w:r w:rsidRPr="00352F94">
        <w:fldChar w:fldCharType="separate"/>
      </w:r>
      <w:r w:rsidR="006F1368" w:rsidRPr="00352F94">
        <w:t xml:space="preserve">Table </w:t>
      </w:r>
      <w:r w:rsidR="006F1368">
        <w:rPr>
          <w:noProof/>
        </w:rPr>
        <w:t>1.2</w:t>
      </w:r>
      <w:r w:rsidRPr="00352F94">
        <w:fldChar w:fldCharType="end"/>
      </w:r>
      <w:r w:rsidRPr="00352F94">
        <w:t xml:space="preserve">). LED technology can be more energy efficient compared to conventional technologies </w:t>
      </w:r>
      <w:r w:rsidRPr="00352F94">
        <w:rPr>
          <w:rFonts w:eastAsia="Times New Roman"/>
          <w:color w:val="000000"/>
        </w:rPr>
        <w:t xml:space="preserve">especially in residential lighting, without compromising the lighting quality. </w:t>
      </w:r>
      <w:r w:rsidR="00081F2B" w:rsidRPr="00352F94">
        <w:t xml:space="preserve">Compared to the conventional technologies, LED lighting products typically have high life (typically 50 000h, higher estimates exist for LED luminaires, e.g., 84 000 h in 2015 and 100 000 h in 2030 </w:t>
      </w:r>
      <w:r w:rsidR="00081F2B" w:rsidRPr="00352F94">
        <w:fldChar w:fldCharType="begin"/>
      </w:r>
      <w:r w:rsidR="00081F2B" w:rsidRPr="00352F94">
        <w:instrText xml:space="preserve"> ADDIN ZOTERO_ITEM CSL_CITATION {"citationID":"JSrsYWJc","properties":{"formattedCitation":"(US DOE SSL, 2015)","plainCitation":"(US DOE SSL, 2015)","noteIndex":0},"citationItems":[{"id":3079,"uris":["http://zotero.org/groups/2241931/items/3R5WEGK3"],"uri":["http://zotero.org/groups/2241931/items/3R5WEGK3"],"itemData":{"id":3079,"type":"report","title":"Solid-State Lighting R&amp;D Plan","publisher":"DOE SSL Program","page":"168","genre":"prepared by Bardsley Consulting, SB Consulting, SSLS, Inc., LED Lighting Advisors, and Navigant Consulting, Inc.,","source":"Zotero","language":"en","author":[{"family":"US DOE SSL","given":""}],"issued":{"date-parts":[["2015",5]]}}}],"schema":"https://github.com/citation-style-language/schema/raw/master/csl-citation.json"} </w:instrText>
      </w:r>
      <w:r w:rsidR="00081F2B" w:rsidRPr="00352F94">
        <w:fldChar w:fldCharType="separate"/>
      </w:r>
      <w:r w:rsidR="00081F2B" w:rsidRPr="00352F94">
        <w:rPr>
          <w:rFonts w:cs="Times New Roman"/>
          <w:szCs w:val="24"/>
        </w:rPr>
        <w:t>(US DOE SSL, 2015)</w:t>
      </w:r>
      <w:r w:rsidR="00081F2B" w:rsidRPr="00352F94">
        <w:fldChar w:fldCharType="end"/>
      </w:r>
      <w:r w:rsidR="00081F2B" w:rsidRPr="00352F94">
        <w:t xml:space="preserve">. </w:t>
      </w:r>
      <w:r w:rsidRPr="00352F94">
        <w:rPr>
          <w:rFonts w:eastAsia="Times New Roman"/>
          <w:color w:val="000000"/>
        </w:rPr>
        <w:t xml:space="preserve">With greater energy efficiency, LED lighting </w:t>
      </w:r>
      <w:r w:rsidRPr="00352F94">
        <w:t xml:space="preserve">may offer savings in life cycle costs due to the reduced energy costs. </w:t>
      </w:r>
      <w:r w:rsidRPr="00352F94">
        <w:rPr>
          <w:rFonts w:eastAsia="Times New Roman"/>
          <w:color w:val="000000"/>
        </w:rPr>
        <w:t xml:space="preserve">Depending on the purchase price and the price of electricity, and considering the total cost of ownership, LED lighting may be a more economic solution compared to traditional lighting, especially in residential lighting. </w:t>
      </w:r>
      <w:r w:rsidRPr="00352F94">
        <w:t>LED products have significantly longer operating life compared to all other light sources used in residential lighting.</w:t>
      </w:r>
    </w:p>
    <w:p w14:paraId="631C1215" w14:textId="77777777" w:rsidR="006D6012" w:rsidRPr="00352F94" w:rsidRDefault="551A77D0" w:rsidP="005D49A8">
      <w:pPr>
        <w:pStyle w:val="Heading3"/>
      </w:pPr>
      <w:bookmarkStart w:id="46" w:name="_Toc44585073"/>
      <w:r w:rsidRPr="00352F94">
        <w:t>Additional Benefits and Burdens</w:t>
      </w:r>
      <w:bookmarkEnd w:id="46"/>
    </w:p>
    <w:p w14:paraId="5F2F3EFF" w14:textId="2AB9CE37" w:rsidR="00681F27" w:rsidRPr="00352F94" w:rsidRDefault="00681F27" w:rsidP="00681F27">
      <w:bookmarkStart w:id="47" w:name="_Toc524993438"/>
      <w:r w:rsidRPr="00352F94">
        <w:t xml:space="preserve">It is possible to develop LED lamps and luminaires of different colors. </w:t>
      </w:r>
      <w:r w:rsidRPr="00352F94">
        <w:rPr>
          <w:rFonts w:eastAsia="Times New Roman"/>
          <w:color w:val="000000"/>
        </w:rPr>
        <w:t>LED technology enables the use of advanced lighting controls, including dimming and tuning the color of the light</w:t>
      </w:r>
      <w:r w:rsidRPr="00352F94">
        <w:t xml:space="preserve">, which help to create atmosphere. LED products can be dimmed also to very low light levels. </w:t>
      </w:r>
      <w:r w:rsidRPr="00352F94">
        <w:rPr>
          <w:rFonts w:eastAsia="Times New Roman"/>
          <w:color w:val="000000"/>
        </w:rPr>
        <w:t>In addition, LED lighting may benefit the environment not only by reducing the greenhouse gas emissions but also being free from mercury – an element necessary for the operation of fluorescent lamps – and being a solution to reduce the light pollution. However, light pollution is more of a concern in outdoor lighting, not in the (indoor) residential lighting in the scope of this Project Drawdown solution.</w:t>
      </w:r>
    </w:p>
    <w:p w14:paraId="73FD090B" w14:textId="531D20E3" w:rsidR="00681F27" w:rsidRPr="00352F94" w:rsidRDefault="00681F27" w:rsidP="00681F27">
      <w:r w:rsidRPr="00352F94">
        <w:t>There are also few disadvantages in LED lighting (</w:t>
      </w:r>
      <w:r w:rsidR="00F92985" w:rsidRPr="00352F94">
        <w:fldChar w:fldCharType="begin"/>
      </w:r>
      <w:r w:rsidR="00F92985" w:rsidRPr="00352F94">
        <w:instrText xml:space="preserve"> REF _Ref536640812 \h </w:instrText>
      </w:r>
      <w:r w:rsidR="00352F94">
        <w:instrText xml:space="preserve"> \* MERGEFORMAT </w:instrText>
      </w:r>
      <w:r w:rsidR="00F92985" w:rsidRPr="00352F94">
        <w:fldChar w:fldCharType="separate"/>
      </w:r>
      <w:r w:rsidR="006F1368" w:rsidRPr="00352F94">
        <w:t xml:space="preserve">Table </w:t>
      </w:r>
      <w:r w:rsidR="006F1368">
        <w:rPr>
          <w:noProof/>
        </w:rPr>
        <w:t>1.2</w:t>
      </w:r>
      <w:r w:rsidR="00F92985" w:rsidRPr="00352F94">
        <w:fldChar w:fldCharType="end"/>
      </w:r>
      <w:r w:rsidRPr="00352F94">
        <w:t>). Most notably, the high purchase price prevents the greater penetration rate of LED lighting in residential buildings. Yet, the purchase price is decreasing as the technology itself and manufacturing technologies develop, but the purchase price can still be considered as a hurdle. There have also been some challenges in the equivalence of the LED lamp compared to conventional technologies with regard to the light distribution, physical size, color and color rendering. This is especially a problem in Europe, whereas the light distribution and size issues are handled well in the U.S. The replacement lamps that produce light with a different distribution and that are not equivalent with the technology to be replaced tend to annoy the consumers. Another disadvantage is that the LED technology is not a mature technology, which may make it difficult to find the same or similar replacement products in the future</w:t>
      </w:r>
      <w:r w:rsidR="009A06F8" w:rsidRPr="00352F94">
        <w:t>, although t</w:t>
      </w:r>
      <w:r w:rsidRPr="00352F94">
        <w:t>his is not a major issue in residential lighting. The disposal of LED products needs special attention, as they need to be disposed as waste electrical and electronic equipment (WEEE), in contrast to halogen and incandescent lamps, which do not need a separate collection.</w:t>
      </w:r>
    </w:p>
    <w:p w14:paraId="11D9B005" w14:textId="45D87006" w:rsidR="00572349" w:rsidRPr="00352F94" w:rsidRDefault="00572349" w:rsidP="00572349">
      <w:pPr>
        <w:pStyle w:val="Caption"/>
        <w:keepNext/>
        <w:jc w:val="center"/>
      </w:pPr>
      <w:bookmarkStart w:id="48" w:name="_Ref536640812"/>
      <w:bookmarkStart w:id="49" w:name="_Toc44585102"/>
      <w:r w:rsidRPr="00352F94">
        <w:t xml:space="preserve">Table </w:t>
      </w:r>
      <w:r w:rsidR="00ED272A">
        <w:rPr>
          <w:noProof/>
        </w:rPr>
        <w:fldChar w:fldCharType="begin"/>
      </w:r>
      <w:r w:rsidR="00ED272A">
        <w:rPr>
          <w:noProof/>
        </w:rPr>
        <w:instrText xml:space="preserve"> STYLEREF 1 \s </w:instrText>
      </w:r>
      <w:r w:rsidR="00ED272A">
        <w:rPr>
          <w:noProof/>
        </w:rPr>
        <w:fldChar w:fldCharType="separate"/>
      </w:r>
      <w:r w:rsidR="006F1368">
        <w:rPr>
          <w:noProof/>
        </w:rPr>
        <w:t>1</w:t>
      </w:r>
      <w:r w:rsidR="00ED272A">
        <w:rPr>
          <w:noProof/>
        </w:rPr>
        <w:fldChar w:fldCharType="end"/>
      </w:r>
      <w:r w:rsidR="00E853F6">
        <w:t>.</w:t>
      </w:r>
      <w:r w:rsidR="00ED272A">
        <w:rPr>
          <w:noProof/>
        </w:rPr>
        <w:fldChar w:fldCharType="begin"/>
      </w:r>
      <w:r w:rsidR="00ED272A">
        <w:rPr>
          <w:noProof/>
        </w:rPr>
        <w:instrText xml:space="preserve"> SEQ Table \* ARABIC \s 1 </w:instrText>
      </w:r>
      <w:r w:rsidR="00ED272A">
        <w:rPr>
          <w:noProof/>
        </w:rPr>
        <w:fldChar w:fldCharType="separate"/>
      </w:r>
      <w:r w:rsidR="006F1368">
        <w:rPr>
          <w:noProof/>
        </w:rPr>
        <w:t>2</w:t>
      </w:r>
      <w:r w:rsidR="00ED272A">
        <w:rPr>
          <w:noProof/>
        </w:rPr>
        <w:fldChar w:fldCharType="end"/>
      </w:r>
      <w:bookmarkEnd w:id="48"/>
      <w:r w:rsidRPr="00352F94">
        <w:t xml:space="preserve"> List of the main advantages and disadvantages of LED lighting in residential buildings.</w:t>
      </w:r>
      <w:bookmarkEnd w:id="49"/>
    </w:p>
    <w:tbl>
      <w:tblPr>
        <w:tblStyle w:val="TableGrid"/>
        <w:tblW w:w="0" w:type="auto"/>
        <w:tblLook w:val="04A0" w:firstRow="1" w:lastRow="0" w:firstColumn="1" w:lastColumn="0" w:noHBand="0" w:noVBand="1"/>
      </w:tblPr>
      <w:tblGrid>
        <w:gridCol w:w="4675"/>
        <w:gridCol w:w="4675"/>
      </w:tblGrid>
      <w:tr w:rsidR="00E37D2B" w:rsidRPr="00352F94" w14:paraId="45A5BAFD" w14:textId="77777777" w:rsidTr="008F0AA6">
        <w:trPr>
          <w:cantSplit/>
          <w:tblHeader/>
        </w:trPr>
        <w:tc>
          <w:tcPr>
            <w:tcW w:w="4675" w:type="dxa"/>
            <w:shd w:val="clear" w:color="auto" w:fill="4F81BD" w:themeFill="accent1"/>
          </w:tcPr>
          <w:p w14:paraId="34533597" w14:textId="52EA4D9A" w:rsidR="00681F27" w:rsidRPr="00352F94" w:rsidRDefault="00572349" w:rsidP="00681F27">
            <w:pPr>
              <w:autoSpaceDE w:val="0"/>
              <w:rPr>
                <w:rFonts w:eastAsia="Times New Roman"/>
                <w:b/>
                <w:color w:val="FFFFFF" w:themeColor="background1"/>
              </w:rPr>
            </w:pPr>
            <w:r w:rsidRPr="00352F94">
              <w:rPr>
                <w:rFonts w:eastAsia="Times New Roman"/>
                <w:b/>
                <w:color w:val="FFFFFF" w:themeColor="background1"/>
              </w:rPr>
              <w:t>Advantages</w:t>
            </w:r>
          </w:p>
        </w:tc>
        <w:tc>
          <w:tcPr>
            <w:tcW w:w="4675" w:type="dxa"/>
            <w:shd w:val="clear" w:color="auto" w:fill="4F81BD" w:themeFill="accent1"/>
          </w:tcPr>
          <w:p w14:paraId="773BA13E" w14:textId="77777777" w:rsidR="00681F27" w:rsidRPr="00352F94" w:rsidRDefault="00681F27" w:rsidP="00681F27">
            <w:pPr>
              <w:autoSpaceDE w:val="0"/>
              <w:rPr>
                <w:rFonts w:eastAsia="Times New Roman"/>
                <w:b/>
                <w:color w:val="FFFFFF" w:themeColor="background1"/>
              </w:rPr>
            </w:pPr>
            <w:r w:rsidRPr="00352F94">
              <w:rPr>
                <w:rFonts w:eastAsia="Times New Roman"/>
                <w:b/>
                <w:color w:val="FFFFFF" w:themeColor="background1"/>
              </w:rPr>
              <w:t>Disadvantages</w:t>
            </w:r>
          </w:p>
        </w:tc>
      </w:tr>
      <w:tr w:rsidR="00681F27" w:rsidRPr="00352F94" w14:paraId="4A5A99A8" w14:textId="77777777" w:rsidTr="00681F27">
        <w:tc>
          <w:tcPr>
            <w:tcW w:w="4675" w:type="dxa"/>
          </w:tcPr>
          <w:p w14:paraId="0203524E" w14:textId="77777777" w:rsidR="00681F27" w:rsidRPr="00352F94" w:rsidRDefault="00681F27" w:rsidP="00681F27">
            <w:pPr>
              <w:autoSpaceDE w:val="0"/>
              <w:rPr>
                <w:rFonts w:eastAsia="Times New Roman"/>
                <w:color w:val="000000"/>
              </w:rPr>
            </w:pPr>
            <w:r w:rsidRPr="00352F94">
              <w:rPr>
                <w:rFonts w:eastAsia="Times New Roman"/>
                <w:color w:val="000000"/>
              </w:rPr>
              <w:t>Energy efficiency</w:t>
            </w:r>
          </w:p>
        </w:tc>
        <w:tc>
          <w:tcPr>
            <w:tcW w:w="4675" w:type="dxa"/>
          </w:tcPr>
          <w:p w14:paraId="54793E5F" w14:textId="77777777" w:rsidR="00681F27" w:rsidRPr="00352F94" w:rsidRDefault="00681F27" w:rsidP="00681F27">
            <w:pPr>
              <w:autoSpaceDE w:val="0"/>
              <w:rPr>
                <w:rFonts w:eastAsia="Times New Roman"/>
                <w:color w:val="000000"/>
              </w:rPr>
            </w:pPr>
            <w:r w:rsidRPr="00352F94">
              <w:rPr>
                <w:rFonts w:eastAsia="Times New Roman"/>
                <w:color w:val="000000"/>
              </w:rPr>
              <w:t>High purchase price</w:t>
            </w:r>
          </w:p>
        </w:tc>
      </w:tr>
      <w:tr w:rsidR="00681F27" w:rsidRPr="00352F94" w14:paraId="71FC4E7D" w14:textId="77777777" w:rsidTr="00681F27">
        <w:tc>
          <w:tcPr>
            <w:tcW w:w="4675" w:type="dxa"/>
          </w:tcPr>
          <w:p w14:paraId="10C59607" w14:textId="77777777" w:rsidR="00681F27" w:rsidRPr="00352F94" w:rsidRDefault="00681F27" w:rsidP="00681F27">
            <w:pPr>
              <w:autoSpaceDE w:val="0"/>
              <w:rPr>
                <w:rFonts w:eastAsia="Times New Roman"/>
                <w:color w:val="000000"/>
              </w:rPr>
            </w:pPr>
            <w:r w:rsidRPr="00352F94">
              <w:rPr>
                <w:rFonts w:eastAsia="Times New Roman"/>
                <w:color w:val="000000"/>
              </w:rPr>
              <w:t>Long life</w:t>
            </w:r>
          </w:p>
        </w:tc>
        <w:tc>
          <w:tcPr>
            <w:tcW w:w="4675" w:type="dxa"/>
          </w:tcPr>
          <w:p w14:paraId="071955C6" w14:textId="77777777" w:rsidR="00681F27" w:rsidRPr="00352F94" w:rsidRDefault="00681F27" w:rsidP="00681F27">
            <w:pPr>
              <w:autoSpaceDE w:val="0"/>
              <w:rPr>
                <w:rFonts w:eastAsia="Times New Roman"/>
                <w:color w:val="000000"/>
              </w:rPr>
            </w:pPr>
            <w:r w:rsidRPr="00352F94">
              <w:rPr>
                <w:rFonts w:eastAsia="Times New Roman"/>
                <w:color w:val="000000"/>
              </w:rPr>
              <w:t xml:space="preserve">Equivalence to lighting products it replaces </w:t>
            </w:r>
          </w:p>
        </w:tc>
      </w:tr>
      <w:tr w:rsidR="00681F27" w:rsidRPr="00352F94" w14:paraId="04346392" w14:textId="77777777" w:rsidTr="00681F27">
        <w:tc>
          <w:tcPr>
            <w:tcW w:w="4675" w:type="dxa"/>
          </w:tcPr>
          <w:p w14:paraId="775C0F23" w14:textId="77777777" w:rsidR="00681F27" w:rsidRPr="00352F94" w:rsidRDefault="00681F27" w:rsidP="00681F27">
            <w:pPr>
              <w:autoSpaceDE w:val="0"/>
              <w:rPr>
                <w:rFonts w:eastAsia="Times New Roman"/>
                <w:color w:val="000000"/>
              </w:rPr>
            </w:pPr>
            <w:r w:rsidRPr="00352F94">
              <w:rPr>
                <w:rFonts w:eastAsia="Times New Roman"/>
                <w:color w:val="000000"/>
              </w:rPr>
              <w:t>Potentially low life cycle costs</w:t>
            </w:r>
          </w:p>
        </w:tc>
        <w:tc>
          <w:tcPr>
            <w:tcW w:w="4675" w:type="dxa"/>
          </w:tcPr>
          <w:p w14:paraId="21BDAA20" w14:textId="77777777" w:rsidR="00681F27" w:rsidRPr="00352F94" w:rsidRDefault="00681F27" w:rsidP="00681F27">
            <w:pPr>
              <w:autoSpaceDE w:val="0"/>
              <w:rPr>
                <w:rFonts w:eastAsia="Times New Roman"/>
                <w:color w:val="000000"/>
              </w:rPr>
            </w:pPr>
            <w:r w:rsidRPr="00352F94">
              <w:rPr>
                <w:rFonts w:eastAsia="Times New Roman"/>
                <w:color w:val="000000"/>
              </w:rPr>
              <w:t>Not mature technology</w:t>
            </w:r>
          </w:p>
        </w:tc>
      </w:tr>
      <w:tr w:rsidR="00681F27" w:rsidRPr="00352F94" w14:paraId="0B9CEE62" w14:textId="77777777" w:rsidTr="00681F27">
        <w:tc>
          <w:tcPr>
            <w:tcW w:w="4675" w:type="dxa"/>
          </w:tcPr>
          <w:p w14:paraId="68DC98A0" w14:textId="77777777" w:rsidR="00681F27" w:rsidRPr="00352F94" w:rsidRDefault="00681F27" w:rsidP="00681F27">
            <w:pPr>
              <w:autoSpaceDE w:val="0"/>
              <w:rPr>
                <w:rFonts w:eastAsia="Times New Roman"/>
                <w:color w:val="000000"/>
              </w:rPr>
            </w:pPr>
            <w:r w:rsidRPr="00352F94">
              <w:rPr>
                <w:rFonts w:eastAsia="Times New Roman"/>
                <w:color w:val="000000"/>
              </w:rPr>
              <w:t>Color choices</w:t>
            </w:r>
          </w:p>
        </w:tc>
        <w:tc>
          <w:tcPr>
            <w:tcW w:w="4675" w:type="dxa"/>
          </w:tcPr>
          <w:p w14:paraId="71D821FD" w14:textId="77777777" w:rsidR="00681F27" w:rsidRPr="00352F94" w:rsidRDefault="00681F27" w:rsidP="00681F27">
            <w:pPr>
              <w:autoSpaceDE w:val="0"/>
              <w:rPr>
                <w:rFonts w:eastAsia="Times New Roman"/>
                <w:color w:val="000000"/>
              </w:rPr>
            </w:pPr>
            <w:r w:rsidRPr="00352F94">
              <w:rPr>
                <w:rFonts w:eastAsia="Times New Roman"/>
                <w:color w:val="000000"/>
              </w:rPr>
              <w:t>Disposal needs attention</w:t>
            </w:r>
          </w:p>
        </w:tc>
      </w:tr>
      <w:tr w:rsidR="00681F27" w:rsidRPr="00352F94" w14:paraId="3D9DCAD6" w14:textId="77777777" w:rsidTr="00681F27">
        <w:tc>
          <w:tcPr>
            <w:tcW w:w="4675" w:type="dxa"/>
          </w:tcPr>
          <w:p w14:paraId="1E71E8AA" w14:textId="77777777" w:rsidR="00681F27" w:rsidRPr="00352F94" w:rsidRDefault="00681F27" w:rsidP="00681F27">
            <w:pPr>
              <w:autoSpaceDE w:val="0"/>
              <w:rPr>
                <w:rFonts w:eastAsia="Times New Roman"/>
                <w:color w:val="000000"/>
              </w:rPr>
            </w:pPr>
            <w:r w:rsidRPr="00352F94">
              <w:rPr>
                <w:rFonts w:eastAsia="Times New Roman"/>
                <w:color w:val="000000"/>
              </w:rPr>
              <w:t>Dimmability</w:t>
            </w:r>
          </w:p>
        </w:tc>
        <w:tc>
          <w:tcPr>
            <w:tcW w:w="4675" w:type="dxa"/>
          </w:tcPr>
          <w:p w14:paraId="12F78B0A" w14:textId="77777777" w:rsidR="00681F27" w:rsidRPr="00352F94" w:rsidRDefault="00681F27" w:rsidP="00681F27">
            <w:pPr>
              <w:autoSpaceDE w:val="0"/>
              <w:rPr>
                <w:rFonts w:eastAsia="Times New Roman"/>
                <w:color w:val="000000"/>
              </w:rPr>
            </w:pPr>
            <w:r w:rsidRPr="00352F94">
              <w:rPr>
                <w:rFonts w:eastAsia="Times New Roman"/>
                <w:color w:val="000000"/>
              </w:rPr>
              <w:t>Possibly glary</w:t>
            </w:r>
          </w:p>
        </w:tc>
      </w:tr>
      <w:tr w:rsidR="00681F27" w:rsidRPr="00352F94" w14:paraId="1ADAF910" w14:textId="77777777" w:rsidTr="00681F27">
        <w:tc>
          <w:tcPr>
            <w:tcW w:w="4675" w:type="dxa"/>
          </w:tcPr>
          <w:p w14:paraId="697B432A" w14:textId="77777777" w:rsidR="00681F27" w:rsidRPr="00352F94" w:rsidRDefault="00681F27" w:rsidP="00681F27">
            <w:pPr>
              <w:autoSpaceDE w:val="0"/>
              <w:rPr>
                <w:rFonts w:eastAsia="Times New Roman"/>
                <w:color w:val="000000"/>
              </w:rPr>
            </w:pPr>
            <w:r w:rsidRPr="00352F94">
              <w:rPr>
                <w:rFonts w:eastAsia="Times New Roman"/>
                <w:color w:val="000000"/>
              </w:rPr>
              <w:t>Small chip size</w:t>
            </w:r>
          </w:p>
        </w:tc>
        <w:tc>
          <w:tcPr>
            <w:tcW w:w="4675" w:type="dxa"/>
          </w:tcPr>
          <w:p w14:paraId="38CC90C7" w14:textId="77777777" w:rsidR="00681F27" w:rsidRPr="00352F94" w:rsidRDefault="00681F27" w:rsidP="00681F27">
            <w:pPr>
              <w:autoSpaceDE w:val="0"/>
              <w:rPr>
                <w:rFonts w:eastAsia="Times New Roman"/>
                <w:color w:val="000000"/>
              </w:rPr>
            </w:pPr>
          </w:p>
        </w:tc>
      </w:tr>
      <w:tr w:rsidR="00681F27" w:rsidRPr="00352F94" w14:paraId="523BDFF3" w14:textId="77777777" w:rsidTr="00681F27">
        <w:tc>
          <w:tcPr>
            <w:tcW w:w="4675" w:type="dxa"/>
          </w:tcPr>
          <w:p w14:paraId="5D919B53" w14:textId="77777777" w:rsidR="00681F27" w:rsidRPr="00352F94" w:rsidRDefault="00681F27" w:rsidP="00681F27">
            <w:pPr>
              <w:autoSpaceDE w:val="0"/>
              <w:rPr>
                <w:rFonts w:eastAsia="Times New Roman"/>
                <w:color w:val="000000"/>
              </w:rPr>
            </w:pPr>
            <w:r w:rsidRPr="00352F94">
              <w:rPr>
                <w:rFonts w:eastAsia="Times New Roman"/>
                <w:color w:val="000000"/>
              </w:rPr>
              <w:t>No mercury</w:t>
            </w:r>
          </w:p>
        </w:tc>
        <w:tc>
          <w:tcPr>
            <w:tcW w:w="4675" w:type="dxa"/>
          </w:tcPr>
          <w:p w14:paraId="3600A80E" w14:textId="77777777" w:rsidR="00681F27" w:rsidRPr="00352F94" w:rsidRDefault="00681F27" w:rsidP="00681F27">
            <w:pPr>
              <w:autoSpaceDE w:val="0"/>
              <w:rPr>
                <w:rFonts w:eastAsia="Times New Roman"/>
                <w:color w:val="000000"/>
              </w:rPr>
            </w:pPr>
          </w:p>
        </w:tc>
      </w:tr>
    </w:tbl>
    <w:p w14:paraId="5E0B5653" w14:textId="77777777" w:rsidR="00681F27" w:rsidRPr="00352F94" w:rsidRDefault="00681F27" w:rsidP="00681F27"/>
    <w:p w14:paraId="1768813C" w14:textId="7EC9F7D4" w:rsidR="00681F27" w:rsidRPr="00352F94" w:rsidRDefault="00681F27" w:rsidP="00681F27">
      <w:pPr>
        <w:rPr>
          <w:rFonts w:eastAsia="Times New Roman"/>
          <w:iCs/>
          <w:color w:val="000000"/>
        </w:rPr>
      </w:pPr>
      <w:r w:rsidRPr="00352F94">
        <w:rPr>
          <w:rFonts w:eastAsia="Times New Roman"/>
          <w:iCs/>
          <w:color w:val="000000"/>
        </w:rPr>
        <w:t xml:space="preserve">Despite the great potential in GHG emission reduction provided by the LED lighting, other environmental concerns may arise. Most importantly, the adverse impacts of artificial light are increasingly of concern. Artificial light, especially </w:t>
      </w:r>
      <w:r w:rsidR="00A25358" w:rsidRPr="00352F94">
        <w:rPr>
          <w:rFonts w:eastAsia="Times New Roman"/>
          <w:iCs/>
          <w:color w:val="000000"/>
        </w:rPr>
        <w:t>during natural darkness</w:t>
      </w:r>
      <w:r w:rsidRPr="00352F94">
        <w:rPr>
          <w:rFonts w:eastAsia="Times New Roman"/>
          <w:iCs/>
          <w:color w:val="000000"/>
        </w:rPr>
        <w:t xml:space="preserve">, is suspected to have harmful impacts on human health, fauna, flora and the ecosystem balance. Excessive artificial light hampers also the star gazing and astronomical observations in general. These impacts are called light pollution and it is not only caused by LED products but all artificial lighting. However, LED lighting may be more harmful to the environment depending on the species in question due to the blue wavelength content of the light, but LED lighting products may also be designed so that the most harmful part of the spectrum is avoided. A well-designed and controlled LED lighting may actually cause </w:t>
      </w:r>
      <w:r w:rsidRPr="00352F94">
        <w:rPr>
          <w:rFonts w:eastAsia="Times New Roman"/>
          <w:i/>
          <w:iCs/>
          <w:color w:val="000000"/>
        </w:rPr>
        <w:t xml:space="preserve">less </w:t>
      </w:r>
      <w:r w:rsidRPr="00352F94">
        <w:rPr>
          <w:rFonts w:eastAsia="Times New Roman"/>
          <w:iCs/>
          <w:color w:val="000000"/>
        </w:rPr>
        <w:t xml:space="preserve">light pollution (here considered as all adverse impacts of artificial light) compared to conventional </w:t>
      </w:r>
      <w:r w:rsidR="001B2805" w:rsidRPr="00352F94">
        <w:rPr>
          <w:rFonts w:eastAsia="Times New Roman"/>
          <w:iCs/>
          <w:color w:val="000000"/>
        </w:rPr>
        <w:t xml:space="preserve">artificial </w:t>
      </w:r>
      <w:r w:rsidRPr="00352F94">
        <w:rPr>
          <w:rFonts w:eastAsia="Times New Roman"/>
          <w:iCs/>
          <w:color w:val="000000"/>
        </w:rPr>
        <w:t>light sources. Currently, there is no clear scientific consensus on the direct cause-effect relationships of ecological impacts of light pollution. Means and measures have been proposed to reduce the light pollution, including advanced lighting controls to provide artificial light at a minimum level of intensity only when and where it is needed. Such measures seem to be in line with energy savings and reduction of operating costs.</w:t>
      </w:r>
    </w:p>
    <w:p w14:paraId="75713818" w14:textId="40B05C3D" w:rsidR="00681F27" w:rsidRPr="00352F94" w:rsidRDefault="00681F27" w:rsidP="00681F27">
      <w:r w:rsidRPr="00352F94">
        <w:t xml:space="preserve">The increase in the consumption of light very likely increases light pollution, i.e., the adverse impacts caused by artificial light on humans, fauna, flora and ecosystems. LED lighting may be </w:t>
      </w:r>
      <w:r w:rsidR="001B2805" w:rsidRPr="00352F94">
        <w:t>specifically</w:t>
      </w:r>
      <w:r w:rsidRPr="00352F94">
        <w:t xml:space="preserve"> causing light pollution especially due to the blue wavelength content of the light, as the radiation at the blue wavelength region is often found to be problematic for the environment including humans. However, LED technology enables various wavelength compositions, lighting controls (dimming, switching on and off, color tuning) and accurate optical design of the lighting products, so that the impacts of light pollution may be minimized without compromising the safety and visual performance of humans. Appropriately-designed LED lighting is expected to reduce the light pollution but also providing the needed lighting service for humans. LED lighting may also be included in the Internet of Things (IoT) systems, which may, in turn, provide new services for modern societies.</w:t>
      </w:r>
    </w:p>
    <w:p w14:paraId="66C56BBE" w14:textId="374875F8" w:rsidR="00695682" w:rsidRPr="00352F94" w:rsidRDefault="00695682" w:rsidP="00EB247F">
      <w:pPr>
        <w:pStyle w:val="Caption"/>
        <w:jc w:val="center"/>
      </w:pPr>
      <w:bookmarkStart w:id="50" w:name="_Toc44585103"/>
      <w:r w:rsidRPr="00352F94">
        <w:t xml:space="preserve">Table </w:t>
      </w:r>
      <w:r w:rsidR="00ED272A">
        <w:rPr>
          <w:noProof/>
        </w:rPr>
        <w:fldChar w:fldCharType="begin"/>
      </w:r>
      <w:r w:rsidR="00ED272A">
        <w:rPr>
          <w:noProof/>
        </w:rPr>
        <w:instrText xml:space="preserve"> STYLEREF 1 \s </w:instrText>
      </w:r>
      <w:r w:rsidR="00ED272A">
        <w:rPr>
          <w:noProof/>
        </w:rPr>
        <w:fldChar w:fldCharType="separate"/>
      </w:r>
      <w:r w:rsidR="006F1368">
        <w:rPr>
          <w:noProof/>
        </w:rPr>
        <w:t>1</w:t>
      </w:r>
      <w:r w:rsidR="00ED272A">
        <w:rPr>
          <w:noProof/>
        </w:rPr>
        <w:fldChar w:fldCharType="end"/>
      </w:r>
      <w:r w:rsidR="00E853F6">
        <w:t>.</w:t>
      </w:r>
      <w:r w:rsidR="00ED272A">
        <w:rPr>
          <w:noProof/>
        </w:rPr>
        <w:fldChar w:fldCharType="begin"/>
      </w:r>
      <w:r w:rsidR="00ED272A">
        <w:rPr>
          <w:noProof/>
        </w:rPr>
        <w:instrText xml:space="preserve"> SEQ Table \* ARABIC \s 1 </w:instrText>
      </w:r>
      <w:r w:rsidR="00ED272A">
        <w:rPr>
          <w:noProof/>
        </w:rPr>
        <w:fldChar w:fldCharType="separate"/>
      </w:r>
      <w:r w:rsidR="006F1368">
        <w:rPr>
          <w:noProof/>
        </w:rPr>
        <w:t>3</w:t>
      </w:r>
      <w:r w:rsidR="00ED272A">
        <w:rPr>
          <w:noProof/>
        </w:rPr>
        <w:fldChar w:fldCharType="end"/>
      </w:r>
      <w:r w:rsidRPr="00352F94">
        <w:t xml:space="preserve"> </w:t>
      </w:r>
      <w:bookmarkEnd w:id="47"/>
      <w:r w:rsidR="007860B2" w:rsidRPr="00352F94">
        <w:t>Technology</w:t>
      </w:r>
      <w:r w:rsidR="00FB2C53" w:rsidRPr="00352F94">
        <w:t xml:space="preserve"> </w:t>
      </w:r>
      <w:r w:rsidR="00071AB1" w:rsidRPr="008F0AA6">
        <w:t xml:space="preserve"> Comparison of various lighting sources </w:t>
      </w:r>
      <w:r w:rsidR="00071AB1" w:rsidRPr="00352F94">
        <w:fldChar w:fldCharType="begin"/>
      </w:r>
      <w:r w:rsidR="00071AB1" w:rsidRPr="008F0AA6">
        <w:instrText xml:space="preserve"> ADDIN ZOTERO_ITEM CSL_CITATION {"citationID":"HoJE0QWl","properties":{"formattedCitation":"(Weisbuch, 2018)","plainCitation":"(Weisbuch, 2018)","noteIndex":0},"citationItems":[{"id":1377,"uris":["http://zotero.org/groups/2241931/items/NE5ASC6Z"],"uri":["http://zotero.org/groups/2241931/items/NE5ASC6Z"],"itemData":{"id":1377,"type":"article-journal","title":"Historical perspective on the physics of artificial lighting","container-title":"Comptes Rendus Physique","collection-title":"LEDs: The new revolution in lighting / Les LED : la nouvelle révolution de l’éclairage","page":"89-112","volume":"19","issue":"3","source":"ScienceDirect","abstract":"We describe the evolution of lighting technologies used throughout the ages, and how the need for improvements was such that any new technology giving better and cheaper lighting was immediately implemented. Thus, every revolution in energy sources – gas, petrol electricity – was first put to large-scale use in lighting. We describe in some detail several “ancient” techniques of scientific interest, along with their physical limitations. Electroluminescence – the phenomenon by which LEDs directly convert electricity into light – was long thought to only be of use for indicators or flat panel displays supposed to replace the bulky cathode-ray tubes. The more recent uses of LEDs were mainly for street traffic lights, car indicators, small phone displays, followed by backlighting of TV screens. LED lamps for general lighting only emerged recently as the dominant application of LEDs thanks to dramatic decrease in cost, and continuous improvements of color quality and energy conversion efficiency.\nRésumé\nNous décrivons l'évolution des technologies d'éclairage utilisées à travers les âges, et comment le besoin d'améliorations était tel que toute nouvelle technologie donnant un éclairage meilleur et moins cher a été immédiatement mise en œuvre. Ainsi, chaque révolution en matière de sources d'énergie – gaz, pétrole, électricité – a été dans un premier temps utilisée à grande échelle dans l'éclairage. Nous décrivons en détail plusieurs techniques anciennes présentant un intérêt scientifique, ainsi que leurs limites physiques. L'électroluminescence – le phénomène par lequel les LED convertissent directement l'électricité en lumière – a longtemps été considérée comme étant uniquement utile pour les indicateurs ou les écrans plats censés remplacer les tubes cathodiques volumineux. Les utilisations les plus récentes des LED concernaient principalement les feux de signalisation, les indicateurs pour voitures, les écrans de téléphone, suivies par le rétroéclairage des écrans de télévision. Les lampes LED pour l'éclairage général ne sont apparues que récemment, comme leur application dominante grâce à une réduction spectaculaire des coûts et à des améliorations continues d</w:instrText>
      </w:r>
      <w:r w:rsidR="00071AB1" w:rsidRPr="00352F94">
        <w:instrText xml:space="preserve">e la qualité des couleurs et de l'efficacité de la conversion d'énergie.","URL":"http://www.sciencedirect.com/science/article/pii/S1631070518300306","DOI":"10.1016/j.crhy.2018.03.001","ISSN":"1631-0705","journalAbbreviation":"Comptes Rendus Physique","author":[{"family":"Weisbuch","given":"Claude"}],"issued":{"date-parts":[["2018",3,1]]},"accessed":{"date-parts":[["2019",2,14]]}}}],"schema":"https://github.com/citation-style-language/schema/raw/master/csl-citation.json"} </w:instrText>
      </w:r>
      <w:r w:rsidR="00071AB1" w:rsidRPr="00352F94">
        <w:fldChar w:fldCharType="separate"/>
      </w:r>
      <w:r w:rsidR="00071AB1" w:rsidRPr="00352F94">
        <w:rPr>
          <w:rFonts w:cs="Times New Roman"/>
          <w:szCs w:val="24"/>
        </w:rPr>
        <w:t>(Weisbuch, 2018)</w:t>
      </w:r>
      <w:bookmarkEnd w:id="50"/>
      <w:r w:rsidR="00071AB1" w:rsidRPr="00352F94">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1524"/>
        <w:gridCol w:w="1375"/>
        <w:gridCol w:w="1412"/>
        <w:gridCol w:w="1438"/>
        <w:gridCol w:w="1589"/>
      </w:tblGrid>
      <w:tr w:rsidR="00071AB1" w:rsidRPr="00352F94" w14:paraId="72CA9C9C" w14:textId="77777777" w:rsidTr="006D22F8">
        <w:trPr>
          <w:cantSplit/>
          <w:tblHeader/>
          <w:jc w:val="center"/>
        </w:trPr>
        <w:tc>
          <w:tcPr>
            <w:tcW w:w="2014" w:type="dxa"/>
            <w:shd w:val="clear" w:color="auto" w:fill="4F81BD" w:themeFill="accent1"/>
            <w:vAlign w:val="center"/>
            <w:hideMark/>
          </w:tcPr>
          <w:p w14:paraId="73031C0F" w14:textId="77777777" w:rsidR="00071AB1" w:rsidRPr="00352F94" w:rsidRDefault="00071AB1">
            <w:pPr>
              <w:spacing w:line="240" w:lineRule="auto"/>
              <w:jc w:val="left"/>
              <w:rPr>
                <w:b/>
                <w:color w:val="FFFFFF" w:themeColor="background1"/>
                <w:sz w:val="21"/>
                <w:szCs w:val="21"/>
              </w:rPr>
            </w:pPr>
            <w:r w:rsidRPr="00352F94">
              <w:rPr>
                <w:b/>
                <w:color w:val="FFFFFF" w:themeColor="background1"/>
                <w:sz w:val="21"/>
                <w:szCs w:val="21"/>
              </w:rPr>
              <w:t>Technology</w:t>
            </w:r>
          </w:p>
        </w:tc>
        <w:tc>
          <w:tcPr>
            <w:tcW w:w="1525" w:type="dxa"/>
            <w:shd w:val="clear" w:color="auto" w:fill="4F81BD" w:themeFill="accent1"/>
            <w:vAlign w:val="center"/>
            <w:hideMark/>
          </w:tcPr>
          <w:p w14:paraId="59586FD9" w14:textId="77777777" w:rsidR="00071AB1" w:rsidRPr="00352F94" w:rsidRDefault="00071AB1">
            <w:pPr>
              <w:spacing w:line="240" w:lineRule="auto"/>
              <w:jc w:val="left"/>
              <w:rPr>
                <w:b/>
                <w:color w:val="FFFFFF" w:themeColor="background1"/>
                <w:sz w:val="21"/>
                <w:szCs w:val="21"/>
              </w:rPr>
            </w:pPr>
            <w:r w:rsidRPr="00352F94">
              <w:rPr>
                <w:b/>
                <w:color w:val="FFFFFF" w:themeColor="background1"/>
                <w:sz w:val="21"/>
                <w:szCs w:val="21"/>
              </w:rPr>
              <w:t>Luminous efficacy of lamp (lm/W)</w:t>
            </w:r>
          </w:p>
        </w:tc>
        <w:tc>
          <w:tcPr>
            <w:tcW w:w="1377" w:type="dxa"/>
            <w:shd w:val="clear" w:color="auto" w:fill="4F81BD" w:themeFill="accent1"/>
            <w:vAlign w:val="center"/>
            <w:hideMark/>
          </w:tcPr>
          <w:p w14:paraId="30C7B02C" w14:textId="77777777" w:rsidR="00071AB1" w:rsidRPr="00352F94" w:rsidRDefault="00071AB1">
            <w:pPr>
              <w:spacing w:line="240" w:lineRule="auto"/>
              <w:jc w:val="left"/>
              <w:rPr>
                <w:b/>
                <w:color w:val="FFFFFF" w:themeColor="background1"/>
                <w:sz w:val="21"/>
                <w:szCs w:val="21"/>
              </w:rPr>
            </w:pPr>
            <w:r w:rsidRPr="00352F94">
              <w:rPr>
                <w:b/>
                <w:color w:val="FFFFFF" w:themeColor="background1"/>
                <w:sz w:val="21"/>
                <w:szCs w:val="21"/>
              </w:rPr>
              <w:t>Power (W)</w:t>
            </w:r>
          </w:p>
        </w:tc>
        <w:tc>
          <w:tcPr>
            <w:tcW w:w="1414" w:type="dxa"/>
            <w:shd w:val="clear" w:color="auto" w:fill="4F81BD" w:themeFill="accent1"/>
            <w:hideMark/>
          </w:tcPr>
          <w:p w14:paraId="77BE67BD" w14:textId="77777777" w:rsidR="00071AB1" w:rsidRPr="00352F94" w:rsidRDefault="00071AB1">
            <w:pPr>
              <w:spacing w:line="240" w:lineRule="auto"/>
              <w:jc w:val="left"/>
              <w:rPr>
                <w:b/>
                <w:color w:val="FFFFFF" w:themeColor="background1"/>
                <w:sz w:val="21"/>
                <w:szCs w:val="21"/>
              </w:rPr>
            </w:pPr>
            <w:r w:rsidRPr="00352F94">
              <w:rPr>
                <w:b/>
                <w:color w:val="FFFFFF" w:themeColor="background1"/>
                <w:sz w:val="21"/>
                <w:szCs w:val="21"/>
              </w:rPr>
              <w:t>Lamp cost</w:t>
            </w:r>
          </w:p>
        </w:tc>
        <w:tc>
          <w:tcPr>
            <w:tcW w:w="1439" w:type="dxa"/>
            <w:shd w:val="clear" w:color="auto" w:fill="4F81BD" w:themeFill="accent1"/>
            <w:hideMark/>
          </w:tcPr>
          <w:p w14:paraId="5E9EC31B" w14:textId="77777777" w:rsidR="00071AB1" w:rsidRPr="00352F94" w:rsidRDefault="00071AB1">
            <w:pPr>
              <w:spacing w:line="240" w:lineRule="auto"/>
              <w:jc w:val="left"/>
              <w:rPr>
                <w:b/>
                <w:color w:val="FFFFFF" w:themeColor="background1"/>
                <w:sz w:val="21"/>
                <w:szCs w:val="21"/>
              </w:rPr>
            </w:pPr>
            <w:r w:rsidRPr="00352F94">
              <w:rPr>
                <w:b/>
                <w:color w:val="FFFFFF" w:themeColor="background1"/>
                <w:sz w:val="21"/>
                <w:szCs w:val="21"/>
              </w:rPr>
              <w:t>Operating Costs</w:t>
            </w:r>
          </w:p>
        </w:tc>
        <w:tc>
          <w:tcPr>
            <w:tcW w:w="1591" w:type="dxa"/>
            <w:shd w:val="clear" w:color="auto" w:fill="4F81BD" w:themeFill="accent1"/>
            <w:vAlign w:val="center"/>
            <w:hideMark/>
          </w:tcPr>
          <w:p w14:paraId="0BAFCFFC" w14:textId="77777777" w:rsidR="00071AB1" w:rsidRPr="00352F94" w:rsidRDefault="00071AB1">
            <w:pPr>
              <w:spacing w:line="240" w:lineRule="auto"/>
              <w:jc w:val="left"/>
              <w:rPr>
                <w:b/>
                <w:color w:val="FFFFFF" w:themeColor="background1"/>
                <w:sz w:val="21"/>
                <w:szCs w:val="21"/>
              </w:rPr>
            </w:pPr>
            <w:r w:rsidRPr="00352F94">
              <w:rPr>
                <w:b/>
                <w:color w:val="FFFFFF" w:themeColor="background1"/>
                <w:sz w:val="21"/>
                <w:szCs w:val="21"/>
              </w:rPr>
              <w:t>Average lifetime</w:t>
            </w:r>
          </w:p>
        </w:tc>
      </w:tr>
      <w:tr w:rsidR="00071AB1" w:rsidRPr="00352F94" w14:paraId="1B110AFB" w14:textId="77777777" w:rsidTr="006D22F8">
        <w:trPr>
          <w:jc w:val="center"/>
        </w:trPr>
        <w:tc>
          <w:tcPr>
            <w:tcW w:w="2014" w:type="dxa"/>
            <w:hideMark/>
          </w:tcPr>
          <w:p w14:paraId="61E6F100" w14:textId="77777777" w:rsidR="00071AB1" w:rsidRPr="00352F94" w:rsidRDefault="00071AB1">
            <w:pPr>
              <w:rPr>
                <w:sz w:val="21"/>
                <w:szCs w:val="21"/>
              </w:rPr>
            </w:pPr>
            <w:r w:rsidRPr="00352F94">
              <w:rPr>
                <w:rFonts w:eastAsia="Times New Roman"/>
                <w:sz w:val="21"/>
                <w:szCs w:val="21"/>
              </w:rPr>
              <w:t>Incandescent (INC)</w:t>
            </w:r>
          </w:p>
        </w:tc>
        <w:tc>
          <w:tcPr>
            <w:tcW w:w="1525" w:type="dxa"/>
            <w:hideMark/>
          </w:tcPr>
          <w:p w14:paraId="73B86F3A" w14:textId="77777777" w:rsidR="00071AB1" w:rsidRPr="00352F94" w:rsidRDefault="00071AB1">
            <w:pPr>
              <w:jc w:val="center"/>
              <w:rPr>
                <w:sz w:val="21"/>
                <w:szCs w:val="21"/>
              </w:rPr>
            </w:pPr>
            <w:r w:rsidRPr="00352F94">
              <w:rPr>
                <w:sz w:val="21"/>
                <w:szCs w:val="21"/>
              </w:rPr>
              <w:t>10</w:t>
            </w:r>
          </w:p>
        </w:tc>
        <w:tc>
          <w:tcPr>
            <w:tcW w:w="1377" w:type="dxa"/>
            <w:hideMark/>
          </w:tcPr>
          <w:p w14:paraId="0590094C" w14:textId="77777777" w:rsidR="00071AB1" w:rsidRPr="00352F94" w:rsidRDefault="00071AB1">
            <w:pPr>
              <w:jc w:val="center"/>
              <w:rPr>
                <w:sz w:val="21"/>
                <w:szCs w:val="21"/>
              </w:rPr>
            </w:pPr>
            <w:r w:rsidRPr="00352F94">
              <w:rPr>
                <w:sz w:val="21"/>
                <w:szCs w:val="21"/>
              </w:rPr>
              <w:t>3-500</w:t>
            </w:r>
          </w:p>
        </w:tc>
        <w:tc>
          <w:tcPr>
            <w:tcW w:w="1414" w:type="dxa"/>
            <w:hideMark/>
          </w:tcPr>
          <w:p w14:paraId="01C15A97" w14:textId="77777777" w:rsidR="00071AB1" w:rsidRPr="00352F94" w:rsidRDefault="00071AB1">
            <w:pPr>
              <w:jc w:val="left"/>
              <w:rPr>
                <w:sz w:val="21"/>
                <w:szCs w:val="21"/>
              </w:rPr>
            </w:pPr>
            <w:r w:rsidRPr="00352F94">
              <w:rPr>
                <w:sz w:val="21"/>
                <w:szCs w:val="21"/>
              </w:rPr>
              <w:t>low</w:t>
            </w:r>
          </w:p>
        </w:tc>
        <w:tc>
          <w:tcPr>
            <w:tcW w:w="1439" w:type="dxa"/>
            <w:hideMark/>
          </w:tcPr>
          <w:p w14:paraId="71BD0C3F" w14:textId="77777777" w:rsidR="00071AB1" w:rsidRPr="00352F94" w:rsidRDefault="00071AB1">
            <w:pPr>
              <w:jc w:val="left"/>
              <w:rPr>
                <w:sz w:val="21"/>
                <w:szCs w:val="21"/>
              </w:rPr>
            </w:pPr>
            <w:r w:rsidRPr="00352F94">
              <w:rPr>
                <w:sz w:val="21"/>
                <w:szCs w:val="21"/>
              </w:rPr>
              <w:t>high</w:t>
            </w:r>
          </w:p>
        </w:tc>
        <w:tc>
          <w:tcPr>
            <w:tcW w:w="1591" w:type="dxa"/>
            <w:hideMark/>
          </w:tcPr>
          <w:p w14:paraId="7C8BD255" w14:textId="77777777" w:rsidR="00071AB1" w:rsidRPr="00352F94" w:rsidRDefault="00071AB1">
            <w:pPr>
              <w:jc w:val="left"/>
              <w:rPr>
                <w:sz w:val="21"/>
                <w:szCs w:val="21"/>
              </w:rPr>
            </w:pPr>
            <w:r w:rsidRPr="00352F94">
              <w:rPr>
                <w:sz w:val="21"/>
                <w:szCs w:val="21"/>
              </w:rPr>
              <w:t xml:space="preserve">1000 </w:t>
            </w:r>
          </w:p>
        </w:tc>
      </w:tr>
      <w:tr w:rsidR="00071AB1" w:rsidRPr="00352F94" w14:paraId="028ACC07" w14:textId="77777777" w:rsidTr="006D22F8">
        <w:trPr>
          <w:jc w:val="center"/>
        </w:trPr>
        <w:tc>
          <w:tcPr>
            <w:tcW w:w="2014" w:type="dxa"/>
            <w:hideMark/>
          </w:tcPr>
          <w:p w14:paraId="77DEFBA6" w14:textId="77777777" w:rsidR="00071AB1" w:rsidRPr="00352F94" w:rsidRDefault="00071AB1">
            <w:pPr>
              <w:rPr>
                <w:rFonts w:eastAsia="Times New Roman"/>
                <w:sz w:val="21"/>
                <w:szCs w:val="21"/>
              </w:rPr>
            </w:pPr>
            <w:r w:rsidRPr="00352F94">
              <w:rPr>
                <w:rFonts w:eastAsia="Times New Roman"/>
                <w:sz w:val="21"/>
                <w:szCs w:val="21"/>
              </w:rPr>
              <w:t>Halogen (HAL)</w:t>
            </w:r>
          </w:p>
        </w:tc>
        <w:tc>
          <w:tcPr>
            <w:tcW w:w="1525" w:type="dxa"/>
            <w:hideMark/>
          </w:tcPr>
          <w:p w14:paraId="4068FF8C" w14:textId="77777777" w:rsidR="00071AB1" w:rsidRPr="00352F94" w:rsidRDefault="00071AB1">
            <w:pPr>
              <w:jc w:val="center"/>
              <w:rPr>
                <w:sz w:val="21"/>
                <w:szCs w:val="21"/>
              </w:rPr>
            </w:pPr>
            <w:r w:rsidRPr="00352F94">
              <w:rPr>
                <w:sz w:val="21"/>
                <w:szCs w:val="21"/>
              </w:rPr>
              <w:t>15-20</w:t>
            </w:r>
          </w:p>
        </w:tc>
        <w:tc>
          <w:tcPr>
            <w:tcW w:w="1377" w:type="dxa"/>
            <w:hideMark/>
          </w:tcPr>
          <w:p w14:paraId="17207B99" w14:textId="77777777" w:rsidR="00071AB1" w:rsidRPr="00352F94" w:rsidRDefault="00071AB1">
            <w:pPr>
              <w:jc w:val="center"/>
              <w:rPr>
                <w:sz w:val="21"/>
                <w:szCs w:val="21"/>
              </w:rPr>
            </w:pPr>
            <w:r w:rsidRPr="00352F94">
              <w:rPr>
                <w:sz w:val="21"/>
                <w:szCs w:val="21"/>
              </w:rPr>
              <w:t>5-500</w:t>
            </w:r>
          </w:p>
        </w:tc>
        <w:tc>
          <w:tcPr>
            <w:tcW w:w="1414" w:type="dxa"/>
            <w:hideMark/>
          </w:tcPr>
          <w:p w14:paraId="543258F9" w14:textId="77777777" w:rsidR="00071AB1" w:rsidRPr="00352F94" w:rsidRDefault="00071AB1">
            <w:pPr>
              <w:jc w:val="left"/>
              <w:rPr>
                <w:sz w:val="21"/>
                <w:szCs w:val="21"/>
              </w:rPr>
            </w:pPr>
            <w:r w:rsidRPr="00352F94">
              <w:rPr>
                <w:sz w:val="21"/>
                <w:szCs w:val="21"/>
              </w:rPr>
              <w:t>medium</w:t>
            </w:r>
          </w:p>
        </w:tc>
        <w:tc>
          <w:tcPr>
            <w:tcW w:w="1439" w:type="dxa"/>
            <w:hideMark/>
          </w:tcPr>
          <w:p w14:paraId="2A8C31BC" w14:textId="77777777" w:rsidR="00071AB1" w:rsidRPr="00352F94" w:rsidRDefault="00071AB1">
            <w:pPr>
              <w:jc w:val="left"/>
              <w:rPr>
                <w:sz w:val="21"/>
                <w:szCs w:val="21"/>
              </w:rPr>
            </w:pPr>
            <w:r w:rsidRPr="00352F94">
              <w:rPr>
                <w:sz w:val="21"/>
                <w:szCs w:val="21"/>
              </w:rPr>
              <w:t>high</w:t>
            </w:r>
          </w:p>
        </w:tc>
        <w:tc>
          <w:tcPr>
            <w:tcW w:w="1591" w:type="dxa"/>
            <w:hideMark/>
          </w:tcPr>
          <w:p w14:paraId="5F5CB4A3" w14:textId="77777777" w:rsidR="00071AB1" w:rsidRPr="00352F94" w:rsidRDefault="00071AB1">
            <w:pPr>
              <w:jc w:val="left"/>
              <w:rPr>
                <w:sz w:val="21"/>
                <w:szCs w:val="21"/>
              </w:rPr>
            </w:pPr>
            <w:r w:rsidRPr="00352F94">
              <w:rPr>
                <w:sz w:val="21"/>
                <w:szCs w:val="21"/>
              </w:rPr>
              <w:t>3000</w:t>
            </w:r>
          </w:p>
        </w:tc>
      </w:tr>
      <w:tr w:rsidR="00071AB1" w:rsidRPr="00352F94" w14:paraId="14ED0401" w14:textId="77777777" w:rsidTr="006D22F8">
        <w:trPr>
          <w:jc w:val="center"/>
        </w:trPr>
        <w:tc>
          <w:tcPr>
            <w:tcW w:w="2014" w:type="dxa"/>
            <w:hideMark/>
          </w:tcPr>
          <w:p w14:paraId="21C1D0DB" w14:textId="77777777" w:rsidR="00071AB1" w:rsidRPr="00352F94" w:rsidRDefault="00071AB1">
            <w:pPr>
              <w:rPr>
                <w:rFonts w:eastAsia="Times New Roman"/>
                <w:sz w:val="21"/>
                <w:szCs w:val="21"/>
              </w:rPr>
            </w:pPr>
            <w:r w:rsidRPr="00352F94">
              <w:rPr>
                <w:rFonts w:eastAsia="Times New Roman"/>
                <w:sz w:val="21"/>
                <w:szCs w:val="21"/>
              </w:rPr>
              <w:t>Fluorescent tube or Linear fluorescent (LFL)</w:t>
            </w:r>
          </w:p>
        </w:tc>
        <w:tc>
          <w:tcPr>
            <w:tcW w:w="1525" w:type="dxa"/>
            <w:hideMark/>
          </w:tcPr>
          <w:p w14:paraId="237630C3" w14:textId="77777777" w:rsidR="00071AB1" w:rsidRPr="00352F94" w:rsidRDefault="00071AB1">
            <w:pPr>
              <w:jc w:val="center"/>
              <w:rPr>
                <w:sz w:val="21"/>
                <w:szCs w:val="21"/>
              </w:rPr>
            </w:pPr>
            <w:r w:rsidRPr="00352F94">
              <w:rPr>
                <w:sz w:val="21"/>
                <w:szCs w:val="21"/>
              </w:rPr>
              <w:t>60-100</w:t>
            </w:r>
          </w:p>
        </w:tc>
        <w:tc>
          <w:tcPr>
            <w:tcW w:w="1377" w:type="dxa"/>
            <w:hideMark/>
          </w:tcPr>
          <w:p w14:paraId="08397319" w14:textId="77777777" w:rsidR="00071AB1" w:rsidRPr="00352F94" w:rsidRDefault="00071AB1">
            <w:pPr>
              <w:jc w:val="center"/>
              <w:rPr>
                <w:sz w:val="21"/>
                <w:szCs w:val="21"/>
              </w:rPr>
            </w:pPr>
            <w:r w:rsidRPr="00352F94">
              <w:rPr>
                <w:sz w:val="21"/>
                <w:szCs w:val="21"/>
              </w:rPr>
              <w:t>4-200</w:t>
            </w:r>
          </w:p>
        </w:tc>
        <w:tc>
          <w:tcPr>
            <w:tcW w:w="1414" w:type="dxa"/>
            <w:hideMark/>
          </w:tcPr>
          <w:p w14:paraId="1F0139C9" w14:textId="77777777" w:rsidR="00071AB1" w:rsidRPr="00352F94" w:rsidRDefault="00071AB1">
            <w:pPr>
              <w:jc w:val="left"/>
              <w:rPr>
                <w:sz w:val="21"/>
                <w:szCs w:val="21"/>
              </w:rPr>
            </w:pPr>
            <w:r w:rsidRPr="00352F94">
              <w:rPr>
                <w:sz w:val="21"/>
                <w:szCs w:val="21"/>
              </w:rPr>
              <w:t>medium</w:t>
            </w:r>
          </w:p>
        </w:tc>
        <w:tc>
          <w:tcPr>
            <w:tcW w:w="1439" w:type="dxa"/>
            <w:hideMark/>
          </w:tcPr>
          <w:p w14:paraId="0D12943D" w14:textId="77777777" w:rsidR="00071AB1" w:rsidRPr="00352F94" w:rsidRDefault="00071AB1">
            <w:pPr>
              <w:jc w:val="left"/>
              <w:rPr>
                <w:sz w:val="21"/>
                <w:szCs w:val="21"/>
              </w:rPr>
            </w:pPr>
            <w:r w:rsidRPr="00352F94">
              <w:rPr>
                <w:sz w:val="21"/>
                <w:szCs w:val="21"/>
              </w:rPr>
              <w:t>medium</w:t>
            </w:r>
          </w:p>
        </w:tc>
        <w:tc>
          <w:tcPr>
            <w:tcW w:w="1591" w:type="dxa"/>
            <w:hideMark/>
          </w:tcPr>
          <w:p w14:paraId="1CCD8ED3" w14:textId="77777777" w:rsidR="00071AB1" w:rsidRPr="00352F94" w:rsidRDefault="00071AB1">
            <w:pPr>
              <w:jc w:val="left"/>
              <w:rPr>
                <w:sz w:val="21"/>
                <w:szCs w:val="21"/>
              </w:rPr>
            </w:pPr>
            <w:r w:rsidRPr="00352F94">
              <w:rPr>
                <w:sz w:val="21"/>
                <w:szCs w:val="21"/>
              </w:rPr>
              <w:t>5000</w:t>
            </w:r>
          </w:p>
        </w:tc>
      </w:tr>
      <w:tr w:rsidR="00071AB1" w:rsidRPr="00352F94" w14:paraId="078F1867" w14:textId="77777777" w:rsidTr="006D22F8">
        <w:trPr>
          <w:jc w:val="center"/>
        </w:trPr>
        <w:tc>
          <w:tcPr>
            <w:tcW w:w="2014" w:type="dxa"/>
            <w:hideMark/>
          </w:tcPr>
          <w:p w14:paraId="63BF5B8D" w14:textId="77777777" w:rsidR="00071AB1" w:rsidRPr="00352F94" w:rsidRDefault="00071AB1">
            <w:pPr>
              <w:rPr>
                <w:rFonts w:eastAsia="Times New Roman"/>
                <w:sz w:val="21"/>
                <w:szCs w:val="21"/>
              </w:rPr>
            </w:pPr>
            <w:r w:rsidRPr="00352F94">
              <w:rPr>
                <w:rFonts w:eastAsia="Times New Roman"/>
                <w:sz w:val="21"/>
                <w:szCs w:val="21"/>
              </w:rPr>
              <w:t>Compact fluorescent lamp (CFL)</w:t>
            </w:r>
          </w:p>
        </w:tc>
        <w:tc>
          <w:tcPr>
            <w:tcW w:w="1525" w:type="dxa"/>
            <w:hideMark/>
          </w:tcPr>
          <w:p w14:paraId="3F280B1C" w14:textId="77777777" w:rsidR="00071AB1" w:rsidRPr="00352F94" w:rsidRDefault="00071AB1">
            <w:pPr>
              <w:jc w:val="center"/>
              <w:rPr>
                <w:sz w:val="21"/>
                <w:szCs w:val="21"/>
              </w:rPr>
            </w:pPr>
            <w:r w:rsidRPr="00352F94">
              <w:rPr>
                <w:sz w:val="21"/>
                <w:szCs w:val="21"/>
              </w:rPr>
              <w:t>50-75</w:t>
            </w:r>
          </w:p>
        </w:tc>
        <w:tc>
          <w:tcPr>
            <w:tcW w:w="1377" w:type="dxa"/>
            <w:hideMark/>
          </w:tcPr>
          <w:p w14:paraId="7E3F17AC" w14:textId="77777777" w:rsidR="00071AB1" w:rsidRPr="00352F94" w:rsidRDefault="00071AB1">
            <w:pPr>
              <w:jc w:val="center"/>
              <w:rPr>
                <w:sz w:val="21"/>
                <w:szCs w:val="21"/>
              </w:rPr>
            </w:pPr>
            <w:r w:rsidRPr="00352F94">
              <w:rPr>
                <w:sz w:val="21"/>
                <w:szCs w:val="21"/>
              </w:rPr>
              <w:t>3-120</w:t>
            </w:r>
          </w:p>
        </w:tc>
        <w:tc>
          <w:tcPr>
            <w:tcW w:w="1414" w:type="dxa"/>
            <w:hideMark/>
          </w:tcPr>
          <w:p w14:paraId="557C0DE8" w14:textId="77777777" w:rsidR="00071AB1" w:rsidRPr="00352F94" w:rsidRDefault="00071AB1">
            <w:pPr>
              <w:jc w:val="left"/>
              <w:rPr>
                <w:sz w:val="21"/>
                <w:szCs w:val="21"/>
              </w:rPr>
            </w:pPr>
            <w:r w:rsidRPr="00352F94">
              <w:rPr>
                <w:sz w:val="21"/>
                <w:szCs w:val="21"/>
              </w:rPr>
              <w:t>medium</w:t>
            </w:r>
          </w:p>
        </w:tc>
        <w:tc>
          <w:tcPr>
            <w:tcW w:w="1439" w:type="dxa"/>
            <w:hideMark/>
          </w:tcPr>
          <w:p w14:paraId="132E50D4" w14:textId="77777777" w:rsidR="00071AB1" w:rsidRPr="00352F94" w:rsidRDefault="00071AB1">
            <w:pPr>
              <w:jc w:val="left"/>
              <w:rPr>
                <w:sz w:val="21"/>
                <w:szCs w:val="21"/>
              </w:rPr>
            </w:pPr>
            <w:r w:rsidRPr="00352F94">
              <w:rPr>
                <w:sz w:val="21"/>
                <w:szCs w:val="21"/>
              </w:rPr>
              <w:t>medium</w:t>
            </w:r>
          </w:p>
        </w:tc>
        <w:tc>
          <w:tcPr>
            <w:tcW w:w="1591" w:type="dxa"/>
            <w:hideMark/>
          </w:tcPr>
          <w:p w14:paraId="72DF9CCB" w14:textId="77777777" w:rsidR="00071AB1" w:rsidRPr="00352F94" w:rsidRDefault="00071AB1">
            <w:pPr>
              <w:jc w:val="left"/>
              <w:rPr>
                <w:sz w:val="21"/>
                <w:szCs w:val="21"/>
              </w:rPr>
            </w:pPr>
            <w:r w:rsidRPr="00352F94">
              <w:rPr>
                <w:sz w:val="21"/>
                <w:szCs w:val="21"/>
              </w:rPr>
              <w:t>10,000</w:t>
            </w:r>
          </w:p>
        </w:tc>
      </w:tr>
      <w:tr w:rsidR="00071AB1" w:rsidRPr="00352F94" w14:paraId="4303EF08" w14:textId="77777777" w:rsidTr="006D22F8">
        <w:trPr>
          <w:jc w:val="center"/>
        </w:trPr>
        <w:tc>
          <w:tcPr>
            <w:tcW w:w="2014" w:type="dxa"/>
            <w:hideMark/>
          </w:tcPr>
          <w:p w14:paraId="17A7D640" w14:textId="77777777" w:rsidR="00071AB1" w:rsidRPr="00352F94" w:rsidRDefault="00071AB1">
            <w:r w:rsidRPr="00352F94">
              <w:rPr>
                <w:rFonts w:eastAsia="Times New Roman"/>
              </w:rPr>
              <w:t>High intensity discharge metal halide (HID)</w:t>
            </w:r>
          </w:p>
        </w:tc>
        <w:tc>
          <w:tcPr>
            <w:tcW w:w="1525" w:type="dxa"/>
            <w:hideMark/>
          </w:tcPr>
          <w:p w14:paraId="1CD31CE2" w14:textId="77777777" w:rsidR="00071AB1" w:rsidRPr="00352F94" w:rsidRDefault="00071AB1">
            <w:pPr>
              <w:jc w:val="center"/>
            </w:pPr>
            <w:r w:rsidRPr="00352F94">
              <w:t>60-115</w:t>
            </w:r>
          </w:p>
        </w:tc>
        <w:tc>
          <w:tcPr>
            <w:tcW w:w="1377" w:type="dxa"/>
            <w:hideMark/>
          </w:tcPr>
          <w:p w14:paraId="6A07D674" w14:textId="77777777" w:rsidR="00071AB1" w:rsidRPr="00352F94" w:rsidRDefault="00071AB1">
            <w:pPr>
              <w:jc w:val="center"/>
            </w:pPr>
            <w:r w:rsidRPr="00352F94">
              <w:t>30-2000</w:t>
            </w:r>
          </w:p>
        </w:tc>
        <w:tc>
          <w:tcPr>
            <w:tcW w:w="1414" w:type="dxa"/>
            <w:hideMark/>
          </w:tcPr>
          <w:p w14:paraId="49BAFD80" w14:textId="77777777" w:rsidR="00071AB1" w:rsidRPr="00352F94" w:rsidRDefault="00071AB1">
            <w:pPr>
              <w:jc w:val="left"/>
              <w:rPr>
                <w:sz w:val="18"/>
                <w:szCs w:val="18"/>
              </w:rPr>
            </w:pPr>
            <w:r w:rsidRPr="00352F94">
              <w:rPr>
                <w:sz w:val="18"/>
                <w:szCs w:val="18"/>
              </w:rPr>
              <w:t>high</w:t>
            </w:r>
          </w:p>
        </w:tc>
        <w:tc>
          <w:tcPr>
            <w:tcW w:w="1439" w:type="dxa"/>
            <w:hideMark/>
          </w:tcPr>
          <w:p w14:paraId="259BFDC7" w14:textId="77777777" w:rsidR="00071AB1" w:rsidRPr="00352F94" w:rsidRDefault="00071AB1">
            <w:pPr>
              <w:jc w:val="left"/>
              <w:rPr>
                <w:sz w:val="18"/>
                <w:szCs w:val="18"/>
              </w:rPr>
            </w:pPr>
            <w:r w:rsidRPr="00352F94">
              <w:rPr>
                <w:sz w:val="18"/>
                <w:szCs w:val="18"/>
              </w:rPr>
              <w:t>low</w:t>
            </w:r>
          </w:p>
        </w:tc>
        <w:tc>
          <w:tcPr>
            <w:tcW w:w="1591" w:type="dxa"/>
            <w:hideMark/>
          </w:tcPr>
          <w:p w14:paraId="6C6392CF" w14:textId="77777777" w:rsidR="00071AB1" w:rsidRPr="00352F94" w:rsidRDefault="00071AB1">
            <w:pPr>
              <w:jc w:val="left"/>
            </w:pPr>
            <w:r w:rsidRPr="00352F94">
              <w:rPr>
                <w:sz w:val="18"/>
                <w:szCs w:val="18"/>
              </w:rPr>
              <w:t>15,000</w:t>
            </w:r>
          </w:p>
        </w:tc>
      </w:tr>
      <w:tr w:rsidR="00071AB1" w:rsidRPr="00352F94" w14:paraId="1D272B3B" w14:textId="77777777" w:rsidTr="006D22F8">
        <w:trPr>
          <w:jc w:val="center"/>
        </w:trPr>
        <w:tc>
          <w:tcPr>
            <w:tcW w:w="2014" w:type="dxa"/>
            <w:hideMark/>
          </w:tcPr>
          <w:p w14:paraId="08F5EC0A" w14:textId="77777777" w:rsidR="00071AB1" w:rsidRPr="00352F94" w:rsidRDefault="00071AB1">
            <w:pPr>
              <w:rPr>
                <w:rFonts w:eastAsia="Times New Roman"/>
              </w:rPr>
            </w:pPr>
            <w:r w:rsidRPr="00352F94">
              <w:rPr>
                <w:rFonts w:eastAsia="Times New Roman"/>
              </w:rPr>
              <w:t>Low-pressure sodium</w:t>
            </w:r>
          </w:p>
        </w:tc>
        <w:tc>
          <w:tcPr>
            <w:tcW w:w="1525" w:type="dxa"/>
            <w:hideMark/>
          </w:tcPr>
          <w:p w14:paraId="5D6CDED9" w14:textId="77777777" w:rsidR="00071AB1" w:rsidRPr="00352F94" w:rsidRDefault="00071AB1">
            <w:pPr>
              <w:jc w:val="center"/>
            </w:pPr>
            <w:r w:rsidRPr="00352F94">
              <w:t>100-200</w:t>
            </w:r>
          </w:p>
        </w:tc>
        <w:tc>
          <w:tcPr>
            <w:tcW w:w="1377" w:type="dxa"/>
            <w:hideMark/>
          </w:tcPr>
          <w:p w14:paraId="34AE12E9" w14:textId="77777777" w:rsidR="00071AB1" w:rsidRPr="00352F94" w:rsidRDefault="00071AB1">
            <w:pPr>
              <w:jc w:val="center"/>
            </w:pPr>
            <w:r w:rsidRPr="00352F94">
              <w:t>10-180</w:t>
            </w:r>
          </w:p>
        </w:tc>
        <w:tc>
          <w:tcPr>
            <w:tcW w:w="1414" w:type="dxa"/>
            <w:hideMark/>
          </w:tcPr>
          <w:p w14:paraId="15183396" w14:textId="77777777" w:rsidR="00071AB1" w:rsidRPr="00352F94" w:rsidRDefault="00071AB1">
            <w:pPr>
              <w:jc w:val="left"/>
              <w:rPr>
                <w:sz w:val="18"/>
                <w:szCs w:val="18"/>
              </w:rPr>
            </w:pPr>
            <w:r w:rsidRPr="00352F94">
              <w:rPr>
                <w:sz w:val="18"/>
                <w:szCs w:val="18"/>
              </w:rPr>
              <w:t>medium</w:t>
            </w:r>
          </w:p>
        </w:tc>
        <w:tc>
          <w:tcPr>
            <w:tcW w:w="1439" w:type="dxa"/>
            <w:hideMark/>
          </w:tcPr>
          <w:p w14:paraId="5C7FCB25" w14:textId="77777777" w:rsidR="00071AB1" w:rsidRPr="00352F94" w:rsidRDefault="00071AB1">
            <w:pPr>
              <w:jc w:val="left"/>
              <w:rPr>
                <w:sz w:val="18"/>
                <w:szCs w:val="18"/>
              </w:rPr>
            </w:pPr>
            <w:r w:rsidRPr="00352F94">
              <w:rPr>
                <w:sz w:val="18"/>
                <w:szCs w:val="18"/>
              </w:rPr>
              <w:t>low</w:t>
            </w:r>
          </w:p>
        </w:tc>
        <w:tc>
          <w:tcPr>
            <w:tcW w:w="1591" w:type="dxa"/>
            <w:hideMark/>
          </w:tcPr>
          <w:p w14:paraId="2DA1397D" w14:textId="77777777" w:rsidR="00071AB1" w:rsidRPr="00352F94" w:rsidRDefault="00071AB1">
            <w:pPr>
              <w:jc w:val="left"/>
            </w:pPr>
            <w:r w:rsidRPr="00352F94">
              <w:rPr>
                <w:sz w:val="18"/>
                <w:szCs w:val="18"/>
              </w:rPr>
              <w:t>15,000</w:t>
            </w:r>
          </w:p>
        </w:tc>
      </w:tr>
      <w:tr w:rsidR="00071AB1" w:rsidRPr="00352F94" w14:paraId="32094EA9" w14:textId="77777777" w:rsidTr="006D22F8">
        <w:trPr>
          <w:jc w:val="center"/>
        </w:trPr>
        <w:tc>
          <w:tcPr>
            <w:tcW w:w="2014" w:type="dxa"/>
            <w:hideMark/>
          </w:tcPr>
          <w:p w14:paraId="02B24078" w14:textId="77777777" w:rsidR="00071AB1" w:rsidRPr="00352F94" w:rsidRDefault="00071AB1">
            <w:pPr>
              <w:rPr>
                <w:rFonts w:eastAsia="Times New Roman"/>
              </w:rPr>
            </w:pPr>
            <w:r w:rsidRPr="00352F94">
              <w:rPr>
                <w:rFonts w:eastAsia="Times New Roman"/>
              </w:rPr>
              <w:t>High-pressure sodium</w:t>
            </w:r>
          </w:p>
        </w:tc>
        <w:tc>
          <w:tcPr>
            <w:tcW w:w="1525" w:type="dxa"/>
            <w:hideMark/>
          </w:tcPr>
          <w:p w14:paraId="0B5FDA65" w14:textId="77777777" w:rsidR="00071AB1" w:rsidRPr="00352F94" w:rsidRDefault="00071AB1">
            <w:pPr>
              <w:jc w:val="center"/>
            </w:pPr>
            <w:r w:rsidRPr="00352F94">
              <w:t>100-150</w:t>
            </w:r>
          </w:p>
        </w:tc>
        <w:tc>
          <w:tcPr>
            <w:tcW w:w="1377" w:type="dxa"/>
            <w:hideMark/>
          </w:tcPr>
          <w:p w14:paraId="7749FAE7" w14:textId="77777777" w:rsidR="00071AB1" w:rsidRPr="00352F94" w:rsidRDefault="00071AB1">
            <w:pPr>
              <w:jc w:val="center"/>
            </w:pPr>
            <w:r w:rsidRPr="00352F94">
              <w:t>35-1000</w:t>
            </w:r>
          </w:p>
        </w:tc>
        <w:tc>
          <w:tcPr>
            <w:tcW w:w="1414" w:type="dxa"/>
            <w:hideMark/>
          </w:tcPr>
          <w:p w14:paraId="6C2B792D" w14:textId="77777777" w:rsidR="00071AB1" w:rsidRPr="00352F94" w:rsidRDefault="00071AB1">
            <w:pPr>
              <w:jc w:val="left"/>
              <w:rPr>
                <w:sz w:val="18"/>
                <w:szCs w:val="18"/>
              </w:rPr>
            </w:pPr>
            <w:r w:rsidRPr="00352F94">
              <w:rPr>
                <w:sz w:val="18"/>
                <w:szCs w:val="18"/>
              </w:rPr>
              <w:t>high</w:t>
            </w:r>
          </w:p>
        </w:tc>
        <w:tc>
          <w:tcPr>
            <w:tcW w:w="1439" w:type="dxa"/>
            <w:hideMark/>
          </w:tcPr>
          <w:p w14:paraId="5AD49B6C" w14:textId="77777777" w:rsidR="00071AB1" w:rsidRPr="00352F94" w:rsidRDefault="00071AB1">
            <w:pPr>
              <w:jc w:val="left"/>
              <w:rPr>
                <w:sz w:val="18"/>
                <w:szCs w:val="18"/>
              </w:rPr>
            </w:pPr>
            <w:r w:rsidRPr="00352F94">
              <w:rPr>
                <w:sz w:val="18"/>
                <w:szCs w:val="18"/>
              </w:rPr>
              <w:t>low</w:t>
            </w:r>
          </w:p>
        </w:tc>
        <w:tc>
          <w:tcPr>
            <w:tcW w:w="1591" w:type="dxa"/>
            <w:hideMark/>
          </w:tcPr>
          <w:p w14:paraId="295B639D" w14:textId="77777777" w:rsidR="00071AB1" w:rsidRPr="00352F94" w:rsidRDefault="00071AB1">
            <w:pPr>
              <w:jc w:val="left"/>
            </w:pPr>
            <w:r w:rsidRPr="00352F94">
              <w:rPr>
                <w:sz w:val="18"/>
                <w:szCs w:val="18"/>
              </w:rPr>
              <w:t xml:space="preserve">15,000 </w:t>
            </w:r>
          </w:p>
        </w:tc>
      </w:tr>
      <w:tr w:rsidR="00071AB1" w14:paraId="07E00735" w14:textId="77777777" w:rsidTr="006D22F8">
        <w:trPr>
          <w:jc w:val="center"/>
        </w:trPr>
        <w:tc>
          <w:tcPr>
            <w:tcW w:w="2014" w:type="dxa"/>
            <w:hideMark/>
          </w:tcPr>
          <w:p w14:paraId="2A1B6DF5" w14:textId="77777777" w:rsidR="00071AB1" w:rsidRPr="00352F94" w:rsidRDefault="00071AB1">
            <w:r w:rsidRPr="00352F94">
              <w:rPr>
                <w:rFonts w:eastAsia="Times New Roman"/>
              </w:rPr>
              <w:t>LED luminaire with LED lamp</w:t>
            </w:r>
          </w:p>
        </w:tc>
        <w:tc>
          <w:tcPr>
            <w:tcW w:w="1525" w:type="dxa"/>
            <w:hideMark/>
          </w:tcPr>
          <w:p w14:paraId="79560B32" w14:textId="77777777" w:rsidR="00071AB1" w:rsidRPr="00352F94" w:rsidRDefault="00071AB1">
            <w:pPr>
              <w:jc w:val="center"/>
            </w:pPr>
            <w:r w:rsidRPr="00352F94">
              <w:t>80-200</w:t>
            </w:r>
          </w:p>
        </w:tc>
        <w:tc>
          <w:tcPr>
            <w:tcW w:w="1377" w:type="dxa"/>
            <w:hideMark/>
          </w:tcPr>
          <w:p w14:paraId="74F86A08" w14:textId="77777777" w:rsidR="00071AB1" w:rsidRPr="00352F94" w:rsidRDefault="00071AB1">
            <w:pPr>
              <w:jc w:val="center"/>
            </w:pPr>
            <w:r w:rsidRPr="00352F94">
              <w:t>2-20</w:t>
            </w:r>
          </w:p>
        </w:tc>
        <w:tc>
          <w:tcPr>
            <w:tcW w:w="1414" w:type="dxa"/>
            <w:hideMark/>
          </w:tcPr>
          <w:p w14:paraId="7908B242" w14:textId="77777777" w:rsidR="00071AB1" w:rsidRPr="00352F94" w:rsidRDefault="00071AB1">
            <w:pPr>
              <w:jc w:val="left"/>
              <w:rPr>
                <w:sz w:val="18"/>
                <w:szCs w:val="18"/>
              </w:rPr>
            </w:pPr>
            <w:r w:rsidRPr="00352F94">
              <w:rPr>
                <w:sz w:val="18"/>
                <w:szCs w:val="18"/>
              </w:rPr>
              <w:t>medium</w:t>
            </w:r>
          </w:p>
        </w:tc>
        <w:tc>
          <w:tcPr>
            <w:tcW w:w="1439" w:type="dxa"/>
            <w:hideMark/>
          </w:tcPr>
          <w:p w14:paraId="5DAB89D5" w14:textId="77777777" w:rsidR="00071AB1" w:rsidRPr="00352F94" w:rsidRDefault="00071AB1">
            <w:pPr>
              <w:jc w:val="left"/>
              <w:rPr>
                <w:sz w:val="18"/>
                <w:szCs w:val="18"/>
              </w:rPr>
            </w:pPr>
            <w:r w:rsidRPr="00352F94">
              <w:rPr>
                <w:sz w:val="18"/>
                <w:szCs w:val="18"/>
              </w:rPr>
              <w:t>low</w:t>
            </w:r>
          </w:p>
        </w:tc>
        <w:tc>
          <w:tcPr>
            <w:tcW w:w="1591" w:type="dxa"/>
            <w:hideMark/>
          </w:tcPr>
          <w:p w14:paraId="18D393F6" w14:textId="77777777" w:rsidR="00071AB1" w:rsidRDefault="00071AB1">
            <w:pPr>
              <w:jc w:val="left"/>
            </w:pPr>
            <w:r w:rsidRPr="00352F94">
              <w:rPr>
                <w:sz w:val="18"/>
                <w:szCs w:val="18"/>
              </w:rPr>
              <w:t>50,000</w:t>
            </w:r>
          </w:p>
        </w:tc>
      </w:tr>
    </w:tbl>
    <w:p w14:paraId="58D827DE" w14:textId="73571849" w:rsidR="00F52595" w:rsidRPr="000B3EE3" w:rsidRDefault="00F52595" w:rsidP="00EB247F">
      <w:pPr>
        <w:autoSpaceDE w:val="0"/>
        <w:spacing w:after="0"/>
        <w:rPr>
          <w:rFonts w:asciiTheme="majorHAnsi" w:eastAsiaTheme="majorEastAsia" w:hAnsiTheme="majorHAnsi" w:cstheme="majorBidi"/>
          <w:b/>
          <w:bCs/>
          <w:smallCaps/>
          <w:color w:val="000000" w:themeColor="text1"/>
          <w:sz w:val="36"/>
          <w:szCs w:val="36"/>
        </w:rPr>
        <w:sectPr w:rsidR="00F52595" w:rsidRPr="000B3EE3" w:rsidSect="00C44058">
          <w:footerReference w:type="default" r:id="rId15"/>
          <w:pgSz w:w="12240" w:h="15840"/>
          <w:pgMar w:top="1440" w:right="1440" w:bottom="1440" w:left="1440" w:header="720" w:footer="720" w:gutter="0"/>
          <w:pgNumType w:start="1"/>
          <w:cols w:space="720"/>
        </w:sectPr>
      </w:pPr>
    </w:p>
    <w:p w14:paraId="756DEC01" w14:textId="2A9B7491" w:rsidR="00966563" w:rsidRDefault="551A77D0" w:rsidP="00AE749D">
      <w:pPr>
        <w:pStyle w:val="Heading1"/>
      </w:pPr>
      <w:bookmarkStart w:id="51" w:name="_Toc44585074"/>
      <w:r>
        <w:t>Methodology</w:t>
      </w:r>
      <w:bookmarkEnd w:id="51"/>
    </w:p>
    <w:p w14:paraId="567926D6" w14:textId="2E842B8D" w:rsidR="00BD136D" w:rsidRDefault="00686965" w:rsidP="00AE749D">
      <w:pPr>
        <w:pStyle w:val="Heading2"/>
        <w:numPr>
          <w:ilvl w:val="1"/>
          <w:numId w:val="28"/>
        </w:numPr>
      </w:pPr>
      <w:bookmarkStart w:id="52" w:name="_Toc44585075"/>
      <w:r>
        <w:t>Introduction</w:t>
      </w:r>
      <w:bookmarkEnd w:id="52"/>
    </w:p>
    <w:p w14:paraId="093833F7" w14:textId="4AE4E31E" w:rsidR="00FB2C53" w:rsidRDefault="00FB2C53" w:rsidP="00E2109A">
      <w:r w:rsidRPr="001850DC">
        <w:t>Project Drawdown’s models are developed in Microsoft Excel using standard templates that allow easier integration since integration is critical to the bottom-up approach used. The template used for this solution was the Reduction and Replacement Solutions (RRS) which accounts for reductions in energy consumption and emissions generation for a solution relative to a conventional technology. These technologies are assumed to compete in markets to supply the final functional demand which is exogenous to the model, but may be shared across several solution models. The adoption and markets are therefore defined in terms of functional units, and for investment costing, adoptions are also converted to implementation units. The adoptions of both conventional and solution were projected for each of several scenarios from 2015 to 20</w:t>
      </w:r>
      <w:r>
        <w:t>6</w:t>
      </w:r>
      <w:r w:rsidRPr="001850DC">
        <w:t xml:space="preserve">0 </w:t>
      </w:r>
      <w:r>
        <w:t xml:space="preserve">(from a base year of 2014) </w:t>
      </w:r>
      <w:r w:rsidRPr="001850DC">
        <w:t>and the comparison of these scenarios (for the 2020-2050 segment</w:t>
      </w:r>
      <w:r w:rsidR="000E277C" w:rsidRPr="002A01C7">
        <w:rPr>
          <w:vertAlign w:val="superscript"/>
        </w:rPr>
        <w:footnoteReference w:id="1"/>
      </w:r>
      <w:r w:rsidRPr="001850DC">
        <w:t>) is what constituted the results.</w:t>
      </w:r>
    </w:p>
    <w:p w14:paraId="3A691334" w14:textId="3798CB42" w:rsidR="00E2109A" w:rsidRPr="006D22F8" w:rsidRDefault="00E2109A" w:rsidP="00E2109A">
      <w:r w:rsidRPr="006D22F8">
        <w:t>The LED residential lighting</w:t>
      </w:r>
      <w:r w:rsidR="006D22F8" w:rsidRPr="006D22F8">
        <w:t>,</w:t>
      </w:r>
      <w:r w:rsidRPr="006D22F8">
        <w:t xml:space="preserve"> as a solution</w:t>
      </w:r>
      <w:r w:rsidR="006D22F8" w:rsidRPr="006D22F8">
        <w:t>,</w:t>
      </w:r>
      <w:r w:rsidRPr="006D22F8">
        <w:t xml:space="preserve"> is compared to conventional lighting technologies. The conventional lighting technologies include incandescent lamp, halogen lamp, CFL and LFL. Other lighting technologies may </w:t>
      </w:r>
      <w:r w:rsidR="009C5B28" w:rsidRPr="006D22F8">
        <w:t>exist,</w:t>
      </w:r>
      <w:r w:rsidRPr="006D22F8">
        <w:t xml:space="preserve"> but their share of the total global residential lighting is considered to be very low. Only artificial electric grid-based lighting is included in the study. Luminaires (housing) are excluded from the scope of the study. An aggregated conventional technology is generated on the basis of the average luminous and electrical qualities of the conventional technologies and weighted on the basis of their market share.</w:t>
      </w:r>
    </w:p>
    <w:p w14:paraId="6C128C54" w14:textId="76CCF433" w:rsidR="00E2109A" w:rsidRDefault="00E2109A" w:rsidP="00E2109A">
      <w:r w:rsidRPr="006D22F8">
        <w:t xml:space="preserve">The functional unit of the study is </w:t>
      </w:r>
      <w:r w:rsidR="00744004" w:rsidRPr="006D22F8">
        <w:t>P</w:t>
      </w:r>
      <w:r w:rsidRPr="006D22F8">
        <w:t xml:space="preserve">etalumen-hours (Plmh), i.e., </w:t>
      </w:r>
      <w:r w:rsidR="00744004" w:rsidRPr="006D22F8">
        <w:t xml:space="preserve">1 million billion or </w:t>
      </w:r>
      <w:r w:rsidRPr="006D22F8">
        <w:t>10</w:t>
      </w:r>
      <w:r w:rsidRPr="006D22F8">
        <w:rPr>
          <w:vertAlign w:val="superscript"/>
        </w:rPr>
        <w:t>15</w:t>
      </w:r>
      <w:r w:rsidRPr="006D22F8">
        <w:t xml:space="preserve"> lumen-hours,</w:t>
      </w:r>
      <w:r w:rsidRPr="009C4FBA">
        <w:t xml:space="preserve"> where the installed luminous flux of all electric light sources and the annual operating time in residential buildings are taken into account. The implementation</w:t>
      </w:r>
      <w:r w:rsidRPr="00BC3568">
        <w:t xml:space="preserve"> unit is Plm corresponding to the luminous flux of installed base of all lighting technologies</w:t>
      </w:r>
      <w:r>
        <w:t xml:space="preserve"> in residential buildings</w:t>
      </w:r>
      <w:r w:rsidRPr="00BC3568">
        <w:t>.</w:t>
      </w:r>
    </w:p>
    <w:p w14:paraId="298F46AB" w14:textId="77D2EDC4" w:rsidR="00F52595" w:rsidRDefault="00686965" w:rsidP="00483FFA">
      <w:pPr>
        <w:pStyle w:val="Heading2"/>
      </w:pPr>
      <w:bookmarkStart w:id="53" w:name="_Toc9619509"/>
      <w:bookmarkStart w:id="54" w:name="_Toc9619605"/>
      <w:bookmarkStart w:id="55" w:name="_Toc9619679"/>
      <w:bookmarkStart w:id="56" w:name="_Toc9619510"/>
      <w:bookmarkStart w:id="57" w:name="_Toc9619606"/>
      <w:bookmarkStart w:id="58" w:name="_Toc9619680"/>
      <w:bookmarkStart w:id="59" w:name="_Toc44585076"/>
      <w:bookmarkEnd w:id="53"/>
      <w:bookmarkEnd w:id="54"/>
      <w:bookmarkEnd w:id="55"/>
      <w:bookmarkEnd w:id="56"/>
      <w:bookmarkEnd w:id="57"/>
      <w:bookmarkEnd w:id="58"/>
      <w:r>
        <w:t>Data Sources</w:t>
      </w:r>
      <w:bookmarkEnd w:id="59"/>
    </w:p>
    <w:p w14:paraId="635E290B" w14:textId="0F39C374" w:rsidR="00E2109A" w:rsidRPr="006D22F8" w:rsidRDefault="00E2109A" w:rsidP="00E2109A">
      <w:r w:rsidRPr="00E2109A">
        <w:t>One of the main data sources is the Light’s Labour’s Lost book by IEA published in 2006</w:t>
      </w:r>
      <w:r w:rsidR="00381511" w:rsidRPr="007021EE">
        <w:rPr>
          <w:rStyle w:val="FootnoteReference"/>
        </w:rPr>
        <w:footnoteReference w:id="2"/>
      </w:r>
      <w:r w:rsidRPr="00E2109A">
        <w:t xml:space="preserve">. In the course of the data collection, it became very clear that it is the book to </w:t>
      </w:r>
      <w:r w:rsidRPr="006D22F8">
        <w:t xml:space="preserve">which most of the scientific articles as well as the gray literature on lighting refer. It is acknowledged that the data is </w:t>
      </w:r>
      <w:r w:rsidR="009C4FBA" w:rsidRPr="006D22F8">
        <w:t>over</w:t>
      </w:r>
      <w:r w:rsidRPr="006D22F8">
        <w:t xml:space="preserve"> 10 years old and that it does not consider LED lighting to have great penetration rates. </w:t>
      </w:r>
      <w:r w:rsidR="009C4FBA" w:rsidRPr="006D22F8">
        <w:t>I</w:t>
      </w:r>
      <w:r w:rsidRPr="006D22F8">
        <w:t>n 2006, LED lighting products were very expensive and poor-performing. Hence, the IEA book from 2006 is used as a source of data for the TAM data only for 2005 and the regional light consumption data for 2005. These data are used as the basis for the regional and global TAM, while the growth rate of TAM is estimated on the basis of GDP per capita from the year 2005 level. The IEA book provides also an estimate for the Plmh global consumption assuming a current policy scenario in 2030 but this is not used in the calculations.</w:t>
      </w:r>
    </w:p>
    <w:p w14:paraId="71F872EF" w14:textId="4252850B" w:rsidR="00E2109A" w:rsidRPr="00E2109A" w:rsidRDefault="00E2109A" w:rsidP="00E2109A">
      <w:r w:rsidRPr="006D22F8">
        <w:t>The adoption scenarios were found for OECD and non-OECD regions in Bergesen et al., as well as the adoption data for US</w:t>
      </w:r>
      <w:r w:rsidRPr="006D22F8">
        <w:rPr>
          <w:rStyle w:val="FootnoteReference"/>
        </w:rPr>
        <w:footnoteReference w:id="3"/>
      </w:r>
      <w:r w:rsidRPr="006D22F8">
        <w:t xml:space="preserve"> and EU</w:t>
      </w:r>
      <w:r w:rsidRPr="006D22F8">
        <w:rPr>
          <w:rStyle w:val="FootnoteReference"/>
        </w:rPr>
        <w:footnoteReference w:id="4"/>
      </w:r>
      <w:r w:rsidRPr="006D22F8">
        <w:t>. The OECD and non-OECD adoption scenarios are estimated on the basis of percentage shares of TAM</w:t>
      </w:r>
      <w:r w:rsidR="009C4FBA" w:rsidRPr="006D22F8">
        <w:t>.</w:t>
      </w:r>
      <w:r w:rsidRPr="006D22F8">
        <w:t xml:space="preserve"> The OECD and non-OECD estimates are same for residential lighting, except for 2010 estimate (1% and 0% adoption, respectively). These are </w:t>
      </w:r>
      <w:r w:rsidR="002B08CF" w:rsidRPr="006D22F8">
        <w:t>combined,</w:t>
      </w:r>
      <w:r w:rsidRPr="006D22F8">
        <w:t xml:space="preserve"> and OECD data is used also in non-OECD regions</w:t>
      </w:r>
      <w:r w:rsidRPr="006D22F8">
        <w:rPr>
          <w:rStyle w:val="FootnoteReference"/>
          <w:bCs/>
        </w:rPr>
        <w:footnoteReference w:id="5"/>
      </w:r>
      <w:r w:rsidRPr="006D22F8">
        <w:t>. Both likely (conservative) and high-LED adoption scenarios are included. It is estimated that currently, the high-LED penetration scenario is actually more likely considering the forecasts of LED market shares. Bergesen et al. presented also a no change scenario but due to the promising</w:t>
      </w:r>
      <w:r w:rsidRPr="00E2109A">
        <w:t xml:space="preserve"> price and efficacy development, the conservative and high LED penetration scenarios are chosen for the study. The conservative scenario may be excluded. The lamp data is gathered from several sources both gray literature and scientific literature for the lamp characteristics, such as </w:t>
      </w:r>
      <w:r w:rsidR="007D030E" w:rsidRPr="00E2109A">
        <w:t>luminous efficacy and life</w:t>
      </w:r>
      <w:r w:rsidR="007D030E" w:rsidRPr="007021EE">
        <w:rPr>
          <w:rStyle w:val="FootnoteReference"/>
        </w:rPr>
        <w:footnoteReference w:id="6"/>
      </w:r>
      <w:r w:rsidR="007D030E" w:rsidRPr="00E2109A">
        <w:t>. A handbook by S. Kitsinelis</w:t>
      </w:r>
      <w:r w:rsidR="007D030E" w:rsidRPr="007021EE">
        <w:rPr>
          <w:rStyle w:val="FootnoteReference"/>
        </w:rPr>
        <w:footnoteReference w:id="7"/>
      </w:r>
      <w:r w:rsidR="007D030E" w:rsidRPr="00E2109A">
        <w:t xml:space="preserve"> </w:t>
      </w:r>
      <w:r w:rsidRPr="00E2109A">
        <w:t xml:space="preserve">was used as a reference. </w:t>
      </w:r>
    </w:p>
    <w:p w14:paraId="3F6B79A0" w14:textId="4A9D5B1D" w:rsidR="00DF4904" w:rsidRPr="003203D2" w:rsidRDefault="00686965" w:rsidP="00483FFA">
      <w:pPr>
        <w:pStyle w:val="Heading2"/>
      </w:pPr>
      <w:bookmarkStart w:id="60" w:name="_Toc44585077"/>
      <w:r w:rsidRPr="003203D2">
        <w:t>Total Addressable Market</w:t>
      </w:r>
      <w:bookmarkEnd w:id="60"/>
    </w:p>
    <w:p w14:paraId="0ABAB265" w14:textId="69116937" w:rsidR="00715134" w:rsidRDefault="00715134" w:rsidP="00715134">
      <w:bookmarkStart w:id="61" w:name="_Toc9619513"/>
      <w:bookmarkStart w:id="62" w:name="_Toc9619609"/>
      <w:bookmarkStart w:id="63" w:name="_Toc9619683"/>
      <w:bookmarkStart w:id="64" w:name="_Toc9619514"/>
      <w:bookmarkStart w:id="65" w:name="_Toc9619610"/>
      <w:bookmarkStart w:id="66" w:name="_Toc9619684"/>
      <w:bookmarkStart w:id="67" w:name="_Toc9619515"/>
      <w:bookmarkStart w:id="68" w:name="_Toc9619611"/>
      <w:bookmarkStart w:id="69" w:name="_Toc9619685"/>
      <w:bookmarkStart w:id="70" w:name="_Toc9619516"/>
      <w:bookmarkStart w:id="71" w:name="_Toc9619612"/>
      <w:bookmarkStart w:id="72" w:name="_Toc9619686"/>
      <w:bookmarkStart w:id="73" w:name="_Toc9619517"/>
      <w:bookmarkStart w:id="74" w:name="_Toc9619613"/>
      <w:bookmarkStart w:id="75" w:name="_Toc9619687"/>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t>The Total Addressable Market (TAM) for LED’s is assumed to be the global building lighting demand. The TAM chosen utilizes Project Drawdown’s Integrated Buildings Sector TAM Model which combines estimates of global floor area</w:t>
      </w:r>
      <w:r w:rsidR="00787286">
        <w:t xml:space="preserve"> and lighting intensity across the world. Floor area data come</w:t>
      </w:r>
      <w:r>
        <w:t xml:space="preserve"> from the International Energy Agency (IEA) and Global Building Performance Network (GBPN) </w:t>
      </w:r>
      <w:r w:rsidRPr="00F66A18">
        <w:rPr>
          <w:rFonts w:cs="Times New Roman"/>
        </w:rPr>
        <w:t>(GBPN &amp; Central European University, 2012; IEA, 2013b)</w:t>
      </w:r>
      <w:r w:rsidR="00787286">
        <w:rPr>
          <w:rFonts w:cs="Times New Roman"/>
        </w:rPr>
        <w:t>. Lighting intensity data come from several sources including the IEA (2006) (Lights Labour Lost)</w:t>
      </w:r>
      <w:r>
        <w:t xml:space="preserve">. </w:t>
      </w:r>
      <w:r w:rsidR="001051BD">
        <w:rPr>
          <w:highlight w:val="red"/>
        </w:rPr>
        <w:fldChar w:fldCharType="begin"/>
      </w:r>
      <w:r w:rsidR="001051BD">
        <w:instrText xml:space="preserve"> REF _Ref19190509 \h </w:instrText>
      </w:r>
      <w:r w:rsidR="001051BD">
        <w:rPr>
          <w:highlight w:val="red"/>
        </w:rPr>
      </w:r>
      <w:r w:rsidR="001051BD">
        <w:rPr>
          <w:highlight w:val="red"/>
        </w:rPr>
        <w:fldChar w:fldCharType="separate"/>
      </w:r>
      <w:r w:rsidR="006F1368">
        <w:t xml:space="preserve">Figure </w:t>
      </w:r>
      <w:r w:rsidR="006F1368">
        <w:rPr>
          <w:noProof/>
        </w:rPr>
        <w:t>2</w:t>
      </w:r>
      <w:r w:rsidR="006F1368">
        <w:t>.</w:t>
      </w:r>
      <w:r w:rsidR="006F1368">
        <w:rPr>
          <w:noProof/>
        </w:rPr>
        <w:t>1</w:t>
      </w:r>
      <w:r w:rsidR="001051BD">
        <w:rPr>
          <w:highlight w:val="red"/>
        </w:rPr>
        <w:fldChar w:fldCharType="end"/>
      </w:r>
      <w:r>
        <w:t xml:space="preserve"> represents the growth in the global TAM between 201</w:t>
      </w:r>
      <w:r w:rsidR="00CD2B30">
        <w:t>5</w:t>
      </w:r>
      <w:r>
        <w:t xml:space="preserve"> and 2060. The residential </w:t>
      </w:r>
      <w:r w:rsidR="00216512">
        <w:t>TAM</w:t>
      </w:r>
      <w:r>
        <w:t xml:space="preserve"> is the current focus of th</w:t>
      </w:r>
      <w:r w:rsidR="00216512">
        <w:t>is</w:t>
      </w:r>
      <w:r>
        <w:t xml:space="preserve"> Solution.</w:t>
      </w:r>
    </w:p>
    <w:p w14:paraId="1D659846" w14:textId="77777777" w:rsidR="001051BD" w:rsidRDefault="001051BD" w:rsidP="001051BD">
      <w:pPr>
        <w:keepNext/>
      </w:pPr>
      <w:r>
        <w:rPr>
          <w:noProof/>
        </w:rPr>
        <w:drawing>
          <wp:inline distT="0" distB="0" distL="0" distR="0" wp14:anchorId="489784FF" wp14:editId="3E28BD1D">
            <wp:extent cx="5578475" cy="301752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8475" cy="3017520"/>
                    </a:xfrm>
                    <a:prstGeom prst="rect">
                      <a:avLst/>
                    </a:prstGeom>
                    <a:noFill/>
                  </pic:spPr>
                </pic:pic>
              </a:graphicData>
            </a:graphic>
          </wp:inline>
        </w:drawing>
      </w:r>
    </w:p>
    <w:p w14:paraId="74A01B16" w14:textId="2DDF3713" w:rsidR="001051BD" w:rsidRDefault="001051BD" w:rsidP="001051BD">
      <w:pPr>
        <w:pStyle w:val="Caption"/>
        <w:jc w:val="center"/>
      </w:pPr>
      <w:bookmarkStart w:id="76" w:name="_Ref19190509"/>
      <w:bookmarkStart w:id="77" w:name="_Toc44585097"/>
      <w:bookmarkStart w:id="78" w:name="_Hlk19190482"/>
      <w:r>
        <w:t xml:space="preserve">Figure </w:t>
      </w:r>
      <w:r w:rsidR="009A3D28">
        <w:rPr>
          <w:noProof/>
        </w:rPr>
        <w:fldChar w:fldCharType="begin"/>
      </w:r>
      <w:r w:rsidR="009A3D28">
        <w:rPr>
          <w:noProof/>
        </w:rPr>
        <w:instrText xml:space="preserve"> STYLEREF 1 \s </w:instrText>
      </w:r>
      <w:r w:rsidR="009A3D28">
        <w:rPr>
          <w:noProof/>
        </w:rPr>
        <w:fldChar w:fldCharType="separate"/>
      </w:r>
      <w:r w:rsidR="006F1368">
        <w:rPr>
          <w:noProof/>
        </w:rPr>
        <w:t>2</w:t>
      </w:r>
      <w:r w:rsidR="009A3D28">
        <w:rPr>
          <w:noProof/>
        </w:rPr>
        <w:fldChar w:fldCharType="end"/>
      </w:r>
      <w:r>
        <w:t>.</w:t>
      </w:r>
      <w:r w:rsidR="009A3D28">
        <w:rPr>
          <w:noProof/>
        </w:rPr>
        <w:fldChar w:fldCharType="begin"/>
      </w:r>
      <w:r w:rsidR="009A3D28">
        <w:rPr>
          <w:noProof/>
        </w:rPr>
        <w:instrText xml:space="preserve"> SEQ Figure \* ARABIC \s 1 </w:instrText>
      </w:r>
      <w:r w:rsidR="009A3D28">
        <w:rPr>
          <w:noProof/>
        </w:rPr>
        <w:fldChar w:fldCharType="separate"/>
      </w:r>
      <w:r w:rsidR="006F1368">
        <w:rPr>
          <w:noProof/>
        </w:rPr>
        <w:t>1</w:t>
      </w:r>
      <w:r w:rsidR="009A3D28">
        <w:rPr>
          <w:noProof/>
        </w:rPr>
        <w:fldChar w:fldCharType="end"/>
      </w:r>
      <w:bookmarkEnd w:id="76"/>
      <w:r>
        <w:t xml:space="preserve"> Lighting TAM for Global Building Stock</w:t>
      </w:r>
      <w:bookmarkEnd w:id="77"/>
    </w:p>
    <w:p w14:paraId="7CC1B1F9" w14:textId="37991F22" w:rsidR="003203D2" w:rsidRPr="003203D2" w:rsidRDefault="00686965" w:rsidP="003203D2">
      <w:pPr>
        <w:pStyle w:val="Heading2"/>
      </w:pPr>
      <w:bookmarkStart w:id="79" w:name="_Toc44585078"/>
      <w:bookmarkEnd w:id="78"/>
      <w:r>
        <w:t>Adoption Scenarios</w:t>
      </w:r>
      <w:bookmarkEnd w:id="79"/>
    </w:p>
    <w:p w14:paraId="6F9FC0E5" w14:textId="592DE00D" w:rsidR="00FB2C53" w:rsidRDefault="00FB2C53" w:rsidP="003203D2">
      <w:bookmarkStart w:id="80" w:name="_Hlk525033174"/>
      <w:r w:rsidRPr="00FA2CC3">
        <w:t xml:space="preserve">Two different types of adoption scenarios were developed: a Reference (REF) Case which was considered the baseline, where not much changes in the world, and a set of Project Drawdown Scenarios (PDS) with varying levels of ambitious adoption of the solution. </w:t>
      </w:r>
      <w:r>
        <w:t>Published results show the comparison of one PDS to the REF, and therefore focus on the change to the world relative to a baseline.</w:t>
      </w:r>
      <w:r w:rsidR="009D7E58" w:rsidRPr="009D7E58">
        <w:rPr>
          <w:bCs/>
        </w:rPr>
        <w:t xml:space="preserve"> </w:t>
      </w:r>
      <w:r w:rsidR="009D7E58" w:rsidRPr="00224361">
        <w:rPr>
          <w:bCs/>
        </w:rPr>
        <w:t>The PDS scenario</w:t>
      </w:r>
      <w:r w:rsidR="009D7E58">
        <w:rPr>
          <w:bCs/>
        </w:rPr>
        <w:t xml:space="preserve">s are </w:t>
      </w:r>
      <w:r w:rsidR="009D7E58" w:rsidRPr="00224361">
        <w:rPr>
          <w:bCs/>
        </w:rPr>
        <w:t>in case of LED lighting actually the most likely scenario, while REF is more like a “no change” scenario.</w:t>
      </w:r>
    </w:p>
    <w:p w14:paraId="5A320821" w14:textId="591C9791" w:rsidR="00E2109A" w:rsidRPr="00224361" w:rsidRDefault="00E2109A" w:rsidP="00FB2C53">
      <w:pPr>
        <w:rPr>
          <w:bCs/>
        </w:rPr>
      </w:pPr>
      <w:r>
        <w:rPr>
          <w:bCs/>
        </w:rPr>
        <w:t xml:space="preserve">The </w:t>
      </w:r>
      <w:r w:rsidR="001A4AD6">
        <w:rPr>
          <w:bCs/>
        </w:rPr>
        <w:t xml:space="preserve">potential </w:t>
      </w:r>
      <w:r>
        <w:rPr>
          <w:bCs/>
        </w:rPr>
        <w:t xml:space="preserve">adoption of LED lighting is estimated to be high (90%) in </w:t>
      </w:r>
      <w:r w:rsidR="00C72A90">
        <w:rPr>
          <w:bCs/>
        </w:rPr>
        <w:t>2050</w:t>
      </w:r>
      <w:r>
        <w:rPr>
          <w:bCs/>
        </w:rPr>
        <w:t>, while in 2014 the global adoption was only approximately 3</w:t>
      </w:r>
      <w:r w:rsidR="001B2805">
        <w:rPr>
          <w:bCs/>
        </w:rPr>
        <w:t>%</w:t>
      </w:r>
      <w:r>
        <w:rPr>
          <w:bCs/>
        </w:rPr>
        <w:t xml:space="preserve"> of the </w:t>
      </w:r>
      <w:r w:rsidR="00082EC6">
        <w:rPr>
          <w:bCs/>
        </w:rPr>
        <w:t>demand</w:t>
      </w:r>
      <w:r w:rsidR="007D030E" w:rsidRPr="007021EE">
        <w:rPr>
          <w:rStyle w:val="FootnoteReference"/>
        </w:rPr>
        <w:footnoteReference w:id="8"/>
      </w:r>
      <w:r>
        <w:rPr>
          <w:bCs/>
        </w:rPr>
        <w:t>. It was difficult to gather data on LED lighting adoption in residential buildings</w:t>
      </w:r>
      <w:r w:rsidRPr="00224361">
        <w:rPr>
          <w:bCs/>
        </w:rPr>
        <w:t>. There were only very few data sources and only one that was expressed directly in lumen-</w:t>
      </w:r>
      <w:r w:rsidR="009C5B28" w:rsidRPr="00224361">
        <w:rPr>
          <w:bCs/>
        </w:rPr>
        <w:t>hours,</w:t>
      </w:r>
      <w:r w:rsidRPr="00224361">
        <w:rPr>
          <w:bCs/>
        </w:rPr>
        <w:t xml:space="preserve"> but that data point was 0 lmh for 2010</w:t>
      </w:r>
      <w:r w:rsidR="007D030E" w:rsidRPr="00224361">
        <w:rPr>
          <w:rStyle w:val="FootnoteReference"/>
        </w:rPr>
        <w:footnoteReference w:id="9"/>
      </w:r>
      <w:r w:rsidRPr="00224361">
        <w:rPr>
          <w:bCs/>
        </w:rPr>
        <w:t xml:space="preserve">. All other adoption data was converted as a share (%) from the total (residential) lighting market. </w:t>
      </w:r>
    </w:p>
    <w:p w14:paraId="5BB095A5" w14:textId="4E65F519" w:rsidR="000875B5" w:rsidRPr="00224361" w:rsidRDefault="000875B5" w:rsidP="005D49A8">
      <w:pPr>
        <w:pStyle w:val="Heading3"/>
      </w:pPr>
      <w:bookmarkStart w:id="81" w:name="_Toc44585079"/>
      <w:bookmarkEnd w:id="80"/>
      <w:r w:rsidRPr="00224361">
        <w:t>Reference Case / Current Adoption</w:t>
      </w:r>
      <w:bookmarkEnd w:id="81"/>
    </w:p>
    <w:p w14:paraId="38788E75" w14:textId="38EF7788" w:rsidR="00A80555" w:rsidRPr="00224361" w:rsidRDefault="00082EC6" w:rsidP="00A80555">
      <w:r w:rsidRPr="00224361">
        <w:rPr>
          <w:bCs/>
        </w:rPr>
        <w:t xml:space="preserve">In the reference case (REF), the LED adoption share in </w:t>
      </w:r>
      <w:r w:rsidR="009D7E58">
        <w:rPr>
          <w:bCs/>
        </w:rPr>
        <w:t>percent</w:t>
      </w:r>
      <w:r w:rsidRPr="00224361">
        <w:rPr>
          <w:bCs/>
        </w:rPr>
        <w:t xml:space="preserve"> remains the same.</w:t>
      </w:r>
    </w:p>
    <w:p w14:paraId="2FE0BC9D" w14:textId="10096525" w:rsidR="000875B5" w:rsidRPr="00224361" w:rsidRDefault="00D2050B" w:rsidP="005D49A8">
      <w:pPr>
        <w:pStyle w:val="Heading3"/>
      </w:pPr>
      <w:bookmarkStart w:id="82" w:name="_Toc44585080"/>
      <w:r w:rsidRPr="00224361">
        <w:t>Project Drawdown</w:t>
      </w:r>
      <w:r w:rsidR="000875B5" w:rsidRPr="00224361">
        <w:t xml:space="preserve"> Scenarios</w:t>
      </w:r>
      <w:bookmarkEnd w:id="82"/>
    </w:p>
    <w:p w14:paraId="006DA369" w14:textId="218DD299" w:rsidR="005A6986" w:rsidRPr="005A6986" w:rsidRDefault="000875B5" w:rsidP="004B4939">
      <w:r w:rsidRPr="00224361">
        <w:t>Three Project Dr</w:t>
      </w:r>
      <w:r w:rsidR="005A6986" w:rsidRPr="00224361">
        <w:t xml:space="preserve">awdown </w:t>
      </w:r>
      <w:r w:rsidR="007546C9" w:rsidRPr="00224361">
        <w:t xml:space="preserve">scenarios (PDS) </w:t>
      </w:r>
      <w:r w:rsidR="005A6986" w:rsidRPr="00224361">
        <w:t>were developed for each solution, to compare the impact of an increase</w:t>
      </w:r>
      <w:r w:rsidR="00AC493E" w:rsidRPr="00224361">
        <w:t>d</w:t>
      </w:r>
      <w:r w:rsidR="005A6986" w:rsidRPr="00224361">
        <w:t xml:space="preserve"> adoption of the solution to a reference case scenario</w:t>
      </w:r>
      <w:r w:rsidR="008E6B1D" w:rsidRPr="00224361">
        <w:t>, being:</w:t>
      </w:r>
    </w:p>
    <w:p w14:paraId="2218C2E7" w14:textId="1048AC2A" w:rsidR="004A5208" w:rsidRDefault="004A5208" w:rsidP="008F0AA6">
      <w:pPr>
        <w:pStyle w:val="Heading4"/>
      </w:pPr>
      <w:r>
        <w:t>Plausible Scenario</w:t>
      </w:r>
    </w:p>
    <w:p w14:paraId="724BD4CF" w14:textId="4F018FB6" w:rsidR="008B6A3F" w:rsidRPr="008B6A3F" w:rsidRDefault="00D51634" w:rsidP="008B6A3F">
      <w:r>
        <w:t>Uses</w:t>
      </w:r>
      <w:r w:rsidRPr="00BA5FF5">
        <w:t xml:space="preserve"> the average of published adoption projections from several sources and use the average energy efficiency</w:t>
      </w:r>
      <w:r>
        <w:t xml:space="preserve"> and a linear growth adoption to 90% of the TAM.</w:t>
      </w:r>
    </w:p>
    <w:p w14:paraId="0A63923E" w14:textId="7DC3AB54" w:rsidR="00AC493E" w:rsidRDefault="00AC493E" w:rsidP="004B4939">
      <w:pPr>
        <w:pStyle w:val="Heading4"/>
        <w:rPr>
          <w:rFonts w:ascii="Times New Roman" w:eastAsiaTheme="minorEastAsia" w:hAnsi="Times New Roman" w:cstheme="minorBidi"/>
          <w:b w:val="0"/>
          <w:bCs w:val="0"/>
          <w:i w:val="0"/>
          <w:iCs w:val="0"/>
          <w:color w:val="auto"/>
          <w:highlight w:val="yellow"/>
        </w:rPr>
      </w:pPr>
      <w:bookmarkStart w:id="83" w:name="_Toc507486010"/>
      <w:r w:rsidRPr="004B4939">
        <w:t>Drawdown Scenario</w:t>
      </w:r>
      <w:bookmarkEnd w:id="83"/>
    </w:p>
    <w:p w14:paraId="75BCC3C6" w14:textId="50E287DE" w:rsidR="008B6A3F" w:rsidRPr="008B6A3F" w:rsidRDefault="00D51634" w:rsidP="008B6A3F">
      <w:r w:rsidRPr="00D51634">
        <w:t xml:space="preserve"> </w:t>
      </w:r>
      <w:r>
        <w:t>Used</w:t>
      </w:r>
      <w:r w:rsidRPr="00402E23">
        <w:t xml:space="preserve"> the average Energy Efficiency. </w:t>
      </w:r>
      <w:r>
        <w:t>Assumes a linear</w:t>
      </w:r>
      <w:r w:rsidRPr="00402E23">
        <w:t xml:space="preserve"> grow</w:t>
      </w:r>
      <w:r>
        <w:t>th in adoption</w:t>
      </w:r>
      <w:r w:rsidRPr="00402E23">
        <w:t xml:space="preserve"> to 9</w:t>
      </w:r>
      <w:r>
        <w:t>5</w:t>
      </w:r>
      <w:r w:rsidRPr="00402E23">
        <w:t>% of the TAM</w:t>
      </w:r>
    </w:p>
    <w:p w14:paraId="44394CFA" w14:textId="1B308CE7" w:rsidR="004A5208" w:rsidRDefault="004A5208" w:rsidP="008F0AA6">
      <w:pPr>
        <w:pStyle w:val="Heading4"/>
      </w:pPr>
      <w:r>
        <w:t>Optimum Scenario</w:t>
      </w:r>
    </w:p>
    <w:p w14:paraId="3F07C65D" w14:textId="20087C1D" w:rsidR="00082EC6" w:rsidRPr="00C644FD" w:rsidRDefault="00D51634" w:rsidP="008F0AA6">
      <w:r>
        <w:t>Uses</w:t>
      </w:r>
      <w:r w:rsidRPr="00402E23">
        <w:t xml:space="preserve"> the average energy efficiency. </w:t>
      </w:r>
      <w:r>
        <w:t>A</w:t>
      </w:r>
      <w:r w:rsidRPr="00402E23">
        <w:t>ssume</w:t>
      </w:r>
      <w:r>
        <w:t>s</w:t>
      </w:r>
      <w:r w:rsidRPr="00402E23">
        <w:t xml:space="preserve"> a linear growth in adoption to </w:t>
      </w:r>
      <w:r>
        <w:t>100</w:t>
      </w:r>
      <w:r w:rsidRPr="00402E23">
        <w:t>% of the TAM.</w:t>
      </w:r>
    </w:p>
    <w:p w14:paraId="5B61B0F2" w14:textId="3554DF61" w:rsidR="00FB2C53" w:rsidRPr="00FB2C53" w:rsidRDefault="00082EC6" w:rsidP="008F0AA6">
      <w:pPr>
        <w:pStyle w:val="Heading2"/>
      </w:pPr>
      <w:bookmarkStart w:id="84" w:name="_Toc44585081"/>
      <w:r>
        <w:t>Inputs</w:t>
      </w:r>
      <w:bookmarkEnd w:id="84"/>
    </w:p>
    <w:p w14:paraId="3EBCEF57" w14:textId="477420D0" w:rsidR="00FB3AB3" w:rsidRDefault="00686965" w:rsidP="005D49A8">
      <w:pPr>
        <w:pStyle w:val="Heading3"/>
      </w:pPr>
      <w:bookmarkStart w:id="85" w:name="_Toc44585082"/>
      <w:r>
        <w:t>Climate Inputs</w:t>
      </w:r>
      <w:bookmarkEnd w:id="85"/>
    </w:p>
    <w:p w14:paraId="109459D2" w14:textId="4137CEA5" w:rsidR="005B1139" w:rsidRDefault="005B1139" w:rsidP="005B1139">
      <w:r w:rsidRPr="00C644FD">
        <w:t xml:space="preserve">The GHG emissions are reduced by using LED lighting in residential buildings instead of conventional lighting technologies of lower luminous efficacy. </w:t>
      </w:r>
      <w:r>
        <w:t>The savings in the energy consumption directly reduce</w:t>
      </w:r>
      <w:r w:rsidR="009D7E58">
        <w:t>s</w:t>
      </w:r>
      <w:r>
        <w:t xml:space="preserve"> the GHG emissions. </w:t>
      </w:r>
      <w:r w:rsidR="009D7E58" w:rsidRPr="009D7E58">
        <w:t>Yet, some level of rebound effect can be expected, as the amount of light and the number of light sources are on the increase, but the rebound effect is excluded from the current study. In addition to reducing GHG emissions, LED lighting reduces a number of environmental impacts related to energy consumption (Tähkämö, 2013).</w:t>
      </w:r>
    </w:p>
    <w:p w14:paraId="660A1398" w14:textId="6DC4680E" w:rsidR="00907D18" w:rsidRDefault="00907D18" w:rsidP="00907D18">
      <w:pPr>
        <w:pStyle w:val="Heading4"/>
      </w:pPr>
      <w:r>
        <w:t>Direct Emissions</w:t>
      </w:r>
    </w:p>
    <w:p w14:paraId="26467BBF" w14:textId="7AA8DF5E" w:rsidR="005B1139" w:rsidRDefault="005B1139" w:rsidP="005B1139">
      <w:r>
        <w:t xml:space="preserve">The reduction in </w:t>
      </w:r>
      <w:r w:rsidR="00907D18">
        <w:t>direct</w:t>
      </w:r>
      <w:r>
        <w:t xml:space="preserve"> emissions are calculated by comparing the annual energy consumption (TWh) per functional unit (Plmh) of conventional (aggregated) lighting to the LED lighting solution.</w:t>
      </w:r>
      <w:r w:rsidR="007C7E99">
        <w:t xml:space="preserve"> Energy consumption variables are described in the </w:t>
      </w:r>
      <w:r w:rsidR="007C7E99">
        <w:fldChar w:fldCharType="begin"/>
      </w:r>
      <w:r w:rsidR="007C7E99">
        <w:instrText xml:space="preserve"> REF _Ref536699919 \h </w:instrText>
      </w:r>
      <w:r w:rsidR="007C7E99">
        <w:fldChar w:fldCharType="separate"/>
      </w:r>
      <w:r w:rsidR="006F1368">
        <w:t>Technical Inputs</w:t>
      </w:r>
      <w:r w:rsidR="007C7E99">
        <w:fldChar w:fldCharType="end"/>
      </w:r>
      <w:r w:rsidR="007C7E99">
        <w:t xml:space="preserve"> section.</w:t>
      </w:r>
      <w:r w:rsidR="00D83C91">
        <w:t xml:space="preserve"> </w:t>
      </w:r>
      <w:r w:rsidR="00907D18" w:rsidRPr="00413ACA">
        <w:t xml:space="preserve">To calculate key model results, the model uses reported emissions factors for </w:t>
      </w:r>
      <w:r w:rsidR="00907D18">
        <w:t>the electric grid</w:t>
      </w:r>
      <w:r w:rsidR="00907D18" w:rsidRPr="00413ACA">
        <w:t xml:space="preserve">. Emissions factors for electricity generation are derived from the projected </w:t>
      </w:r>
      <w:r w:rsidR="00907D18">
        <w:t xml:space="preserve">global </w:t>
      </w:r>
      <w:r w:rsidR="00907D18" w:rsidRPr="00413ACA">
        <w:t>energy generation mix from three AMPERE RefPol scenarios in IPCC AR5 model Database (GEM3, IMAGE, MESSAGE) and the IEA’s ETP 6DS scenario.</w:t>
      </w:r>
    </w:p>
    <w:p w14:paraId="31B97090" w14:textId="53279CC8" w:rsidR="007C7E99" w:rsidRDefault="007C7E99" w:rsidP="007C7E99">
      <w:pPr>
        <w:pStyle w:val="Heading4"/>
      </w:pPr>
      <w:r>
        <w:t>Indirect Emissions</w:t>
      </w:r>
    </w:p>
    <w:p w14:paraId="4D1BABB2" w14:textId="393870ED" w:rsidR="005B1139" w:rsidRPr="005B1139" w:rsidRDefault="005B1139" w:rsidP="005B1139">
      <w:r>
        <w:t>Indirect CO</w:t>
      </w:r>
      <w:r w:rsidRPr="007D5EAB">
        <w:rPr>
          <w:vertAlign w:val="subscript"/>
        </w:rPr>
        <w:t>2</w:t>
      </w:r>
      <w:r>
        <w:t xml:space="preserve"> emissions were estimated on the basis of </w:t>
      </w:r>
      <w:r w:rsidR="00962B68">
        <w:t xml:space="preserve">life cycle assessment (LCA) case studies of lighting products found in the literature </w:t>
      </w:r>
      <w:r>
        <w:t>(published 2009-2016)</w:t>
      </w:r>
      <w:r w:rsidR="00962B68">
        <w:t>.</w:t>
      </w:r>
      <w:r>
        <w:t xml:space="preserve"> CO</w:t>
      </w:r>
      <w:r w:rsidRPr="007D5EAB">
        <w:rPr>
          <w:vertAlign w:val="subscript"/>
        </w:rPr>
        <w:t>2</w:t>
      </w:r>
      <w:r w:rsidR="00962B68">
        <w:t xml:space="preserve">e emissions </w:t>
      </w:r>
      <w:r>
        <w:t>for incandescent lamp, halogen lamp, CFL, LFL and LED lamp</w:t>
      </w:r>
      <w:r w:rsidR="00962B68">
        <w:t>s</w:t>
      </w:r>
      <w:r>
        <w:t xml:space="preserve"> were collected from eight LCAs </w:t>
      </w:r>
      <w:r w:rsidR="00115AA5">
        <w:fldChar w:fldCharType="begin"/>
      </w:r>
      <w:r w:rsidR="005B5BA6">
        <w:instrText xml:space="preserve"> ADDIN ZOTERO_ITEM CSL_CITATION {"citationID":"1Lm1xb7r","properties":{"formattedCitation":"(Elijo\\uc0\\u353{}iut\\uc0\\u279{}, Balciukevi\\uc0\\u269{}i\\uc0\\u363{}t\\uc0\\u279{}, &amp; Denafas, 2012)","plainCitation":"(Elijošiutė, Balciukevičiūtė, &amp; Denafas, 2012)","noteIndex":0},"citationItems":[{"id":301,"uris":["http://zotero.org/groups/2241931/items/YPQXJBYC"],"uri":["http://zotero.org/groups/2241931/items/YPQXJBYC"],"itemData":{"id":301,"type":"article-journal","title":"Life Cycle Assessment of Compact Fluorescent and Incandescent Lamps: Comparative Analysis","container-title":"Environmental Research, Engineering and Management","volume":"61","issue":"3","source":"CrossRef","URL":"http://www.erem.ktu.lt/index.php/erem/article/view/2425","DOI":"10.5755/j01.erem.61.3.2425","ISSN":"2029-2139, 1392-1649","note":"reviewed 2016","title-short":"Life Cycle Assessment of Compact Fluorescent and Incandescent Lamps","author":[{"family":"Elijošiutė","given":"Erika"},{"family":"Balciukevičiūtė","given":"Jolita"},{"family":"Denafas","given":"Gintaras"}],"issued":{"date-parts":[["2012"]]},"accessed":{"date-parts":[["2017",3,28]]}}}],"schema":"https://github.com/citation-style-language/schema/raw/master/csl-citation.json"} </w:instrText>
      </w:r>
      <w:r w:rsidR="00115AA5">
        <w:fldChar w:fldCharType="separate"/>
      </w:r>
      <w:r w:rsidR="00D51634" w:rsidRPr="008F0AA6">
        <w:rPr>
          <w:rFonts w:cs="Times New Roman"/>
          <w:szCs w:val="24"/>
        </w:rPr>
        <w:t>(Elijošiutė, Balciukevičiūtė, &amp; Denafas, 2012)</w:t>
      </w:r>
      <w:r w:rsidR="00115AA5">
        <w:fldChar w:fldCharType="end"/>
      </w:r>
      <w:r>
        <w:t>.  The indirect CO</w:t>
      </w:r>
      <w:r w:rsidRPr="007D5EAB">
        <w:rPr>
          <w:vertAlign w:val="subscript"/>
        </w:rPr>
        <w:t>2</w:t>
      </w:r>
      <w:r>
        <w:t xml:space="preserve"> emissions of conventional technologies are weighted on the basis of market shares </w:t>
      </w:r>
      <w:r w:rsidR="00962B68">
        <w:t>from</w:t>
      </w:r>
      <w:r>
        <w:t xml:space="preserve"> McKinsey. The indirect CO2 emissions are calculated as ton of CO2eq. per functional unit (Plmh), as most of the data are provided in a unit of kg CO2 per lmh. As the amount of indirect CO2 is expressed per Plmh, it takes into account the life of the lamps, evening out the differences in the indirect CO2 emissions of conventional and LED lamps.</w:t>
      </w:r>
    </w:p>
    <w:p w14:paraId="67ED68E5" w14:textId="202D3155" w:rsidR="0021082B" w:rsidRPr="00FA5114" w:rsidRDefault="004F5425" w:rsidP="00EB247F">
      <w:pPr>
        <w:pStyle w:val="Caption"/>
        <w:jc w:val="center"/>
        <w:rPr>
          <w:b/>
          <w:bCs/>
          <w:color w:val="000000" w:themeColor="text1"/>
          <w:sz w:val="20"/>
          <w:szCs w:val="20"/>
          <w:lang w:eastAsia="zh-CN"/>
        </w:rPr>
      </w:pPr>
      <w:bookmarkStart w:id="86" w:name="_Toc44585104"/>
      <w:r w:rsidRPr="00FB2C53">
        <w:t xml:space="preserve">Table </w:t>
      </w:r>
      <w:r w:rsidR="00ED272A">
        <w:rPr>
          <w:noProof/>
        </w:rPr>
        <w:fldChar w:fldCharType="begin"/>
      </w:r>
      <w:r w:rsidR="00ED272A">
        <w:rPr>
          <w:noProof/>
        </w:rPr>
        <w:instrText xml:space="preserve"> STYLEREF 1 \s </w:instrText>
      </w:r>
      <w:r w:rsidR="00ED272A">
        <w:rPr>
          <w:noProof/>
        </w:rPr>
        <w:fldChar w:fldCharType="separate"/>
      </w:r>
      <w:r w:rsidR="006F1368">
        <w:rPr>
          <w:noProof/>
        </w:rPr>
        <w:t>2</w:t>
      </w:r>
      <w:r w:rsidR="00ED272A">
        <w:rPr>
          <w:noProof/>
        </w:rPr>
        <w:fldChar w:fldCharType="end"/>
      </w:r>
      <w:r w:rsidR="00E853F6">
        <w:t>.</w:t>
      </w:r>
      <w:r w:rsidR="00ED272A">
        <w:rPr>
          <w:noProof/>
        </w:rPr>
        <w:fldChar w:fldCharType="begin"/>
      </w:r>
      <w:r w:rsidR="00ED272A">
        <w:rPr>
          <w:noProof/>
        </w:rPr>
        <w:instrText xml:space="preserve"> SEQ Table \* ARABIC \s 1 </w:instrText>
      </w:r>
      <w:r w:rsidR="00ED272A">
        <w:rPr>
          <w:noProof/>
        </w:rPr>
        <w:fldChar w:fldCharType="separate"/>
      </w:r>
      <w:r w:rsidR="006F1368">
        <w:rPr>
          <w:noProof/>
        </w:rPr>
        <w:t>1</w:t>
      </w:r>
      <w:r w:rsidR="00ED272A">
        <w:rPr>
          <w:noProof/>
        </w:rPr>
        <w:fldChar w:fldCharType="end"/>
      </w:r>
      <w:r w:rsidRPr="00FB2C53">
        <w:t xml:space="preserve"> Climate Inputs</w:t>
      </w:r>
      <w:bookmarkEnd w:id="86"/>
    </w:p>
    <w:tbl>
      <w:tblPr>
        <w:tblStyle w:val="TableGrid"/>
        <w:tblW w:w="9961" w:type="dxa"/>
        <w:tblLook w:val="04A0" w:firstRow="1" w:lastRow="0" w:firstColumn="1" w:lastColumn="0" w:noHBand="0" w:noVBand="1"/>
      </w:tblPr>
      <w:tblGrid>
        <w:gridCol w:w="1795"/>
        <w:gridCol w:w="1260"/>
        <w:gridCol w:w="1260"/>
        <w:gridCol w:w="3060"/>
        <w:gridCol w:w="1080"/>
        <w:gridCol w:w="1506"/>
      </w:tblGrid>
      <w:tr w:rsidR="003922A1" w:rsidRPr="00FB3AB3" w14:paraId="077EA588" w14:textId="77777777" w:rsidTr="00075983">
        <w:trPr>
          <w:cantSplit/>
          <w:trHeight w:val="393"/>
          <w:tblHeader/>
        </w:trPr>
        <w:tc>
          <w:tcPr>
            <w:tcW w:w="1795" w:type="dxa"/>
            <w:shd w:val="clear" w:color="auto" w:fill="4F81BD" w:themeFill="accent1"/>
            <w:vAlign w:val="center"/>
          </w:tcPr>
          <w:p w14:paraId="19DDFB6D" w14:textId="77777777" w:rsidR="003922A1" w:rsidRPr="00FB649C" w:rsidRDefault="003922A1" w:rsidP="00AD4CF8">
            <w:pPr>
              <w:spacing w:after="180" w:line="240" w:lineRule="auto"/>
              <w:jc w:val="center"/>
              <w:rPr>
                <w:rFonts w:eastAsia="Helvetica,Times New Roman" w:cstheme="minorHAnsi"/>
                <w:b/>
                <w:color w:val="FFFFFF" w:themeColor="background1"/>
                <w:sz w:val="20"/>
                <w:szCs w:val="20"/>
              </w:rPr>
            </w:pPr>
          </w:p>
        </w:tc>
        <w:tc>
          <w:tcPr>
            <w:tcW w:w="1260" w:type="dxa"/>
            <w:shd w:val="clear" w:color="auto" w:fill="4F81BD" w:themeFill="accent1"/>
            <w:vAlign w:val="center"/>
          </w:tcPr>
          <w:p w14:paraId="045E9FB2" w14:textId="6F4F4480" w:rsidR="003922A1" w:rsidRDefault="003922A1" w:rsidP="00AD4CF8">
            <w:pPr>
              <w:spacing w:after="180" w:line="240" w:lineRule="auto"/>
              <w:jc w:val="center"/>
              <w:rPr>
                <w:b/>
                <w:bCs/>
                <w:color w:val="FFFFFF" w:themeColor="background1"/>
                <w:sz w:val="20"/>
                <w:szCs w:val="20"/>
              </w:rPr>
            </w:pPr>
            <w:r>
              <w:rPr>
                <w:b/>
                <w:bCs/>
                <w:color w:val="FFFFFF" w:themeColor="background1"/>
                <w:sz w:val="20"/>
                <w:szCs w:val="20"/>
              </w:rPr>
              <w:t>Units</w:t>
            </w:r>
          </w:p>
        </w:tc>
        <w:tc>
          <w:tcPr>
            <w:tcW w:w="1260" w:type="dxa"/>
            <w:shd w:val="clear" w:color="auto" w:fill="4F81BD" w:themeFill="accent1"/>
            <w:vAlign w:val="center"/>
          </w:tcPr>
          <w:p w14:paraId="74033D17" w14:textId="4591C5D0" w:rsidR="003922A1" w:rsidRPr="00FB649C" w:rsidRDefault="003922A1" w:rsidP="00AD4CF8">
            <w:pPr>
              <w:spacing w:after="180" w:line="240" w:lineRule="auto"/>
              <w:jc w:val="center"/>
              <w:rPr>
                <w:b/>
                <w:bCs/>
                <w:color w:val="FFFFFF" w:themeColor="background1"/>
                <w:sz w:val="20"/>
                <w:szCs w:val="20"/>
              </w:rPr>
            </w:pPr>
            <w:r>
              <w:rPr>
                <w:b/>
                <w:bCs/>
                <w:color w:val="FFFFFF" w:themeColor="background1"/>
                <w:sz w:val="20"/>
                <w:szCs w:val="20"/>
              </w:rPr>
              <w:t>Project Drawdown Data Set Range</w:t>
            </w:r>
          </w:p>
        </w:tc>
        <w:tc>
          <w:tcPr>
            <w:tcW w:w="3060" w:type="dxa"/>
            <w:shd w:val="clear" w:color="auto" w:fill="4F81BD" w:themeFill="accent1"/>
            <w:vAlign w:val="center"/>
          </w:tcPr>
          <w:p w14:paraId="5E5C518A" w14:textId="65C370A6" w:rsidR="003922A1" w:rsidRPr="00FB649C" w:rsidRDefault="003922A1" w:rsidP="00AD4CF8">
            <w:pPr>
              <w:spacing w:after="180" w:line="240" w:lineRule="auto"/>
              <w:jc w:val="center"/>
              <w:rPr>
                <w:b/>
                <w:bCs/>
                <w:color w:val="FFFFFF" w:themeColor="background1"/>
                <w:sz w:val="20"/>
                <w:szCs w:val="20"/>
              </w:rPr>
            </w:pPr>
            <w:r w:rsidRPr="00FB649C">
              <w:rPr>
                <w:b/>
                <w:bCs/>
                <w:color w:val="FFFFFF" w:themeColor="background1"/>
                <w:sz w:val="20"/>
                <w:szCs w:val="20"/>
              </w:rPr>
              <w:t>Model Input</w:t>
            </w:r>
          </w:p>
        </w:tc>
        <w:tc>
          <w:tcPr>
            <w:tcW w:w="1080" w:type="dxa"/>
            <w:shd w:val="clear" w:color="auto" w:fill="4F81BD" w:themeFill="accent1"/>
            <w:vAlign w:val="center"/>
          </w:tcPr>
          <w:p w14:paraId="16B1096E" w14:textId="5F2632DD" w:rsidR="003922A1" w:rsidRPr="00FB649C" w:rsidRDefault="003922A1" w:rsidP="00AD4CF8">
            <w:pPr>
              <w:spacing w:after="180" w:line="240" w:lineRule="auto"/>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06" w:type="dxa"/>
            <w:shd w:val="clear" w:color="auto" w:fill="4F81BD" w:themeFill="accent1"/>
            <w:vAlign w:val="center"/>
          </w:tcPr>
          <w:p w14:paraId="20C382D3" w14:textId="577A2C8A" w:rsidR="003922A1" w:rsidRPr="00FB649C" w:rsidRDefault="003922A1" w:rsidP="00AD4CF8">
            <w:pPr>
              <w:spacing w:after="180" w:line="240" w:lineRule="auto"/>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DD01E3" w:rsidRPr="007C7E99" w14:paraId="2A24A00A" w14:textId="77777777" w:rsidTr="00075983">
        <w:trPr>
          <w:trHeight w:val="508"/>
        </w:trPr>
        <w:tc>
          <w:tcPr>
            <w:tcW w:w="1795" w:type="dxa"/>
            <w:vAlign w:val="center"/>
          </w:tcPr>
          <w:p w14:paraId="4F2A39BC" w14:textId="40BAF4B7" w:rsidR="00DD01E3" w:rsidRPr="004C1EAD" w:rsidRDefault="00DD01E3" w:rsidP="00DD01E3">
            <w:pPr>
              <w:spacing w:after="180" w:line="240" w:lineRule="auto"/>
              <w:jc w:val="center"/>
              <w:rPr>
                <w:rFonts w:eastAsia="Helvetica,Times New Roman" w:cstheme="minorHAnsi"/>
                <w:color w:val="000000" w:themeColor="text1"/>
                <w:szCs w:val="21"/>
                <w:highlight w:val="yellow"/>
              </w:rPr>
            </w:pPr>
            <w:r w:rsidRPr="004C1EAD">
              <w:rPr>
                <w:szCs w:val="21"/>
              </w:rPr>
              <w:t>Global average REF Grid Emissions Factor</w:t>
            </w:r>
          </w:p>
        </w:tc>
        <w:tc>
          <w:tcPr>
            <w:tcW w:w="1260" w:type="dxa"/>
            <w:shd w:val="clear" w:color="auto" w:fill="auto"/>
            <w:vAlign w:val="center"/>
          </w:tcPr>
          <w:p w14:paraId="48D37B75" w14:textId="6454755D" w:rsidR="00DD01E3" w:rsidRPr="004C1EAD" w:rsidRDefault="00DD01E3" w:rsidP="00DD01E3">
            <w:pPr>
              <w:spacing w:after="180" w:line="240" w:lineRule="auto"/>
              <w:jc w:val="center"/>
              <w:rPr>
                <w:rFonts w:eastAsia="Helvetica,Times New Roman" w:cstheme="minorHAnsi"/>
                <w:i/>
                <w:szCs w:val="21"/>
                <w:highlight w:val="yellow"/>
              </w:rPr>
            </w:pPr>
            <w:r w:rsidRPr="004C1EAD">
              <w:rPr>
                <w:i/>
                <w:szCs w:val="21"/>
              </w:rPr>
              <w:t>g CO</w:t>
            </w:r>
            <w:r w:rsidRPr="004C1EAD">
              <w:rPr>
                <w:i/>
                <w:szCs w:val="21"/>
                <w:vertAlign w:val="subscript"/>
              </w:rPr>
              <w:t>2</w:t>
            </w:r>
            <w:r w:rsidRPr="004C1EAD">
              <w:rPr>
                <w:i/>
                <w:szCs w:val="21"/>
              </w:rPr>
              <w:t>e/ kWh</w:t>
            </w:r>
          </w:p>
        </w:tc>
        <w:tc>
          <w:tcPr>
            <w:tcW w:w="1260" w:type="dxa"/>
            <w:vAlign w:val="center"/>
          </w:tcPr>
          <w:p w14:paraId="21F5B106" w14:textId="081D44CC" w:rsidR="00DD01E3" w:rsidRPr="004C1EAD" w:rsidRDefault="00DD01E3" w:rsidP="00DD01E3">
            <w:pPr>
              <w:spacing w:after="180" w:line="240" w:lineRule="auto"/>
              <w:jc w:val="center"/>
              <w:rPr>
                <w:rFonts w:eastAsia="Helvetica,Times New Roman" w:cstheme="minorHAnsi"/>
                <w:color w:val="000000" w:themeColor="text1"/>
                <w:szCs w:val="21"/>
                <w:highlight w:val="yellow"/>
              </w:rPr>
            </w:pPr>
            <w:r>
              <w:t>503</w:t>
            </w:r>
            <w:r w:rsidRPr="000A20C1">
              <w:t>-</w:t>
            </w:r>
            <w:r>
              <w:t>593</w:t>
            </w:r>
          </w:p>
        </w:tc>
        <w:tc>
          <w:tcPr>
            <w:tcW w:w="3060" w:type="dxa"/>
            <w:vAlign w:val="center"/>
          </w:tcPr>
          <w:p w14:paraId="11E87B1E" w14:textId="1AE35134" w:rsidR="00DD01E3" w:rsidRPr="004C1EAD" w:rsidRDefault="00DD01E3" w:rsidP="00DD01E3">
            <w:pPr>
              <w:spacing w:after="180" w:line="240" w:lineRule="auto"/>
              <w:jc w:val="center"/>
              <w:rPr>
                <w:rFonts w:eastAsia="Helvetica,Times New Roman" w:cstheme="minorHAnsi"/>
                <w:color w:val="000000" w:themeColor="text1"/>
                <w:szCs w:val="21"/>
                <w:highlight w:val="yellow"/>
              </w:rPr>
            </w:pPr>
            <w:r w:rsidRPr="000A20C1">
              <w:t>Depends on year. Starts at High Input in 2020 declines to Low Input in 2050</w:t>
            </w:r>
            <w:r>
              <w:t xml:space="preserve"> to represent the decarbonization of the grid in the reference.</w:t>
            </w:r>
          </w:p>
        </w:tc>
        <w:tc>
          <w:tcPr>
            <w:tcW w:w="1080" w:type="dxa"/>
            <w:vAlign w:val="center"/>
          </w:tcPr>
          <w:p w14:paraId="1EC7EFEA" w14:textId="532FCA13" w:rsidR="00DD01E3" w:rsidRPr="004C1EAD" w:rsidRDefault="00DD01E3" w:rsidP="00DD01E3">
            <w:pPr>
              <w:spacing w:after="180" w:line="240" w:lineRule="auto"/>
              <w:jc w:val="center"/>
              <w:rPr>
                <w:rFonts w:eastAsia="Helvetica,Times New Roman" w:cstheme="minorHAnsi"/>
                <w:color w:val="000000" w:themeColor="text1"/>
                <w:szCs w:val="21"/>
                <w:highlight w:val="yellow"/>
              </w:rPr>
            </w:pPr>
            <w:r w:rsidRPr="004C1EAD">
              <w:rPr>
                <w:szCs w:val="21"/>
              </w:rPr>
              <w:t>12 each year</w:t>
            </w:r>
          </w:p>
        </w:tc>
        <w:tc>
          <w:tcPr>
            <w:tcW w:w="1506" w:type="dxa"/>
            <w:vAlign w:val="center"/>
          </w:tcPr>
          <w:p w14:paraId="774B9874" w14:textId="6B682EF7" w:rsidR="00DD01E3" w:rsidRPr="004C1EAD" w:rsidRDefault="00DD01E3" w:rsidP="00DD01E3">
            <w:pPr>
              <w:spacing w:after="180" w:line="240" w:lineRule="auto"/>
              <w:jc w:val="center"/>
              <w:rPr>
                <w:rFonts w:eastAsia="Helvetica,Times New Roman" w:cstheme="minorHAnsi"/>
                <w:color w:val="000000" w:themeColor="text1"/>
                <w:szCs w:val="21"/>
                <w:highlight w:val="yellow"/>
              </w:rPr>
            </w:pPr>
            <w:r w:rsidRPr="004C1EAD">
              <w:rPr>
                <w:szCs w:val="21"/>
              </w:rPr>
              <w:t>4</w:t>
            </w:r>
          </w:p>
        </w:tc>
      </w:tr>
      <w:tr w:rsidR="004C1EAD" w:rsidRPr="007C7E99" w14:paraId="754924B2" w14:textId="77777777" w:rsidTr="008F0AA6">
        <w:trPr>
          <w:trHeight w:val="508"/>
        </w:trPr>
        <w:tc>
          <w:tcPr>
            <w:tcW w:w="1795" w:type="dxa"/>
            <w:vAlign w:val="center"/>
          </w:tcPr>
          <w:p w14:paraId="20823130" w14:textId="1105CFEF" w:rsidR="004C1EAD" w:rsidRPr="004C1EAD" w:rsidRDefault="004C1EAD" w:rsidP="004C1EAD">
            <w:pPr>
              <w:spacing w:after="180" w:line="240" w:lineRule="auto"/>
              <w:jc w:val="center"/>
              <w:rPr>
                <w:rFonts w:eastAsia="Helvetica,Times New Roman" w:cstheme="minorHAnsi"/>
                <w:color w:val="000000" w:themeColor="text1"/>
                <w:szCs w:val="21"/>
              </w:rPr>
            </w:pPr>
            <w:r w:rsidRPr="004C1EAD">
              <w:rPr>
                <w:rFonts w:eastAsia="Helvetica,Times New Roman" w:cstheme="minorHAnsi"/>
                <w:color w:val="000000" w:themeColor="text1"/>
                <w:szCs w:val="21"/>
              </w:rPr>
              <w:t>Conventional Indirect Emissions</w:t>
            </w:r>
          </w:p>
        </w:tc>
        <w:tc>
          <w:tcPr>
            <w:tcW w:w="1260" w:type="dxa"/>
            <w:shd w:val="clear" w:color="auto" w:fill="auto"/>
            <w:vAlign w:val="center"/>
          </w:tcPr>
          <w:p w14:paraId="3DA5C9E4" w14:textId="2706B847" w:rsidR="004C1EAD" w:rsidRPr="004C1EAD" w:rsidRDefault="004C1EAD" w:rsidP="004C1EAD">
            <w:pPr>
              <w:spacing w:after="180" w:line="240" w:lineRule="auto"/>
              <w:jc w:val="center"/>
              <w:rPr>
                <w:rFonts w:eastAsia="Helvetica,Times New Roman" w:cstheme="minorHAnsi"/>
                <w:i/>
                <w:szCs w:val="21"/>
              </w:rPr>
            </w:pPr>
            <w:r w:rsidRPr="004C1EAD">
              <w:rPr>
                <w:rFonts w:eastAsia="Helvetica,Times New Roman" w:cstheme="minorHAnsi"/>
                <w:i/>
                <w:szCs w:val="21"/>
              </w:rPr>
              <w:t>T CO</w:t>
            </w:r>
            <w:r w:rsidRPr="004C1EAD">
              <w:rPr>
                <w:rFonts w:eastAsia="Helvetica,Times New Roman" w:cstheme="minorHAnsi"/>
                <w:i/>
                <w:szCs w:val="21"/>
                <w:vertAlign w:val="subscript"/>
              </w:rPr>
              <w:t>2</w:t>
            </w:r>
            <w:r w:rsidRPr="004C1EAD">
              <w:rPr>
                <w:rFonts w:eastAsia="Helvetica,Times New Roman" w:cstheme="minorHAnsi"/>
                <w:i/>
                <w:szCs w:val="21"/>
              </w:rPr>
              <w:t>eq/ Plm</w:t>
            </w:r>
          </w:p>
        </w:tc>
        <w:tc>
          <w:tcPr>
            <w:tcW w:w="1260" w:type="dxa"/>
            <w:vAlign w:val="center"/>
          </w:tcPr>
          <w:p w14:paraId="1C3F064C" w14:textId="56F68341" w:rsidR="004C1EAD" w:rsidRPr="004C1EAD" w:rsidRDefault="004C1EAD" w:rsidP="004C1EAD">
            <w:pPr>
              <w:spacing w:after="180" w:line="240" w:lineRule="auto"/>
              <w:jc w:val="center"/>
              <w:rPr>
                <w:rFonts w:eastAsia="Helvetica,Times New Roman" w:cstheme="minorHAnsi"/>
                <w:color w:val="000000" w:themeColor="text1"/>
                <w:szCs w:val="21"/>
              </w:rPr>
            </w:pPr>
            <w:r w:rsidRPr="004C1EAD">
              <w:rPr>
                <w:rFonts w:eastAsia="Helvetica,Times New Roman" w:cstheme="minorHAnsi"/>
                <w:color w:val="000000" w:themeColor="text1"/>
                <w:szCs w:val="21"/>
              </w:rPr>
              <w:t>391 – 1,751,445</w:t>
            </w:r>
          </w:p>
        </w:tc>
        <w:tc>
          <w:tcPr>
            <w:tcW w:w="3060" w:type="dxa"/>
            <w:shd w:val="clear" w:color="auto" w:fill="auto"/>
            <w:vAlign w:val="center"/>
          </w:tcPr>
          <w:p w14:paraId="38E15C9D" w14:textId="1FA46D45" w:rsidR="004C1EAD" w:rsidRPr="004C1EAD" w:rsidRDefault="004C1EAD" w:rsidP="004C1EAD">
            <w:pPr>
              <w:spacing w:after="180" w:line="240" w:lineRule="auto"/>
              <w:jc w:val="center"/>
              <w:rPr>
                <w:rFonts w:eastAsia="Helvetica,Times New Roman" w:cstheme="minorHAnsi"/>
                <w:color w:val="000000" w:themeColor="text1"/>
                <w:szCs w:val="21"/>
              </w:rPr>
            </w:pPr>
            <w:r w:rsidRPr="004C1EAD">
              <w:rPr>
                <w:rFonts w:eastAsia="Helvetica,Times New Roman" w:cstheme="minorHAnsi"/>
                <w:color w:val="000000" w:themeColor="text1"/>
                <w:szCs w:val="21"/>
              </w:rPr>
              <w:t xml:space="preserve">633,630 </w:t>
            </w:r>
          </w:p>
        </w:tc>
        <w:tc>
          <w:tcPr>
            <w:tcW w:w="1080" w:type="dxa"/>
            <w:shd w:val="clear" w:color="auto" w:fill="auto"/>
            <w:vAlign w:val="center"/>
          </w:tcPr>
          <w:p w14:paraId="38AAC60E" w14:textId="5F6D0AC7" w:rsidR="004C1EAD" w:rsidRPr="004C1EAD" w:rsidRDefault="004C1EAD" w:rsidP="004C1EAD">
            <w:pPr>
              <w:spacing w:after="180" w:line="240" w:lineRule="auto"/>
              <w:jc w:val="center"/>
              <w:rPr>
                <w:rFonts w:eastAsia="Helvetica,Times New Roman" w:cstheme="minorHAnsi"/>
                <w:color w:val="000000" w:themeColor="text1"/>
                <w:szCs w:val="21"/>
              </w:rPr>
            </w:pPr>
            <w:r w:rsidRPr="004C1EAD">
              <w:rPr>
                <w:rFonts w:eastAsia="Helvetica,Times New Roman" w:cstheme="minorHAnsi"/>
                <w:color w:val="000000" w:themeColor="text1"/>
                <w:szCs w:val="21"/>
              </w:rPr>
              <w:t>17</w:t>
            </w:r>
          </w:p>
        </w:tc>
        <w:tc>
          <w:tcPr>
            <w:tcW w:w="1506" w:type="dxa"/>
            <w:shd w:val="clear" w:color="auto" w:fill="auto"/>
            <w:vAlign w:val="center"/>
          </w:tcPr>
          <w:p w14:paraId="0A7CEAD2" w14:textId="754366EE" w:rsidR="004C1EAD" w:rsidRPr="004C1EAD" w:rsidRDefault="004C1EAD" w:rsidP="004C1EAD">
            <w:pPr>
              <w:spacing w:after="180" w:line="240" w:lineRule="auto"/>
              <w:jc w:val="center"/>
              <w:rPr>
                <w:rFonts w:eastAsia="Helvetica,Times New Roman" w:cstheme="minorHAnsi"/>
                <w:color w:val="000000" w:themeColor="text1"/>
                <w:szCs w:val="21"/>
              </w:rPr>
            </w:pPr>
            <w:r w:rsidRPr="004C1EAD">
              <w:rPr>
                <w:rFonts w:eastAsia="Helvetica,Times New Roman" w:cstheme="minorHAnsi"/>
                <w:color w:val="000000" w:themeColor="text1"/>
                <w:szCs w:val="21"/>
              </w:rPr>
              <w:t>8</w:t>
            </w:r>
          </w:p>
        </w:tc>
      </w:tr>
      <w:tr w:rsidR="004C1EAD" w:rsidRPr="00FA5114" w14:paraId="530CC755" w14:textId="77777777" w:rsidTr="008F0AA6">
        <w:trPr>
          <w:trHeight w:val="508"/>
        </w:trPr>
        <w:tc>
          <w:tcPr>
            <w:tcW w:w="1795" w:type="dxa"/>
            <w:vAlign w:val="center"/>
          </w:tcPr>
          <w:p w14:paraId="59E0A8D8" w14:textId="3F8C981C" w:rsidR="004C1EAD" w:rsidRPr="004C1EAD" w:rsidRDefault="004C1EAD" w:rsidP="004C1EAD">
            <w:pPr>
              <w:spacing w:after="180" w:line="240" w:lineRule="auto"/>
              <w:jc w:val="center"/>
              <w:rPr>
                <w:szCs w:val="21"/>
              </w:rPr>
            </w:pPr>
            <w:r w:rsidRPr="004C1EAD">
              <w:rPr>
                <w:szCs w:val="21"/>
              </w:rPr>
              <w:t>Solution Indirect Emissions</w:t>
            </w:r>
          </w:p>
        </w:tc>
        <w:tc>
          <w:tcPr>
            <w:tcW w:w="1260" w:type="dxa"/>
            <w:shd w:val="clear" w:color="auto" w:fill="auto"/>
            <w:vAlign w:val="center"/>
          </w:tcPr>
          <w:p w14:paraId="1ABA4196" w14:textId="0BA2CC51" w:rsidR="004C1EAD" w:rsidRPr="004C1EAD" w:rsidRDefault="004C1EAD" w:rsidP="004C1EAD">
            <w:pPr>
              <w:spacing w:after="180" w:line="240" w:lineRule="auto"/>
              <w:jc w:val="center"/>
              <w:rPr>
                <w:rFonts w:eastAsia="Helvetica,Times New Roman" w:cstheme="minorHAnsi"/>
                <w:i/>
                <w:szCs w:val="21"/>
              </w:rPr>
            </w:pPr>
            <w:r w:rsidRPr="004C1EAD">
              <w:rPr>
                <w:rFonts w:eastAsia="Helvetica,Times New Roman" w:cstheme="minorHAnsi"/>
                <w:i/>
                <w:szCs w:val="21"/>
              </w:rPr>
              <w:t>T CO</w:t>
            </w:r>
            <w:r w:rsidRPr="004C1EAD">
              <w:rPr>
                <w:rFonts w:eastAsia="Helvetica,Times New Roman" w:cstheme="minorHAnsi"/>
                <w:i/>
                <w:szCs w:val="21"/>
                <w:vertAlign w:val="subscript"/>
              </w:rPr>
              <w:t>2</w:t>
            </w:r>
            <w:r w:rsidRPr="004C1EAD">
              <w:rPr>
                <w:rFonts w:eastAsia="Helvetica,Times New Roman" w:cstheme="minorHAnsi"/>
                <w:i/>
                <w:szCs w:val="21"/>
              </w:rPr>
              <w:t>eq/ Plm</w:t>
            </w:r>
          </w:p>
        </w:tc>
        <w:tc>
          <w:tcPr>
            <w:tcW w:w="1260" w:type="dxa"/>
            <w:vAlign w:val="center"/>
          </w:tcPr>
          <w:p w14:paraId="7672C62B" w14:textId="63436698" w:rsidR="004C1EAD" w:rsidRPr="004C1EAD" w:rsidRDefault="004C1EAD" w:rsidP="004C1EAD">
            <w:pPr>
              <w:spacing w:after="180" w:line="240" w:lineRule="auto"/>
              <w:jc w:val="center"/>
              <w:rPr>
                <w:rFonts w:eastAsia="Helvetica,Times New Roman" w:cstheme="minorHAnsi"/>
                <w:color w:val="000000" w:themeColor="text1"/>
                <w:szCs w:val="21"/>
              </w:rPr>
            </w:pPr>
            <w:r w:rsidRPr="004C1EAD">
              <w:rPr>
                <w:rFonts w:eastAsia="Helvetica,Times New Roman" w:cstheme="minorHAnsi"/>
                <w:color w:val="000000" w:themeColor="text1"/>
                <w:szCs w:val="21"/>
              </w:rPr>
              <w:t>256,785 – 671,113</w:t>
            </w:r>
          </w:p>
        </w:tc>
        <w:tc>
          <w:tcPr>
            <w:tcW w:w="3060" w:type="dxa"/>
            <w:shd w:val="clear" w:color="auto" w:fill="auto"/>
            <w:vAlign w:val="center"/>
          </w:tcPr>
          <w:p w14:paraId="2C29660B" w14:textId="584E80C9" w:rsidR="004C1EAD" w:rsidRPr="004C1EAD" w:rsidRDefault="00F013C2" w:rsidP="00B64EFF">
            <w:pPr>
              <w:spacing w:after="180" w:line="240" w:lineRule="auto"/>
              <w:jc w:val="center"/>
              <w:rPr>
                <w:rFonts w:eastAsia="Helvetica,Times New Roman" w:cstheme="minorHAnsi"/>
                <w:color w:val="000000" w:themeColor="text1"/>
                <w:szCs w:val="21"/>
              </w:rPr>
            </w:pPr>
            <w:r>
              <w:rPr>
                <w:rFonts w:eastAsia="Helvetica,Times New Roman" w:cstheme="minorHAnsi"/>
                <w:color w:val="000000" w:themeColor="text1"/>
                <w:szCs w:val="21"/>
              </w:rPr>
              <w:t>463,949</w:t>
            </w:r>
          </w:p>
        </w:tc>
        <w:tc>
          <w:tcPr>
            <w:tcW w:w="1080" w:type="dxa"/>
            <w:shd w:val="clear" w:color="auto" w:fill="auto"/>
            <w:vAlign w:val="center"/>
          </w:tcPr>
          <w:p w14:paraId="4B3C88BD" w14:textId="449904A6" w:rsidR="004C1EAD" w:rsidRPr="004C1EAD" w:rsidRDefault="004C1EAD" w:rsidP="004C1EAD">
            <w:pPr>
              <w:spacing w:after="180" w:line="240" w:lineRule="auto"/>
              <w:jc w:val="center"/>
              <w:rPr>
                <w:rFonts w:eastAsia="Helvetica,Times New Roman" w:cstheme="minorHAnsi"/>
                <w:color w:val="000000" w:themeColor="text1"/>
                <w:szCs w:val="21"/>
              </w:rPr>
            </w:pPr>
            <w:r w:rsidRPr="004C1EAD">
              <w:rPr>
                <w:rFonts w:eastAsia="Helvetica,Times New Roman" w:cstheme="minorHAnsi"/>
                <w:color w:val="000000" w:themeColor="text1"/>
                <w:szCs w:val="21"/>
              </w:rPr>
              <w:t>5</w:t>
            </w:r>
          </w:p>
        </w:tc>
        <w:tc>
          <w:tcPr>
            <w:tcW w:w="1506" w:type="dxa"/>
            <w:shd w:val="clear" w:color="auto" w:fill="auto"/>
            <w:vAlign w:val="center"/>
          </w:tcPr>
          <w:p w14:paraId="6C56A535" w14:textId="35D0B538" w:rsidR="004C1EAD" w:rsidRPr="004C1EAD" w:rsidRDefault="004C1EAD" w:rsidP="004C1EAD">
            <w:pPr>
              <w:spacing w:after="180" w:line="240" w:lineRule="auto"/>
              <w:jc w:val="center"/>
              <w:rPr>
                <w:rFonts w:eastAsia="Helvetica,Times New Roman" w:cstheme="minorHAnsi"/>
                <w:color w:val="000000" w:themeColor="text1"/>
                <w:szCs w:val="21"/>
              </w:rPr>
            </w:pPr>
            <w:r w:rsidRPr="004C1EAD">
              <w:rPr>
                <w:rFonts w:eastAsia="Helvetica,Times New Roman" w:cstheme="minorHAnsi"/>
                <w:color w:val="000000" w:themeColor="text1"/>
                <w:szCs w:val="21"/>
              </w:rPr>
              <w:t>5</w:t>
            </w:r>
          </w:p>
        </w:tc>
      </w:tr>
    </w:tbl>
    <w:p w14:paraId="44CA1A82" w14:textId="4EB78D07" w:rsidR="005C6EC2" w:rsidRPr="00907D18" w:rsidRDefault="003922A1" w:rsidP="00907D18">
      <w:pPr>
        <w:spacing w:line="240" w:lineRule="auto"/>
        <w:rPr>
          <w:sz w:val="18"/>
        </w:rPr>
      </w:pPr>
      <w:r w:rsidRPr="00907D18">
        <w:rPr>
          <w:sz w:val="18"/>
        </w:rPr>
        <w:t xml:space="preserve">Note: </w:t>
      </w:r>
      <w:r w:rsidR="00D25FC7" w:rsidRPr="00907D18">
        <w:rPr>
          <w:sz w:val="18"/>
        </w:rPr>
        <w:t>Project Drawdown data</w:t>
      </w:r>
      <w:r w:rsidRPr="00907D18">
        <w:rPr>
          <w:sz w:val="18"/>
        </w:rPr>
        <w:t xml:space="preserve"> set range </w:t>
      </w:r>
      <w:r w:rsidR="005C6EC2" w:rsidRPr="00907D18">
        <w:rPr>
          <w:sz w:val="18"/>
        </w:rPr>
        <w:t xml:space="preserve">is </w:t>
      </w:r>
      <w:r w:rsidR="0069014F" w:rsidRPr="00907D18">
        <w:rPr>
          <w:sz w:val="18"/>
        </w:rPr>
        <w:t xml:space="preserve">defined by </w:t>
      </w:r>
      <w:r w:rsidR="00AB783D" w:rsidRPr="00907D18">
        <w:rPr>
          <w:sz w:val="18"/>
        </w:rPr>
        <w:t xml:space="preserve">the low and high boundaries which are respectively 1 standard deviation below and above the mean of the </w:t>
      </w:r>
      <w:r w:rsidR="004C2EA3" w:rsidRPr="00907D18">
        <w:rPr>
          <w:sz w:val="18"/>
        </w:rPr>
        <w:t>collected data</w:t>
      </w:r>
      <w:r w:rsidR="00AB783D" w:rsidRPr="00907D18">
        <w:rPr>
          <w:sz w:val="18"/>
        </w:rPr>
        <w:t xml:space="preserve"> points</w:t>
      </w:r>
      <w:r w:rsidR="007D030E" w:rsidRPr="00907D18">
        <w:rPr>
          <w:rStyle w:val="FootnoteReference"/>
          <w:sz w:val="18"/>
        </w:rPr>
        <w:footnoteReference w:id="10"/>
      </w:r>
      <w:r w:rsidR="00AB783D" w:rsidRPr="00907D18">
        <w:rPr>
          <w:sz w:val="18"/>
        </w:rPr>
        <w:t>.</w:t>
      </w:r>
    </w:p>
    <w:p w14:paraId="24C491B8" w14:textId="272625E6" w:rsidR="00F52595" w:rsidRDefault="00686965" w:rsidP="005D49A8">
      <w:pPr>
        <w:pStyle w:val="Heading3"/>
      </w:pPr>
      <w:bookmarkStart w:id="87" w:name="_Toc44585083"/>
      <w:r>
        <w:t>Financial Inputs</w:t>
      </w:r>
      <w:bookmarkEnd w:id="87"/>
    </w:p>
    <w:p w14:paraId="2AB6D3E5" w14:textId="77777777" w:rsidR="00763101" w:rsidRDefault="00763101" w:rsidP="00763101">
      <w:pPr>
        <w:pStyle w:val="Heading4"/>
      </w:pPr>
      <w:r>
        <w:t>First Costs</w:t>
      </w:r>
    </w:p>
    <w:p w14:paraId="2E4FFE2B" w14:textId="4550F476" w:rsidR="00E2109A" w:rsidRDefault="00E2109A" w:rsidP="00E2109A">
      <w:pPr>
        <w:spacing w:after="0"/>
      </w:pPr>
      <w:r>
        <w:t>First cost data are collected from various sources to cover global and regional scope. There are numerous places to purchase the lamps, so it is impossible to get but a glimpse of the prices of different lamps used in residential sector. The prices are frequently expressed as amount of currency per piece of lamp or per klm. Different price data are converted into USD2014/Plm. Default luminous flux is used in conversion from price per piece if no luminous flux of the particular lamp is given.</w:t>
      </w:r>
    </w:p>
    <w:p w14:paraId="18121D8B" w14:textId="3C7E362D" w:rsidR="00763101" w:rsidRDefault="00E2109A" w:rsidP="007D5EAB">
      <w:r>
        <w:t>First cost data is collected from multiple sources: EIA</w:t>
      </w:r>
      <w:r w:rsidR="00B90C4B">
        <w:fldChar w:fldCharType="begin"/>
      </w:r>
      <w:r w:rsidR="009664EF">
        <w:instrText xml:space="preserve"> ADDIN ZOTERO_ITEM CSL_CITATION {"citationID":"stGUS2wO","properties":{"formattedCitation":"(EIA, 2014)","plainCitation":"(EIA, 2014)","noteIndex":0},"citationItems":[{"id":273,"uris":["http://zotero.org/groups/2241931/items/94UCS47Y"],"uri":["http://zotero.org/groups/2241931/items/94UCS47Y"],"itemData":{"id":273,"type":"webpage","title":"Natural gas, solar, and wind lead power plant capacity additions in first-half 2014","URL":"http://www.eia.gov/todayinenergy/detail.cfm?id=17891","author":[{"literal":"EIA"}],"issued":{"date-parts":[["2014",9,9]]},"accessed":{"date-parts":[["2015",6,28]]}}}],"schema":"https://github.com/citation-style-language/schema/raw/master/csl-citation.json"} </w:instrText>
      </w:r>
      <w:r w:rsidR="00B90C4B">
        <w:fldChar w:fldCharType="separate"/>
      </w:r>
      <w:r w:rsidR="009664EF" w:rsidRPr="009664EF">
        <w:rPr>
          <w:rFonts w:cs="Times New Roman"/>
        </w:rPr>
        <w:t>(EIA, 2014)</w:t>
      </w:r>
      <w:r w:rsidR="00B90C4B">
        <w:fldChar w:fldCharType="end"/>
      </w:r>
      <w:r>
        <w:t>, VITO</w:t>
      </w:r>
      <w:r w:rsidR="009664EF">
        <w:fldChar w:fldCharType="begin"/>
      </w:r>
      <w:r w:rsidR="009664EF">
        <w:instrText xml:space="preserve"> ADDIN ZOTERO_ITEM CSL_CITATION {"citationID":"gZrWtHkI","properties":{"formattedCitation":"(VITO, 2015)","plainCitation":"(VITO, 2015)","noteIndex":0},"citationItems":[{"id":1441,"uris":["http://zotero.org/groups/2241931/items/PAALBGDW"],"uri":["http://zotero.org/groups/2241931/items/PAALBGDW"],"itemData":{"id":1441,"type":"article","title":"Preparatory Study on Light Sources for Ecodesign and/or Energy Labelling Requirements","author":[{"family":"VITO","given":""}],"issued":{"date-parts":[["2015",10,31]]}}}],"schema":"https://github.com/citation-style-language/schema/raw/master/csl-citation.json"} </w:instrText>
      </w:r>
      <w:r w:rsidR="009664EF">
        <w:fldChar w:fldCharType="separate"/>
      </w:r>
      <w:r w:rsidR="009664EF" w:rsidRPr="009664EF">
        <w:rPr>
          <w:rFonts w:cs="Times New Roman"/>
        </w:rPr>
        <w:t>(VITO, 2015)</w:t>
      </w:r>
      <w:r w:rsidR="009664EF">
        <w:fldChar w:fldCharType="end"/>
      </w:r>
      <w:r>
        <w:t>, US DOE</w:t>
      </w:r>
      <w:r w:rsidR="009664EF">
        <w:fldChar w:fldCharType="begin"/>
      </w:r>
      <w:r w:rsidR="009664EF">
        <w:instrText xml:space="preserve"> ADDIN ZOTERO_ITEM CSL_CITATION {"citationID":"5dWVHz9L","properties":{"formattedCitation":"(US DOE SSL, 2014)","plainCitation":"(US DOE SSL, 2014)","noteIndex":0},"citationItems":[{"id":1423,"uris":["http://zotero.org/groups/2241931/items/BTL3K6HT"],"uri":["http://zotero.org/groups/2241931/items/BTL3K6HT"],"itemData":{"id":1423,"type":"report","title":"Solid-State Lighting Research and Development: Multi-Year Program Plan April 2014 (Updated May 2014)","page":"104","note":"reviewed","language":"en","author":[{"family":"US DOE SSL","given":""}],"issued":{"date-parts":[["2014"]]}}}],"schema":"https://github.com/citation-style-language/schema/raw/master/csl-citation.json"} </w:instrText>
      </w:r>
      <w:r w:rsidR="009664EF">
        <w:fldChar w:fldCharType="separate"/>
      </w:r>
      <w:r w:rsidR="009664EF" w:rsidRPr="009664EF">
        <w:rPr>
          <w:rFonts w:cs="Times New Roman"/>
        </w:rPr>
        <w:t>(US DOE SSL, 2014)</w:t>
      </w:r>
      <w:r w:rsidR="009664EF">
        <w:fldChar w:fldCharType="end"/>
      </w:r>
      <w:r>
        <w:t>, and McKinsey</w:t>
      </w:r>
      <w:r w:rsidR="009664EF">
        <w:fldChar w:fldCharType="begin"/>
      </w:r>
      <w:r w:rsidR="009664EF">
        <w:instrText xml:space="preserve"> ADDIN ZOTERO_ITEM CSL_CITATION {"citationID":"HXzKXoef","properties":{"formattedCitation":"(McKinsey, 2012)","plainCitation":"(McKinsey, 2012)","noteIndex":0},"citationItems":[{"id":3511,"uris":["http://zotero.org/groups/2241931/items/DFRA4PU9"],"uri":["http://zotero.org/groups/2241931/items/DFRA4PU9"],"itemData":{"id":3511,"type":"report","title":"Lighting the way: Perspectives on the global lighting market","page":"58","source":"Zotero","language":"en","author":[{"family":"McKinsey","given":""}],"issued":{"date-parts":[["2012"]]}}}],"schema":"https://github.com/citation-style-language/schema/raw/master/csl-citation.json"} </w:instrText>
      </w:r>
      <w:r w:rsidR="009664EF">
        <w:fldChar w:fldCharType="separate"/>
      </w:r>
      <w:r w:rsidR="009664EF" w:rsidRPr="009664EF">
        <w:rPr>
          <w:rFonts w:cs="Times New Roman"/>
        </w:rPr>
        <w:t>(McKinsey, 2012)</w:t>
      </w:r>
      <w:r w:rsidR="009664EF">
        <w:fldChar w:fldCharType="end"/>
      </w:r>
      <w:r>
        <w:t>. It is also possible to use a learning rate to estimate the price development, since EIA provides cumulative adoption and respective data for US market for 2005-2050, which could be used as a proxy for global price development. However, since multiple data sources were found, factoring on the basis of them is preferred. Yet, if learning rate data is found or provided later on, the learning rate table in Variable Meta-analysis sheet could be used and developed. Learning rate of first cost development is not used in current calculations but factoring is used instead.</w:t>
      </w:r>
      <w:r w:rsidR="007D5EAB">
        <w:tab/>
      </w:r>
    </w:p>
    <w:p w14:paraId="3B15D35C" w14:textId="532B3A4A" w:rsidR="00E2109A" w:rsidRDefault="00763101" w:rsidP="00763101">
      <w:pPr>
        <w:pStyle w:val="Heading4"/>
      </w:pPr>
      <w:r>
        <w:t>Operating Costs</w:t>
      </w:r>
      <w:r w:rsidR="007D5EAB">
        <w:tab/>
      </w:r>
      <w:r w:rsidR="007D5EAB">
        <w:tab/>
      </w:r>
    </w:p>
    <w:p w14:paraId="4F5A4371" w14:textId="15570310" w:rsidR="00E2109A" w:rsidRDefault="00E2109A" w:rsidP="00E2109A">
      <w:pPr>
        <w:spacing w:after="0"/>
        <w:rPr>
          <w:bCs/>
        </w:rPr>
      </w:pPr>
      <w:r>
        <w:rPr>
          <w:bCs/>
        </w:rPr>
        <w:t>Annual operating costs (C</w:t>
      </w:r>
      <w:r w:rsidRPr="009709CE">
        <w:rPr>
          <w:bCs/>
          <w:vertAlign w:val="subscript"/>
        </w:rPr>
        <w:t>o</w:t>
      </w:r>
      <w:r>
        <w:rPr>
          <w:bCs/>
        </w:rPr>
        <w:t xml:space="preserve">) in unit of USD/year are calculated on the basis of </w:t>
      </w:r>
      <w:r w:rsidR="00D70505">
        <w:rPr>
          <w:bCs/>
        </w:rPr>
        <w:t xml:space="preserve">the </w:t>
      </w:r>
      <w:r>
        <w:rPr>
          <w:bCs/>
        </w:rPr>
        <w:t>equation</w:t>
      </w:r>
      <w:r w:rsidR="00D70505">
        <w:rPr>
          <w:bCs/>
        </w:rPr>
        <w:t xml:space="preserve"> below</w:t>
      </w:r>
      <w:r>
        <w:rPr>
          <w:bCs/>
        </w:rPr>
        <w:t>:</w:t>
      </w:r>
      <w:bookmarkStart w:id="88" w:name="_Hlk536791211"/>
    </w:p>
    <w:p w14:paraId="54DA29C8" w14:textId="77777777" w:rsidR="00E2109A" w:rsidRDefault="00E2109A" w:rsidP="00E2109A">
      <w:pPr>
        <w:spacing w:after="0"/>
        <w:rPr>
          <w:bCs/>
        </w:rPr>
      </w:pPr>
    </w:p>
    <w:p w14:paraId="5081AE6E" w14:textId="244EF23B" w:rsidR="00E2109A" w:rsidRDefault="00444FB8" w:rsidP="00E2109A">
      <w:pPr>
        <w:spacing w:after="0"/>
        <w:rPr>
          <w:bCs/>
        </w:rPr>
      </w:pPr>
      <m:oMathPara>
        <m:oMath>
          <m:sSub>
            <m:sSubPr>
              <m:ctrlPr>
                <w:rPr>
                  <w:rFonts w:ascii="Cambria Math" w:hAnsi="Cambria Math"/>
                  <w:bCs/>
                  <w:i/>
                </w:rPr>
              </m:ctrlPr>
            </m:sSubPr>
            <m:e>
              <m:r>
                <w:rPr>
                  <w:rFonts w:ascii="Cambria Math" w:hAnsi="Cambria Math"/>
                </w:rPr>
                <m:t>C</m:t>
              </m:r>
            </m:e>
            <m:sub>
              <m:r>
                <w:rPr>
                  <w:rFonts w:ascii="Cambria Math" w:hAnsi="Cambria Math"/>
                </w:rPr>
                <m:t>o</m:t>
              </m:r>
            </m:sub>
          </m:sSub>
          <m:r>
            <w:rPr>
              <w:rFonts w:ascii="Cambria Math" w:hAnsi="Cambria Math"/>
            </w:rPr>
            <m:t>=P×</m:t>
          </m:r>
          <m:sSub>
            <m:sSubPr>
              <m:ctrlPr>
                <w:rPr>
                  <w:rFonts w:ascii="Cambria Math" w:hAnsi="Cambria Math"/>
                  <w:bCs/>
                  <w:i/>
                </w:rPr>
              </m:ctrlPr>
            </m:sSubPr>
            <m:e>
              <m:r>
                <w:rPr>
                  <w:rFonts w:ascii="Cambria Math" w:hAnsi="Cambria Math"/>
                </w:rPr>
                <m:t>c</m:t>
              </m:r>
            </m:e>
            <m:sub>
              <m:r>
                <w:rPr>
                  <w:rFonts w:ascii="Cambria Math" w:hAnsi="Cambria Math"/>
                </w:rPr>
                <m:t>el,r</m:t>
              </m:r>
            </m:sub>
          </m:sSub>
          <m:r>
            <w:rPr>
              <w:rFonts w:ascii="Cambria Math" w:hAnsi="Cambria Math"/>
            </w:rPr>
            <m:t>×t</m:t>
          </m:r>
        </m:oMath>
      </m:oMathPara>
    </w:p>
    <w:p w14:paraId="729C64D0" w14:textId="77777777" w:rsidR="007D5EAB" w:rsidRDefault="00E2109A" w:rsidP="00E2109A">
      <w:pPr>
        <w:rPr>
          <w:bCs/>
        </w:rPr>
      </w:pPr>
      <w:r>
        <w:rPr>
          <w:bCs/>
        </w:rPr>
        <w:t xml:space="preserve">where </w:t>
      </w:r>
    </w:p>
    <w:p w14:paraId="08815171" w14:textId="547EC8B0" w:rsidR="007D5EAB" w:rsidRDefault="007D5EAB" w:rsidP="007D5EAB">
      <w:pPr>
        <w:ind w:left="360"/>
        <w:rPr>
          <w:bCs/>
        </w:rPr>
      </w:pPr>
      <m:oMath>
        <m:r>
          <w:rPr>
            <w:rFonts w:ascii="Cambria Math" w:hAnsi="Cambria Math"/>
          </w:rPr>
          <m:t>P</m:t>
        </m:r>
      </m:oMath>
      <w:r w:rsidR="00E2109A">
        <w:rPr>
          <w:bCs/>
        </w:rPr>
        <w:t xml:space="preserve"> is the lamp power (kW), </w:t>
      </w:r>
    </w:p>
    <w:p w14:paraId="7919C052" w14:textId="22DFB763" w:rsidR="007D5EAB" w:rsidRDefault="00444FB8" w:rsidP="007D5EAB">
      <w:pPr>
        <w:ind w:left="360"/>
        <w:rPr>
          <w:bCs/>
        </w:rPr>
      </w:pPr>
      <m:oMath>
        <m:sSub>
          <m:sSubPr>
            <m:ctrlPr>
              <w:rPr>
                <w:rFonts w:ascii="Cambria Math" w:hAnsi="Cambria Math"/>
                <w:bCs/>
                <w:i/>
              </w:rPr>
            </m:ctrlPr>
          </m:sSubPr>
          <m:e>
            <m:r>
              <w:rPr>
                <w:rFonts w:ascii="Cambria Math" w:hAnsi="Cambria Math"/>
              </w:rPr>
              <m:t>c</m:t>
            </m:r>
          </m:e>
          <m:sub>
            <m:r>
              <w:rPr>
                <w:rFonts w:ascii="Cambria Math" w:hAnsi="Cambria Math"/>
              </w:rPr>
              <m:t>el,r</m:t>
            </m:r>
          </m:sub>
        </m:sSub>
      </m:oMath>
      <w:r w:rsidR="00E2109A">
        <w:rPr>
          <w:bCs/>
        </w:rPr>
        <w:t xml:space="preserve"> is the electricity price of the region (USD/kWh), and </w:t>
      </w:r>
    </w:p>
    <w:p w14:paraId="152B2B7D" w14:textId="1557720E" w:rsidR="007D5EAB" w:rsidRDefault="007D5EAB" w:rsidP="007D5EAB">
      <w:pPr>
        <w:ind w:left="360"/>
        <w:rPr>
          <w:bCs/>
        </w:rPr>
      </w:pPr>
      <m:oMath>
        <m:r>
          <w:rPr>
            <w:rFonts w:ascii="Cambria Math" w:hAnsi="Cambria Math"/>
          </w:rPr>
          <m:t>t</m:t>
        </m:r>
      </m:oMath>
      <w:r w:rsidR="00E2109A">
        <w:rPr>
          <w:bCs/>
        </w:rPr>
        <w:t xml:space="preserve"> is the annual operating time (h</w:t>
      </w:r>
      <w:r>
        <w:rPr>
          <w:bCs/>
        </w:rPr>
        <w:t>/year</w:t>
      </w:r>
      <w:r w:rsidR="00E2109A">
        <w:rPr>
          <w:bCs/>
        </w:rPr>
        <w:t xml:space="preserve">). </w:t>
      </w:r>
    </w:p>
    <w:bookmarkEnd w:id="88"/>
    <w:p w14:paraId="5D4DCCF5" w14:textId="12B0521A" w:rsidR="0049430C" w:rsidRPr="007B299C" w:rsidRDefault="007D5EAB" w:rsidP="00E2109A">
      <w:pPr>
        <w:rPr>
          <w:bCs/>
        </w:rPr>
      </w:pPr>
      <w:r>
        <w:rPr>
          <w:bCs/>
        </w:rPr>
        <w:t>T</w:t>
      </w:r>
      <w:r w:rsidR="00E2109A">
        <w:rPr>
          <w:bCs/>
        </w:rPr>
        <w:t xml:space="preserve">he operating costs are expressed as USD/functional unit (USD/Plmh), and thus, the operating cost calculated using </w:t>
      </w:r>
      <w:r>
        <w:rPr>
          <w:bCs/>
        </w:rPr>
        <w:t xml:space="preserve">the </w:t>
      </w:r>
      <w:r w:rsidR="00E2109A">
        <w:rPr>
          <w:bCs/>
        </w:rPr>
        <w:t xml:space="preserve">equation </w:t>
      </w:r>
      <w:r>
        <w:rPr>
          <w:bCs/>
        </w:rPr>
        <w:t>above</w:t>
      </w:r>
      <w:r w:rsidR="00E2109A">
        <w:rPr>
          <w:bCs/>
        </w:rPr>
        <w:t xml:space="preserve"> needs to be divided by the respective amount of Plmh (aggregated conventional or solution). Disposal costs are not included separately, as they are included in the purchase price in many areas (US, EU). The global electricity price is estimate</w:t>
      </w:r>
      <w:r>
        <w:rPr>
          <w:bCs/>
        </w:rPr>
        <w:t>d</w:t>
      </w:r>
      <w:r w:rsidR="00763101">
        <w:rPr>
          <w:bCs/>
        </w:rPr>
        <w:t xml:space="preserve"> from a survey of data for multiple years from 55 countries</w:t>
      </w:r>
      <w:r>
        <w:rPr>
          <w:bCs/>
        </w:rPr>
        <w:t>.</w:t>
      </w:r>
    </w:p>
    <w:p w14:paraId="1521B01D" w14:textId="2BF2576C" w:rsidR="00D25FC7" w:rsidRPr="0021082B" w:rsidRDefault="00D25FC7" w:rsidP="00D25FC7">
      <w:pPr>
        <w:pStyle w:val="Caption"/>
        <w:jc w:val="center"/>
        <w:rPr>
          <w:rFonts w:asciiTheme="majorHAnsi" w:eastAsiaTheme="majorEastAsia" w:hAnsiTheme="majorHAnsi" w:cstheme="majorBidi"/>
          <w:b/>
          <w:bCs/>
          <w:color w:val="000000" w:themeColor="text1"/>
          <w:sz w:val="23"/>
          <w:szCs w:val="23"/>
          <w:lang w:eastAsia="zh-CN"/>
        </w:rPr>
      </w:pPr>
      <w:bookmarkStart w:id="89" w:name="_Toc44585105"/>
      <w:r>
        <w:t xml:space="preserve">Table </w:t>
      </w:r>
      <w:r w:rsidR="00ED272A">
        <w:rPr>
          <w:noProof/>
        </w:rPr>
        <w:fldChar w:fldCharType="begin"/>
      </w:r>
      <w:r w:rsidR="00ED272A">
        <w:rPr>
          <w:noProof/>
        </w:rPr>
        <w:instrText xml:space="preserve"> STYLEREF 1 \s </w:instrText>
      </w:r>
      <w:r w:rsidR="00ED272A">
        <w:rPr>
          <w:noProof/>
        </w:rPr>
        <w:fldChar w:fldCharType="separate"/>
      </w:r>
      <w:r w:rsidR="006F1368">
        <w:rPr>
          <w:noProof/>
        </w:rPr>
        <w:t>2</w:t>
      </w:r>
      <w:r w:rsidR="00ED272A">
        <w:rPr>
          <w:noProof/>
        </w:rPr>
        <w:fldChar w:fldCharType="end"/>
      </w:r>
      <w:r w:rsidR="00E853F6">
        <w:t>.</w:t>
      </w:r>
      <w:r w:rsidR="00ED272A">
        <w:rPr>
          <w:noProof/>
        </w:rPr>
        <w:fldChar w:fldCharType="begin"/>
      </w:r>
      <w:r w:rsidR="00ED272A">
        <w:rPr>
          <w:noProof/>
        </w:rPr>
        <w:instrText xml:space="preserve"> SEQ Table \* ARABIC \s 1 </w:instrText>
      </w:r>
      <w:r w:rsidR="00ED272A">
        <w:rPr>
          <w:noProof/>
        </w:rPr>
        <w:fldChar w:fldCharType="separate"/>
      </w:r>
      <w:r w:rsidR="006F1368">
        <w:rPr>
          <w:noProof/>
        </w:rPr>
        <w:t>2</w:t>
      </w:r>
      <w:r w:rsidR="00ED272A">
        <w:rPr>
          <w:noProof/>
        </w:rPr>
        <w:fldChar w:fldCharType="end"/>
      </w:r>
      <w:r>
        <w:t xml:space="preserve"> Financial Inputs </w:t>
      </w:r>
      <w:r w:rsidR="009C0F77">
        <w:t xml:space="preserve">for </w:t>
      </w:r>
      <w:r>
        <w:t>Conventional Technologies</w:t>
      </w:r>
      <w:bookmarkEnd w:id="89"/>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AC296E" w14:paraId="5EBC0DC9" w14:textId="77777777" w:rsidTr="008F0AA6">
        <w:trPr>
          <w:cantSplit/>
          <w:trHeight w:val="822"/>
          <w:tblHeader/>
          <w:jc w:val="center"/>
        </w:trPr>
        <w:tc>
          <w:tcPr>
            <w:tcW w:w="1221" w:type="pct"/>
            <w:tcBorders>
              <w:bottom w:val="single" w:sz="4" w:space="0" w:color="auto"/>
            </w:tcBorders>
            <w:shd w:val="clear" w:color="auto" w:fill="4F81BD" w:themeFill="accent1"/>
            <w:vAlign w:val="center"/>
          </w:tcPr>
          <w:p w14:paraId="74E672A4" w14:textId="77777777" w:rsidR="00910DE0" w:rsidRPr="004C1EAD" w:rsidRDefault="00910DE0" w:rsidP="00AC296E">
            <w:pPr>
              <w:spacing w:after="0" w:line="240" w:lineRule="auto"/>
              <w:jc w:val="center"/>
              <w:rPr>
                <w:rFonts w:eastAsia="Helvetica,Times New Roman" w:cstheme="minorHAnsi"/>
                <w:b/>
                <w:color w:val="FFFFFF" w:themeColor="background1"/>
                <w:sz w:val="20"/>
                <w:szCs w:val="20"/>
              </w:rPr>
            </w:pPr>
          </w:p>
        </w:tc>
        <w:tc>
          <w:tcPr>
            <w:tcW w:w="861" w:type="pct"/>
            <w:tcBorders>
              <w:bottom w:val="single" w:sz="4" w:space="0" w:color="auto"/>
            </w:tcBorders>
            <w:shd w:val="clear" w:color="auto" w:fill="4F81BD" w:themeFill="accent1"/>
            <w:vAlign w:val="center"/>
          </w:tcPr>
          <w:p w14:paraId="47C8F982" w14:textId="77777777" w:rsidR="00910DE0" w:rsidRPr="004C1EAD" w:rsidRDefault="00910DE0" w:rsidP="00AC296E">
            <w:pPr>
              <w:spacing w:after="0" w:line="240" w:lineRule="auto"/>
              <w:jc w:val="center"/>
              <w:rPr>
                <w:rFonts w:eastAsia="Helvetica,Times New Roman" w:cstheme="minorHAnsi"/>
                <w:b/>
                <w:color w:val="FFFFFF" w:themeColor="background1"/>
                <w:sz w:val="20"/>
                <w:szCs w:val="20"/>
              </w:rPr>
            </w:pPr>
            <w:r w:rsidRPr="004C1EAD">
              <w:rPr>
                <w:rFonts w:eastAsia="Helvetica,Times New Roman" w:cstheme="minorHAnsi"/>
                <w:b/>
                <w:color w:val="FFFFFF" w:themeColor="background1"/>
                <w:sz w:val="20"/>
                <w:szCs w:val="20"/>
              </w:rPr>
              <w:t>Units</w:t>
            </w:r>
          </w:p>
        </w:tc>
        <w:tc>
          <w:tcPr>
            <w:tcW w:w="861" w:type="pct"/>
            <w:tcBorders>
              <w:bottom w:val="single" w:sz="4" w:space="0" w:color="auto"/>
            </w:tcBorders>
            <w:shd w:val="clear" w:color="auto" w:fill="4F81BD" w:themeFill="accent1"/>
            <w:vAlign w:val="center"/>
          </w:tcPr>
          <w:p w14:paraId="0418DADA" w14:textId="42CB0C28" w:rsidR="00910DE0" w:rsidRPr="004C1EAD" w:rsidRDefault="00910DE0" w:rsidP="00AC296E">
            <w:pPr>
              <w:spacing w:after="0" w:line="240" w:lineRule="auto"/>
              <w:jc w:val="center"/>
              <w:rPr>
                <w:rFonts w:eastAsia="Helvetica,Times New Roman" w:cstheme="minorHAnsi"/>
                <w:b/>
                <w:color w:val="FFFFFF" w:themeColor="background1"/>
                <w:sz w:val="20"/>
                <w:szCs w:val="20"/>
              </w:rPr>
            </w:pPr>
            <w:r w:rsidRPr="004C1EAD">
              <w:rPr>
                <w:rFonts w:eastAsia="Helvetica,Times New Roman" w:cstheme="minorHAnsi"/>
                <w:b/>
                <w:color w:val="FFFFFF" w:themeColor="background1"/>
                <w:sz w:val="20"/>
                <w:szCs w:val="20"/>
              </w:rPr>
              <w:t>Project Drawdown Data Set Range</w:t>
            </w:r>
          </w:p>
        </w:tc>
        <w:tc>
          <w:tcPr>
            <w:tcW w:w="861" w:type="pct"/>
            <w:tcBorders>
              <w:bottom w:val="single" w:sz="4" w:space="0" w:color="auto"/>
            </w:tcBorders>
            <w:shd w:val="clear" w:color="auto" w:fill="4F81BD" w:themeFill="accent1"/>
            <w:vAlign w:val="center"/>
          </w:tcPr>
          <w:p w14:paraId="6FC568BA" w14:textId="77777777" w:rsidR="00910DE0" w:rsidRPr="004C1EAD" w:rsidRDefault="00910DE0" w:rsidP="00AC296E">
            <w:pPr>
              <w:spacing w:after="0" w:line="240" w:lineRule="auto"/>
              <w:jc w:val="center"/>
              <w:rPr>
                <w:rFonts w:eastAsia="Helvetica,Times New Roman" w:cstheme="minorHAnsi"/>
                <w:b/>
                <w:color w:val="FFFFFF" w:themeColor="background1"/>
                <w:sz w:val="20"/>
                <w:szCs w:val="20"/>
              </w:rPr>
            </w:pPr>
            <w:r w:rsidRPr="004C1EAD">
              <w:rPr>
                <w:rFonts w:eastAsia="Helvetica,Times New Roman" w:cstheme="minorHAnsi"/>
                <w:b/>
                <w:color w:val="FFFFFF" w:themeColor="background1"/>
                <w:sz w:val="20"/>
                <w:szCs w:val="20"/>
              </w:rPr>
              <w:t>Model Input</w:t>
            </w:r>
          </w:p>
        </w:tc>
        <w:tc>
          <w:tcPr>
            <w:tcW w:w="617" w:type="pct"/>
            <w:tcBorders>
              <w:bottom w:val="single" w:sz="4" w:space="0" w:color="auto"/>
            </w:tcBorders>
            <w:shd w:val="clear" w:color="auto" w:fill="4F81BD" w:themeFill="accent1"/>
            <w:vAlign w:val="center"/>
          </w:tcPr>
          <w:p w14:paraId="034FA35B" w14:textId="77777777" w:rsidR="00910DE0" w:rsidRPr="004C1EAD" w:rsidRDefault="00910DE0" w:rsidP="00AC296E">
            <w:pPr>
              <w:spacing w:after="0" w:line="240" w:lineRule="auto"/>
              <w:jc w:val="center"/>
              <w:rPr>
                <w:rFonts w:eastAsia="Helvetica,Times New Roman" w:cstheme="minorHAnsi"/>
                <w:b/>
                <w:color w:val="FFFFFF" w:themeColor="background1"/>
                <w:sz w:val="20"/>
                <w:szCs w:val="20"/>
              </w:rPr>
            </w:pPr>
            <w:r w:rsidRPr="004C1EAD">
              <w:rPr>
                <w:rFonts w:eastAsia="Helvetica,Times New Roman" w:cstheme="minorHAnsi"/>
                <w:b/>
                <w:color w:val="FFFFFF" w:themeColor="background1"/>
                <w:sz w:val="20"/>
                <w:szCs w:val="20"/>
              </w:rPr>
              <w:t>Data Points (#)</w:t>
            </w:r>
          </w:p>
        </w:tc>
        <w:tc>
          <w:tcPr>
            <w:tcW w:w="579" w:type="pct"/>
            <w:tcBorders>
              <w:bottom w:val="single" w:sz="4" w:space="0" w:color="auto"/>
            </w:tcBorders>
            <w:shd w:val="clear" w:color="auto" w:fill="4F81BD" w:themeFill="accent1"/>
            <w:vAlign w:val="center"/>
          </w:tcPr>
          <w:p w14:paraId="213A903C" w14:textId="77777777" w:rsidR="00910DE0" w:rsidRPr="004C1EAD" w:rsidRDefault="00910DE0" w:rsidP="00AC296E">
            <w:pPr>
              <w:spacing w:after="0" w:line="240" w:lineRule="auto"/>
              <w:jc w:val="center"/>
              <w:rPr>
                <w:rFonts w:eastAsia="Helvetica,Times New Roman" w:cstheme="minorHAnsi"/>
                <w:b/>
                <w:color w:val="FFFFFF" w:themeColor="background1"/>
                <w:sz w:val="20"/>
                <w:szCs w:val="20"/>
              </w:rPr>
            </w:pPr>
            <w:r w:rsidRPr="004C1EAD">
              <w:rPr>
                <w:rFonts w:eastAsia="Helvetica,Times New Roman" w:cstheme="minorHAnsi"/>
                <w:b/>
                <w:color w:val="FFFFFF" w:themeColor="background1"/>
                <w:sz w:val="20"/>
                <w:szCs w:val="20"/>
              </w:rPr>
              <w:t>Sources (#)</w:t>
            </w:r>
          </w:p>
        </w:tc>
      </w:tr>
      <w:tr w:rsidR="00910DE0" w:rsidRPr="00057050" w14:paraId="224D399B" w14:textId="77777777" w:rsidTr="008F0AA6">
        <w:trPr>
          <w:trHeight w:val="149"/>
          <w:jc w:val="center"/>
        </w:trPr>
        <w:tc>
          <w:tcPr>
            <w:tcW w:w="1221" w:type="pct"/>
            <w:tcBorders>
              <w:top w:val="single" w:sz="4" w:space="0" w:color="auto"/>
              <w:left w:val="single" w:sz="4" w:space="0" w:color="auto"/>
              <w:bottom w:val="single" w:sz="4" w:space="0" w:color="auto"/>
              <w:right w:val="single" w:sz="4" w:space="0" w:color="auto"/>
            </w:tcBorders>
            <w:vAlign w:val="center"/>
          </w:tcPr>
          <w:p w14:paraId="400D3B56" w14:textId="5AD8B710" w:rsidR="00910DE0" w:rsidRPr="004C1EAD" w:rsidRDefault="00910DE0" w:rsidP="00AD4CF8">
            <w:pPr>
              <w:spacing w:after="180" w:line="240" w:lineRule="auto"/>
              <w:jc w:val="center"/>
              <w:rPr>
                <w:color w:val="000000" w:themeColor="text1"/>
                <w:sz w:val="20"/>
                <w:szCs w:val="20"/>
              </w:rPr>
            </w:pPr>
            <w:r w:rsidRPr="004C1EAD">
              <w:rPr>
                <w:color w:val="000000" w:themeColor="text1"/>
                <w:sz w:val="20"/>
                <w:szCs w:val="20"/>
              </w:rPr>
              <w:t xml:space="preserve">First </w:t>
            </w:r>
            <w:r w:rsidR="00AC296E" w:rsidRPr="004C1EAD">
              <w:rPr>
                <w:color w:val="000000" w:themeColor="text1"/>
                <w:sz w:val="20"/>
                <w:szCs w:val="20"/>
              </w:rPr>
              <w:t>C</w:t>
            </w:r>
            <w:r w:rsidRPr="004C1EAD">
              <w:rPr>
                <w:color w:val="000000" w:themeColor="text1"/>
                <w:sz w:val="20"/>
                <w:szCs w:val="20"/>
              </w:rPr>
              <w:t>ost</w:t>
            </w:r>
          </w:p>
        </w:tc>
        <w:tc>
          <w:tcPr>
            <w:tcW w:w="861" w:type="pct"/>
            <w:tcBorders>
              <w:top w:val="single" w:sz="4" w:space="0" w:color="auto"/>
              <w:left w:val="single" w:sz="4" w:space="0" w:color="auto"/>
              <w:bottom w:val="single" w:sz="4" w:space="0" w:color="auto"/>
              <w:right w:val="single" w:sz="4" w:space="0" w:color="auto"/>
            </w:tcBorders>
            <w:vAlign w:val="center"/>
          </w:tcPr>
          <w:p w14:paraId="56AA3572" w14:textId="381833B3" w:rsidR="00910DE0" w:rsidRPr="004C1EAD" w:rsidRDefault="00910DE0" w:rsidP="00AD4CF8">
            <w:pPr>
              <w:spacing w:after="180" w:line="240" w:lineRule="auto"/>
              <w:jc w:val="center"/>
              <w:rPr>
                <w:rFonts w:eastAsia="Helvetica,Times New Roman" w:cstheme="minorHAnsi"/>
                <w:sz w:val="20"/>
                <w:szCs w:val="20"/>
              </w:rPr>
            </w:pPr>
            <w:r w:rsidRPr="004C1EAD">
              <w:rPr>
                <w:bCs/>
                <w:i/>
                <w:sz w:val="20"/>
                <w:szCs w:val="20"/>
              </w:rPr>
              <w:t>US$2014/k</w:t>
            </w:r>
            <w:r w:rsidR="00AC296E" w:rsidRPr="004C1EAD">
              <w:rPr>
                <w:bCs/>
                <w:i/>
                <w:sz w:val="20"/>
                <w:szCs w:val="20"/>
              </w:rPr>
              <w:t>lm</w:t>
            </w:r>
          </w:p>
        </w:tc>
        <w:tc>
          <w:tcPr>
            <w:tcW w:w="861" w:type="pct"/>
            <w:tcBorders>
              <w:top w:val="single" w:sz="4" w:space="0" w:color="auto"/>
              <w:left w:val="single" w:sz="4" w:space="0" w:color="auto"/>
              <w:bottom w:val="single" w:sz="4" w:space="0" w:color="auto"/>
              <w:right w:val="single" w:sz="4" w:space="0" w:color="auto"/>
            </w:tcBorders>
            <w:vAlign w:val="center"/>
          </w:tcPr>
          <w:p w14:paraId="5AD14322" w14:textId="5BFBF997" w:rsidR="00910DE0" w:rsidRPr="004C1EAD" w:rsidRDefault="004C1EAD" w:rsidP="004C1EAD">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0.01 – 9.73</w:t>
            </w:r>
          </w:p>
        </w:tc>
        <w:tc>
          <w:tcPr>
            <w:tcW w:w="861" w:type="pct"/>
            <w:tcBorders>
              <w:top w:val="single" w:sz="4" w:space="0" w:color="auto"/>
              <w:left w:val="single" w:sz="4" w:space="0" w:color="auto"/>
              <w:bottom w:val="single" w:sz="4" w:space="0" w:color="auto"/>
              <w:right w:val="single" w:sz="4" w:space="0" w:color="auto"/>
            </w:tcBorders>
            <w:vAlign w:val="center"/>
          </w:tcPr>
          <w:p w14:paraId="6782A95B" w14:textId="3327A5A0" w:rsidR="00910DE0" w:rsidRPr="004C1EAD" w:rsidRDefault="0049430C" w:rsidP="004C1EAD">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4.</w:t>
            </w:r>
            <w:r w:rsidR="00F013C2">
              <w:rPr>
                <w:rFonts w:eastAsia="Helvetica,Times New Roman" w:cstheme="minorHAnsi"/>
                <w:color w:val="000000" w:themeColor="text1"/>
                <w:sz w:val="20"/>
                <w:szCs w:val="20"/>
              </w:rPr>
              <w:t>36</w:t>
            </w:r>
          </w:p>
        </w:tc>
        <w:tc>
          <w:tcPr>
            <w:tcW w:w="617" w:type="pct"/>
            <w:tcBorders>
              <w:top w:val="single" w:sz="4" w:space="0" w:color="auto"/>
              <w:left w:val="single" w:sz="4" w:space="0" w:color="auto"/>
              <w:bottom w:val="single" w:sz="4" w:space="0" w:color="auto"/>
              <w:right w:val="single" w:sz="4" w:space="0" w:color="auto"/>
            </w:tcBorders>
            <w:vAlign w:val="center"/>
          </w:tcPr>
          <w:p w14:paraId="1AA7E7F8" w14:textId="3BB80A26" w:rsidR="00910DE0" w:rsidRPr="004C1EAD" w:rsidRDefault="0049430C" w:rsidP="004C1EAD">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26</w:t>
            </w:r>
          </w:p>
        </w:tc>
        <w:tc>
          <w:tcPr>
            <w:tcW w:w="579" w:type="pct"/>
            <w:tcBorders>
              <w:top w:val="single" w:sz="4" w:space="0" w:color="auto"/>
              <w:left w:val="single" w:sz="4" w:space="0" w:color="auto"/>
              <w:bottom w:val="single" w:sz="4" w:space="0" w:color="auto"/>
              <w:right w:val="single" w:sz="4" w:space="0" w:color="auto"/>
            </w:tcBorders>
            <w:vAlign w:val="center"/>
          </w:tcPr>
          <w:p w14:paraId="367ADBC1" w14:textId="1E6A39A2" w:rsidR="00910DE0" w:rsidRPr="004C1EAD" w:rsidRDefault="0049430C" w:rsidP="004C1EAD">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6</w:t>
            </w:r>
          </w:p>
        </w:tc>
      </w:tr>
      <w:tr w:rsidR="00910DE0" w:rsidRPr="007D5EAB" w14:paraId="789E9F95" w14:textId="77777777" w:rsidTr="008F0AA6">
        <w:trPr>
          <w:trHeight w:val="149"/>
          <w:jc w:val="center"/>
        </w:trPr>
        <w:tc>
          <w:tcPr>
            <w:tcW w:w="1221" w:type="pct"/>
            <w:tcBorders>
              <w:top w:val="single" w:sz="4" w:space="0" w:color="auto"/>
              <w:left w:val="single" w:sz="4" w:space="0" w:color="auto"/>
              <w:bottom w:val="single" w:sz="4" w:space="0" w:color="auto"/>
              <w:right w:val="single" w:sz="4" w:space="0" w:color="auto"/>
            </w:tcBorders>
            <w:vAlign w:val="center"/>
          </w:tcPr>
          <w:p w14:paraId="564B7DFA" w14:textId="5922CD5A" w:rsidR="00910DE0" w:rsidRPr="004C1EAD" w:rsidRDefault="00910DE0" w:rsidP="00AD4CF8">
            <w:pPr>
              <w:spacing w:after="180" w:line="240" w:lineRule="auto"/>
              <w:jc w:val="center"/>
              <w:rPr>
                <w:color w:val="000000" w:themeColor="text1"/>
                <w:sz w:val="20"/>
                <w:szCs w:val="20"/>
              </w:rPr>
            </w:pPr>
            <w:r w:rsidRPr="004C1EAD">
              <w:rPr>
                <w:color w:val="000000" w:themeColor="text1"/>
                <w:sz w:val="20"/>
                <w:szCs w:val="20"/>
              </w:rPr>
              <w:t xml:space="preserve">Variable Operation and Maintenance Costs </w:t>
            </w:r>
          </w:p>
        </w:tc>
        <w:tc>
          <w:tcPr>
            <w:tcW w:w="861" w:type="pct"/>
            <w:tcBorders>
              <w:top w:val="single" w:sz="4" w:space="0" w:color="auto"/>
              <w:left w:val="single" w:sz="4" w:space="0" w:color="auto"/>
              <w:bottom w:val="single" w:sz="4" w:space="0" w:color="auto"/>
              <w:right w:val="single" w:sz="4" w:space="0" w:color="auto"/>
            </w:tcBorders>
            <w:vAlign w:val="center"/>
          </w:tcPr>
          <w:p w14:paraId="292CCBF2" w14:textId="17C130CA" w:rsidR="00910DE0" w:rsidRPr="004C1EAD" w:rsidRDefault="0032353F" w:rsidP="00AD4CF8">
            <w:pPr>
              <w:spacing w:after="180" w:line="240" w:lineRule="auto"/>
              <w:jc w:val="center"/>
              <w:rPr>
                <w:rFonts w:eastAsia="Helvetica,Times New Roman" w:cstheme="minorHAnsi"/>
                <w:sz w:val="20"/>
                <w:szCs w:val="20"/>
              </w:rPr>
            </w:pPr>
            <w:r w:rsidRPr="004C1EAD">
              <w:rPr>
                <w:bCs/>
                <w:i/>
                <w:sz w:val="20"/>
                <w:szCs w:val="20"/>
              </w:rPr>
              <w:t>US$2014/k</w:t>
            </w:r>
            <w:r w:rsidR="00AC296E" w:rsidRPr="004C1EAD">
              <w:rPr>
                <w:bCs/>
                <w:i/>
                <w:sz w:val="20"/>
                <w:szCs w:val="20"/>
              </w:rPr>
              <w:t>lmh</w:t>
            </w:r>
          </w:p>
        </w:tc>
        <w:tc>
          <w:tcPr>
            <w:tcW w:w="861" w:type="pct"/>
            <w:tcBorders>
              <w:top w:val="single" w:sz="4" w:space="0" w:color="auto"/>
              <w:left w:val="single" w:sz="4" w:space="0" w:color="auto"/>
              <w:bottom w:val="single" w:sz="4" w:space="0" w:color="auto"/>
              <w:right w:val="single" w:sz="4" w:space="0" w:color="auto"/>
            </w:tcBorders>
            <w:vAlign w:val="center"/>
          </w:tcPr>
          <w:p w14:paraId="3698BA83" w14:textId="50F14000" w:rsidR="00910DE0" w:rsidRPr="004C1EAD" w:rsidRDefault="0049430C">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0.001-0.009</w:t>
            </w:r>
          </w:p>
        </w:tc>
        <w:tc>
          <w:tcPr>
            <w:tcW w:w="861" w:type="pct"/>
            <w:tcBorders>
              <w:top w:val="single" w:sz="4" w:space="0" w:color="auto"/>
              <w:left w:val="single" w:sz="4" w:space="0" w:color="auto"/>
              <w:bottom w:val="single" w:sz="4" w:space="0" w:color="auto"/>
              <w:right w:val="single" w:sz="4" w:space="0" w:color="auto"/>
            </w:tcBorders>
            <w:vAlign w:val="center"/>
          </w:tcPr>
          <w:p w14:paraId="2C205561" w14:textId="43C67AD5" w:rsidR="00910DE0" w:rsidRPr="004C1EAD" w:rsidRDefault="0049430C" w:rsidP="004C1EAD">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0.00</w:t>
            </w:r>
            <w:r w:rsidR="004C1EAD" w:rsidRPr="004C1EAD">
              <w:rPr>
                <w:rFonts w:eastAsia="Helvetica,Times New Roman" w:cstheme="minorHAnsi"/>
                <w:color w:val="000000" w:themeColor="text1"/>
                <w:sz w:val="20"/>
                <w:szCs w:val="20"/>
              </w:rPr>
              <w:t>5</w:t>
            </w:r>
          </w:p>
        </w:tc>
        <w:tc>
          <w:tcPr>
            <w:tcW w:w="617" w:type="pct"/>
            <w:tcBorders>
              <w:top w:val="single" w:sz="4" w:space="0" w:color="auto"/>
              <w:left w:val="single" w:sz="4" w:space="0" w:color="auto"/>
              <w:bottom w:val="single" w:sz="4" w:space="0" w:color="auto"/>
              <w:right w:val="single" w:sz="4" w:space="0" w:color="auto"/>
            </w:tcBorders>
            <w:vAlign w:val="center"/>
          </w:tcPr>
          <w:p w14:paraId="6F7826B4" w14:textId="39E5969C" w:rsidR="00910DE0" w:rsidRPr="004C1EAD" w:rsidRDefault="004C1EAD" w:rsidP="004C1EAD">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(Derived from other inputs)</w:t>
            </w:r>
          </w:p>
        </w:tc>
        <w:tc>
          <w:tcPr>
            <w:tcW w:w="579" w:type="pct"/>
            <w:tcBorders>
              <w:top w:val="single" w:sz="4" w:space="0" w:color="auto"/>
              <w:left w:val="single" w:sz="4" w:space="0" w:color="auto"/>
              <w:bottom w:val="single" w:sz="4" w:space="0" w:color="auto"/>
              <w:right w:val="single" w:sz="4" w:space="0" w:color="auto"/>
            </w:tcBorders>
            <w:vAlign w:val="center"/>
          </w:tcPr>
          <w:p w14:paraId="6F71B7A1" w14:textId="35A179E0" w:rsidR="00910DE0" w:rsidRPr="004C1EAD" w:rsidRDefault="004C1EAD" w:rsidP="004C1EAD">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(Derived from other inputs)</w:t>
            </w:r>
          </w:p>
        </w:tc>
      </w:tr>
      <w:tr w:rsidR="00AC296E" w:rsidRPr="007D5EAB" w14:paraId="4CC8EC27" w14:textId="77777777" w:rsidTr="008F0AA6">
        <w:trPr>
          <w:trHeight w:val="149"/>
          <w:jc w:val="center"/>
        </w:trPr>
        <w:tc>
          <w:tcPr>
            <w:tcW w:w="1221" w:type="pct"/>
            <w:tcBorders>
              <w:top w:val="single" w:sz="4" w:space="0" w:color="auto"/>
              <w:left w:val="single" w:sz="4" w:space="0" w:color="auto"/>
              <w:bottom w:val="single" w:sz="4" w:space="0" w:color="auto"/>
              <w:right w:val="single" w:sz="4" w:space="0" w:color="auto"/>
            </w:tcBorders>
            <w:vAlign w:val="center"/>
          </w:tcPr>
          <w:p w14:paraId="45834DD9" w14:textId="306FD52A" w:rsidR="00AC296E" w:rsidRPr="004C1EAD" w:rsidRDefault="00C25F6F" w:rsidP="00AC296E">
            <w:pPr>
              <w:spacing w:after="180" w:line="240" w:lineRule="auto"/>
              <w:jc w:val="center"/>
              <w:rPr>
                <w:color w:val="000000" w:themeColor="text1"/>
                <w:sz w:val="20"/>
                <w:szCs w:val="20"/>
              </w:rPr>
            </w:pPr>
            <w:r w:rsidRPr="004C1EAD">
              <w:rPr>
                <w:color w:val="000000" w:themeColor="text1"/>
                <w:sz w:val="20"/>
                <w:szCs w:val="20"/>
              </w:rPr>
              <w:t xml:space="preserve">Residential </w:t>
            </w:r>
            <w:r w:rsidR="00AC296E" w:rsidRPr="004C1EAD">
              <w:rPr>
                <w:color w:val="000000" w:themeColor="text1"/>
                <w:sz w:val="20"/>
                <w:szCs w:val="20"/>
              </w:rPr>
              <w:t>Electricity Price (Conventional and Solution)</w:t>
            </w:r>
          </w:p>
        </w:tc>
        <w:tc>
          <w:tcPr>
            <w:tcW w:w="861" w:type="pct"/>
            <w:tcBorders>
              <w:top w:val="single" w:sz="4" w:space="0" w:color="auto"/>
              <w:left w:val="single" w:sz="4" w:space="0" w:color="auto"/>
              <w:bottom w:val="single" w:sz="4" w:space="0" w:color="auto"/>
              <w:right w:val="single" w:sz="4" w:space="0" w:color="auto"/>
            </w:tcBorders>
            <w:vAlign w:val="center"/>
          </w:tcPr>
          <w:p w14:paraId="594E5CB1" w14:textId="43F2991F" w:rsidR="00AC296E" w:rsidRPr="004C1EAD" w:rsidRDefault="00AC296E" w:rsidP="00AC296E">
            <w:pPr>
              <w:spacing w:after="180" w:line="240" w:lineRule="auto"/>
              <w:jc w:val="center"/>
              <w:rPr>
                <w:rFonts w:eastAsia="Helvetica,Times New Roman" w:cstheme="minorHAnsi"/>
                <w:b/>
                <w:sz w:val="20"/>
                <w:szCs w:val="20"/>
              </w:rPr>
            </w:pPr>
            <w:r w:rsidRPr="004C1EAD">
              <w:rPr>
                <w:bCs/>
                <w:i/>
                <w:sz w:val="20"/>
                <w:szCs w:val="20"/>
              </w:rPr>
              <w:t>US$2014/kWh</w:t>
            </w:r>
          </w:p>
        </w:tc>
        <w:tc>
          <w:tcPr>
            <w:tcW w:w="861" w:type="pct"/>
            <w:tcBorders>
              <w:top w:val="single" w:sz="4" w:space="0" w:color="auto"/>
              <w:left w:val="single" w:sz="4" w:space="0" w:color="auto"/>
              <w:bottom w:val="single" w:sz="4" w:space="0" w:color="auto"/>
              <w:right w:val="single" w:sz="4" w:space="0" w:color="auto"/>
            </w:tcBorders>
            <w:shd w:val="clear" w:color="auto" w:fill="auto"/>
            <w:vAlign w:val="center"/>
          </w:tcPr>
          <w:p w14:paraId="2E46CA7E" w14:textId="3943483B" w:rsidR="00AC296E" w:rsidRPr="004C1EAD" w:rsidRDefault="00AC296E" w:rsidP="004C1EAD">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0.1398</w:t>
            </w:r>
          </w:p>
        </w:tc>
        <w:tc>
          <w:tcPr>
            <w:tcW w:w="861" w:type="pct"/>
            <w:tcBorders>
              <w:top w:val="single" w:sz="4" w:space="0" w:color="auto"/>
              <w:left w:val="single" w:sz="4" w:space="0" w:color="auto"/>
              <w:bottom w:val="single" w:sz="4" w:space="0" w:color="auto"/>
              <w:right w:val="single" w:sz="4" w:space="0" w:color="auto"/>
            </w:tcBorders>
            <w:shd w:val="clear" w:color="auto" w:fill="auto"/>
            <w:vAlign w:val="center"/>
          </w:tcPr>
          <w:p w14:paraId="78F04F8B" w14:textId="1DAEF735" w:rsidR="00AC296E" w:rsidRPr="004C1EAD" w:rsidRDefault="00C25F6F" w:rsidP="004C1EAD">
            <w:pPr>
              <w:spacing w:after="180" w:line="240" w:lineRule="auto"/>
              <w:jc w:val="center"/>
              <w:rPr>
                <w:rFonts w:eastAsia="Helvetica,Times New Roman" w:cstheme="minorHAnsi"/>
                <w:b/>
                <w:color w:val="000000" w:themeColor="text1"/>
                <w:sz w:val="20"/>
                <w:szCs w:val="20"/>
              </w:rPr>
            </w:pPr>
            <w:r w:rsidRPr="004C1EAD">
              <w:rPr>
                <w:rFonts w:eastAsia="Helvetica,Times New Roman" w:cstheme="minorHAnsi"/>
                <w:color w:val="000000" w:themeColor="text1"/>
                <w:sz w:val="20"/>
                <w:szCs w:val="20"/>
              </w:rPr>
              <w:t>0.139</w:t>
            </w:r>
          </w:p>
        </w:tc>
        <w:tc>
          <w:tcPr>
            <w:tcW w:w="617" w:type="pct"/>
            <w:tcBorders>
              <w:top w:val="single" w:sz="4" w:space="0" w:color="auto"/>
              <w:left w:val="single" w:sz="4" w:space="0" w:color="auto"/>
              <w:bottom w:val="single" w:sz="4" w:space="0" w:color="auto"/>
              <w:right w:val="single" w:sz="4" w:space="0" w:color="auto"/>
            </w:tcBorders>
            <w:shd w:val="clear" w:color="auto" w:fill="auto"/>
            <w:vAlign w:val="center"/>
          </w:tcPr>
          <w:p w14:paraId="362873EB" w14:textId="7F0D864F" w:rsidR="00AC296E" w:rsidRPr="004C1EAD" w:rsidRDefault="005A1B12" w:rsidP="004C1EAD">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509</w:t>
            </w:r>
            <w:r w:rsidR="00E80D73" w:rsidRPr="004C1EAD">
              <w:rPr>
                <w:rFonts w:eastAsia="Helvetica,Times New Roman" w:cstheme="minorHAnsi"/>
                <w:color w:val="000000" w:themeColor="text1"/>
                <w:sz w:val="20"/>
                <w:szCs w:val="20"/>
              </w:rPr>
              <w:t xml:space="preserve"> (for 55 Countries)</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tcPr>
          <w:p w14:paraId="48F3D1EA" w14:textId="7B22CEC8" w:rsidR="00AC296E" w:rsidRPr="004C1EAD" w:rsidRDefault="00C25F6F" w:rsidP="004C1EAD">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1</w:t>
            </w:r>
          </w:p>
        </w:tc>
      </w:tr>
    </w:tbl>
    <w:p w14:paraId="7E13702C" w14:textId="77777777" w:rsidR="00D25FC7" w:rsidRPr="004858E0" w:rsidRDefault="00D25FC7" w:rsidP="00EB247F">
      <w:pPr>
        <w:rPr>
          <w:bCs/>
          <w:sz w:val="21"/>
          <w:szCs w:val="21"/>
        </w:rPr>
      </w:pPr>
    </w:p>
    <w:p w14:paraId="2A309D69" w14:textId="32483AC6" w:rsidR="0021082B" w:rsidRPr="0021082B" w:rsidRDefault="00274B56" w:rsidP="00EB247F">
      <w:pPr>
        <w:pStyle w:val="Caption"/>
        <w:jc w:val="center"/>
        <w:rPr>
          <w:rFonts w:asciiTheme="majorHAnsi" w:eastAsiaTheme="majorEastAsia" w:hAnsiTheme="majorHAnsi" w:cstheme="majorBidi"/>
          <w:b/>
          <w:bCs/>
          <w:color w:val="000000" w:themeColor="text1"/>
          <w:sz w:val="23"/>
          <w:szCs w:val="23"/>
          <w:lang w:eastAsia="zh-CN"/>
        </w:rPr>
      </w:pPr>
      <w:bookmarkStart w:id="90" w:name="_Toc44585106"/>
      <w:r>
        <w:t xml:space="preserve">Table </w:t>
      </w:r>
      <w:r w:rsidR="00ED272A">
        <w:rPr>
          <w:noProof/>
        </w:rPr>
        <w:fldChar w:fldCharType="begin"/>
      </w:r>
      <w:r w:rsidR="00ED272A">
        <w:rPr>
          <w:noProof/>
        </w:rPr>
        <w:instrText xml:space="preserve"> STYLEREF 1 \s </w:instrText>
      </w:r>
      <w:r w:rsidR="00ED272A">
        <w:rPr>
          <w:noProof/>
        </w:rPr>
        <w:fldChar w:fldCharType="separate"/>
      </w:r>
      <w:r w:rsidR="006F1368">
        <w:rPr>
          <w:noProof/>
        </w:rPr>
        <w:t>2</w:t>
      </w:r>
      <w:r w:rsidR="00ED272A">
        <w:rPr>
          <w:noProof/>
        </w:rPr>
        <w:fldChar w:fldCharType="end"/>
      </w:r>
      <w:r w:rsidR="00E853F6">
        <w:t>.</w:t>
      </w:r>
      <w:r w:rsidR="00ED272A">
        <w:rPr>
          <w:noProof/>
        </w:rPr>
        <w:fldChar w:fldCharType="begin"/>
      </w:r>
      <w:r w:rsidR="00ED272A">
        <w:rPr>
          <w:noProof/>
        </w:rPr>
        <w:instrText xml:space="preserve"> SEQ Table \* ARABIC \s 1 </w:instrText>
      </w:r>
      <w:r w:rsidR="00ED272A">
        <w:rPr>
          <w:noProof/>
        </w:rPr>
        <w:fldChar w:fldCharType="separate"/>
      </w:r>
      <w:r w:rsidR="006F1368">
        <w:rPr>
          <w:noProof/>
        </w:rPr>
        <w:t>3</w:t>
      </w:r>
      <w:r w:rsidR="00ED272A">
        <w:rPr>
          <w:noProof/>
        </w:rPr>
        <w:fldChar w:fldCharType="end"/>
      </w:r>
      <w:r>
        <w:t xml:space="preserve"> Financial Inputs</w:t>
      </w:r>
      <w:r w:rsidR="00D25FC7">
        <w:t xml:space="preserve"> </w:t>
      </w:r>
      <w:r w:rsidR="009C0F77">
        <w:t xml:space="preserve">for </w:t>
      </w:r>
      <w:r w:rsidR="00D25FC7">
        <w:t>Solution</w:t>
      </w:r>
      <w:bookmarkEnd w:id="90"/>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910DE0" w:rsidRPr="00057050" w14:paraId="7E18B658" w14:textId="77777777" w:rsidTr="00AC296E">
        <w:trPr>
          <w:cantSplit/>
          <w:trHeight w:val="692"/>
          <w:tblHeader/>
          <w:jc w:val="center"/>
        </w:trPr>
        <w:tc>
          <w:tcPr>
            <w:tcW w:w="1220" w:type="pct"/>
            <w:shd w:val="clear" w:color="auto" w:fill="4F81BD" w:themeFill="accent1"/>
            <w:vAlign w:val="center"/>
          </w:tcPr>
          <w:p w14:paraId="26137DA0" w14:textId="746DCB4E" w:rsidR="00910DE0" w:rsidRPr="004C1EAD" w:rsidRDefault="00AC296E" w:rsidP="00AC296E">
            <w:pPr>
              <w:spacing w:after="0" w:line="240" w:lineRule="auto"/>
              <w:jc w:val="center"/>
              <w:rPr>
                <w:rFonts w:eastAsia="Helvetica,Times New Roman" w:cstheme="minorHAnsi"/>
                <w:b/>
                <w:color w:val="000000" w:themeColor="text1"/>
                <w:sz w:val="20"/>
                <w:szCs w:val="20"/>
              </w:rPr>
            </w:pPr>
            <w:r w:rsidRPr="004C1EAD">
              <w:rPr>
                <w:rFonts w:eastAsia="Helvetica,Times New Roman" w:cstheme="minorHAnsi"/>
                <w:b/>
                <w:color w:val="FFFFFF" w:themeColor="background1"/>
                <w:sz w:val="20"/>
                <w:szCs w:val="20"/>
              </w:rPr>
              <w:t>Variable</w:t>
            </w:r>
          </w:p>
        </w:tc>
        <w:tc>
          <w:tcPr>
            <w:tcW w:w="862" w:type="pct"/>
            <w:shd w:val="clear" w:color="auto" w:fill="4F81BD" w:themeFill="accent1"/>
            <w:vAlign w:val="center"/>
          </w:tcPr>
          <w:p w14:paraId="2DBDF8CC" w14:textId="268B6116" w:rsidR="00910DE0" w:rsidRPr="004C1EAD" w:rsidRDefault="00910DE0" w:rsidP="00AC296E">
            <w:pPr>
              <w:spacing w:after="0" w:line="240" w:lineRule="auto"/>
              <w:jc w:val="center"/>
              <w:rPr>
                <w:b/>
                <w:bCs/>
                <w:sz w:val="20"/>
                <w:szCs w:val="20"/>
              </w:rPr>
            </w:pPr>
            <w:r w:rsidRPr="004C1EAD">
              <w:rPr>
                <w:b/>
                <w:bCs/>
                <w:color w:val="FFFFFF" w:themeColor="background1"/>
                <w:sz w:val="20"/>
                <w:szCs w:val="20"/>
              </w:rPr>
              <w:t>Units</w:t>
            </w:r>
          </w:p>
        </w:tc>
        <w:tc>
          <w:tcPr>
            <w:tcW w:w="985" w:type="pct"/>
            <w:shd w:val="clear" w:color="auto" w:fill="4F81BD" w:themeFill="accent1"/>
            <w:vAlign w:val="center"/>
          </w:tcPr>
          <w:p w14:paraId="75A978E1" w14:textId="1BF0E92A" w:rsidR="00910DE0" w:rsidRPr="004C1EAD" w:rsidRDefault="00910DE0" w:rsidP="00AC296E">
            <w:pPr>
              <w:spacing w:after="0" w:line="240" w:lineRule="auto"/>
              <w:jc w:val="center"/>
              <w:rPr>
                <w:b/>
                <w:bCs/>
                <w:color w:val="FFFFFF" w:themeColor="background1"/>
                <w:sz w:val="20"/>
                <w:szCs w:val="20"/>
              </w:rPr>
            </w:pPr>
            <w:r w:rsidRPr="004C1EAD">
              <w:rPr>
                <w:b/>
                <w:bCs/>
                <w:color w:val="FFFFFF" w:themeColor="background1"/>
                <w:sz w:val="20"/>
                <w:szCs w:val="20"/>
              </w:rPr>
              <w:t>Project Drawdown Data Set Range</w:t>
            </w:r>
          </w:p>
        </w:tc>
        <w:tc>
          <w:tcPr>
            <w:tcW w:w="738" w:type="pct"/>
            <w:shd w:val="clear" w:color="auto" w:fill="4F81BD" w:themeFill="accent1"/>
            <w:vAlign w:val="center"/>
          </w:tcPr>
          <w:p w14:paraId="018F52B8" w14:textId="1833173C" w:rsidR="00910DE0" w:rsidRPr="004C1EAD" w:rsidRDefault="00910DE0" w:rsidP="00AC296E">
            <w:pPr>
              <w:spacing w:after="0" w:line="240" w:lineRule="auto"/>
              <w:jc w:val="center"/>
              <w:rPr>
                <w:b/>
                <w:bCs/>
                <w:color w:val="FFFFFF" w:themeColor="background1"/>
                <w:sz w:val="20"/>
                <w:szCs w:val="20"/>
              </w:rPr>
            </w:pPr>
            <w:r w:rsidRPr="004C1EAD">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4C1EAD" w:rsidRDefault="00910DE0" w:rsidP="00AC296E">
            <w:pPr>
              <w:spacing w:after="0" w:line="240" w:lineRule="auto"/>
              <w:jc w:val="center"/>
              <w:rPr>
                <w:b/>
                <w:bCs/>
                <w:color w:val="FFFFFF" w:themeColor="background1"/>
                <w:sz w:val="20"/>
                <w:szCs w:val="20"/>
              </w:rPr>
            </w:pPr>
            <w:r w:rsidRPr="004C1EAD">
              <w:rPr>
                <w:b/>
                <w:bCs/>
                <w:color w:val="FFFFFF" w:themeColor="background1"/>
                <w:sz w:val="20"/>
                <w:szCs w:val="20"/>
              </w:rPr>
              <w:t>Data Points (#)</w:t>
            </w:r>
          </w:p>
        </w:tc>
        <w:tc>
          <w:tcPr>
            <w:tcW w:w="578" w:type="pct"/>
            <w:shd w:val="clear" w:color="auto" w:fill="4F81BD" w:themeFill="accent1"/>
            <w:vAlign w:val="center"/>
          </w:tcPr>
          <w:p w14:paraId="275B8C0E" w14:textId="1A9F0AE3" w:rsidR="00910DE0" w:rsidRPr="004C1EAD" w:rsidRDefault="00910DE0" w:rsidP="00AC296E">
            <w:pPr>
              <w:spacing w:after="0" w:line="240" w:lineRule="auto"/>
              <w:jc w:val="center"/>
              <w:rPr>
                <w:b/>
                <w:bCs/>
                <w:color w:val="FFFFFF" w:themeColor="background1"/>
                <w:sz w:val="20"/>
                <w:szCs w:val="20"/>
              </w:rPr>
            </w:pPr>
            <w:r w:rsidRPr="004C1EAD">
              <w:rPr>
                <w:b/>
                <w:bCs/>
                <w:color w:val="FFFFFF" w:themeColor="background1"/>
                <w:sz w:val="20"/>
                <w:szCs w:val="20"/>
              </w:rPr>
              <w:t>Sources (#)</w:t>
            </w:r>
          </w:p>
        </w:tc>
      </w:tr>
      <w:tr w:rsidR="00910DE0" w:rsidRPr="007D5EAB" w14:paraId="2A056D67" w14:textId="77777777" w:rsidTr="005C77F5">
        <w:trPr>
          <w:trHeight w:val="392"/>
          <w:jc w:val="center"/>
        </w:trPr>
        <w:tc>
          <w:tcPr>
            <w:tcW w:w="1220" w:type="pct"/>
            <w:vAlign w:val="center"/>
          </w:tcPr>
          <w:p w14:paraId="48F73B69" w14:textId="10C2552C" w:rsidR="00910DE0" w:rsidRPr="004C1EAD" w:rsidRDefault="00910DE0" w:rsidP="00AD4CF8">
            <w:pPr>
              <w:spacing w:after="180" w:line="240" w:lineRule="auto"/>
              <w:jc w:val="center"/>
              <w:rPr>
                <w:color w:val="000000" w:themeColor="text1"/>
                <w:sz w:val="20"/>
                <w:szCs w:val="20"/>
              </w:rPr>
            </w:pPr>
            <w:r w:rsidRPr="004C1EAD">
              <w:rPr>
                <w:color w:val="000000" w:themeColor="text1"/>
                <w:sz w:val="20"/>
                <w:szCs w:val="20"/>
              </w:rPr>
              <w:t>First costs</w:t>
            </w:r>
          </w:p>
        </w:tc>
        <w:tc>
          <w:tcPr>
            <w:tcW w:w="862" w:type="pct"/>
            <w:vAlign w:val="center"/>
          </w:tcPr>
          <w:p w14:paraId="39F98CF2" w14:textId="6A2C29DE" w:rsidR="00910DE0" w:rsidRPr="004C1EAD" w:rsidRDefault="00915D0D" w:rsidP="00AD4CF8">
            <w:pPr>
              <w:spacing w:after="180" w:line="240" w:lineRule="auto"/>
              <w:jc w:val="center"/>
              <w:rPr>
                <w:rFonts w:eastAsia="Helvetica,Times New Roman" w:cstheme="minorHAnsi"/>
                <w:sz w:val="20"/>
                <w:szCs w:val="20"/>
              </w:rPr>
            </w:pPr>
            <w:r w:rsidRPr="004C1EAD">
              <w:rPr>
                <w:bCs/>
                <w:i/>
                <w:sz w:val="20"/>
                <w:szCs w:val="20"/>
              </w:rPr>
              <w:t>US$2014/klm</w:t>
            </w:r>
          </w:p>
        </w:tc>
        <w:tc>
          <w:tcPr>
            <w:tcW w:w="985" w:type="pct"/>
            <w:vAlign w:val="center"/>
          </w:tcPr>
          <w:p w14:paraId="0AA3AF19" w14:textId="5231302B" w:rsidR="00910DE0" w:rsidRPr="004C1EAD" w:rsidRDefault="004C1EAD">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0.42 – 33.73</w:t>
            </w:r>
          </w:p>
        </w:tc>
        <w:tc>
          <w:tcPr>
            <w:tcW w:w="738" w:type="pct"/>
            <w:vAlign w:val="center"/>
          </w:tcPr>
          <w:p w14:paraId="448110A6" w14:textId="2CC7E431" w:rsidR="00910DE0" w:rsidRPr="004C1EAD" w:rsidRDefault="004C1EAD" w:rsidP="004C1EAD">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17.13</w:t>
            </w:r>
          </w:p>
        </w:tc>
        <w:tc>
          <w:tcPr>
            <w:tcW w:w="617" w:type="pct"/>
            <w:vAlign w:val="center"/>
          </w:tcPr>
          <w:p w14:paraId="26687D7C" w14:textId="6AE1783D" w:rsidR="00910DE0" w:rsidRPr="004C1EAD" w:rsidRDefault="004C1EAD" w:rsidP="004C1EAD">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34</w:t>
            </w:r>
          </w:p>
        </w:tc>
        <w:tc>
          <w:tcPr>
            <w:tcW w:w="578" w:type="pct"/>
            <w:vAlign w:val="center"/>
          </w:tcPr>
          <w:p w14:paraId="11A2B4F9" w14:textId="710795F3" w:rsidR="00910DE0" w:rsidRPr="004C1EAD" w:rsidRDefault="004C1EAD" w:rsidP="004C1EAD">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14</w:t>
            </w:r>
          </w:p>
        </w:tc>
      </w:tr>
      <w:tr w:rsidR="0069014F" w:rsidRPr="007D5EAB" w14:paraId="7FBD7FC3" w14:textId="77777777" w:rsidTr="005C77F5">
        <w:trPr>
          <w:trHeight w:val="906"/>
          <w:jc w:val="center"/>
        </w:trPr>
        <w:tc>
          <w:tcPr>
            <w:tcW w:w="1220" w:type="pct"/>
            <w:vAlign w:val="center"/>
          </w:tcPr>
          <w:p w14:paraId="58BCEFDE" w14:textId="155F9FFF" w:rsidR="0069014F" w:rsidRPr="004C1EAD" w:rsidRDefault="004C1EAD" w:rsidP="00AD4CF8">
            <w:pPr>
              <w:spacing w:after="180" w:line="240" w:lineRule="auto"/>
              <w:jc w:val="center"/>
              <w:rPr>
                <w:color w:val="000000" w:themeColor="text1"/>
                <w:sz w:val="20"/>
                <w:szCs w:val="20"/>
              </w:rPr>
            </w:pPr>
            <w:r w:rsidRPr="004C1EAD">
              <w:rPr>
                <w:color w:val="000000" w:themeColor="text1"/>
                <w:sz w:val="20"/>
                <w:szCs w:val="20"/>
              </w:rPr>
              <w:t>Variable</w:t>
            </w:r>
            <w:r w:rsidR="0069014F" w:rsidRPr="004C1EAD">
              <w:rPr>
                <w:color w:val="000000" w:themeColor="text1"/>
                <w:sz w:val="20"/>
                <w:szCs w:val="20"/>
              </w:rPr>
              <w:t xml:space="preserve"> Operation and Maintenance Costs </w:t>
            </w:r>
          </w:p>
        </w:tc>
        <w:tc>
          <w:tcPr>
            <w:tcW w:w="862" w:type="pct"/>
            <w:vAlign w:val="center"/>
          </w:tcPr>
          <w:p w14:paraId="794FCD2A" w14:textId="5C622581" w:rsidR="0069014F" w:rsidRPr="004C1EAD" w:rsidRDefault="00915D0D" w:rsidP="00AD4CF8">
            <w:pPr>
              <w:spacing w:after="180" w:line="240" w:lineRule="auto"/>
              <w:jc w:val="center"/>
              <w:rPr>
                <w:rFonts w:eastAsia="Helvetica,Times New Roman" w:cstheme="minorHAnsi"/>
                <w:sz w:val="20"/>
                <w:szCs w:val="20"/>
              </w:rPr>
            </w:pPr>
            <w:r w:rsidRPr="004C1EAD">
              <w:rPr>
                <w:bCs/>
                <w:i/>
                <w:sz w:val="20"/>
                <w:szCs w:val="20"/>
              </w:rPr>
              <w:t>US$2014/klmh</w:t>
            </w:r>
          </w:p>
        </w:tc>
        <w:tc>
          <w:tcPr>
            <w:tcW w:w="985" w:type="pct"/>
            <w:vAlign w:val="center"/>
          </w:tcPr>
          <w:p w14:paraId="4F470140" w14:textId="4411B83D" w:rsidR="0069014F" w:rsidRPr="004C1EAD" w:rsidRDefault="004C1EAD">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0.002</w:t>
            </w:r>
          </w:p>
        </w:tc>
        <w:tc>
          <w:tcPr>
            <w:tcW w:w="738" w:type="pct"/>
            <w:vAlign w:val="center"/>
          </w:tcPr>
          <w:p w14:paraId="7207DC06" w14:textId="2374486B" w:rsidR="0069014F" w:rsidRPr="004C1EAD" w:rsidRDefault="004C1EAD" w:rsidP="004C1EAD">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0.002</w:t>
            </w:r>
          </w:p>
        </w:tc>
        <w:tc>
          <w:tcPr>
            <w:tcW w:w="617" w:type="pct"/>
            <w:vAlign w:val="center"/>
          </w:tcPr>
          <w:p w14:paraId="3290C1F9" w14:textId="7D068C88" w:rsidR="0069014F" w:rsidRPr="004C1EAD" w:rsidRDefault="004C1EAD" w:rsidP="004C1EAD">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(Derived from other inputs)</w:t>
            </w:r>
          </w:p>
        </w:tc>
        <w:tc>
          <w:tcPr>
            <w:tcW w:w="578" w:type="pct"/>
            <w:vAlign w:val="center"/>
          </w:tcPr>
          <w:p w14:paraId="766E4798" w14:textId="0ECD6516" w:rsidR="0069014F" w:rsidRPr="004C1EAD" w:rsidRDefault="004C1EAD" w:rsidP="004C1EAD">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(Derived from other inputs)</w:t>
            </w:r>
          </w:p>
        </w:tc>
      </w:tr>
      <w:tr w:rsidR="0069014F" w:rsidRPr="00057050" w14:paraId="56960ECE" w14:textId="77777777" w:rsidTr="0069014F">
        <w:trPr>
          <w:trHeight w:val="634"/>
          <w:jc w:val="center"/>
        </w:trPr>
        <w:tc>
          <w:tcPr>
            <w:tcW w:w="1220" w:type="pct"/>
            <w:vAlign w:val="center"/>
          </w:tcPr>
          <w:p w14:paraId="7C1C0BA0" w14:textId="0A4A22B9" w:rsidR="0069014F" w:rsidRPr="004C1EAD" w:rsidRDefault="0069014F" w:rsidP="00AD4CF8">
            <w:pPr>
              <w:spacing w:after="180" w:line="240" w:lineRule="auto"/>
              <w:jc w:val="center"/>
              <w:rPr>
                <w:color w:val="000000" w:themeColor="text1"/>
                <w:sz w:val="20"/>
                <w:szCs w:val="20"/>
              </w:rPr>
            </w:pPr>
            <w:r w:rsidRPr="004C1EAD">
              <w:rPr>
                <w:color w:val="000000" w:themeColor="text1"/>
                <w:sz w:val="20"/>
                <w:szCs w:val="20"/>
              </w:rPr>
              <w:t xml:space="preserve">Learning Rate Factor </w:t>
            </w:r>
          </w:p>
        </w:tc>
        <w:tc>
          <w:tcPr>
            <w:tcW w:w="862" w:type="pct"/>
            <w:vAlign w:val="center"/>
          </w:tcPr>
          <w:p w14:paraId="18D7B6C5" w14:textId="6EA6B799" w:rsidR="0069014F" w:rsidRPr="004C1EAD" w:rsidRDefault="0069014F" w:rsidP="00AD4CF8">
            <w:pPr>
              <w:spacing w:after="180" w:line="240" w:lineRule="auto"/>
              <w:jc w:val="center"/>
              <w:rPr>
                <w:rStyle w:val="CommentReference"/>
                <w:sz w:val="20"/>
                <w:szCs w:val="20"/>
              </w:rPr>
            </w:pPr>
            <w:r w:rsidRPr="004C1EAD">
              <w:rPr>
                <w:rStyle w:val="CommentReference"/>
                <w:sz w:val="20"/>
                <w:szCs w:val="20"/>
              </w:rPr>
              <w:t>%</w:t>
            </w:r>
          </w:p>
        </w:tc>
        <w:tc>
          <w:tcPr>
            <w:tcW w:w="985" w:type="pct"/>
            <w:shd w:val="clear" w:color="auto" w:fill="auto"/>
            <w:vAlign w:val="center"/>
          </w:tcPr>
          <w:p w14:paraId="503DB7E2" w14:textId="68F7361D" w:rsidR="0069014F" w:rsidRPr="004C1EAD" w:rsidRDefault="004C1EAD" w:rsidP="004C1EAD">
            <w:pPr>
              <w:spacing w:after="180" w:line="240" w:lineRule="auto"/>
              <w:jc w:val="center"/>
              <w:rPr>
                <w:rFonts w:eastAsia="Helvetica,Times New Roman" w:cstheme="minorHAnsi"/>
                <w:color w:val="000000" w:themeColor="text1"/>
                <w:sz w:val="20"/>
                <w:szCs w:val="20"/>
              </w:rPr>
            </w:pPr>
            <w:r w:rsidRPr="004C1EAD">
              <w:rPr>
                <w:rFonts w:eastAsia="Helvetica,Times New Roman" w:cstheme="minorHAnsi"/>
                <w:color w:val="000000" w:themeColor="text1"/>
                <w:sz w:val="20"/>
                <w:szCs w:val="20"/>
              </w:rPr>
              <w:t>8.31</w:t>
            </w:r>
          </w:p>
        </w:tc>
        <w:tc>
          <w:tcPr>
            <w:tcW w:w="738" w:type="pct"/>
            <w:shd w:val="clear" w:color="auto" w:fill="auto"/>
            <w:vAlign w:val="center"/>
          </w:tcPr>
          <w:p w14:paraId="6AC44958" w14:textId="4CD2604B" w:rsidR="0069014F" w:rsidRPr="004C1EAD" w:rsidRDefault="00531934" w:rsidP="004C1EAD">
            <w:pPr>
              <w:spacing w:line="240" w:lineRule="auto"/>
              <w:jc w:val="center"/>
              <w:rPr>
                <w:bCs/>
                <w:sz w:val="20"/>
                <w:szCs w:val="20"/>
              </w:rPr>
            </w:pPr>
            <w:r w:rsidRPr="004C1EAD">
              <w:rPr>
                <w:bCs/>
                <w:sz w:val="20"/>
                <w:szCs w:val="20"/>
              </w:rPr>
              <w:t>8.31</w:t>
            </w:r>
          </w:p>
        </w:tc>
        <w:tc>
          <w:tcPr>
            <w:tcW w:w="617" w:type="pct"/>
            <w:vAlign w:val="center"/>
          </w:tcPr>
          <w:p w14:paraId="073E928F" w14:textId="3FCBF4EA" w:rsidR="0069014F" w:rsidRPr="004C1EAD" w:rsidRDefault="0069014F" w:rsidP="004C1EAD">
            <w:pPr>
              <w:spacing w:after="180" w:line="240" w:lineRule="auto"/>
              <w:jc w:val="center"/>
              <w:rPr>
                <w:rFonts w:eastAsia="Helvetica,Times New Roman" w:cstheme="minorHAnsi"/>
                <w:color w:val="000000" w:themeColor="text1"/>
                <w:sz w:val="20"/>
                <w:szCs w:val="20"/>
              </w:rPr>
            </w:pPr>
          </w:p>
        </w:tc>
        <w:tc>
          <w:tcPr>
            <w:tcW w:w="578" w:type="pct"/>
            <w:vAlign w:val="center"/>
          </w:tcPr>
          <w:p w14:paraId="0689267C" w14:textId="0E7F9DFC" w:rsidR="0069014F" w:rsidRPr="004C1EAD" w:rsidRDefault="0069014F" w:rsidP="004C1EAD">
            <w:pPr>
              <w:spacing w:after="180" w:line="240" w:lineRule="auto"/>
              <w:jc w:val="center"/>
              <w:rPr>
                <w:rFonts w:eastAsia="Helvetica,Times New Roman" w:cstheme="minorHAnsi"/>
                <w:color w:val="000000" w:themeColor="text1"/>
                <w:sz w:val="20"/>
                <w:szCs w:val="20"/>
              </w:rPr>
            </w:pPr>
          </w:p>
        </w:tc>
      </w:tr>
    </w:tbl>
    <w:p w14:paraId="56260956" w14:textId="77777777" w:rsidR="001D17E8" w:rsidRPr="001D17E8" w:rsidRDefault="001D17E8" w:rsidP="00EB247F"/>
    <w:p w14:paraId="56F5BC32" w14:textId="158F3059" w:rsidR="001D17E8" w:rsidRDefault="00686965" w:rsidP="00EB247F">
      <w:pPr>
        <w:pStyle w:val="Heading3"/>
      </w:pPr>
      <w:bookmarkStart w:id="91" w:name="_Ref536699919"/>
      <w:bookmarkStart w:id="92" w:name="_Toc44585084"/>
      <w:r>
        <w:t>Technical Inputs</w:t>
      </w:r>
      <w:bookmarkEnd w:id="91"/>
      <w:bookmarkEnd w:id="92"/>
    </w:p>
    <w:p w14:paraId="313E8400" w14:textId="499C8B1B" w:rsidR="007C7E99" w:rsidRDefault="007C7E99" w:rsidP="007C7E99">
      <w:r>
        <w:t>Besides purely climate and financial inputs, there are some inputs that apply to both climate and financial calculations. These are detailed below.</w:t>
      </w:r>
    </w:p>
    <w:p w14:paraId="3CE5966B" w14:textId="1497650F" w:rsidR="000875B5" w:rsidRPr="0021082B" w:rsidRDefault="000875B5" w:rsidP="00EB247F">
      <w:pPr>
        <w:pStyle w:val="Caption"/>
        <w:jc w:val="center"/>
        <w:rPr>
          <w:rFonts w:asciiTheme="majorHAnsi" w:eastAsiaTheme="majorEastAsia" w:hAnsiTheme="majorHAnsi" w:cstheme="majorBidi"/>
          <w:b/>
          <w:bCs/>
          <w:color w:val="000000" w:themeColor="text1"/>
          <w:sz w:val="23"/>
          <w:szCs w:val="23"/>
          <w:lang w:eastAsia="zh-CN"/>
        </w:rPr>
      </w:pPr>
      <w:bookmarkStart w:id="93" w:name="_Toc44585107"/>
      <w:r>
        <w:t xml:space="preserve">Table </w:t>
      </w:r>
      <w:r w:rsidR="00ED272A">
        <w:rPr>
          <w:noProof/>
        </w:rPr>
        <w:fldChar w:fldCharType="begin"/>
      </w:r>
      <w:r w:rsidR="00ED272A">
        <w:rPr>
          <w:noProof/>
        </w:rPr>
        <w:instrText xml:space="preserve"> STYLEREF 1 \s </w:instrText>
      </w:r>
      <w:r w:rsidR="00ED272A">
        <w:rPr>
          <w:noProof/>
        </w:rPr>
        <w:fldChar w:fldCharType="separate"/>
      </w:r>
      <w:r w:rsidR="006F1368">
        <w:rPr>
          <w:noProof/>
        </w:rPr>
        <w:t>2</w:t>
      </w:r>
      <w:r w:rsidR="00ED272A">
        <w:rPr>
          <w:noProof/>
        </w:rPr>
        <w:fldChar w:fldCharType="end"/>
      </w:r>
      <w:r w:rsidR="00E853F6">
        <w:t>.</w:t>
      </w:r>
      <w:r w:rsidR="00ED272A">
        <w:rPr>
          <w:noProof/>
        </w:rPr>
        <w:fldChar w:fldCharType="begin"/>
      </w:r>
      <w:r w:rsidR="00ED272A">
        <w:rPr>
          <w:noProof/>
        </w:rPr>
        <w:instrText xml:space="preserve"> SEQ Table \* ARABIC \s 1 </w:instrText>
      </w:r>
      <w:r w:rsidR="00ED272A">
        <w:rPr>
          <w:noProof/>
        </w:rPr>
        <w:fldChar w:fldCharType="separate"/>
      </w:r>
      <w:r w:rsidR="006F1368">
        <w:rPr>
          <w:noProof/>
        </w:rPr>
        <w:t>4</w:t>
      </w:r>
      <w:r w:rsidR="00ED272A">
        <w:rPr>
          <w:noProof/>
        </w:rPr>
        <w:fldChar w:fldCharType="end"/>
      </w:r>
      <w:r>
        <w:t xml:space="preserve"> Technical  Inputs</w:t>
      </w:r>
      <w:r w:rsidR="00E978D4">
        <w:t xml:space="preserve"> Conventional Technologies</w:t>
      </w:r>
      <w:bookmarkEnd w:id="93"/>
    </w:p>
    <w:tbl>
      <w:tblPr>
        <w:tblStyle w:val="TableGrid"/>
        <w:tblW w:w="9561" w:type="dxa"/>
        <w:jc w:val="center"/>
        <w:tblLook w:val="04A0" w:firstRow="1" w:lastRow="0" w:firstColumn="1" w:lastColumn="0" w:noHBand="0" w:noVBand="1"/>
      </w:tblPr>
      <w:tblGrid>
        <w:gridCol w:w="1992"/>
        <w:gridCol w:w="1311"/>
        <w:gridCol w:w="1795"/>
        <w:gridCol w:w="1590"/>
        <w:gridCol w:w="1493"/>
        <w:gridCol w:w="1380"/>
      </w:tblGrid>
      <w:tr w:rsidR="00E978D4" w:rsidRPr="00807D37" w14:paraId="6018AB22" w14:textId="77777777" w:rsidTr="00DA57F1">
        <w:trPr>
          <w:cantSplit/>
          <w:trHeight w:val="868"/>
          <w:tblHeader/>
          <w:jc w:val="center"/>
        </w:trPr>
        <w:tc>
          <w:tcPr>
            <w:tcW w:w="1992" w:type="dxa"/>
            <w:shd w:val="clear" w:color="auto" w:fill="4F81BD" w:themeFill="accent1"/>
            <w:vAlign w:val="center"/>
          </w:tcPr>
          <w:p w14:paraId="4EC8594B" w14:textId="7CE19067" w:rsidR="00E978D4" w:rsidRPr="00FB649C" w:rsidRDefault="00AC296E" w:rsidP="00AD4CF8">
            <w:pPr>
              <w:spacing w:after="180" w:line="240" w:lineRule="auto"/>
              <w:jc w:val="center"/>
              <w:rPr>
                <w:rFonts w:eastAsia="Helvetica,Times New Roman" w:cstheme="minorHAnsi"/>
                <w:b/>
                <w:color w:val="FFFFFF" w:themeColor="background1"/>
                <w:sz w:val="20"/>
                <w:szCs w:val="20"/>
              </w:rPr>
            </w:pPr>
            <w:r>
              <w:rPr>
                <w:rFonts w:eastAsia="Helvetica,Times New Roman" w:cstheme="minorHAnsi"/>
                <w:b/>
                <w:color w:val="FFFFFF" w:themeColor="background1"/>
                <w:sz w:val="20"/>
                <w:szCs w:val="20"/>
              </w:rPr>
              <w:t>Variable</w:t>
            </w:r>
          </w:p>
        </w:tc>
        <w:tc>
          <w:tcPr>
            <w:tcW w:w="1311" w:type="dxa"/>
            <w:shd w:val="clear" w:color="auto" w:fill="4F81BD" w:themeFill="accent1"/>
            <w:vAlign w:val="center"/>
          </w:tcPr>
          <w:p w14:paraId="2319849B" w14:textId="56E33788" w:rsidR="00E978D4" w:rsidRPr="00FB649C" w:rsidRDefault="00E978D4" w:rsidP="00AD4CF8">
            <w:pPr>
              <w:spacing w:after="180" w:line="240" w:lineRule="auto"/>
              <w:jc w:val="center"/>
              <w:rPr>
                <w:b/>
                <w:bCs/>
                <w:color w:val="FFFFFF" w:themeColor="background1"/>
                <w:sz w:val="20"/>
                <w:szCs w:val="20"/>
              </w:rPr>
            </w:pPr>
            <w:r>
              <w:rPr>
                <w:b/>
                <w:bCs/>
                <w:color w:val="FFFFFF" w:themeColor="background1"/>
                <w:sz w:val="20"/>
                <w:szCs w:val="20"/>
              </w:rPr>
              <w:t>Units</w:t>
            </w:r>
          </w:p>
        </w:tc>
        <w:tc>
          <w:tcPr>
            <w:tcW w:w="1795" w:type="dxa"/>
            <w:shd w:val="clear" w:color="auto" w:fill="4F81BD" w:themeFill="accent1"/>
            <w:vAlign w:val="center"/>
          </w:tcPr>
          <w:p w14:paraId="311DE699" w14:textId="661DD11D" w:rsidR="00E978D4" w:rsidRPr="00FB649C" w:rsidRDefault="00E978D4" w:rsidP="00AD4CF8">
            <w:pPr>
              <w:spacing w:after="180" w:line="240" w:lineRule="auto"/>
              <w:jc w:val="center"/>
              <w:rPr>
                <w:b/>
                <w:bCs/>
                <w:color w:val="FFFFFF" w:themeColor="background1"/>
                <w:sz w:val="20"/>
                <w:szCs w:val="20"/>
              </w:rPr>
            </w:pPr>
            <w:r>
              <w:rPr>
                <w:b/>
                <w:bCs/>
                <w:color w:val="FFFFFF" w:themeColor="background1"/>
                <w:sz w:val="20"/>
                <w:szCs w:val="20"/>
              </w:rPr>
              <w:t>Project Drawdown Data Set Range</w:t>
            </w:r>
          </w:p>
        </w:tc>
        <w:tc>
          <w:tcPr>
            <w:tcW w:w="1590" w:type="dxa"/>
            <w:shd w:val="clear" w:color="auto" w:fill="4F81BD" w:themeFill="accent1"/>
            <w:vAlign w:val="center"/>
          </w:tcPr>
          <w:p w14:paraId="63244B3B" w14:textId="3199A5F9" w:rsidR="00E978D4" w:rsidRPr="00FB649C" w:rsidRDefault="00E978D4" w:rsidP="00AD4CF8">
            <w:pPr>
              <w:spacing w:after="180" w:line="240" w:lineRule="auto"/>
              <w:jc w:val="center"/>
              <w:rPr>
                <w:b/>
                <w:bCs/>
                <w:color w:val="FFFFFF" w:themeColor="background1"/>
                <w:sz w:val="20"/>
                <w:szCs w:val="20"/>
              </w:rPr>
            </w:pPr>
            <w:r w:rsidRPr="00FB649C">
              <w:rPr>
                <w:b/>
                <w:bCs/>
                <w:color w:val="FFFFFF" w:themeColor="background1"/>
                <w:sz w:val="20"/>
                <w:szCs w:val="20"/>
              </w:rPr>
              <w:t>Model Input</w:t>
            </w:r>
          </w:p>
        </w:tc>
        <w:tc>
          <w:tcPr>
            <w:tcW w:w="1493" w:type="dxa"/>
            <w:shd w:val="clear" w:color="auto" w:fill="4F81BD" w:themeFill="accent1"/>
            <w:vAlign w:val="center"/>
          </w:tcPr>
          <w:p w14:paraId="0266F380" w14:textId="6CDC42DD" w:rsidR="00E978D4" w:rsidRPr="00FB649C" w:rsidRDefault="00E978D4" w:rsidP="00AD4CF8">
            <w:pPr>
              <w:spacing w:after="180" w:line="240" w:lineRule="auto"/>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1380" w:type="dxa"/>
            <w:shd w:val="clear" w:color="auto" w:fill="4F81BD" w:themeFill="accent1"/>
            <w:vAlign w:val="center"/>
          </w:tcPr>
          <w:p w14:paraId="4298198A" w14:textId="22583AB3" w:rsidR="00E978D4" w:rsidRPr="00FB649C" w:rsidRDefault="00E978D4" w:rsidP="00AD4CF8">
            <w:pPr>
              <w:spacing w:after="180" w:line="240" w:lineRule="auto"/>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E978D4" w:rsidRPr="007D5EAB" w14:paraId="63867CFF" w14:textId="77777777" w:rsidTr="008F0AA6">
        <w:trPr>
          <w:trHeight w:val="642"/>
          <w:jc w:val="center"/>
        </w:trPr>
        <w:tc>
          <w:tcPr>
            <w:tcW w:w="1992" w:type="dxa"/>
            <w:shd w:val="clear" w:color="auto" w:fill="auto"/>
            <w:vAlign w:val="center"/>
          </w:tcPr>
          <w:p w14:paraId="5BEA9C34" w14:textId="377693DD" w:rsidR="00E978D4" w:rsidRPr="00BB0F76" w:rsidRDefault="00E978D4" w:rsidP="00AD4CF8">
            <w:pPr>
              <w:spacing w:line="240" w:lineRule="auto"/>
              <w:jc w:val="center"/>
              <w:rPr>
                <w:color w:val="000000" w:themeColor="text1"/>
                <w:sz w:val="20"/>
                <w:szCs w:val="20"/>
              </w:rPr>
            </w:pPr>
            <w:r w:rsidRPr="00BB0F76">
              <w:rPr>
                <w:bCs/>
                <w:sz w:val="20"/>
                <w:szCs w:val="20"/>
              </w:rPr>
              <w:t>Lifetime Capacity</w:t>
            </w:r>
          </w:p>
        </w:tc>
        <w:tc>
          <w:tcPr>
            <w:tcW w:w="1311" w:type="dxa"/>
            <w:shd w:val="clear" w:color="auto" w:fill="auto"/>
            <w:vAlign w:val="center"/>
          </w:tcPr>
          <w:p w14:paraId="78FC6EF1" w14:textId="61104EE4" w:rsidR="00E978D4" w:rsidRPr="00BB0F76" w:rsidRDefault="00915D0D" w:rsidP="00AD4CF8">
            <w:pPr>
              <w:spacing w:after="180" w:line="240" w:lineRule="auto"/>
              <w:jc w:val="center"/>
              <w:rPr>
                <w:rFonts w:eastAsia="Helvetica,Times New Roman" w:cstheme="minorHAnsi"/>
                <w:i/>
                <w:color w:val="000000" w:themeColor="text1"/>
                <w:sz w:val="20"/>
                <w:szCs w:val="20"/>
              </w:rPr>
            </w:pPr>
            <w:r w:rsidRPr="00BB0F76">
              <w:rPr>
                <w:rFonts w:eastAsia="Helvetica,Times New Roman" w:cstheme="minorHAnsi"/>
                <w:i/>
                <w:color w:val="000000" w:themeColor="text1"/>
                <w:sz w:val="20"/>
                <w:szCs w:val="20"/>
              </w:rPr>
              <w:t xml:space="preserve">Plmh/Plm = </w:t>
            </w:r>
            <w:r w:rsidR="00F349BD" w:rsidRPr="00BB0F76">
              <w:rPr>
                <w:rFonts w:eastAsia="Helvetica,Times New Roman" w:cstheme="minorHAnsi"/>
                <w:i/>
                <w:color w:val="000000" w:themeColor="text1"/>
                <w:sz w:val="20"/>
                <w:szCs w:val="20"/>
              </w:rPr>
              <w:t>hours</w:t>
            </w:r>
          </w:p>
        </w:tc>
        <w:tc>
          <w:tcPr>
            <w:tcW w:w="1795" w:type="dxa"/>
            <w:shd w:val="clear" w:color="auto" w:fill="auto"/>
            <w:vAlign w:val="center"/>
          </w:tcPr>
          <w:p w14:paraId="4812F414" w14:textId="4EFC33BF" w:rsidR="00E978D4" w:rsidRPr="00BB0F76" w:rsidRDefault="00F013C2"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2,07</w:t>
            </w:r>
            <w:r w:rsidR="00C46AE9" w:rsidRPr="00BB0F76">
              <w:rPr>
                <w:rFonts w:eastAsia="Helvetica,Times New Roman" w:cstheme="minorHAnsi"/>
                <w:color w:val="000000" w:themeColor="text1"/>
                <w:sz w:val="20"/>
                <w:szCs w:val="20"/>
              </w:rPr>
              <w:t>0 – 14,970</w:t>
            </w:r>
            <w:r w:rsidR="0019230B" w:rsidRPr="00BB0F76">
              <w:rPr>
                <w:rFonts w:eastAsia="Helvetica,Times New Roman" w:cstheme="minorHAnsi"/>
                <w:color w:val="000000" w:themeColor="text1"/>
                <w:sz w:val="20"/>
                <w:szCs w:val="20"/>
              </w:rPr>
              <w:t xml:space="preserve"> </w:t>
            </w:r>
          </w:p>
        </w:tc>
        <w:tc>
          <w:tcPr>
            <w:tcW w:w="1590" w:type="dxa"/>
            <w:shd w:val="clear" w:color="auto" w:fill="auto"/>
            <w:vAlign w:val="center"/>
          </w:tcPr>
          <w:p w14:paraId="1A2A7431" w14:textId="324C53FC" w:rsidR="00E978D4" w:rsidRPr="00BB0F76" w:rsidRDefault="00FE6680" w:rsidP="00AD4CF8">
            <w:pPr>
              <w:spacing w:after="180" w:line="240" w:lineRule="auto"/>
              <w:jc w:val="center"/>
              <w:rPr>
                <w:rFonts w:eastAsia="Helvetica,Times New Roman" w:cstheme="minorHAnsi"/>
                <w:color w:val="000000" w:themeColor="text1"/>
                <w:sz w:val="20"/>
                <w:szCs w:val="20"/>
              </w:rPr>
            </w:pPr>
            <w:r w:rsidRPr="00BB0F76">
              <w:rPr>
                <w:rFonts w:eastAsia="Helvetica,Times New Roman" w:cstheme="minorHAnsi"/>
                <w:color w:val="000000" w:themeColor="text1"/>
                <w:sz w:val="20"/>
                <w:szCs w:val="20"/>
              </w:rPr>
              <w:t>8,520</w:t>
            </w:r>
          </w:p>
        </w:tc>
        <w:tc>
          <w:tcPr>
            <w:tcW w:w="1493" w:type="dxa"/>
            <w:shd w:val="clear" w:color="auto" w:fill="auto"/>
            <w:vAlign w:val="center"/>
          </w:tcPr>
          <w:p w14:paraId="69B835DE" w14:textId="6CC49F02" w:rsidR="00E978D4" w:rsidRPr="00BB0F76" w:rsidRDefault="00FE6680" w:rsidP="00AD4CF8">
            <w:pPr>
              <w:spacing w:after="180" w:line="240" w:lineRule="auto"/>
              <w:jc w:val="center"/>
              <w:rPr>
                <w:rFonts w:eastAsia="Helvetica,Times New Roman" w:cstheme="minorHAnsi"/>
                <w:color w:val="000000" w:themeColor="text1"/>
                <w:sz w:val="20"/>
                <w:szCs w:val="20"/>
              </w:rPr>
            </w:pPr>
            <w:r w:rsidRPr="00BB0F76">
              <w:rPr>
                <w:rFonts w:eastAsia="Helvetica,Times New Roman" w:cstheme="minorHAnsi"/>
                <w:color w:val="000000" w:themeColor="text1"/>
                <w:sz w:val="20"/>
                <w:szCs w:val="20"/>
              </w:rPr>
              <w:t>18</w:t>
            </w:r>
          </w:p>
        </w:tc>
        <w:tc>
          <w:tcPr>
            <w:tcW w:w="1380" w:type="dxa"/>
            <w:shd w:val="clear" w:color="auto" w:fill="auto"/>
            <w:vAlign w:val="center"/>
          </w:tcPr>
          <w:p w14:paraId="5AF77D15" w14:textId="55776AF9" w:rsidR="00E978D4" w:rsidRPr="00BB0F76" w:rsidRDefault="00BB0F76" w:rsidP="00AD4CF8">
            <w:pPr>
              <w:spacing w:after="180" w:line="240" w:lineRule="auto"/>
              <w:jc w:val="center"/>
              <w:rPr>
                <w:rFonts w:eastAsia="Helvetica,Times New Roman" w:cstheme="minorHAnsi"/>
                <w:color w:val="000000" w:themeColor="text1"/>
                <w:sz w:val="20"/>
                <w:szCs w:val="20"/>
              </w:rPr>
            </w:pPr>
            <w:r w:rsidRPr="00BB0F76">
              <w:rPr>
                <w:rFonts w:eastAsia="Helvetica,Times New Roman" w:cstheme="minorHAnsi"/>
                <w:color w:val="000000" w:themeColor="text1"/>
                <w:sz w:val="20"/>
                <w:szCs w:val="20"/>
              </w:rPr>
              <w:t>4</w:t>
            </w:r>
          </w:p>
        </w:tc>
      </w:tr>
      <w:tr w:rsidR="00E978D4" w:rsidRPr="00807D37" w14:paraId="1D67C409" w14:textId="77777777" w:rsidTr="008F0AA6">
        <w:trPr>
          <w:trHeight w:val="642"/>
          <w:jc w:val="center"/>
        </w:trPr>
        <w:tc>
          <w:tcPr>
            <w:tcW w:w="1992" w:type="dxa"/>
            <w:shd w:val="clear" w:color="auto" w:fill="auto"/>
            <w:vAlign w:val="center"/>
          </w:tcPr>
          <w:p w14:paraId="5ADDAC7F" w14:textId="126B9255" w:rsidR="00E978D4" w:rsidRPr="00BB0F76" w:rsidRDefault="00E978D4" w:rsidP="00AD4CF8">
            <w:pPr>
              <w:spacing w:line="240" w:lineRule="auto"/>
              <w:jc w:val="center"/>
              <w:rPr>
                <w:color w:val="000000" w:themeColor="text1"/>
                <w:sz w:val="20"/>
                <w:szCs w:val="20"/>
              </w:rPr>
            </w:pPr>
            <w:r w:rsidRPr="00BB0F76">
              <w:rPr>
                <w:bCs/>
                <w:sz w:val="20"/>
                <w:szCs w:val="20"/>
              </w:rPr>
              <w:t>Average Annual Use</w:t>
            </w:r>
          </w:p>
        </w:tc>
        <w:tc>
          <w:tcPr>
            <w:tcW w:w="1311" w:type="dxa"/>
            <w:shd w:val="clear" w:color="auto" w:fill="auto"/>
            <w:vAlign w:val="center"/>
          </w:tcPr>
          <w:p w14:paraId="3731A45E" w14:textId="49AF733E" w:rsidR="00E978D4" w:rsidRPr="00BB0F76" w:rsidRDefault="00915D0D" w:rsidP="00AD4CF8">
            <w:pPr>
              <w:spacing w:after="180" w:line="240" w:lineRule="auto"/>
              <w:jc w:val="center"/>
              <w:rPr>
                <w:rFonts w:eastAsia="Helvetica,Times New Roman" w:cstheme="minorHAnsi"/>
                <w:i/>
                <w:color w:val="000000" w:themeColor="text1"/>
                <w:sz w:val="20"/>
                <w:szCs w:val="20"/>
              </w:rPr>
            </w:pPr>
            <w:r w:rsidRPr="00BB0F76">
              <w:rPr>
                <w:rFonts w:eastAsia="Helvetica,Times New Roman" w:cstheme="minorHAnsi"/>
                <w:i/>
                <w:color w:val="000000" w:themeColor="text1"/>
                <w:sz w:val="20"/>
                <w:szCs w:val="20"/>
              </w:rPr>
              <w:t>Plmh/Plm =</w:t>
            </w:r>
            <w:r w:rsidR="00E978D4" w:rsidRPr="00BB0F76">
              <w:rPr>
                <w:bCs/>
                <w:i/>
                <w:color w:val="000000" w:themeColor="text1"/>
                <w:sz w:val="20"/>
                <w:szCs w:val="20"/>
              </w:rPr>
              <w:t>hours</w:t>
            </w:r>
          </w:p>
        </w:tc>
        <w:tc>
          <w:tcPr>
            <w:tcW w:w="1795" w:type="dxa"/>
            <w:shd w:val="clear" w:color="auto" w:fill="auto"/>
            <w:vAlign w:val="center"/>
          </w:tcPr>
          <w:p w14:paraId="08234FBE" w14:textId="38C9C4D3" w:rsidR="00E978D4" w:rsidRPr="00BB0F76" w:rsidRDefault="00C46AE9" w:rsidP="00AD4CF8">
            <w:pPr>
              <w:spacing w:after="180" w:line="240" w:lineRule="auto"/>
              <w:jc w:val="center"/>
              <w:rPr>
                <w:rFonts w:eastAsia="Helvetica,Times New Roman" w:cstheme="minorHAnsi"/>
                <w:color w:val="000000" w:themeColor="text1"/>
                <w:sz w:val="20"/>
                <w:szCs w:val="20"/>
              </w:rPr>
            </w:pPr>
            <w:r w:rsidRPr="00BB0F76">
              <w:rPr>
                <w:rFonts w:eastAsia="Helvetica,Times New Roman" w:cstheme="minorHAnsi"/>
                <w:color w:val="000000" w:themeColor="text1"/>
                <w:sz w:val="20"/>
                <w:szCs w:val="20"/>
              </w:rPr>
              <w:t>1,964 – 3,756</w:t>
            </w:r>
          </w:p>
        </w:tc>
        <w:tc>
          <w:tcPr>
            <w:tcW w:w="1590" w:type="dxa"/>
            <w:shd w:val="clear" w:color="auto" w:fill="auto"/>
            <w:vAlign w:val="center"/>
          </w:tcPr>
          <w:p w14:paraId="4DB6DDA0" w14:textId="51FD2BCD" w:rsidR="00E978D4" w:rsidRPr="00BB0F76" w:rsidRDefault="00C46AE9" w:rsidP="00AD4CF8">
            <w:pPr>
              <w:spacing w:line="240" w:lineRule="auto"/>
              <w:jc w:val="center"/>
              <w:rPr>
                <w:bCs/>
                <w:sz w:val="20"/>
                <w:szCs w:val="20"/>
              </w:rPr>
            </w:pPr>
            <w:r w:rsidRPr="00BB0F76">
              <w:rPr>
                <w:bCs/>
                <w:sz w:val="20"/>
                <w:szCs w:val="20"/>
              </w:rPr>
              <w:t>2,860</w:t>
            </w:r>
          </w:p>
        </w:tc>
        <w:tc>
          <w:tcPr>
            <w:tcW w:w="1493" w:type="dxa"/>
            <w:shd w:val="clear" w:color="auto" w:fill="auto"/>
            <w:vAlign w:val="center"/>
          </w:tcPr>
          <w:p w14:paraId="7B612667" w14:textId="6C423C56" w:rsidR="00E978D4" w:rsidRPr="00BB0F76" w:rsidRDefault="00C46AE9" w:rsidP="00AD4CF8">
            <w:pPr>
              <w:spacing w:after="180" w:line="240" w:lineRule="auto"/>
              <w:jc w:val="center"/>
              <w:rPr>
                <w:rFonts w:eastAsia="Helvetica,Times New Roman" w:cstheme="minorHAnsi"/>
                <w:color w:val="000000" w:themeColor="text1"/>
                <w:sz w:val="20"/>
                <w:szCs w:val="20"/>
              </w:rPr>
            </w:pPr>
            <w:r w:rsidRPr="00BB0F76">
              <w:rPr>
                <w:rFonts w:eastAsia="Helvetica,Times New Roman" w:cstheme="minorHAnsi"/>
                <w:color w:val="000000" w:themeColor="text1"/>
                <w:sz w:val="20"/>
                <w:szCs w:val="20"/>
              </w:rPr>
              <w:t>11</w:t>
            </w:r>
          </w:p>
        </w:tc>
        <w:tc>
          <w:tcPr>
            <w:tcW w:w="1380" w:type="dxa"/>
            <w:shd w:val="clear" w:color="auto" w:fill="auto"/>
            <w:vAlign w:val="center"/>
          </w:tcPr>
          <w:p w14:paraId="590B311B" w14:textId="614FC46C" w:rsidR="00E978D4" w:rsidRPr="00BB0F76" w:rsidRDefault="00BB0F76" w:rsidP="00AD4CF8">
            <w:pPr>
              <w:spacing w:after="180" w:line="240" w:lineRule="auto"/>
              <w:jc w:val="center"/>
              <w:rPr>
                <w:rFonts w:eastAsia="Helvetica,Times New Roman" w:cstheme="minorHAnsi"/>
                <w:color w:val="000000" w:themeColor="text1"/>
                <w:sz w:val="20"/>
                <w:szCs w:val="20"/>
              </w:rPr>
            </w:pPr>
            <w:r w:rsidRPr="00BB0F76">
              <w:rPr>
                <w:rFonts w:eastAsia="Helvetica,Times New Roman" w:cstheme="minorHAnsi"/>
                <w:color w:val="000000" w:themeColor="text1"/>
                <w:sz w:val="20"/>
                <w:szCs w:val="20"/>
              </w:rPr>
              <w:t>1</w:t>
            </w:r>
          </w:p>
        </w:tc>
      </w:tr>
      <w:tr w:rsidR="00F349BD" w:rsidRPr="00807D37" w14:paraId="3347D762" w14:textId="77777777" w:rsidTr="008F0AA6">
        <w:trPr>
          <w:trHeight w:val="642"/>
          <w:jc w:val="center"/>
        </w:trPr>
        <w:tc>
          <w:tcPr>
            <w:tcW w:w="1992" w:type="dxa"/>
            <w:shd w:val="clear" w:color="auto" w:fill="auto"/>
            <w:vAlign w:val="center"/>
          </w:tcPr>
          <w:p w14:paraId="1E5272B0" w14:textId="4237C321" w:rsidR="00F349BD" w:rsidRPr="00BB0F76" w:rsidRDefault="00C46AE9" w:rsidP="00F349BD">
            <w:pPr>
              <w:spacing w:line="240" w:lineRule="auto"/>
              <w:jc w:val="center"/>
              <w:rPr>
                <w:bCs/>
                <w:sz w:val="20"/>
                <w:szCs w:val="20"/>
              </w:rPr>
            </w:pPr>
            <w:r w:rsidRPr="00BB0F76">
              <w:rPr>
                <w:bCs/>
                <w:sz w:val="20"/>
                <w:szCs w:val="20"/>
              </w:rPr>
              <w:t>Electricity</w:t>
            </w:r>
            <w:r w:rsidR="00F349BD" w:rsidRPr="00BB0F76">
              <w:rPr>
                <w:bCs/>
                <w:sz w:val="20"/>
                <w:szCs w:val="20"/>
              </w:rPr>
              <w:t xml:space="preserve"> consumed </w:t>
            </w:r>
          </w:p>
        </w:tc>
        <w:tc>
          <w:tcPr>
            <w:tcW w:w="1311" w:type="dxa"/>
            <w:shd w:val="clear" w:color="auto" w:fill="auto"/>
            <w:vAlign w:val="center"/>
          </w:tcPr>
          <w:p w14:paraId="5C0688BA" w14:textId="38027651" w:rsidR="00F349BD" w:rsidRPr="00BB0F76" w:rsidRDefault="00F349BD" w:rsidP="00AD4CF8">
            <w:pPr>
              <w:spacing w:after="180" w:line="240" w:lineRule="auto"/>
              <w:jc w:val="center"/>
              <w:rPr>
                <w:bCs/>
                <w:i/>
                <w:color w:val="000000" w:themeColor="text1"/>
                <w:sz w:val="20"/>
                <w:szCs w:val="20"/>
              </w:rPr>
            </w:pPr>
            <w:r w:rsidRPr="00BB0F76">
              <w:rPr>
                <w:bCs/>
                <w:i/>
                <w:color w:val="000000" w:themeColor="text1"/>
                <w:sz w:val="20"/>
                <w:szCs w:val="20"/>
              </w:rPr>
              <w:t>TWh/ Plmh</w:t>
            </w:r>
          </w:p>
        </w:tc>
        <w:tc>
          <w:tcPr>
            <w:tcW w:w="1795" w:type="dxa"/>
            <w:shd w:val="clear" w:color="auto" w:fill="auto"/>
            <w:vAlign w:val="center"/>
          </w:tcPr>
          <w:p w14:paraId="01B829A8" w14:textId="46312E1B" w:rsidR="00F349BD" w:rsidRPr="00BB0F76" w:rsidRDefault="00BB0F76" w:rsidP="00AD4CF8">
            <w:pPr>
              <w:spacing w:after="180" w:line="240" w:lineRule="auto"/>
              <w:jc w:val="center"/>
              <w:rPr>
                <w:rFonts w:eastAsia="Helvetica,Times New Roman" w:cstheme="minorHAnsi"/>
                <w:color w:val="000000" w:themeColor="text1"/>
                <w:sz w:val="20"/>
                <w:szCs w:val="20"/>
              </w:rPr>
            </w:pPr>
            <w:r w:rsidRPr="00BB0F76">
              <w:rPr>
                <w:rFonts w:eastAsia="Helvetica,Times New Roman" w:cstheme="minorHAnsi"/>
                <w:color w:val="000000" w:themeColor="text1"/>
                <w:sz w:val="20"/>
                <w:szCs w:val="20"/>
              </w:rPr>
              <w:t>12.94 – 71.74</w:t>
            </w:r>
          </w:p>
        </w:tc>
        <w:tc>
          <w:tcPr>
            <w:tcW w:w="1590" w:type="dxa"/>
            <w:shd w:val="clear" w:color="auto" w:fill="auto"/>
            <w:vAlign w:val="center"/>
          </w:tcPr>
          <w:p w14:paraId="1122BC98" w14:textId="327F42DB" w:rsidR="00F349BD" w:rsidRPr="00BB0F76" w:rsidRDefault="00BB0F76" w:rsidP="00AD4CF8">
            <w:pPr>
              <w:spacing w:line="240" w:lineRule="auto"/>
              <w:jc w:val="center"/>
              <w:rPr>
                <w:bCs/>
                <w:sz w:val="20"/>
                <w:szCs w:val="20"/>
              </w:rPr>
            </w:pPr>
            <w:r w:rsidRPr="00BB0F76">
              <w:rPr>
                <w:bCs/>
                <w:sz w:val="20"/>
                <w:szCs w:val="20"/>
              </w:rPr>
              <w:t>42.34</w:t>
            </w:r>
          </w:p>
        </w:tc>
        <w:tc>
          <w:tcPr>
            <w:tcW w:w="1493" w:type="dxa"/>
            <w:shd w:val="clear" w:color="auto" w:fill="auto"/>
            <w:vAlign w:val="center"/>
          </w:tcPr>
          <w:p w14:paraId="7CA9CD4A" w14:textId="2FC5E1E2" w:rsidR="00F349BD" w:rsidRPr="00BB0F76" w:rsidRDefault="00BB0F76" w:rsidP="00AD4CF8">
            <w:pPr>
              <w:spacing w:after="180" w:line="240" w:lineRule="auto"/>
              <w:jc w:val="center"/>
              <w:rPr>
                <w:rFonts w:eastAsia="Helvetica,Times New Roman" w:cstheme="minorHAnsi"/>
                <w:color w:val="000000" w:themeColor="text1"/>
                <w:sz w:val="20"/>
                <w:szCs w:val="20"/>
              </w:rPr>
            </w:pPr>
            <w:r w:rsidRPr="00BB0F76">
              <w:rPr>
                <w:rFonts w:eastAsia="Helvetica,Times New Roman" w:cstheme="minorHAnsi"/>
                <w:color w:val="000000" w:themeColor="text1"/>
                <w:sz w:val="20"/>
                <w:szCs w:val="20"/>
              </w:rPr>
              <w:t>3</w:t>
            </w:r>
            <w:r w:rsidR="0019230B" w:rsidRPr="00BB0F76">
              <w:rPr>
                <w:rFonts w:eastAsia="Helvetica,Times New Roman" w:cstheme="minorHAnsi"/>
                <w:color w:val="000000" w:themeColor="text1"/>
                <w:sz w:val="20"/>
                <w:szCs w:val="20"/>
              </w:rPr>
              <w:t>6</w:t>
            </w:r>
          </w:p>
        </w:tc>
        <w:tc>
          <w:tcPr>
            <w:tcW w:w="1380" w:type="dxa"/>
            <w:shd w:val="clear" w:color="auto" w:fill="auto"/>
            <w:vAlign w:val="center"/>
          </w:tcPr>
          <w:p w14:paraId="193577F6" w14:textId="4C2F47A3" w:rsidR="00F349BD" w:rsidRPr="00BB0F76" w:rsidRDefault="00BB0F76" w:rsidP="00AD4CF8">
            <w:pPr>
              <w:spacing w:after="180" w:line="240" w:lineRule="auto"/>
              <w:jc w:val="center"/>
              <w:rPr>
                <w:rFonts w:eastAsia="Helvetica,Times New Roman" w:cstheme="minorHAnsi"/>
                <w:color w:val="000000" w:themeColor="text1"/>
                <w:sz w:val="20"/>
                <w:szCs w:val="20"/>
              </w:rPr>
            </w:pPr>
            <w:r w:rsidRPr="00BB0F76">
              <w:rPr>
                <w:rFonts w:eastAsia="Helvetica,Times New Roman" w:cstheme="minorHAnsi"/>
                <w:color w:val="000000" w:themeColor="text1"/>
                <w:sz w:val="20"/>
                <w:szCs w:val="20"/>
              </w:rPr>
              <w:t>9</w:t>
            </w:r>
          </w:p>
        </w:tc>
      </w:tr>
      <w:tr w:rsidR="00E85FEA" w:rsidRPr="00807D37" w14:paraId="0C4F37B9" w14:textId="77777777" w:rsidTr="008F0AA6">
        <w:trPr>
          <w:trHeight w:val="642"/>
          <w:jc w:val="center"/>
        </w:trPr>
        <w:tc>
          <w:tcPr>
            <w:tcW w:w="1992" w:type="dxa"/>
            <w:shd w:val="clear" w:color="auto" w:fill="auto"/>
            <w:vAlign w:val="center"/>
          </w:tcPr>
          <w:p w14:paraId="0BB21AFA" w14:textId="1B767598" w:rsidR="00E85FEA" w:rsidRPr="00BB0F76" w:rsidRDefault="00E85FEA" w:rsidP="00F349BD">
            <w:pPr>
              <w:spacing w:line="240" w:lineRule="auto"/>
              <w:jc w:val="center"/>
              <w:rPr>
                <w:bCs/>
                <w:sz w:val="20"/>
                <w:szCs w:val="20"/>
              </w:rPr>
            </w:pPr>
            <w:r w:rsidRPr="00BB0F76">
              <w:rPr>
                <w:bCs/>
                <w:sz w:val="20"/>
                <w:szCs w:val="20"/>
              </w:rPr>
              <w:t>Luminous Efficacy</w:t>
            </w:r>
            <w:r w:rsidR="00C46AE9" w:rsidRPr="00BB0F76">
              <w:rPr>
                <w:bCs/>
                <w:sz w:val="20"/>
                <w:szCs w:val="20"/>
              </w:rPr>
              <w:t xml:space="preserve"> – Incandescent</w:t>
            </w:r>
          </w:p>
        </w:tc>
        <w:tc>
          <w:tcPr>
            <w:tcW w:w="1311" w:type="dxa"/>
            <w:shd w:val="clear" w:color="auto" w:fill="auto"/>
            <w:vAlign w:val="center"/>
          </w:tcPr>
          <w:p w14:paraId="4AC1A297" w14:textId="02917AC3" w:rsidR="00E85FEA" w:rsidRPr="00BB0F76" w:rsidRDefault="00E85FEA" w:rsidP="00AD4CF8">
            <w:pPr>
              <w:spacing w:after="180" w:line="240" w:lineRule="auto"/>
              <w:jc w:val="center"/>
              <w:rPr>
                <w:bCs/>
                <w:i/>
                <w:color w:val="000000" w:themeColor="text1"/>
                <w:sz w:val="20"/>
                <w:szCs w:val="20"/>
              </w:rPr>
            </w:pPr>
            <w:r w:rsidRPr="00BB0F76">
              <w:rPr>
                <w:bCs/>
                <w:i/>
                <w:color w:val="000000" w:themeColor="text1"/>
                <w:sz w:val="20"/>
                <w:szCs w:val="20"/>
              </w:rPr>
              <w:t>lm/W</w:t>
            </w:r>
          </w:p>
        </w:tc>
        <w:tc>
          <w:tcPr>
            <w:tcW w:w="1795" w:type="dxa"/>
            <w:shd w:val="clear" w:color="auto" w:fill="auto"/>
            <w:vAlign w:val="center"/>
          </w:tcPr>
          <w:p w14:paraId="0187566C" w14:textId="02F24B05" w:rsidR="00E85FEA" w:rsidRPr="00BB0F76" w:rsidRDefault="00FE5366" w:rsidP="00AD4CF8">
            <w:pPr>
              <w:spacing w:after="180" w:line="240" w:lineRule="auto"/>
              <w:jc w:val="center"/>
              <w:rPr>
                <w:rFonts w:eastAsia="Helvetica,Times New Roman" w:cstheme="minorHAnsi"/>
                <w:color w:val="000000" w:themeColor="text1"/>
                <w:sz w:val="20"/>
                <w:szCs w:val="20"/>
              </w:rPr>
            </w:pPr>
            <w:r w:rsidRPr="00BB0F76">
              <w:rPr>
                <w:rFonts w:eastAsia="Helvetica,Times New Roman" w:cstheme="minorHAnsi"/>
                <w:color w:val="000000" w:themeColor="text1"/>
                <w:sz w:val="20"/>
                <w:szCs w:val="20"/>
              </w:rPr>
              <w:t>10.3-16.7</w:t>
            </w:r>
          </w:p>
        </w:tc>
        <w:tc>
          <w:tcPr>
            <w:tcW w:w="1590" w:type="dxa"/>
            <w:shd w:val="clear" w:color="auto" w:fill="auto"/>
            <w:vAlign w:val="center"/>
          </w:tcPr>
          <w:p w14:paraId="400B1F5D" w14:textId="66B30344" w:rsidR="00E85FEA" w:rsidRPr="00BB0F76" w:rsidRDefault="00FE5366" w:rsidP="00AD4CF8">
            <w:pPr>
              <w:spacing w:line="240" w:lineRule="auto"/>
              <w:jc w:val="center"/>
              <w:rPr>
                <w:bCs/>
                <w:sz w:val="20"/>
                <w:szCs w:val="20"/>
              </w:rPr>
            </w:pPr>
            <w:r w:rsidRPr="00BB0F76">
              <w:rPr>
                <w:bCs/>
                <w:sz w:val="20"/>
                <w:szCs w:val="20"/>
              </w:rPr>
              <w:t>13.5</w:t>
            </w:r>
          </w:p>
        </w:tc>
        <w:tc>
          <w:tcPr>
            <w:tcW w:w="1493" w:type="dxa"/>
            <w:shd w:val="clear" w:color="auto" w:fill="auto"/>
            <w:vAlign w:val="center"/>
          </w:tcPr>
          <w:p w14:paraId="05BEFA1F" w14:textId="7C9147C1" w:rsidR="00E85FEA" w:rsidRPr="00BB0F76" w:rsidRDefault="00FE5366" w:rsidP="00AD4CF8">
            <w:pPr>
              <w:spacing w:after="180" w:line="240" w:lineRule="auto"/>
              <w:jc w:val="center"/>
              <w:rPr>
                <w:rFonts w:eastAsia="Helvetica,Times New Roman" w:cstheme="minorHAnsi"/>
                <w:color w:val="000000" w:themeColor="text1"/>
                <w:sz w:val="20"/>
                <w:szCs w:val="20"/>
              </w:rPr>
            </w:pPr>
            <w:r w:rsidRPr="00BB0F76">
              <w:rPr>
                <w:rFonts w:eastAsia="Helvetica,Times New Roman" w:cstheme="minorHAnsi"/>
                <w:color w:val="000000" w:themeColor="text1"/>
                <w:sz w:val="20"/>
                <w:szCs w:val="20"/>
              </w:rPr>
              <w:t>7</w:t>
            </w:r>
          </w:p>
        </w:tc>
        <w:tc>
          <w:tcPr>
            <w:tcW w:w="1380" w:type="dxa"/>
            <w:shd w:val="clear" w:color="auto" w:fill="auto"/>
            <w:vAlign w:val="center"/>
          </w:tcPr>
          <w:p w14:paraId="0A8E3335" w14:textId="4605329B" w:rsidR="00E85FEA" w:rsidRPr="00BB0F76" w:rsidRDefault="00C46AE9" w:rsidP="00AD4CF8">
            <w:pPr>
              <w:spacing w:after="180" w:line="240" w:lineRule="auto"/>
              <w:jc w:val="center"/>
              <w:rPr>
                <w:rFonts w:eastAsia="Helvetica,Times New Roman" w:cstheme="minorHAnsi"/>
                <w:color w:val="000000" w:themeColor="text1"/>
                <w:sz w:val="20"/>
                <w:szCs w:val="20"/>
              </w:rPr>
            </w:pPr>
            <w:r w:rsidRPr="00BB0F76">
              <w:rPr>
                <w:rFonts w:eastAsia="Helvetica,Times New Roman" w:cstheme="minorHAnsi"/>
                <w:color w:val="000000" w:themeColor="text1"/>
                <w:sz w:val="20"/>
                <w:szCs w:val="20"/>
              </w:rPr>
              <w:t>7</w:t>
            </w:r>
          </w:p>
        </w:tc>
      </w:tr>
      <w:tr w:rsidR="00C46AE9" w:rsidRPr="00807D37" w14:paraId="3E1EA97E" w14:textId="77777777" w:rsidTr="00C46AE9">
        <w:trPr>
          <w:trHeight w:val="642"/>
          <w:jc w:val="center"/>
        </w:trPr>
        <w:tc>
          <w:tcPr>
            <w:tcW w:w="1992" w:type="dxa"/>
            <w:shd w:val="clear" w:color="auto" w:fill="auto"/>
            <w:vAlign w:val="center"/>
          </w:tcPr>
          <w:p w14:paraId="62891BBF" w14:textId="2E98C736" w:rsidR="00C46AE9" w:rsidRPr="00BB0F76" w:rsidRDefault="00C46AE9" w:rsidP="00C46AE9">
            <w:pPr>
              <w:spacing w:line="240" w:lineRule="auto"/>
              <w:jc w:val="center"/>
              <w:rPr>
                <w:bCs/>
                <w:sz w:val="20"/>
                <w:szCs w:val="20"/>
              </w:rPr>
            </w:pPr>
            <w:r w:rsidRPr="00BB0F76">
              <w:rPr>
                <w:bCs/>
                <w:sz w:val="20"/>
                <w:szCs w:val="20"/>
              </w:rPr>
              <w:t>Luminous Efficacy – Halogen</w:t>
            </w:r>
          </w:p>
        </w:tc>
        <w:tc>
          <w:tcPr>
            <w:tcW w:w="1311" w:type="dxa"/>
            <w:shd w:val="clear" w:color="auto" w:fill="auto"/>
            <w:vAlign w:val="center"/>
          </w:tcPr>
          <w:p w14:paraId="40FA66B9" w14:textId="0EE44E01" w:rsidR="00C46AE9" w:rsidRPr="00BB0F76" w:rsidRDefault="00C46AE9" w:rsidP="00C46AE9">
            <w:pPr>
              <w:spacing w:after="180" w:line="240" w:lineRule="auto"/>
              <w:jc w:val="center"/>
              <w:rPr>
                <w:bCs/>
                <w:i/>
                <w:color w:val="000000" w:themeColor="text1"/>
                <w:sz w:val="20"/>
                <w:szCs w:val="20"/>
              </w:rPr>
            </w:pPr>
            <w:r w:rsidRPr="00BB0F76">
              <w:rPr>
                <w:bCs/>
                <w:i/>
                <w:color w:val="000000" w:themeColor="text1"/>
                <w:sz w:val="20"/>
                <w:szCs w:val="20"/>
              </w:rPr>
              <w:t>lm/W</w:t>
            </w:r>
          </w:p>
        </w:tc>
        <w:tc>
          <w:tcPr>
            <w:tcW w:w="1795" w:type="dxa"/>
            <w:shd w:val="clear" w:color="auto" w:fill="auto"/>
            <w:vAlign w:val="center"/>
          </w:tcPr>
          <w:p w14:paraId="6143961B" w14:textId="436DE37A" w:rsidR="00C46AE9" w:rsidRPr="00BB0F76" w:rsidRDefault="00C46AE9" w:rsidP="00C46AE9">
            <w:pPr>
              <w:spacing w:after="180" w:line="240" w:lineRule="auto"/>
              <w:jc w:val="center"/>
              <w:rPr>
                <w:rFonts w:eastAsia="Helvetica,Times New Roman" w:cstheme="minorHAnsi"/>
                <w:color w:val="000000" w:themeColor="text1"/>
                <w:sz w:val="20"/>
                <w:szCs w:val="20"/>
              </w:rPr>
            </w:pPr>
            <w:r w:rsidRPr="00BB0F76">
              <w:rPr>
                <w:rFonts w:eastAsia="Helvetica,Times New Roman" w:cstheme="minorHAnsi"/>
                <w:color w:val="000000" w:themeColor="text1"/>
                <w:sz w:val="20"/>
                <w:szCs w:val="20"/>
              </w:rPr>
              <w:t>15.3 – 27.7</w:t>
            </w:r>
          </w:p>
        </w:tc>
        <w:tc>
          <w:tcPr>
            <w:tcW w:w="1590" w:type="dxa"/>
            <w:shd w:val="clear" w:color="auto" w:fill="auto"/>
            <w:vAlign w:val="center"/>
          </w:tcPr>
          <w:p w14:paraId="78E26DE9" w14:textId="6AC3AFC1" w:rsidR="00C46AE9" w:rsidRPr="00BB0F76" w:rsidRDefault="00C46AE9" w:rsidP="00C46AE9">
            <w:pPr>
              <w:spacing w:line="240" w:lineRule="auto"/>
              <w:jc w:val="center"/>
              <w:rPr>
                <w:bCs/>
                <w:sz w:val="20"/>
                <w:szCs w:val="20"/>
              </w:rPr>
            </w:pPr>
            <w:r w:rsidRPr="00BB0F76">
              <w:rPr>
                <w:bCs/>
                <w:sz w:val="20"/>
                <w:szCs w:val="20"/>
              </w:rPr>
              <w:t>21.5</w:t>
            </w:r>
          </w:p>
        </w:tc>
        <w:tc>
          <w:tcPr>
            <w:tcW w:w="1493" w:type="dxa"/>
            <w:shd w:val="clear" w:color="auto" w:fill="auto"/>
            <w:vAlign w:val="center"/>
          </w:tcPr>
          <w:p w14:paraId="219F7743" w14:textId="1BB5B03A" w:rsidR="00C46AE9" w:rsidRPr="00BB0F76" w:rsidRDefault="00C46AE9" w:rsidP="00C46AE9">
            <w:pPr>
              <w:spacing w:after="180" w:line="240" w:lineRule="auto"/>
              <w:jc w:val="center"/>
              <w:rPr>
                <w:rFonts w:eastAsia="Helvetica,Times New Roman" w:cstheme="minorHAnsi"/>
                <w:color w:val="000000" w:themeColor="text1"/>
                <w:sz w:val="20"/>
                <w:szCs w:val="20"/>
              </w:rPr>
            </w:pPr>
            <w:r w:rsidRPr="00BB0F76">
              <w:rPr>
                <w:rFonts w:eastAsia="Helvetica,Times New Roman" w:cstheme="minorHAnsi"/>
                <w:color w:val="000000" w:themeColor="text1"/>
                <w:sz w:val="20"/>
                <w:szCs w:val="20"/>
              </w:rPr>
              <w:t>6</w:t>
            </w:r>
          </w:p>
        </w:tc>
        <w:tc>
          <w:tcPr>
            <w:tcW w:w="1380" w:type="dxa"/>
            <w:shd w:val="clear" w:color="auto" w:fill="auto"/>
            <w:vAlign w:val="center"/>
          </w:tcPr>
          <w:p w14:paraId="7DAF034D" w14:textId="50734FD4" w:rsidR="00C46AE9" w:rsidRPr="00BB0F76" w:rsidRDefault="00C46AE9" w:rsidP="00C46AE9">
            <w:pPr>
              <w:spacing w:after="180" w:line="240" w:lineRule="auto"/>
              <w:jc w:val="center"/>
              <w:rPr>
                <w:rFonts w:eastAsia="Helvetica,Times New Roman" w:cstheme="minorHAnsi"/>
                <w:color w:val="000000" w:themeColor="text1"/>
                <w:sz w:val="20"/>
                <w:szCs w:val="20"/>
              </w:rPr>
            </w:pPr>
            <w:r w:rsidRPr="00BB0F76">
              <w:rPr>
                <w:rFonts w:eastAsia="Helvetica,Times New Roman" w:cstheme="minorHAnsi"/>
                <w:color w:val="000000" w:themeColor="text1"/>
                <w:sz w:val="20"/>
                <w:szCs w:val="20"/>
              </w:rPr>
              <w:t>6</w:t>
            </w:r>
          </w:p>
        </w:tc>
      </w:tr>
      <w:tr w:rsidR="00C46AE9" w:rsidRPr="00807D37" w14:paraId="3167ACEE" w14:textId="77777777" w:rsidTr="00C46AE9">
        <w:trPr>
          <w:trHeight w:val="642"/>
          <w:jc w:val="center"/>
        </w:trPr>
        <w:tc>
          <w:tcPr>
            <w:tcW w:w="1992" w:type="dxa"/>
            <w:shd w:val="clear" w:color="auto" w:fill="auto"/>
            <w:vAlign w:val="center"/>
          </w:tcPr>
          <w:p w14:paraId="1B5C6A59" w14:textId="50239DFA" w:rsidR="00C46AE9" w:rsidRPr="00BB0F76" w:rsidRDefault="00C46AE9" w:rsidP="00C46AE9">
            <w:pPr>
              <w:spacing w:line="240" w:lineRule="auto"/>
              <w:jc w:val="center"/>
              <w:rPr>
                <w:bCs/>
                <w:sz w:val="20"/>
                <w:szCs w:val="20"/>
              </w:rPr>
            </w:pPr>
            <w:r w:rsidRPr="00BB0F76">
              <w:rPr>
                <w:bCs/>
                <w:sz w:val="20"/>
                <w:szCs w:val="20"/>
              </w:rPr>
              <w:t>Luminous Efficacy – LFL</w:t>
            </w:r>
          </w:p>
        </w:tc>
        <w:tc>
          <w:tcPr>
            <w:tcW w:w="1311" w:type="dxa"/>
            <w:shd w:val="clear" w:color="auto" w:fill="auto"/>
            <w:vAlign w:val="center"/>
          </w:tcPr>
          <w:p w14:paraId="43689ACB" w14:textId="26F66B6B" w:rsidR="00C46AE9" w:rsidRPr="00BB0F76" w:rsidRDefault="00C46AE9" w:rsidP="00C46AE9">
            <w:pPr>
              <w:spacing w:after="180" w:line="240" w:lineRule="auto"/>
              <w:jc w:val="center"/>
              <w:rPr>
                <w:bCs/>
                <w:i/>
                <w:color w:val="000000" w:themeColor="text1"/>
                <w:sz w:val="20"/>
                <w:szCs w:val="20"/>
              </w:rPr>
            </w:pPr>
            <w:r w:rsidRPr="00BB0F76">
              <w:rPr>
                <w:bCs/>
                <w:i/>
                <w:color w:val="000000" w:themeColor="text1"/>
                <w:sz w:val="20"/>
                <w:szCs w:val="20"/>
              </w:rPr>
              <w:t>lm/W</w:t>
            </w:r>
          </w:p>
        </w:tc>
        <w:tc>
          <w:tcPr>
            <w:tcW w:w="1795" w:type="dxa"/>
            <w:shd w:val="clear" w:color="auto" w:fill="auto"/>
            <w:vAlign w:val="center"/>
          </w:tcPr>
          <w:p w14:paraId="1F073C02" w14:textId="0C95B7A0" w:rsidR="00C46AE9" w:rsidRPr="00BB0F76" w:rsidRDefault="00C46AE9" w:rsidP="00C46AE9">
            <w:pPr>
              <w:spacing w:after="180" w:line="240" w:lineRule="auto"/>
              <w:jc w:val="center"/>
              <w:rPr>
                <w:rFonts w:eastAsia="Helvetica,Times New Roman" w:cstheme="minorHAnsi"/>
                <w:color w:val="000000" w:themeColor="text1"/>
                <w:sz w:val="20"/>
                <w:szCs w:val="20"/>
              </w:rPr>
            </w:pPr>
            <w:r w:rsidRPr="00BB0F76">
              <w:rPr>
                <w:rFonts w:eastAsia="Helvetica,Times New Roman" w:cstheme="minorHAnsi"/>
                <w:color w:val="000000" w:themeColor="text1"/>
                <w:sz w:val="20"/>
                <w:szCs w:val="20"/>
              </w:rPr>
              <w:t>65.6 – 95.1</w:t>
            </w:r>
          </w:p>
        </w:tc>
        <w:tc>
          <w:tcPr>
            <w:tcW w:w="1590" w:type="dxa"/>
            <w:shd w:val="clear" w:color="auto" w:fill="auto"/>
            <w:vAlign w:val="center"/>
          </w:tcPr>
          <w:p w14:paraId="7395DF88" w14:textId="0DD04A24" w:rsidR="00C46AE9" w:rsidRPr="00BB0F76" w:rsidRDefault="00C46AE9" w:rsidP="00C46AE9">
            <w:pPr>
              <w:spacing w:line="240" w:lineRule="auto"/>
              <w:jc w:val="center"/>
              <w:rPr>
                <w:bCs/>
                <w:sz w:val="20"/>
                <w:szCs w:val="20"/>
              </w:rPr>
            </w:pPr>
            <w:r w:rsidRPr="00BB0F76">
              <w:rPr>
                <w:bCs/>
                <w:sz w:val="20"/>
                <w:szCs w:val="20"/>
              </w:rPr>
              <w:t>80.4</w:t>
            </w:r>
          </w:p>
        </w:tc>
        <w:tc>
          <w:tcPr>
            <w:tcW w:w="1493" w:type="dxa"/>
            <w:shd w:val="clear" w:color="auto" w:fill="auto"/>
            <w:vAlign w:val="center"/>
          </w:tcPr>
          <w:p w14:paraId="57AD5732" w14:textId="243667A8" w:rsidR="00C46AE9" w:rsidRPr="00BB0F76" w:rsidRDefault="00C46AE9" w:rsidP="00C46AE9">
            <w:pPr>
              <w:spacing w:after="180" w:line="240" w:lineRule="auto"/>
              <w:jc w:val="center"/>
              <w:rPr>
                <w:rFonts w:eastAsia="Helvetica,Times New Roman" w:cstheme="minorHAnsi"/>
                <w:color w:val="000000" w:themeColor="text1"/>
                <w:sz w:val="20"/>
                <w:szCs w:val="20"/>
              </w:rPr>
            </w:pPr>
            <w:r w:rsidRPr="00BB0F76">
              <w:rPr>
                <w:rFonts w:eastAsia="Helvetica,Times New Roman" w:cstheme="minorHAnsi"/>
                <w:color w:val="000000" w:themeColor="text1"/>
                <w:sz w:val="20"/>
                <w:szCs w:val="20"/>
              </w:rPr>
              <w:t>5</w:t>
            </w:r>
          </w:p>
        </w:tc>
        <w:tc>
          <w:tcPr>
            <w:tcW w:w="1380" w:type="dxa"/>
            <w:shd w:val="clear" w:color="auto" w:fill="auto"/>
            <w:vAlign w:val="center"/>
          </w:tcPr>
          <w:p w14:paraId="2FF6FD7F" w14:textId="72CA6AF4" w:rsidR="00C46AE9" w:rsidRPr="00BB0F76" w:rsidRDefault="00C46AE9" w:rsidP="00C46AE9">
            <w:pPr>
              <w:spacing w:after="180" w:line="240" w:lineRule="auto"/>
              <w:jc w:val="center"/>
              <w:rPr>
                <w:rFonts w:eastAsia="Helvetica,Times New Roman" w:cstheme="minorHAnsi"/>
                <w:color w:val="000000" w:themeColor="text1"/>
                <w:sz w:val="20"/>
                <w:szCs w:val="20"/>
              </w:rPr>
            </w:pPr>
            <w:r w:rsidRPr="00BB0F76">
              <w:rPr>
                <w:rFonts w:eastAsia="Helvetica,Times New Roman" w:cstheme="minorHAnsi"/>
                <w:color w:val="000000" w:themeColor="text1"/>
                <w:sz w:val="20"/>
                <w:szCs w:val="20"/>
              </w:rPr>
              <w:t>5</w:t>
            </w:r>
          </w:p>
        </w:tc>
      </w:tr>
      <w:tr w:rsidR="00C46AE9" w:rsidRPr="00807D37" w14:paraId="26AB494F" w14:textId="77777777" w:rsidTr="00C46AE9">
        <w:trPr>
          <w:trHeight w:val="642"/>
          <w:jc w:val="center"/>
        </w:trPr>
        <w:tc>
          <w:tcPr>
            <w:tcW w:w="1992" w:type="dxa"/>
            <w:shd w:val="clear" w:color="auto" w:fill="auto"/>
            <w:vAlign w:val="center"/>
          </w:tcPr>
          <w:p w14:paraId="38D6AB6E" w14:textId="146C5997" w:rsidR="00C46AE9" w:rsidRPr="00C46AE9" w:rsidRDefault="00C46AE9" w:rsidP="00C46AE9">
            <w:pPr>
              <w:spacing w:line="240" w:lineRule="auto"/>
              <w:jc w:val="center"/>
              <w:rPr>
                <w:bCs/>
                <w:sz w:val="20"/>
                <w:szCs w:val="20"/>
              </w:rPr>
            </w:pPr>
            <w:r w:rsidRPr="00C46AE9">
              <w:rPr>
                <w:bCs/>
                <w:sz w:val="20"/>
                <w:szCs w:val="20"/>
              </w:rPr>
              <w:t>Luminous Efficacy – CFL</w:t>
            </w:r>
          </w:p>
        </w:tc>
        <w:tc>
          <w:tcPr>
            <w:tcW w:w="1311" w:type="dxa"/>
            <w:shd w:val="clear" w:color="auto" w:fill="auto"/>
            <w:vAlign w:val="center"/>
          </w:tcPr>
          <w:p w14:paraId="1E7B6CB6" w14:textId="115BE442" w:rsidR="00C46AE9" w:rsidRPr="00C46AE9" w:rsidRDefault="00C46AE9" w:rsidP="00C46AE9">
            <w:pPr>
              <w:spacing w:after="180" w:line="240" w:lineRule="auto"/>
              <w:jc w:val="center"/>
              <w:rPr>
                <w:bCs/>
                <w:i/>
                <w:color w:val="000000" w:themeColor="text1"/>
                <w:sz w:val="20"/>
                <w:szCs w:val="20"/>
              </w:rPr>
            </w:pPr>
            <w:r w:rsidRPr="00C46AE9">
              <w:rPr>
                <w:bCs/>
                <w:i/>
                <w:color w:val="000000" w:themeColor="text1"/>
                <w:sz w:val="20"/>
                <w:szCs w:val="20"/>
              </w:rPr>
              <w:t>lm/W</w:t>
            </w:r>
          </w:p>
        </w:tc>
        <w:tc>
          <w:tcPr>
            <w:tcW w:w="1795" w:type="dxa"/>
            <w:shd w:val="clear" w:color="auto" w:fill="auto"/>
            <w:vAlign w:val="center"/>
          </w:tcPr>
          <w:p w14:paraId="00063C1E" w14:textId="6B8B15D7" w:rsidR="00C46AE9" w:rsidRPr="00C46AE9" w:rsidRDefault="00C46AE9" w:rsidP="00C46AE9">
            <w:pPr>
              <w:spacing w:after="180" w:line="240" w:lineRule="auto"/>
              <w:jc w:val="center"/>
              <w:rPr>
                <w:rFonts w:eastAsia="Helvetica,Times New Roman" w:cstheme="minorHAnsi"/>
                <w:color w:val="000000" w:themeColor="text1"/>
                <w:sz w:val="20"/>
                <w:szCs w:val="20"/>
              </w:rPr>
            </w:pPr>
            <w:r w:rsidRPr="00C46AE9">
              <w:rPr>
                <w:rFonts w:eastAsia="Helvetica,Times New Roman" w:cstheme="minorHAnsi"/>
                <w:color w:val="000000" w:themeColor="text1"/>
                <w:sz w:val="20"/>
                <w:szCs w:val="20"/>
              </w:rPr>
              <w:t>54.7 – 67.1</w:t>
            </w:r>
          </w:p>
        </w:tc>
        <w:tc>
          <w:tcPr>
            <w:tcW w:w="1590" w:type="dxa"/>
            <w:shd w:val="clear" w:color="auto" w:fill="auto"/>
            <w:vAlign w:val="center"/>
          </w:tcPr>
          <w:p w14:paraId="0A3CEEA5" w14:textId="3179906A" w:rsidR="00C46AE9" w:rsidRPr="00C46AE9" w:rsidRDefault="00C46AE9" w:rsidP="00C46AE9">
            <w:pPr>
              <w:spacing w:line="240" w:lineRule="auto"/>
              <w:jc w:val="center"/>
              <w:rPr>
                <w:bCs/>
                <w:sz w:val="20"/>
                <w:szCs w:val="20"/>
              </w:rPr>
            </w:pPr>
            <w:r w:rsidRPr="00C46AE9">
              <w:rPr>
                <w:bCs/>
                <w:sz w:val="20"/>
                <w:szCs w:val="20"/>
              </w:rPr>
              <w:t>60.9</w:t>
            </w:r>
          </w:p>
        </w:tc>
        <w:tc>
          <w:tcPr>
            <w:tcW w:w="1493" w:type="dxa"/>
            <w:shd w:val="clear" w:color="auto" w:fill="auto"/>
            <w:vAlign w:val="center"/>
          </w:tcPr>
          <w:p w14:paraId="5E9BD5B5" w14:textId="56334F8D" w:rsidR="00C46AE9" w:rsidRPr="00C46AE9" w:rsidRDefault="00C46AE9" w:rsidP="00C46AE9">
            <w:pPr>
              <w:spacing w:after="180" w:line="240" w:lineRule="auto"/>
              <w:jc w:val="center"/>
              <w:rPr>
                <w:rFonts w:eastAsia="Helvetica,Times New Roman" w:cstheme="minorHAnsi"/>
                <w:color w:val="000000" w:themeColor="text1"/>
                <w:sz w:val="20"/>
                <w:szCs w:val="20"/>
              </w:rPr>
            </w:pPr>
            <w:r w:rsidRPr="00C46AE9">
              <w:rPr>
                <w:rFonts w:eastAsia="Helvetica,Times New Roman" w:cstheme="minorHAnsi"/>
                <w:color w:val="000000" w:themeColor="text1"/>
                <w:sz w:val="20"/>
                <w:szCs w:val="20"/>
              </w:rPr>
              <w:t>8</w:t>
            </w:r>
          </w:p>
        </w:tc>
        <w:tc>
          <w:tcPr>
            <w:tcW w:w="1380" w:type="dxa"/>
            <w:shd w:val="clear" w:color="auto" w:fill="auto"/>
            <w:vAlign w:val="center"/>
          </w:tcPr>
          <w:p w14:paraId="1B6256DE" w14:textId="5A7604E8" w:rsidR="00C46AE9" w:rsidRPr="00C46AE9" w:rsidRDefault="00C46AE9" w:rsidP="00C46AE9">
            <w:pPr>
              <w:spacing w:after="180" w:line="240" w:lineRule="auto"/>
              <w:jc w:val="center"/>
              <w:rPr>
                <w:rFonts w:eastAsia="Helvetica,Times New Roman" w:cstheme="minorHAnsi"/>
                <w:color w:val="000000" w:themeColor="text1"/>
                <w:sz w:val="20"/>
                <w:szCs w:val="20"/>
              </w:rPr>
            </w:pPr>
            <w:r w:rsidRPr="00C46AE9">
              <w:rPr>
                <w:rFonts w:eastAsia="Helvetica,Times New Roman" w:cstheme="minorHAnsi"/>
                <w:color w:val="000000" w:themeColor="text1"/>
                <w:sz w:val="20"/>
                <w:szCs w:val="20"/>
              </w:rPr>
              <w:t>7</w:t>
            </w:r>
          </w:p>
        </w:tc>
      </w:tr>
      <w:tr w:rsidR="00C46AE9" w:rsidRPr="00807D37" w14:paraId="6710D4CD" w14:textId="77777777" w:rsidTr="008F0AA6">
        <w:trPr>
          <w:trHeight w:val="642"/>
          <w:jc w:val="center"/>
        </w:trPr>
        <w:tc>
          <w:tcPr>
            <w:tcW w:w="1992" w:type="dxa"/>
            <w:shd w:val="clear" w:color="auto" w:fill="auto"/>
            <w:vAlign w:val="center"/>
          </w:tcPr>
          <w:p w14:paraId="77535AAB" w14:textId="17BCDD38" w:rsidR="00C46AE9" w:rsidRPr="00C46AE9" w:rsidRDefault="00C46AE9" w:rsidP="00C46AE9">
            <w:pPr>
              <w:spacing w:line="240" w:lineRule="auto"/>
              <w:jc w:val="center"/>
              <w:rPr>
                <w:bCs/>
                <w:sz w:val="20"/>
                <w:szCs w:val="20"/>
              </w:rPr>
            </w:pPr>
            <w:r w:rsidRPr="00C46AE9">
              <w:rPr>
                <w:bCs/>
                <w:sz w:val="20"/>
                <w:szCs w:val="20"/>
              </w:rPr>
              <w:t>Average Luminous Flux - Incandescent</w:t>
            </w:r>
          </w:p>
        </w:tc>
        <w:tc>
          <w:tcPr>
            <w:tcW w:w="1311" w:type="dxa"/>
            <w:shd w:val="clear" w:color="auto" w:fill="auto"/>
            <w:vAlign w:val="center"/>
          </w:tcPr>
          <w:p w14:paraId="53CA443C" w14:textId="23A0BB5C" w:rsidR="00C46AE9" w:rsidRPr="00C46AE9" w:rsidRDefault="00C46AE9" w:rsidP="00C46AE9">
            <w:pPr>
              <w:spacing w:after="180" w:line="240" w:lineRule="auto"/>
              <w:jc w:val="center"/>
              <w:rPr>
                <w:bCs/>
                <w:i/>
                <w:color w:val="000000" w:themeColor="text1"/>
                <w:sz w:val="20"/>
                <w:szCs w:val="20"/>
              </w:rPr>
            </w:pPr>
            <w:r w:rsidRPr="00C46AE9">
              <w:rPr>
                <w:bCs/>
                <w:i/>
                <w:color w:val="000000" w:themeColor="text1"/>
                <w:sz w:val="20"/>
                <w:szCs w:val="20"/>
              </w:rPr>
              <w:t>lm/ unit</w:t>
            </w:r>
          </w:p>
        </w:tc>
        <w:tc>
          <w:tcPr>
            <w:tcW w:w="1795" w:type="dxa"/>
            <w:shd w:val="clear" w:color="auto" w:fill="auto"/>
            <w:vAlign w:val="center"/>
          </w:tcPr>
          <w:p w14:paraId="11A8A437" w14:textId="3AE8C5B5" w:rsidR="00C46AE9" w:rsidRPr="00C46AE9" w:rsidRDefault="00C46AE9" w:rsidP="00C46AE9">
            <w:pPr>
              <w:spacing w:after="180" w:line="240" w:lineRule="auto"/>
              <w:jc w:val="center"/>
              <w:rPr>
                <w:rFonts w:eastAsia="Helvetica,Times New Roman" w:cstheme="minorHAnsi"/>
                <w:color w:val="000000" w:themeColor="text1"/>
                <w:sz w:val="20"/>
                <w:szCs w:val="20"/>
              </w:rPr>
            </w:pPr>
            <w:r w:rsidRPr="00C46AE9">
              <w:rPr>
                <w:rFonts w:eastAsia="Helvetica,Times New Roman" w:cstheme="minorHAnsi"/>
                <w:color w:val="000000" w:themeColor="text1"/>
                <w:sz w:val="20"/>
                <w:szCs w:val="20"/>
              </w:rPr>
              <w:t>513</w:t>
            </w:r>
          </w:p>
        </w:tc>
        <w:tc>
          <w:tcPr>
            <w:tcW w:w="1590" w:type="dxa"/>
            <w:shd w:val="clear" w:color="auto" w:fill="auto"/>
            <w:vAlign w:val="center"/>
          </w:tcPr>
          <w:p w14:paraId="0DB09379" w14:textId="5012B153" w:rsidR="00C46AE9" w:rsidRPr="00C46AE9" w:rsidRDefault="00C46AE9" w:rsidP="00C46AE9">
            <w:pPr>
              <w:spacing w:line="240" w:lineRule="auto"/>
              <w:jc w:val="center"/>
              <w:rPr>
                <w:bCs/>
                <w:sz w:val="20"/>
                <w:szCs w:val="20"/>
              </w:rPr>
            </w:pPr>
            <w:r w:rsidRPr="00C46AE9">
              <w:rPr>
                <w:bCs/>
                <w:sz w:val="20"/>
                <w:szCs w:val="20"/>
              </w:rPr>
              <w:t>513</w:t>
            </w:r>
          </w:p>
        </w:tc>
        <w:tc>
          <w:tcPr>
            <w:tcW w:w="1493" w:type="dxa"/>
            <w:shd w:val="clear" w:color="auto" w:fill="auto"/>
            <w:vAlign w:val="center"/>
          </w:tcPr>
          <w:p w14:paraId="4A1632FE" w14:textId="732B2C3C" w:rsidR="00C46AE9" w:rsidRPr="00C46AE9" w:rsidRDefault="00C46AE9" w:rsidP="00C46AE9">
            <w:pPr>
              <w:spacing w:after="180" w:line="240" w:lineRule="auto"/>
              <w:jc w:val="center"/>
              <w:rPr>
                <w:rFonts w:eastAsia="Helvetica,Times New Roman" w:cstheme="minorHAnsi"/>
                <w:color w:val="000000" w:themeColor="text1"/>
                <w:sz w:val="20"/>
                <w:szCs w:val="20"/>
              </w:rPr>
            </w:pPr>
            <w:r w:rsidRPr="00C46AE9">
              <w:rPr>
                <w:rFonts w:eastAsia="Helvetica,Times New Roman" w:cstheme="minorHAnsi"/>
                <w:color w:val="000000" w:themeColor="text1"/>
                <w:sz w:val="20"/>
                <w:szCs w:val="20"/>
              </w:rPr>
              <w:t>2</w:t>
            </w:r>
          </w:p>
        </w:tc>
        <w:tc>
          <w:tcPr>
            <w:tcW w:w="1380" w:type="dxa"/>
            <w:shd w:val="clear" w:color="auto" w:fill="auto"/>
            <w:vAlign w:val="center"/>
          </w:tcPr>
          <w:p w14:paraId="50AF104A" w14:textId="7C3DF37A" w:rsidR="00C46AE9" w:rsidRPr="00C46AE9" w:rsidRDefault="00C46AE9" w:rsidP="00C46AE9">
            <w:pPr>
              <w:spacing w:after="180" w:line="240" w:lineRule="auto"/>
              <w:jc w:val="center"/>
              <w:rPr>
                <w:rFonts w:eastAsia="Helvetica,Times New Roman" w:cstheme="minorHAnsi"/>
                <w:color w:val="000000" w:themeColor="text1"/>
                <w:sz w:val="20"/>
                <w:szCs w:val="20"/>
              </w:rPr>
            </w:pPr>
            <w:r w:rsidRPr="00C46AE9">
              <w:rPr>
                <w:rFonts w:eastAsia="Helvetica,Times New Roman" w:cstheme="minorHAnsi"/>
                <w:color w:val="000000" w:themeColor="text1"/>
                <w:sz w:val="20"/>
                <w:szCs w:val="20"/>
              </w:rPr>
              <w:t>1</w:t>
            </w:r>
          </w:p>
        </w:tc>
      </w:tr>
      <w:tr w:rsidR="00C46AE9" w:rsidRPr="00807D37" w14:paraId="16270A8A" w14:textId="77777777" w:rsidTr="00C46AE9">
        <w:trPr>
          <w:trHeight w:val="642"/>
          <w:jc w:val="center"/>
        </w:trPr>
        <w:tc>
          <w:tcPr>
            <w:tcW w:w="1992" w:type="dxa"/>
            <w:shd w:val="clear" w:color="auto" w:fill="auto"/>
            <w:vAlign w:val="center"/>
          </w:tcPr>
          <w:p w14:paraId="40DCFBD9" w14:textId="42CF6EC3" w:rsidR="00C46AE9" w:rsidRPr="00C46AE9" w:rsidRDefault="00C46AE9" w:rsidP="00C46AE9">
            <w:pPr>
              <w:spacing w:line="240" w:lineRule="auto"/>
              <w:jc w:val="center"/>
              <w:rPr>
                <w:bCs/>
                <w:sz w:val="20"/>
                <w:szCs w:val="20"/>
              </w:rPr>
            </w:pPr>
            <w:r w:rsidRPr="00C46AE9">
              <w:rPr>
                <w:bCs/>
                <w:sz w:val="20"/>
                <w:szCs w:val="20"/>
              </w:rPr>
              <w:t>Average Luminous Flux - Halogen</w:t>
            </w:r>
          </w:p>
        </w:tc>
        <w:tc>
          <w:tcPr>
            <w:tcW w:w="1311" w:type="dxa"/>
            <w:shd w:val="clear" w:color="auto" w:fill="auto"/>
            <w:vAlign w:val="center"/>
          </w:tcPr>
          <w:p w14:paraId="78B687D3" w14:textId="135EC2D8" w:rsidR="00C46AE9" w:rsidRPr="00C46AE9" w:rsidRDefault="00C46AE9" w:rsidP="00C46AE9">
            <w:pPr>
              <w:spacing w:after="180" w:line="240" w:lineRule="auto"/>
              <w:jc w:val="center"/>
              <w:rPr>
                <w:bCs/>
                <w:i/>
                <w:color w:val="000000" w:themeColor="text1"/>
                <w:sz w:val="20"/>
                <w:szCs w:val="20"/>
              </w:rPr>
            </w:pPr>
            <w:r w:rsidRPr="00C46AE9">
              <w:rPr>
                <w:bCs/>
                <w:i/>
                <w:color w:val="000000" w:themeColor="text1"/>
                <w:sz w:val="20"/>
                <w:szCs w:val="20"/>
              </w:rPr>
              <w:t>lm/ unit</w:t>
            </w:r>
          </w:p>
        </w:tc>
        <w:tc>
          <w:tcPr>
            <w:tcW w:w="1795" w:type="dxa"/>
            <w:shd w:val="clear" w:color="auto" w:fill="auto"/>
            <w:vAlign w:val="center"/>
          </w:tcPr>
          <w:p w14:paraId="0D859B3F" w14:textId="449C90D3" w:rsidR="00C46AE9" w:rsidRPr="00C46AE9" w:rsidRDefault="00C46AE9" w:rsidP="00C46AE9">
            <w:pPr>
              <w:spacing w:after="180" w:line="240" w:lineRule="auto"/>
              <w:jc w:val="center"/>
              <w:rPr>
                <w:rFonts w:eastAsia="Helvetica,Times New Roman" w:cstheme="minorHAnsi"/>
                <w:color w:val="000000" w:themeColor="text1"/>
                <w:sz w:val="20"/>
                <w:szCs w:val="20"/>
              </w:rPr>
            </w:pPr>
            <w:r w:rsidRPr="00C46AE9">
              <w:rPr>
                <w:rFonts w:eastAsia="Helvetica,Times New Roman" w:cstheme="minorHAnsi"/>
                <w:color w:val="000000" w:themeColor="text1"/>
                <w:sz w:val="20"/>
                <w:szCs w:val="20"/>
              </w:rPr>
              <w:t>417.8 - 483</w:t>
            </w:r>
          </w:p>
        </w:tc>
        <w:tc>
          <w:tcPr>
            <w:tcW w:w="1590" w:type="dxa"/>
            <w:shd w:val="clear" w:color="auto" w:fill="auto"/>
            <w:vAlign w:val="center"/>
          </w:tcPr>
          <w:p w14:paraId="59A18173" w14:textId="4DB94146" w:rsidR="00C46AE9" w:rsidRPr="00C46AE9" w:rsidRDefault="00C46AE9" w:rsidP="00C46AE9">
            <w:pPr>
              <w:spacing w:line="240" w:lineRule="auto"/>
              <w:jc w:val="center"/>
              <w:rPr>
                <w:bCs/>
                <w:sz w:val="20"/>
                <w:szCs w:val="20"/>
              </w:rPr>
            </w:pPr>
            <w:r w:rsidRPr="00C46AE9">
              <w:rPr>
                <w:bCs/>
                <w:sz w:val="20"/>
                <w:szCs w:val="20"/>
              </w:rPr>
              <w:t>450</w:t>
            </w:r>
          </w:p>
        </w:tc>
        <w:tc>
          <w:tcPr>
            <w:tcW w:w="1493" w:type="dxa"/>
            <w:shd w:val="clear" w:color="auto" w:fill="auto"/>
            <w:vAlign w:val="center"/>
          </w:tcPr>
          <w:p w14:paraId="23EFF025" w14:textId="570A05F3" w:rsidR="00C46AE9" w:rsidRPr="00C46AE9" w:rsidRDefault="00C46AE9" w:rsidP="00C46AE9">
            <w:pPr>
              <w:spacing w:after="180" w:line="240" w:lineRule="auto"/>
              <w:jc w:val="center"/>
              <w:rPr>
                <w:rFonts w:eastAsia="Helvetica,Times New Roman" w:cstheme="minorHAnsi"/>
                <w:color w:val="000000" w:themeColor="text1"/>
                <w:sz w:val="20"/>
                <w:szCs w:val="20"/>
              </w:rPr>
            </w:pPr>
            <w:r w:rsidRPr="00C46AE9">
              <w:rPr>
                <w:rFonts w:eastAsia="Helvetica,Times New Roman" w:cstheme="minorHAnsi"/>
                <w:color w:val="000000" w:themeColor="text1"/>
                <w:sz w:val="20"/>
                <w:szCs w:val="20"/>
              </w:rPr>
              <w:t>5</w:t>
            </w:r>
          </w:p>
        </w:tc>
        <w:tc>
          <w:tcPr>
            <w:tcW w:w="1380" w:type="dxa"/>
            <w:shd w:val="clear" w:color="auto" w:fill="auto"/>
            <w:vAlign w:val="center"/>
          </w:tcPr>
          <w:p w14:paraId="46DC8D57" w14:textId="5A4CDF2C" w:rsidR="00C46AE9" w:rsidRPr="00C46AE9" w:rsidRDefault="00C46AE9" w:rsidP="00C46AE9">
            <w:pPr>
              <w:spacing w:after="180" w:line="240" w:lineRule="auto"/>
              <w:jc w:val="center"/>
              <w:rPr>
                <w:rFonts w:eastAsia="Helvetica,Times New Roman" w:cstheme="minorHAnsi"/>
                <w:color w:val="000000" w:themeColor="text1"/>
                <w:sz w:val="20"/>
                <w:szCs w:val="20"/>
              </w:rPr>
            </w:pPr>
            <w:r w:rsidRPr="00C46AE9">
              <w:rPr>
                <w:rFonts w:eastAsia="Helvetica,Times New Roman" w:cstheme="minorHAnsi"/>
                <w:color w:val="000000" w:themeColor="text1"/>
                <w:sz w:val="20"/>
                <w:szCs w:val="20"/>
              </w:rPr>
              <w:t>1</w:t>
            </w:r>
          </w:p>
        </w:tc>
      </w:tr>
      <w:tr w:rsidR="00C46AE9" w:rsidRPr="00807D37" w14:paraId="0FDD3293" w14:textId="77777777" w:rsidTr="00C46AE9">
        <w:trPr>
          <w:trHeight w:val="642"/>
          <w:jc w:val="center"/>
        </w:trPr>
        <w:tc>
          <w:tcPr>
            <w:tcW w:w="1992" w:type="dxa"/>
            <w:shd w:val="clear" w:color="auto" w:fill="auto"/>
            <w:vAlign w:val="center"/>
          </w:tcPr>
          <w:p w14:paraId="7FB5DE71" w14:textId="623D23FE" w:rsidR="00C46AE9" w:rsidRPr="00C46AE9" w:rsidRDefault="00C46AE9" w:rsidP="00C46AE9">
            <w:pPr>
              <w:spacing w:line="240" w:lineRule="auto"/>
              <w:jc w:val="center"/>
              <w:rPr>
                <w:bCs/>
                <w:sz w:val="20"/>
                <w:szCs w:val="20"/>
              </w:rPr>
            </w:pPr>
            <w:r w:rsidRPr="00C46AE9">
              <w:rPr>
                <w:bCs/>
                <w:sz w:val="20"/>
                <w:szCs w:val="20"/>
              </w:rPr>
              <w:t>Average Luminous Flux - LFL</w:t>
            </w:r>
          </w:p>
        </w:tc>
        <w:tc>
          <w:tcPr>
            <w:tcW w:w="1311" w:type="dxa"/>
            <w:shd w:val="clear" w:color="auto" w:fill="auto"/>
            <w:vAlign w:val="center"/>
          </w:tcPr>
          <w:p w14:paraId="7F239E5A" w14:textId="7F647E55" w:rsidR="00C46AE9" w:rsidRPr="00C46AE9" w:rsidRDefault="00C46AE9" w:rsidP="00C46AE9">
            <w:pPr>
              <w:spacing w:after="180" w:line="240" w:lineRule="auto"/>
              <w:jc w:val="center"/>
              <w:rPr>
                <w:bCs/>
                <w:i/>
                <w:color w:val="000000" w:themeColor="text1"/>
                <w:sz w:val="20"/>
                <w:szCs w:val="20"/>
              </w:rPr>
            </w:pPr>
            <w:r w:rsidRPr="00C46AE9">
              <w:rPr>
                <w:bCs/>
                <w:i/>
                <w:color w:val="000000" w:themeColor="text1"/>
                <w:sz w:val="20"/>
                <w:szCs w:val="20"/>
              </w:rPr>
              <w:t>lm/ unit</w:t>
            </w:r>
          </w:p>
        </w:tc>
        <w:tc>
          <w:tcPr>
            <w:tcW w:w="1795" w:type="dxa"/>
            <w:shd w:val="clear" w:color="auto" w:fill="auto"/>
            <w:vAlign w:val="center"/>
          </w:tcPr>
          <w:p w14:paraId="147EF0B0" w14:textId="4988345E" w:rsidR="00C46AE9" w:rsidRPr="00C46AE9" w:rsidRDefault="00C46AE9" w:rsidP="00C46AE9">
            <w:pPr>
              <w:spacing w:after="180" w:line="240" w:lineRule="auto"/>
              <w:jc w:val="center"/>
              <w:rPr>
                <w:rFonts w:eastAsia="Helvetica,Times New Roman" w:cstheme="minorHAnsi"/>
                <w:color w:val="000000" w:themeColor="text1"/>
                <w:sz w:val="20"/>
                <w:szCs w:val="20"/>
              </w:rPr>
            </w:pPr>
            <w:r w:rsidRPr="00C46AE9">
              <w:rPr>
                <w:rFonts w:eastAsia="Helvetica,Times New Roman" w:cstheme="minorHAnsi"/>
                <w:color w:val="000000" w:themeColor="text1"/>
                <w:sz w:val="20"/>
                <w:szCs w:val="20"/>
              </w:rPr>
              <w:t>1,568.6 – 2,654.2</w:t>
            </w:r>
          </w:p>
        </w:tc>
        <w:tc>
          <w:tcPr>
            <w:tcW w:w="1590" w:type="dxa"/>
            <w:shd w:val="clear" w:color="auto" w:fill="auto"/>
            <w:vAlign w:val="center"/>
          </w:tcPr>
          <w:p w14:paraId="64E44B81" w14:textId="538AB9BA" w:rsidR="00C46AE9" w:rsidRPr="00C46AE9" w:rsidRDefault="00C46AE9" w:rsidP="00C46AE9">
            <w:pPr>
              <w:spacing w:line="240" w:lineRule="auto"/>
              <w:jc w:val="center"/>
              <w:rPr>
                <w:bCs/>
                <w:sz w:val="20"/>
                <w:szCs w:val="20"/>
              </w:rPr>
            </w:pPr>
            <w:r w:rsidRPr="00C46AE9">
              <w:rPr>
                <w:bCs/>
                <w:sz w:val="20"/>
                <w:szCs w:val="20"/>
              </w:rPr>
              <w:t>2.111.4</w:t>
            </w:r>
          </w:p>
        </w:tc>
        <w:tc>
          <w:tcPr>
            <w:tcW w:w="1493" w:type="dxa"/>
            <w:shd w:val="clear" w:color="auto" w:fill="auto"/>
            <w:vAlign w:val="center"/>
          </w:tcPr>
          <w:p w14:paraId="25317D37" w14:textId="0C03EF3D" w:rsidR="00C46AE9" w:rsidRPr="00C46AE9" w:rsidRDefault="00C46AE9" w:rsidP="00C46AE9">
            <w:pPr>
              <w:spacing w:after="180" w:line="240" w:lineRule="auto"/>
              <w:jc w:val="center"/>
              <w:rPr>
                <w:rFonts w:eastAsia="Helvetica,Times New Roman" w:cstheme="minorHAnsi"/>
                <w:color w:val="000000" w:themeColor="text1"/>
                <w:sz w:val="20"/>
                <w:szCs w:val="20"/>
              </w:rPr>
            </w:pPr>
            <w:r w:rsidRPr="00C46AE9">
              <w:rPr>
                <w:rFonts w:eastAsia="Helvetica,Times New Roman" w:cstheme="minorHAnsi"/>
                <w:color w:val="000000" w:themeColor="text1"/>
                <w:sz w:val="20"/>
                <w:szCs w:val="20"/>
              </w:rPr>
              <w:t>5</w:t>
            </w:r>
          </w:p>
        </w:tc>
        <w:tc>
          <w:tcPr>
            <w:tcW w:w="1380" w:type="dxa"/>
            <w:shd w:val="clear" w:color="auto" w:fill="auto"/>
            <w:vAlign w:val="center"/>
          </w:tcPr>
          <w:p w14:paraId="769D694A" w14:textId="521A920B" w:rsidR="00C46AE9" w:rsidRPr="00C46AE9" w:rsidRDefault="00C46AE9" w:rsidP="00C46AE9">
            <w:pPr>
              <w:spacing w:after="180" w:line="240" w:lineRule="auto"/>
              <w:jc w:val="center"/>
              <w:rPr>
                <w:rFonts w:eastAsia="Helvetica,Times New Roman" w:cstheme="minorHAnsi"/>
                <w:color w:val="000000" w:themeColor="text1"/>
                <w:sz w:val="20"/>
                <w:szCs w:val="20"/>
              </w:rPr>
            </w:pPr>
            <w:r w:rsidRPr="00C46AE9">
              <w:rPr>
                <w:rFonts w:eastAsia="Helvetica,Times New Roman" w:cstheme="minorHAnsi"/>
                <w:color w:val="000000" w:themeColor="text1"/>
                <w:sz w:val="20"/>
                <w:szCs w:val="20"/>
              </w:rPr>
              <w:t>1</w:t>
            </w:r>
          </w:p>
        </w:tc>
      </w:tr>
      <w:tr w:rsidR="00C46AE9" w:rsidRPr="00807D37" w14:paraId="65A39DC4" w14:textId="77777777" w:rsidTr="00C46AE9">
        <w:trPr>
          <w:trHeight w:val="642"/>
          <w:jc w:val="center"/>
        </w:trPr>
        <w:tc>
          <w:tcPr>
            <w:tcW w:w="1992" w:type="dxa"/>
            <w:shd w:val="clear" w:color="auto" w:fill="auto"/>
            <w:vAlign w:val="center"/>
          </w:tcPr>
          <w:p w14:paraId="4FFB7287" w14:textId="7A2D2DAE" w:rsidR="00C46AE9" w:rsidRPr="00C46AE9" w:rsidRDefault="00C46AE9" w:rsidP="00C46AE9">
            <w:pPr>
              <w:spacing w:line="240" w:lineRule="auto"/>
              <w:jc w:val="center"/>
              <w:rPr>
                <w:bCs/>
                <w:sz w:val="20"/>
                <w:szCs w:val="20"/>
              </w:rPr>
            </w:pPr>
            <w:r w:rsidRPr="00C46AE9">
              <w:rPr>
                <w:bCs/>
                <w:sz w:val="20"/>
                <w:szCs w:val="20"/>
              </w:rPr>
              <w:t>Average Luminous Flux - CFL</w:t>
            </w:r>
          </w:p>
        </w:tc>
        <w:tc>
          <w:tcPr>
            <w:tcW w:w="1311" w:type="dxa"/>
            <w:shd w:val="clear" w:color="auto" w:fill="auto"/>
            <w:vAlign w:val="center"/>
          </w:tcPr>
          <w:p w14:paraId="7C658BEB" w14:textId="641BC131" w:rsidR="00C46AE9" w:rsidRPr="00C46AE9" w:rsidRDefault="00C46AE9" w:rsidP="00C46AE9">
            <w:pPr>
              <w:spacing w:after="180" w:line="240" w:lineRule="auto"/>
              <w:jc w:val="center"/>
              <w:rPr>
                <w:bCs/>
                <w:i/>
                <w:color w:val="000000" w:themeColor="text1"/>
                <w:sz w:val="20"/>
                <w:szCs w:val="20"/>
              </w:rPr>
            </w:pPr>
            <w:r w:rsidRPr="00C46AE9">
              <w:rPr>
                <w:bCs/>
                <w:i/>
                <w:color w:val="000000" w:themeColor="text1"/>
                <w:sz w:val="20"/>
                <w:szCs w:val="20"/>
              </w:rPr>
              <w:t>lm/ unit</w:t>
            </w:r>
          </w:p>
        </w:tc>
        <w:tc>
          <w:tcPr>
            <w:tcW w:w="1795" w:type="dxa"/>
            <w:shd w:val="clear" w:color="auto" w:fill="auto"/>
            <w:vAlign w:val="center"/>
          </w:tcPr>
          <w:p w14:paraId="5EB59F45" w14:textId="17CF6BB7" w:rsidR="00C46AE9" w:rsidRPr="00C46AE9" w:rsidRDefault="00C46AE9" w:rsidP="00C46AE9">
            <w:pPr>
              <w:spacing w:after="180" w:line="240" w:lineRule="auto"/>
              <w:jc w:val="center"/>
              <w:rPr>
                <w:rFonts w:eastAsia="Helvetica,Times New Roman" w:cstheme="minorHAnsi"/>
                <w:color w:val="000000" w:themeColor="text1"/>
                <w:sz w:val="20"/>
                <w:szCs w:val="20"/>
              </w:rPr>
            </w:pPr>
            <w:r w:rsidRPr="00C46AE9">
              <w:rPr>
                <w:rFonts w:eastAsia="Helvetica,Times New Roman" w:cstheme="minorHAnsi"/>
                <w:color w:val="000000" w:themeColor="text1"/>
                <w:sz w:val="20"/>
                <w:szCs w:val="20"/>
              </w:rPr>
              <w:t>522.5</w:t>
            </w:r>
          </w:p>
        </w:tc>
        <w:tc>
          <w:tcPr>
            <w:tcW w:w="1590" w:type="dxa"/>
            <w:shd w:val="clear" w:color="auto" w:fill="auto"/>
            <w:vAlign w:val="center"/>
          </w:tcPr>
          <w:p w14:paraId="78ABFF4B" w14:textId="30D7A82F" w:rsidR="00C46AE9" w:rsidRPr="00C46AE9" w:rsidRDefault="00C46AE9" w:rsidP="00C46AE9">
            <w:pPr>
              <w:spacing w:line="240" w:lineRule="auto"/>
              <w:jc w:val="center"/>
              <w:rPr>
                <w:bCs/>
                <w:sz w:val="20"/>
                <w:szCs w:val="20"/>
              </w:rPr>
            </w:pPr>
            <w:r w:rsidRPr="00C46AE9">
              <w:rPr>
                <w:bCs/>
                <w:sz w:val="20"/>
                <w:szCs w:val="20"/>
              </w:rPr>
              <w:t>522.5</w:t>
            </w:r>
          </w:p>
        </w:tc>
        <w:tc>
          <w:tcPr>
            <w:tcW w:w="1493" w:type="dxa"/>
            <w:shd w:val="clear" w:color="auto" w:fill="auto"/>
            <w:vAlign w:val="center"/>
          </w:tcPr>
          <w:p w14:paraId="796DC94B" w14:textId="5C5BE232" w:rsidR="00C46AE9" w:rsidRPr="00C46AE9" w:rsidRDefault="00C46AE9" w:rsidP="00C46AE9">
            <w:pPr>
              <w:spacing w:after="180" w:line="240" w:lineRule="auto"/>
              <w:jc w:val="center"/>
              <w:rPr>
                <w:rFonts w:eastAsia="Helvetica,Times New Roman" w:cstheme="minorHAnsi"/>
                <w:color w:val="000000" w:themeColor="text1"/>
                <w:sz w:val="20"/>
                <w:szCs w:val="20"/>
              </w:rPr>
            </w:pPr>
            <w:r w:rsidRPr="00C46AE9">
              <w:rPr>
                <w:rFonts w:eastAsia="Helvetica,Times New Roman" w:cstheme="minorHAnsi"/>
                <w:color w:val="000000" w:themeColor="text1"/>
                <w:sz w:val="20"/>
                <w:szCs w:val="20"/>
              </w:rPr>
              <w:t>1</w:t>
            </w:r>
          </w:p>
        </w:tc>
        <w:tc>
          <w:tcPr>
            <w:tcW w:w="1380" w:type="dxa"/>
            <w:shd w:val="clear" w:color="auto" w:fill="auto"/>
            <w:vAlign w:val="center"/>
          </w:tcPr>
          <w:p w14:paraId="03D03591" w14:textId="6061A1E3" w:rsidR="00C46AE9" w:rsidRPr="00C46AE9" w:rsidRDefault="00C46AE9" w:rsidP="00C46AE9">
            <w:pPr>
              <w:spacing w:after="180" w:line="240" w:lineRule="auto"/>
              <w:jc w:val="center"/>
              <w:rPr>
                <w:rFonts w:eastAsia="Helvetica,Times New Roman" w:cstheme="minorHAnsi"/>
                <w:color w:val="000000" w:themeColor="text1"/>
                <w:sz w:val="20"/>
                <w:szCs w:val="20"/>
              </w:rPr>
            </w:pPr>
            <w:r w:rsidRPr="00C46AE9">
              <w:rPr>
                <w:rFonts w:eastAsia="Helvetica,Times New Roman" w:cstheme="minorHAnsi"/>
                <w:color w:val="000000" w:themeColor="text1"/>
                <w:sz w:val="20"/>
                <w:szCs w:val="20"/>
              </w:rPr>
              <w:t>1</w:t>
            </w:r>
          </w:p>
        </w:tc>
      </w:tr>
    </w:tbl>
    <w:p w14:paraId="18EFA6FA" w14:textId="77777777" w:rsidR="000875B5" w:rsidRDefault="000875B5" w:rsidP="00EB247F">
      <w:pPr>
        <w:spacing w:after="0"/>
        <w:rPr>
          <w:bCs/>
        </w:rPr>
      </w:pPr>
    </w:p>
    <w:p w14:paraId="71759B8A" w14:textId="50C8970F" w:rsidR="00E978D4" w:rsidRPr="0021082B" w:rsidRDefault="00E978D4" w:rsidP="00E978D4">
      <w:pPr>
        <w:pStyle w:val="Caption"/>
        <w:jc w:val="center"/>
        <w:rPr>
          <w:rFonts w:asciiTheme="majorHAnsi" w:eastAsiaTheme="majorEastAsia" w:hAnsiTheme="majorHAnsi" w:cstheme="majorBidi"/>
          <w:b/>
          <w:bCs/>
          <w:color w:val="000000" w:themeColor="text1"/>
          <w:sz w:val="23"/>
          <w:szCs w:val="23"/>
          <w:lang w:eastAsia="zh-CN"/>
        </w:rPr>
      </w:pPr>
      <w:bookmarkStart w:id="94" w:name="_Toc44585108"/>
      <w:r>
        <w:t xml:space="preserve">Table </w:t>
      </w:r>
      <w:r w:rsidR="00ED272A">
        <w:rPr>
          <w:noProof/>
        </w:rPr>
        <w:fldChar w:fldCharType="begin"/>
      </w:r>
      <w:r w:rsidR="00ED272A">
        <w:rPr>
          <w:noProof/>
        </w:rPr>
        <w:instrText xml:space="preserve"> STYLEREF 1 \s </w:instrText>
      </w:r>
      <w:r w:rsidR="00ED272A">
        <w:rPr>
          <w:noProof/>
        </w:rPr>
        <w:fldChar w:fldCharType="separate"/>
      </w:r>
      <w:r w:rsidR="006F1368">
        <w:rPr>
          <w:noProof/>
        </w:rPr>
        <w:t>2</w:t>
      </w:r>
      <w:r w:rsidR="00ED272A">
        <w:rPr>
          <w:noProof/>
        </w:rPr>
        <w:fldChar w:fldCharType="end"/>
      </w:r>
      <w:r w:rsidR="00E853F6">
        <w:t>.</w:t>
      </w:r>
      <w:r w:rsidR="00ED272A">
        <w:rPr>
          <w:noProof/>
        </w:rPr>
        <w:fldChar w:fldCharType="begin"/>
      </w:r>
      <w:r w:rsidR="00ED272A">
        <w:rPr>
          <w:noProof/>
        </w:rPr>
        <w:instrText xml:space="preserve"> SEQ Table \* ARABIC \s 1 </w:instrText>
      </w:r>
      <w:r w:rsidR="00ED272A">
        <w:rPr>
          <w:noProof/>
        </w:rPr>
        <w:fldChar w:fldCharType="separate"/>
      </w:r>
      <w:r w:rsidR="006F1368">
        <w:rPr>
          <w:noProof/>
        </w:rPr>
        <w:t>5</w:t>
      </w:r>
      <w:r w:rsidR="00ED272A">
        <w:rPr>
          <w:noProof/>
        </w:rPr>
        <w:fldChar w:fldCharType="end"/>
      </w:r>
      <w:r>
        <w:t xml:space="preserve"> Technical Inputs Solution</w:t>
      </w:r>
      <w:bookmarkEnd w:id="94"/>
    </w:p>
    <w:tbl>
      <w:tblPr>
        <w:tblStyle w:val="TableGrid"/>
        <w:tblW w:w="9600" w:type="dxa"/>
        <w:jc w:val="center"/>
        <w:tblLook w:val="04A0" w:firstRow="1" w:lastRow="0" w:firstColumn="1" w:lastColumn="0" w:noHBand="0" w:noVBand="1"/>
      </w:tblPr>
      <w:tblGrid>
        <w:gridCol w:w="2000"/>
        <w:gridCol w:w="1316"/>
        <w:gridCol w:w="1701"/>
        <w:gridCol w:w="1698"/>
        <w:gridCol w:w="1499"/>
        <w:gridCol w:w="1386"/>
      </w:tblGrid>
      <w:tr w:rsidR="00E978D4" w:rsidRPr="00807D37" w14:paraId="13C00DA5" w14:textId="77777777" w:rsidTr="00DA57F1">
        <w:trPr>
          <w:cantSplit/>
          <w:trHeight w:val="591"/>
          <w:tblHeader/>
          <w:jc w:val="center"/>
        </w:trPr>
        <w:tc>
          <w:tcPr>
            <w:tcW w:w="2000" w:type="dxa"/>
            <w:shd w:val="clear" w:color="auto" w:fill="4F81BD" w:themeFill="accent1"/>
            <w:vAlign w:val="center"/>
          </w:tcPr>
          <w:p w14:paraId="348EFAF2" w14:textId="2928E5EC" w:rsidR="00E978D4" w:rsidRPr="00FB649C" w:rsidRDefault="00AC296E" w:rsidP="00AD4CF8">
            <w:pPr>
              <w:spacing w:after="180" w:line="240" w:lineRule="auto"/>
              <w:jc w:val="center"/>
              <w:rPr>
                <w:rFonts w:eastAsia="Helvetica,Times New Roman" w:cstheme="minorHAnsi"/>
                <w:b/>
                <w:color w:val="FFFFFF" w:themeColor="background1"/>
                <w:sz w:val="20"/>
                <w:szCs w:val="20"/>
              </w:rPr>
            </w:pPr>
            <w:r>
              <w:rPr>
                <w:rFonts w:eastAsia="Helvetica,Times New Roman" w:cstheme="minorHAnsi"/>
                <w:b/>
                <w:color w:val="FFFFFF" w:themeColor="background1"/>
                <w:sz w:val="20"/>
                <w:szCs w:val="20"/>
              </w:rPr>
              <w:t>Variable</w:t>
            </w:r>
          </w:p>
        </w:tc>
        <w:tc>
          <w:tcPr>
            <w:tcW w:w="1316" w:type="dxa"/>
            <w:shd w:val="clear" w:color="auto" w:fill="4F81BD" w:themeFill="accent1"/>
            <w:vAlign w:val="center"/>
          </w:tcPr>
          <w:p w14:paraId="6C3DD347" w14:textId="77777777" w:rsidR="00E978D4" w:rsidRPr="00FB649C" w:rsidRDefault="00E978D4" w:rsidP="00AD4CF8">
            <w:pPr>
              <w:spacing w:after="180" w:line="240" w:lineRule="auto"/>
              <w:jc w:val="center"/>
              <w:rPr>
                <w:b/>
                <w:bCs/>
                <w:color w:val="FFFFFF" w:themeColor="background1"/>
                <w:sz w:val="20"/>
                <w:szCs w:val="20"/>
              </w:rPr>
            </w:pPr>
            <w:r>
              <w:rPr>
                <w:b/>
                <w:bCs/>
                <w:color w:val="FFFFFF" w:themeColor="background1"/>
                <w:sz w:val="20"/>
                <w:szCs w:val="20"/>
              </w:rPr>
              <w:t>Units</w:t>
            </w:r>
          </w:p>
        </w:tc>
        <w:tc>
          <w:tcPr>
            <w:tcW w:w="1701" w:type="dxa"/>
            <w:shd w:val="clear" w:color="auto" w:fill="4F81BD" w:themeFill="accent1"/>
            <w:vAlign w:val="center"/>
          </w:tcPr>
          <w:p w14:paraId="1ADF41EE" w14:textId="77777777" w:rsidR="00E978D4" w:rsidRPr="00FB649C" w:rsidRDefault="00E978D4" w:rsidP="00AD4CF8">
            <w:pPr>
              <w:spacing w:after="180" w:line="240" w:lineRule="auto"/>
              <w:jc w:val="center"/>
              <w:rPr>
                <w:b/>
                <w:bCs/>
                <w:color w:val="FFFFFF" w:themeColor="background1"/>
                <w:sz w:val="20"/>
                <w:szCs w:val="20"/>
              </w:rPr>
            </w:pPr>
            <w:r>
              <w:rPr>
                <w:b/>
                <w:bCs/>
                <w:color w:val="FFFFFF" w:themeColor="background1"/>
                <w:sz w:val="20"/>
                <w:szCs w:val="20"/>
              </w:rPr>
              <w:t>Project Drawdown Data Set Range</w:t>
            </w:r>
          </w:p>
        </w:tc>
        <w:tc>
          <w:tcPr>
            <w:tcW w:w="1698" w:type="dxa"/>
            <w:shd w:val="clear" w:color="auto" w:fill="4F81BD" w:themeFill="accent1"/>
            <w:vAlign w:val="center"/>
          </w:tcPr>
          <w:p w14:paraId="01F11A1C" w14:textId="77777777" w:rsidR="00E978D4" w:rsidRPr="00FB649C" w:rsidRDefault="00E978D4" w:rsidP="00AD4CF8">
            <w:pPr>
              <w:spacing w:after="180" w:line="240" w:lineRule="auto"/>
              <w:jc w:val="center"/>
              <w:rPr>
                <w:b/>
                <w:bCs/>
                <w:color w:val="FFFFFF" w:themeColor="background1"/>
                <w:sz w:val="20"/>
                <w:szCs w:val="20"/>
              </w:rPr>
            </w:pPr>
            <w:r w:rsidRPr="00FB649C">
              <w:rPr>
                <w:b/>
                <w:bCs/>
                <w:color w:val="FFFFFF" w:themeColor="background1"/>
                <w:sz w:val="20"/>
                <w:szCs w:val="20"/>
              </w:rPr>
              <w:t>Model Input</w:t>
            </w:r>
          </w:p>
        </w:tc>
        <w:tc>
          <w:tcPr>
            <w:tcW w:w="1499" w:type="dxa"/>
            <w:shd w:val="clear" w:color="auto" w:fill="4F81BD" w:themeFill="accent1"/>
            <w:vAlign w:val="center"/>
          </w:tcPr>
          <w:p w14:paraId="19836510" w14:textId="77777777" w:rsidR="00E978D4" w:rsidRPr="00FB649C" w:rsidRDefault="00E978D4" w:rsidP="00AD4CF8">
            <w:pPr>
              <w:spacing w:after="180" w:line="240" w:lineRule="auto"/>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1386" w:type="dxa"/>
            <w:shd w:val="clear" w:color="auto" w:fill="4F81BD" w:themeFill="accent1"/>
            <w:vAlign w:val="center"/>
          </w:tcPr>
          <w:p w14:paraId="60C8D5D4" w14:textId="77777777" w:rsidR="00E978D4" w:rsidRPr="00FB649C" w:rsidRDefault="00E978D4" w:rsidP="00AD4CF8">
            <w:pPr>
              <w:spacing w:after="180" w:line="240" w:lineRule="auto"/>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E978D4" w:rsidRPr="007C7E99" w14:paraId="695CF599" w14:textId="77777777" w:rsidTr="00CC7F64">
        <w:trPr>
          <w:trHeight w:val="437"/>
          <w:jc w:val="center"/>
        </w:trPr>
        <w:tc>
          <w:tcPr>
            <w:tcW w:w="2000" w:type="dxa"/>
            <w:shd w:val="clear" w:color="auto" w:fill="auto"/>
            <w:vAlign w:val="center"/>
          </w:tcPr>
          <w:p w14:paraId="54939FF5" w14:textId="02FCF867" w:rsidR="00E978D4" w:rsidRPr="00CC7F64" w:rsidRDefault="00E978D4" w:rsidP="00AD4CF8">
            <w:pPr>
              <w:spacing w:line="240" w:lineRule="auto"/>
              <w:jc w:val="center"/>
              <w:rPr>
                <w:bCs/>
                <w:sz w:val="20"/>
                <w:szCs w:val="20"/>
              </w:rPr>
            </w:pPr>
            <w:r w:rsidRPr="00CC7F64">
              <w:rPr>
                <w:bCs/>
                <w:sz w:val="20"/>
                <w:szCs w:val="20"/>
              </w:rPr>
              <w:t xml:space="preserve">Lifetime Capacity </w:t>
            </w:r>
          </w:p>
        </w:tc>
        <w:tc>
          <w:tcPr>
            <w:tcW w:w="1316" w:type="dxa"/>
            <w:shd w:val="clear" w:color="auto" w:fill="auto"/>
            <w:vAlign w:val="center"/>
          </w:tcPr>
          <w:p w14:paraId="3E6C4D96" w14:textId="3BA15D1C" w:rsidR="00E978D4" w:rsidRPr="00CC7F64" w:rsidRDefault="00A8493F" w:rsidP="00AD4CF8">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i/>
                <w:color w:val="000000" w:themeColor="text1"/>
                <w:sz w:val="20"/>
                <w:szCs w:val="20"/>
              </w:rPr>
              <w:t>Plmh/Plm = hours</w:t>
            </w:r>
          </w:p>
        </w:tc>
        <w:tc>
          <w:tcPr>
            <w:tcW w:w="1701" w:type="dxa"/>
            <w:shd w:val="clear" w:color="auto" w:fill="auto"/>
            <w:vAlign w:val="center"/>
          </w:tcPr>
          <w:p w14:paraId="5BE951E7" w14:textId="211245E8" w:rsidR="00E978D4" w:rsidRPr="00CC7F64" w:rsidRDefault="00A8493F" w:rsidP="00AD4CF8">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color w:val="000000" w:themeColor="text1"/>
                <w:sz w:val="20"/>
                <w:szCs w:val="20"/>
              </w:rPr>
              <w:t>31,0</w:t>
            </w:r>
            <w:r w:rsidR="00F013C2">
              <w:rPr>
                <w:rFonts w:eastAsia="Helvetica,Times New Roman" w:cstheme="minorHAnsi"/>
                <w:color w:val="000000" w:themeColor="text1"/>
                <w:sz w:val="20"/>
                <w:szCs w:val="20"/>
              </w:rPr>
              <w:t>58</w:t>
            </w:r>
            <w:r w:rsidRPr="00CC7F64">
              <w:rPr>
                <w:rFonts w:eastAsia="Helvetica,Times New Roman" w:cstheme="minorHAnsi"/>
                <w:color w:val="000000" w:themeColor="text1"/>
                <w:sz w:val="20"/>
                <w:szCs w:val="20"/>
              </w:rPr>
              <w:t xml:space="preserve"> – 59,2</w:t>
            </w:r>
            <w:r w:rsidR="00F013C2">
              <w:rPr>
                <w:rFonts w:eastAsia="Helvetica,Times New Roman" w:cstheme="minorHAnsi"/>
                <w:color w:val="000000" w:themeColor="text1"/>
                <w:sz w:val="20"/>
                <w:szCs w:val="20"/>
              </w:rPr>
              <w:t>0</w:t>
            </w:r>
            <w:r w:rsidRPr="00CC7F64">
              <w:rPr>
                <w:rFonts w:eastAsia="Helvetica,Times New Roman" w:cstheme="minorHAnsi"/>
                <w:color w:val="000000" w:themeColor="text1"/>
                <w:sz w:val="20"/>
                <w:szCs w:val="20"/>
              </w:rPr>
              <w:t>8</w:t>
            </w:r>
          </w:p>
        </w:tc>
        <w:tc>
          <w:tcPr>
            <w:tcW w:w="1698" w:type="dxa"/>
            <w:shd w:val="clear" w:color="auto" w:fill="auto"/>
            <w:vAlign w:val="center"/>
          </w:tcPr>
          <w:p w14:paraId="20F7DFAA" w14:textId="628EBEB6" w:rsidR="00E978D4" w:rsidRPr="00CC7F64" w:rsidRDefault="00A8493F" w:rsidP="00AD4CF8">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color w:val="000000" w:themeColor="text1"/>
                <w:sz w:val="20"/>
                <w:szCs w:val="20"/>
              </w:rPr>
              <w:t>45,</w:t>
            </w:r>
            <w:r w:rsidR="00F013C2">
              <w:rPr>
                <w:rFonts w:eastAsia="Helvetica,Times New Roman" w:cstheme="minorHAnsi"/>
                <w:color w:val="000000" w:themeColor="text1"/>
                <w:sz w:val="20"/>
                <w:szCs w:val="20"/>
              </w:rPr>
              <w:t>133</w:t>
            </w:r>
          </w:p>
        </w:tc>
        <w:tc>
          <w:tcPr>
            <w:tcW w:w="1499" w:type="dxa"/>
            <w:shd w:val="clear" w:color="auto" w:fill="auto"/>
            <w:vAlign w:val="center"/>
          </w:tcPr>
          <w:p w14:paraId="604C40F1" w14:textId="70D03B4D" w:rsidR="00E978D4" w:rsidRPr="00CC7F64" w:rsidRDefault="0019230B" w:rsidP="00AD4CF8">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color w:val="000000" w:themeColor="text1"/>
                <w:sz w:val="20"/>
                <w:szCs w:val="20"/>
              </w:rPr>
              <w:t>1</w:t>
            </w:r>
            <w:r w:rsidR="00A8493F" w:rsidRPr="00CC7F64">
              <w:rPr>
                <w:rFonts w:eastAsia="Helvetica,Times New Roman" w:cstheme="minorHAnsi"/>
                <w:color w:val="000000" w:themeColor="text1"/>
                <w:sz w:val="20"/>
                <w:szCs w:val="20"/>
              </w:rPr>
              <w:t>6</w:t>
            </w:r>
          </w:p>
        </w:tc>
        <w:tc>
          <w:tcPr>
            <w:tcW w:w="1386" w:type="dxa"/>
            <w:shd w:val="clear" w:color="auto" w:fill="auto"/>
            <w:vAlign w:val="center"/>
          </w:tcPr>
          <w:p w14:paraId="686442A0" w14:textId="42A09859" w:rsidR="00E978D4" w:rsidRPr="00CC7F64" w:rsidRDefault="00CC7F64" w:rsidP="00AD4CF8">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color w:val="000000" w:themeColor="text1"/>
                <w:sz w:val="20"/>
                <w:szCs w:val="20"/>
              </w:rPr>
              <w:t>4</w:t>
            </w:r>
          </w:p>
        </w:tc>
      </w:tr>
      <w:tr w:rsidR="00E978D4" w:rsidRPr="00807D37" w14:paraId="2C2A2D34" w14:textId="77777777" w:rsidTr="00CC7F64">
        <w:trPr>
          <w:trHeight w:val="307"/>
          <w:jc w:val="center"/>
        </w:trPr>
        <w:tc>
          <w:tcPr>
            <w:tcW w:w="2000" w:type="dxa"/>
            <w:shd w:val="clear" w:color="auto" w:fill="auto"/>
            <w:vAlign w:val="center"/>
          </w:tcPr>
          <w:p w14:paraId="61A76755" w14:textId="24B9B261" w:rsidR="00E978D4" w:rsidRPr="00CC7F64" w:rsidRDefault="00E978D4" w:rsidP="00AD4CF8">
            <w:pPr>
              <w:spacing w:line="240" w:lineRule="auto"/>
              <w:jc w:val="center"/>
              <w:rPr>
                <w:bCs/>
                <w:sz w:val="20"/>
                <w:szCs w:val="20"/>
              </w:rPr>
            </w:pPr>
            <w:r w:rsidRPr="00CC7F64">
              <w:rPr>
                <w:bCs/>
                <w:sz w:val="20"/>
                <w:szCs w:val="20"/>
              </w:rPr>
              <w:t xml:space="preserve">Average Annual Use </w:t>
            </w:r>
          </w:p>
        </w:tc>
        <w:tc>
          <w:tcPr>
            <w:tcW w:w="1316" w:type="dxa"/>
            <w:shd w:val="clear" w:color="auto" w:fill="auto"/>
            <w:vAlign w:val="center"/>
          </w:tcPr>
          <w:p w14:paraId="6E34186B" w14:textId="4EB50203" w:rsidR="00E978D4" w:rsidRPr="00CC7F64" w:rsidRDefault="00A8493F" w:rsidP="00AD4CF8">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i/>
                <w:color w:val="000000" w:themeColor="text1"/>
                <w:sz w:val="20"/>
                <w:szCs w:val="20"/>
              </w:rPr>
              <w:t>Plmh/Plm = hours</w:t>
            </w:r>
          </w:p>
        </w:tc>
        <w:tc>
          <w:tcPr>
            <w:tcW w:w="1701" w:type="dxa"/>
            <w:shd w:val="clear" w:color="auto" w:fill="auto"/>
            <w:vAlign w:val="center"/>
          </w:tcPr>
          <w:p w14:paraId="5F99BA54" w14:textId="35906CFD" w:rsidR="00E978D4" w:rsidRPr="00CC7F64" w:rsidRDefault="00A8493F" w:rsidP="00AD4CF8">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color w:val="000000" w:themeColor="text1"/>
                <w:sz w:val="20"/>
                <w:szCs w:val="20"/>
              </w:rPr>
              <w:t>1,964 – 3,756</w:t>
            </w:r>
          </w:p>
        </w:tc>
        <w:tc>
          <w:tcPr>
            <w:tcW w:w="1698" w:type="dxa"/>
            <w:shd w:val="clear" w:color="auto" w:fill="auto"/>
            <w:vAlign w:val="center"/>
          </w:tcPr>
          <w:p w14:paraId="278E134A" w14:textId="4CAF5274" w:rsidR="00E978D4" w:rsidRPr="00CC7F64" w:rsidRDefault="00CC7F64" w:rsidP="00AD4CF8">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color w:val="000000" w:themeColor="text1"/>
                <w:sz w:val="20"/>
                <w:szCs w:val="20"/>
              </w:rPr>
              <w:t>2,860</w:t>
            </w:r>
          </w:p>
        </w:tc>
        <w:tc>
          <w:tcPr>
            <w:tcW w:w="1499" w:type="dxa"/>
            <w:shd w:val="clear" w:color="auto" w:fill="auto"/>
            <w:vAlign w:val="center"/>
          </w:tcPr>
          <w:p w14:paraId="1086D182" w14:textId="7CFAF9EA" w:rsidR="00E978D4" w:rsidRPr="00CC7F64" w:rsidRDefault="00CC7F64" w:rsidP="00AD4CF8">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color w:val="000000" w:themeColor="text1"/>
                <w:sz w:val="20"/>
                <w:szCs w:val="20"/>
              </w:rPr>
              <w:t>1</w:t>
            </w:r>
            <w:r w:rsidR="0019230B" w:rsidRPr="00CC7F64">
              <w:rPr>
                <w:rFonts w:eastAsia="Helvetica,Times New Roman" w:cstheme="minorHAnsi"/>
                <w:color w:val="000000" w:themeColor="text1"/>
                <w:sz w:val="20"/>
                <w:szCs w:val="20"/>
              </w:rPr>
              <w:t>1</w:t>
            </w:r>
          </w:p>
        </w:tc>
        <w:tc>
          <w:tcPr>
            <w:tcW w:w="1386" w:type="dxa"/>
            <w:shd w:val="clear" w:color="auto" w:fill="auto"/>
            <w:vAlign w:val="center"/>
          </w:tcPr>
          <w:p w14:paraId="1F20109E" w14:textId="2601604E" w:rsidR="00E978D4" w:rsidRPr="00CC7F64" w:rsidRDefault="00CC7F64" w:rsidP="00AD4CF8">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color w:val="000000" w:themeColor="text1"/>
                <w:sz w:val="20"/>
                <w:szCs w:val="20"/>
              </w:rPr>
              <w:t>1</w:t>
            </w:r>
          </w:p>
        </w:tc>
      </w:tr>
      <w:tr w:rsidR="0019230B" w:rsidRPr="00807D37" w14:paraId="20676ADC" w14:textId="77777777" w:rsidTr="00CC7F64">
        <w:trPr>
          <w:trHeight w:val="307"/>
          <w:jc w:val="center"/>
        </w:trPr>
        <w:tc>
          <w:tcPr>
            <w:tcW w:w="2000" w:type="dxa"/>
            <w:shd w:val="clear" w:color="auto" w:fill="auto"/>
            <w:vAlign w:val="center"/>
          </w:tcPr>
          <w:p w14:paraId="29A64B1C" w14:textId="2B9FE226" w:rsidR="0019230B" w:rsidRPr="00CC7F64" w:rsidRDefault="00C46AE9" w:rsidP="0019230B">
            <w:pPr>
              <w:spacing w:line="240" w:lineRule="auto"/>
              <w:jc w:val="center"/>
              <w:rPr>
                <w:bCs/>
                <w:sz w:val="20"/>
                <w:szCs w:val="20"/>
              </w:rPr>
            </w:pPr>
            <w:r w:rsidRPr="00CC7F64">
              <w:rPr>
                <w:bCs/>
                <w:sz w:val="20"/>
                <w:szCs w:val="20"/>
              </w:rPr>
              <w:t>Electricity</w:t>
            </w:r>
            <w:r w:rsidR="0019230B" w:rsidRPr="00CC7F64">
              <w:rPr>
                <w:bCs/>
                <w:sz w:val="20"/>
                <w:szCs w:val="20"/>
              </w:rPr>
              <w:t xml:space="preserve"> </w:t>
            </w:r>
            <w:r w:rsidRPr="00CC7F64">
              <w:rPr>
                <w:bCs/>
                <w:sz w:val="20"/>
                <w:szCs w:val="20"/>
              </w:rPr>
              <w:t>C</w:t>
            </w:r>
            <w:r w:rsidR="0019230B" w:rsidRPr="00CC7F64">
              <w:rPr>
                <w:bCs/>
                <w:sz w:val="20"/>
                <w:szCs w:val="20"/>
              </w:rPr>
              <w:t xml:space="preserve">onsumed </w:t>
            </w:r>
          </w:p>
        </w:tc>
        <w:tc>
          <w:tcPr>
            <w:tcW w:w="1316" w:type="dxa"/>
            <w:shd w:val="clear" w:color="auto" w:fill="auto"/>
            <w:vAlign w:val="center"/>
          </w:tcPr>
          <w:p w14:paraId="6B9C2B3D" w14:textId="34C79E37" w:rsidR="0019230B" w:rsidRPr="00CC7F64" w:rsidRDefault="0019230B" w:rsidP="0019230B">
            <w:pPr>
              <w:spacing w:after="180" w:line="240" w:lineRule="auto"/>
              <w:jc w:val="center"/>
              <w:rPr>
                <w:bCs/>
                <w:i/>
                <w:color w:val="000000" w:themeColor="text1"/>
                <w:sz w:val="20"/>
                <w:szCs w:val="20"/>
              </w:rPr>
            </w:pPr>
            <w:r w:rsidRPr="00CC7F64">
              <w:rPr>
                <w:bCs/>
                <w:i/>
                <w:color w:val="000000" w:themeColor="text1"/>
                <w:sz w:val="20"/>
                <w:szCs w:val="20"/>
              </w:rPr>
              <w:t>TWh/ Plmh</w:t>
            </w:r>
          </w:p>
        </w:tc>
        <w:tc>
          <w:tcPr>
            <w:tcW w:w="1701" w:type="dxa"/>
            <w:shd w:val="clear" w:color="auto" w:fill="auto"/>
            <w:vAlign w:val="center"/>
          </w:tcPr>
          <w:p w14:paraId="6133BA98" w14:textId="132DA344" w:rsidR="0019230B" w:rsidRPr="00CC7F64" w:rsidRDefault="0019230B" w:rsidP="0019230B">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color w:val="000000" w:themeColor="text1"/>
                <w:sz w:val="20"/>
                <w:szCs w:val="20"/>
              </w:rPr>
              <w:t>9.65-</w:t>
            </w:r>
            <w:r w:rsidR="00CC7F64" w:rsidRPr="00CC7F64">
              <w:rPr>
                <w:rFonts w:eastAsia="Helvetica,Times New Roman" w:cstheme="minorHAnsi"/>
                <w:color w:val="000000" w:themeColor="text1"/>
                <w:sz w:val="20"/>
                <w:szCs w:val="20"/>
              </w:rPr>
              <w:t>18.29</w:t>
            </w:r>
          </w:p>
        </w:tc>
        <w:tc>
          <w:tcPr>
            <w:tcW w:w="1698" w:type="dxa"/>
            <w:shd w:val="clear" w:color="auto" w:fill="auto"/>
            <w:vAlign w:val="center"/>
          </w:tcPr>
          <w:p w14:paraId="188A47BE" w14:textId="1D6054FB" w:rsidR="0019230B" w:rsidRPr="00CC7F64" w:rsidRDefault="0019230B" w:rsidP="0019230B">
            <w:pPr>
              <w:spacing w:after="180" w:line="240" w:lineRule="auto"/>
              <w:jc w:val="center"/>
              <w:rPr>
                <w:rFonts w:eastAsia="Helvetica,Times New Roman" w:cstheme="minorHAnsi"/>
                <w:color w:val="000000" w:themeColor="text1"/>
                <w:sz w:val="20"/>
                <w:szCs w:val="20"/>
              </w:rPr>
            </w:pPr>
            <w:r w:rsidRPr="00CC7F64">
              <w:rPr>
                <w:bCs/>
                <w:sz w:val="20"/>
                <w:szCs w:val="20"/>
              </w:rPr>
              <w:t>13.97</w:t>
            </w:r>
          </w:p>
        </w:tc>
        <w:tc>
          <w:tcPr>
            <w:tcW w:w="1499" w:type="dxa"/>
            <w:shd w:val="clear" w:color="auto" w:fill="auto"/>
            <w:vAlign w:val="center"/>
          </w:tcPr>
          <w:p w14:paraId="0BEEF46E" w14:textId="13A8DA0F" w:rsidR="0019230B" w:rsidRPr="00CC7F64" w:rsidRDefault="0019230B" w:rsidP="0019230B">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color w:val="000000" w:themeColor="text1"/>
                <w:sz w:val="20"/>
                <w:szCs w:val="20"/>
              </w:rPr>
              <w:t>16</w:t>
            </w:r>
          </w:p>
        </w:tc>
        <w:tc>
          <w:tcPr>
            <w:tcW w:w="1386" w:type="dxa"/>
            <w:shd w:val="clear" w:color="auto" w:fill="auto"/>
            <w:vAlign w:val="center"/>
          </w:tcPr>
          <w:p w14:paraId="6923E079" w14:textId="1DD85F3D" w:rsidR="0019230B" w:rsidRPr="00CC7F64" w:rsidRDefault="00CC7F64" w:rsidP="0019230B">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color w:val="000000" w:themeColor="text1"/>
                <w:sz w:val="20"/>
                <w:szCs w:val="20"/>
              </w:rPr>
              <w:t>7</w:t>
            </w:r>
          </w:p>
        </w:tc>
      </w:tr>
      <w:tr w:rsidR="00E85FEA" w:rsidRPr="00807D37" w14:paraId="1685C6FD" w14:textId="77777777" w:rsidTr="00CC7F64">
        <w:trPr>
          <w:trHeight w:val="307"/>
          <w:jc w:val="center"/>
        </w:trPr>
        <w:tc>
          <w:tcPr>
            <w:tcW w:w="2000" w:type="dxa"/>
            <w:shd w:val="clear" w:color="auto" w:fill="auto"/>
            <w:vAlign w:val="center"/>
          </w:tcPr>
          <w:p w14:paraId="15DB7671" w14:textId="7F8A3B9F" w:rsidR="00E85FEA" w:rsidRPr="00CC7F64" w:rsidRDefault="00E85FEA" w:rsidP="00E85FEA">
            <w:pPr>
              <w:spacing w:line="240" w:lineRule="auto"/>
              <w:jc w:val="center"/>
              <w:rPr>
                <w:bCs/>
                <w:sz w:val="20"/>
                <w:szCs w:val="20"/>
              </w:rPr>
            </w:pPr>
            <w:r w:rsidRPr="00CC7F64">
              <w:rPr>
                <w:bCs/>
                <w:sz w:val="20"/>
                <w:szCs w:val="20"/>
              </w:rPr>
              <w:t xml:space="preserve">Luminous Efficacy  </w:t>
            </w:r>
          </w:p>
        </w:tc>
        <w:tc>
          <w:tcPr>
            <w:tcW w:w="1316" w:type="dxa"/>
            <w:shd w:val="clear" w:color="auto" w:fill="auto"/>
            <w:vAlign w:val="center"/>
          </w:tcPr>
          <w:p w14:paraId="1F5B8D57" w14:textId="127A5006" w:rsidR="00E85FEA" w:rsidRPr="00CC7F64" w:rsidRDefault="00E85FEA" w:rsidP="00E85FEA">
            <w:pPr>
              <w:spacing w:after="180" w:line="240" w:lineRule="auto"/>
              <w:jc w:val="center"/>
              <w:rPr>
                <w:bCs/>
                <w:i/>
                <w:color w:val="000000" w:themeColor="text1"/>
                <w:sz w:val="20"/>
                <w:szCs w:val="20"/>
              </w:rPr>
            </w:pPr>
            <w:r w:rsidRPr="00CC7F64">
              <w:rPr>
                <w:bCs/>
                <w:i/>
                <w:color w:val="000000" w:themeColor="text1"/>
                <w:sz w:val="20"/>
                <w:szCs w:val="20"/>
              </w:rPr>
              <w:t>lm/W</w:t>
            </w:r>
          </w:p>
        </w:tc>
        <w:tc>
          <w:tcPr>
            <w:tcW w:w="1701" w:type="dxa"/>
            <w:shd w:val="clear" w:color="auto" w:fill="auto"/>
            <w:vAlign w:val="center"/>
          </w:tcPr>
          <w:p w14:paraId="164A169A" w14:textId="3551866B" w:rsidR="00E85FEA" w:rsidRPr="00CC7F64" w:rsidRDefault="00FE5366" w:rsidP="00E85FEA">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color w:val="000000" w:themeColor="text1"/>
                <w:sz w:val="20"/>
                <w:szCs w:val="20"/>
              </w:rPr>
              <w:t>51.</w:t>
            </w:r>
            <w:r w:rsidR="00CC7F64" w:rsidRPr="00CC7F64">
              <w:rPr>
                <w:rFonts w:eastAsia="Helvetica,Times New Roman" w:cstheme="minorHAnsi"/>
                <w:color w:val="000000" w:themeColor="text1"/>
                <w:sz w:val="20"/>
                <w:szCs w:val="20"/>
              </w:rPr>
              <w:t>2</w:t>
            </w:r>
            <w:r w:rsidRPr="00CC7F64">
              <w:rPr>
                <w:rFonts w:eastAsia="Helvetica,Times New Roman" w:cstheme="minorHAnsi"/>
                <w:color w:val="000000" w:themeColor="text1"/>
                <w:sz w:val="20"/>
                <w:szCs w:val="20"/>
              </w:rPr>
              <w:t>-95.1</w:t>
            </w:r>
          </w:p>
        </w:tc>
        <w:tc>
          <w:tcPr>
            <w:tcW w:w="1698" w:type="dxa"/>
            <w:shd w:val="clear" w:color="auto" w:fill="auto"/>
            <w:vAlign w:val="center"/>
          </w:tcPr>
          <w:p w14:paraId="3351DD2D" w14:textId="2651C07D" w:rsidR="00E85FEA" w:rsidRPr="00CC7F64" w:rsidRDefault="00FE5366" w:rsidP="00E85FEA">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color w:val="000000" w:themeColor="text1"/>
                <w:sz w:val="20"/>
                <w:szCs w:val="20"/>
              </w:rPr>
              <w:t>73.2</w:t>
            </w:r>
          </w:p>
        </w:tc>
        <w:tc>
          <w:tcPr>
            <w:tcW w:w="1499" w:type="dxa"/>
            <w:shd w:val="clear" w:color="auto" w:fill="auto"/>
            <w:vAlign w:val="center"/>
          </w:tcPr>
          <w:p w14:paraId="669EC8E8" w14:textId="5386D8FD" w:rsidR="00E85FEA" w:rsidRPr="00CC7F64" w:rsidRDefault="00FE5366" w:rsidP="00E85FEA">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color w:val="000000" w:themeColor="text1"/>
                <w:sz w:val="20"/>
                <w:szCs w:val="20"/>
              </w:rPr>
              <w:t>12</w:t>
            </w:r>
          </w:p>
        </w:tc>
        <w:tc>
          <w:tcPr>
            <w:tcW w:w="1386" w:type="dxa"/>
            <w:shd w:val="clear" w:color="auto" w:fill="auto"/>
            <w:vAlign w:val="center"/>
          </w:tcPr>
          <w:p w14:paraId="748E6A02" w14:textId="10CA64E7" w:rsidR="00E85FEA" w:rsidRPr="00CC7F64" w:rsidRDefault="00CC7F64" w:rsidP="00E85FEA">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color w:val="000000" w:themeColor="text1"/>
                <w:sz w:val="20"/>
                <w:szCs w:val="20"/>
              </w:rPr>
              <w:t>6</w:t>
            </w:r>
          </w:p>
        </w:tc>
      </w:tr>
      <w:tr w:rsidR="00E85FEA" w:rsidRPr="00807D37" w14:paraId="39F6A64F" w14:textId="77777777" w:rsidTr="00CC7F64">
        <w:trPr>
          <w:trHeight w:val="307"/>
          <w:jc w:val="center"/>
        </w:trPr>
        <w:tc>
          <w:tcPr>
            <w:tcW w:w="2000" w:type="dxa"/>
            <w:shd w:val="clear" w:color="auto" w:fill="auto"/>
            <w:vAlign w:val="center"/>
          </w:tcPr>
          <w:p w14:paraId="00B13B9F" w14:textId="56290AA5" w:rsidR="00E85FEA" w:rsidRPr="00CC7F64" w:rsidRDefault="00E85FEA" w:rsidP="00E85FEA">
            <w:pPr>
              <w:spacing w:line="240" w:lineRule="auto"/>
              <w:jc w:val="center"/>
              <w:rPr>
                <w:bCs/>
                <w:sz w:val="20"/>
                <w:szCs w:val="20"/>
              </w:rPr>
            </w:pPr>
            <w:r w:rsidRPr="00CC7F64">
              <w:rPr>
                <w:bCs/>
                <w:sz w:val="20"/>
                <w:szCs w:val="20"/>
              </w:rPr>
              <w:t xml:space="preserve">Average Luminous Flux </w:t>
            </w:r>
          </w:p>
        </w:tc>
        <w:tc>
          <w:tcPr>
            <w:tcW w:w="1316" w:type="dxa"/>
            <w:shd w:val="clear" w:color="auto" w:fill="auto"/>
            <w:vAlign w:val="center"/>
          </w:tcPr>
          <w:p w14:paraId="2A48FA6F" w14:textId="76213E74" w:rsidR="00E85FEA" w:rsidRPr="00CC7F64" w:rsidRDefault="00E85FEA" w:rsidP="00E85FEA">
            <w:pPr>
              <w:spacing w:after="180" w:line="240" w:lineRule="auto"/>
              <w:jc w:val="center"/>
              <w:rPr>
                <w:bCs/>
                <w:i/>
                <w:color w:val="000000" w:themeColor="text1"/>
                <w:sz w:val="20"/>
                <w:szCs w:val="20"/>
              </w:rPr>
            </w:pPr>
            <w:r w:rsidRPr="00CC7F64">
              <w:rPr>
                <w:bCs/>
                <w:i/>
                <w:color w:val="000000" w:themeColor="text1"/>
                <w:sz w:val="20"/>
                <w:szCs w:val="20"/>
              </w:rPr>
              <w:t>lm/ unit</w:t>
            </w:r>
          </w:p>
        </w:tc>
        <w:tc>
          <w:tcPr>
            <w:tcW w:w="1701" w:type="dxa"/>
            <w:shd w:val="clear" w:color="auto" w:fill="auto"/>
            <w:vAlign w:val="center"/>
          </w:tcPr>
          <w:p w14:paraId="4CBC4C97" w14:textId="6615CF56" w:rsidR="00E85FEA" w:rsidRPr="00CC7F64" w:rsidRDefault="00CC7F64" w:rsidP="00E85FEA">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color w:val="000000" w:themeColor="text1"/>
                <w:sz w:val="20"/>
                <w:szCs w:val="20"/>
              </w:rPr>
              <w:t>600</w:t>
            </w:r>
          </w:p>
        </w:tc>
        <w:tc>
          <w:tcPr>
            <w:tcW w:w="1698" w:type="dxa"/>
            <w:shd w:val="clear" w:color="auto" w:fill="auto"/>
            <w:vAlign w:val="center"/>
          </w:tcPr>
          <w:p w14:paraId="6ED32125" w14:textId="30172A5A" w:rsidR="00E85FEA" w:rsidRPr="00CC7F64" w:rsidRDefault="00CC7F64" w:rsidP="00E85FEA">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color w:val="000000" w:themeColor="text1"/>
                <w:sz w:val="20"/>
                <w:szCs w:val="20"/>
              </w:rPr>
              <w:t>600</w:t>
            </w:r>
          </w:p>
        </w:tc>
        <w:tc>
          <w:tcPr>
            <w:tcW w:w="1499" w:type="dxa"/>
            <w:shd w:val="clear" w:color="auto" w:fill="auto"/>
            <w:vAlign w:val="center"/>
          </w:tcPr>
          <w:p w14:paraId="34AB7A55" w14:textId="0EC55027" w:rsidR="00E85FEA" w:rsidRPr="00CC7F64" w:rsidRDefault="00CC7F64" w:rsidP="00E85FEA">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color w:val="000000" w:themeColor="text1"/>
                <w:sz w:val="20"/>
                <w:szCs w:val="20"/>
              </w:rPr>
              <w:t>2</w:t>
            </w:r>
          </w:p>
        </w:tc>
        <w:tc>
          <w:tcPr>
            <w:tcW w:w="1386" w:type="dxa"/>
            <w:shd w:val="clear" w:color="auto" w:fill="auto"/>
            <w:vAlign w:val="center"/>
          </w:tcPr>
          <w:p w14:paraId="3180EC51" w14:textId="01893DE5" w:rsidR="00E85FEA" w:rsidRPr="00CC7F64" w:rsidRDefault="00FE5366" w:rsidP="00E85FEA">
            <w:pPr>
              <w:spacing w:after="180" w:line="240" w:lineRule="auto"/>
              <w:jc w:val="center"/>
              <w:rPr>
                <w:rFonts w:eastAsia="Helvetica,Times New Roman" w:cstheme="minorHAnsi"/>
                <w:color w:val="000000" w:themeColor="text1"/>
                <w:sz w:val="20"/>
                <w:szCs w:val="20"/>
              </w:rPr>
            </w:pPr>
            <w:r w:rsidRPr="00CC7F64">
              <w:rPr>
                <w:rFonts w:eastAsia="Helvetica,Times New Roman" w:cstheme="minorHAnsi"/>
                <w:color w:val="000000" w:themeColor="text1"/>
                <w:sz w:val="20"/>
                <w:szCs w:val="20"/>
              </w:rPr>
              <w:t>1</w:t>
            </w:r>
          </w:p>
        </w:tc>
      </w:tr>
    </w:tbl>
    <w:p w14:paraId="3F927A96" w14:textId="77777777" w:rsidR="00E978D4" w:rsidRPr="00B144E5" w:rsidRDefault="00E978D4" w:rsidP="00EB247F">
      <w:pPr>
        <w:spacing w:after="0"/>
        <w:rPr>
          <w:bCs/>
        </w:rPr>
      </w:pPr>
    </w:p>
    <w:p w14:paraId="4E32D218" w14:textId="12B11079" w:rsidR="00B144E5" w:rsidRDefault="00686965" w:rsidP="00483FFA">
      <w:pPr>
        <w:pStyle w:val="Heading2"/>
      </w:pPr>
      <w:bookmarkStart w:id="95" w:name="_Toc44585085"/>
      <w:r>
        <w:t>Assumptions</w:t>
      </w:r>
      <w:bookmarkEnd w:id="95"/>
    </w:p>
    <w:p w14:paraId="1C71D5EB" w14:textId="3A580440" w:rsidR="00E33621" w:rsidRPr="00D8238F" w:rsidRDefault="00E33621" w:rsidP="00EB247F">
      <w:pPr>
        <w:spacing w:after="240"/>
      </w:pPr>
      <w:r w:rsidRPr="00D8238F">
        <w:t>Six overarching assumptions have been made for Project Drawdown models</w:t>
      </w:r>
      <w:r>
        <w:t xml:space="preserve"> to enable the development and integration of individual model solutions. These are that infrastructure required for solution is available and in-place, policies required are already in-place, no carbon price is modeled, all costs accrue at the level of agency </w:t>
      </w:r>
      <w:r w:rsidRPr="005C77F5">
        <w:t xml:space="preserve">modeled, improvements in technology are not modeled, and that first costs may change according to learning. Full details of core assumptions and methodology will be available at </w:t>
      </w:r>
      <w:hyperlink r:id="rId17" w:history="1">
        <w:r w:rsidRPr="005C77F5">
          <w:rPr>
            <w:rStyle w:val="Hyperlink"/>
          </w:rPr>
          <w:t>www.drawdown.org</w:t>
        </w:r>
      </w:hyperlink>
      <w:r w:rsidRPr="005C77F5">
        <w:t>. Beyond these core assumptions, there are other important assumptions made for the modeling of this specific solution. These are detailed below.</w:t>
      </w:r>
    </w:p>
    <w:p w14:paraId="692692A9" w14:textId="77777777" w:rsidR="007B299C" w:rsidRDefault="007B299C" w:rsidP="007B299C">
      <w:pPr>
        <w:pStyle w:val="ListParagraph"/>
        <w:numPr>
          <w:ilvl w:val="0"/>
          <w:numId w:val="10"/>
        </w:numPr>
        <w:ind w:left="426" w:hanging="426"/>
      </w:pPr>
      <w:r>
        <w:t>LED can replace all other major lamp types in a wide variety of applications across the commercial building sector, and replacement is done in proportion to the current market of those conventional lamp types.</w:t>
      </w:r>
    </w:p>
    <w:p w14:paraId="0FA0A3CB" w14:textId="35F2E4AE" w:rsidR="00E2109A" w:rsidRPr="00E2109A" w:rsidRDefault="00E2109A" w:rsidP="00E2109A">
      <w:pPr>
        <w:pStyle w:val="ListParagraph"/>
        <w:numPr>
          <w:ilvl w:val="0"/>
          <w:numId w:val="10"/>
        </w:numPr>
        <w:ind w:left="426" w:hanging="426"/>
      </w:pPr>
      <w:r w:rsidRPr="00E2109A">
        <w:t xml:space="preserve">The luminous efficacy </w:t>
      </w:r>
      <w:r w:rsidR="007B299C">
        <w:t>is the ideal metric for estimating the energy consumption (and therefore emissions)</w:t>
      </w:r>
      <w:r w:rsidRPr="00E2109A">
        <w:t xml:space="preserve"> </w:t>
      </w:r>
      <w:r w:rsidR="007B299C">
        <w:t>of use of lighting technologies, and this is driven by need for a specific amount of light as measured in lumens.</w:t>
      </w:r>
    </w:p>
    <w:p w14:paraId="748E95A3" w14:textId="4E2FD422" w:rsidR="007B299C" w:rsidRPr="00A35711" w:rsidRDefault="001A5CFE" w:rsidP="007B299C">
      <w:pPr>
        <w:pStyle w:val="ListParagraph"/>
        <w:numPr>
          <w:ilvl w:val="0"/>
          <w:numId w:val="10"/>
        </w:numPr>
        <w:ind w:left="426" w:hanging="426"/>
      </w:pPr>
      <w:r>
        <w:t>Population</w:t>
      </w:r>
      <w:r w:rsidR="007B299C" w:rsidRPr="00A35711">
        <w:t xml:space="preserve"> growth </w:t>
      </w:r>
      <w:r w:rsidR="007B299C">
        <w:t>is correlated</w:t>
      </w:r>
      <w:r w:rsidR="007B299C" w:rsidRPr="00A35711">
        <w:t xml:space="preserve"> to lighting demand</w:t>
      </w:r>
      <w:r w:rsidR="007B299C">
        <w:t xml:space="preserve"> growth</w:t>
      </w:r>
      <w:r w:rsidR="007B299C" w:rsidRPr="00A35711">
        <w:t xml:space="preserve">, as the lighting demand tends to increase with the </w:t>
      </w:r>
      <w:r>
        <w:t>number of people living in</w:t>
      </w:r>
      <w:r w:rsidR="007B299C" w:rsidRPr="00A35711">
        <w:t xml:space="preserve"> the region</w:t>
      </w:r>
      <w:r w:rsidR="007B299C">
        <w:t xml:space="preserve"> (for TAM calculation)</w:t>
      </w:r>
      <w:r w:rsidR="007B299C" w:rsidRPr="00A35711">
        <w:t xml:space="preserve">. However, lighting demand in </w:t>
      </w:r>
      <w:r w:rsidR="008F1136">
        <w:t>reside</w:t>
      </w:r>
      <w:r>
        <w:t>n</w:t>
      </w:r>
      <w:r w:rsidR="008F1136">
        <w:t xml:space="preserve">tial </w:t>
      </w:r>
      <w:r w:rsidR="007B299C" w:rsidRPr="00A35711">
        <w:t xml:space="preserve"> buildings may differ from that. Lighting demand (Plmh) may increase due to increasing number of </w:t>
      </w:r>
      <w:r>
        <w:t>lamps</w:t>
      </w:r>
      <w:r w:rsidR="007B299C" w:rsidRPr="00A35711">
        <w:t xml:space="preserve"> installed, whereas the energy demand for lighting may be reduced due to the increasing luminous efficacy (lm/W) of installed light sources (LED), and with the increasing adoption of lighting controls. Also </w:t>
      </w:r>
      <w:r>
        <w:t>the floor area per capita in residential buildings may change affecting how much lighting in needed per capita over time, particularly in rapidly industrializing regions.</w:t>
      </w:r>
    </w:p>
    <w:p w14:paraId="7A13A264" w14:textId="77777777" w:rsidR="007B299C" w:rsidRDefault="007B299C" w:rsidP="007B299C">
      <w:pPr>
        <w:pStyle w:val="ListParagraph"/>
        <w:numPr>
          <w:ilvl w:val="0"/>
          <w:numId w:val="10"/>
        </w:numPr>
        <w:ind w:left="426" w:hanging="426"/>
      </w:pPr>
      <w:r>
        <w:t>LED adoption can take place worldwide including in places with low lighting demand and low electricity grid penetration.</w:t>
      </w:r>
    </w:p>
    <w:p w14:paraId="04FBF2E3" w14:textId="6267BB18" w:rsidR="009D118F" w:rsidRPr="00F40A63" w:rsidRDefault="00686965" w:rsidP="00483FFA">
      <w:pPr>
        <w:pStyle w:val="Heading2"/>
      </w:pPr>
      <w:bookmarkStart w:id="96" w:name="_Toc44585086"/>
      <w:r w:rsidRPr="00F40A63">
        <w:t>Integration</w:t>
      </w:r>
      <w:bookmarkEnd w:id="96"/>
    </w:p>
    <w:p w14:paraId="3B6E9EB5" w14:textId="5DA7D102" w:rsidR="00A94BBE" w:rsidRPr="00942678" w:rsidRDefault="00A94BBE" w:rsidP="00A94BBE">
      <w:r w:rsidRPr="00942678">
        <w:t xml:space="preserve">The complete Project Drawdown integration documentation (will be available at </w:t>
      </w:r>
      <w:hyperlink r:id="rId18" w:history="1">
        <w:r w:rsidRPr="00942678">
          <w:rPr>
            <w:rStyle w:val="Hyperlink"/>
            <w:color w:val="auto"/>
          </w:rPr>
          <w:t>www.drawdown.org</w:t>
        </w:r>
      </w:hyperlink>
      <w:r w:rsidRPr="00942678">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1DCB6B6F" w14:textId="77777777" w:rsidR="00A94BBE" w:rsidRPr="00B8714F" w:rsidRDefault="00A94BBE" w:rsidP="00A94BBE">
      <w:bookmarkStart w:id="97" w:name="_Hlk18258426"/>
      <w:r w:rsidRPr="00B8714F">
        <w:t xml:space="preserve">Each solution in the Buildings and Cities Sector was modeled individually, and then integration was performed to ensure consistency across the sector and with the other sectors. These solutions require an integration analysis to avoid double counting, as they primarily relate to either reducing demand for space heating and cooling (for residential and/or commercial buildings), commercial lighting, </w:t>
      </w:r>
      <w:r>
        <w:t xml:space="preserve">cooking, </w:t>
      </w:r>
      <w:r w:rsidRPr="00B8714F">
        <w:t xml:space="preserve">or water heating. The integration process therefore was addressed through sequential adjustments to the </w:t>
      </w:r>
      <w:r>
        <w:t>efficiencies of the solutions in a prioritized sequence for each of</w:t>
      </w:r>
      <w:r w:rsidRPr="00B8714F">
        <w:t xml:space="preserve"> space heating and cooling, lighting</w:t>
      </w:r>
      <w:r>
        <w:t>, cooking,</w:t>
      </w:r>
      <w:r w:rsidRPr="00B8714F">
        <w:t xml:space="preserve"> and water heating (performed in </w:t>
      </w:r>
      <w:r>
        <w:t>four</w:t>
      </w:r>
      <w:r w:rsidRPr="00B8714F">
        <w:t xml:space="preserve"> separate sequence chains). </w:t>
      </w:r>
      <w:r>
        <w:t>The prioritized sequence is fixed for all scenarios and is described in the Drawdown Building Sector Integration documentation.</w:t>
      </w:r>
    </w:p>
    <w:p w14:paraId="1FE54776" w14:textId="77777777" w:rsidR="00A94BBE" w:rsidRPr="009C50B0" w:rsidRDefault="00A94BBE" w:rsidP="00A94BBE">
      <w:r w:rsidRPr="009C50B0">
        <w:t>For each solution in an integration sequence, the estimated impact of previous solutions on the emissions savings of the current solution is estimated and a reduction factor is applied. The factor is only applied to emissions and energy savings attributed to adoptions that overlap with previous solutions</w:t>
      </w:r>
      <w:r w:rsidRPr="009C50B0">
        <w:rPr>
          <w:rStyle w:val="FootnoteReference"/>
        </w:rPr>
        <w:footnoteReference w:id="11"/>
      </w:r>
      <w:r w:rsidRPr="009C50B0">
        <w:t>, and for this adoptions are generally assumed independent. Solutions that start each integration sequence are therefore unaffected (unless they are affected by solutions in other sequences)</w:t>
      </w:r>
      <w:r>
        <w:t>, and solutions that apply to different buildings (say commercial and residential) do not affect each other</w:t>
      </w:r>
      <w:r w:rsidRPr="009C50B0">
        <w:t>.</w:t>
      </w:r>
      <w:r>
        <w:t xml:space="preserve"> The method of estimating overlap is based on the percent adoption of the higher priority solution applied to the area adopted in the lower priority solution. For the efficiency factor of this overlapping area only, the reduction factor is applied, it is scaled and used to update the results in the lower priority solution model. </w:t>
      </w:r>
    </w:p>
    <w:bookmarkEnd w:id="97"/>
    <w:p w14:paraId="208E679C" w14:textId="723ED41C" w:rsidR="00F40A63" w:rsidRPr="005251A9" w:rsidRDefault="00C4523F" w:rsidP="00F40A63">
      <w:r>
        <w:t>No other building solution was integrated with Residential LED Lighting since no other modeled solution directly affected residential light (Commercial LED and Building Automation systems were integrated for their shared impact on commercial light energy however).</w:t>
      </w:r>
    </w:p>
    <w:p w14:paraId="3A64C5B1" w14:textId="77777777" w:rsidR="00A94BBE" w:rsidRPr="00223E65" w:rsidRDefault="00A94BBE" w:rsidP="00A94BBE">
      <w:r w:rsidRPr="00223E65">
        <w:t>In addition to building sector integration, there was an integration process across the grid and electricity efficiency solutions (buildings, transport, materials etc.) which adjusted for the double counting. Double counting of emissions reduction was a factor of using the reference grid emissions factors for electricity-based solutions. As grid solutions (Utility-scale Solar PV and others) are adopted, the grid gets cleaner and the impact of efficiency solutions is reduced (where they reduce electricity demand) or increased (where they increase electricity demand</w:t>
      </w:r>
      <w:bookmarkStart w:id="98" w:name="_Hlk18057342"/>
      <w:r w:rsidRPr="00223E65">
        <w:rPr>
          <w:rStyle w:val="FootnoteReference"/>
        </w:rPr>
        <w:footnoteReference w:id="12"/>
      </w:r>
      <w:bookmarkEnd w:id="98"/>
      <w:r w:rsidRPr="00223E65">
        <w:t>). Grid solutions are adjusted to remove the double counting as described in the Project Drawdown integration documentation.</w:t>
      </w:r>
    </w:p>
    <w:p w14:paraId="0ED84BEA" w14:textId="33E22972" w:rsidR="009D118F" w:rsidRDefault="00686965" w:rsidP="00483FFA">
      <w:pPr>
        <w:pStyle w:val="Heading2"/>
      </w:pPr>
      <w:bookmarkStart w:id="99" w:name="_Toc44585087"/>
      <w:r>
        <w:t>Limitations/Further Development</w:t>
      </w:r>
      <w:bookmarkEnd w:id="99"/>
    </w:p>
    <w:p w14:paraId="04FD9816" w14:textId="77777777" w:rsidR="0089503A" w:rsidRDefault="0089503A" w:rsidP="0089503A">
      <w:r>
        <w:t xml:space="preserve">The weakest point of the study is in the LED residential lighting adoption data. There were only a limited number of data sources for LED adoption as Plmh or as a share of Plmh. All these adoption data were used to calculate average LED adoption in 2014. </w:t>
      </w:r>
    </w:p>
    <w:p w14:paraId="0FC044F5" w14:textId="47273341" w:rsidR="0089503A" w:rsidRPr="0089503A" w:rsidRDefault="001B2805" w:rsidP="0089503A">
      <w:pPr>
        <w:rPr>
          <w:bCs/>
        </w:rPr>
      </w:pPr>
      <w:r>
        <w:rPr>
          <w:bCs/>
        </w:rPr>
        <w:t>T</w:t>
      </w:r>
      <w:r w:rsidR="0089503A" w:rsidRPr="0089503A">
        <w:rPr>
          <w:bCs/>
        </w:rPr>
        <w:t>he</w:t>
      </w:r>
      <w:r>
        <w:rPr>
          <w:bCs/>
        </w:rPr>
        <w:t xml:space="preserve"> </w:t>
      </w:r>
      <w:r w:rsidR="0089503A" w:rsidRPr="0089503A">
        <w:rPr>
          <w:bCs/>
        </w:rPr>
        <w:t xml:space="preserve">current adoption mix of conventional technologies is calculated based on market values provided by McKinsey for years 2012 and 2016, using linear </w:t>
      </w:r>
      <w:r>
        <w:rPr>
          <w:bCs/>
        </w:rPr>
        <w:t>interpolations</w:t>
      </w:r>
      <w:r w:rsidR="0089503A" w:rsidRPr="0089503A">
        <w:rPr>
          <w:bCs/>
        </w:rPr>
        <w:t xml:space="preserve"> to calculate 2014 shares. The market shares of conventional technologies are </w:t>
      </w:r>
      <w:r>
        <w:rPr>
          <w:bCs/>
        </w:rPr>
        <w:t>estimated</w:t>
      </w:r>
      <w:r w:rsidR="0089503A" w:rsidRPr="0089503A">
        <w:rPr>
          <w:bCs/>
        </w:rPr>
        <w:t xml:space="preserve"> to account for 97% of the TAM (LEDs account for 3% in 2014) with respective shares as in value. It must be noted that these data sources use different units (% of installed base in </w:t>
      </w:r>
      <w:r>
        <w:rPr>
          <w:bCs/>
        </w:rPr>
        <w:t>P</w:t>
      </w:r>
      <w:r w:rsidR="0089503A" w:rsidRPr="0089503A">
        <w:rPr>
          <w:bCs/>
        </w:rPr>
        <w:t>lmh; % of market share of sales), and these data are used due to the lack of data.</w:t>
      </w:r>
    </w:p>
    <w:p w14:paraId="5E2230FC" w14:textId="01762F77" w:rsidR="0089503A" w:rsidRDefault="0089503A" w:rsidP="0089503A">
      <w:r>
        <w:t>The average luminous efficacy</w:t>
      </w:r>
      <w:r w:rsidR="001B2805">
        <w:t xml:space="preserve"> </w:t>
      </w:r>
      <w:r>
        <w:t>is calculated based on data on luminous efficacies and market shares of individual lamp technologies in 2014-2015. However, these values are now calculated only for the global case, as no regional data was collected. The luminous efficacy is roughly estimated to be the same in all regions, which is not entirely the case. The luminous efficacy corresponds to the installed lighting technologies of the region in particular.</w:t>
      </w:r>
    </w:p>
    <w:p w14:paraId="60BE2669" w14:textId="1A5B5CD8" w:rsidR="0089503A" w:rsidRPr="00C56806" w:rsidRDefault="0089503A" w:rsidP="0089503A">
      <w:r w:rsidRPr="0089503A">
        <w:rPr>
          <w:bCs/>
        </w:rPr>
        <w:t xml:space="preserve">The base year residential lighting is estimated to be divided into incandescent, halogen, CFL, and LFL as the market share data that McKinsey indicates. However, McKinsey gives estimates for the market shares for 2012 and 2016, and the 2014 shares are calculated using linear </w:t>
      </w:r>
      <w:r w:rsidR="001B2805">
        <w:rPr>
          <w:bCs/>
        </w:rPr>
        <w:t>interpolation</w:t>
      </w:r>
      <w:r w:rsidRPr="0089503A">
        <w:rPr>
          <w:bCs/>
        </w:rPr>
        <w:t xml:space="preserve"> resulting </w:t>
      </w:r>
      <w:r w:rsidR="00BC03C5">
        <w:rPr>
          <w:bCs/>
        </w:rPr>
        <w:t>in</w:t>
      </w:r>
      <w:r w:rsidRPr="0089503A">
        <w:rPr>
          <w:bCs/>
        </w:rPr>
        <w:t xml:space="preserve"> shares of incandescent lamps (1</w:t>
      </w:r>
      <w:r w:rsidR="00BC03C5">
        <w:rPr>
          <w:bCs/>
        </w:rPr>
        <w:t>9</w:t>
      </w:r>
      <w:r w:rsidR="001B2805">
        <w:rPr>
          <w:bCs/>
        </w:rPr>
        <w:t>%</w:t>
      </w:r>
      <w:r w:rsidRPr="0089503A">
        <w:rPr>
          <w:bCs/>
        </w:rPr>
        <w:t>), halogen lamps (</w:t>
      </w:r>
      <w:r w:rsidR="00BC03C5">
        <w:rPr>
          <w:bCs/>
        </w:rPr>
        <w:t>32</w:t>
      </w:r>
      <w:r w:rsidR="001B2805">
        <w:rPr>
          <w:bCs/>
        </w:rPr>
        <w:t>%</w:t>
      </w:r>
      <w:r w:rsidRPr="0089503A">
        <w:rPr>
          <w:bCs/>
        </w:rPr>
        <w:t>), CFLs (</w:t>
      </w:r>
      <w:r w:rsidR="00BC03C5">
        <w:rPr>
          <w:bCs/>
        </w:rPr>
        <w:t>32</w:t>
      </w:r>
      <w:r w:rsidR="001B2805">
        <w:rPr>
          <w:bCs/>
        </w:rPr>
        <w:t>%</w:t>
      </w:r>
      <w:r w:rsidRPr="0089503A">
        <w:rPr>
          <w:bCs/>
        </w:rPr>
        <w:t>), and LFLs (</w:t>
      </w:r>
      <w:r w:rsidR="00BC03C5">
        <w:rPr>
          <w:bCs/>
        </w:rPr>
        <w:t>14</w:t>
      </w:r>
      <w:r w:rsidR="001B2805">
        <w:rPr>
          <w:bCs/>
        </w:rPr>
        <w:t>%</w:t>
      </w:r>
      <w:r w:rsidRPr="0089503A">
        <w:rPr>
          <w:bCs/>
        </w:rPr>
        <w:t xml:space="preserve">) in 2014. This linear </w:t>
      </w:r>
      <w:r w:rsidR="001B2805">
        <w:rPr>
          <w:bCs/>
        </w:rPr>
        <w:t>interpolation</w:t>
      </w:r>
      <w:r w:rsidRPr="0089503A">
        <w:rPr>
          <w:bCs/>
        </w:rPr>
        <w:t xml:space="preserve"> causes some error, so does using the market share as a proxy for the share of technologies in installed base. However, there is no global or regional estimates of the Plmh use in residential lighting literature. This is a weak point in the analysis assumptions and the shares of conventional and solution technologies must be confirmed.</w:t>
      </w:r>
    </w:p>
    <w:p w14:paraId="79D47570" w14:textId="77777777" w:rsidR="0089503A" w:rsidRDefault="0089503A" w:rsidP="0089503A">
      <w:r>
        <w:t xml:space="preserve">More first price data could be included to make the model more robust and to cover all the regions in more detail. </w:t>
      </w:r>
    </w:p>
    <w:p w14:paraId="66AA4E15" w14:textId="3FA6DF15" w:rsidR="0089503A" w:rsidRDefault="0089503A" w:rsidP="0089503A">
      <w:r>
        <w:t>Operating costs could be made more accurate by taking into account a future estimate of the electricity price fluctuation of each region. Operating cost (</w:t>
      </w:r>
      <w:r w:rsidR="00C72A90">
        <w:t>PDS</w:t>
      </w:r>
      <w:r>
        <w:t xml:space="preserve">) are calculated on the basis of estimated change in </w:t>
      </w:r>
      <w:r w:rsidR="00C72A90">
        <w:t>2020</w:t>
      </w:r>
      <w:r>
        <w:t>-20</w:t>
      </w:r>
      <w:r w:rsidR="00C72A90">
        <w:t>50</w:t>
      </w:r>
      <w:r>
        <w:t xml:space="preserve"> in the luminous efficacy. </w:t>
      </w:r>
    </w:p>
    <w:p w14:paraId="065CCE0A" w14:textId="3C59F97C" w:rsidR="0089503A" w:rsidRPr="0089503A" w:rsidRDefault="0089503A" w:rsidP="0089503A">
      <w:r>
        <w:t xml:space="preserve">Many of the literature used in the LED residential lighting model are not peer-reviewed. This is because of the lack of such scientific, peer-reviewed papers in the area providing the data in the format or unit needed. </w:t>
      </w:r>
      <w:r w:rsidRPr="008F0AA6">
        <w:rPr>
          <w:sz w:val="24"/>
        </w:rPr>
        <w:t>Yet</w:t>
      </w:r>
      <w:r>
        <w:t>, many of the non-peer-reviewed reports and books used as references were found to be cited in scientific peer-reviewed literature. This was found when the original references were checked.</w:t>
      </w:r>
    </w:p>
    <w:p w14:paraId="7CAFC693" w14:textId="4A2F7BD1" w:rsidR="007C645A" w:rsidRPr="005C77F5" w:rsidRDefault="551A77D0" w:rsidP="005C77F5">
      <w:pPr>
        <w:pStyle w:val="Heading1"/>
      </w:pPr>
      <w:bookmarkStart w:id="100" w:name="_Toc44585088"/>
      <w:r>
        <w:t>Results</w:t>
      </w:r>
      <w:bookmarkEnd w:id="100"/>
    </w:p>
    <w:p w14:paraId="7E39F2AB" w14:textId="79101C06" w:rsidR="00B261E0" w:rsidRDefault="007C645A" w:rsidP="00483FFA">
      <w:pPr>
        <w:pStyle w:val="Heading2"/>
      </w:pPr>
      <w:bookmarkStart w:id="101" w:name="_Toc44585089"/>
      <w:r>
        <w:t>Adoption</w:t>
      </w:r>
      <w:bookmarkEnd w:id="101"/>
    </w:p>
    <w:p w14:paraId="10EC0E5D" w14:textId="525C4D52" w:rsidR="0032353F" w:rsidRPr="0032353F" w:rsidRDefault="0032353F" w:rsidP="0032353F">
      <w:pPr>
        <w:rPr>
          <w:sz w:val="20"/>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21183A78" w14:textId="3A94EE19" w:rsidR="008D1491" w:rsidRDefault="008D1491" w:rsidP="00EB247F">
      <w:pPr>
        <w:pStyle w:val="Caption"/>
        <w:jc w:val="center"/>
      </w:pPr>
      <w:bookmarkStart w:id="102" w:name="_Toc44585109"/>
      <w:r>
        <w:t xml:space="preserve">Table </w:t>
      </w:r>
      <w:r w:rsidR="00ED272A">
        <w:rPr>
          <w:noProof/>
        </w:rPr>
        <w:fldChar w:fldCharType="begin"/>
      </w:r>
      <w:r w:rsidR="00ED272A">
        <w:rPr>
          <w:noProof/>
        </w:rPr>
        <w:instrText xml:space="preserve"> STYLEREF 1 \s </w:instrText>
      </w:r>
      <w:r w:rsidR="00ED272A">
        <w:rPr>
          <w:noProof/>
        </w:rPr>
        <w:fldChar w:fldCharType="separate"/>
      </w:r>
      <w:r w:rsidR="006F1368">
        <w:rPr>
          <w:noProof/>
        </w:rPr>
        <w:t>3</w:t>
      </w:r>
      <w:r w:rsidR="00ED272A">
        <w:rPr>
          <w:noProof/>
        </w:rPr>
        <w:fldChar w:fldCharType="end"/>
      </w:r>
      <w:r w:rsidR="00E853F6">
        <w:t>.</w:t>
      </w:r>
      <w:r w:rsidR="00ED272A">
        <w:rPr>
          <w:noProof/>
        </w:rPr>
        <w:fldChar w:fldCharType="begin"/>
      </w:r>
      <w:r w:rsidR="00ED272A">
        <w:rPr>
          <w:noProof/>
        </w:rPr>
        <w:instrText xml:space="preserve"> SEQ Table \* ARABIC \s 1 </w:instrText>
      </w:r>
      <w:r w:rsidR="00ED272A">
        <w:rPr>
          <w:noProof/>
        </w:rPr>
        <w:fldChar w:fldCharType="separate"/>
      </w:r>
      <w:r w:rsidR="006F1368">
        <w:rPr>
          <w:noProof/>
        </w:rPr>
        <w:t>1</w:t>
      </w:r>
      <w:r w:rsidR="00ED272A">
        <w:rPr>
          <w:noProof/>
        </w:rPr>
        <w:fldChar w:fldCharType="end"/>
      </w:r>
      <w:r>
        <w:t xml:space="preserve"> </w:t>
      </w:r>
      <w:r w:rsidR="005C77F5">
        <w:t xml:space="preserve">World </w:t>
      </w:r>
      <w:r>
        <w:t>Adoption</w:t>
      </w:r>
      <w:r w:rsidR="005C77F5">
        <w:t xml:space="preserve"> of the Solution</w:t>
      </w:r>
      <w:bookmarkEnd w:id="102"/>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AD4CF8">
            <w:pPr>
              <w:spacing w:line="240" w:lineRule="auto"/>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AD4CF8">
            <w:pPr>
              <w:spacing w:line="240" w:lineRule="auto"/>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AD4CF8">
            <w:pPr>
              <w:spacing w:line="240" w:lineRule="auto"/>
              <w:jc w:val="center"/>
              <w:rPr>
                <w:b/>
                <w:bCs/>
                <w:color w:val="FFFFFF" w:themeColor="background1"/>
                <w:sz w:val="20"/>
                <w:szCs w:val="20"/>
              </w:rPr>
            </w:pPr>
            <w:r w:rsidRPr="005C77F5">
              <w:rPr>
                <w:b/>
                <w:bCs/>
                <w:iCs/>
                <w:color w:val="FFFFFF" w:themeColor="background1"/>
                <w:sz w:val="20"/>
                <w:szCs w:val="20"/>
              </w:rPr>
              <w:t xml:space="preserve">Base Year </w:t>
            </w:r>
            <w:r w:rsidRPr="005C77F5">
              <w:rPr>
                <w:b/>
                <w:bCs/>
                <w:color w:val="FFFFFF" w:themeColor="background1"/>
                <w:sz w:val="20"/>
                <w:szCs w:val="20"/>
              </w:rPr>
              <w:t xml:space="preserve"> (2014)</w:t>
            </w:r>
          </w:p>
        </w:tc>
        <w:tc>
          <w:tcPr>
            <w:tcW w:w="4260" w:type="dxa"/>
            <w:gridSpan w:val="3"/>
            <w:shd w:val="clear" w:color="auto" w:fill="4F81BD" w:themeFill="accent1"/>
            <w:vAlign w:val="center"/>
          </w:tcPr>
          <w:p w14:paraId="1BAFBD47" w14:textId="1AD40332" w:rsidR="0032353F" w:rsidRPr="005C77F5" w:rsidRDefault="0032353F" w:rsidP="00AD4CF8">
            <w:pPr>
              <w:spacing w:line="240" w:lineRule="auto"/>
              <w:jc w:val="center"/>
              <w:rPr>
                <w:b/>
                <w:bCs/>
                <w:iCs/>
                <w:color w:val="FFFFFF" w:themeColor="background1"/>
                <w:sz w:val="20"/>
                <w:szCs w:val="20"/>
              </w:rPr>
            </w:pPr>
            <w:r>
              <w:rPr>
                <w:b/>
                <w:bCs/>
                <w:iCs/>
                <w:color w:val="FFFFFF" w:themeColor="background1"/>
                <w:sz w:val="20"/>
                <w:szCs w:val="20"/>
              </w:rPr>
              <w:t xml:space="preserve">World </w:t>
            </w:r>
            <w:r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AD4CF8">
            <w:pPr>
              <w:spacing w:line="240" w:lineRule="auto"/>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AD4CF8">
            <w:pPr>
              <w:spacing w:line="240" w:lineRule="auto"/>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AD4CF8">
            <w:pPr>
              <w:spacing w:line="240" w:lineRule="auto"/>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Optimum</w:t>
            </w:r>
          </w:p>
        </w:tc>
      </w:tr>
      <w:tr w:rsidR="005C77F5" w:rsidRPr="008D1491" w14:paraId="305C72A7" w14:textId="77777777" w:rsidTr="008F0AA6">
        <w:trPr>
          <w:trHeight w:val="840"/>
        </w:trPr>
        <w:tc>
          <w:tcPr>
            <w:tcW w:w="1951" w:type="dxa"/>
            <w:vMerge w:val="restart"/>
            <w:vAlign w:val="center"/>
          </w:tcPr>
          <w:p w14:paraId="2B8FFE1B" w14:textId="62C4CE61" w:rsidR="005C77F5" w:rsidRPr="008D1491" w:rsidRDefault="00FE5366" w:rsidP="00AD4CF8">
            <w:pPr>
              <w:spacing w:line="240" w:lineRule="auto"/>
              <w:jc w:val="center"/>
              <w:rPr>
                <w:sz w:val="20"/>
                <w:szCs w:val="20"/>
              </w:rPr>
            </w:pPr>
            <w:r>
              <w:rPr>
                <w:sz w:val="20"/>
                <w:szCs w:val="20"/>
              </w:rPr>
              <w:t xml:space="preserve">LED Residential </w:t>
            </w:r>
          </w:p>
        </w:tc>
        <w:tc>
          <w:tcPr>
            <w:tcW w:w="1730" w:type="dxa"/>
            <w:vAlign w:val="center"/>
          </w:tcPr>
          <w:p w14:paraId="5BDA7373" w14:textId="2681DDAD" w:rsidR="005C77F5" w:rsidRPr="005C77F5" w:rsidRDefault="00C63583" w:rsidP="00AD4CF8">
            <w:pPr>
              <w:spacing w:line="240" w:lineRule="auto"/>
              <w:jc w:val="center"/>
              <w:rPr>
                <w:rFonts w:cstheme="minorHAnsi"/>
                <w:bCs/>
                <w:color w:val="000000" w:themeColor="text1"/>
                <w:sz w:val="20"/>
                <w:szCs w:val="20"/>
              </w:rPr>
            </w:pPr>
            <w:r>
              <w:rPr>
                <w:bCs/>
                <w:i/>
                <w:color w:val="000000" w:themeColor="text1"/>
                <w:sz w:val="20"/>
                <w:szCs w:val="20"/>
              </w:rPr>
              <w:t>Plmh</w:t>
            </w:r>
          </w:p>
        </w:tc>
        <w:tc>
          <w:tcPr>
            <w:tcW w:w="1276" w:type="dxa"/>
            <w:shd w:val="clear" w:color="auto" w:fill="auto"/>
            <w:vAlign w:val="center"/>
          </w:tcPr>
          <w:p w14:paraId="72C0B03E" w14:textId="5ABBD829" w:rsidR="005C77F5" w:rsidRPr="00A91662" w:rsidRDefault="001932D4" w:rsidP="00AD4CF8">
            <w:pPr>
              <w:spacing w:line="240" w:lineRule="auto"/>
              <w:jc w:val="center"/>
              <w:rPr>
                <w:rFonts w:cstheme="minorHAnsi"/>
                <w:bCs/>
                <w:sz w:val="20"/>
                <w:szCs w:val="20"/>
              </w:rPr>
            </w:pPr>
            <w:r w:rsidRPr="00A91662">
              <w:rPr>
                <w:rFonts w:cstheme="minorHAnsi"/>
                <w:bCs/>
                <w:sz w:val="20"/>
                <w:szCs w:val="20"/>
              </w:rPr>
              <w:t>0.6</w:t>
            </w:r>
            <w:r w:rsidR="00305241" w:rsidRPr="00A91662">
              <w:rPr>
                <w:rFonts w:cstheme="minorHAnsi"/>
                <w:bCs/>
                <w:sz w:val="20"/>
                <w:szCs w:val="20"/>
              </w:rPr>
              <w:t>8</w:t>
            </w:r>
          </w:p>
        </w:tc>
        <w:tc>
          <w:tcPr>
            <w:tcW w:w="1417" w:type="dxa"/>
            <w:shd w:val="clear" w:color="auto" w:fill="auto"/>
            <w:vAlign w:val="center"/>
          </w:tcPr>
          <w:p w14:paraId="2A8FE7A2" w14:textId="703929D3" w:rsidR="005C77F5" w:rsidRPr="008F0AA6" w:rsidRDefault="00764532" w:rsidP="009370B5">
            <w:pPr>
              <w:spacing w:line="240" w:lineRule="auto"/>
              <w:jc w:val="center"/>
              <w:rPr>
                <w:rFonts w:ascii="Arial" w:hAnsi="Arial" w:cs="Arial"/>
                <w:color w:val="000000"/>
              </w:rPr>
            </w:pPr>
            <w:r>
              <w:rPr>
                <w:rFonts w:cstheme="minorHAnsi"/>
                <w:bCs/>
                <w:sz w:val="20"/>
                <w:szCs w:val="20"/>
              </w:rPr>
              <w:t>43</w:t>
            </w:r>
          </w:p>
        </w:tc>
        <w:tc>
          <w:tcPr>
            <w:tcW w:w="1559" w:type="dxa"/>
            <w:shd w:val="clear" w:color="auto" w:fill="auto"/>
            <w:vAlign w:val="center"/>
          </w:tcPr>
          <w:p w14:paraId="79EE8DDC" w14:textId="7BA9EF8C" w:rsidR="005C77F5" w:rsidRPr="00A91662" w:rsidRDefault="00764532" w:rsidP="00AD4CF8">
            <w:pPr>
              <w:spacing w:line="240" w:lineRule="auto"/>
              <w:jc w:val="center"/>
              <w:rPr>
                <w:rFonts w:cstheme="minorHAnsi"/>
                <w:bCs/>
                <w:sz w:val="20"/>
                <w:szCs w:val="20"/>
              </w:rPr>
            </w:pPr>
            <w:r>
              <w:rPr>
                <w:rFonts w:cstheme="minorHAnsi"/>
                <w:bCs/>
                <w:sz w:val="20"/>
                <w:szCs w:val="20"/>
              </w:rPr>
              <w:t>45</w:t>
            </w:r>
          </w:p>
        </w:tc>
        <w:tc>
          <w:tcPr>
            <w:tcW w:w="1284" w:type="dxa"/>
            <w:shd w:val="clear" w:color="auto" w:fill="auto"/>
            <w:vAlign w:val="center"/>
          </w:tcPr>
          <w:p w14:paraId="5B002A1D" w14:textId="7A86280E" w:rsidR="005C77F5" w:rsidRPr="00A91662" w:rsidRDefault="00764532" w:rsidP="00AD4CF8">
            <w:pPr>
              <w:spacing w:line="240" w:lineRule="auto"/>
              <w:jc w:val="center"/>
              <w:rPr>
                <w:rFonts w:cstheme="minorHAnsi"/>
                <w:bCs/>
                <w:sz w:val="20"/>
                <w:szCs w:val="20"/>
              </w:rPr>
            </w:pPr>
            <w:r>
              <w:rPr>
                <w:rFonts w:cstheme="minorHAnsi"/>
                <w:bCs/>
                <w:sz w:val="20"/>
                <w:szCs w:val="20"/>
              </w:rPr>
              <w:t>48</w:t>
            </w:r>
          </w:p>
        </w:tc>
      </w:tr>
      <w:tr w:rsidR="005C77F5" w:rsidRPr="008D1491" w14:paraId="59E1863D" w14:textId="77777777" w:rsidTr="008F0AA6">
        <w:trPr>
          <w:trHeight w:val="32"/>
        </w:trPr>
        <w:tc>
          <w:tcPr>
            <w:tcW w:w="1951" w:type="dxa"/>
            <w:vMerge/>
            <w:vAlign w:val="center"/>
          </w:tcPr>
          <w:p w14:paraId="518ED63B" w14:textId="77777777" w:rsidR="005C77F5" w:rsidRDefault="005C77F5" w:rsidP="00AD4CF8">
            <w:pPr>
              <w:spacing w:line="240" w:lineRule="auto"/>
              <w:jc w:val="center"/>
              <w:rPr>
                <w:sz w:val="20"/>
                <w:szCs w:val="20"/>
              </w:rPr>
            </w:pPr>
          </w:p>
        </w:tc>
        <w:tc>
          <w:tcPr>
            <w:tcW w:w="1730" w:type="dxa"/>
            <w:vAlign w:val="center"/>
          </w:tcPr>
          <w:p w14:paraId="2352B4C1" w14:textId="16893615" w:rsidR="005C77F5" w:rsidRPr="005C77F5" w:rsidRDefault="005C77F5" w:rsidP="00AD4CF8">
            <w:pPr>
              <w:spacing w:line="240" w:lineRule="auto"/>
              <w:jc w:val="center"/>
              <w:rPr>
                <w:rFonts w:cstheme="minorHAnsi"/>
                <w:bCs/>
                <w:color w:val="000000" w:themeColor="text1"/>
                <w:sz w:val="20"/>
                <w:szCs w:val="20"/>
              </w:rPr>
            </w:pPr>
            <w:r w:rsidRPr="005C77F5">
              <w:rPr>
                <w:bCs/>
                <w:i/>
                <w:iCs/>
                <w:color w:val="000000" w:themeColor="text1"/>
                <w:sz w:val="20"/>
                <w:szCs w:val="20"/>
              </w:rPr>
              <w:t>% market</w:t>
            </w:r>
          </w:p>
        </w:tc>
        <w:tc>
          <w:tcPr>
            <w:tcW w:w="1276" w:type="dxa"/>
            <w:shd w:val="clear" w:color="auto" w:fill="auto"/>
            <w:vAlign w:val="center"/>
          </w:tcPr>
          <w:p w14:paraId="4FD03435" w14:textId="20C0E7EC" w:rsidR="005C77F5" w:rsidRPr="00A91662" w:rsidRDefault="00764532" w:rsidP="00AD4CF8">
            <w:pPr>
              <w:spacing w:line="240" w:lineRule="auto"/>
              <w:jc w:val="center"/>
              <w:rPr>
                <w:rFonts w:cstheme="minorHAnsi"/>
                <w:bCs/>
                <w:sz w:val="20"/>
                <w:szCs w:val="20"/>
              </w:rPr>
            </w:pPr>
            <w:r>
              <w:rPr>
                <w:rFonts w:cstheme="minorHAnsi"/>
                <w:bCs/>
                <w:sz w:val="20"/>
                <w:szCs w:val="20"/>
              </w:rPr>
              <w:t>1.9</w:t>
            </w:r>
            <w:r w:rsidR="009370B5" w:rsidRPr="00A91662">
              <w:rPr>
                <w:rFonts w:cstheme="minorHAnsi"/>
                <w:bCs/>
                <w:sz w:val="20"/>
                <w:szCs w:val="20"/>
              </w:rPr>
              <w:t>%</w:t>
            </w:r>
          </w:p>
        </w:tc>
        <w:tc>
          <w:tcPr>
            <w:tcW w:w="1417" w:type="dxa"/>
            <w:shd w:val="clear" w:color="auto" w:fill="auto"/>
            <w:vAlign w:val="center"/>
          </w:tcPr>
          <w:p w14:paraId="34CAFB53" w14:textId="156886B7" w:rsidR="005C77F5" w:rsidRPr="00A91662" w:rsidRDefault="00CF7726" w:rsidP="00AD4CF8">
            <w:pPr>
              <w:spacing w:line="240" w:lineRule="auto"/>
              <w:jc w:val="center"/>
              <w:rPr>
                <w:rFonts w:cstheme="minorHAnsi"/>
                <w:bCs/>
                <w:sz w:val="20"/>
                <w:szCs w:val="20"/>
              </w:rPr>
            </w:pPr>
            <w:r w:rsidRPr="00A91662">
              <w:rPr>
                <w:rFonts w:cstheme="minorHAnsi"/>
                <w:bCs/>
                <w:sz w:val="20"/>
                <w:szCs w:val="20"/>
              </w:rPr>
              <w:t>90%</w:t>
            </w:r>
          </w:p>
        </w:tc>
        <w:tc>
          <w:tcPr>
            <w:tcW w:w="1559" w:type="dxa"/>
            <w:shd w:val="clear" w:color="auto" w:fill="auto"/>
            <w:vAlign w:val="center"/>
          </w:tcPr>
          <w:p w14:paraId="43B375D1" w14:textId="7833D1C4" w:rsidR="005C77F5" w:rsidRPr="00A91662" w:rsidRDefault="00CF7726" w:rsidP="00AD4CF8">
            <w:pPr>
              <w:spacing w:line="240" w:lineRule="auto"/>
              <w:jc w:val="center"/>
              <w:rPr>
                <w:rFonts w:cstheme="minorHAnsi"/>
                <w:bCs/>
                <w:sz w:val="20"/>
                <w:szCs w:val="20"/>
              </w:rPr>
            </w:pPr>
            <w:r w:rsidRPr="00A91662">
              <w:rPr>
                <w:rFonts w:cstheme="minorHAnsi"/>
                <w:bCs/>
                <w:sz w:val="20"/>
                <w:szCs w:val="20"/>
              </w:rPr>
              <w:t>95%</w:t>
            </w:r>
          </w:p>
        </w:tc>
        <w:tc>
          <w:tcPr>
            <w:tcW w:w="1284" w:type="dxa"/>
            <w:shd w:val="clear" w:color="auto" w:fill="auto"/>
            <w:vAlign w:val="center"/>
          </w:tcPr>
          <w:p w14:paraId="7641EB01" w14:textId="2C88708C" w:rsidR="005C77F5" w:rsidRPr="00A91662" w:rsidRDefault="00CF7726" w:rsidP="00AD4CF8">
            <w:pPr>
              <w:spacing w:line="240" w:lineRule="auto"/>
              <w:jc w:val="center"/>
              <w:rPr>
                <w:rFonts w:cstheme="minorHAnsi"/>
                <w:bCs/>
                <w:sz w:val="20"/>
                <w:szCs w:val="20"/>
              </w:rPr>
            </w:pPr>
            <w:r w:rsidRPr="00A91662">
              <w:rPr>
                <w:rFonts w:cstheme="minorHAnsi"/>
                <w:bCs/>
                <w:sz w:val="20"/>
                <w:szCs w:val="20"/>
              </w:rPr>
              <w:t>100%</w:t>
            </w:r>
          </w:p>
        </w:tc>
      </w:tr>
    </w:tbl>
    <w:p w14:paraId="2AB38D2C" w14:textId="77777777" w:rsidR="00762877" w:rsidRDefault="00762877" w:rsidP="00EB247F">
      <w:pPr>
        <w:spacing w:after="0"/>
        <w:jc w:val="center"/>
        <w:rPr>
          <w:rFonts w:cstheme="minorHAnsi"/>
          <w:b/>
          <w:bCs/>
          <w:i/>
        </w:rPr>
      </w:pPr>
    </w:p>
    <w:p w14:paraId="0D817E1E" w14:textId="3D964BB9" w:rsidR="0032353F" w:rsidRDefault="00F263F7" w:rsidP="00EB247F">
      <w:pPr>
        <w:pStyle w:val="Caption"/>
        <w:jc w:val="center"/>
      </w:pPr>
      <w:r>
        <w:rPr>
          <w:noProof/>
        </w:rPr>
        <w:drawing>
          <wp:inline distT="0" distB="0" distL="0" distR="0" wp14:anchorId="6E41C7D4" wp14:editId="358EAD2C">
            <wp:extent cx="4639310" cy="3481070"/>
            <wp:effectExtent l="0" t="0" r="889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9310" cy="3481070"/>
                    </a:xfrm>
                    <a:prstGeom prst="rect">
                      <a:avLst/>
                    </a:prstGeom>
                    <a:noFill/>
                  </pic:spPr>
                </pic:pic>
              </a:graphicData>
            </a:graphic>
          </wp:inline>
        </w:drawing>
      </w:r>
    </w:p>
    <w:p w14:paraId="7A2926D4" w14:textId="1A7352EF" w:rsidR="003A7929" w:rsidRPr="0032353F" w:rsidRDefault="003A7929" w:rsidP="00EB247F">
      <w:pPr>
        <w:pStyle w:val="Caption"/>
        <w:jc w:val="center"/>
      </w:pPr>
    </w:p>
    <w:p w14:paraId="567E303A" w14:textId="68E2E2F5" w:rsidR="00762877" w:rsidRPr="005C77F5" w:rsidRDefault="00977F6D" w:rsidP="005C77F5">
      <w:pPr>
        <w:pStyle w:val="Caption"/>
        <w:jc w:val="center"/>
        <w:rPr>
          <w:b/>
          <w:bCs/>
          <w:i w:val="0"/>
          <w:iCs w:val="0"/>
        </w:rPr>
      </w:pPr>
      <w:bookmarkStart w:id="103" w:name="_Toc44585098"/>
      <w:r w:rsidRPr="0032353F">
        <w:t xml:space="preserve">Figure </w:t>
      </w:r>
      <w:r w:rsidR="009A3D28">
        <w:rPr>
          <w:noProof/>
        </w:rPr>
        <w:fldChar w:fldCharType="begin"/>
      </w:r>
      <w:r w:rsidR="009A3D28">
        <w:rPr>
          <w:noProof/>
        </w:rPr>
        <w:instrText xml:space="preserve"> STYLEREF 1 \s </w:instrText>
      </w:r>
      <w:r w:rsidR="009A3D28">
        <w:rPr>
          <w:noProof/>
        </w:rPr>
        <w:fldChar w:fldCharType="separate"/>
      </w:r>
      <w:r w:rsidR="006F1368">
        <w:rPr>
          <w:noProof/>
        </w:rPr>
        <w:t>3</w:t>
      </w:r>
      <w:r w:rsidR="009A3D28">
        <w:rPr>
          <w:noProof/>
        </w:rPr>
        <w:fldChar w:fldCharType="end"/>
      </w:r>
      <w:r w:rsidR="001051BD">
        <w:t>.</w:t>
      </w:r>
      <w:r w:rsidR="009A3D28">
        <w:rPr>
          <w:noProof/>
        </w:rPr>
        <w:fldChar w:fldCharType="begin"/>
      </w:r>
      <w:r w:rsidR="009A3D28">
        <w:rPr>
          <w:noProof/>
        </w:rPr>
        <w:instrText xml:space="preserve"> SEQ Figure \* ARABIC \s 1 </w:instrText>
      </w:r>
      <w:r w:rsidR="009A3D28">
        <w:rPr>
          <w:noProof/>
        </w:rPr>
        <w:fldChar w:fldCharType="separate"/>
      </w:r>
      <w:r w:rsidR="006F1368">
        <w:rPr>
          <w:noProof/>
        </w:rPr>
        <w:t>1</w:t>
      </w:r>
      <w:r w:rsidR="009A3D28">
        <w:rPr>
          <w:noProof/>
        </w:rPr>
        <w:fldChar w:fldCharType="end"/>
      </w:r>
      <w:r w:rsidRPr="0032353F">
        <w:t xml:space="preserve"> </w:t>
      </w:r>
      <w:r w:rsidR="00807D37" w:rsidRPr="0032353F">
        <w:t xml:space="preserve">World Annual </w:t>
      </w:r>
      <w:r w:rsidRPr="0032353F">
        <w:t>Adoption 2020-2050</w:t>
      </w:r>
      <w:bookmarkEnd w:id="103"/>
    </w:p>
    <w:p w14:paraId="6B6F22E7" w14:textId="19002B27" w:rsidR="003A7929" w:rsidRDefault="551A77D0" w:rsidP="00483FFA">
      <w:pPr>
        <w:pStyle w:val="Heading2"/>
      </w:pPr>
      <w:bookmarkStart w:id="104" w:name="_Toc44585090"/>
      <w:r w:rsidRPr="551A77D0">
        <w:t>Climate Impacts</w:t>
      </w:r>
      <w:bookmarkEnd w:id="104"/>
    </w:p>
    <w:p w14:paraId="61041E32" w14:textId="02FB83AF" w:rsidR="0032353F" w:rsidRPr="00B9196D" w:rsidRDefault="0032353F" w:rsidP="0032353F">
      <w:r w:rsidRPr="00B9196D">
        <w:t xml:space="preserve">Below are the emissions results of the analysis for each scenario which include total emissions reduction, atmospheric concentration changes, and sequestration where relevant. For a detailed explanation of each result, please see the </w:t>
      </w:r>
      <w:r w:rsidR="00C63583">
        <w:fldChar w:fldCharType="begin"/>
      </w:r>
      <w:r w:rsidR="00C63583">
        <w:instrText xml:space="preserve"> REF _Ref536641216 \h </w:instrText>
      </w:r>
      <w:r w:rsidR="00C63583">
        <w:fldChar w:fldCharType="separate"/>
      </w:r>
      <w:r w:rsidR="006F1368" w:rsidRPr="00BB79D6">
        <w:t>Glossary</w:t>
      </w:r>
      <w:r w:rsidR="00C63583">
        <w:fldChar w:fldCharType="end"/>
      </w:r>
      <w:r w:rsidR="00C63583">
        <w:t xml:space="preserve"> </w:t>
      </w:r>
      <w:r w:rsidRPr="00B9196D">
        <w:t xml:space="preserve">(Section </w:t>
      </w:r>
      <w:r w:rsidR="004B34D4">
        <w:fldChar w:fldCharType="begin"/>
      </w:r>
      <w:r w:rsidR="004B34D4">
        <w:instrText xml:space="preserve"> REF _Ref536641216 \r \h </w:instrText>
      </w:r>
      <w:r w:rsidR="004B34D4">
        <w:fldChar w:fldCharType="separate"/>
      </w:r>
      <w:r w:rsidR="006F1368">
        <w:t>6</w:t>
      </w:r>
      <w:r w:rsidR="004B34D4">
        <w:fldChar w:fldCharType="end"/>
      </w:r>
      <w:r w:rsidRPr="00B9196D">
        <w:t>).</w:t>
      </w:r>
    </w:p>
    <w:p w14:paraId="52E48BE0" w14:textId="77777777" w:rsidR="00B261E0" w:rsidRDefault="00B261E0" w:rsidP="00EB247F">
      <w:pPr>
        <w:spacing w:after="0"/>
        <w:rPr>
          <w:rFonts w:cstheme="minorHAnsi"/>
          <w:b/>
          <w:bCs/>
          <w:i/>
        </w:rPr>
      </w:pPr>
    </w:p>
    <w:p w14:paraId="4DA2B4CB" w14:textId="2EC3CE33" w:rsidR="00762877" w:rsidRPr="00762877" w:rsidRDefault="0066753A" w:rsidP="00EB247F">
      <w:pPr>
        <w:pStyle w:val="Caption"/>
        <w:jc w:val="center"/>
        <w:rPr>
          <w:rFonts w:eastAsia="Times New Roman" w:cs="Times New Roman"/>
          <w:sz w:val="24"/>
          <w:szCs w:val="24"/>
          <w:lang w:eastAsia="zh-CN"/>
        </w:rPr>
      </w:pPr>
      <w:bookmarkStart w:id="105" w:name="_Toc44585110"/>
      <w:r>
        <w:t xml:space="preserve">Table </w:t>
      </w:r>
      <w:r w:rsidR="00ED272A">
        <w:rPr>
          <w:noProof/>
        </w:rPr>
        <w:fldChar w:fldCharType="begin"/>
      </w:r>
      <w:r w:rsidR="00ED272A">
        <w:rPr>
          <w:noProof/>
        </w:rPr>
        <w:instrText xml:space="preserve"> STYLEREF 1 \s </w:instrText>
      </w:r>
      <w:r w:rsidR="00ED272A">
        <w:rPr>
          <w:noProof/>
        </w:rPr>
        <w:fldChar w:fldCharType="separate"/>
      </w:r>
      <w:r w:rsidR="006F1368">
        <w:rPr>
          <w:noProof/>
        </w:rPr>
        <w:t>3</w:t>
      </w:r>
      <w:r w:rsidR="00ED272A">
        <w:rPr>
          <w:noProof/>
        </w:rPr>
        <w:fldChar w:fldCharType="end"/>
      </w:r>
      <w:r w:rsidR="00E853F6">
        <w:t>.</w:t>
      </w:r>
      <w:r w:rsidR="00ED272A">
        <w:rPr>
          <w:noProof/>
        </w:rPr>
        <w:fldChar w:fldCharType="begin"/>
      </w:r>
      <w:r w:rsidR="00ED272A">
        <w:rPr>
          <w:noProof/>
        </w:rPr>
        <w:instrText xml:space="preserve"> SEQ Table \* ARABIC \s 1 </w:instrText>
      </w:r>
      <w:r w:rsidR="00ED272A">
        <w:rPr>
          <w:noProof/>
        </w:rPr>
        <w:fldChar w:fldCharType="separate"/>
      </w:r>
      <w:r w:rsidR="006F1368">
        <w:rPr>
          <w:noProof/>
        </w:rPr>
        <w:t>2</w:t>
      </w:r>
      <w:r w:rsidR="00ED272A">
        <w:rPr>
          <w:noProof/>
        </w:rPr>
        <w:fldChar w:fldCharType="end"/>
      </w:r>
      <w:r>
        <w:t xml:space="preserve"> Climate Impacts</w:t>
      </w:r>
      <w:bookmarkEnd w:id="105"/>
    </w:p>
    <w:tbl>
      <w:tblPr>
        <w:tblW w:w="585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tblGrid>
      <w:tr w:rsidR="00A53A85" w:rsidRPr="006B675D" w14:paraId="0150056F" w14:textId="1D8EC1D7" w:rsidTr="00A53A85">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A53A85" w:rsidRPr="00F26176" w:rsidRDefault="00A53A85" w:rsidP="008F0AA6">
            <w:pPr>
              <w:spacing w:line="240" w:lineRule="auto"/>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A53A85" w:rsidRPr="00F26176" w:rsidRDefault="00A53A85"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A53A85" w:rsidRPr="00F26176" w:rsidRDefault="00A53A85"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A53A85" w:rsidRPr="00F26176" w:rsidRDefault="00A53A85" w:rsidP="00AD4CF8">
            <w:pPr>
              <w:spacing w:line="240" w:lineRule="auto"/>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A53A85" w:rsidRPr="00F26176" w:rsidRDefault="00A53A85"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A53A85" w:rsidRPr="006B675D" w14:paraId="6B5C6387" w14:textId="411C48F1" w:rsidTr="00A53A85">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A53A85" w:rsidRPr="006B675D" w:rsidRDefault="00A53A85" w:rsidP="00AD4CF8">
            <w:pPr>
              <w:spacing w:line="240" w:lineRule="auto"/>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A53A85" w:rsidRPr="006B675D" w:rsidRDefault="00A53A85" w:rsidP="00AD4CF8">
            <w:pPr>
              <w:spacing w:line="240" w:lineRule="auto"/>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A53A85" w:rsidRPr="006B675D" w:rsidRDefault="00A53A85" w:rsidP="00AD4CF8">
            <w:pPr>
              <w:spacing w:line="240" w:lineRule="auto"/>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A53A85" w:rsidRPr="006B675D" w:rsidRDefault="00A53A85" w:rsidP="00AD4CF8">
            <w:pPr>
              <w:spacing w:line="240" w:lineRule="auto"/>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A53A85" w:rsidRPr="006B675D" w:rsidRDefault="00A53A85" w:rsidP="00AD4CF8">
            <w:pPr>
              <w:spacing w:line="240" w:lineRule="auto"/>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764532" w:rsidRPr="006B675D" w14:paraId="354A2249" w14:textId="7B11184C" w:rsidTr="00A53A85">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764532" w:rsidRPr="006B675D" w:rsidRDefault="00764532" w:rsidP="00764532">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E32FE9C" w14:textId="0DD9C048" w:rsidR="00764532" w:rsidRPr="006B675D" w:rsidRDefault="00764532" w:rsidP="00764532">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0.60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55E6FA7" w14:textId="503E552E" w:rsidR="00764532" w:rsidRPr="007D76CB" w:rsidRDefault="00764532" w:rsidP="00764532">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11.48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66504C" w14:textId="520B20AF" w:rsidR="00764532" w:rsidRPr="006B675D" w:rsidRDefault="00764532" w:rsidP="00764532">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76625454" w14:textId="489EF99C" w:rsidR="00764532" w:rsidRPr="006B675D" w:rsidRDefault="00764532" w:rsidP="00764532">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0.60</w:t>
            </w:r>
          </w:p>
        </w:tc>
      </w:tr>
      <w:tr w:rsidR="00764532" w:rsidRPr="006B675D" w14:paraId="7DCB0C2E" w14:textId="35D5AF3A" w:rsidTr="00A53A85">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764532" w:rsidRPr="006B675D" w:rsidRDefault="00764532" w:rsidP="00764532">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6BCD264C" w14:textId="47ECD46B" w:rsidR="00764532" w:rsidRPr="006B675D" w:rsidRDefault="00764532" w:rsidP="00764532">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0.63</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384325D3" w14:textId="3C5DBDA4" w:rsidR="00764532" w:rsidRPr="006B675D" w:rsidRDefault="00764532" w:rsidP="00764532">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12.14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7949EEE" w14:textId="244AA9EE" w:rsidR="00764532" w:rsidRPr="006B675D" w:rsidRDefault="00764532" w:rsidP="00764532">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0.31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1AF5134" w14:textId="62D98A79" w:rsidR="00764532" w:rsidRPr="006B675D" w:rsidRDefault="00764532" w:rsidP="00764532">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0.63</w:t>
            </w:r>
          </w:p>
        </w:tc>
      </w:tr>
      <w:tr w:rsidR="00764532" w:rsidRPr="006B675D" w14:paraId="7CA1AA1B" w14:textId="3D7819CF" w:rsidTr="00963B4E">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764532" w:rsidRPr="006B675D" w:rsidRDefault="00764532" w:rsidP="00764532">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0786EBCB" w14:textId="59465E94" w:rsidR="00764532" w:rsidRPr="006B675D" w:rsidRDefault="00764532" w:rsidP="00764532">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0.67</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5E107D52" w14:textId="58B577A9" w:rsidR="00764532" w:rsidRPr="006B675D" w:rsidRDefault="00764532" w:rsidP="00764532">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12.79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104B6EC" w14:textId="0A8A5C63" w:rsidR="00764532" w:rsidRPr="006B675D" w:rsidRDefault="00764532" w:rsidP="00764532">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0.33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6E4588E5" w14:textId="1B6A3D12" w:rsidR="00764532" w:rsidRPr="006B675D" w:rsidRDefault="00764532" w:rsidP="00764532">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0.67</w:t>
            </w:r>
          </w:p>
        </w:tc>
      </w:tr>
    </w:tbl>
    <w:p w14:paraId="43965544" w14:textId="77777777" w:rsidR="00BB79D6" w:rsidRDefault="00BB79D6" w:rsidP="00EB247F">
      <w:pPr>
        <w:pStyle w:val="Caption"/>
      </w:pPr>
      <w:bookmarkStart w:id="106" w:name="_Toc524993443"/>
    </w:p>
    <w:p w14:paraId="30AFEE0B" w14:textId="2D6FAFB3" w:rsidR="005C77F5" w:rsidRDefault="00087D3B" w:rsidP="005C77F5">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4B5EBE5" w14:textId="77777777" w:rsidR="006B675D" w:rsidRPr="005C77F5" w:rsidRDefault="006B675D" w:rsidP="005C77F5"/>
    <w:p w14:paraId="524B77BF" w14:textId="4485EE00" w:rsidR="00762877" w:rsidRPr="00762877" w:rsidRDefault="003A7929" w:rsidP="00EB247F">
      <w:pPr>
        <w:pStyle w:val="Caption"/>
        <w:jc w:val="center"/>
        <w:rPr>
          <w:rFonts w:eastAsia="Times New Roman" w:cs="Times New Roman"/>
          <w:sz w:val="24"/>
          <w:szCs w:val="24"/>
          <w:lang w:eastAsia="zh-CN"/>
        </w:rPr>
      </w:pPr>
      <w:bookmarkStart w:id="107" w:name="_Toc44585111"/>
      <w:r>
        <w:t xml:space="preserve">Table </w:t>
      </w:r>
      <w:r w:rsidR="00ED272A">
        <w:rPr>
          <w:noProof/>
        </w:rPr>
        <w:fldChar w:fldCharType="begin"/>
      </w:r>
      <w:r w:rsidR="00ED272A">
        <w:rPr>
          <w:noProof/>
        </w:rPr>
        <w:instrText xml:space="preserve"> STYLEREF 1 \s </w:instrText>
      </w:r>
      <w:r w:rsidR="00ED272A">
        <w:rPr>
          <w:noProof/>
        </w:rPr>
        <w:fldChar w:fldCharType="separate"/>
      </w:r>
      <w:r w:rsidR="006F1368">
        <w:rPr>
          <w:noProof/>
        </w:rPr>
        <w:t>3</w:t>
      </w:r>
      <w:r w:rsidR="00ED272A">
        <w:rPr>
          <w:noProof/>
        </w:rPr>
        <w:fldChar w:fldCharType="end"/>
      </w:r>
      <w:r w:rsidR="00E853F6">
        <w:t>.</w:t>
      </w:r>
      <w:r w:rsidR="00ED272A">
        <w:rPr>
          <w:noProof/>
        </w:rPr>
        <w:fldChar w:fldCharType="begin"/>
      </w:r>
      <w:r w:rsidR="00ED272A">
        <w:rPr>
          <w:noProof/>
        </w:rPr>
        <w:instrText xml:space="preserve"> SEQ Table \* ARABIC \s 1 </w:instrText>
      </w:r>
      <w:r w:rsidR="00ED272A">
        <w:rPr>
          <w:noProof/>
        </w:rPr>
        <w:fldChar w:fldCharType="separate"/>
      </w:r>
      <w:r w:rsidR="006F1368">
        <w:rPr>
          <w:noProof/>
        </w:rPr>
        <w:t>3</w:t>
      </w:r>
      <w:r w:rsidR="00ED272A">
        <w:rPr>
          <w:noProof/>
        </w:rPr>
        <w:fldChar w:fldCharType="end"/>
      </w:r>
      <w:r>
        <w:t xml:space="preserve"> Impacts on Atmospheric Concentrations of CO</w:t>
      </w:r>
      <w:r w:rsidRPr="00AF1BB4">
        <w:rPr>
          <w:vertAlign w:val="subscript"/>
        </w:rPr>
        <w:t>2</w:t>
      </w:r>
      <w:r>
        <w:t>-eq</w:t>
      </w:r>
      <w:bookmarkEnd w:id="106"/>
      <w:bookmarkEnd w:id="107"/>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AD4CF8">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AD4CF8">
            <w:pPr>
              <w:spacing w:line="240" w:lineRule="auto"/>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AD4CF8">
            <w:pPr>
              <w:spacing w:line="240" w:lineRule="auto"/>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764532" w:rsidRPr="0066753A" w14:paraId="4F4161D1" w14:textId="77777777" w:rsidTr="009A3D28">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764532" w:rsidRPr="0066753A" w:rsidRDefault="00764532" w:rsidP="00764532">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A1BCFAA" w14:textId="56855930" w:rsidR="00764532" w:rsidRPr="0066753A" w:rsidRDefault="00764532" w:rsidP="00764532">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0.95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27FA7AAF" w14:textId="3643749E" w:rsidR="00764532" w:rsidRPr="0066753A" w:rsidRDefault="00764532" w:rsidP="00764532">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0.04</w:t>
            </w:r>
          </w:p>
        </w:tc>
      </w:tr>
      <w:tr w:rsidR="00764532" w:rsidRPr="0066753A" w14:paraId="389D5E87" w14:textId="77777777" w:rsidTr="009A3D28">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764532" w:rsidRPr="0066753A" w:rsidRDefault="00764532" w:rsidP="00764532">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66EE9459" w14:textId="1F540149" w:rsidR="00764532" w:rsidRPr="0066753A" w:rsidRDefault="00764532" w:rsidP="00764532">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1.00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69BDFCEF" w14:textId="54142CA2" w:rsidR="00764532" w:rsidRPr="0066753A" w:rsidRDefault="00764532" w:rsidP="00764532">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0.05</w:t>
            </w:r>
          </w:p>
        </w:tc>
      </w:tr>
      <w:tr w:rsidR="00B97BEE" w:rsidRPr="0066753A" w14:paraId="7A2BE5CA" w14:textId="77777777" w:rsidTr="009A3D28">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B97BEE" w:rsidRPr="0066753A" w:rsidRDefault="00B97BEE" w:rsidP="00B97BEE">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1FCA082F" w14:textId="01D010B4" w:rsidR="00B97BEE" w:rsidRPr="0066753A" w:rsidRDefault="00B97BEE" w:rsidP="00B97BEE">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1.05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24A8C8CB" w14:textId="5565D5A6" w:rsidR="00B97BEE" w:rsidRPr="0066753A" w:rsidRDefault="00B97BEE" w:rsidP="00B97BEE">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0.05</w:t>
            </w:r>
          </w:p>
        </w:tc>
      </w:tr>
    </w:tbl>
    <w:p w14:paraId="52077D33" w14:textId="77777777" w:rsidR="003A7FE2" w:rsidRDefault="003A7FE2" w:rsidP="00EB247F">
      <w:pPr>
        <w:pStyle w:val="Caption"/>
      </w:pPr>
    </w:p>
    <w:p w14:paraId="6DD4F749" w14:textId="5B45CEDF" w:rsidR="006B675D" w:rsidRPr="006B675D" w:rsidRDefault="00F263F7" w:rsidP="008F0AA6">
      <w:pPr>
        <w:jc w:val="center"/>
      </w:pPr>
      <w:r>
        <w:rPr>
          <w:noProof/>
        </w:rPr>
        <w:drawing>
          <wp:inline distT="0" distB="0" distL="0" distR="0" wp14:anchorId="3538EE6F" wp14:editId="066E948E">
            <wp:extent cx="4584700" cy="3481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3481070"/>
                    </a:xfrm>
                    <a:prstGeom prst="rect">
                      <a:avLst/>
                    </a:prstGeom>
                    <a:noFill/>
                  </pic:spPr>
                </pic:pic>
              </a:graphicData>
            </a:graphic>
          </wp:inline>
        </w:drawing>
      </w:r>
    </w:p>
    <w:p w14:paraId="5DAEFCF6" w14:textId="698C1520" w:rsidR="00762877" w:rsidRPr="00996E91" w:rsidRDefault="003A7929" w:rsidP="00996E91">
      <w:pPr>
        <w:pStyle w:val="Caption"/>
        <w:jc w:val="center"/>
        <w:rPr>
          <w:rFonts w:eastAsia="Times New Roman" w:cs="Times New Roman"/>
          <w:sz w:val="24"/>
          <w:szCs w:val="24"/>
          <w:lang w:eastAsia="zh-CN"/>
        </w:rPr>
      </w:pPr>
      <w:bookmarkStart w:id="108" w:name="_Toc524993433"/>
      <w:bookmarkStart w:id="109" w:name="_Toc44585099"/>
      <w:r w:rsidRPr="006B675D">
        <w:t xml:space="preserve">Figure </w:t>
      </w:r>
      <w:r w:rsidR="009A3D28">
        <w:rPr>
          <w:noProof/>
        </w:rPr>
        <w:fldChar w:fldCharType="begin"/>
      </w:r>
      <w:r w:rsidR="009A3D28">
        <w:rPr>
          <w:noProof/>
        </w:rPr>
        <w:instrText xml:space="preserve"> STYLEREF 1 \s </w:instrText>
      </w:r>
      <w:r w:rsidR="009A3D28">
        <w:rPr>
          <w:noProof/>
        </w:rPr>
        <w:fldChar w:fldCharType="separate"/>
      </w:r>
      <w:r w:rsidR="006F1368">
        <w:rPr>
          <w:noProof/>
        </w:rPr>
        <w:t>3</w:t>
      </w:r>
      <w:r w:rsidR="009A3D28">
        <w:rPr>
          <w:noProof/>
        </w:rPr>
        <w:fldChar w:fldCharType="end"/>
      </w:r>
      <w:r w:rsidR="001051BD">
        <w:t>.</w:t>
      </w:r>
      <w:r w:rsidR="009A3D28">
        <w:rPr>
          <w:noProof/>
        </w:rPr>
        <w:fldChar w:fldCharType="begin"/>
      </w:r>
      <w:r w:rsidR="009A3D28">
        <w:rPr>
          <w:noProof/>
        </w:rPr>
        <w:instrText xml:space="preserve"> SEQ Figure \* ARABIC \s 1 </w:instrText>
      </w:r>
      <w:r w:rsidR="009A3D28">
        <w:rPr>
          <w:noProof/>
        </w:rPr>
        <w:fldChar w:fldCharType="separate"/>
      </w:r>
      <w:r w:rsidR="006F1368">
        <w:rPr>
          <w:noProof/>
        </w:rPr>
        <w:t>2</w:t>
      </w:r>
      <w:r w:rsidR="009A3D28">
        <w:rPr>
          <w:noProof/>
        </w:rPr>
        <w:fldChar w:fldCharType="end"/>
      </w:r>
      <w:r w:rsidRPr="006B675D">
        <w:t xml:space="preserve"> World Annual</w:t>
      </w:r>
      <w:r w:rsidRPr="006B675D">
        <w:rPr>
          <w:vertAlign w:val="subscript"/>
        </w:rPr>
        <w:t xml:space="preserve"> </w:t>
      </w:r>
      <w:r w:rsidRPr="006B675D">
        <w:t>Greenhouse Gas Emissions Reduction</w:t>
      </w:r>
      <w:bookmarkEnd w:id="108"/>
      <w:bookmarkEnd w:id="109"/>
    </w:p>
    <w:p w14:paraId="66EC2EBB" w14:textId="500D3397" w:rsidR="00B261E0" w:rsidRDefault="551A77D0" w:rsidP="00483FFA">
      <w:pPr>
        <w:pStyle w:val="Heading2"/>
      </w:pPr>
      <w:bookmarkStart w:id="110" w:name="_Toc44585091"/>
      <w:r w:rsidRPr="551A77D0">
        <w:t>Financial Impacts</w:t>
      </w:r>
      <w:bookmarkEnd w:id="110"/>
    </w:p>
    <w:p w14:paraId="306213A7" w14:textId="77777777" w:rsidR="006B675D" w:rsidRPr="00EC12A1" w:rsidRDefault="006B675D" w:rsidP="006B675D">
      <w:r w:rsidRPr="00EC12A1">
        <w:t>Below are the financial results of the analysis for each scenario. For a detailed explanation of each result, please see the glossary.</w:t>
      </w:r>
    </w:p>
    <w:p w14:paraId="4F6C2C45" w14:textId="77777777" w:rsidR="00E14F94" w:rsidRDefault="00E14F94" w:rsidP="00EB247F">
      <w:pPr>
        <w:spacing w:after="0"/>
        <w:rPr>
          <w:bCs/>
          <w:i/>
        </w:rPr>
      </w:pPr>
    </w:p>
    <w:p w14:paraId="09347CCA" w14:textId="2FD9EB8D" w:rsidR="00492F5E" w:rsidRPr="00492F5E" w:rsidRDefault="00492F5E" w:rsidP="00EB247F">
      <w:pPr>
        <w:pStyle w:val="Caption"/>
        <w:jc w:val="center"/>
        <w:rPr>
          <w:i w:val="0"/>
          <w:iCs w:val="0"/>
        </w:rPr>
      </w:pPr>
      <w:bookmarkStart w:id="111" w:name="_Toc44585112"/>
      <w:r>
        <w:t xml:space="preserve">Table </w:t>
      </w:r>
      <w:r w:rsidR="00ED272A">
        <w:rPr>
          <w:noProof/>
        </w:rPr>
        <w:fldChar w:fldCharType="begin"/>
      </w:r>
      <w:r w:rsidR="00ED272A">
        <w:rPr>
          <w:noProof/>
        </w:rPr>
        <w:instrText xml:space="preserve"> STYLEREF 1 \s </w:instrText>
      </w:r>
      <w:r w:rsidR="00ED272A">
        <w:rPr>
          <w:noProof/>
        </w:rPr>
        <w:fldChar w:fldCharType="separate"/>
      </w:r>
      <w:r w:rsidR="006F1368">
        <w:rPr>
          <w:noProof/>
        </w:rPr>
        <w:t>3</w:t>
      </w:r>
      <w:r w:rsidR="00ED272A">
        <w:rPr>
          <w:noProof/>
        </w:rPr>
        <w:fldChar w:fldCharType="end"/>
      </w:r>
      <w:r w:rsidR="00E853F6">
        <w:t>.</w:t>
      </w:r>
      <w:r w:rsidR="00ED272A">
        <w:rPr>
          <w:noProof/>
        </w:rPr>
        <w:fldChar w:fldCharType="begin"/>
      </w:r>
      <w:r w:rsidR="00ED272A">
        <w:rPr>
          <w:noProof/>
        </w:rPr>
        <w:instrText xml:space="preserve"> SEQ Table \* ARABIC \s 1 </w:instrText>
      </w:r>
      <w:r w:rsidR="00ED272A">
        <w:rPr>
          <w:noProof/>
        </w:rPr>
        <w:fldChar w:fldCharType="separate"/>
      </w:r>
      <w:r w:rsidR="006F1368">
        <w:rPr>
          <w:noProof/>
        </w:rPr>
        <w:t>4</w:t>
      </w:r>
      <w:r w:rsidR="00ED272A">
        <w:rPr>
          <w:noProof/>
        </w:rPr>
        <w:fldChar w:fldCharType="end"/>
      </w:r>
      <w:r>
        <w:t xml:space="preserve"> Financial Impacts</w:t>
      </w:r>
      <w:bookmarkEnd w:id="111"/>
    </w:p>
    <w:tbl>
      <w:tblPr>
        <w:tblW w:w="0" w:type="auto"/>
        <w:tblCellMar>
          <w:top w:w="15" w:type="dxa"/>
          <w:left w:w="15" w:type="dxa"/>
          <w:bottom w:w="15" w:type="dxa"/>
          <w:right w:w="15" w:type="dxa"/>
        </w:tblCellMar>
        <w:tblLook w:val="04A0" w:firstRow="1" w:lastRow="0" w:firstColumn="1" w:lastColumn="0" w:noHBand="0" w:noVBand="1"/>
      </w:tblPr>
      <w:tblGrid>
        <w:gridCol w:w="1304"/>
        <w:gridCol w:w="1379"/>
        <w:gridCol w:w="1193"/>
        <w:gridCol w:w="1376"/>
        <w:gridCol w:w="1700"/>
        <w:gridCol w:w="2388"/>
      </w:tblGrid>
      <w:tr w:rsidR="00764532" w:rsidRPr="006B675D" w14:paraId="02CA9FB7" w14:textId="77777777" w:rsidTr="009A3D28">
        <w:trPr>
          <w:cantSplit/>
          <w:trHeight w:val="820"/>
          <w:tblHeader/>
        </w:trPr>
        <w:tc>
          <w:tcPr>
            <w:tcW w:w="130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764532" w:rsidRPr="006B675D" w:rsidRDefault="00764532" w:rsidP="00764532">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3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764532" w:rsidRPr="006B675D" w:rsidRDefault="00764532" w:rsidP="00764532">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Cumulative First Cost</w:t>
            </w:r>
          </w:p>
        </w:tc>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764532" w:rsidRPr="006B675D" w:rsidRDefault="00764532" w:rsidP="00764532">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Marginal First Cost</w:t>
            </w:r>
          </w:p>
        </w:tc>
        <w:tc>
          <w:tcPr>
            <w:tcW w:w="1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77777777" w:rsidR="00764532" w:rsidRPr="006B675D" w:rsidRDefault="00764532" w:rsidP="00764532">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Net Operating Savings</w:t>
            </w:r>
          </w:p>
        </w:tc>
        <w:tc>
          <w:tcPr>
            <w:tcW w:w="17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1C128EB3" w14:textId="4E8082A9" w:rsidR="00764532" w:rsidRPr="006B675D" w:rsidRDefault="00764532" w:rsidP="00764532">
            <w:pPr>
              <w:spacing w:after="0" w:line="240" w:lineRule="auto"/>
              <w:jc w:val="center"/>
              <w:rPr>
                <w:b/>
                <w:bCs/>
                <w:color w:val="FFFFFF" w:themeColor="background1"/>
                <w:sz w:val="20"/>
                <w:szCs w:val="20"/>
                <w:lang w:eastAsia="zh-CN"/>
              </w:rPr>
            </w:pPr>
            <w:r>
              <w:rPr>
                <w:b/>
                <w:bCs/>
                <w:color w:val="FFFFFF"/>
                <w:sz w:val="20"/>
                <w:szCs w:val="20"/>
              </w:rPr>
              <w:t>Lifetime Operating Cost Savings</w:t>
            </w:r>
          </w:p>
        </w:tc>
        <w:tc>
          <w:tcPr>
            <w:tcW w:w="23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67D2C669" w:rsidR="00764532" w:rsidRPr="006B675D" w:rsidRDefault="00764532" w:rsidP="00764532">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Lifetime Cashflow Savings NPV (of All Implementation Units)</w:t>
            </w:r>
          </w:p>
        </w:tc>
      </w:tr>
      <w:tr w:rsidR="00764532" w:rsidRPr="006B675D" w14:paraId="67FE449F" w14:textId="77777777" w:rsidTr="009A3D28">
        <w:trPr>
          <w:cantSplit/>
          <w:trHeight w:val="640"/>
          <w:tblHeader/>
        </w:trPr>
        <w:tc>
          <w:tcPr>
            <w:tcW w:w="130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764532" w:rsidRPr="006B675D" w:rsidRDefault="00764532" w:rsidP="00764532">
            <w:pPr>
              <w:spacing w:after="0" w:line="240" w:lineRule="auto"/>
              <w:jc w:val="center"/>
              <w:rPr>
                <w:rFonts w:eastAsia="Times New Roman" w:cstheme="minorHAnsi"/>
                <w:b/>
                <w:color w:val="FFFFFF" w:themeColor="background1"/>
                <w:sz w:val="20"/>
                <w:szCs w:val="20"/>
                <w:lang w:eastAsia="zh-CN"/>
              </w:rPr>
            </w:pPr>
          </w:p>
        </w:tc>
        <w:tc>
          <w:tcPr>
            <w:tcW w:w="13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764532" w:rsidRPr="006B675D" w:rsidRDefault="00764532" w:rsidP="00764532">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764532" w:rsidRPr="006B675D" w:rsidRDefault="00764532" w:rsidP="00764532">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764532" w:rsidRPr="006B675D" w:rsidRDefault="00764532" w:rsidP="00764532">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7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A28601A" w14:textId="33216D9B" w:rsidR="00764532" w:rsidRPr="006B675D" w:rsidRDefault="00764532" w:rsidP="00764532">
            <w:pPr>
              <w:spacing w:after="0" w:line="240" w:lineRule="auto"/>
              <w:jc w:val="center"/>
              <w:rPr>
                <w:i/>
                <w:color w:val="FFFFFF" w:themeColor="background1"/>
                <w:sz w:val="20"/>
                <w:szCs w:val="20"/>
                <w:lang w:eastAsia="zh-CN"/>
              </w:rPr>
            </w:pPr>
            <w:r>
              <w:rPr>
                <w:i/>
                <w:iCs/>
                <w:color w:val="FFFFFF"/>
                <w:sz w:val="20"/>
                <w:szCs w:val="20"/>
              </w:rPr>
              <w:t>2020-2050 Billion USD</w:t>
            </w:r>
          </w:p>
        </w:tc>
        <w:tc>
          <w:tcPr>
            <w:tcW w:w="23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0EF939BA" w:rsidR="00764532" w:rsidRPr="006B675D" w:rsidRDefault="00764532" w:rsidP="00764532">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Billion USD</w:t>
            </w:r>
          </w:p>
        </w:tc>
      </w:tr>
      <w:tr w:rsidR="00764532" w:rsidRPr="006B675D" w14:paraId="2CCDE781" w14:textId="77777777" w:rsidTr="009A3D28">
        <w:trPr>
          <w:trHeight w:val="440"/>
        </w:trPr>
        <w:tc>
          <w:tcPr>
            <w:tcW w:w="13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764532" w:rsidRPr="006B675D" w:rsidRDefault="00764532" w:rsidP="00764532">
            <w:pPr>
              <w:spacing w:after="0" w:line="240" w:lineRule="auto"/>
              <w:jc w:val="center"/>
              <w:rPr>
                <w:sz w:val="20"/>
                <w:szCs w:val="20"/>
                <w:lang w:eastAsia="zh-CN"/>
              </w:rPr>
            </w:pPr>
            <w:r w:rsidRPr="006B675D">
              <w:rPr>
                <w:b/>
                <w:bCs/>
                <w:color w:val="000000" w:themeColor="text1"/>
                <w:sz w:val="20"/>
                <w:szCs w:val="20"/>
                <w:lang w:eastAsia="zh-CN"/>
              </w:rPr>
              <w:t>Plausible</w:t>
            </w:r>
          </w:p>
        </w:tc>
        <w:tc>
          <w:tcPr>
            <w:tcW w:w="13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0515D5F2" w14:textId="402B23B7" w:rsidR="00764532" w:rsidRPr="006B675D" w:rsidRDefault="00764532" w:rsidP="00764532">
            <w:pPr>
              <w:spacing w:after="0" w:line="240" w:lineRule="auto"/>
              <w:jc w:val="center"/>
              <w:rPr>
                <w:rFonts w:eastAsia="Times New Roman" w:cstheme="minorHAnsi"/>
                <w:sz w:val="20"/>
                <w:szCs w:val="20"/>
                <w:lang w:eastAsia="zh-CN"/>
              </w:rPr>
            </w:pPr>
            <w:r>
              <w:rPr>
                <w:color w:val="000000"/>
                <w:sz w:val="20"/>
                <w:szCs w:val="20"/>
              </w:rPr>
              <w:t>293.70</w:t>
            </w:r>
          </w:p>
        </w:tc>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31BD6A13" w14:textId="486CE023" w:rsidR="00764532" w:rsidRPr="006B675D" w:rsidRDefault="00764532" w:rsidP="00764532">
            <w:pPr>
              <w:spacing w:after="0" w:line="240" w:lineRule="auto"/>
              <w:jc w:val="center"/>
              <w:rPr>
                <w:rFonts w:eastAsia="Times New Roman" w:cstheme="minorHAnsi"/>
                <w:sz w:val="20"/>
                <w:szCs w:val="20"/>
                <w:lang w:eastAsia="zh-CN"/>
              </w:rPr>
            </w:pPr>
            <w:r>
              <w:rPr>
                <w:color w:val="000000"/>
                <w:sz w:val="20"/>
                <w:szCs w:val="20"/>
              </w:rPr>
              <w:t>-27.62</w:t>
            </w:r>
          </w:p>
        </w:tc>
        <w:tc>
          <w:tcPr>
            <w:tcW w:w="1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A9B277B" w14:textId="7EFE32CE" w:rsidR="00764532" w:rsidRPr="006B675D" w:rsidRDefault="00764532" w:rsidP="00764532">
            <w:pPr>
              <w:spacing w:after="0" w:line="240" w:lineRule="auto"/>
              <w:jc w:val="center"/>
              <w:rPr>
                <w:rFonts w:eastAsia="Times New Roman" w:cstheme="minorHAnsi"/>
                <w:sz w:val="20"/>
                <w:szCs w:val="20"/>
                <w:lang w:eastAsia="zh-CN"/>
              </w:rPr>
            </w:pPr>
            <w:r>
              <w:rPr>
                <w:color w:val="000000"/>
                <w:sz w:val="20"/>
                <w:szCs w:val="20"/>
              </w:rPr>
              <w:t>2,450.09</w:t>
            </w:r>
          </w:p>
        </w:tc>
        <w:tc>
          <w:tcPr>
            <w:tcW w:w="17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E4C133" w14:textId="78F013AD" w:rsidR="00764532" w:rsidRDefault="00764532" w:rsidP="00764532">
            <w:pPr>
              <w:spacing w:after="0" w:line="240" w:lineRule="auto"/>
              <w:jc w:val="center"/>
              <w:rPr>
                <w:rFonts w:eastAsia="Times New Roman" w:cstheme="minorHAnsi"/>
                <w:sz w:val="20"/>
                <w:szCs w:val="20"/>
                <w:lang w:eastAsia="zh-CN"/>
              </w:rPr>
            </w:pPr>
            <w:r>
              <w:rPr>
                <w:color w:val="000000"/>
                <w:sz w:val="20"/>
                <w:szCs w:val="20"/>
              </w:rPr>
              <w:t>3,600.60</w:t>
            </w:r>
          </w:p>
        </w:tc>
        <w:tc>
          <w:tcPr>
            <w:tcW w:w="23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25403F6C" w14:textId="1C7FA426" w:rsidR="00764532" w:rsidRPr="006B675D" w:rsidRDefault="00764532" w:rsidP="00764532">
            <w:pPr>
              <w:spacing w:after="0" w:line="240" w:lineRule="auto"/>
              <w:jc w:val="center"/>
              <w:rPr>
                <w:rFonts w:eastAsia="Times New Roman" w:cstheme="minorHAnsi"/>
                <w:sz w:val="20"/>
                <w:szCs w:val="20"/>
                <w:lang w:eastAsia="zh-CN"/>
              </w:rPr>
            </w:pPr>
            <w:r>
              <w:rPr>
                <w:color w:val="000000"/>
                <w:sz w:val="20"/>
                <w:szCs w:val="20"/>
              </w:rPr>
              <w:t>1,239.31</w:t>
            </w:r>
          </w:p>
        </w:tc>
      </w:tr>
      <w:tr w:rsidR="00764532" w:rsidRPr="006B675D" w14:paraId="6C3482B4" w14:textId="77777777" w:rsidTr="009A3D28">
        <w:trPr>
          <w:trHeight w:val="440"/>
        </w:trPr>
        <w:tc>
          <w:tcPr>
            <w:tcW w:w="13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764532" w:rsidRPr="006B675D" w:rsidRDefault="00764532" w:rsidP="00764532">
            <w:pPr>
              <w:spacing w:after="0" w:line="240" w:lineRule="auto"/>
              <w:jc w:val="center"/>
              <w:rPr>
                <w:sz w:val="20"/>
                <w:szCs w:val="20"/>
                <w:lang w:eastAsia="zh-CN"/>
              </w:rPr>
            </w:pPr>
            <w:r w:rsidRPr="006B675D">
              <w:rPr>
                <w:b/>
                <w:bCs/>
                <w:color w:val="000000" w:themeColor="text1"/>
                <w:sz w:val="20"/>
                <w:szCs w:val="20"/>
                <w:lang w:eastAsia="zh-CN"/>
              </w:rPr>
              <w:t>Drawdown</w:t>
            </w:r>
          </w:p>
        </w:tc>
        <w:tc>
          <w:tcPr>
            <w:tcW w:w="13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532B376" w14:textId="5A624E9B" w:rsidR="00764532" w:rsidRPr="006B675D" w:rsidRDefault="00764532" w:rsidP="00764532">
            <w:pPr>
              <w:spacing w:after="0" w:line="240" w:lineRule="auto"/>
              <w:jc w:val="center"/>
              <w:rPr>
                <w:rFonts w:eastAsia="Times New Roman" w:cstheme="minorHAnsi"/>
                <w:sz w:val="20"/>
                <w:szCs w:val="20"/>
                <w:lang w:eastAsia="zh-CN"/>
              </w:rPr>
            </w:pPr>
            <w:r>
              <w:rPr>
                <w:color w:val="000000"/>
                <w:sz w:val="20"/>
                <w:szCs w:val="20"/>
              </w:rPr>
              <w:t>309.61</w:t>
            </w:r>
          </w:p>
        </w:tc>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51B939A" w14:textId="10667469" w:rsidR="00764532" w:rsidRPr="006B675D" w:rsidRDefault="00764532" w:rsidP="00764532">
            <w:pPr>
              <w:spacing w:after="0" w:line="240" w:lineRule="auto"/>
              <w:jc w:val="center"/>
              <w:rPr>
                <w:rFonts w:eastAsia="Times New Roman" w:cstheme="minorHAnsi"/>
                <w:sz w:val="20"/>
                <w:szCs w:val="20"/>
                <w:lang w:eastAsia="zh-CN"/>
              </w:rPr>
            </w:pPr>
            <w:r>
              <w:rPr>
                <w:color w:val="000000"/>
                <w:sz w:val="20"/>
                <w:szCs w:val="20"/>
              </w:rPr>
              <w:t>-29.83</w:t>
            </w:r>
          </w:p>
        </w:tc>
        <w:tc>
          <w:tcPr>
            <w:tcW w:w="1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DFA5DB3" w14:textId="3BEE591C" w:rsidR="00764532" w:rsidRPr="006B675D" w:rsidRDefault="00764532" w:rsidP="00764532">
            <w:pPr>
              <w:spacing w:after="0" w:line="240" w:lineRule="auto"/>
              <w:jc w:val="center"/>
              <w:rPr>
                <w:rFonts w:eastAsia="Times New Roman" w:cstheme="minorHAnsi"/>
                <w:sz w:val="20"/>
                <w:szCs w:val="20"/>
                <w:lang w:eastAsia="zh-CN"/>
              </w:rPr>
            </w:pPr>
            <w:r>
              <w:rPr>
                <w:color w:val="000000"/>
                <w:sz w:val="20"/>
                <w:szCs w:val="20"/>
              </w:rPr>
              <w:t>2,589.17</w:t>
            </w:r>
          </w:p>
        </w:tc>
        <w:tc>
          <w:tcPr>
            <w:tcW w:w="17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6201F2" w14:textId="41DD4E6E" w:rsidR="00764532" w:rsidRDefault="00764532" w:rsidP="00764532">
            <w:pPr>
              <w:spacing w:after="0" w:line="240" w:lineRule="auto"/>
              <w:jc w:val="center"/>
              <w:rPr>
                <w:rFonts w:eastAsia="Times New Roman" w:cstheme="minorHAnsi"/>
                <w:sz w:val="20"/>
                <w:szCs w:val="20"/>
                <w:lang w:eastAsia="zh-CN"/>
              </w:rPr>
            </w:pPr>
            <w:r>
              <w:rPr>
                <w:color w:val="000000"/>
                <w:sz w:val="20"/>
                <w:szCs w:val="20"/>
              </w:rPr>
              <w:t>3,804.98</w:t>
            </w:r>
          </w:p>
        </w:tc>
        <w:tc>
          <w:tcPr>
            <w:tcW w:w="23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47233A8" w14:textId="194B5A59" w:rsidR="00764532" w:rsidRPr="006B675D" w:rsidRDefault="00764532" w:rsidP="00764532">
            <w:pPr>
              <w:spacing w:after="0" w:line="240" w:lineRule="auto"/>
              <w:jc w:val="center"/>
              <w:rPr>
                <w:rFonts w:eastAsia="Times New Roman" w:cstheme="minorHAnsi"/>
                <w:sz w:val="20"/>
                <w:szCs w:val="20"/>
                <w:lang w:eastAsia="zh-CN"/>
              </w:rPr>
            </w:pPr>
            <w:r>
              <w:rPr>
                <w:color w:val="000000"/>
                <w:sz w:val="20"/>
                <w:szCs w:val="20"/>
              </w:rPr>
              <w:t>1,309.95</w:t>
            </w:r>
          </w:p>
        </w:tc>
      </w:tr>
      <w:tr w:rsidR="00B97BEE" w:rsidRPr="006B675D" w14:paraId="76A27626" w14:textId="77777777" w:rsidTr="009A3D28">
        <w:trPr>
          <w:trHeight w:val="440"/>
        </w:trPr>
        <w:tc>
          <w:tcPr>
            <w:tcW w:w="13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B97BEE" w:rsidRPr="006B675D" w:rsidRDefault="00B97BEE" w:rsidP="00B97BEE">
            <w:pPr>
              <w:spacing w:after="0" w:line="240" w:lineRule="auto"/>
              <w:jc w:val="center"/>
              <w:rPr>
                <w:sz w:val="20"/>
                <w:szCs w:val="20"/>
                <w:lang w:eastAsia="zh-CN"/>
              </w:rPr>
            </w:pPr>
            <w:r w:rsidRPr="006B675D">
              <w:rPr>
                <w:b/>
                <w:bCs/>
                <w:color w:val="000000" w:themeColor="text1"/>
                <w:sz w:val="20"/>
                <w:szCs w:val="20"/>
                <w:lang w:eastAsia="zh-CN"/>
              </w:rPr>
              <w:t>Optimum</w:t>
            </w:r>
          </w:p>
        </w:tc>
        <w:tc>
          <w:tcPr>
            <w:tcW w:w="13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1D3AF255" w14:textId="1D274887" w:rsidR="00B97BEE" w:rsidRPr="006B675D" w:rsidRDefault="00B97BEE" w:rsidP="00B97BEE">
            <w:pPr>
              <w:spacing w:after="0" w:line="240" w:lineRule="auto"/>
              <w:jc w:val="center"/>
              <w:rPr>
                <w:rFonts w:eastAsia="Times New Roman" w:cstheme="minorHAnsi"/>
                <w:sz w:val="20"/>
                <w:szCs w:val="20"/>
                <w:lang w:eastAsia="zh-CN"/>
              </w:rPr>
            </w:pPr>
            <w:r>
              <w:rPr>
                <w:color w:val="000000"/>
                <w:sz w:val="20"/>
                <w:szCs w:val="20"/>
              </w:rPr>
              <w:t>325.51</w:t>
            </w:r>
          </w:p>
        </w:tc>
        <w:tc>
          <w:tcPr>
            <w:tcW w:w="11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796F6A9C" w14:textId="74B2C643" w:rsidR="00B97BEE" w:rsidRPr="006B675D" w:rsidRDefault="00B97BEE" w:rsidP="00B97BEE">
            <w:pPr>
              <w:spacing w:after="0" w:line="240" w:lineRule="auto"/>
              <w:jc w:val="center"/>
              <w:rPr>
                <w:rFonts w:eastAsia="Times New Roman" w:cstheme="minorHAnsi"/>
                <w:sz w:val="20"/>
                <w:szCs w:val="20"/>
                <w:lang w:eastAsia="zh-CN"/>
              </w:rPr>
            </w:pPr>
            <w:r>
              <w:rPr>
                <w:color w:val="000000"/>
                <w:sz w:val="20"/>
                <w:szCs w:val="20"/>
              </w:rPr>
              <w:t>-32.05</w:t>
            </w:r>
          </w:p>
        </w:tc>
        <w:tc>
          <w:tcPr>
            <w:tcW w:w="13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259EAAB" w14:textId="33BE874C" w:rsidR="00B97BEE" w:rsidRPr="006B675D" w:rsidRDefault="00B97BEE" w:rsidP="00B97BEE">
            <w:pPr>
              <w:spacing w:after="0" w:line="240" w:lineRule="auto"/>
              <w:jc w:val="center"/>
              <w:rPr>
                <w:rFonts w:eastAsia="Times New Roman" w:cstheme="minorHAnsi"/>
                <w:sz w:val="20"/>
                <w:szCs w:val="20"/>
                <w:lang w:eastAsia="zh-CN"/>
              </w:rPr>
            </w:pPr>
            <w:r>
              <w:rPr>
                <w:color w:val="000000"/>
                <w:sz w:val="20"/>
                <w:szCs w:val="20"/>
              </w:rPr>
              <w:t>2,728.25</w:t>
            </w:r>
          </w:p>
        </w:tc>
        <w:tc>
          <w:tcPr>
            <w:tcW w:w="17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8CC300" w14:textId="2F593C89" w:rsidR="00B97BEE" w:rsidRDefault="00B97BEE" w:rsidP="00B97BEE">
            <w:pPr>
              <w:spacing w:after="0" w:line="240" w:lineRule="auto"/>
              <w:jc w:val="center"/>
              <w:rPr>
                <w:rFonts w:eastAsia="Times New Roman" w:cstheme="minorHAnsi"/>
                <w:sz w:val="20"/>
                <w:szCs w:val="20"/>
                <w:lang w:eastAsia="zh-CN"/>
              </w:rPr>
            </w:pPr>
            <w:r>
              <w:rPr>
                <w:color w:val="000000"/>
                <w:sz w:val="20"/>
                <w:szCs w:val="20"/>
              </w:rPr>
              <w:t>4,009.37</w:t>
            </w:r>
          </w:p>
        </w:tc>
        <w:tc>
          <w:tcPr>
            <w:tcW w:w="23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1F14A8F5" w14:textId="3C7C918D" w:rsidR="00B97BEE" w:rsidRPr="006B675D" w:rsidRDefault="00B97BEE" w:rsidP="00B97BEE">
            <w:pPr>
              <w:spacing w:after="0" w:line="240" w:lineRule="auto"/>
              <w:jc w:val="center"/>
              <w:rPr>
                <w:rFonts w:eastAsia="Times New Roman" w:cstheme="minorHAnsi"/>
                <w:sz w:val="20"/>
                <w:szCs w:val="20"/>
                <w:lang w:eastAsia="zh-CN"/>
              </w:rPr>
            </w:pPr>
            <w:r>
              <w:rPr>
                <w:color w:val="000000"/>
                <w:sz w:val="20"/>
                <w:szCs w:val="20"/>
              </w:rPr>
              <w:t>1,380.58</w:t>
            </w:r>
          </w:p>
        </w:tc>
      </w:tr>
    </w:tbl>
    <w:p w14:paraId="65064E23" w14:textId="3AC18673" w:rsidR="00E8320F" w:rsidRDefault="00E8320F" w:rsidP="00EB247F">
      <w:pPr>
        <w:pStyle w:val="Caption"/>
      </w:pPr>
    </w:p>
    <w:p w14:paraId="6039AB12" w14:textId="1F6167A9" w:rsidR="009E6074" w:rsidRPr="00750F21" w:rsidRDefault="00F263F7" w:rsidP="00750F21">
      <w:pPr>
        <w:jc w:val="center"/>
      </w:pPr>
      <w:bookmarkStart w:id="112" w:name="_Toc524993434"/>
      <w:r>
        <w:rPr>
          <w:noProof/>
        </w:rPr>
        <w:drawing>
          <wp:inline distT="0" distB="0" distL="0" distR="0" wp14:anchorId="35C28705" wp14:editId="5DD71585">
            <wp:extent cx="4578350" cy="3493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8350" cy="3493135"/>
                    </a:xfrm>
                    <a:prstGeom prst="rect">
                      <a:avLst/>
                    </a:prstGeom>
                    <a:noFill/>
                  </pic:spPr>
                </pic:pic>
              </a:graphicData>
            </a:graphic>
          </wp:inline>
        </w:drawing>
      </w:r>
    </w:p>
    <w:p w14:paraId="6A2D4F95" w14:textId="2A418B12" w:rsidR="006B675D" w:rsidRDefault="006B675D" w:rsidP="006B675D">
      <w:pPr>
        <w:pStyle w:val="Caption"/>
        <w:jc w:val="center"/>
      </w:pPr>
      <w:bookmarkStart w:id="113" w:name="_Toc526978707"/>
      <w:bookmarkStart w:id="114" w:name="_Toc44585100"/>
      <w:bookmarkStart w:id="115" w:name="_Toc524993435"/>
      <w:bookmarkEnd w:id="112"/>
      <w:r w:rsidRPr="00C63583">
        <w:t xml:space="preserve">Figure </w:t>
      </w:r>
      <w:r w:rsidR="009A3D28">
        <w:rPr>
          <w:noProof/>
        </w:rPr>
        <w:fldChar w:fldCharType="begin"/>
      </w:r>
      <w:r w:rsidR="009A3D28">
        <w:rPr>
          <w:noProof/>
        </w:rPr>
        <w:instrText xml:space="preserve"> STYLEREF 1 \s </w:instrText>
      </w:r>
      <w:r w:rsidR="009A3D28">
        <w:rPr>
          <w:noProof/>
        </w:rPr>
        <w:fldChar w:fldCharType="separate"/>
      </w:r>
      <w:r w:rsidR="006F1368">
        <w:rPr>
          <w:noProof/>
        </w:rPr>
        <w:t>3</w:t>
      </w:r>
      <w:r w:rsidR="009A3D28">
        <w:rPr>
          <w:noProof/>
        </w:rPr>
        <w:fldChar w:fldCharType="end"/>
      </w:r>
      <w:r w:rsidR="001051BD">
        <w:t>.</w:t>
      </w:r>
      <w:r w:rsidR="009A3D28">
        <w:rPr>
          <w:noProof/>
        </w:rPr>
        <w:fldChar w:fldCharType="begin"/>
      </w:r>
      <w:r w:rsidR="009A3D28">
        <w:rPr>
          <w:noProof/>
        </w:rPr>
        <w:instrText xml:space="preserve"> SEQ Figure \* ARABIC \s 1 </w:instrText>
      </w:r>
      <w:r w:rsidR="009A3D28">
        <w:rPr>
          <w:noProof/>
        </w:rPr>
        <w:fldChar w:fldCharType="separate"/>
      </w:r>
      <w:r w:rsidR="006F1368">
        <w:rPr>
          <w:noProof/>
        </w:rPr>
        <w:t>3</w:t>
      </w:r>
      <w:r w:rsidR="009A3D28">
        <w:rPr>
          <w:noProof/>
        </w:rPr>
        <w:fldChar w:fldCharType="end"/>
      </w:r>
      <w:r w:rsidRPr="00C63583">
        <w:t xml:space="preserve"> Operating Costs Over Time</w:t>
      </w:r>
      <w:bookmarkEnd w:id="113"/>
      <w:bookmarkEnd w:id="114"/>
    </w:p>
    <w:p w14:paraId="638C27B6" w14:textId="4E9C5F3D" w:rsidR="00F52595" w:rsidRDefault="551A77D0" w:rsidP="00483FFA">
      <w:pPr>
        <w:pStyle w:val="Heading1"/>
      </w:pPr>
      <w:bookmarkStart w:id="116" w:name="_Toc9619532"/>
      <w:bookmarkStart w:id="117" w:name="_Toc9619628"/>
      <w:bookmarkStart w:id="118" w:name="_Toc9619702"/>
      <w:bookmarkStart w:id="119" w:name="_Toc9619533"/>
      <w:bookmarkStart w:id="120" w:name="_Toc9619629"/>
      <w:bookmarkStart w:id="121" w:name="_Toc9619703"/>
      <w:bookmarkStart w:id="122" w:name="_Toc44585092"/>
      <w:bookmarkEnd w:id="115"/>
      <w:bookmarkEnd w:id="116"/>
      <w:bookmarkEnd w:id="117"/>
      <w:bookmarkEnd w:id="118"/>
      <w:bookmarkEnd w:id="119"/>
      <w:bookmarkEnd w:id="120"/>
      <w:bookmarkEnd w:id="121"/>
      <w:r>
        <w:t>Discussion</w:t>
      </w:r>
      <w:bookmarkEnd w:id="122"/>
    </w:p>
    <w:p w14:paraId="375EE35C" w14:textId="0E3AA2A6" w:rsidR="00BF376D" w:rsidRPr="00773F7B" w:rsidRDefault="00BF376D" w:rsidP="00BF376D">
      <w:r w:rsidRPr="00773F7B">
        <w:t xml:space="preserve">LED lighting offers especially great emission reductions in residential buildings. The light sources traditionally used in households usually have low luminous efficacy (incandescent and halogen lamps), approximately in the range of 10-20 lm/W, whereas LED lamps that can directly replace the lamps installing them in the same luminaires currently have a luminous efficacy in the range of 50-100 lm/W. Such an increase in energy efficiency will not be reached in other lighting sectors, where the </w:t>
      </w:r>
      <w:r w:rsidR="00F263F7">
        <w:t>residential</w:t>
      </w:r>
      <w:r w:rsidR="00F263F7" w:rsidRPr="00773F7B">
        <w:t xml:space="preserve"> </w:t>
      </w:r>
      <w:r w:rsidRPr="00773F7B">
        <w:t>lighting technologies are more energy efficient than incandescent lamps</w:t>
      </w:r>
      <w:r w:rsidR="00F263F7">
        <w:t xml:space="preserve"> (e.g. LFL and CFL lamps that are current close to LED in efficiency)</w:t>
      </w:r>
      <w:r w:rsidRPr="00773F7B">
        <w:t>.</w:t>
      </w:r>
    </w:p>
    <w:p w14:paraId="4E450EA5" w14:textId="09F0C6D7" w:rsidR="00BF376D" w:rsidRPr="00773F7B" w:rsidRDefault="00BF376D" w:rsidP="00BF376D">
      <w:r w:rsidRPr="00773F7B">
        <w:t xml:space="preserve">Several sources of data were found for the market share of LED products either in general or in residential lighting, but they were either as monetary value or as percentage of unit sales. No relevant LED adoption data was found expressed in lumen-hours of the installed base at or after the base year. </w:t>
      </w:r>
      <w:r>
        <w:t xml:space="preserve">Relevant conversions have had to be made in order to get as many data points as possible. Several approaches were used to estimate </w:t>
      </w:r>
      <w:r w:rsidRPr="00901124">
        <w:t>TAM and adoption data: from % of installed base, from energy consumption in residential lighting, from residential building floor space and from market shares.</w:t>
      </w:r>
      <w:r w:rsidR="00DD6837" w:rsidRPr="00901124">
        <w:t xml:space="preserve"> The Project Drawdown residential </w:t>
      </w:r>
      <w:r w:rsidR="000D3EF2" w:rsidRPr="00901124">
        <w:t xml:space="preserve">LED  projections (in the </w:t>
      </w:r>
      <w:r w:rsidR="000D3EF2" w:rsidRPr="00901124">
        <w:rPr>
          <w:i/>
        </w:rPr>
        <w:t>Drawdown Scenario</w:t>
      </w:r>
      <w:r w:rsidR="000D3EF2" w:rsidRPr="00901124">
        <w:t xml:space="preserve">) </w:t>
      </w:r>
      <w:r w:rsidR="00DD6837" w:rsidRPr="00901124">
        <w:t xml:space="preserve">would result </w:t>
      </w:r>
      <w:r w:rsidR="002218EF" w:rsidRPr="00901124">
        <w:t>in</w:t>
      </w:r>
      <w:r w:rsidR="00DD6837" w:rsidRPr="00901124">
        <w:t xml:space="preserve"> CO2 reduction of </w:t>
      </w:r>
      <w:r w:rsidR="00A56DC4" w:rsidRPr="00901124">
        <w:t>12.</w:t>
      </w:r>
      <w:r w:rsidR="0004395F">
        <w:t>14</w:t>
      </w:r>
      <w:r w:rsidR="00DD6837" w:rsidRPr="00901124">
        <w:t xml:space="preserve"> GT CO2e by 2050.</w:t>
      </w:r>
      <w:r w:rsidR="001B28B1" w:rsidRPr="00901124">
        <w:t xml:space="preserve"> </w:t>
      </w:r>
      <w:r w:rsidR="00DD6837" w:rsidRPr="00901124">
        <w:t xml:space="preserve">The Project Drawdown LED commercial and residential model combined would result to CO2 reduction of </w:t>
      </w:r>
      <w:r w:rsidR="00901124" w:rsidRPr="00901124">
        <w:t>20.</w:t>
      </w:r>
      <w:r w:rsidR="00A36716">
        <w:t>3</w:t>
      </w:r>
      <w:r w:rsidR="00DD6837" w:rsidRPr="00901124">
        <w:t xml:space="preserve"> G</w:t>
      </w:r>
      <w:r w:rsidR="00A36716">
        <w:t>t</w:t>
      </w:r>
      <w:r w:rsidR="00DD6837" w:rsidRPr="00901124">
        <w:t xml:space="preserve"> </w:t>
      </w:r>
      <w:r w:rsidR="00A36716">
        <w:t>by</w:t>
      </w:r>
      <w:r w:rsidR="00DD6837" w:rsidRPr="00901124">
        <w:t xml:space="preserve"> 2050.</w:t>
      </w:r>
      <w:r w:rsidR="00DD6837">
        <w:t xml:space="preserve"> </w:t>
      </w:r>
    </w:p>
    <w:p w14:paraId="319DCBD8" w14:textId="17468D61" w:rsidR="006745FF" w:rsidRDefault="006745FF" w:rsidP="00483FFA">
      <w:pPr>
        <w:pStyle w:val="Heading2"/>
      </w:pPr>
      <w:bookmarkStart w:id="123" w:name="_Toc9619535"/>
      <w:bookmarkStart w:id="124" w:name="_Toc9619631"/>
      <w:bookmarkStart w:id="125" w:name="_Toc9619705"/>
      <w:bookmarkStart w:id="126" w:name="_Toc44585093"/>
      <w:bookmarkEnd w:id="123"/>
      <w:bookmarkEnd w:id="124"/>
      <w:bookmarkEnd w:id="125"/>
      <w:r w:rsidRPr="551A77D0">
        <w:t>Limitations</w:t>
      </w:r>
      <w:bookmarkEnd w:id="126"/>
    </w:p>
    <w:p w14:paraId="08AA8B86" w14:textId="5EAF7856" w:rsidR="00642E0C" w:rsidRPr="00642E0C" w:rsidRDefault="00200270" w:rsidP="00642E0C">
      <w:r>
        <w:t xml:space="preserve">This analysis is framed within  several limitations. The first limitation is the lack of data in relation to incipient trends that may influence the increasing adoption of technologies such as the increasing growth of the IoT. The second limitation is the lack of data in relation to the emergent environmental impact of the rapid turnover of LED lamps as the LED technology continues to evolve. Future studies are needed to understand the impact and costs of LED at the time of disposal or EoL. </w:t>
      </w:r>
    </w:p>
    <w:p w14:paraId="2139E8E7" w14:textId="0D4D4F2E" w:rsidR="006745FF" w:rsidRDefault="006745FF" w:rsidP="00483FFA">
      <w:pPr>
        <w:pStyle w:val="Heading2"/>
      </w:pPr>
      <w:bookmarkStart w:id="127" w:name="_Toc44585094"/>
      <w:r w:rsidRPr="551A77D0">
        <w:t>Benchmarks</w:t>
      </w:r>
      <w:bookmarkEnd w:id="127"/>
    </w:p>
    <w:p w14:paraId="18446CEE" w14:textId="3366BDF8" w:rsidR="00FB57C0" w:rsidRPr="00FB57C0" w:rsidRDefault="00FB57C0" w:rsidP="008F0AA6">
      <w:r>
        <w:t xml:space="preserve">The most relevant benchmark studies come from the  U.S Department of Energy (DOE) Solid State Lighting Program (DOE SSL) used throughout this report. In 2014 the program studied a 2030 scenario ‘proposing a high LED penetration’ that would enable energy savings up to 60% compared to one without LEDs. This annual savings would represent up  to 395 TWh </w:t>
      </w:r>
      <w:r w:rsidR="00962B68">
        <w:t>(</w:t>
      </w:r>
      <w:bookmarkStart w:id="128" w:name="_Hlk44584683"/>
      <w:r>
        <w:t>4.5 quads</w:t>
      </w:r>
      <w:r w:rsidR="00962B68">
        <w:t>)</w:t>
      </w:r>
      <w:r>
        <w:t xml:space="preserve">, which is nearly twice the projected </w:t>
      </w:r>
      <w:r w:rsidR="009A3345">
        <w:t xml:space="preserve">wind power </w:t>
      </w:r>
      <w:r>
        <w:t>electricity generation and 20 times that of solar in 2030</w:t>
      </w:r>
      <w:r w:rsidR="009A3345">
        <w:t>. It’s a</w:t>
      </w:r>
      <w:r>
        <w:t xml:space="preserve">lso equivalent to the annual electricity consumption of 36 million U.S homes </w:t>
      </w:r>
      <w:r>
        <w:fldChar w:fldCharType="begin"/>
      </w:r>
      <w:r w:rsidR="005B5BA6">
        <w:instrText xml:space="preserve"> ADDIN ZOTERO_ITEM CSL_CITATION {"citationID":"7KB5B0JU","properties":{"formattedCitation":"(Dulout et al., 2018; US DOE SSL, 2015)","plainCitation":"(Dulout et al., 2018; US DOE SSL, 2015)","noteIndex":0},"citationItems":[{"id":1380,"uris":["http://zotero.org/groups/2241931/items/SGPEU5RM"],"uri":["http://zotero.org/groups/2241931/items/SGPEU5RM"],"itemData":{"id":1380,"type":"article-journal","title":"Tweaking Light-Emitting Diodes: A Multiobjective Optimal Design for New Luminaires","container-title":"IEEE Industry Applications Magazine","page":"50-59","volume":"24","issue":"4","source":"IEEE Xplore","abstract":"In this article, a Pareto multiobjective optimization is performed to design new luminaires. The effort involves finding the optimal forward current, the number of light-emitting diodes (LEDs), and a proper heat sink by taking into account the cost, energy consumption, and environmental impact (carrying out a cradleto-grave life-cycle analysis). Three commercial white LEDs were studied and modeled in terms of their optical, electrical, thermal, and aging performance. The multiobjective methodology was also applied to other lamps (incandescent, halogen, and fluorescent), which indicated that LED lighting has great potential for energy and cost savings, with minimal long-term environmental impact.","DOI":"10.1109/MIAS.2017.2740445","ISSN":"1077-2618","note":"reviewed","title-short":"Tweaking Light-Emitting Diodes","author":[{"family":"Dulout","given":"J."},{"family":"Jammes","given":"B."},{"family":"Seguier","given":"L."},{"family":"Barroso","given":"A."},{"family":"Dupuis","given":"P."},{"family":"Zissis","given":"G."},{"family":"Alonso","given":"C."}],"issued":{"date-parts":[["2018"]]}}},{"id":3079,"uris":["http://zotero.org/groups/2241931/items/3R5WEGK3"],"uri":["http://zotero.org/groups/2241931/items/3R5WEGK3"],"itemData":{"id":3079,"type":"report","title":"Solid-State Lighting R&amp;D Plan","publisher":"DOE SSL Program","page":"168","genre":"prepared by Bardsley Consulting, SB Consulting, SSLS, Inc., LED Lighting Advisors, and Navigant Consulting, Inc.,","source":"Zotero","language":"en","author":[{"family":"US DOE SSL","given":""}],"issued":{"date-parts":[["2015",5]]}}}],"schema":"https://github.com/citation-style-language/schema/raw/master/csl-citation.json"} </w:instrText>
      </w:r>
      <w:r>
        <w:fldChar w:fldCharType="separate"/>
      </w:r>
      <w:r w:rsidRPr="00E532A9">
        <w:rPr>
          <w:rFonts w:cs="Times New Roman"/>
          <w:szCs w:val="24"/>
        </w:rPr>
        <w:t>(Dulout et al., 2018; US DOE SSL, 2015)</w:t>
      </w:r>
      <w:r>
        <w:fldChar w:fldCharType="end"/>
      </w:r>
      <w:r>
        <w:t>.</w:t>
      </w:r>
      <w:bookmarkEnd w:id="128"/>
    </w:p>
    <w:p w14:paraId="624FA7B6" w14:textId="77777777" w:rsidR="00C446A7" w:rsidRDefault="00FB57C0" w:rsidP="000D3EF2">
      <w:pPr>
        <w:rPr>
          <w:b/>
          <w:bCs/>
          <w:color w:val="FFFFFF" w:themeColor="background1"/>
          <w:sz w:val="20"/>
          <w:szCs w:val="20"/>
        </w:rPr>
      </w:pPr>
      <w:bookmarkStart w:id="129" w:name="_Toc524993445"/>
      <w:bookmarkStart w:id="130" w:name="_Hlk5212184"/>
      <w:bookmarkStart w:id="131" w:name="_Hlk44584737"/>
      <w:r>
        <w:t xml:space="preserve">The 2013 report Assessment of Advanced Solid-State Lighting (NRC, 2013) </w:t>
      </w:r>
      <w:r w:rsidR="00962B68">
        <w:t>estimated the</w:t>
      </w:r>
      <w:r>
        <w:t xml:space="preserve"> </w:t>
      </w:r>
      <w:r w:rsidR="00962B68">
        <w:t xml:space="preserve">US </w:t>
      </w:r>
      <w:r>
        <w:t>savings in electricity consumption</w:t>
      </w:r>
      <w:r w:rsidR="00962B68">
        <w:t xml:space="preserve"> from LED use</w:t>
      </w:r>
      <w:r>
        <w:t xml:space="preserve">. </w:t>
      </w:r>
      <w:r w:rsidR="00962B68">
        <w:t xml:space="preserve">Two estimates were published: 1. </w:t>
      </w:r>
      <w:r>
        <w:t xml:space="preserve">based on the lamp efficacy standards in the Energy Independence and Security Act (EISA) of 2007, </w:t>
      </w:r>
      <w:r w:rsidR="009A3345">
        <w:t xml:space="preserve">residential lighting </w:t>
      </w:r>
      <w:r>
        <w:t xml:space="preserve">electricity consumption could be reduced by 514 TWh and </w:t>
      </w:r>
      <w:r w:rsidR="009A3345">
        <w:t xml:space="preserve">commercial lighting by </w:t>
      </w:r>
      <w:r>
        <w:t>60 TWh</w:t>
      </w:r>
      <w:r w:rsidR="009A3345">
        <w:t xml:space="preserve"> (</w:t>
      </w:r>
      <w:r>
        <w:t>cumulative</w:t>
      </w:r>
      <w:r w:rsidR="00962B68">
        <w:t>ly</w:t>
      </w:r>
      <w:r>
        <w:t xml:space="preserve"> from 2012 to 2020</w:t>
      </w:r>
      <w:r w:rsidR="009A3345">
        <w:t>). Secondly,</w:t>
      </w:r>
      <w:r w:rsidR="00962B68">
        <w:t xml:space="preserve"> </w:t>
      </w:r>
      <w:r w:rsidR="009A3345">
        <w:t>using</w:t>
      </w:r>
      <w:r w:rsidRPr="008F0AA6">
        <w:t xml:space="preserve"> more aggressive assumptions about LED luminaire</w:t>
      </w:r>
      <w:r w:rsidR="009A3345">
        <w:t xml:space="preserve"> efficiency</w:t>
      </w:r>
      <w:r w:rsidRPr="008F0AA6">
        <w:t xml:space="preserve">, the cumulative </w:t>
      </w:r>
      <w:r w:rsidR="009A3345" w:rsidRPr="008F0AA6">
        <w:t xml:space="preserve">residential </w:t>
      </w:r>
      <w:r w:rsidRPr="008F0AA6">
        <w:t xml:space="preserve">savings over the same time period </w:t>
      </w:r>
      <w:r w:rsidR="009A3345">
        <w:t>could be</w:t>
      </w:r>
      <w:r w:rsidRPr="008F0AA6">
        <w:t xml:space="preserve"> 939 TWh and</w:t>
      </w:r>
      <w:r w:rsidR="009A3345">
        <w:t xml:space="preserve"> for the</w:t>
      </w:r>
      <w:r w:rsidRPr="008F0AA6">
        <w:t xml:space="preserve"> </w:t>
      </w:r>
      <w:r w:rsidR="009A3345" w:rsidRPr="008F0AA6">
        <w:t>commercial</w:t>
      </w:r>
      <w:r w:rsidR="009A3345">
        <w:t>,</w:t>
      </w:r>
      <w:r w:rsidR="009A3345" w:rsidRPr="008F0AA6">
        <w:t xml:space="preserve"> </w:t>
      </w:r>
      <w:r w:rsidRPr="008F0AA6">
        <w:t xml:space="preserve">771 TWh </w:t>
      </w:r>
      <w:r>
        <w:fldChar w:fldCharType="begin"/>
      </w:r>
      <w:r>
        <w:instrText xml:space="preserve"> ADDIN ZOTERO_ITEM CSL_CITATION {"citationID":"FF7MhOGV","properties":{"formattedCitation":"(National Academies of Sciences, Engineering, and Medicine, 2017)","plainCitation":"(National Academies of Sciences, Engineering, and Medicine, 2017)","noteIndex":0},"citationItems":[{"id":3592,"uris":["http://zotero.org/groups/2241931/items/IE6SQSQE"],"uri":["http://zotero.org/groups/2241931/items/IE6SQSQE"],"itemData":{"id":3592,"type":"book","title":"Assessment of Solid-State Lighting, Phase Two","publisher":"National Academies Press","publisher-place":"Washington, D.C.","source":"Crossref","event-place":"Washington, D.C.","URL":"https://www.nap.edu/catalog/24619","ISBN":"978-0-309-45257-1","note":"reviewed","language":"en","author":[{"family":"National Academies of Sciences, Engineering, and Medicine","given":""}],"issued":{"date-parts":[["2017"]]},"accessed":{"date-parts":[["2019",4,3]]}}}],"schema":"https://github.com/citation-style-language/schema/raw/master/csl-citation.json"} </w:instrText>
      </w:r>
      <w:r>
        <w:fldChar w:fldCharType="separate"/>
      </w:r>
      <w:r w:rsidRPr="00FB57C0">
        <w:rPr>
          <w:rFonts w:cs="Times New Roman"/>
        </w:rPr>
        <w:t>(National Academies of Sciences, Engineering, and Medicine, 2017</w:t>
      </w:r>
      <w:r>
        <w:fldChar w:fldCharType="end"/>
      </w:r>
      <w:bookmarkEnd w:id="129"/>
      <w:bookmarkEnd w:id="130"/>
      <w:r w:rsidR="009A3345">
        <w:t>).</w:t>
      </w:r>
      <w:r w:rsidR="00AF250B">
        <w:rPr>
          <w:b/>
          <w:bCs/>
          <w:color w:val="FFFFFF" w:themeColor="background1"/>
          <w:sz w:val="20"/>
          <w:szCs w:val="20"/>
        </w:rPr>
        <w:t>…</w:t>
      </w:r>
    </w:p>
    <w:p w14:paraId="5D665E32" w14:textId="77777777" w:rsidR="00E9374A" w:rsidRDefault="00E9374A" w:rsidP="00E9374A">
      <w:bookmarkStart w:id="132" w:name="_Hlk44584760"/>
      <w:bookmarkEnd w:id="131"/>
      <w:r>
        <w:t xml:space="preserve">A global transition to efficient LED lamps was estimated to result in a reduction of 801 Mt of CO2 </w:t>
      </w:r>
      <w:r>
        <w:fldChar w:fldCharType="begin"/>
      </w:r>
      <w:r>
        <w:instrText xml:space="preserve"> ADDIN ZOTERO_ITEM CSL_CITATION {"citationID":"VlGmKzbh","properties":{"formattedCitation":"(CEM, 2018)","plainCitation":"(CEM, 2018)","noteIndex":0},"citationItems":[{"id":3573,"uris":["http://zotero.org/groups/2241931/items/6NAYMLKJ"],"uri":["http://zotero.org/groups/2241931/items/6NAYMLKJ"],"itemData":{"id":3573,"type":"report","title":"Global Lighting Challenge GLC fact sheet","URL":"http://www.cleanenergyministerial.org/sites/default/files/2018-07/GLC%20fact%20sheet%20%28May%202018%29.pdf","author":[{"family":"CEM","given":""}],"issued":{"date-parts":[["2018"]]},"accessed":{"date-parts":[["2019",4,2]]}}}],"schema":"https://github.com/citation-style-language/schema/raw/master/csl-citation.json"} </w:instrText>
      </w:r>
      <w:r>
        <w:fldChar w:fldCharType="separate"/>
      </w:r>
      <w:r>
        <w:rPr>
          <w:rFonts w:cs="Times New Roman"/>
          <w:szCs w:val="24"/>
        </w:rPr>
        <w:t>(CEM, 2018)</w:t>
      </w:r>
      <w:r>
        <w:fldChar w:fldCharType="end"/>
      </w:r>
      <w:r>
        <w:t xml:space="preserve">, though this assumes very aggressive adoptions (all lighting sectors with 100 % adoption). THE UN estimated that replacing inefficient on-grid lighting globally would reduce the annual CO2 emissions by over 530 Mt </w:t>
      </w:r>
      <w:r>
        <w:fldChar w:fldCharType="begin"/>
      </w:r>
      <w:r>
        <w:instrText xml:space="preserve"> ADDIN ZOTERO_ITEM CSL_CITATION {"citationID":"ejeyouC0","properties":{"formattedCitation":"(UN Environment, 2017)","plainCitation":"(UN Environment, 2017)","noteIndex":0},"citationItems":[{"id":3574,"uris":["http://zotero.org/groups/2241931/items/XJLLUB8F"],"uri":["http://zotero.org/groups/2241931/items/XJLLUB8F"],"itemData":{"id":3574,"type":"report","title":"Terminal Evaluation of the UN Environment/Global Environment Facility project “Global Market Transformation for Efficient Lighting” (en.lighten initiative)","URL":"http://wedocs.unep.org/bitstream/handle/20.500.11822/25443/3755_2017_te_unenvironment_gef_global_cc_-msp_fsp__global_market_transformation_for_efficient_lighting.pdf?sequence=1&amp;isAllowed=y","author":[{"family":"UN Environment","given":""}],"issued":{"date-parts":[["2017"]]},"accessed":{"date-parts":[["2019",4,2]]}}}],"schema":"https://github.com/citation-style-language/schema/raw/master/csl-citation.json"} </w:instrText>
      </w:r>
      <w:r>
        <w:fldChar w:fldCharType="separate"/>
      </w:r>
      <w:r>
        <w:rPr>
          <w:rFonts w:cs="Times New Roman"/>
          <w:szCs w:val="24"/>
        </w:rPr>
        <w:t>(UN Environment, 2017)</w:t>
      </w:r>
      <w:r>
        <w:fldChar w:fldCharType="end"/>
      </w:r>
      <w:r>
        <w:t>. IEA estimated that energy efficient lighting may reduce 449 MMT CO2 in 2030</w:t>
      </w:r>
      <w:r>
        <w:fldChar w:fldCharType="begin"/>
      </w:r>
      <w:r>
        <w:instrText xml:space="preserve"> ADDIN ZOTERO_ITEM CSL_CITATION {"citationID":"dnNW5xOs","properties":{"formattedCitation":"(IEA, 2006)","plainCitation":"(IEA, 2006)","noteIndex":0},"citationItems":[{"id":3243,"uris":["http://zotero.org/groups/2241931/items/8Q5FZZAN"],"uri":["http://zotero.org/groups/2241931/items/8Q5FZZAN"],"itemData":{"id":3243,"type":"report","title":"Light's labour's lost: Policies for Energy-Efficient Lighting","publisher":"OECD","source":"Crossref","URL":"https://www.oecd-ilibrary.org/energy/light-s-labour-s-lost_9789264109520-en","note":"DOI: 10.1787/9789264109520-en","shortTitle":"Light's labour's lost","language":"en","author":[{"literal":"IEA"}],"issued":{"date-parts":[["2006"]]},"accessed":{"date-parts":[["2019",3,20]]}}}],"schema":"https://github.com/citation-style-language/schema/raw/master/csl-citation.json"} </w:instrText>
      </w:r>
      <w:r>
        <w:fldChar w:fldCharType="separate"/>
      </w:r>
      <w:r>
        <w:rPr>
          <w:rFonts w:cs="Times New Roman"/>
          <w:szCs w:val="24"/>
        </w:rPr>
        <w:t>(IEA, 2006)</w:t>
      </w:r>
      <w:r>
        <w:fldChar w:fldCharType="end"/>
      </w:r>
      <w:r>
        <w:t>.</w:t>
      </w:r>
      <w:bookmarkEnd w:id="132"/>
    </w:p>
    <w:p w14:paraId="7454D80C" w14:textId="24C3373C" w:rsidR="00434F61" w:rsidRDefault="551A77D0" w:rsidP="00EB247F">
      <w:pPr>
        <w:pStyle w:val="Heading1"/>
      </w:pPr>
      <w:bookmarkStart w:id="133" w:name="_Toc44585095"/>
      <w:r>
        <w:t>References</w:t>
      </w:r>
      <w:bookmarkEnd w:id="133"/>
    </w:p>
    <w:p w14:paraId="69364FB6" w14:textId="66F7D7C4" w:rsidR="00DC6459" w:rsidRDefault="00DC6459" w:rsidP="00F243F4">
      <w:pPr>
        <w:ind w:left="540" w:hanging="540"/>
      </w:pPr>
    </w:p>
    <w:p w14:paraId="258982E3" w14:textId="77777777" w:rsidR="005B5BA6" w:rsidRPr="000D3EF2" w:rsidRDefault="00DC6459" w:rsidP="008F0AA6">
      <w:pPr>
        <w:pStyle w:val="Bibliography"/>
        <w:rPr>
          <w:rFonts w:cs="Times New Roman"/>
        </w:rPr>
      </w:pPr>
      <w:r>
        <w:fldChar w:fldCharType="begin"/>
      </w:r>
      <w:r>
        <w:instrText xml:space="preserve"> ADDIN ZOTERO_BIBL {"uncited":[],"omitted":[],"custom":[]} CSL_BIBLIOGRAPHY </w:instrText>
      </w:r>
      <w:r>
        <w:fldChar w:fldCharType="separate"/>
      </w:r>
      <w:r w:rsidR="005B5BA6" w:rsidRPr="005B5BA6">
        <w:rPr>
          <w:rFonts w:cs="Times New Roman"/>
        </w:rPr>
        <w:t xml:space="preserve">Ahn, B.-L., Yoo, S., Kim, J., Jeong, H., Leigh, S.-B., &amp; Jang, C.-Y. (2016). Thermal management of LED lighting integrated with HVAC systems in office buildings. </w:t>
      </w:r>
      <w:r w:rsidR="005B5BA6" w:rsidRPr="005B5BA6">
        <w:rPr>
          <w:rFonts w:cs="Times New Roman"/>
          <w:i/>
          <w:iCs/>
        </w:rPr>
        <w:t>Energy and Buildings</w:t>
      </w:r>
      <w:r w:rsidR="005B5BA6" w:rsidRPr="005B5BA6">
        <w:rPr>
          <w:rFonts w:cs="Times New Roman"/>
        </w:rPr>
        <w:t xml:space="preserve">, </w:t>
      </w:r>
      <w:r w:rsidR="005B5BA6" w:rsidRPr="000D3EF2">
        <w:rPr>
          <w:rFonts w:cs="Times New Roman"/>
          <w:i/>
          <w:iCs/>
        </w:rPr>
        <w:t>127</w:t>
      </w:r>
      <w:r w:rsidR="005B5BA6" w:rsidRPr="000D3EF2">
        <w:rPr>
          <w:rFonts w:cs="Times New Roman"/>
        </w:rPr>
        <w:t>, 1159–1170. https://doi.org/10.1016/j.enbuild.2016.06.027</w:t>
      </w:r>
    </w:p>
    <w:p w14:paraId="276F0007" w14:textId="77777777" w:rsidR="005B5BA6" w:rsidRPr="008F0AA6" w:rsidRDefault="005B5BA6" w:rsidP="008F0AA6">
      <w:pPr>
        <w:pStyle w:val="Bibliography"/>
        <w:rPr>
          <w:rFonts w:cs="Times New Roman"/>
        </w:rPr>
      </w:pPr>
      <w:r w:rsidRPr="000D3EF2">
        <w:rPr>
          <w:rFonts w:cs="Times New Roman"/>
        </w:rPr>
        <w:t xml:space="preserve">De Almeida, A., Santos, B., Paolo, B., &amp; Quicheron, M. (2014). Solid state lighting review – Potential and challenges </w:t>
      </w:r>
      <w:r w:rsidRPr="007B299C">
        <w:rPr>
          <w:rFonts w:cs="Times New Roman"/>
        </w:rPr>
        <w:t xml:space="preserve">in Europe. </w:t>
      </w:r>
      <w:r w:rsidRPr="007B299C">
        <w:rPr>
          <w:rFonts w:cs="Times New Roman"/>
          <w:i/>
          <w:iCs/>
        </w:rPr>
        <w:t>Renewable and Sustainable Energy Reviews</w:t>
      </w:r>
      <w:r w:rsidRPr="007B299C">
        <w:rPr>
          <w:rFonts w:cs="Times New Roman"/>
        </w:rPr>
        <w:t xml:space="preserve">, </w:t>
      </w:r>
      <w:r w:rsidRPr="008F0AA6">
        <w:rPr>
          <w:rFonts w:cs="Times New Roman"/>
          <w:i/>
          <w:iCs/>
        </w:rPr>
        <w:t>34</w:t>
      </w:r>
      <w:r w:rsidRPr="008F0AA6">
        <w:rPr>
          <w:rFonts w:cs="Times New Roman"/>
        </w:rPr>
        <w:t>, 30–48. https://doi.org/10.1016/j.rser.2014.02.029</w:t>
      </w:r>
    </w:p>
    <w:p w14:paraId="6860E3E8" w14:textId="77777777" w:rsidR="005B5BA6" w:rsidRPr="007B299C" w:rsidRDefault="005B5BA6" w:rsidP="008F0AA6">
      <w:pPr>
        <w:pStyle w:val="Bibliography"/>
        <w:rPr>
          <w:rFonts w:cs="Times New Roman"/>
        </w:rPr>
      </w:pPr>
      <w:r w:rsidRPr="008F0AA6">
        <w:rPr>
          <w:rFonts w:cs="Times New Roman"/>
          <w:lang w:val="de-DE"/>
        </w:rPr>
        <w:t xml:space="preserve">Ding, Q., Liang, X., Zhao, Y., Liu, R., Li, P., Liu, M., &amp; Lin, L. (2018). </w:t>
      </w:r>
      <w:r w:rsidRPr="000D3EF2">
        <w:rPr>
          <w:rFonts w:cs="Times New Roman"/>
        </w:rPr>
        <w:t xml:space="preserve">Study on Chinese and U.S. Energy Efficiency Regulations and Standards for Efficient Lighting Products. </w:t>
      </w:r>
      <w:r w:rsidRPr="000D3EF2">
        <w:rPr>
          <w:rFonts w:cs="Times New Roman"/>
          <w:i/>
          <w:iCs/>
        </w:rPr>
        <w:t>E3S Web of Conferences</w:t>
      </w:r>
      <w:r w:rsidRPr="000D3EF2">
        <w:rPr>
          <w:rFonts w:cs="Times New Roman"/>
        </w:rPr>
        <w:t xml:space="preserve">, </w:t>
      </w:r>
      <w:r w:rsidRPr="007B299C">
        <w:rPr>
          <w:rFonts w:cs="Times New Roman"/>
          <w:i/>
          <w:iCs/>
        </w:rPr>
        <w:t>53</w:t>
      </w:r>
      <w:r w:rsidRPr="007B299C">
        <w:rPr>
          <w:rFonts w:cs="Times New Roman"/>
        </w:rPr>
        <w:t>, 02010. https://doi.org/10.1051/e3sconf/20185302010</w:t>
      </w:r>
    </w:p>
    <w:p w14:paraId="6814338A" w14:textId="77777777" w:rsidR="005B5BA6" w:rsidRPr="008F0AA6" w:rsidRDefault="005B5BA6" w:rsidP="008F0AA6">
      <w:pPr>
        <w:pStyle w:val="Bibliography"/>
        <w:rPr>
          <w:rFonts w:cs="Times New Roman"/>
        </w:rPr>
      </w:pPr>
      <w:r w:rsidRPr="007B299C">
        <w:rPr>
          <w:rFonts w:cs="Times New Roman"/>
        </w:rPr>
        <w:t xml:space="preserve">Dulout, J., Jammes, </w:t>
      </w:r>
      <w:r w:rsidRPr="008F0AA6">
        <w:rPr>
          <w:rFonts w:cs="Times New Roman"/>
        </w:rPr>
        <w:t xml:space="preserve">B., Seguier, L., Barroso, A., Dupuis, P., Zissis, G., &amp; Alonso, C. (2018). Tweaking Light-Emitting Diodes: A Multiobjective Optimal Design for New Luminaires. </w:t>
      </w:r>
      <w:r w:rsidRPr="008F0AA6">
        <w:rPr>
          <w:rFonts w:cs="Times New Roman"/>
          <w:i/>
          <w:iCs/>
        </w:rPr>
        <w:t>IEEE Industry Applications Magazine</w:t>
      </w:r>
      <w:r w:rsidRPr="008F0AA6">
        <w:rPr>
          <w:rFonts w:cs="Times New Roman"/>
        </w:rPr>
        <w:t xml:space="preserve">, </w:t>
      </w:r>
      <w:r w:rsidRPr="008F0AA6">
        <w:rPr>
          <w:rFonts w:cs="Times New Roman"/>
          <w:i/>
          <w:iCs/>
        </w:rPr>
        <w:t>24</w:t>
      </w:r>
      <w:r w:rsidRPr="008F0AA6">
        <w:rPr>
          <w:rFonts w:cs="Times New Roman"/>
        </w:rPr>
        <w:t>(4), 50–59. https://doi.org/10.1109/MIAS.2017.2740445</w:t>
      </w:r>
    </w:p>
    <w:p w14:paraId="6A0A236D" w14:textId="77777777" w:rsidR="005B5BA6" w:rsidRPr="008F0AA6" w:rsidRDefault="005B5BA6" w:rsidP="008F0AA6">
      <w:pPr>
        <w:pStyle w:val="Bibliography"/>
        <w:rPr>
          <w:rFonts w:cs="Times New Roman"/>
        </w:rPr>
      </w:pPr>
      <w:r w:rsidRPr="008F0AA6">
        <w:rPr>
          <w:rFonts w:cs="Times New Roman"/>
        </w:rPr>
        <w:t>EIA. (2014, September 9). Natural gas, solar, and wind lead power plant capacity additions in first-half 2014. Retrieved June 28, 2015, from http://www.eia.gov/todayinenergy/detail.cfm?id=17891</w:t>
      </w:r>
    </w:p>
    <w:p w14:paraId="21FDF4D3" w14:textId="77777777" w:rsidR="005B5BA6" w:rsidRPr="008F0AA6" w:rsidRDefault="005B5BA6" w:rsidP="008F0AA6">
      <w:pPr>
        <w:pStyle w:val="Bibliography"/>
        <w:rPr>
          <w:rFonts w:cs="Times New Roman"/>
        </w:rPr>
      </w:pPr>
      <w:r w:rsidRPr="008F0AA6">
        <w:rPr>
          <w:rFonts w:cs="Times New Roman"/>
        </w:rPr>
        <w:t xml:space="preserve">EIA. (2016). </w:t>
      </w:r>
      <w:r w:rsidRPr="008F0AA6">
        <w:rPr>
          <w:rFonts w:cs="Times New Roman"/>
          <w:i/>
          <w:iCs/>
        </w:rPr>
        <w:t>Annual Energy Outlook 2016 with projections to 2040</w:t>
      </w:r>
      <w:r w:rsidRPr="008F0AA6">
        <w:rPr>
          <w:rFonts w:cs="Times New Roman"/>
        </w:rPr>
        <w:t>. Retrieved from U.S. Energy Information Administration Office of Energy Analysis website: http://www.eia.gov/forecasts/aeo/pdf/0383(2016).pdf</w:t>
      </w:r>
    </w:p>
    <w:p w14:paraId="26A60F88" w14:textId="77777777" w:rsidR="005B5BA6" w:rsidRPr="008F0AA6" w:rsidRDefault="005B5BA6" w:rsidP="008F0AA6">
      <w:pPr>
        <w:pStyle w:val="Bibliography"/>
        <w:rPr>
          <w:rFonts w:cs="Times New Roman"/>
        </w:rPr>
      </w:pPr>
      <w:r w:rsidRPr="008F0AA6">
        <w:rPr>
          <w:rFonts w:cs="Times New Roman"/>
        </w:rPr>
        <w:t xml:space="preserve">Elijošiutė, E., Balciukevičiūtė, J., &amp; Denafas, G. (2012). Life Cycle Assessment of Compact Fluorescent and Incandescent Lamps: Comparative Analysis. </w:t>
      </w:r>
      <w:r w:rsidRPr="008F0AA6">
        <w:rPr>
          <w:rFonts w:cs="Times New Roman"/>
          <w:i/>
          <w:iCs/>
        </w:rPr>
        <w:t>Environmental Research, Engineering and Management</w:t>
      </w:r>
      <w:r w:rsidRPr="008F0AA6">
        <w:rPr>
          <w:rFonts w:cs="Times New Roman"/>
        </w:rPr>
        <w:t xml:space="preserve">, </w:t>
      </w:r>
      <w:r w:rsidRPr="008F0AA6">
        <w:rPr>
          <w:rFonts w:cs="Times New Roman"/>
          <w:i/>
          <w:iCs/>
        </w:rPr>
        <w:t>61</w:t>
      </w:r>
      <w:r w:rsidRPr="008F0AA6">
        <w:rPr>
          <w:rFonts w:cs="Times New Roman"/>
        </w:rPr>
        <w:t>(3). https://doi.org/10.5755/j01.erem.61.3.2425</w:t>
      </w:r>
    </w:p>
    <w:p w14:paraId="4BAE95D1" w14:textId="77777777" w:rsidR="005B5BA6" w:rsidRPr="000D3EF2" w:rsidRDefault="005B5BA6" w:rsidP="008F0AA6">
      <w:pPr>
        <w:pStyle w:val="Bibliography"/>
        <w:rPr>
          <w:rFonts w:cs="Times New Roman"/>
        </w:rPr>
      </w:pPr>
      <w:r w:rsidRPr="008F0AA6">
        <w:rPr>
          <w:rFonts w:cs="Times New Roman"/>
          <w:lang w:val="es-CL"/>
        </w:rPr>
        <w:t xml:space="preserve">Franz, M., &amp; Wenzl, F. P. (2017). </w:t>
      </w:r>
      <w:r w:rsidRPr="005B5BA6">
        <w:rPr>
          <w:rFonts w:cs="Times New Roman"/>
        </w:rPr>
        <w:t xml:space="preserve">Critical review on life cycle inventories and environmental assessments of LED-lamps. </w:t>
      </w:r>
      <w:r w:rsidRPr="000D3EF2">
        <w:rPr>
          <w:rFonts w:cs="Times New Roman"/>
          <w:i/>
          <w:iCs/>
        </w:rPr>
        <w:t>Critical Reviews in Environmental Science and Technology</w:t>
      </w:r>
      <w:r w:rsidRPr="000D3EF2">
        <w:rPr>
          <w:rFonts w:cs="Times New Roman"/>
        </w:rPr>
        <w:t xml:space="preserve">, </w:t>
      </w:r>
      <w:r w:rsidRPr="000D3EF2">
        <w:rPr>
          <w:rFonts w:cs="Times New Roman"/>
          <w:i/>
          <w:iCs/>
        </w:rPr>
        <w:t>47</w:t>
      </w:r>
      <w:r w:rsidRPr="000D3EF2">
        <w:rPr>
          <w:rFonts w:cs="Times New Roman"/>
        </w:rPr>
        <w:t>(21), 2017–2078. https://doi.org/10.1080/10643389.2017.1370989</w:t>
      </w:r>
    </w:p>
    <w:p w14:paraId="03B662B9" w14:textId="77777777" w:rsidR="005B5BA6" w:rsidRPr="008F0AA6" w:rsidRDefault="005B5BA6" w:rsidP="008F0AA6">
      <w:pPr>
        <w:pStyle w:val="Bibliography"/>
        <w:rPr>
          <w:rFonts w:cs="Times New Roman"/>
        </w:rPr>
      </w:pPr>
      <w:r w:rsidRPr="007B299C">
        <w:rPr>
          <w:rFonts w:cs="Times New Roman"/>
        </w:rPr>
        <w:t xml:space="preserve">Gayral, B. (2017). LEDs for lighting: Basic physics and prospects for energy savings. </w:t>
      </w:r>
      <w:r w:rsidRPr="007B299C">
        <w:rPr>
          <w:rFonts w:cs="Times New Roman"/>
          <w:i/>
          <w:iCs/>
        </w:rPr>
        <w:t>Comptes Rendus Physique</w:t>
      </w:r>
      <w:r w:rsidRPr="008F0AA6">
        <w:rPr>
          <w:rFonts w:cs="Times New Roman"/>
        </w:rPr>
        <w:t xml:space="preserve">, </w:t>
      </w:r>
      <w:r w:rsidRPr="008F0AA6">
        <w:rPr>
          <w:rFonts w:cs="Times New Roman"/>
          <w:i/>
          <w:iCs/>
        </w:rPr>
        <w:t>18</w:t>
      </w:r>
      <w:r w:rsidRPr="008F0AA6">
        <w:rPr>
          <w:rFonts w:cs="Times New Roman"/>
        </w:rPr>
        <w:t>(7–8), 453–461. https://doi.org/10.1016/j.crhy.2017.09.001</w:t>
      </w:r>
    </w:p>
    <w:p w14:paraId="06F606FC" w14:textId="77777777" w:rsidR="005B5BA6" w:rsidRPr="008F0AA6" w:rsidRDefault="005B5BA6" w:rsidP="008F0AA6">
      <w:pPr>
        <w:pStyle w:val="Bibliography"/>
        <w:rPr>
          <w:rFonts w:cs="Times New Roman"/>
        </w:rPr>
      </w:pPr>
      <w:r w:rsidRPr="008F0AA6">
        <w:rPr>
          <w:rFonts w:cs="Times New Roman"/>
        </w:rPr>
        <w:t xml:space="preserve">IEA. (2006). </w:t>
      </w:r>
      <w:r w:rsidRPr="008F0AA6">
        <w:rPr>
          <w:rFonts w:cs="Times New Roman"/>
          <w:i/>
          <w:iCs/>
        </w:rPr>
        <w:t>Light’s labour’s lost: Policies for Energy-Efficient Lighting</w:t>
      </w:r>
      <w:r w:rsidRPr="008F0AA6">
        <w:rPr>
          <w:rFonts w:cs="Times New Roman"/>
        </w:rPr>
        <w:t>. https://doi.org/10.1787/9789264109520-en</w:t>
      </w:r>
    </w:p>
    <w:p w14:paraId="2776B8BB" w14:textId="77777777" w:rsidR="005B5BA6" w:rsidRPr="008F0AA6" w:rsidRDefault="005B5BA6" w:rsidP="008F0AA6">
      <w:pPr>
        <w:pStyle w:val="Bibliography"/>
        <w:rPr>
          <w:rFonts w:cs="Times New Roman"/>
        </w:rPr>
      </w:pPr>
      <w:r w:rsidRPr="008F0AA6">
        <w:rPr>
          <w:rFonts w:cs="Times New Roman"/>
        </w:rPr>
        <w:t xml:space="preserve">International Energy Agency. (2017). </w:t>
      </w:r>
      <w:r w:rsidRPr="008F0AA6">
        <w:rPr>
          <w:rFonts w:cs="Times New Roman"/>
          <w:i/>
          <w:iCs/>
        </w:rPr>
        <w:t>Energy Access Outlook 2017</w:t>
      </w:r>
      <w:r w:rsidRPr="008F0AA6">
        <w:rPr>
          <w:rFonts w:cs="Times New Roman"/>
        </w:rPr>
        <w:t>. Retrieved from https://www.iea.org/publications/freepublications/publication/WEO2017SpecialReport_EnergyAccessOutlook.pdf</w:t>
      </w:r>
    </w:p>
    <w:p w14:paraId="1099A6D8" w14:textId="77777777" w:rsidR="005B5BA6" w:rsidRPr="008F0AA6" w:rsidRDefault="005B5BA6" w:rsidP="008F0AA6">
      <w:pPr>
        <w:pStyle w:val="Bibliography"/>
        <w:rPr>
          <w:rFonts w:cs="Times New Roman"/>
        </w:rPr>
      </w:pPr>
      <w:r w:rsidRPr="008F0AA6">
        <w:rPr>
          <w:rFonts w:cs="Times New Roman"/>
        </w:rPr>
        <w:t xml:space="preserve">Luth, J. (2012). </w:t>
      </w:r>
      <w:r w:rsidRPr="008F0AA6">
        <w:rPr>
          <w:rFonts w:cs="Times New Roman"/>
          <w:i/>
          <w:iCs/>
        </w:rPr>
        <w:t>Extended Producer Responsibility for Closing Material Loops: Lessons from energy-efficient lighting products</w:t>
      </w:r>
      <w:r w:rsidRPr="008F0AA6">
        <w:rPr>
          <w:rFonts w:cs="Times New Roman"/>
        </w:rPr>
        <w:t>. Retrieved from https://www.iiiee.lu.se/sites/iiiee.lu.se/files/jessika_luth_richter_hela.pdf</w:t>
      </w:r>
    </w:p>
    <w:p w14:paraId="71A255D4" w14:textId="77777777" w:rsidR="005B5BA6" w:rsidRPr="008F0AA6" w:rsidRDefault="005B5BA6" w:rsidP="008F0AA6">
      <w:pPr>
        <w:pStyle w:val="Bibliography"/>
        <w:rPr>
          <w:rFonts w:cs="Times New Roman"/>
        </w:rPr>
      </w:pPr>
      <w:r w:rsidRPr="008F0AA6">
        <w:rPr>
          <w:rFonts w:cs="Times New Roman"/>
        </w:rPr>
        <w:t xml:space="preserve">McKinsey. (2012). </w:t>
      </w:r>
      <w:r w:rsidRPr="008F0AA6">
        <w:rPr>
          <w:rFonts w:cs="Times New Roman"/>
          <w:i/>
          <w:iCs/>
        </w:rPr>
        <w:t>Lighting the way: Perspectives on the global lighting market</w:t>
      </w:r>
      <w:r w:rsidRPr="008F0AA6">
        <w:rPr>
          <w:rFonts w:cs="Times New Roman"/>
        </w:rPr>
        <w:t xml:space="preserve"> (p. 58).</w:t>
      </w:r>
    </w:p>
    <w:p w14:paraId="7BC38A0B" w14:textId="77777777" w:rsidR="005B5BA6" w:rsidRPr="008F0AA6" w:rsidRDefault="005B5BA6" w:rsidP="008F0AA6">
      <w:pPr>
        <w:pStyle w:val="Bibliography"/>
        <w:rPr>
          <w:rFonts w:cs="Times New Roman"/>
        </w:rPr>
      </w:pPr>
      <w:r w:rsidRPr="008F0AA6">
        <w:rPr>
          <w:rFonts w:cs="Times New Roman"/>
        </w:rPr>
        <w:t xml:space="preserve">Morgan Pattison, P., Hansen, M., &amp; Tsao, J. Y. (2018). LED lighting efficacy: Status and directions. </w:t>
      </w:r>
      <w:r w:rsidRPr="008F0AA6">
        <w:rPr>
          <w:rFonts w:cs="Times New Roman"/>
          <w:i/>
          <w:iCs/>
        </w:rPr>
        <w:t>Comptes Rendus Physique</w:t>
      </w:r>
      <w:r w:rsidRPr="008F0AA6">
        <w:rPr>
          <w:rFonts w:cs="Times New Roman"/>
        </w:rPr>
        <w:t xml:space="preserve">, </w:t>
      </w:r>
      <w:r w:rsidRPr="008F0AA6">
        <w:rPr>
          <w:rFonts w:cs="Times New Roman"/>
          <w:i/>
          <w:iCs/>
        </w:rPr>
        <w:t>19</w:t>
      </w:r>
      <w:r w:rsidRPr="008F0AA6">
        <w:rPr>
          <w:rFonts w:cs="Times New Roman"/>
        </w:rPr>
        <w:t>(3), 134–145. https://doi.org/10.1016/j.crhy.2017.10.013</w:t>
      </w:r>
    </w:p>
    <w:p w14:paraId="1793B4B8" w14:textId="77777777" w:rsidR="005B5BA6" w:rsidRPr="008F0AA6" w:rsidRDefault="005B5BA6" w:rsidP="008F0AA6">
      <w:pPr>
        <w:pStyle w:val="Bibliography"/>
        <w:rPr>
          <w:rFonts w:cs="Times New Roman"/>
        </w:rPr>
      </w:pPr>
      <w:r w:rsidRPr="008F0AA6">
        <w:rPr>
          <w:rFonts w:cs="Times New Roman"/>
        </w:rPr>
        <w:t xml:space="preserve">National Academies of Sciences, Engineering, and Medicine. (2017). </w:t>
      </w:r>
      <w:r w:rsidRPr="008F0AA6">
        <w:rPr>
          <w:rFonts w:cs="Times New Roman"/>
          <w:i/>
          <w:iCs/>
        </w:rPr>
        <w:t>Assessment of Solid-State Lighting, Phase Two</w:t>
      </w:r>
      <w:r w:rsidRPr="008F0AA6">
        <w:rPr>
          <w:rFonts w:cs="Times New Roman"/>
        </w:rPr>
        <w:t>. Retrieved from https://www.nap.edu/catalog/24619</w:t>
      </w:r>
    </w:p>
    <w:p w14:paraId="1888BFE7" w14:textId="77777777" w:rsidR="005B5BA6" w:rsidRPr="008F0AA6" w:rsidRDefault="005B5BA6" w:rsidP="008F0AA6">
      <w:pPr>
        <w:pStyle w:val="Bibliography"/>
        <w:rPr>
          <w:rFonts w:cs="Times New Roman"/>
        </w:rPr>
      </w:pPr>
      <w:r w:rsidRPr="008F0AA6">
        <w:rPr>
          <w:rFonts w:cs="Times New Roman"/>
        </w:rPr>
        <w:t xml:space="preserve">Navigant Consulting. (2017). </w:t>
      </w:r>
      <w:r w:rsidRPr="008F0AA6">
        <w:rPr>
          <w:rFonts w:cs="Times New Roman"/>
          <w:i/>
          <w:iCs/>
        </w:rPr>
        <w:t>Adoption of Light-Emitting Diodes in Common Lighting Applications</w:t>
      </w:r>
      <w:r w:rsidRPr="008F0AA6">
        <w:rPr>
          <w:rFonts w:cs="Times New Roman"/>
        </w:rPr>
        <w:t xml:space="preserve"> (p. 67).</w:t>
      </w:r>
    </w:p>
    <w:p w14:paraId="5136B837" w14:textId="77777777" w:rsidR="005B5BA6" w:rsidRPr="008F0AA6" w:rsidRDefault="005B5BA6" w:rsidP="008F0AA6">
      <w:pPr>
        <w:pStyle w:val="Bibliography"/>
        <w:rPr>
          <w:rFonts w:cs="Times New Roman"/>
        </w:rPr>
      </w:pPr>
      <w:r w:rsidRPr="008F0AA6">
        <w:rPr>
          <w:rFonts w:cs="Times New Roman"/>
        </w:rPr>
        <w:t xml:space="preserve">Tähkämö, L. (2013). </w:t>
      </w:r>
      <w:r w:rsidRPr="008F0AA6">
        <w:rPr>
          <w:rFonts w:cs="Times New Roman"/>
          <w:i/>
          <w:iCs/>
        </w:rPr>
        <w:t>Life cycle assessment of light sources – Case studies and review of the analyses</w:t>
      </w:r>
      <w:r w:rsidRPr="008F0AA6">
        <w:rPr>
          <w:rFonts w:cs="Times New Roman"/>
        </w:rPr>
        <w:t>. Retrieved from https://aaltodoc.aalto.fi:443/handle/123456789/10905</w:t>
      </w:r>
    </w:p>
    <w:p w14:paraId="3B45F1C5" w14:textId="77777777" w:rsidR="005B5BA6" w:rsidRPr="008F0AA6" w:rsidRDefault="005B5BA6" w:rsidP="008F0AA6">
      <w:pPr>
        <w:pStyle w:val="Bibliography"/>
        <w:rPr>
          <w:rFonts w:cs="Times New Roman"/>
        </w:rPr>
      </w:pPr>
      <w:r w:rsidRPr="008F0AA6">
        <w:rPr>
          <w:rFonts w:cs="Times New Roman"/>
        </w:rPr>
        <w:t xml:space="preserve">Tsao, J. Y., &amp; Waide, P. (2010). The World’s Appetite for Light: Empirical Data and Trends Spanning Three Centuries and Six Continents. </w:t>
      </w:r>
      <w:r w:rsidRPr="008F0AA6">
        <w:rPr>
          <w:rFonts w:cs="Times New Roman"/>
          <w:i/>
          <w:iCs/>
        </w:rPr>
        <w:t>LEUKOS</w:t>
      </w:r>
      <w:r w:rsidRPr="008F0AA6">
        <w:rPr>
          <w:rFonts w:cs="Times New Roman"/>
        </w:rPr>
        <w:t xml:space="preserve">, </w:t>
      </w:r>
      <w:r w:rsidRPr="008F0AA6">
        <w:rPr>
          <w:rFonts w:cs="Times New Roman"/>
          <w:i/>
          <w:iCs/>
        </w:rPr>
        <w:t>6</w:t>
      </w:r>
      <w:r w:rsidRPr="008F0AA6">
        <w:rPr>
          <w:rFonts w:cs="Times New Roman"/>
        </w:rPr>
        <w:t>(4), 259–281. https://doi.org/10.1582/LEUKOS.2010.06.04001</w:t>
      </w:r>
    </w:p>
    <w:p w14:paraId="0558D99A" w14:textId="77777777" w:rsidR="005B5BA6" w:rsidRPr="008F0AA6" w:rsidRDefault="005B5BA6" w:rsidP="008F0AA6">
      <w:pPr>
        <w:pStyle w:val="Bibliography"/>
        <w:rPr>
          <w:rFonts w:cs="Times New Roman"/>
        </w:rPr>
      </w:pPr>
      <w:r w:rsidRPr="008F0AA6">
        <w:rPr>
          <w:rFonts w:cs="Times New Roman"/>
        </w:rPr>
        <w:t xml:space="preserve">UN Environment. (2017). </w:t>
      </w:r>
      <w:r w:rsidRPr="008F0AA6">
        <w:rPr>
          <w:rFonts w:cs="Times New Roman"/>
          <w:i/>
          <w:iCs/>
        </w:rPr>
        <w:t>Terminal Evaluation of the UN Environment/Global Environment Facility project “Global Market Transformation for Efficient Lighting” (en.lighten initiative)</w:t>
      </w:r>
      <w:r w:rsidRPr="008F0AA6">
        <w:rPr>
          <w:rFonts w:cs="Times New Roman"/>
        </w:rPr>
        <w:t>. Retrieved from http://wedocs.unep.org/bitstream/handle/20.500.11822/25443/3755_2017_te_unenvironment_gef_global_cc_-msp_fsp__global_market_transformation_for_efficient_lighting.pdf?sequence=1&amp;isAllowed=y</w:t>
      </w:r>
    </w:p>
    <w:p w14:paraId="3CA0A3EA" w14:textId="77777777" w:rsidR="005B5BA6" w:rsidRPr="008F0AA6" w:rsidRDefault="005B5BA6" w:rsidP="008F0AA6">
      <w:pPr>
        <w:pStyle w:val="Bibliography"/>
        <w:rPr>
          <w:rFonts w:cs="Times New Roman"/>
        </w:rPr>
      </w:pPr>
      <w:r w:rsidRPr="008F0AA6">
        <w:rPr>
          <w:rFonts w:cs="Times New Roman"/>
        </w:rPr>
        <w:t xml:space="preserve">US DOE. (2015). </w:t>
      </w:r>
      <w:r w:rsidRPr="008F0AA6">
        <w:rPr>
          <w:rFonts w:cs="Times New Roman"/>
          <w:i/>
          <w:iCs/>
        </w:rPr>
        <w:t>2015 U.S. Lighting Market Characterization</w:t>
      </w:r>
      <w:r w:rsidRPr="008F0AA6">
        <w:rPr>
          <w:rFonts w:cs="Times New Roman"/>
        </w:rPr>
        <w:t>. 135.</w:t>
      </w:r>
    </w:p>
    <w:p w14:paraId="79BD1FF8" w14:textId="77777777" w:rsidR="005B5BA6" w:rsidRPr="008F0AA6" w:rsidRDefault="005B5BA6" w:rsidP="008F0AA6">
      <w:pPr>
        <w:pStyle w:val="Bibliography"/>
        <w:rPr>
          <w:rFonts w:cs="Times New Roman"/>
        </w:rPr>
      </w:pPr>
      <w:r w:rsidRPr="008F0AA6">
        <w:rPr>
          <w:rFonts w:cs="Times New Roman"/>
        </w:rPr>
        <w:t xml:space="preserve">US DOE SSL. (2014). </w:t>
      </w:r>
      <w:r w:rsidRPr="008F0AA6">
        <w:rPr>
          <w:rFonts w:cs="Times New Roman"/>
          <w:i/>
          <w:iCs/>
        </w:rPr>
        <w:t>Solid-State Lighting Research and Development: Multi-Year Program Plan April 2014 (Updated May 2014)</w:t>
      </w:r>
      <w:r w:rsidRPr="008F0AA6">
        <w:rPr>
          <w:rFonts w:cs="Times New Roman"/>
        </w:rPr>
        <w:t xml:space="preserve"> (p. 104).</w:t>
      </w:r>
    </w:p>
    <w:p w14:paraId="678076BC" w14:textId="77777777" w:rsidR="005B5BA6" w:rsidRPr="008F0AA6" w:rsidRDefault="005B5BA6" w:rsidP="008F0AA6">
      <w:pPr>
        <w:pStyle w:val="Bibliography"/>
        <w:rPr>
          <w:rFonts w:cs="Times New Roman"/>
        </w:rPr>
      </w:pPr>
      <w:r w:rsidRPr="008F0AA6">
        <w:rPr>
          <w:rFonts w:cs="Times New Roman"/>
        </w:rPr>
        <w:t xml:space="preserve">US DOE SSL. (2015). </w:t>
      </w:r>
      <w:r w:rsidRPr="008F0AA6">
        <w:rPr>
          <w:rFonts w:cs="Times New Roman"/>
          <w:i/>
          <w:iCs/>
        </w:rPr>
        <w:t>Solid-State Lighting R&amp;D Plan</w:t>
      </w:r>
      <w:r w:rsidRPr="008F0AA6">
        <w:rPr>
          <w:rFonts w:cs="Times New Roman"/>
        </w:rPr>
        <w:t xml:space="preserve"> (p. 168) [Prepared by Bardsley Consulting, SB Consulting, SSLS, Inc., LED Lighting Advisors, and Navigant Consulting, Inc.,]. DOE SSL Program.</w:t>
      </w:r>
    </w:p>
    <w:p w14:paraId="4657FE10" w14:textId="77777777" w:rsidR="005B5BA6" w:rsidRPr="008F0AA6" w:rsidRDefault="005B5BA6" w:rsidP="008F0AA6">
      <w:pPr>
        <w:pStyle w:val="Bibliography"/>
        <w:rPr>
          <w:rFonts w:cs="Times New Roman"/>
        </w:rPr>
      </w:pPr>
      <w:r w:rsidRPr="008F0AA6">
        <w:rPr>
          <w:rFonts w:cs="Times New Roman"/>
        </w:rPr>
        <w:t xml:space="preserve">US DOE SSL. (2017a). </w:t>
      </w:r>
      <w:r w:rsidRPr="008F0AA6">
        <w:rPr>
          <w:rFonts w:cs="Times New Roman"/>
          <w:i/>
          <w:iCs/>
        </w:rPr>
        <w:t>Solid-State Lighting 2017 Suggested Research Topics</w:t>
      </w:r>
      <w:r w:rsidRPr="008F0AA6">
        <w:rPr>
          <w:rFonts w:cs="Times New Roman"/>
        </w:rPr>
        <w:t xml:space="preserve"> (p. 22).</w:t>
      </w:r>
    </w:p>
    <w:p w14:paraId="38BA77A4" w14:textId="77777777" w:rsidR="005B5BA6" w:rsidRPr="008F0AA6" w:rsidRDefault="005B5BA6" w:rsidP="008F0AA6">
      <w:pPr>
        <w:pStyle w:val="Bibliography"/>
        <w:rPr>
          <w:rFonts w:cs="Times New Roman"/>
        </w:rPr>
      </w:pPr>
      <w:r w:rsidRPr="008F0AA6">
        <w:rPr>
          <w:rFonts w:cs="Times New Roman"/>
        </w:rPr>
        <w:t xml:space="preserve">US DOE SSL. (2017b). </w:t>
      </w:r>
      <w:r w:rsidRPr="008F0AA6">
        <w:rPr>
          <w:rFonts w:cs="Times New Roman"/>
          <w:i/>
          <w:iCs/>
        </w:rPr>
        <w:t>Solid-State Lighting 2017 Suggested Research Topics Supplement: Technology and Market Context</w:t>
      </w:r>
      <w:r w:rsidRPr="008F0AA6">
        <w:rPr>
          <w:rFonts w:cs="Times New Roman"/>
        </w:rPr>
        <w:t>. Retrieved from https://www.energy.gov/sites/prod/files/2017/09/f37/ssl_supplement_suggested-topics_sep2017_0.pdf</w:t>
      </w:r>
    </w:p>
    <w:p w14:paraId="648CA186" w14:textId="77777777" w:rsidR="005B5BA6" w:rsidRPr="008F0AA6" w:rsidRDefault="005B5BA6" w:rsidP="008F0AA6">
      <w:pPr>
        <w:pStyle w:val="Bibliography"/>
        <w:rPr>
          <w:rFonts w:cs="Times New Roman"/>
        </w:rPr>
      </w:pPr>
      <w:r w:rsidRPr="008F0AA6">
        <w:rPr>
          <w:rFonts w:cs="Times New Roman"/>
        </w:rPr>
        <w:t xml:space="preserve">VITO. (2015, October 31). </w:t>
      </w:r>
      <w:r w:rsidRPr="008F0AA6">
        <w:rPr>
          <w:rFonts w:cs="Times New Roman"/>
          <w:i/>
          <w:iCs/>
        </w:rPr>
        <w:t>Preparatory Study on Light Sources for Ecodesign and/or Energy Labelling Requirements</w:t>
      </w:r>
      <w:r w:rsidRPr="008F0AA6">
        <w:rPr>
          <w:rFonts w:cs="Times New Roman"/>
        </w:rPr>
        <w:t>.</w:t>
      </w:r>
    </w:p>
    <w:p w14:paraId="021D6E72" w14:textId="77777777" w:rsidR="005B5BA6" w:rsidRPr="008F0AA6" w:rsidRDefault="005B5BA6" w:rsidP="008F0AA6">
      <w:pPr>
        <w:pStyle w:val="Bibliography"/>
        <w:rPr>
          <w:rFonts w:cs="Times New Roman"/>
        </w:rPr>
      </w:pPr>
      <w:r w:rsidRPr="008F0AA6">
        <w:rPr>
          <w:rFonts w:cs="Times New Roman"/>
        </w:rPr>
        <w:t xml:space="preserve">Weisbuch, C. (2018). Historical perspective on the physics of artificial lighting. </w:t>
      </w:r>
      <w:r w:rsidRPr="008F0AA6">
        <w:rPr>
          <w:rFonts w:cs="Times New Roman"/>
          <w:i/>
          <w:iCs/>
        </w:rPr>
        <w:t>Comptes Rendus Physique</w:t>
      </w:r>
      <w:r w:rsidRPr="008F0AA6">
        <w:rPr>
          <w:rFonts w:cs="Times New Roman"/>
        </w:rPr>
        <w:t xml:space="preserve">, </w:t>
      </w:r>
      <w:r w:rsidRPr="008F0AA6">
        <w:rPr>
          <w:rFonts w:cs="Times New Roman"/>
          <w:i/>
          <w:iCs/>
        </w:rPr>
        <w:t>19</w:t>
      </w:r>
      <w:r w:rsidRPr="008F0AA6">
        <w:rPr>
          <w:rFonts w:cs="Times New Roman"/>
        </w:rPr>
        <w:t>(3), 89–112. https://doi.org/10.1016/j.crhy.2018.03.001</w:t>
      </w:r>
    </w:p>
    <w:p w14:paraId="105F532F" w14:textId="55444B09" w:rsidR="00DC6459" w:rsidRPr="00F243F4" w:rsidRDefault="00DC6459" w:rsidP="00F243F4">
      <w:pPr>
        <w:ind w:left="540" w:hanging="540"/>
      </w:pPr>
      <w:r>
        <w:fldChar w:fldCharType="end"/>
      </w:r>
    </w:p>
    <w:p w14:paraId="02EABFF3" w14:textId="4F1BDBCA" w:rsidR="006745FF" w:rsidRPr="003A0234" w:rsidRDefault="006745FF" w:rsidP="003A0234">
      <w:pPr>
        <w:pStyle w:val="Heading1"/>
      </w:pPr>
      <w:bookmarkStart w:id="134" w:name="_Ref536641216"/>
      <w:bookmarkStart w:id="135" w:name="_Toc44585096"/>
      <w:r w:rsidRPr="00BB79D6">
        <w:t>Glossary</w:t>
      </w:r>
      <w:bookmarkEnd w:id="134"/>
      <w:bookmarkEnd w:id="135"/>
    </w:p>
    <w:p w14:paraId="02D27B4A" w14:textId="77777777" w:rsidR="006745FF" w:rsidRPr="00BB79D6" w:rsidRDefault="006745FF" w:rsidP="00996E91">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996E91">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996E91">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32322035" w:rsidR="006745FF" w:rsidRDefault="006745FF" w:rsidP="00996E91">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996E91">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996E91">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996E91">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996E91">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996E91">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996E91">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40F3C0D9" w14:textId="49543D76" w:rsidR="006745FF" w:rsidRDefault="006745FF" w:rsidP="00996E91">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996E91">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996E91">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996E91">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996E91">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996E91">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20BEFD1C" w:rsidR="006745FF" w:rsidRDefault="006745FF" w:rsidP="00996E91">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996E91">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996E91">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996E91">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996E91">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996E91">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996E91">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996E91">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996E91">
      <w:r w:rsidRPr="00BB79D6">
        <w:rPr>
          <w:b/>
        </w:rPr>
        <w:t>PPB/ Parts per Billion</w:t>
      </w:r>
      <w:r w:rsidRPr="00BB79D6">
        <w:t xml:space="preserve"> – a measure of concentration for atmospheric gases. 10 million PPB = 1%.</w:t>
      </w:r>
    </w:p>
    <w:p w14:paraId="78DB05A8" w14:textId="311EEF51" w:rsidR="006745FF" w:rsidRDefault="006745FF" w:rsidP="00996E91">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996E91">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996E91">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4F88938B" w:rsidR="006745FF" w:rsidRDefault="006745FF" w:rsidP="00996E91">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013DD235" w14:textId="2BF29EE4" w:rsidR="00D25FC7" w:rsidRPr="00D25FC7" w:rsidRDefault="001759D2" w:rsidP="00996E91">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6D9A50A" w14:textId="7CBFC779" w:rsidR="006745FF" w:rsidRPr="00BB79D6" w:rsidRDefault="006745FF" w:rsidP="00996E91">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996E91">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EB247F">
      <w:r w:rsidRPr="00BB79D6">
        <w:rPr>
          <w:b/>
        </w:rPr>
        <w:t>TWh/ Terawatt-hour</w:t>
      </w:r>
      <w:r w:rsidRPr="00BB79D6">
        <w:t xml:space="preserve"> – A unit of energy equal to 1 billion kilowatt-hours</w:t>
      </w:r>
    </w:p>
    <w:p w14:paraId="60456A7A" w14:textId="77777777" w:rsidR="007E2467" w:rsidRDefault="007E2467"/>
    <w:sectPr w:rsidR="007E24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47672" w14:textId="77777777" w:rsidR="00444FB8" w:rsidRDefault="00444FB8">
      <w:pPr>
        <w:spacing w:after="0" w:line="240" w:lineRule="auto"/>
      </w:pPr>
      <w:r>
        <w:separator/>
      </w:r>
    </w:p>
  </w:endnote>
  <w:endnote w:type="continuationSeparator" w:id="0">
    <w:p w14:paraId="1B332762" w14:textId="77777777" w:rsidR="00444FB8" w:rsidRDefault="00444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Times New Roman">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95FF" w14:textId="77777777" w:rsidR="00601915" w:rsidRPr="00F26176" w:rsidRDefault="00601915"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F5811" w14:textId="77777777" w:rsidR="00444FB8" w:rsidRDefault="00444FB8">
      <w:pPr>
        <w:spacing w:after="0" w:line="240" w:lineRule="auto"/>
      </w:pPr>
      <w:r>
        <w:separator/>
      </w:r>
    </w:p>
  </w:footnote>
  <w:footnote w:type="continuationSeparator" w:id="0">
    <w:p w14:paraId="70DB82D3" w14:textId="77777777" w:rsidR="00444FB8" w:rsidRDefault="00444FB8">
      <w:pPr>
        <w:spacing w:after="0" w:line="240" w:lineRule="auto"/>
      </w:pPr>
      <w:r>
        <w:continuationSeparator/>
      </w:r>
    </w:p>
  </w:footnote>
  <w:footnote w:id="1">
    <w:p w14:paraId="49E9DDE6" w14:textId="77777777" w:rsidR="00601915" w:rsidRDefault="00601915" w:rsidP="000E277C">
      <w:pPr>
        <w:pStyle w:val="FootnoteText"/>
      </w:pPr>
      <w:r>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2">
    <w:p w14:paraId="360BEE6A" w14:textId="77777777" w:rsidR="00601915" w:rsidRPr="00F678E9" w:rsidRDefault="00601915" w:rsidP="00381511">
      <w:pPr>
        <w:pStyle w:val="FootnoteText"/>
      </w:pPr>
      <w:r w:rsidRPr="00B532A7">
        <w:rPr>
          <w:rStyle w:val="FootnoteReference"/>
        </w:rPr>
        <w:footnoteRef/>
      </w:r>
      <w:r>
        <w:t xml:space="preserve"> </w:t>
      </w:r>
      <w:r>
        <w:fldChar w:fldCharType="begin"/>
      </w:r>
      <w:r>
        <w:instrText xml:space="preserve"> ADDIN ZOTERO_ITEM CSL_CITATION {"citationID":"1alitrj88k","properties":{"custom":"IEA 2006 Light's Labour's Lost.","formattedCitation":"IEA 2006 Light's Labour's Lost.","plainCitation":"IEA 2006 Light's Labour's Lost.","noteIndex":15},"citationItems":[{"id":"3pZClJMl/2uwEGfGJ","uris":["http://zotero.org/groups/277937/items/NBQQNQ4J"],"uri":["http://zotero.org/groups/277937/items/NBQQNQ4J"],"itemData":{"id":4580,"type":"article","title":"IEA 2006 Light's labour's lost - Policies for energy-efficient lighting","URL":"https://www.iea.org/publications/freepublications/publication/light2006.pdf","accessed":{"date-parts":[["2016",5,4]]}}}],"schema":"https://github.com/citation-style-language/schema/raw/master/csl-citation.json"} </w:instrText>
      </w:r>
      <w:r>
        <w:fldChar w:fldCharType="separate"/>
      </w:r>
      <w:r w:rsidRPr="00F678E9">
        <w:rPr>
          <w:rFonts w:ascii="Calibri" w:hAnsi="Calibri"/>
        </w:rPr>
        <w:t>IEA 2006 Light's Labour's Lost.</w:t>
      </w:r>
      <w:r>
        <w:fldChar w:fldCharType="end"/>
      </w:r>
    </w:p>
  </w:footnote>
  <w:footnote w:id="3">
    <w:p w14:paraId="1846A2A2" w14:textId="77777777" w:rsidR="00601915" w:rsidRDefault="00601915"/>
    <w:p w14:paraId="0E296977" w14:textId="77777777" w:rsidR="00601915" w:rsidRDefault="00601915"/>
  </w:footnote>
  <w:footnote w:id="4">
    <w:p w14:paraId="68D9E662" w14:textId="77777777" w:rsidR="00601915" w:rsidRDefault="00601915"/>
    <w:p w14:paraId="65BFBFC3" w14:textId="77777777" w:rsidR="00601915" w:rsidRDefault="00601915"/>
  </w:footnote>
  <w:footnote w:id="5">
    <w:p w14:paraId="0A682D06" w14:textId="77777777" w:rsidR="00601915" w:rsidRDefault="00601915"/>
    <w:p w14:paraId="082C8B43" w14:textId="77777777" w:rsidR="00601915" w:rsidRDefault="00601915"/>
  </w:footnote>
  <w:footnote w:id="6">
    <w:p w14:paraId="30F13975" w14:textId="77777777" w:rsidR="00601915" w:rsidRPr="003568C4" w:rsidRDefault="00601915" w:rsidP="007D030E">
      <w:pPr>
        <w:pStyle w:val="FootnoteText"/>
      </w:pPr>
      <w:r w:rsidRPr="00B532A7">
        <w:rPr>
          <w:rStyle w:val="FootnoteReference"/>
        </w:rPr>
        <w:footnoteRef/>
      </w:r>
      <w:r w:rsidRPr="003568C4">
        <w:t xml:space="preserve"> </w:t>
      </w:r>
      <w:r>
        <w:fldChar w:fldCharType="begin"/>
      </w:r>
      <w:r>
        <w:instrText xml:space="preserve"> ADDIN ZOTERO_ITEM CSL_CITATION {"citationID":"B3JOqOSX","properties":{"formattedCitation":"(\\uc0\\u8220{}Homedepot Lighting Facts - Bulb Comparison Chart,\\uc0\\u8221{} n.d.; {\\i{}IEA 2006 Light\\uc0\\u8217{}s labour\\uc0\\u8217{}s lost - Policies for energy-efficient lighting}, n.d.; {\\i{}McKinsey 2012 Lighting_the_way_Perspectives_on_global_lighting_market_2012.pdf}, n.d.; \\uc0\\u8220{}PremiumLight - Different bulb types,\\uc0\\u8221{} n.d.; {\\i{}US DOE 2014 Multi-Year Program Plan (Updated May 2014)}, n.d.)","plainCitation":"(“Homedepot Lighting Facts - Bulb Comparison Chart,” n.d.; IEA 2006 Light’s labour’s lost - Policies for energy-efficient lighting, n.d.; McKinsey 2012 Lighting_the_way_Perspectives_on_global_lighting_market_2012.pdf, n.d.; “PremiumLight - Different bulb types,” n.d.; US DOE 2014 Multi-Year Program Plan (Updated May 2014), n.d.)","noteIndex":20},"citationItems":[{"id":"3pZClJMl/z4kdjaRR","uris":["http://zotero.org/groups/277937/items/33Z54G3A"],"uri":["http://zotero.org/groups/277937/items/33Z54G3A"],"itemData":{"id":4604,"type":"webpage","title":"Homedepot Lighting Facts - Bulb Comparison Chart","container-title":"Homedepot Bulb Comparison","URL":"http://ext.homedepot.com/shopping-tools/light-bulbs/bulbcomparison.html","accessed":{"date-parts":[["2016",6,7]]}},"label":"page"},{"id":"3pZClJMl/2uwEGfGJ","uris":["http://zotero.org/groups/277937/items/NBQQNQ4J"],"uri":["http://zotero.org/groups/277937/items/NBQQNQ4J"],"itemData":{"id":4580,"type":"article","title":"IEA 2006 Light's labour's lost - Policies for energy-efficient lighting","URL":"https://www.iea.org/publications/freepublications/publication/light2006.pdf","accessed":{"date-parts":[["2016",5,4]]}},"label":"page"},{"id":"3pZClJMl/oYkxomg6","uris":["http://zotero.org/groups/277937/items/DFXDFVSJ"],"uri":["http://zotero.org/groups/277937/items/DFXDFVSJ"],"itemData":{"id":4579,"type":"article","title":"McKinsey 2012 Lighting_the_way_Perspectives_on_global_lighting_market_2012.pdf","URL":"https://www.mckinsey.com/~/media/McKinsey/dotcom/client_service/Automotive%20and%20Assembly/Lighting_the_way_Perspectives_on_global_lighting_market_2012.ashx","accessed":{"date-parts":[["2016",5,11]]}},"label":"page"},{"id":"3pZClJMl/aK5XBMFr","uris":["http://zotero.org/groups/277937/items/M8RXGVCF"],"uri":["http://zotero.org/groups/277937/items/M8RXGVCF"],"itemData":{"id":4605,"type":"webpage","title":"PremiumLight - Different bulb types","URL":"http://www.premiumlight.eu/index.php?page=guide-common-lamp-types-6#h20","accessed":{"date-parts":[["2016",6,7]]}},"label":"page"},{"id":"3pZClJMl/PRkG7cnN","uris":["http://zotero.org/groups/277937/items/NZD3UZSK"],"uri":["http://zotero.org/groups/277937/items/NZD3UZSK"],"itemData":{"id":4578,"type":"article","title":"US DOE 2014 Multi-Year Program Plan (Updated May 2014)","URL":"http://apps1.eere.energy.gov/buildings/publications/pdfs/ssl/ssl_mypp2014_web.pdf","accessed":{"date-parts":[["2016",5,6]]}},"label":"page"}],"schema":"https://github.com/citation-style-language/schema/raw/master/csl-citation.json"} </w:instrText>
      </w:r>
      <w:r>
        <w:fldChar w:fldCharType="separate"/>
      </w:r>
      <w:r w:rsidRPr="004A4058">
        <w:rPr>
          <w:rFonts w:ascii="Calibri" w:hAnsi="Calibri" w:cs="Calibri"/>
          <w:szCs w:val="24"/>
        </w:rPr>
        <w:t xml:space="preserve">(“Homedepot Lighting Facts - Bulb Comparison Chart,” n.d.; </w:t>
      </w:r>
      <w:r w:rsidRPr="004A4058">
        <w:rPr>
          <w:rFonts w:ascii="Calibri" w:hAnsi="Calibri" w:cs="Calibri"/>
          <w:i/>
          <w:iCs/>
          <w:szCs w:val="24"/>
        </w:rPr>
        <w:t>IEA 2006 Light’s labour’s lost - Policies for energy-efficient lighting</w:t>
      </w:r>
      <w:r w:rsidRPr="004A4058">
        <w:rPr>
          <w:rFonts w:ascii="Calibri" w:hAnsi="Calibri" w:cs="Calibri"/>
          <w:szCs w:val="24"/>
        </w:rPr>
        <w:t xml:space="preserve">, n.d.; </w:t>
      </w:r>
      <w:r w:rsidRPr="004A4058">
        <w:rPr>
          <w:rFonts w:ascii="Calibri" w:hAnsi="Calibri" w:cs="Calibri"/>
          <w:i/>
          <w:iCs/>
          <w:szCs w:val="24"/>
        </w:rPr>
        <w:t>McKinsey 2012 Lighting_the_way_Perspectives_on_global_lighting_market_2012.pdf</w:t>
      </w:r>
      <w:r w:rsidRPr="004A4058">
        <w:rPr>
          <w:rFonts w:ascii="Calibri" w:hAnsi="Calibri" w:cs="Calibri"/>
          <w:szCs w:val="24"/>
        </w:rPr>
        <w:t xml:space="preserve">, n.d.; “PremiumLight - Different bulb types,” n.d.; </w:t>
      </w:r>
      <w:r w:rsidRPr="004A4058">
        <w:rPr>
          <w:rFonts w:ascii="Calibri" w:hAnsi="Calibri" w:cs="Calibri"/>
          <w:i/>
          <w:iCs/>
          <w:szCs w:val="24"/>
        </w:rPr>
        <w:t>US DOE 2014 Multi-Year Program Plan (Updated May 2014)</w:t>
      </w:r>
      <w:r w:rsidRPr="004A4058">
        <w:rPr>
          <w:rFonts w:ascii="Calibri" w:hAnsi="Calibri" w:cs="Calibri"/>
          <w:szCs w:val="24"/>
        </w:rPr>
        <w:t>, n.d.)</w:t>
      </w:r>
      <w:r>
        <w:fldChar w:fldCharType="end"/>
      </w:r>
    </w:p>
  </w:footnote>
  <w:footnote w:id="7">
    <w:p w14:paraId="31361984" w14:textId="77777777" w:rsidR="00601915" w:rsidRPr="00CE5D5B" w:rsidRDefault="00601915" w:rsidP="007D030E">
      <w:pPr>
        <w:pStyle w:val="FootnoteText"/>
        <w:rPr>
          <w:lang w:val="fr-FR"/>
        </w:rPr>
      </w:pPr>
      <w:r w:rsidRPr="00B532A7">
        <w:rPr>
          <w:rStyle w:val="FootnoteReference"/>
        </w:rPr>
        <w:footnoteRef/>
      </w:r>
      <w:r w:rsidRPr="00CE5D5B">
        <w:rPr>
          <w:lang w:val="fr-FR"/>
        </w:rPr>
        <w:t xml:space="preserve"> </w:t>
      </w:r>
      <w:r>
        <w:fldChar w:fldCharType="begin"/>
      </w:r>
      <w:r>
        <w:rPr>
          <w:lang w:val="fr-FR"/>
        </w:rPr>
        <w:instrText xml:space="preserve"> ADDIN ZOTERO_ITEM CSL_CITATION {"citationID":"1hnepr6m2g","properties":{"custom":"Kitsinelis S. (2011) Light Sources.","formattedCitation":"Kitsinelis S. (2011) Light Sources.","plainCitation":"Kitsinelis S. (2011) Light Sources.","noteIndex":21},"citationItems":[{"id":"3pZClJMl/2zwF3SMa","uris":["http://zotero.org/groups/277937/items/UNEG6KVA"],"uri":["http://zotero.org/groups/277937/items/UNEG6KVA"],"itemData":{"id":15326,"type":"book","title":"Light sources","author":[{"family":"Kitsinelis","given":"Spiros"}],"issued":{"date-parts":[["2011"]]}}}],"schema":"https://github.com/citation-style-language/schema/raw/master/csl-citation.json"} </w:instrText>
      </w:r>
      <w:r>
        <w:fldChar w:fldCharType="separate"/>
      </w:r>
      <w:r w:rsidRPr="00CE5D5B">
        <w:rPr>
          <w:rFonts w:ascii="Calibri" w:hAnsi="Calibri"/>
          <w:lang w:val="fr-FR"/>
        </w:rPr>
        <w:t>Kitsinelis S. (2011) Light Sources.</w:t>
      </w:r>
      <w:r>
        <w:fldChar w:fldCharType="end"/>
      </w:r>
    </w:p>
  </w:footnote>
  <w:footnote w:id="8">
    <w:p w14:paraId="6AD3AFB0" w14:textId="77777777" w:rsidR="00601915" w:rsidRPr="0002135A" w:rsidRDefault="00601915" w:rsidP="007D030E">
      <w:pPr>
        <w:pStyle w:val="FootnoteText"/>
      </w:pPr>
      <w:r w:rsidRPr="00B532A7">
        <w:rPr>
          <w:rStyle w:val="FootnoteReference"/>
        </w:rPr>
        <w:footnoteRef/>
      </w:r>
      <w:r>
        <w:t xml:space="preserve"> </w:t>
      </w:r>
      <w:r>
        <w:fldChar w:fldCharType="begin"/>
      </w:r>
      <w:r>
        <w:instrText xml:space="preserve"> ADDIN ZOTERO_ITEM CSL_CITATION {"citationID":"UFAxql5q","properties":{"formattedCitation":"({\\i{}US DOE 2015 Solid-state lighting R&amp;D Plan}, n.d.)","plainCitation":"(US DOE 2015 Solid-state lighting R&amp;D Plan, n.d.)","noteIndex":23},"citationItems":[{"id":"3pZClJMl/YbGMdskJ","uris":["http://zotero.org/groups/277937/items/U5ZGVWWC"],"uri":["http://zotero.org/groups/277937/items/U5ZGVWWC"],"itemData":{"id":4425,"type":"article","title":"US DOE 2015 Solid-state lighting R&amp;D Plan","URL":"http://energy.gov/sites/prod/files/2015/06/f22/ssl_rd-plan_may2015_0.pdf","accessed":{"date-parts":[["2016",5,14]]}}}],"schema":"https://github.com/citation-style-language/schema/raw/master/csl-citation.json"} </w:instrText>
      </w:r>
      <w:r>
        <w:fldChar w:fldCharType="separate"/>
      </w:r>
      <w:r w:rsidRPr="004A4058">
        <w:rPr>
          <w:rFonts w:ascii="Calibri" w:hAnsi="Calibri" w:cs="Calibri"/>
          <w:szCs w:val="24"/>
        </w:rPr>
        <w:t>(</w:t>
      </w:r>
      <w:r w:rsidRPr="004A4058">
        <w:rPr>
          <w:rFonts w:ascii="Calibri" w:hAnsi="Calibri" w:cs="Calibri"/>
          <w:i/>
          <w:iCs/>
          <w:szCs w:val="24"/>
        </w:rPr>
        <w:t>US DOE 2015 Solid-state lighting R&amp;D Plan</w:t>
      </w:r>
      <w:r w:rsidRPr="004A4058">
        <w:rPr>
          <w:rFonts w:ascii="Calibri" w:hAnsi="Calibri" w:cs="Calibri"/>
          <w:szCs w:val="24"/>
        </w:rPr>
        <w:t>, n.d.)</w:t>
      </w:r>
      <w:r>
        <w:fldChar w:fldCharType="end"/>
      </w:r>
      <w:r>
        <w:t xml:space="preserve">, </w:t>
      </w:r>
      <w:r w:rsidRPr="00B532A7">
        <w:t>original source P. Smallwood, “How big is the LED lighting market going to get?”, in Strategies in Light Conference, Las Vegas, February 25, 2015.</w:t>
      </w:r>
    </w:p>
  </w:footnote>
  <w:footnote w:id="9">
    <w:p w14:paraId="7BC37965" w14:textId="77777777" w:rsidR="00601915" w:rsidRPr="00A75CCA" w:rsidRDefault="00601915" w:rsidP="007D030E">
      <w:pPr>
        <w:pStyle w:val="FootnoteText"/>
      </w:pPr>
      <w:r w:rsidRPr="00B532A7">
        <w:rPr>
          <w:rStyle w:val="FootnoteReference"/>
        </w:rPr>
        <w:footnoteRef/>
      </w:r>
      <w:r>
        <w:t xml:space="preserve"> </w:t>
      </w:r>
      <w:r>
        <w:fldChar w:fldCharType="begin"/>
      </w:r>
      <w:r>
        <w:instrText xml:space="preserve"> ADDIN ZOTERO_ITEM CSL_CITATION {"citationID":"5vTIeI9V","properties":{"formattedCitation":"({\\i{}US DOE / Navigant Consulting 2012 2010 US Lighting Market Characterization}, n.d.)","plainCitation":"(US DOE / Navigant Consulting 2012 2010 US Lighting Market Characterization, n.d.)","noteIndex":24},"citationItems":[{"id":"3pZClJMl/4y89Onpb","uris":["http://zotero.org/groups/277937/items/KIW8F59T"],"uri":["http://zotero.org/groups/277937/items/KIW8F59T"],"itemData":{"id":4614,"type":"article","title":"US DOE / Navigant Consulting 2012 2010 US Lighting Market Characterization","URL":"http://apps1.eere.energy.gov/buildings/publications/pdfs/ssl/2010-lmc-final-jan-2012.pdf","accessed":{"date-parts":[["2016",6,9]]}}}],"schema":"https://github.com/citation-style-language/schema/raw/master/csl-citation.json"} </w:instrText>
      </w:r>
      <w:r>
        <w:fldChar w:fldCharType="separate"/>
      </w:r>
      <w:r w:rsidRPr="004A4058">
        <w:rPr>
          <w:rFonts w:ascii="Calibri" w:hAnsi="Calibri" w:cs="Calibri"/>
          <w:szCs w:val="24"/>
        </w:rPr>
        <w:t>(</w:t>
      </w:r>
      <w:r w:rsidRPr="004A4058">
        <w:rPr>
          <w:rFonts w:ascii="Calibri" w:hAnsi="Calibri" w:cs="Calibri"/>
          <w:i/>
          <w:iCs/>
          <w:szCs w:val="24"/>
        </w:rPr>
        <w:t>US DOE / Navigant Consulting 2012 2010 US Lighting Market Characterization</w:t>
      </w:r>
      <w:r w:rsidRPr="004A4058">
        <w:rPr>
          <w:rFonts w:ascii="Calibri" w:hAnsi="Calibri" w:cs="Calibri"/>
          <w:szCs w:val="24"/>
        </w:rPr>
        <w:t>, n.d.)</w:t>
      </w:r>
      <w:r>
        <w:fldChar w:fldCharType="end"/>
      </w:r>
    </w:p>
  </w:footnote>
  <w:footnote w:id="10">
    <w:p w14:paraId="72AA3722" w14:textId="77777777" w:rsidR="00601915" w:rsidRDefault="00601915" w:rsidP="007D030E">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 w:id="11">
    <w:p w14:paraId="39F32DF1" w14:textId="77777777" w:rsidR="00601915" w:rsidRDefault="00601915" w:rsidP="00A94BBE">
      <w:pPr>
        <w:pStyle w:val="FootnoteText"/>
      </w:pPr>
      <w:r>
        <w:rPr>
          <w:rStyle w:val="FootnoteReference"/>
        </w:rPr>
        <w:footnoteRef/>
      </w:r>
      <w:r>
        <w:t xml:space="preserve"> This can be interpreted as a single building with multiple efficiency technologies.</w:t>
      </w:r>
    </w:p>
  </w:footnote>
  <w:footnote w:id="12">
    <w:p w14:paraId="4700DC3C" w14:textId="77777777" w:rsidR="00601915" w:rsidRDefault="00601915" w:rsidP="00A94BBE">
      <w:pPr>
        <w:pStyle w:val="FootnoteText"/>
      </w:pPr>
      <w:r>
        <w:rPr>
          <w:rStyle w:val="FootnoteReference"/>
        </w:rPr>
        <w:footnoteRef/>
      </w:r>
      <w:r>
        <w:t xml:space="preserve"> Some solutions such as Electric Vehicles and High-Speed Rail increase the demand for electricity and reduce the demand for fuel.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4" w15:restartNumberingAfterBreak="0">
    <w:nsid w:val="06DD06E3"/>
    <w:multiLevelType w:val="hybridMultilevel"/>
    <w:tmpl w:val="D2DE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42566F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9" w15:restartNumberingAfterBreak="0">
    <w:nsid w:val="156B6DB6"/>
    <w:multiLevelType w:val="hybridMultilevel"/>
    <w:tmpl w:val="BCB29082"/>
    <w:lvl w:ilvl="0" w:tplc="44CA885C">
      <w:start w:val="1"/>
      <w:numFmt w:val="bullet"/>
      <w:lvlText w:val=""/>
      <w:lvlJc w:val="left"/>
      <w:pPr>
        <w:ind w:left="1070" w:hanging="360"/>
      </w:pPr>
      <w:rPr>
        <w:rFonts w:ascii="Symbol" w:eastAsiaTheme="minorEastAsia" w:hAnsi="Symbol" w:cstheme="minorBidi"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0"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56B59"/>
    <w:multiLevelType w:val="hybridMultilevel"/>
    <w:tmpl w:val="CB109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3" w15:restartNumberingAfterBreak="0">
    <w:nsid w:val="221373D0"/>
    <w:multiLevelType w:val="hybridMultilevel"/>
    <w:tmpl w:val="67603802"/>
    <w:lvl w:ilvl="0" w:tplc="FAC28EDA">
      <w:start w:val="1"/>
      <w:numFmt w:val="bullet"/>
      <w:lvlText w:val=""/>
      <w:lvlJc w:val="left"/>
      <w:pPr>
        <w:ind w:left="720" w:hanging="360"/>
      </w:pPr>
      <w:rPr>
        <w:rFonts w:ascii="Symbol" w:hAnsi="Symbol" w:hint="default"/>
      </w:rPr>
    </w:lvl>
    <w:lvl w:ilvl="1" w:tplc="D59AF804">
      <w:start w:val="1"/>
      <w:numFmt w:val="bullet"/>
      <w:lvlText w:val="o"/>
      <w:lvlJc w:val="left"/>
      <w:pPr>
        <w:ind w:left="1440" w:hanging="360"/>
      </w:pPr>
      <w:rPr>
        <w:rFonts w:ascii="Courier New" w:hAnsi="Courier New" w:hint="default"/>
      </w:rPr>
    </w:lvl>
    <w:lvl w:ilvl="2" w:tplc="5256FCB0">
      <w:start w:val="1"/>
      <w:numFmt w:val="bullet"/>
      <w:lvlText w:val=""/>
      <w:lvlJc w:val="left"/>
      <w:pPr>
        <w:ind w:left="2160" w:hanging="360"/>
      </w:pPr>
      <w:rPr>
        <w:rFonts w:ascii="Wingdings" w:hAnsi="Wingdings" w:hint="default"/>
      </w:rPr>
    </w:lvl>
    <w:lvl w:ilvl="3" w:tplc="9FC6D752">
      <w:start w:val="1"/>
      <w:numFmt w:val="bullet"/>
      <w:lvlText w:val=""/>
      <w:lvlJc w:val="left"/>
      <w:pPr>
        <w:ind w:left="2880" w:hanging="360"/>
      </w:pPr>
      <w:rPr>
        <w:rFonts w:ascii="Symbol" w:hAnsi="Symbol" w:hint="default"/>
      </w:rPr>
    </w:lvl>
    <w:lvl w:ilvl="4" w:tplc="E2E28EF8">
      <w:start w:val="1"/>
      <w:numFmt w:val="bullet"/>
      <w:lvlText w:val="o"/>
      <w:lvlJc w:val="left"/>
      <w:pPr>
        <w:ind w:left="3600" w:hanging="360"/>
      </w:pPr>
      <w:rPr>
        <w:rFonts w:ascii="Courier New" w:hAnsi="Courier New" w:hint="default"/>
      </w:rPr>
    </w:lvl>
    <w:lvl w:ilvl="5" w:tplc="6A664024">
      <w:start w:val="1"/>
      <w:numFmt w:val="bullet"/>
      <w:lvlText w:val=""/>
      <w:lvlJc w:val="left"/>
      <w:pPr>
        <w:ind w:left="4320" w:hanging="360"/>
      </w:pPr>
      <w:rPr>
        <w:rFonts w:ascii="Wingdings" w:hAnsi="Wingdings" w:hint="default"/>
      </w:rPr>
    </w:lvl>
    <w:lvl w:ilvl="6" w:tplc="3A6EF3B0">
      <w:start w:val="1"/>
      <w:numFmt w:val="bullet"/>
      <w:lvlText w:val=""/>
      <w:lvlJc w:val="left"/>
      <w:pPr>
        <w:ind w:left="5040" w:hanging="360"/>
      </w:pPr>
      <w:rPr>
        <w:rFonts w:ascii="Symbol" w:hAnsi="Symbol" w:hint="default"/>
      </w:rPr>
    </w:lvl>
    <w:lvl w:ilvl="7" w:tplc="4CC8E248">
      <w:start w:val="1"/>
      <w:numFmt w:val="bullet"/>
      <w:lvlText w:val="o"/>
      <w:lvlJc w:val="left"/>
      <w:pPr>
        <w:ind w:left="5760" w:hanging="360"/>
      </w:pPr>
      <w:rPr>
        <w:rFonts w:ascii="Courier New" w:hAnsi="Courier New" w:hint="default"/>
      </w:rPr>
    </w:lvl>
    <w:lvl w:ilvl="8" w:tplc="743CAD92">
      <w:start w:val="1"/>
      <w:numFmt w:val="bullet"/>
      <w:lvlText w:val=""/>
      <w:lvlJc w:val="left"/>
      <w:pPr>
        <w:ind w:left="6480" w:hanging="360"/>
      </w:pPr>
      <w:rPr>
        <w:rFonts w:ascii="Wingdings" w:hAnsi="Wingdings" w:hint="default"/>
      </w:rPr>
    </w:lvl>
  </w:abstractNum>
  <w:abstractNum w:abstractNumId="14"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60167"/>
    <w:multiLevelType w:val="hybridMultilevel"/>
    <w:tmpl w:val="14EC235E"/>
    <w:lvl w:ilvl="0" w:tplc="558AF5DC">
      <w:start w:val="1"/>
      <w:numFmt w:val="bullet"/>
      <w:lvlText w:val=""/>
      <w:lvlJc w:val="left"/>
      <w:pPr>
        <w:ind w:left="720" w:hanging="360"/>
      </w:pPr>
      <w:rPr>
        <w:rFonts w:ascii="Symbol" w:hAnsi="Symbol" w:hint="default"/>
      </w:rPr>
    </w:lvl>
    <w:lvl w:ilvl="1" w:tplc="9294D4BC">
      <w:start w:val="1"/>
      <w:numFmt w:val="bullet"/>
      <w:lvlText w:val="o"/>
      <w:lvlJc w:val="left"/>
      <w:pPr>
        <w:ind w:left="1440" w:hanging="360"/>
      </w:pPr>
      <w:rPr>
        <w:rFonts w:ascii="Courier New" w:hAnsi="Courier New" w:hint="default"/>
      </w:rPr>
    </w:lvl>
    <w:lvl w:ilvl="2" w:tplc="A9C2071E">
      <w:start w:val="1"/>
      <w:numFmt w:val="bullet"/>
      <w:lvlText w:val=""/>
      <w:lvlJc w:val="left"/>
      <w:pPr>
        <w:ind w:left="2160" w:hanging="360"/>
      </w:pPr>
      <w:rPr>
        <w:rFonts w:ascii="Wingdings" w:hAnsi="Wingdings" w:hint="default"/>
      </w:rPr>
    </w:lvl>
    <w:lvl w:ilvl="3" w:tplc="8842EA06">
      <w:start w:val="1"/>
      <w:numFmt w:val="bullet"/>
      <w:lvlText w:val=""/>
      <w:lvlJc w:val="left"/>
      <w:pPr>
        <w:ind w:left="2880" w:hanging="360"/>
      </w:pPr>
      <w:rPr>
        <w:rFonts w:ascii="Symbol" w:hAnsi="Symbol" w:hint="default"/>
      </w:rPr>
    </w:lvl>
    <w:lvl w:ilvl="4" w:tplc="77F2000E">
      <w:start w:val="1"/>
      <w:numFmt w:val="bullet"/>
      <w:lvlText w:val="o"/>
      <w:lvlJc w:val="left"/>
      <w:pPr>
        <w:ind w:left="3600" w:hanging="360"/>
      </w:pPr>
      <w:rPr>
        <w:rFonts w:ascii="Courier New" w:hAnsi="Courier New" w:hint="default"/>
      </w:rPr>
    </w:lvl>
    <w:lvl w:ilvl="5" w:tplc="53240288">
      <w:start w:val="1"/>
      <w:numFmt w:val="bullet"/>
      <w:lvlText w:val=""/>
      <w:lvlJc w:val="left"/>
      <w:pPr>
        <w:ind w:left="4320" w:hanging="360"/>
      </w:pPr>
      <w:rPr>
        <w:rFonts w:ascii="Wingdings" w:hAnsi="Wingdings" w:hint="default"/>
      </w:rPr>
    </w:lvl>
    <w:lvl w:ilvl="6" w:tplc="995AA9B8">
      <w:start w:val="1"/>
      <w:numFmt w:val="bullet"/>
      <w:lvlText w:val=""/>
      <w:lvlJc w:val="left"/>
      <w:pPr>
        <w:ind w:left="5040" w:hanging="360"/>
      </w:pPr>
      <w:rPr>
        <w:rFonts w:ascii="Symbol" w:hAnsi="Symbol" w:hint="default"/>
      </w:rPr>
    </w:lvl>
    <w:lvl w:ilvl="7" w:tplc="904C3BC8">
      <w:start w:val="1"/>
      <w:numFmt w:val="bullet"/>
      <w:lvlText w:val="o"/>
      <w:lvlJc w:val="left"/>
      <w:pPr>
        <w:ind w:left="5760" w:hanging="360"/>
      </w:pPr>
      <w:rPr>
        <w:rFonts w:ascii="Courier New" w:hAnsi="Courier New" w:hint="default"/>
      </w:rPr>
    </w:lvl>
    <w:lvl w:ilvl="8" w:tplc="E7846F22">
      <w:start w:val="1"/>
      <w:numFmt w:val="bullet"/>
      <w:lvlText w:val=""/>
      <w:lvlJc w:val="left"/>
      <w:pPr>
        <w:ind w:left="6480" w:hanging="360"/>
      </w:pPr>
      <w:rPr>
        <w:rFonts w:ascii="Wingdings" w:hAnsi="Wingdings" w:hint="default"/>
      </w:rPr>
    </w:lvl>
  </w:abstractNum>
  <w:abstractNum w:abstractNumId="16"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7E426E"/>
    <w:multiLevelType w:val="hybridMultilevel"/>
    <w:tmpl w:val="6F7EB872"/>
    <w:lvl w:ilvl="0" w:tplc="85302C3C">
      <w:start w:val="1"/>
      <w:numFmt w:val="bullet"/>
      <w:lvlText w:val=""/>
      <w:lvlJc w:val="left"/>
      <w:pPr>
        <w:ind w:left="720" w:hanging="360"/>
      </w:pPr>
      <w:rPr>
        <w:rFonts w:ascii="Symbol" w:hAnsi="Symbol" w:hint="default"/>
      </w:rPr>
    </w:lvl>
    <w:lvl w:ilvl="1" w:tplc="68CCF554">
      <w:start w:val="1"/>
      <w:numFmt w:val="bullet"/>
      <w:lvlText w:val="o"/>
      <w:lvlJc w:val="left"/>
      <w:pPr>
        <w:ind w:left="1440" w:hanging="360"/>
      </w:pPr>
      <w:rPr>
        <w:rFonts w:ascii="Courier New" w:hAnsi="Courier New" w:hint="default"/>
      </w:rPr>
    </w:lvl>
    <w:lvl w:ilvl="2" w:tplc="56E04FB8">
      <w:start w:val="1"/>
      <w:numFmt w:val="bullet"/>
      <w:lvlText w:val=""/>
      <w:lvlJc w:val="left"/>
      <w:pPr>
        <w:ind w:left="2160" w:hanging="360"/>
      </w:pPr>
      <w:rPr>
        <w:rFonts w:ascii="Wingdings" w:hAnsi="Wingdings" w:hint="default"/>
      </w:rPr>
    </w:lvl>
    <w:lvl w:ilvl="3" w:tplc="A6A465D8">
      <w:start w:val="1"/>
      <w:numFmt w:val="bullet"/>
      <w:lvlText w:val=""/>
      <w:lvlJc w:val="left"/>
      <w:pPr>
        <w:ind w:left="2880" w:hanging="360"/>
      </w:pPr>
      <w:rPr>
        <w:rFonts w:ascii="Symbol" w:hAnsi="Symbol" w:hint="default"/>
      </w:rPr>
    </w:lvl>
    <w:lvl w:ilvl="4" w:tplc="656AF4D2">
      <w:start w:val="1"/>
      <w:numFmt w:val="bullet"/>
      <w:lvlText w:val="o"/>
      <w:lvlJc w:val="left"/>
      <w:pPr>
        <w:ind w:left="3600" w:hanging="360"/>
      </w:pPr>
      <w:rPr>
        <w:rFonts w:ascii="Courier New" w:hAnsi="Courier New" w:hint="default"/>
      </w:rPr>
    </w:lvl>
    <w:lvl w:ilvl="5" w:tplc="BAA24B62">
      <w:start w:val="1"/>
      <w:numFmt w:val="bullet"/>
      <w:lvlText w:val=""/>
      <w:lvlJc w:val="left"/>
      <w:pPr>
        <w:ind w:left="4320" w:hanging="360"/>
      </w:pPr>
      <w:rPr>
        <w:rFonts w:ascii="Wingdings" w:hAnsi="Wingdings" w:hint="default"/>
      </w:rPr>
    </w:lvl>
    <w:lvl w:ilvl="6" w:tplc="6B8C587C">
      <w:start w:val="1"/>
      <w:numFmt w:val="bullet"/>
      <w:lvlText w:val=""/>
      <w:lvlJc w:val="left"/>
      <w:pPr>
        <w:ind w:left="5040" w:hanging="360"/>
      </w:pPr>
      <w:rPr>
        <w:rFonts w:ascii="Symbol" w:hAnsi="Symbol" w:hint="default"/>
      </w:rPr>
    </w:lvl>
    <w:lvl w:ilvl="7" w:tplc="FF0CF9E8">
      <w:start w:val="1"/>
      <w:numFmt w:val="bullet"/>
      <w:lvlText w:val="o"/>
      <w:lvlJc w:val="left"/>
      <w:pPr>
        <w:ind w:left="5760" w:hanging="360"/>
      </w:pPr>
      <w:rPr>
        <w:rFonts w:ascii="Courier New" w:hAnsi="Courier New" w:hint="default"/>
      </w:rPr>
    </w:lvl>
    <w:lvl w:ilvl="8" w:tplc="D968E95A">
      <w:start w:val="1"/>
      <w:numFmt w:val="bullet"/>
      <w:lvlText w:val=""/>
      <w:lvlJc w:val="left"/>
      <w:pPr>
        <w:ind w:left="6480" w:hanging="360"/>
      </w:pPr>
      <w:rPr>
        <w:rFonts w:ascii="Wingdings" w:hAnsi="Wingdings" w:hint="default"/>
      </w:rPr>
    </w:lvl>
  </w:abstractNum>
  <w:abstractNum w:abstractNumId="19" w15:restartNumberingAfterBreak="0">
    <w:nsid w:val="3B5E4AB3"/>
    <w:multiLevelType w:val="multilevel"/>
    <w:tmpl w:val="3EFA5DA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E94073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23"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25" w15:restartNumberingAfterBreak="0">
    <w:nsid w:val="503C636C"/>
    <w:multiLevelType w:val="hybridMultilevel"/>
    <w:tmpl w:val="CA40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4577BB"/>
    <w:multiLevelType w:val="hybridMultilevel"/>
    <w:tmpl w:val="03147364"/>
    <w:lvl w:ilvl="0" w:tplc="2AA68AF6">
      <w:start w:val="1"/>
      <w:numFmt w:val="bullet"/>
      <w:lvlText w:val=""/>
      <w:lvlJc w:val="left"/>
      <w:pPr>
        <w:ind w:left="720" w:hanging="360"/>
      </w:pPr>
      <w:rPr>
        <w:rFonts w:ascii="Symbol" w:hAnsi="Symbol" w:hint="default"/>
      </w:rPr>
    </w:lvl>
    <w:lvl w:ilvl="1" w:tplc="7894608C">
      <w:start w:val="1"/>
      <w:numFmt w:val="bullet"/>
      <w:lvlText w:val="o"/>
      <w:lvlJc w:val="left"/>
      <w:pPr>
        <w:ind w:left="1440" w:hanging="360"/>
      </w:pPr>
      <w:rPr>
        <w:rFonts w:ascii="Courier New" w:hAnsi="Courier New" w:hint="default"/>
      </w:rPr>
    </w:lvl>
    <w:lvl w:ilvl="2" w:tplc="748CBC36">
      <w:start w:val="1"/>
      <w:numFmt w:val="bullet"/>
      <w:lvlText w:val=""/>
      <w:lvlJc w:val="left"/>
      <w:pPr>
        <w:ind w:left="2160" w:hanging="360"/>
      </w:pPr>
      <w:rPr>
        <w:rFonts w:ascii="Wingdings" w:hAnsi="Wingdings" w:hint="default"/>
      </w:rPr>
    </w:lvl>
    <w:lvl w:ilvl="3" w:tplc="E890959A">
      <w:start w:val="1"/>
      <w:numFmt w:val="bullet"/>
      <w:lvlText w:val=""/>
      <w:lvlJc w:val="left"/>
      <w:pPr>
        <w:ind w:left="2880" w:hanging="360"/>
      </w:pPr>
      <w:rPr>
        <w:rFonts w:ascii="Symbol" w:hAnsi="Symbol" w:hint="default"/>
      </w:rPr>
    </w:lvl>
    <w:lvl w:ilvl="4" w:tplc="9E36FA8E">
      <w:start w:val="1"/>
      <w:numFmt w:val="bullet"/>
      <w:lvlText w:val="o"/>
      <w:lvlJc w:val="left"/>
      <w:pPr>
        <w:ind w:left="3600" w:hanging="360"/>
      </w:pPr>
      <w:rPr>
        <w:rFonts w:ascii="Courier New" w:hAnsi="Courier New" w:hint="default"/>
      </w:rPr>
    </w:lvl>
    <w:lvl w:ilvl="5" w:tplc="E744D666">
      <w:start w:val="1"/>
      <w:numFmt w:val="bullet"/>
      <w:lvlText w:val=""/>
      <w:lvlJc w:val="left"/>
      <w:pPr>
        <w:ind w:left="4320" w:hanging="360"/>
      </w:pPr>
      <w:rPr>
        <w:rFonts w:ascii="Wingdings" w:hAnsi="Wingdings" w:hint="default"/>
      </w:rPr>
    </w:lvl>
    <w:lvl w:ilvl="6" w:tplc="930476EE">
      <w:start w:val="1"/>
      <w:numFmt w:val="bullet"/>
      <w:lvlText w:val=""/>
      <w:lvlJc w:val="left"/>
      <w:pPr>
        <w:ind w:left="5040" w:hanging="360"/>
      </w:pPr>
      <w:rPr>
        <w:rFonts w:ascii="Symbol" w:hAnsi="Symbol" w:hint="default"/>
      </w:rPr>
    </w:lvl>
    <w:lvl w:ilvl="7" w:tplc="F648F09E">
      <w:start w:val="1"/>
      <w:numFmt w:val="bullet"/>
      <w:lvlText w:val="o"/>
      <w:lvlJc w:val="left"/>
      <w:pPr>
        <w:ind w:left="5760" w:hanging="360"/>
      </w:pPr>
      <w:rPr>
        <w:rFonts w:ascii="Courier New" w:hAnsi="Courier New" w:hint="default"/>
      </w:rPr>
    </w:lvl>
    <w:lvl w:ilvl="8" w:tplc="A502C3E2">
      <w:start w:val="1"/>
      <w:numFmt w:val="bullet"/>
      <w:lvlText w:val=""/>
      <w:lvlJc w:val="left"/>
      <w:pPr>
        <w:ind w:left="6480" w:hanging="360"/>
      </w:pPr>
      <w:rPr>
        <w:rFonts w:ascii="Wingdings" w:hAnsi="Wingdings" w:hint="default"/>
      </w:rPr>
    </w:lvl>
  </w:abstractNum>
  <w:abstractNum w:abstractNumId="27" w15:restartNumberingAfterBreak="0">
    <w:nsid w:val="5C36457D"/>
    <w:multiLevelType w:val="hybridMultilevel"/>
    <w:tmpl w:val="116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D25A7"/>
    <w:multiLevelType w:val="hybridMultilevel"/>
    <w:tmpl w:val="7BF03AB0"/>
    <w:lvl w:ilvl="0" w:tplc="BCAE0DEA">
      <w:start w:val="1"/>
      <w:numFmt w:val="bullet"/>
      <w:lvlText w:val=""/>
      <w:lvlJc w:val="left"/>
      <w:pPr>
        <w:ind w:left="720" w:hanging="360"/>
      </w:pPr>
      <w:rPr>
        <w:rFonts w:ascii="Symbol" w:hAnsi="Symbol" w:hint="default"/>
      </w:rPr>
    </w:lvl>
    <w:lvl w:ilvl="1" w:tplc="2BDABEC0">
      <w:start w:val="1"/>
      <w:numFmt w:val="bullet"/>
      <w:lvlText w:val="o"/>
      <w:lvlJc w:val="left"/>
      <w:pPr>
        <w:ind w:left="1440" w:hanging="360"/>
      </w:pPr>
      <w:rPr>
        <w:rFonts w:ascii="Courier New" w:hAnsi="Courier New" w:hint="default"/>
      </w:rPr>
    </w:lvl>
    <w:lvl w:ilvl="2" w:tplc="43D6D078">
      <w:start w:val="1"/>
      <w:numFmt w:val="bullet"/>
      <w:lvlText w:val=""/>
      <w:lvlJc w:val="left"/>
      <w:pPr>
        <w:ind w:left="2160" w:hanging="360"/>
      </w:pPr>
      <w:rPr>
        <w:rFonts w:ascii="Wingdings" w:hAnsi="Wingdings" w:hint="default"/>
      </w:rPr>
    </w:lvl>
    <w:lvl w:ilvl="3" w:tplc="0DA6E31E">
      <w:start w:val="1"/>
      <w:numFmt w:val="bullet"/>
      <w:lvlText w:val=""/>
      <w:lvlJc w:val="left"/>
      <w:pPr>
        <w:ind w:left="2880" w:hanging="360"/>
      </w:pPr>
      <w:rPr>
        <w:rFonts w:ascii="Symbol" w:hAnsi="Symbol" w:hint="default"/>
      </w:rPr>
    </w:lvl>
    <w:lvl w:ilvl="4" w:tplc="7C02C880">
      <w:start w:val="1"/>
      <w:numFmt w:val="bullet"/>
      <w:lvlText w:val="o"/>
      <w:lvlJc w:val="left"/>
      <w:pPr>
        <w:ind w:left="3600" w:hanging="360"/>
      </w:pPr>
      <w:rPr>
        <w:rFonts w:ascii="Courier New" w:hAnsi="Courier New" w:hint="default"/>
      </w:rPr>
    </w:lvl>
    <w:lvl w:ilvl="5" w:tplc="64A69742">
      <w:start w:val="1"/>
      <w:numFmt w:val="bullet"/>
      <w:lvlText w:val=""/>
      <w:lvlJc w:val="left"/>
      <w:pPr>
        <w:ind w:left="4320" w:hanging="360"/>
      </w:pPr>
      <w:rPr>
        <w:rFonts w:ascii="Wingdings" w:hAnsi="Wingdings" w:hint="default"/>
      </w:rPr>
    </w:lvl>
    <w:lvl w:ilvl="6" w:tplc="690A2C72">
      <w:start w:val="1"/>
      <w:numFmt w:val="bullet"/>
      <w:lvlText w:val=""/>
      <w:lvlJc w:val="left"/>
      <w:pPr>
        <w:ind w:left="5040" w:hanging="360"/>
      </w:pPr>
      <w:rPr>
        <w:rFonts w:ascii="Symbol" w:hAnsi="Symbol" w:hint="default"/>
      </w:rPr>
    </w:lvl>
    <w:lvl w:ilvl="7" w:tplc="6A20EF10">
      <w:start w:val="1"/>
      <w:numFmt w:val="bullet"/>
      <w:lvlText w:val="o"/>
      <w:lvlJc w:val="left"/>
      <w:pPr>
        <w:ind w:left="5760" w:hanging="360"/>
      </w:pPr>
      <w:rPr>
        <w:rFonts w:ascii="Courier New" w:hAnsi="Courier New" w:hint="default"/>
      </w:rPr>
    </w:lvl>
    <w:lvl w:ilvl="8" w:tplc="DB62D288">
      <w:start w:val="1"/>
      <w:numFmt w:val="bullet"/>
      <w:lvlText w:val=""/>
      <w:lvlJc w:val="left"/>
      <w:pPr>
        <w:ind w:left="6480" w:hanging="360"/>
      </w:pPr>
      <w:rPr>
        <w:rFonts w:ascii="Wingdings" w:hAnsi="Wingdings" w:hint="default"/>
      </w:rPr>
    </w:lvl>
  </w:abstractNum>
  <w:abstractNum w:abstractNumId="29"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31"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1E326D"/>
    <w:multiLevelType w:val="hybridMultilevel"/>
    <w:tmpl w:val="6F324392"/>
    <w:lvl w:ilvl="0" w:tplc="8D348CEE">
      <w:start w:val="1"/>
      <w:numFmt w:val="bullet"/>
      <w:lvlText w:val=""/>
      <w:lvlJc w:val="left"/>
      <w:pPr>
        <w:ind w:left="720" w:hanging="360"/>
      </w:pPr>
      <w:rPr>
        <w:rFonts w:ascii="Symbol" w:hAnsi="Symbol" w:hint="default"/>
      </w:rPr>
    </w:lvl>
    <w:lvl w:ilvl="1" w:tplc="2B02620A">
      <w:start w:val="1"/>
      <w:numFmt w:val="bullet"/>
      <w:lvlText w:val="o"/>
      <w:lvlJc w:val="left"/>
      <w:pPr>
        <w:ind w:left="1440" w:hanging="360"/>
      </w:pPr>
      <w:rPr>
        <w:rFonts w:ascii="Courier New" w:hAnsi="Courier New" w:hint="default"/>
      </w:rPr>
    </w:lvl>
    <w:lvl w:ilvl="2" w:tplc="8B00FDE8">
      <w:start w:val="1"/>
      <w:numFmt w:val="bullet"/>
      <w:lvlText w:val=""/>
      <w:lvlJc w:val="left"/>
      <w:pPr>
        <w:ind w:left="2160" w:hanging="360"/>
      </w:pPr>
      <w:rPr>
        <w:rFonts w:ascii="Wingdings" w:hAnsi="Wingdings" w:hint="default"/>
      </w:rPr>
    </w:lvl>
    <w:lvl w:ilvl="3" w:tplc="48FEC6BA">
      <w:start w:val="1"/>
      <w:numFmt w:val="bullet"/>
      <w:lvlText w:val=""/>
      <w:lvlJc w:val="left"/>
      <w:pPr>
        <w:ind w:left="2880" w:hanging="360"/>
      </w:pPr>
      <w:rPr>
        <w:rFonts w:ascii="Symbol" w:hAnsi="Symbol" w:hint="default"/>
      </w:rPr>
    </w:lvl>
    <w:lvl w:ilvl="4" w:tplc="436281A2">
      <w:start w:val="1"/>
      <w:numFmt w:val="bullet"/>
      <w:lvlText w:val="o"/>
      <w:lvlJc w:val="left"/>
      <w:pPr>
        <w:ind w:left="3600" w:hanging="360"/>
      </w:pPr>
      <w:rPr>
        <w:rFonts w:ascii="Courier New" w:hAnsi="Courier New" w:hint="default"/>
      </w:rPr>
    </w:lvl>
    <w:lvl w:ilvl="5" w:tplc="B5A864D2">
      <w:start w:val="1"/>
      <w:numFmt w:val="bullet"/>
      <w:lvlText w:val=""/>
      <w:lvlJc w:val="left"/>
      <w:pPr>
        <w:ind w:left="4320" w:hanging="360"/>
      </w:pPr>
      <w:rPr>
        <w:rFonts w:ascii="Wingdings" w:hAnsi="Wingdings" w:hint="default"/>
      </w:rPr>
    </w:lvl>
    <w:lvl w:ilvl="6" w:tplc="3FBC6B1C">
      <w:start w:val="1"/>
      <w:numFmt w:val="bullet"/>
      <w:lvlText w:val=""/>
      <w:lvlJc w:val="left"/>
      <w:pPr>
        <w:ind w:left="5040" w:hanging="360"/>
      </w:pPr>
      <w:rPr>
        <w:rFonts w:ascii="Symbol" w:hAnsi="Symbol" w:hint="default"/>
      </w:rPr>
    </w:lvl>
    <w:lvl w:ilvl="7" w:tplc="B0B22810">
      <w:start w:val="1"/>
      <w:numFmt w:val="bullet"/>
      <w:lvlText w:val="o"/>
      <w:lvlJc w:val="left"/>
      <w:pPr>
        <w:ind w:left="5760" w:hanging="360"/>
      </w:pPr>
      <w:rPr>
        <w:rFonts w:ascii="Courier New" w:hAnsi="Courier New" w:hint="default"/>
      </w:rPr>
    </w:lvl>
    <w:lvl w:ilvl="8" w:tplc="6FBA8E4C">
      <w:start w:val="1"/>
      <w:numFmt w:val="bullet"/>
      <w:lvlText w:val=""/>
      <w:lvlJc w:val="left"/>
      <w:pPr>
        <w:ind w:left="6480" w:hanging="360"/>
      </w:pPr>
      <w:rPr>
        <w:rFonts w:ascii="Wingdings" w:hAnsi="Wingdings" w:hint="default"/>
      </w:rPr>
    </w:lvl>
  </w:abstractNum>
  <w:abstractNum w:abstractNumId="34"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36"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24"/>
  </w:num>
  <w:num w:numId="4">
    <w:abstractNumId w:val="6"/>
  </w:num>
  <w:num w:numId="5">
    <w:abstractNumId w:val="35"/>
  </w:num>
  <w:num w:numId="6">
    <w:abstractNumId w:val="22"/>
  </w:num>
  <w:num w:numId="7">
    <w:abstractNumId w:val="30"/>
  </w:num>
  <w:num w:numId="8">
    <w:abstractNumId w:val="3"/>
  </w:num>
  <w:num w:numId="9">
    <w:abstractNumId w:val="7"/>
  </w:num>
  <w:num w:numId="10">
    <w:abstractNumId w:val="21"/>
  </w:num>
  <w:num w:numId="11">
    <w:abstractNumId w:val="17"/>
  </w:num>
  <w:num w:numId="12">
    <w:abstractNumId w:val="29"/>
  </w:num>
  <w:num w:numId="13">
    <w:abstractNumId w:val="10"/>
  </w:num>
  <w:num w:numId="14">
    <w:abstractNumId w:val="14"/>
  </w:num>
  <w:num w:numId="15">
    <w:abstractNumId w:val="2"/>
  </w:num>
  <w:num w:numId="16">
    <w:abstractNumId w:val="5"/>
  </w:num>
  <w:num w:numId="17">
    <w:abstractNumId w:val="31"/>
  </w:num>
  <w:num w:numId="18">
    <w:abstractNumId w:val="34"/>
  </w:num>
  <w:num w:numId="19">
    <w:abstractNumId w:val="32"/>
  </w:num>
  <w:num w:numId="20">
    <w:abstractNumId w:val="16"/>
  </w:num>
  <w:num w:numId="21">
    <w:abstractNumId w:val="7"/>
  </w:num>
  <w:num w:numId="22">
    <w:abstractNumId w:val="7"/>
  </w:num>
  <w:num w:numId="23">
    <w:abstractNumId w:val="12"/>
  </w:num>
  <w:num w:numId="24">
    <w:abstractNumId w:val="19"/>
  </w:num>
  <w:num w:numId="25">
    <w:abstractNumId w:val="23"/>
  </w:num>
  <w:num w:numId="26">
    <w:abstractNumId w:val="20"/>
  </w:num>
  <w:num w:numId="27">
    <w:abstractNumId w:val="20"/>
  </w:num>
  <w:num w:numId="28">
    <w:abstractNumId w:val="20"/>
    <w:lvlOverride w:ilvl="0">
      <w:startOverride w:val="2"/>
    </w:lvlOverride>
    <w:lvlOverride w:ilvl="1">
      <w:startOverride w:val="1"/>
    </w:lvlOverride>
  </w:num>
  <w:num w:numId="29">
    <w:abstractNumId w:val="20"/>
  </w:num>
  <w:num w:numId="30">
    <w:abstractNumId w:val="4"/>
  </w:num>
  <w:num w:numId="31">
    <w:abstractNumId w:val="26"/>
  </w:num>
  <w:num w:numId="32">
    <w:abstractNumId w:val="13"/>
  </w:num>
  <w:num w:numId="33">
    <w:abstractNumId w:val="18"/>
  </w:num>
  <w:num w:numId="34">
    <w:abstractNumId w:val="33"/>
  </w:num>
  <w:num w:numId="35">
    <w:abstractNumId w:val="27"/>
  </w:num>
  <w:num w:numId="36">
    <w:abstractNumId w:val="11"/>
  </w:num>
  <w:num w:numId="37">
    <w:abstractNumId w:val="15"/>
  </w:num>
  <w:num w:numId="38">
    <w:abstractNumId w:val="28"/>
  </w:num>
  <w:num w:numId="39">
    <w:abstractNumId w:val="19"/>
  </w:num>
  <w:num w:numId="40">
    <w:abstractNumId w:val="25"/>
  </w:num>
  <w:num w:numId="41">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065AC"/>
    <w:rsid w:val="000130D6"/>
    <w:rsid w:val="00014CE5"/>
    <w:rsid w:val="000178CE"/>
    <w:rsid w:val="00024F11"/>
    <w:rsid w:val="00025408"/>
    <w:rsid w:val="00027B88"/>
    <w:rsid w:val="00027E0D"/>
    <w:rsid w:val="000330C6"/>
    <w:rsid w:val="00034FEA"/>
    <w:rsid w:val="0004395F"/>
    <w:rsid w:val="000538A9"/>
    <w:rsid w:val="00054158"/>
    <w:rsid w:val="00056ED1"/>
    <w:rsid w:val="00057050"/>
    <w:rsid w:val="00057296"/>
    <w:rsid w:val="000637D5"/>
    <w:rsid w:val="0006454E"/>
    <w:rsid w:val="000663BB"/>
    <w:rsid w:val="00071AB1"/>
    <w:rsid w:val="00075983"/>
    <w:rsid w:val="00075F31"/>
    <w:rsid w:val="00081F00"/>
    <w:rsid w:val="00081F2B"/>
    <w:rsid w:val="000828F9"/>
    <w:rsid w:val="000829DC"/>
    <w:rsid w:val="00082EC6"/>
    <w:rsid w:val="000856B7"/>
    <w:rsid w:val="000875B5"/>
    <w:rsid w:val="00087D3B"/>
    <w:rsid w:val="00090B5C"/>
    <w:rsid w:val="0009232E"/>
    <w:rsid w:val="0009271D"/>
    <w:rsid w:val="0009541F"/>
    <w:rsid w:val="000971F9"/>
    <w:rsid w:val="000A6F40"/>
    <w:rsid w:val="000B1609"/>
    <w:rsid w:val="000B1918"/>
    <w:rsid w:val="000B3EE3"/>
    <w:rsid w:val="000B4C13"/>
    <w:rsid w:val="000C3205"/>
    <w:rsid w:val="000C3F49"/>
    <w:rsid w:val="000C4B0A"/>
    <w:rsid w:val="000C4F0D"/>
    <w:rsid w:val="000C7A55"/>
    <w:rsid w:val="000D30DE"/>
    <w:rsid w:val="000D3855"/>
    <w:rsid w:val="000D3EF2"/>
    <w:rsid w:val="000D7BC5"/>
    <w:rsid w:val="000E277C"/>
    <w:rsid w:val="000E594F"/>
    <w:rsid w:val="000F1176"/>
    <w:rsid w:val="000F131E"/>
    <w:rsid w:val="000F6EBA"/>
    <w:rsid w:val="000F747F"/>
    <w:rsid w:val="00101408"/>
    <w:rsid w:val="001028C0"/>
    <w:rsid w:val="001051BD"/>
    <w:rsid w:val="00105527"/>
    <w:rsid w:val="001073C8"/>
    <w:rsid w:val="00112479"/>
    <w:rsid w:val="00114E8B"/>
    <w:rsid w:val="00115AA5"/>
    <w:rsid w:val="00116FD7"/>
    <w:rsid w:val="00123397"/>
    <w:rsid w:val="00123A28"/>
    <w:rsid w:val="00124262"/>
    <w:rsid w:val="00124C49"/>
    <w:rsid w:val="00125A0C"/>
    <w:rsid w:val="00125B80"/>
    <w:rsid w:val="001356B4"/>
    <w:rsid w:val="00136093"/>
    <w:rsid w:val="00137B82"/>
    <w:rsid w:val="00140F1E"/>
    <w:rsid w:val="0014163E"/>
    <w:rsid w:val="00152E5D"/>
    <w:rsid w:val="00170802"/>
    <w:rsid w:val="001759D2"/>
    <w:rsid w:val="00176B3E"/>
    <w:rsid w:val="00180F5F"/>
    <w:rsid w:val="00184A1D"/>
    <w:rsid w:val="0019230B"/>
    <w:rsid w:val="001932D4"/>
    <w:rsid w:val="00196597"/>
    <w:rsid w:val="0019795A"/>
    <w:rsid w:val="001A1AB8"/>
    <w:rsid w:val="001A462A"/>
    <w:rsid w:val="001A4AD6"/>
    <w:rsid w:val="001A5CFE"/>
    <w:rsid w:val="001A6EB0"/>
    <w:rsid w:val="001B1300"/>
    <w:rsid w:val="001B2805"/>
    <w:rsid w:val="001B28B1"/>
    <w:rsid w:val="001B3003"/>
    <w:rsid w:val="001B58F5"/>
    <w:rsid w:val="001B6745"/>
    <w:rsid w:val="001C2B6F"/>
    <w:rsid w:val="001C3DC0"/>
    <w:rsid w:val="001C49CB"/>
    <w:rsid w:val="001C5872"/>
    <w:rsid w:val="001D17E8"/>
    <w:rsid w:val="001D298D"/>
    <w:rsid w:val="001E0FF2"/>
    <w:rsid w:val="001E4DC6"/>
    <w:rsid w:val="001F2EFC"/>
    <w:rsid w:val="001F6FB0"/>
    <w:rsid w:val="00200270"/>
    <w:rsid w:val="00202788"/>
    <w:rsid w:val="002054FC"/>
    <w:rsid w:val="002059A2"/>
    <w:rsid w:val="0021082B"/>
    <w:rsid w:val="00215EF4"/>
    <w:rsid w:val="00215F04"/>
    <w:rsid w:val="00216512"/>
    <w:rsid w:val="00216B08"/>
    <w:rsid w:val="00217D9A"/>
    <w:rsid w:val="002218EF"/>
    <w:rsid w:val="00221954"/>
    <w:rsid w:val="00222AF0"/>
    <w:rsid w:val="00224361"/>
    <w:rsid w:val="0023178B"/>
    <w:rsid w:val="00232AAA"/>
    <w:rsid w:val="00233C0E"/>
    <w:rsid w:val="00235C3B"/>
    <w:rsid w:val="002476A8"/>
    <w:rsid w:val="0024787A"/>
    <w:rsid w:val="00255D19"/>
    <w:rsid w:val="00260326"/>
    <w:rsid w:val="002603E9"/>
    <w:rsid w:val="0026327C"/>
    <w:rsid w:val="00264D1A"/>
    <w:rsid w:val="00266635"/>
    <w:rsid w:val="00270442"/>
    <w:rsid w:val="00272912"/>
    <w:rsid w:val="00274B56"/>
    <w:rsid w:val="00290D71"/>
    <w:rsid w:val="00291D3C"/>
    <w:rsid w:val="002A4E84"/>
    <w:rsid w:val="002A62C7"/>
    <w:rsid w:val="002B08CF"/>
    <w:rsid w:val="002B4E23"/>
    <w:rsid w:val="002B6EE2"/>
    <w:rsid w:val="002C0282"/>
    <w:rsid w:val="002D402C"/>
    <w:rsid w:val="002D4B9E"/>
    <w:rsid w:val="002D5C14"/>
    <w:rsid w:val="002D6588"/>
    <w:rsid w:val="002E12D2"/>
    <w:rsid w:val="002E49AA"/>
    <w:rsid w:val="002E6026"/>
    <w:rsid w:val="002E69FF"/>
    <w:rsid w:val="0030099E"/>
    <w:rsid w:val="00300CEE"/>
    <w:rsid w:val="00303670"/>
    <w:rsid w:val="00305083"/>
    <w:rsid w:val="00305241"/>
    <w:rsid w:val="003069EE"/>
    <w:rsid w:val="00320371"/>
    <w:rsid w:val="003203D2"/>
    <w:rsid w:val="0032353F"/>
    <w:rsid w:val="00325AF7"/>
    <w:rsid w:val="003260E9"/>
    <w:rsid w:val="00327B08"/>
    <w:rsid w:val="00333492"/>
    <w:rsid w:val="00333748"/>
    <w:rsid w:val="00344262"/>
    <w:rsid w:val="00346ECD"/>
    <w:rsid w:val="0034746E"/>
    <w:rsid w:val="00347709"/>
    <w:rsid w:val="0035261B"/>
    <w:rsid w:val="00352F94"/>
    <w:rsid w:val="00361DEA"/>
    <w:rsid w:val="00365A97"/>
    <w:rsid w:val="00367667"/>
    <w:rsid w:val="0037089C"/>
    <w:rsid w:val="003727F8"/>
    <w:rsid w:val="00374564"/>
    <w:rsid w:val="003776B1"/>
    <w:rsid w:val="00381511"/>
    <w:rsid w:val="00382BCD"/>
    <w:rsid w:val="0038334F"/>
    <w:rsid w:val="003922A1"/>
    <w:rsid w:val="00395868"/>
    <w:rsid w:val="003A0234"/>
    <w:rsid w:val="003A2697"/>
    <w:rsid w:val="003A43B4"/>
    <w:rsid w:val="003A4CBC"/>
    <w:rsid w:val="003A7929"/>
    <w:rsid w:val="003A7FE2"/>
    <w:rsid w:val="003B2BDF"/>
    <w:rsid w:val="003B4C27"/>
    <w:rsid w:val="003B5F0D"/>
    <w:rsid w:val="003B75A7"/>
    <w:rsid w:val="003C025A"/>
    <w:rsid w:val="003C04AF"/>
    <w:rsid w:val="003C3271"/>
    <w:rsid w:val="003C69B0"/>
    <w:rsid w:val="003D1C74"/>
    <w:rsid w:val="003D642E"/>
    <w:rsid w:val="003E0AE3"/>
    <w:rsid w:val="003E2F55"/>
    <w:rsid w:val="003F0D7E"/>
    <w:rsid w:val="004057C8"/>
    <w:rsid w:val="00411585"/>
    <w:rsid w:val="00416A4B"/>
    <w:rsid w:val="00433358"/>
    <w:rsid w:val="00434F61"/>
    <w:rsid w:val="0044137C"/>
    <w:rsid w:val="00442F4B"/>
    <w:rsid w:val="00443594"/>
    <w:rsid w:val="00444FB8"/>
    <w:rsid w:val="00446653"/>
    <w:rsid w:val="00451C1F"/>
    <w:rsid w:val="0045676A"/>
    <w:rsid w:val="004575C6"/>
    <w:rsid w:val="004647E5"/>
    <w:rsid w:val="004678DC"/>
    <w:rsid w:val="00467D3D"/>
    <w:rsid w:val="00470DC4"/>
    <w:rsid w:val="00476FC7"/>
    <w:rsid w:val="00481F8C"/>
    <w:rsid w:val="00483FFA"/>
    <w:rsid w:val="004858E0"/>
    <w:rsid w:val="00486C75"/>
    <w:rsid w:val="00487017"/>
    <w:rsid w:val="00490F36"/>
    <w:rsid w:val="00492CFA"/>
    <w:rsid w:val="00492F5E"/>
    <w:rsid w:val="0049430C"/>
    <w:rsid w:val="00496526"/>
    <w:rsid w:val="004A11E3"/>
    <w:rsid w:val="004A4DFA"/>
    <w:rsid w:val="004A5208"/>
    <w:rsid w:val="004A6074"/>
    <w:rsid w:val="004B1A0B"/>
    <w:rsid w:val="004B34D4"/>
    <w:rsid w:val="004B45D0"/>
    <w:rsid w:val="004B4859"/>
    <w:rsid w:val="004B4939"/>
    <w:rsid w:val="004B75B7"/>
    <w:rsid w:val="004C1461"/>
    <w:rsid w:val="004C1EAD"/>
    <w:rsid w:val="004C2EA3"/>
    <w:rsid w:val="004D345F"/>
    <w:rsid w:val="004D5520"/>
    <w:rsid w:val="004E1406"/>
    <w:rsid w:val="004E1441"/>
    <w:rsid w:val="004E4047"/>
    <w:rsid w:val="004E4194"/>
    <w:rsid w:val="004F14B6"/>
    <w:rsid w:val="004F1696"/>
    <w:rsid w:val="004F5425"/>
    <w:rsid w:val="00503F11"/>
    <w:rsid w:val="00523AB3"/>
    <w:rsid w:val="005251A9"/>
    <w:rsid w:val="00531934"/>
    <w:rsid w:val="0053240D"/>
    <w:rsid w:val="005341AC"/>
    <w:rsid w:val="0053512E"/>
    <w:rsid w:val="00535AC0"/>
    <w:rsid w:val="00540434"/>
    <w:rsid w:val="00540530"/>
    <w:rsid w:val="00541D39"/>
    <w:rsid w:val="00542221"/>
    <w:rsid w:val="00557A3B"/>
    <w:rsid w:val="00561650"/>
    <w:rsid w:val="00564C96"/>
    <w:rsid w:val="00570C51"/>
    <w:rsid w:val="00571C64"/>
    <w:rsid w:val="00572349"/>
    <w:rsid w:val="00584CBD"/>
    <w:rsid w:val="00584ECC"/>
    <w:rsid w:val="00586AA5"/>
    <w:rsid w:val="00592C39"/>
    <w:rsid w:val="00592D80"/>
    <w:rsid w:val="005A059C"/>
    <w:rsid w:val="005A0AE6"/>
    <w:rsid w:val="005A0D6F"/>
    <w:rsid w:val="005A1B12"/>
    <w:rsid w:val="005A6986"/>
    <w:rsid w:val="005B1139"/>
    <w:rsid w:val="005B5BA6"/>
    <w:rsid w:val="005B7A11"/>
    <w:rsid w:val="005B7EC0"/>
    <w:rsid w:val="005C1840"/>
    <w:rsid w:val="005C5B03"/>
    <w:rsid w:val="005C6EC2"/>
    <w:rsid w:val="005C77F5"/>
    <w:rsid w:val="005D01CC"/>
    <w:rsid w:val="005D026A"/>
    <w:rsid w:val="005D2C9C"/>
    <w:rsid w:val="005D49A8"/>
    <w:rsid w:val="005E40E9"/>
    <w:rsid w:val="005F1E2F"/>
    <w:rsid w:val="005F38E3"/>
    <w:rsid w:val="005F445F"/>
    <w:rsid w:val="005F6F5D"/>
    <w:rsid w:val="00601915"/>
    <w:rsid w:val="00602DF7"/>
    <w:rsid w:val="006035E9"/>
    <w:rsid w:val="0060672D"/>
    <w:rsid w:val="006137E2"/>
    <w:rsid w:val="00623AC4"/>
    <w:rsid w:val="00630CD1"/>
    <w:rsid w:val="00631D39"/>
    <w:rsid w:val="006327A3"/>
    <w:rsid w:val="00635618"/>
    <w:rsid w:val="00640665"/>
    <w:rsid w:val="00642E0C"/>
    <w:rsid w:val="00646B3A"/>
    <w:rsid w:val="00652B00"/>
    <w:rsid w:val="00654D87"/>
    <w:rsid w:val="00654EE5"/>
    <w:rsid w:val="0065579A"/>
    <w:rsid w:val="00666AAB"/>
    <w:rsid w:val="00666DD9"/>
    <w:rsid w:val="0066753A"/>
    <w:rsid w:val="0066787A"/>
    <w:rsid w:val="00671E1E"/>
    <w:rsid w:val="006745FF"/>
    <w:rsid w:val="00681F27"/>
    <w:rsid w:val="00683100"/>
    <w:rsid w:val="006834CC"/>
    <w:rsid w:val="00686965"/>
    <w:rsid w:val="0069014F"/>
    <w:rsid w:val="0069370D"/>
    <w:rsid w:val="00695682"/>
    <w:rsid w:val="00695870"/>
    <w:rsid w:val="00695E13"/>
    <w:rsid w:val="006A106E"/>
    <w:rsid w:val="006A4A08"/>
    <w:rsid w:val="006A7503"/>
    <w:rsid w:val="006B267A"/>
    <w:rsid w:val="006B675D"/>
    <w:rsid w:val="006C273F"/>
    <w:rsid w:val="006C5F1C"/>
    <w:rsid w:val="006D22F8"/>
    <w:rsid w:val="006D6012"/>
    <w:rsid w:val="006D6758"/>
    <w:rsid w:val="006D6C46"/>
    <w:rsid w:val="006D758B"/>
    <w:rsid w:val="006E32FC"/>
    <w:rsid w:val="006E38B9"/>
    <w:rsid w:val="006E6C65"/>
    <w:rsid w:val="006F1368"/>
    <w:rsid w:val="006F2600"/>
    <w:rsid w:val="006F505C"/>
    <w:rsid w:val="006F6334"/>
    <w:rsid w:val="007015D4"/>
    <w:rsid w:val="007102BE"/>
    <w:rsid w:val="00715134"/>
    <w:rsid w:val="00717861"/>
    <w:rsid w:val="00720F3A"/>
    <w:rsid w:val="0072606A"/>
    <w:rsid w:val="00727C84"/>
    <w:rsid w:val="00732267"/>
    <w:rsid w:val="00736D2D"/>
    <w:rsid w:val="00740468"/>
    <w:rsid w:val="00740504"/>
    <w:rsid w:val="00744004"/>
    <w:rsid w:val="007445B0"/>
    <w:rsid w:val="007500D3"/>
    <w:rsid w:val="00750F21"/>
    <w:rsid w:val="00753CB8"/>
    <w:rsid w:val="00753F11"/>
    <w:rsid w:val="007546AE"/>
    <w:rsid w:val="007546C9"/>
    <w:rsid w:val="007576C6"/>
    <w:rsid w:val="00760D7F"/>
    <w:rsid w:val="00761959"/>
    <w:rsid w:val="00762877"/>
    <w:rsid w:val="00763101"/>
    <w:rsid w:val="00763931"/>
    <w:rsid w:val="00764532"/>
    <w:rsid w:val="00767F96"/>
    <w:rsid w:val="00770D3B"/>
    <w:rsid w:val="00782C51"/>
    <w:rsid w:val="007860B2"/>
    <w:rsid w:val="007864AB"/>
    <w:rsid w:val="00787286"/>
    <w:rsid w:val="00790B3F"/>
    <w:rsid w:val="00791571"/>
    <w:rsid w:val="0079350D"/>
    <w:rsid w:val="00795C2E"/>
    <w:rsid w:val="007A58F9"/>
    <w:rsid w:val="007B299C"/>
    <w:rsid w:val="007B6910"/>
    <w:rsid w:val="007C097D"/>
    <w:rsid w:val="007C28E3"/>
    <w:rsid w:val="007C645A"/>
    <w:rsid w:val="007C7E99"/>
    <w:rsid w:val="007D030E"/>
    <w:rsid w:val="007D1608"/>
    <w:rsid w:val="007D2C50"/>
    <w:rsid w:val="007D2C6A"/>
    <w:rsid w:val="007D4C43"/>
    <w:rsid w:val="007D5EAB"/>
    <w:rsid w:val="007D76CB"/>
    <w:rsid w:val="007E2467"/>
    <w:rsid w:val="007E41A8"/>
    <w:rsid w:val="007F1A54"/>
    <w:rsid w:val="007F218C"/>
    <w:rsid w:val="008006D0"/>
    <w:rsid w:val="00801004"/>
    <w:rsid w:val="00801050"/>
    <w:rsid w:val="00807270"/>
    <w:rsid w:val="00807D37"/>
    <w:rsid w:val="008113FA"/>
    <w:rsid w:val="00814EF4"/>
    <w:rsid w:val="008174D0"/>
    <w:rsid w:val="00817BFA"/>
    <w:rsid w:val="008203FB"/>
    <w:rsid w:val="00822FB0"/>
    <w:rsid w:val="00826659"/>
    <w:rsid w:val="00826C41"/>
    <w:rsid w:val="008274C2"/>
    <w:rsid w:val="008324D7"/>
    <w:rsid w:val="008332CA"/>
    <w:rsid w:val="0083647A"/>
    <w:rsid w:val="008368CA"/>
    <w:rsid w:val="00837784"/>
    <w:rsid w:val="00842D8E"/>
    <w:rsid w:val="00843F48"/>
    <w:rsid w:val="0084641A"/>
    <w:rsid w:val="00847D79"/>
    <w:rsid w:val="00847E74"/>
    <w:rsid w:val="0085286D"/>
    <w:rsid w:val="00856C26"/>
    <w:rsid w:val="00857DED"/>
    <w:rsid w:val="00860437"/>
    <w:rsid w:val="00861FE7"/>
    <w:rsid w:val="008627CC"/>
    <w:rsid w:val="0087687A"/>
    <w:rsid w:val="008806DE"/>
    <w:rsid w:val="008837B5"/>
    <w:rsid w:val="00886884"/>
    <w:rsid w:val="00887012"/>
    <w:rsid w:val="00894052"/>
    <w:rsid w:val="0089503A"/>
    <w:rsid w:val="008A7600"/>
    <w:rsid w:val="008B6A3F"/>
    <w:rsid w:val="008C162B"/>
    <w:rsid w:val="008D1491"/>
    <w:rsid w:val="008D6D1A"/>
    <w:rsid w:val="008E6B1D"/>
    <w:rsid w:val="008F0AA6"/>
    <w:rsid w:val="008F1136"/>
    <w:rsid w:val="008F2ACC"/>
    <w:rsid w:val="008F7578"/>
    <w:rsid w:val="00901124"/>
    <w:rsid w:val="00905FBB"/>
    <w:rsid w:val="00907B1B"/>
    <w:rsid w:val="00907D18"/>
    <w:rsid w:val="00910B5B"/>
    <w:rsid w:val="00910DE0"/>
    <w:rsid w:val="009114BE"/>
    <w:rsid w:val="0091496E"/>
    <w:rsid w:val="00915D0D"/>
    <w:rsid w:val="00923F5D"/>
    <w:rsid w:val="00926C81"/>
    <w:rsid w:val="0093067B"/>
    <w:rsid w:val="00930DE7"/>
    <w:rsid w:val="009323F1"/>
    <w:rsid w:val="00932548"/>
    <w:rsid w:val="00933FD7"/>
    <w:rsid w:val="00936B09"/>
    <w:rsid w:val="009370B5"/>
    <w:rsid w:val="00937CEB"/>
    <w:rsid w:val="00941177"/>
    <w:rsid w:val="00941CE1"/>
    <w:rsid w:val="0094349E"/>
    <w:rsid w:val="009470AC"/>
    <w:rsid w:val="00951B63"/>
    <w:rsid w:val="00954872"/>
    <w:rsid w:val="00954CF1"/>
    <w:rsid w:val="0096211B"/>
    <w:rsid w:val="00962201"/>
    <w:rsid w:val="00962B68"/>
    <w:rsid w:val="00963B4E"/>
    <w:rsid w:val="009664EF"/>
    <w:rsid w:val="00966563"/>
    <w:rsid w:val="00967E71"/>
    <w:rsid w:val="009747AA"/>
    <w:rsid w:val="00975091"/>
    <w:rsid w:val="009777E1"/>
    <w:rsid w:val="00977F6D"/>
    <w:rsid w:val="00980A42"/>
    <w:rsid w:val="00980E1F"/>
    <w:rsid w:val="00981A95"/>
    <w:rsid w:val="00982379"/>
    <w:rsid w:val="00983E39"/>
    <w:rsid w:val="00992B8D"/>
    <w:rsid w:val="00996E91"/>
    <w:rsid w:val="009A06F8"/>
    <w:rsid w:val="009A3345"/>
    <w:rsid w:val="009A3D28"/>
    <w:rsid w:val="009A4537"/>
    <w:rsid w:val="009A7924"/>
    <w:rsid w:val="009B3EE0"/>
    <w:rsid w:val="009B472D"/>
    <w:rsid w:val="009B7C4C"/>
    <w:rsid w:val="009C0F77"/>
    <w:rsid w:val="009C30D4"/>
    <w:rsid w:val="009C4FBA"/>
    <w:rsid w:val="009C57FB"/>
    <w:rsid w:val="009C5B28"/>
    <w:rsid w:val="009D118F"/>
    <w:rsid w:val="009D3B78"/>
    <w:rsid w:val="009D7E58"/>
    <w:rsid w:val="009E2AA3"/>
    <w:rsid w:val="009E34A3"/>
    <w:rsid w:val="009E6074"/>
    <w:rsid w:val="009E6E89"/>
    <w:rsid w:val="009F306A"/>
    <w:rsid w:val="009F4361"/>
    <w:rsid w:val="009F5599"/>
    <w:rsid w:val="009F7B5E"/>
    <w:rsid w:val="00A0321D"/>
    <w:rsid w:val="00A0399A"/>
    <w:rsid w:val="00A05C4C"/>
    <w:rsid w:val="00A07B5E"/>
    <w:rsid w:val="00A13670"/>
    <w:rsid w:val="00A13717"/>
    <w:rsid w:val="00A15761"/>
    <w:rsid w:val="00A2204D"/>
    <w:rsid w:val="00A252CF"/>
    <w:rsid w:val="00A25358"/>
    <w:rsid w:val="00A26E23"/>
    <w:rsid w:val="00A30010"/>
    <w:rsid w:val="00A31C76"/>
    <w:rsid w:val="00A32796"/>
    <w:rsid w:val="00A34C76"/>
    <w:rsid w:val="00A35BB5"/>
    <w:rsid w:val="00A36716"/>
    <w:rsid w:val="00A413B6"/>
    <w:rsid w:val="00A44819"/>
    <w:rsid w:val="00A4630B"/>
    <w:rsid w:val="00A52E22"/>
    <w:rsid w:val="00A53A85"/>
    <w:rsid w:val="00A53CDF"/>
    <w:rsid w:val="00A56DC4"/>
    <w:rsid w:val="00A5758D"/>
    <w:rsid w:val="00A63C99"/>
    <w:rsid w:val="00A65656"/>
    <w:rsid w:val="00A6641A"/>
    <w:rsid w:val="00A67518"/>
    <w:rsid w:val="00A7030F"/>
    <w:rsid w:val="00A70D18"/>
    <w:rsid w:val="00A71C3B"/>
    <w:rsid w:val="00A80555"/>
    <w:rsid w:val="00A8423D"/>
    <w:rsid w:val="00A8493F"/>
    <w:rsid w:val="00A8560C"/>
    <w:rsid w:val="00A87030"/>
    <w:rsid w:val="00A87D0F"/>
    <w:rsid w:val="00A91662"/>
    <w:rsid w:val="00A94BBE"/>
    <w:rsid w:val="00A95567"/>
    <w:rsid w:val="00A957B7"/>
    <w:rsid w:val="00AA228F"/>
    <w:rsid w:val="00AB01A1"/>
    <w:rsid w:val="00AB0C42"/>
    <w:rsid w:val="00AB4550"/>
    <w:rsid w:val="00AB71E0"/>
    <w:rsid w:val="00AB783D"/>
    <w:rsid w:val="00AC07CF"/>
    <w:rsid w:val="00AC296E"/>
    <w:rsid w:val="00AC493E"/>
    <w:rsid w:val="00AD3ABE"/>
    <w:rsid w:val="00AD4CF8"/>
    <w:rsid w:val="00AE1C1F"/>
    <w:rsid w:val="00AE3F8B"/>
    <w:rsid w:val="00AE749D"/>
    <w:rsid w:val="00AE7A86"/>
    <w:rsid w:val="00AF0AA6"/>
    <w:rsid w:val="00AF1049"/>
    <w:rsid w:val="00AF250B"/>
    <w:rsid w:val="00AF78D3"/>
    <w:rsid w:val="00AF7DA5"/>
    <w:rsid w:val="00B12F40"/>
    <w:rsid w:val="00B144E5"/>
    <w:rsid w:val="00B24F59"/>
    <w:rsid w:val="00B251A2"/>
    <w:rsid w:val="00B261E0"/>
    <w:rsid w:val="00B312CF"/>
    <w:rsid w:val="00B36063"/>
    <w:rsid w:val="00B404A4"/>
    <w:rsid w:val="00B43EF7"/>
    <w:rsid w:val="00B502A3"/>
    <w:rsid w:val="00B51ACB"/>
    <w:rsid w:val="00B5239A"/>
    <w:rsid w:val="00B5320C"/>
    <w:rsid w:val="00B6183A"/>
    <w:rsid w:val="00B6274D"/>
    <w:rsid w:val="00B64EFF"/>
    <w:rsid w:val="00B65A3B"/>
    <w:rsid w:val="00B7202B"/>
    <w:rsid w:val="00B75F7C"/>
    <w:rsid w:val="00B76D3C"/>
    <w:rsid w:val="00B826D7"/>
    <w:rsid w:val="00B827F8"/>
    <w:rsid w:val="00B9050A"/>
    <w:rsid w:val="00B90C4B"/>
    <w:rsid w:val="00B92426"/>
    <w:rsid w:val="00B945AD"/>
    <w:rsid w:val="00B94F2A"/>
    <w:rsid w:val="00B952BF"/>
    <w:rsid w:val="00B96AE0"/>
    <w:rsid w:val="00B97BEE"/>
    <w:rsid w:val="00BA704D"/>
    <w:rsid w:val="00BB0F76"/>
    <w:rsid w:val="00BB3317"/>
    <w:rsid w:val="00BB79D6"/>
    <w:rsid w:val="00BC03C5"/>
    <w:rsid w:val="00BC23B3"/>
    <w:rsid w:val="00BD136D"/>
    <w:rsid w:val="00BD17C6"/>
    <w:rsid w:val="00BD4917"/>
    <w:rsid w:val="00BD5090"/>
    <w:rsid w:val="00BD662B"/>
    <w:rsid w:val="00BE2EE4"/>
    <w:rsid w:val="00BF376D"/>
    <w:rsid w:val="00BF5A81"/>
    <w:rsid w:val="00C002D1"/>
    <w:rsid w:val="00C04501"/>
    <w:rsid w:val="00C057BF"/>
    <w:rsid w:val="00C110B5"/>
    <w:rsid w:val="00C15067"/>
    <w:rsid w:val="00C23CAC"/>
    <w:rsid w:val="00C25F6F"/>
    <w:rsid w:val="00C33A39"/>
    <w:rsid w:val="00C44058"/>
    <w:rsid w:val="00C446A7"/>
    <w:rsid w:val="00C4523F"/>
    <w:rsid w:val="00C46AE9"/>
    <w:rsid w:val="00C534B7"/>
    <w:rsid w:val="00C53A13"/>
    <w:rsid w:val="00C55750"/>
    <w:rsid w:val="00C57FAA"/>
    <w:rsid w:val="00C60C2C"/>
    <w:rsid w:val="00C63583"/>
    <w:rsid w:val="00C644FD"/>
    <w:rsid w:val="00C666AE"/>
    <w:rsid w:val="00C70809"/>
    <w:rsid w:val="00C72A90"/>
    <w:rsid w:val="00C771C6"/>
    <w:rsid w:val="00C81D94"/>
    <w:rsid w:val="00C8332F"/>
    <w:rsid w:val="00C904CD"/>
    <w:rsid w:val="00CA2EB1"/>
    <w:rsid w:val="00CB603A"/>
    <w:rsid w:val="00CC3B2F"/>
    <w:rsid w:val="00CC77EE"/>
    <w:rsid w:val="00CC7F64"/>
    <w:rsid w:val="00CD1855"/>
    <w:rsid w:val="00CD1975"/>
    <w:rsid w:val="00CD2B30"/>
    <w:rsid w:val="00CD6F4D"/>
    <w:rsid w:val="00CE2D3E"/>
    <w:rsid w:val="00CE2FEA"/>
    <w:rsid w:val="00CE38A3"/>
    <w:rsid w:val="00CF6B3C"/>
    <w:rsid w:val="00CF7311"/>
    <w:rsid w:val="00CF7726"/>
    <w:rsid w:val="00D0255A"/>
    <w:rsid w:val="00D1007B"/>
    <w:rsid w:val="00D14B14"/>
    <w:rsid w:val="00D1508C"/>
    <w:rsid w:val="00D158BC"/>
    <w:rsid w:val="00D201BF"/>
    <w:rsid w:val="00D2050B"/>
    <w:rsid w:val="00D25FC7"/>
    <w:rsid w:val="00D26F59"/>
    <w:rsid w:val="00D27C35"/>
    <w:rsid w:val="00D30E16"/>
    <w:rsid w:val="00D3109C"/>
    <w:rsid w:val="00D33137"/>
    <w:rsid w:val="00D34DF6"/>
    <w:rsid w:val="00D35237"/>
    <w:rsid w:val="00D35569"/>
    <w:rsid w:val="00D37120"/>
    <w:rsid w:val="00D4582D"/>
    <w:rsid w:val="00D479DA"/>
    <w:rsid w:val="00D51634"/>
    <w:rsid w:val="00D541B8"/>
    <w:rsid w:val="00D55781"/>
    <w:rsid w:val="00D6471D"/>
    <w:rsid w:val="00D64EA3"/>
    <w:rsid w:val="00D70505"/>
    <w:rsid w:val="00D72D0B"/>
    <w:rsid w:val="00D83B36"/>
    <w:rsid w:val="00D83C91"/>
    <w:rsid w:val="00D85366"/>
    <w:rsid w:val="00D9073E"/>
    <w:rsid w:val="00D93BC3"/>
    <w:rsid w:val="00DA06FE"/>
    <w:rsid w:val="00DA1392"/>
    <w:rsid w:val="00DA3F8A"/>
    <w:rsid w:val="00DA44EB"/>
    <w:rsid w:val="00DA4C56"/>
    <w:rsid w:val="00DA4EA3"/>
    <w:rsid w:val="00DA57F1"/>
    <w:rsid w:val="00DC1888"/>
    <w:rsid w:val="00DC6459"/>
    <w:rsid w:val="00DD01E3"/>
    <w:rsid w:val="00DD2BFC"/>
    <w:rsid w:val="00DD34C2"/>
    <w:rsid w:val="00DD43B9"/>
    <w:rsid w:val="00DD6837"/>
    <w:rsid w:val="00DE56C3"/>
    <w:rsid w:val="00DE5F7C"/>
    <w:rsid w:val="00DF0D64"/>
    <w:rsid w:val="00DF4904"/>
    <w:rsid w:val="00DF5D64"/>
    <w:rsid w:val="00E01B57"/>
    <w:rsid w:val="00E01D2E"/>
    <w:rsid w:val="00E03B06"/>
    <w:rsid w:val="00E116B4"/>
    <w:rsid w:val="00E11CD2"/>
    <w:rsid w:val="00E131B4"/>
    <w:rsid w:val="00E1375C"/>
    <w:rsid w:val="00E14F94"/>
    <w:rsid w:val="00E15030"/>
    <w:rsid w:val="00E201FA"/>
    <w:rsid w:val="00E2109A"/>
    <w:rsid w:val="00E23241"/>
    <w:rsid w:val="00E25D08"/>
    <w:rsid w:val="00E2663F"/>
    <w:rsid w:val="00E2775F"/>
    <w:rsid w:val="00E30692"/>
    <w:rsid w:val="00E33621"/>
    <w:rsid w:val="00E36AAB"/>
    <w:rsid w:val="00E37D2B"/>
    <w:rsid w:val="00E37E78"/>
    <w:rsid w:val="00E439FB"/>
    <w:rsid w:val="00E43DEA"/>
    <w:rsid w:val="00E445D7"/>
    <w:rsid w:val="00E62D9D"/>
    <w:rsid w:val="00E6531F"/>
    <w:rsid w:val="00E74BD5"/>
    <w:rsid w:val="00E76D41"/>
    <w:rsid w:val="00E805A1"/>
    <w:rsid w:val="00E80D73"/>
    <w:rsid w:val="00E815C8"/>
    <w:rsid w:val="00E82D62"/>
    <w:rsid w:val="00E8320F"/>
    <w:rsid w:val="00E844EA"/>
    <w:rsid w:val="00E853F6"/>
    <w:rsid w:val="00E85FEA"/>
    <w:rsid w:val="00E876F9"/>
    <w:rsid w:val="00E925C3"/>
    <w:rsid w:val="00E9374A"/>
    <w:rsid w:val="00E9782A"/>
    <w:rsid w:val="00E978D4"/>
    <w:rsid w:val="00E97B6E"/>
    <w:rsid w:val="00EA34EF"/>
    <w:rsid w:val="00EA659A"/>
    <w:rsid w:val="00EB1CBC"/>
    <w:rsid w:val="00EB247F"/>
    <w:rsid w:val="00EB4F0E"/>
    <w:rsid w:val="00EC57B8"/>
    <w:rsid w:val="00ED272A"/>
    <w:rsid w:val="00ED7489"/>
    <w:rsid w:val="00EE0272"/>
    <w:rsid w:val="00EE274A"/>
    <w:rsid w:val="00EE5035"/>
    <w:rsid w:val="00EF21F4"/>
    <w:rsid w:val="00EF2247"/>
    <w:rsid w:val="00F013C2"/>
    <w:rsid w:val="00F05491"/>
    <w:rsid w:val="00F0595F"/>
    <w:rsid w:val="00F0598F"/>
    <w:rsid w:val="00F06F88"/>
    <w:rsid w:val="00F15AEE"/>
    <w:rsid w:val="00F243F4"/>
    <w:rsid w:val="00F24839"/>
    <w:rsid w:val="00F26176"/>
    <w:rsid w:val="00F263F7"/>
    <w:rsid w:val="00F2735A"/>
    <w:rsid w:val="00F343A9"/>
    <w:rsid w:val="00F346F2"/>
    <w:rsid w:val="00F349BD"/>
    <w:rsid w:val="00F40A63"/>
    <w:rsid w:val="00F41F3C"/>
    <w:rsid w:val="00F4393C"/>
    <w:rsid w:val="00F456FD"/>
    <w:rsid w:val="00F46737"/>
    <w:rsid w:val="00F52595"/>
    <w:rsid w:val="00F53092"/>
    <w:rsid w:val="00F530FC"/>
    <w:rsid w:val="00F56ECC"/>
    <w:rsid w:val="00F61DCA"/>
    <w:rsid w:val="00F66D25"/>
    <w:rsid w:val="00F73235"/>
    <w:rsid w:val="00F74517"/>
    <w:rsid w:val="00F77ADD"/>
    <w:rsid w:val="00F77DB4"/>
    <w:rsid w:val="00F84DB6"/>
    <w:rsid w:val="00F85363"/>
    <w:rsid w:val="00F85FFB"/>
    <w:rsid w:val="00F90D56"/>
    <w:rsid w:val="00F92888"/>
    <w:rsid w:val="00F92985"/>
    <w:rsid w:val="00FA142C"/>
    <w:rsid w:val="00FA2194"/>
    <w:rsid w:val="00FA5114"/>
    <w:rsid w:val="00FA6897"/>
    <w:rsid w:val="00FA7C26"/>
    <w:rsid w:val="00FB2BE5"/>
    <w:rsid w:val="00FB2C53"/>
    <w:rsid w:val="00FB2DC0"/>
    <w:rsid w:val="00FB3AB3"/>
    <w:rsid w:val="00FB57C0"/>
    <w:rsid w:val="00FB649C"/>
    <w:rsid w:val="00FC2C8B"/>
    <w:rsid w:val="00FD2788"/>
    <w:rsid w:val="00FD6A6F"/>
    <w:rsid w:val="00FD77AF"/>
    <w:rsid w:val="00FE43F2"/>
    <w:rsid w:val="00FE5366"/>
    <w:rsid w:val="00FE53D4"/>
    <w:rsid w:val="00FE6680"/>
    <w:rsid w:val="00FF038A"/>
    <w:rsid w:val="00FF05AD"/>
    <w:rsid w:val="00FF47F5"/>
    <w:rsid w:val="00FF5986"/>
    <w:rsid w:val="00FF68CE"/>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26"/>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26"/>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26"/>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B12F40"/>
    <w:pPr>
      <w:keepNext/>
      <w:keepLines/>
      <w:spacing w:before="200" w:after="0"/>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26"/>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26"/>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DC6459"/>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1734492">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597518811">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852841071">
      <w:bodyDiv w:val="1"/>
      <w:marLeft w:val="0"/>
      <w:marRight w:val="0"/>
      <w:marTop w:val="0"/>
      <w:marBottom w:val="0"/>
      <w:divBdr>
        <w:top w:val="none" w:sz="0" w:space="0" w:color="auto"/>
        <w:left w:val="none" w:sz="0" w:space="0" w:color="auto"/>
        <w:bottom w:val="none" w:sz="0" w:space="0" w:color="auto"/>
        <w:right w:val="none" w:sz="0" w:space="0" w:color="auto"/>
      </w:divBdr>
    </w:div>
    <w:div w:id="892884862">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112549601">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22874158">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714578821">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66611704">
      <w:bodyDiv w:val="1"/>
      <w:marLeft w:val="0"/>
      <w:marRight w:val="0"/>
      <w:marTop w:val="0"/>
      <w:marBottom w:val="0"/>
      <w:divBdr>
        <w:top w:val="none" w:sz="0" w:space="0" w:color="auto"/>
        <w:left w:val="none" w:sz="0" w:space="0" w:color="auto"/>
        <w:bottom w:val="none" w:sz="0" w:space="0" w:color="auto"/>
        <w:right w:val="none" w:sz="0" w:space="0" w:color="auto"/>
      </w:divBdr>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54234239">
      <w:bodyDiv w:val="1"/>
      <w:marLeft w:val="0"/>
      <w:marRight w:val="0"/>
      <w:marTop w:val="0"/>
      <w:marBottom w:val="0"/>
      <w:divBdr>
        <w:top w:val="none" w:sz="0" w:space="0" w:color="auto"/>
        <w:left w:val="none" w:sz="0" w:space="0" w:color="auto"/>
        <w:bottom w:val="none" w:sz="0" w:space="0" w:color="auto"/>
        <w:right w:val="none" w:sz="0" w:space="0" w:color="auto"/>
      </w:divBdr>
      <w:divsChild>
        <w:div w:id="1229027550">
          <w:marLeft w:val="0"/>
          <w:marRight w:val="0"/>
          <w:marTop w:val="0"/>
          <w:marBottom w:val="0"/>
          <w:divBdr>
            <w:top w:val="none" w:sz="0" w:space="0" w:color="auto"/>
            <w:left w:val="none" w:sz="0" w:space="0" w:color="auto"/>
            <w:bottom w:val="none" w:sz="0" w:space="0" w:color="auto"/>
            <w:right w:val="none" w:sz="0" w:space="0" w:color="auto"/>
          </w:divBdr>
          <w:divsChild>
            <w:div w:id="12101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 w:id="208132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drawdown.org" TargetMode="External"/><Relationship Id="rId18" Type="http://schemas.openxmlformats.org/officeDocument/2006/relationships/hyperlink" Target="http://www.drawdown.org"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10.jpeg"/><Relationship Id="rId17" Type="http://schemas.openxmlformats.org/officeDocument/2006/relationships/hyperlink" Target="http://www.drawdown.org"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mailto:info@drawdown.org"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drawdown.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bara\AppData\Roaming\Microsoft\Templates\Report%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A01444E-486E-4845-9F19-A469FA1D0F02}">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C:\Users\Barbara\AppData\Roaming\Microsoft\Templates\Report design (blank).dotx</Template>
  <TotalTime>6380</TotalTime>
  <Pages>6</Pages>
  <Words>23420</Words>
  <Characters>133499</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vijay negi</cp:lastModifiedBy>
  <cp:revision>80</cp:revision>
  <cp:lastPrinted>2019-09-12T19:47:00Z</cp:lastPrinted>
  <dcterms:created xsi:type="dcterms:W3CDTF">2019-04-24T15:17:00Z</dcterms:created>
  <dcterms:modified xsi:type="dcterms:W3CDTF">2021-11-30T16:06:00Z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ZOTERO_PREF_1">
    <vt:lpwstr>&lt;data data-version="3" zotero-version="5.0.66"&gt;&lt;session id="NRnzJI8i"/&gt;&lt;style id="http://www.zotero.org/styles/apa" locale="en-US" hasBibliography="1" bibliographyStyleHasBeenSet="1"/&gt;&lt;prefs&gt;&lt;pref name="fieldType" value="Field"/&gt;&lt;pref name="automaticJourn</vt:lpwstr>
  </property>
  <property fmtid="{D5CDD505-2E9C-101B-9397-08002B2CF9AE}" pid="24" name="ZOTERO_PREF_2">
    <vt:lpwstr>alAbbreviations" value="true"/&gt;&lt;/prefs&gt;&lt;/data&gt;</vt:lpwstr>
  </property>
</Properties>
</file>