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0D0D19" w:rsidRPr="00E91BE1" w:rsidRDefault="000D0D1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20D8872E" w:rsidR="000D0D19" w:rsidRPr="00E91BE1" w:rsidRDefault="000D0D1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Bioplastics</w:t>
                            </w:r>
                          </w:p>
                          <w:p w14:paraId="6774E85B" w14:textId="77777777" w:rsidR="000D0D19" w:rsidRPr="00EB247F" w:rsidRDefault="000D0D19" w:rsidP="00EB247F">
                            <w:pPr>
                              <w:spacing w:line="240" w:lineRule="auto"/>
                              <w:jc w:val="center"/>
                              <w:rPr>
                                <w:rFonts w:cs="Times New Roman"/>
                                <w:smallCaps/>
                                <w:color w:val="404040" w:themeColor="text1" w:themeTint="BF"/>
                                <w:sz w:val="36"/>
                                <w:szCs w:val="36"/>
                              </w:rPr>
                            </w:pPr>
                          </w:p>
                          <w:p w14:paraId="4699D449" w14:textId="46448EDE" w:rsidR="000D0D19" w:rsidRPr="00E91BE1" w:rsidRDefault="000D0D1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Materials</w:t>
                            </w:r>
                          </w:p>
                          <w:p w14:paraId="5E6FD87C" w14:textId="77777777" w:rsidR="000D0D19" w:rsidRDefault="000D0D19" w:rsidP="00667919">
                            <w:pPr>
                              <w:jc w:val="center"/>
                              <w:rPr>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w:t>
                            </w:r>
                            <w:r>
                              <w:rPr>
                                <w:smallCaps/>
                                <w:color w:val="404040" w:themeColor="text1" w:themeTint="BF"/>
                                <w:sz w:val="36"/>
                                <w:szCs w:val="36"/>
                              </w:rPr>
                              <w:t>Primary Consumer/Product Manufacturer</w:t>
                            </w:r>
                          </w:p>
                          <w:p w14:paraId="29D510C4" w14:textId="53374A37" w:rsidR="000D0D19" w:rsidRPr="00E91BE1" w:rsidRDefault="000D0D1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B0419B">
                              <w:rPr>
                                <w:rFonts w:cs="Times New Roman"/>
                                <w:smallCaps/>
                                <w:color w:val="404040" w:themeColor="text1" w:themeTint="BF"/>
                                <w:sz w:val="36"/>
                                <w:szCs w:val="36"/>
                              </w:rPr>
                              <w:t>biopolymer, plastic</w:t>
                            </w:r>
                          </w:p>
                          <w:p w14:paraId="4FD71E35" w14:textId="3DC42A3B" w:rsidR="000D0D19" w:rsidRDefault="000D0D19" w:rsidP="00FB2C53"/>
                          <w:p w14:paraId="2994F692" w14:textId="77777777" w:rsidR="000D0D19" w:rsidRDefault="000D0D19" w:rsidP="00FB2C53"/>
                          <w:p w14:paraId="0AAEA688" w14:textId="77777777" w:rsidR="000D0D19" w:rsidRDefault="000D0D19" w:rsidP="00FB2C53"/>
                          <w:p w14:paraId="693769A0" w14:textId="3DBE305F" w:rsidR="000D0D19" w:rsidRPr="00E91BE1" w:rsidRDefault="007C13A6" w:rsidP="00FB2C53">
                            <w:pPr>
                              <w:spacing w:after="0" w:line="240" w:lineRule="auto"/>
                              <w:jc w:val="center"/>
                              <w:rPr>
                                <w:rFonts w:cs="Times New Roman"/>
                                <w:smallCaps/>
                                <w:color w:val="404040" w:themeColor="text1" w:themeTint="BF"/>
                                <w:sz w:val="36"/>
                                <w:szCs w:val="36"/>
                              </w:rPr>
                            </w:pPr>
                            <w:proofErr w:type="gramStart"/>
                            <w:r>
                              <w:rPr>
                                <w:rFonts w:cs="Times New Roman"/>
                                <w:smallCaps/>
                                <w:color w:val="404040" w:themeColor="text1" w:themeTint="BF"/>
                                <w:sz w:val="36"/>
                                <w:szCs w:val="36"/>
                              </w:rPr>
                              <w:t>December,</w:t>
                            </w:r>
                            <w:proofErr w:type="gramEnd"/>
                            <w:r>
                              <w:rPr>
                                <w:rFonts w:cs="Times New Roman"/>
                                <w:smallCaps/>
                                <w:color w:val="404040" w:themeColor="text1" w:themeTint="BF"/>
                                <w:sz w:val="36"/>
                                <w:szCs w:val="36"/>
                              </w:rPr>
                              <w:t xml:space="preserve"> 2019</w:t>
                            </w:r>
                          </w:p>
                          <w:p w14:paraId="0DDBFE23" w14:textId="77777777" w:rsidR="000D0D19" w:rsidRPr="000829DC" w:rsidRDefault="000D0D19" w:rsidP="00FB2C53"/>
                          <w:p w14:paraId="4BB1447A" w14:textId="77777777" w:rsidR="000D0D19" w:rsidRDefault="000D0D19" w:rsidP="00FB2C53"/>
                          <w:p w14:paraId="6A9CEC43" w14:textId="77777777" w:rsidR="000D0D19" w:rsidRDefault="000D0D19" w:rsidP="00FB2C53"/>
                          <w:p w14:paraId="2120AE6B" w14:textId="77777777" w:rsidR="000D0D19" w:rsidRDefault="000D0D19" w:rsidP="00FB2C53"/>
                          <w:p w14:paraId="7DCFFDCF" w14:textId="77777777" w:rsidR="000D0D19" w:rsidRDefault="000D0D19" w:rsidP="00FB2C53"/>
                          <w:p w14:paraId="2F48DE38" w14:textId="77777777" w:rsidR="000D0D19" w:rsidRPr="000829DC" w:rsidRDefault="000D0D19" w:rsidP="00FB2C53"/>
                          <w:p w14:paraId="1981D31A" w14:textId="77777777" w:rsidR="000D0D19" w:rsidRPr="00E91BE1" w:rsidRDefault="000D0D1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A35DC2F" w14:textId="4D238C2D" w:rsidR="007C13A6" w:rsidRDefault="007C13A6" w:rsidP="00D053FB">
                            <w:pPr>
                              <w:rPr>
                                <w:rFonts w:cs="Times New Roman"/>
                                <w:smallCaps/>
                                <w:color w:val="404040" w:themeColor="text1" w:themeTint="BF"/>
                                <w:sz w:val="28"/>
                                <w:szCs w:val="28"/>
                              </w:rPr>
                            </w:pPr>
                            <w:r>
                              <w:rPr>
                                <w:rFonts w:cs="Times New Roman"/>
                                <w:smallCaps/>
                                <w:color w:val="404040" w:themeColor="text1" w:themeTint="BF"/>
                                <w:sz w:val="28"/>
                                <w:szCs w:val="28"/>
                              </w:rPr>
                              <w:t>Miranda Gorman, Research Fellow</w:t>
                            </w:r>
                          </w:p>
                          <w:p w14:paraId="1C3CFB47" w14:textId="67C565E0" w:rsidR="000D0D19" w:rsidRPr="007C13A6" w:rsidRDefault="000D0D19" w:rsidP="007864AB">
                            <w:pPr>
                              <w:rPr>
                                <w:rFonts w:cs="Times New Roman"/>
                                <w:smallCaps/>
                                <w:color w:val="404040" w:themeColor="text1" w:themeTint="BF"/>
                                <w:sz w:val="28"/>
                                <w:szCs w:val="28"/>
                              </w:rPr>
                            </w:pPr>
                            <w:r w:rsidRPr="00D053FB">
                              <w:rPr>
                                <w:rFonts w:cs="Times New Roman"/>
                                <w:smallCaps/>
                                <w:color w:val="404040" w:themeColor="text1" w:themeTint="BF"/>
                                <w:sz w:val="28"/>
                                <w:szCs w:val="28"/>
                              </w:rPr>
                              <w:t xml:space="preserve">Troy </w:t>
                            </w:r>
                            <w:proofErr w:type="spellStart"/>
                            <w:r w:rsidRPr="00D053FB">
                              <w:rPr>
                                <w:rFonts w:cs="Times New Roman"/>
                                <w:smallCaps/>
                                <w:color w:val="404040" w:themeColor="text1" w:themeTint="BF"/>
                                <w:sz w:val="28"/>
                                <w:szCs w:val="28"/>
                              </w:rPr>
                              <w:t>Hottle</w:t>
                            </w:r>
                            <w:proofErr w:type="spellEnd"/>
                            <w:r w:rsidRPr="00D053FB">
                              <w:rPr>
                                <w:rFonts w:cs="Times New Roman"/>
                                <w:smallCaps/>
                                <w:color w:val="404040" w:themeColor="text1" w:themeTint="BF"/>
                                <w:sz w:val="28"/>
                                <w:szCs w:val="28"/>
                              </w:rPr>
                              <w:t xml:space="preserve">, Arizona State University </w:t>
                            </w:r>
                          </w:p>
                          <w:p w14:paraId="4481356F" w14:textId="6C098178" w:rsidR="000D0D19" w:rsidRPr="00EB247F" w:rsidRDefault="000D0D19"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18F331C0" w:rsidR="000D0D19" w:rsidRPr="00E6531F" w:rsidRDefault="00063907" w:rsidP="007864AB">
                            <w:pPr>
                              <w:rPr>
                                <w:rFonts w:asciiTheme="minorHAnsi" w:hAnsiTheme="minorHAnsi"/>
                                <w:smallCaps/>
                                <w:color w:val="000000" w:themeColor="text1"/>
                                <w:sz w:val="20"/>
                                <w:szCs w:val="20"/>
                                <w:lang w:val="pt-PT"/>
                              </w:rPr>
                            </w:pPr>
                            <w:hyperlink r:id="rId10" w:history="1">
                              <w:r w:rsidR="000D0D19" w:rsidRPr="00E6531F">
                                <w:rPr>
                                  <w:rFonts w:asciiTheme="minorHAnsi" w:hAnsiTheme="minorHAnsi"/>
                                  <w:color w:val="000000" w:themeColor="text1"/>
                                  <w:lang w:val="pt-PT"/>
                                </w:rPr>
                                <w:t>info@drawdown.org</w:t>
                              </w:r>
                            </w:hyperlink>
                            <w:r w:rsidR="000D0D19" w:rsidRPr="00E6531F">
                              <w:rPr>
                                <w:rFonts w:asciiTheme="minorHAnsi" w:hAnsiTheme="minorHAnsi"/>
                                <w:smallCaps/>
                                <w:color w:val="000000" w:themeColor="text1"/>
                                <w:sz w:val="20"/>
                                <w:szCs w:val="20"/>
                                <w:lang w:val="pt-PT"/>
                              </w:rPr>
                              <w:t xml:space="preserve">             </w:t>
                            </w:r>
                            <w:hyperlink r:id="rId11" w:history="1">
                              <w:r w:rsidR="000D0D19" w:rsidRPr="00E6531F">
                                <w:rPr>
                                  <w:rFonts w:asciiTheme="minorHAnsi" w:hAnsiTheme="minorHAnsi"/>
                                  <w:color w:val="000000" w:themeColor="text1"/>
                                  <w:lang w:val="pt-PT"/>
                                </w:rPr>
                                <w:t>www.drawdown.org</w:t>
                              </w:r>
                            </w:hyperlink>
                            <w:r w:rsidR="000D0D19" w:rsidRPr="00E6531F">
                              <w:rPr>
                                <w:rFonts w:asciiTheme="minorHAnsi" w:hAnsiTheme="minorHAnsi"/>
                                <w:smallCaps/>
                                <w:color w:val="000000" w:themeColor="text1"/>
                                <w:sz w:val="20"/>
                                <w:szCs w:val="20"/>
                                <w:lang w:val="pt-PT"/>
                              </w:rPr>
                              <w:t xml:space="preserve">  </w:t>
                            </w:r>
                          </w:p>
                          <w:p w14:paraId="05DAFFE7" w14:textId="77777777" w:rsidR="000D0D19" w:rsidRPr="00E6531F" w:rsidRDefault="000D0D19" w:rsidP="00C81D94">
                            <w:pPr>
                              <w:rPr>
                                <w:rFonts w:cs="Times New Roman"/>
                                <w:smallCaps/>
                                <w:color w:val="404040" w:themeColor="text1" w:themeTint="BF"/>
                                <w:sz w:val="36"/>
                                <w:szCs w:val="36"/>
                                <w:lang w:val="pt-PT"/>
                              </w:rPr>
                            </w:pPr>
                          </w:p>
                          <w:p w14:paraId="3D97FBF6" w14:textId="77777777" w:rsidR="000D0D19" w:rsidRPr="00E6531F" w:rsidRDefault="000D0D19"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3A69A438" w14:textId="77777777" w:rsidR="000D0D19" w:rsidRPr="00E91BE1" w:rsidRDefault="000D0D1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20D8872E" w:rsidR="000D0D19" w:rsidRPr="00E91BE1" w:rsidRDefault="000D0D1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Bioplastics</w:t>
                      </w:r>
                    </w:p>
                    <w:p w14:paraId="6774E85B" w14:textId="77777777" w:rsidR="000D0D19" w:rsidRPr="00EB247F" w:rsidRDefault="000D0D19" w:rsidP="00EB247F">
                      <w:pPr>
                        <w:spacing w:line="240" w:lineRule="auto"/>
                        <w:jc w:val="center"/>
                        <w:rPr>
                          <w:rFonts w:cs="Times New Roman"/>
                          <w:smallCaps/>
                          <w:color w:val="404040" w:themeColor="text1" w:themeTint="BF"/>
                          <w:sz w:val="36"/>
                          <w:szCs w:val="36"/>
                        </w:rPr>
                      </w:pPr>
                    </w:p>
                    <w:p w14:paraId="4699D449" w14:textId="46448EDE" w:rsidR="000D0D19" w:rsidRPr="00E91BE1" w:rsidRDefault="000D0D1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Materials</w:t>
                      </w:r>
                    </w:p>
                    <w:p w14:paraId="5E6FD87C" w14:textId="77777777" w:rsidR="000D0D19" w:rsidRDefault="000D0D19" w:rsidP="00667919">
                      <w:pPr>
                        <w:jc w:val="center"/>
                        <w:rPr>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w:t>
                      </w:r>
                      <w:r>
                        <w:rPr>
                          <w:smallCaps/>
                          <w:color w:val="404040" w:themeColor="text1" w:themeTint="BF"/>
                          <w:sz w:val="36"/>
                          <w:szCs w:val="36"/>
                        </w:rPr>
                        <w:t>Primary Consumer/Product Manufacturer</w:t>
                      </w:r>
                    </w:p>
                    <w:p w14:paraId="29D510C4" w14:textId="53374A37" w:rsidR="000D0D19" w:rsidRPr="00E91BE1" w:rsidRDefault="000D0D1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B0419B">
                        <w:rPr>
                          <w:rFonts w:cs="Times New Roman"/>
                          <w:smallCaps/>
                          <w:color w:val="404040" w:themeColor="text1" w:themeTint="BF"/>
                          <w:sz w:val="36"/>
                          <w:szCs w:val="36"/>
                        </w:rPr>
                        <w:t>biopolymer, plastic</w:t>
                      </w:r>
                    </w:p>
                    <w:p w14:paraId="4FD71E35" w14:textId="3DC42A3B" w:rsidR="000D0D19" w:rsidRDefault="000D0D19" w:rsidP="00FB2C53"/>
                    <w:p w14:paraId="2994F692" w14:textId="77777777" w:rsidR="000D0D19" w:rsidRDefault="000D0D19" w:rsidP="00FB2C53"/>
                    <w:p w14:paraId="0AAEA688" w14:textId="77777777" w:rsidR="000D0D19" w:rsidRDefault="000D0D19" w:rsidP="00FB2C53"/>
                    <w:p w14:paraId="693769A0" w14:textId="3DBE305F" w:rsidR="000D0D19" w:rsidRPr="00E91BE1" w:rsidRDefault="007C13A6" w:rsidP="00FB2C53">
                      <w:pPr>
                        <w:spacing w:after="0" w:line="240" w:lineRule="auto"/>
                        <w:jc w:val="center"/>
                        <w:rPr>
                          <w:rFonts w:cs="Times New Roman"/>
                          <w:smallCaps/>
                          <w:color w:val="404040" w:themeColor="text1" w:themeTint="BF"/>
                          <w:sz w:val="36"/>
                          <w:szCs w:val="36"/>
                        </w:rPr>
                      </w:pPr>
                      <w:proofErr w:type="gramStart"/>
                      <w:r>
                        <w:rPr>
                          <w:rFonts w:cs="Times New Roman"/>
                          <w:smallCaps/>
                          <w:color w:val="404040" w:themeColor="text1" w:themeTint="BF"/>
                          <w:sz w:val="36"/>
                          <w:szCs w:val="36"/>
                        </w:rPr>
                        <w:t>December,</w:t>
                      </w:r>
                      <w:proofErr w:type="gramEnd"/>
                      <w:r>
                        <w:rPr>
                          <w:rFonts w:cs="Times New Roman"/>
                          <w:smallCaps/>
                          <w:color w:val="404040" w:themeColor="text1" w:themeTint="BF"/>
                          <w:sz w:val="36"/>
                          <w:szCs w:val="36"/>
                        </w:rPr>
                        <w:t xml:space="preserve"> 2019</w:t>
                      </w:r>
                    </w:p>
                    <w:p w14:paraId="0DDBFE23" w14:textId="77777777" w:rsidR="000D0D19" w:rsidRPr="000829DC" w:rsidRDefault="000D0D19" w:rsidP="00FB2C53"/>
                    <w:p w14:paraId="4BB1447A" w14:textId="77777777" w:rsidR="000D0D19" w:rsidRDefault="000D0D19" w:rsidP="00FB2C53"/>
                    <w:p w14:paraId="6A9CEC43" w14:textId="77777777" w:rsidR="000D0D19" w:rsidRDefault="000D0D19" w:rsidP="00FB2C53"/>
                    <w:p w14:paraId="2120AE6B" w14:textId="77777777" w:rsidR="000D0D19" w:rsidRDefault="000D0D19" w:rsidP="00FB2C53"/>
                    <w:p w14:paraId="7DCFFDCF" w14:textId="77777777" w:rsidR="000D0D19" w:rsidRDefault="000D0D19" w:rsidP="00FB2C53"/>
                    <w:p w14:paraId="2F48DE38" w14:textId="77777777" w:rsidR="000D0D19" w:rsidRPr="000829DC" w:rsidRDefault="000D0D19" w:rsidP="00FB2C53"/>
                    <w:p w14:paraId="1981D31A" w14:textId="77777777" w:rsidR="000D0D19" w:rsidRPr="00E91BE1" w:rsidRDefault="000D0D1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A35DC2F" w14:textId="4D238C2D" w:rsidR="007C13A6" w:rsidRDefault="007C13A6" w:rsidP="00D053FB">
                      <w:pPr>
                        <w:rPr>
                          <w:rFonts w:cs="Times New Roman"/>
                          <w:smallCaps/>
                          <w:color w:val="404040" w:themeColor="text1" w:themeTint="BF"/>
                          <w:sz w:val="28"/>
                          <w:szCs w:val="28"/>
                        </w:rPr>
                      </w:pPr>
                      <w:r>
                        <w:rPr>
                          <w:rFonts w:cs="Times New Roman"/>
                          <w:smallCaps/>
                          <w:color w:val="404040" w:themeColor="text1" w:themeTint="BF"/>
                          <w:sz w:val="28"/>
                          <w:szCs w:val="28"/>
                        </w:rPr>
                        <w:t>Miranda Gorman, Research Fellow</w:t>
                      </w:r>
                    </w:p>
                    <w:p w14:paraId="1C3CFB47" w14:textId="67C565E0" w:rsidR="000D0D19" w:rsidRPr="007C13A6" w:rsidRDefault="000D0D19" w:rsidP="007864AB">
                      <w:pPr>
                        <w:rPr>
                          <w:rFonts w:cs="Times New Roman"/>
                          <w:smallCaps/>
                          <w:color w:val="404040" w:themeColor="text1" w:themeTint="BF"/>
                          <w:sz w:val="28"/>
                          <w:szCs w:val="28"/>
                        </w:rPr>
                      </w:pPr>
                      <w:r w:rsidRPr="00D053FB">
                        <w:rPr>
                          <w:rFonts w:cs="Times New Roman"/>
                          <w:smallCaps/>
                          <w:color w:val="404040" w:themeColor="text1" w:themeTint="BF"/>
                          <w:sz w:val="28"/>
                          <w:szCs w:val="28"/>
                        </w:rPr>
                        <w:t xml:space="preserve">Troy </w:t>
                      </w:r>
                      <w:proofErr w:type="spellStart"/>
                      <w:r w:rsidRPr="00D053FB">
                        <w:rPr>
                          <w:rFonts w:cs="Times New Roman"/>
                          <w:smallCaps/>
                          <w:color w:val="404040" w:themeColor="text1" w:themeTint="BF"/>
                          <w:sz w:val="28"/>
                          <w:szCs w:val="28"/>
                        </w:rPr>
                        <w:t>Hottle</w:t>
                      </w:r>
                      <w:proofErr w:type="spellEnd"/>
                      <w:r w:rsidRPr="00D053FB">
                        <w:rPr>
                          <w:rFonts w:cs="Times New Roman"/>
                          <w:smallCaps/>
                          <w:color w:val="404040" w:themeColor="text1" w:themeTint="BF"/>
                          <w:sz w:val="28"/>
                          <w:szCs w:val="28"/>
                        </w:rPr>
                        <w:t xml:space="preserve">, Arizona State University </w:t>
                      </w:r>
                    </w:p>
                    <w:p w14:paraId="4481356F" w14:textId="6C098178" w:rsidR="000D0D19" w:rsidRPr="00EB247F" w:rsidRDefault="000D0D19"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18F331C0" w:rsidR="000D0D19" w:rsidRPr="00E6531F" w:rsidRDefault="00063907" w:rsidP="007864AB">
                      <w:pPr>
                        <w:rPr>
                          <w:rFonts w:asciiTheme="minorHAnsi" w:hAnsiTheme="minorHAnsi"/>
                          <w:smallCaps/>
                          <w:color w:val="000000" w:themeColor="text1"/>
                          <w:sz w:val="20"/>
                          <w:szCs w:val="20"/>
                          <w:lang w:val="pt-PT"/>
                        </w:rPr>
                      </w:pPr>
                      <w:hyperlink r:id="rId12" w:history="1">
                        <w:r w:rsidR="000D0D19" w:rsidRPr="00E6531F">
                          <w:rPr>
                            <w:rFonts w:asciiTheme="minorHAnsi" w:hAnsiTheme="minorHAnsi"/>
                            <w:color w:val="000000" w:themeColor="text1"/>
                            <w:lang w:val="pt-PT"/>
                          </w:rPr>
                          <w:t>info@drawdown.org</w:t>
                        </w:r>
                      </w:hyperlink>
                      <w:r w:rsidR="000D0D19" w:rsidRPr="00E6531F">
                        <w:rPr>
                          <w:rFonts w:asciiTheme="minorHAnsi" w:hAnsiTheme="minorHAnsi"/>
                          <w:smallCaps/>
                          <w:color w:val="000000" w:themeColor="text1"/>
                          <w:sz w:val="20"/>
                          <w:szCs w:val="20"/>
                          <w:lang w:val="pt-PT"/>
                        </w:rPr>
                        <w:t xml:space="preserve">             </w:t>
                      </w:r>
                      <w:hyperlink r:id="rId13" w:history="1">
                        <w:r w:rsidR="000D0D19" w:rsidRPr="00E6531F">
                          <w:rPr>
                            <w:rFonts w:asciiTheme="minorHAnsi" w:hAnsiTheme="minorHAnsi"/>
                            <w:color w:val="000000" w:themeColor="text1"/>
                            <w:lang w:val="pt-PT"/>
                          </w:rPr>
                          <w:t>www.drawdown.org</w:t>
                        </w:r>
                      </w:hyperlink>
                      <w:r w:rsidR="000D0D19" w:rsidRPr="00E6531F">
                        <w:rPr>
                          <w:rFonts w:asciiTheme="minorHAnsi" w:hAnsiTheme="minorHAnsi"/>
                          <w:smallCaps/>
                          <w:color w:val="000000" w:themeColor="text1"/>
                          <w:sz w:val="20"/>
                          <w:szCs w:val="20"/>
                          <w:lang w:val="pt-PT"/>
                        </w:rPr>
                        <w:t xml:space="preserve">  </w:t>
                      </w:r>
                    </w:p>
                    <w:p w14:paraId="05DAFFE7" w14:textId="77777777" w:rsidR="000D0D19" w:rsidRPr="00E6531F" w:rsidRDefault="000D0D19" w:rsidP="00C81D94">
                      <w:pPr>
                        <w:rPr>
                          <w:rFonts w:cs="Times New Roman"/>
                          <w:smallCaps/>
                          <w:color w:val="404040" w:themeColor="text1" w:themeTint="BF"/>
                          <w:sz w:val="36"/>
                          <w:szCs w:val="36"/>
                          <w:lang w:val="pt-PT"/>
                        </w:rPr>
                      </w:pPr>
                    </w:p>
                    <w:p w14:paraId="3D97FBF6" w14:textId="77777777" w:rsidR="000D0D19" w:rsidRPr="00E6531F" w:rsidRDefault="000D0D19"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7B080639" w14:textId="1BA8F37E" w:rsidR="00614F20" w:rsidRDefault="00640665">
          <w:pPr>
            <w:pStyle w:val="TOC1"/>
            <w:tabs>
              <w:tab w:val="right" w:leader="dot" w:pos="9350"/>
            </w:tabs>
            <w:rPr>
              <w:rFonts w:asciiTheme="minorHAnsi" w:hAnsiTheme="minorHAnsi"/>
              <w:noProof/>
              <w:sz w:val="24"/>
              <w:szCs w:val="24"/>
              <w:lang w:eastAsia="en-US"/>
            </w:rPr>
          </w:pPr>
          <w:r w:rsidRPr="00C44058">
            <w:fldChar w:fldCharType="begin"/>
          </w:r>
          <w:r w:rsidRPr="00C44058">
            <w:instrText xml:space="preserve"> TOC \o "1-3" \h \z \u </w:instrText>
          </w:r>
          <w:r w:rsidRPr="00C44058">
            <w:fldChar w:fldCharType="separate"/>
          </w:r>
          <w:hyperlink w:anchor="_Toc27472648" w:history="1">
            <w:r w:rsidR="00614F20" w:rsidRPr="00404348">
              <w:rPr>
                <w:rStyle w:val="Hyperlink"/>
                <w:noProof/>
              </w:rPr>
              <w:t>List of Figures</w:t>
            </w:r>
            <w:r w:rsidR="00614F20">
              <w:rPr>
                <w:noProof/>
                <w:webHidden/>
              </w:rPr>
              <w:tab/>
            </w:r>
            <w:r w:rsidR="00614F20">
              <w:rPr>
                <w:noProof/>
                <w:webHidden/>
              </w:rPr>
              <w:fldChar w:fldCharType="begin"/>
            </w:r>
            <w:r w:rsidR="00614F20">
              <w:rPr>
                <w:noProof/>
                <w:webHidden/>
              </w:rPr>
              <w:instrText xml:space="preserve"> PAGEREF _Toc27472648 \h </w:instrText>
            </w:r>
            <w:r w:rsidR="00614F20">
              <w:rPr>
                <w:noProof/>
                <w:webHidden/>
              </w:rPr>
            </w:r>
            <w:r w:rsidR="00614F20">
              <w:rPr>
                <w:noProof/>
                <w:webHidden/>
              </w:rPr>
              <w:fldChar w:fldCharType="separate"/>
            </w:r>
            <w:r w:rsidR="00614F20">
              <w:rPr>
                <w:noProof/>
                <w:webHidden/>
              </w:rPr>
              <w:t>IV</w:t>
            </w:r>
            <w:r w:rsidR="00614F20">
              <w:rPr>
                <w:noProof/>
                <w:webHidden/>
              </w:rPr>
              <w:fldChar w:fldCharType="end"/>
            </w:r>
          </w:hyperlink>
        </w:p>
        <w:p w14:paraId="7DE3A413" w14:textId="188B9B62" w:rsidR="00614F20" w:rsidRDefault="00063907">
          <w:pPr>
            <w:pStyle w:val="TOC1"/>
            <w:tabs>
              <w:tab w:val="right" w:leader="dot" w:pos="9350"/>
            </w:tabs>
            <w:rPr>
              <w:rFonts w:asciiTheme="minorHAnsi" w:hAnsiTheme="minorHAnsi"/>
              <w:noProof/>
              <w:sz w:val="24"/>
              <w:szCs w:val="24"/>
              <w:lang w:eastAsia="en-US"/>
            </w:rPr>
          </w:pPr>
          <w:hyperlink w:anchor="_Toc27472649" w:history="1">
            <w:r w:rsidR="00614F20" w:rsidRPr="00404348">
              <w:rPr>
                <w:rStyle w:val="Hyperlink"/>
                <w:noProof/>
              </w:rPr>
              <w:t>List of Tables</w:t>
            </w:r>
            <w:r w:rsidR="00614F20">
              <w:rPr>
                <w:noProof/>
                <w:webHidden/>
              </w:rPr>
              <w:tab/>
            </w:r>
            <w:r w:rsidR="00614F20">
              <w:rPr>
                <w:noProof/>
                <w:webHidden/>
              </w:rPr>
              <w:fldChar w:fldCharType="begin"/>
            </w:r>
            <w:r w:rsidR="00614F20">
              <w:rPr>
                <w:noProof/>
                <w:webHidden/>
              </w:rPr>
              <w:instrText xml:space="preserve"> PAGEREF _Toc27472649 \h </w:instrText>
            </w:r>
            <w:r w:rsidR="00614F20">
              <w:rPr>
                <w:noProof/>
                <w:webHidden/>
              </w:rPr>
            </w:r>
            <w:r w:rsidR="00614F20">
              <w:rPr>
                <w:noProof/>
                <w:webHidden/>
              </w:rPr>
              <w:fldChar w:fldCharType="separate"/>
            </w:r>
            <w:r w:rsidR="00614F20">
              <w:rPr>
                <w:noProof/>
                <w:webHidden/>
              </w:rPr>
              <w:t>IV</w:t>
            </w:r>
            <w:r w:rsidR="00614F20">
              <w:rPr>
                <w:noProof/>
                <w:webHidden/>
              </w:rPr>
              <w:fldChar w:fldCharType="end"/>
            </w:r>
          </w:hyperlink>
        </w:p>
        <w:p w14:paraId="211A7859" w14:textId="5DE81DCE" w:rsidR="00614F20" w:rsidRDefault="00063907">
          <w:pPr>
            <w:pStyle w:val="TOC1"/>
            <w:tabs>
              <w:tab w:val="right" w:leader="dot" w:pos="9350"/>
            </w:tabs>
            <w:rPr>
              <w:rFonts w:asciiTheme="minorHAnsi" w:hAnsiTheme="minorHAnsi"/>
              <w:noProof/>
              <w:sz w:val="24"/>
              <w:szCs w:val="24"/>
              <w:lang w:eastAsia="en-US"/>
            </w:rPr>
          </w:pPr>
          <w:hyperlink w:anchor="_Toc27472650" w:history="1">
            <w:r w:rsidR="00614F20" w:rsidRPr="00404348">
              <w:rPr>
                <w:rStyle w:val="Hyperlink"/>
                <w:noProof/>
              </w:rPr>
              <w:t>Executive Summary</w:t>
            </w:r>
            <w:r w:rsidR="00614F20">
              <w:rPr>
                <w:noProof/>
                <w:webHidden/>
              </w:rPr>
              <w:tab/>
            </w:r>
            <w:r w:rsidR="00614F20">
              <w:rPr>
                <w:noProof/>
                <w:webHidden/>
              </w:rPr>
              <w:fldChar w:fldCharType="begin"/>
            </w:r>
            <w:r w:rsidR="00614F20">
              <w:rPr>
                <w:noProof/>
                <w:webHidden/>
              </w:rPr>
              <w:instrText xml:space="preserve"> PAGEREF _Toc27472650 \h </w:instrText>
            </w:r>
            <w:r w:rsidR="00614F20">
              <w:rPr>
                <w:noProof/>
                <w:webHidden/>
              </w:rPr>
            </w:r>
            <w:r w:rsidR="00614F20">
              <w:rPr>
                <w:noProof/>
                <w:webHidden/>
              </w:rPr>
              <w:fldChar w:fldCharType="separate"/>
            </w:r>
            <w:r w:rsidR="00614F20">
              <w:rPr>
                <w:noProof/>
                <w:webHidden/>
              </w:rPr>
              <w:t>V</w:t>
            </w:r>
            <w:r w:rsidR="00614F20">
              <w:rPr>
                <w:noProof/>
                <w:webHidden/>
              </w:rPr>
              <w:fldChar w:fldCharType="end"/>
            </w:r>
          </w:hyperlink>
        </w:p>
        <w:p w14:paraId="0F87A329" w14:textId="534AC9BC" w:rsidR="00614F20" w:rsidRDefault="00063907">
          <w:pPr>
            <w:pStyle w:val="TOC1"/>
            <w:tabs>
              <w:tab w:val="left" w:pos="440"/>
              <w:tab w:val="right" w:leader="dot" w:pos="9350"/>
            </w:tabs>
            <w:rPr>
              <w:rFonts w:asciiTheme="minorHAnsi" w:hAnsiTheme="minorHAnsi"/>
              <w:noProof/>
              <w:sz w:val="24"/>
              <w:szCs w:val="24"/>
              <w:lang w:eastAsia="en-US"/>
            </w:rPr>
          </w:pPr>
          <w:hyperlink w:anchor="_Toc27472651" w:history="1">
            <w:r w:rsidR="00614F20" w:rsidRPr="00404348">
              <w:rPr>
                <w:rStyle w:val="Hyperlink"/>
                <w:noProof/>
              </w:rPr>
              <w:t>1</w:t>
            </w:r>
            <w:r w:rsidR="00614F20">
              <w:rPr>
                <w:rFonts w:asciiTheme="minorHAnsi" w:hAnsiTheme="minorHAnsi"/>
                <w:noProof/>
                <w:sz w:val="24"/>
                <w:szCs w:val="24"/>
                <w:lang w:eastAsia="en-US"/>
              </w:rPr>
              <w:tab/>
            </w:r>
            <w:r w:rsidR="00614F20" w:rsidRPr="00404348">
              <w:rPr>
                <w:rStyle w:val="Hyperlink"/>
                <w:noProof/>
              </w:rPr>
              <w:t>Literature Review</w:t>
            </w:r>
            <w:r w:rsidR="00614F20">
              <w:rPr>
                <w:noProof/>
                <w:webHidden/>
              </w:rPr>
              <w:tab/>
            </w:r>
            <w:r w:rsidR="00614F20">
              <w:rPr>
                <w:noProof/>
                <w:webHidden/>
              </w:rPr>
              <w:fldChar w:fldCharType="begin"/>
            </w:r>
            <w:r w:rsidR="00614F20">
              <w:rPr>
                <w:noProof/>
                <w:webHidden/>
              </w:rPr>
              <w:instrText xml:space="preserve"> PAGEREF _Toc27472651 \h </w:instrText>
            </w:r>
            <w:r w:rsidR="00614F20">
              <w:rPr>
                <w:noProof/>
                <w:webHidden/>
              </w:rPr>
            </w:r>
            <w:r w:rsidR="00614F20">
              <w:rPr>
                <w:noProof/>
                <w:webHidden/>
              </w:rPr>
              <w:fldChar w:fldCharType="separate"/>
            </w:r>
            <w:r w:rsidR="00614F20">
              <w:rPr>
                <w:noProof/>
                <w:webHidden/>
              </w:rPr>
              <w:t>1</w:t>
            </w:r>
            <w:r w:rsidR="00614F20">
              <w:rPr>
                <w:noProof/>
                <w:webHidden/>
              </w:rPr>
              <w:fldChar w:fldCharType="end"/>
            </w:r>
          </w:hyperlink>
        </w:p>
        <w:p w14:paraId="618B118B" w14:textId="6006471F" w:rsidR="00614F20" w:rsidRDefault="00063907">
          <w:pPr>
            <w:pStyle w:val="TOC2"/>
            <w:tabs>
              <w:tab w:val="left" w:pos="960"/>
              <w:tab w:val="right" w:leader="dot" w:pos="9350"/>
            </w:tabs>
            <w:rPr>
              <w:rFonts w:asciiTheme="minorHAnsi" w:hAnsiTheme="minorHAnsi"/>
              <w:noProof/>
              <w:sz w:val="24"/>
              <w:szCs w:val="24"/>
              <w:lang w:eastAsia="en-US"/>
            </w:rPr>
          </w:pPr>
          <w:hyperlink w:anchor="_Toc27472652" w:history="1">
            <w:r w:rsidR="00614F20" w:rsidRPr="00404348">
              <w:rPr>
                <w:rStyle w:val="Hyperlink"/>
                <w:noProof/>
              </w:rPr>
              <w:t>1.1.</w:t>
            </w:r>
            <w:r w:rsidR="00614F20">
              <w:rPr>
                <w:rFonts w:asciiTheme="minorHAnsi" w:hAnsiTheme="minorHAnsi"/>
                <w:noProof/>
                <w:sz w:val="24"/>
                <w:szCs w:val="24"/>
                <w:lang w:eastAsia="en-US"/>
              </w:rPr>
              <w:tab/>
            </w:r>
            <w:r w:rsidR="00614F20" w:rsidRPr="00404348">
              <w:rPr>
                <w:rStyle w:val="Hyperlink"/>
                <w:noProof/>
              </w:rPr>
              <w:t>State of Bioplastics</w:t>
            </w:r>
            <w:r w:rsidR="00614F20">
              <w:rPr>
                <w:noProof/>
                <w:webHidden/>
              </w:rPr>
              <w:tab/>
            </w:r>
            <w:r w:rsidR="00614F20">
              <w:rPr>
                <w:noProof/>
                <w:webHidden/>
              </w:rPr>
              <w:fldChar w:fldCharType="begin"/>
            </w:r>
            <w:r w:rsidR="00614F20">
              <w:rPr>
                <w:noProof/>
                <w:webHidden/>
              </w:rPr>
              <w:instrText xml:space="preserve"> PAGEREF _Toc27472652 \h </w:instrText>
            </w:r>
            <w:r w:rsidR="00614F20">
              <w:rPr>
                <w:noProof/>
                <w:webHidden/>
              </w:rPr>
            </w:r>
            <w:r w:rsidR="00614F20">
              <w:rPr>
                <w:noProof/>
                <w:webHidden/>
              </w:rPr>
              <w:fldChar w:fldCharType="separate"/>
            </w:r>
            <w:r w:rsidR="00614F20">
              <w:rPr>
                <w:noProof/>
                <w:webHidden/>
              </w:rPr>
              <w:t>1</w:t>
            </w:r>
            <w:r w:rsidR="00614F20">
              <w:rPr>
                <w:noProof/>
                <w:webHidden/>
              </w:rPr>
              <w:fldChar w:fldCharType="end"/>
            </w:r>
          </w:hyperlink>
        </w:p>
        <w:p w14:paraId="2F2CDD6F" w14:textId="39A74C5A" w:rsidR="00614F20" w:rsidRDefault="00063907">
          <w:pPr>
            <w:pStyle w:val="TOC2"/>
            <w:tabs>
              <w:tab w:val="left" w:pos="960"/>
              <w:tab w:val="right" w:leader="dot" w:pos="9350"/>
            </w:tabs>
            <w:rPr>
              <w:rFonts w:asciiTheme="minorHAnsi" w:hAnsiTheme="minorHAnsi"/>
              <w:noProof/>
              <w:sz w:val="24"/>
              <w:szCs w:val="24"/>
              <w:lang w:eastAsia="en-US"/>
            </w:rPr>
          </w:pPr>
          <w:hyperlink w:anchor="_Toc27472653" w:history="1">
            <w:r w:rsidR="00614F20" w:rsidRPr="00404348">
              <w:rPr>
                <w:rStyle w:val="Hyperlink"/>
                <w:noProof/>
              </w:rPr>
              <w:t>1.2.</w:t>
            </w:r>
            <w:r w:rsidR="00614F20">
              <w:rPr>
                <w:rFonts w:asciiTheme="minorHAnsi" w:hAnsiTheme="minorHAnsi"/>
                <w:noProof/>
                <w:sz w:val="24"/>
                <w:szCs w:val="24"/>
                <w:lang w:eastAsia="en-US"/>
              </w:rPr>
              <w:tab/>
            </w:r>
            <w:r w:rsidR="00614F20" w:rsidRPr="00404348">
              <w:rPr>
                <w:rStyle w:val="Hyperlink"/>
                <w:noProof/>
              </w:rPr>
              <w:t>Adoption Path</w:t>
            </w:r>
            <w:r w:rsidR="00614F20">
              <w:rPr>
                <w:noProof/>
                <w:webHidden/>
              </w:rPr>
              <w:tab/>
            </w:r>
            <w:r w:rsidR="00614F20">
              <w:rPr>
                <w:noProof/>
                <w:webHidden/>
              </w:rPr>
              <w:fldChar w:fldCharType="begin"/>
            </w:r>
            <w:r w:rsidR="00614F20">
              <w:rPr>
                <w:noProof/>
                <w:webHidden/>
              </w:rPr>
              <w:instrText xml:space="preserve"> PAGEREF _Toc27472653 \h </w:instrText>
            </w:r>
            <w:r w:rsidR="00614F20">
              <w:rPr>
                <w:noProof/>
                <w:webHidden/>
              </w:rPr>
            </w:r>
            <w:r w:rsidR="00614F20">
              <w:rPr>
                <w:noProof/>
                <w:webHidden/>
              </w:rPr>
              <w:fldChar w:fldCharType="separate"/>
            </w:r>
            <w:r w:rsidR="00614F20">
              <w:rPr>
                <w:noProof/>
                <w:webHidden/>
              </w:rPr>
              <w:t>3</w:t>
            </w:r>
            <w:r w:rsidR="00614F20">
              <w:rPr>
                <w:noProof/>
                <w:webHidden/>
              </w:rPr>
              <w:fldChar w:fldCharType="end"/>
            </w:r>
          </w:hyperlink>
        </w:p>
        <w:p w14:paraId="6737C04A" w14:textId="3A438A73" w:rsidR="00614F20" w:rsidRDefault="00063907">
          <w:pPr>
            <w:pStyle w:val="TOC3"/>
            <w:tabs>
              <w:tab w:val="left" w:pos="1200"/>
              <w:tab w:val="right" w:leader="dot" w:pos="9350"/>
            </w:tabs>
            <w:rPr>
              <w:rFonts w:asciiTheme="minorHAnsi" w:hAnsiTheme="minorHAnsi"/>
              <w:noProof/>
              <w:sz w:val="24"/>
              <w:szCs w:val="24"/>
              <w:lang w:eastAsia="en-US"/>
            </w:rPr>
          </w:pPr>
          <w:hyperlink w:anchor="_Toc27472654" w:history="1">
            <w:r w:rsidR="00614F20" w:rsidRPr="00404348">
              <w:rPr>
                <w:rStyle w:val="Hyperlink"/>
                <w:noProof/>
              </w:rPr>
              <w:t>1.2.1</w:t>
            </w:r>
            <w:r w:rsidR="00614F20">
              <w:rPr>
                <w:rFonts w:asciiTheme="minorHAnsi" w:hAnsiTheme="minorHAnsi"/>
                <w:noProof/>
                <w:sz w:val="24"/>
                <w:szCs w:val="24"/>
                <w:lang w:eastAsia="en-US"/>
              </w:rPr>
              <w:tab/>
            </w:r>
            <w:r w:rsidR="00614F20" w:rsidRPr="00404348">
              <w:rPr>
                <w:rStyle w:val="Hyperlink"/>
                <w:noProof/>
              </w:rPr>
              <w:t>Current Adoption</w:t>
            </w:r>
            <w:r w:rsidR="00614F20">
              <w:rPr>
                <w:noProof/>
                <w:webHidden/>
              </w:rPr>
              <w:tab/>
            </w:r>
            <w:r w:rsidR="00614F20">
              <w:rPr>
                <w:noProof/>
                <w:webHidden/>
              </w:rPr>
              <w:fldChar w:fldCharType="begin"/>
            </w:r>
            <w:r w:rsidR="00614F20">
              <w:rPr>
                <w:noProof/>
                <w:webHidden/>
              </w:rPr>
              <w:instrText xml:space="preserve"> PAGEREF _Toc27472654 \h </w:instrText>
            </w:r>
            <w:r w:rsidR="00614F20">
              <w:rPr>
                <w:noProof/>
                <w:webHidden/>
              </w:rPr>
            </w:r>
            <w:r w:rsidR="00614F20">
              <w:rPr>
                <w:noProof/>
                <w:webHidden/>
              </w:rPr>
              <w:fldChar w:fldCharType="separate"/>
            </w:r>
            <w:r w:rsidR="00614F20">
              <w:rPr>
                <w:noProof/>
                <w:webHidden/>
              </w:rPr>
              <w:t>3</w:t>
            </w:r>
            <w:r w:rsidR="00614F20">
              <w:rPr>
                <w:noProof/>
                <w:webHidden/>
              </w:rPr>
              <w:fldChar w:fldCharType="end"/>
            </w:r>
          </w:hyperlink>
        </w:p>
        <w:p w14:paraId="60D8D656" w14:textId="08D48148" w:rsidR="00614F20" w:rsidRDefault="00063907">
          <w:pPr>
            <w:pStyle w:val="TOC3"/>
            <w:tabs>
              <w:tab w:val="left" w:pos="1200"/>
              <w:tab w:val="right" w:leader="dot" w:pos="9350"/>
            </w:tabs>
            <w:rPr>
              <w:rFonts w:asciiTheme="minorHAnsi" w:hAnsiTheme="minorHAnsi"/>
              <w:noProof/>
              <w:sz w:val="24"/>
              <w:szCs w:val="24"/>
              <w:lang w:eastAsia="en-US"/>
            </w:rPr>
          </w:pPr>
          <w:hyperlink w:anchor="_Toc27472655" w:history="1">
            <w:r w:rsidR="00614F20" w:rsidRPr="00404348">
              <w:rPr>
                <w:rStyle w:val="Hyperlink"/>
                <w:noProof/>
              </w:rPr>
              <w:t>1.2.2</w:t>
            </w:r>
            <w:r w:rsidR="00614F20">
              <w:rPr>
                <w:rFonts w:asciiTheme="minorHAnsi" w:hAnsiTheme="minorHAnsi"/>
                <w:noProof/>
                <w:sz w:val="24"/>
                <w:szCs w:val="24"/>
                <w:lang w:eastAsia="en-US"/>
              </w:rPr>
              <w:tab/>
            </w:r>
            <w:r w:rsidR="00614F20" w:rsidRPr="00404348">
              <w:rPr>
                <w:rStyle w:val="Hyperlink"/>
                <w:noProof/>
              </w:rPr>
              <w:t>Barriers to Adoption</w:t>
            </w:r>
            <w:r w:rsidR="00614F20">
              <w:rPr>
                <w:noProof/>
                <w:webHidden/>
              </w:rPr>
              <w:tab/>
            </w:r>
            <w:r w:rsidR="00614F20">
              <w:rPr>
                <w:noProof/>
                <w:webHidden/>
              </w:rPr>
              <w:fldChar w:fldCharType="begin"/>
            </w:r>
            <w:r w:rsidR="00614F20">
              <w:rPr>
                <w:noProof/>
                <w:webHidden/>
              </w:rPr>
              <w:instrText xml:space="preserve"> PAGEREF _Toc27472655 \h </w:instrText>
            </w:r>
            <w:r w:rsidR="00614F20">
              <w:rPr>
                <w:noProof/>
                <w:webHidden/>
              </w:rPr>
            </w:r>
            <w:r w:rsidR="00614F20">
              <w:rPr>
                <w:noProof/>
                <w:webHidden/>
              </w:rPr>
              <w:fldChar w:fldCharType="separate"/>
            </w:r>
            <w:r w:rsidR="00614F20">
              <w:rPr>
                <w:noProof/>
                <w:webHidden/>
              </w:rPr>
              <w:t>5</w:t>
            </w:r>
            <w:r w:rsidR="00614F20">
              <w:rPr>
                <w:noProof/>
                <w:webHidden/>
              </w:rPr>
              <w:fldChar w:fldCharType="end"/>
            </w:r>
          </w:hyperlink>
        </w:p>
        <w:p w14:paraId="79A379F4" w14:textId="4383DA97" w:rsidR="00614F20" w:rsidRDefault="00063907">
          <w:pPr>
            <w:pStyle w:val="TOC3"/>
            <w:tabs>
              <w:tab w:val="left" w:pos="1200"/>
              <w:tab w:val="right" w:leader="dot" w:pos="9350"/>
            </w:tabs>
            <w:rPr>
              <w:rFonts w:asciiTheme="minorHAnsi" w:hAnsiTheme="minorHAnsi"/>
              <w:noProof/>
              <w:sz w:val="24"/>
              <w:szCs w:val="24"/>
              <w:lang w:eastAsia="en-US"/>
            </w:rPr>
          </w:pPr>
          <w:hyperlink w:anchor="_Toc27472656" w:history="1">
            <w:r w:rsidR="00614F20" w:rsidRPr="00404348">
              <w:rPr>
                <w:rStyle w:val="Hyperlink"/>
                <w:noProof/>
              </w:rPr>
              <w:t>1.2.3</w:t>
            </w:r>
            <w:r w:rsidR="00614F20">
              <w:rPr>
                <w:rFonts w:asciiTheme="minorHAnsi" w:hAnsiTheme="minorHAnsi"/>
                <w:noProof/>
                <w:sz w:val="24"/>
                <w:szCs w:val="24"/>
                <w:lang w:eastAsia="en-US"/>
              </w:rPr>
              <w:tab/>
            </w:r>
            <w:r w:rsidR="00614F20" w:rsidRPr="00404348">
              <w:rPr>
                <w:rStyle w:val="Hyperlink"/>
                <w:noProof/>
              </w:rPr>
              <w:t>Trends to Accelerate Adoption</w:t>
            </w:r>
            <w:r w:rsidR="00614F20">
              <w:rPr>
                <w:noProof/>
                <w:webHidden/>
              </w:rPr>
              <w:tab/>
            </w:r>
            <w:r w:rsidR="00614F20">
              <w:rPr>
                <w:noProof/>
                <w:webHidden/>
              </w:rPr>
              <w:fldChar w:fldCharType="begin"/>
            </w:r>
            <w:r w:rsidR="00614F20">
              <w:rPr>
                <w:noProof/>
                <w:webHidden/>
              </w:rPr>
              <w:instrText xml:space="preserve"> PAGEREF _Toc27472656 \h </w:instrText>
            </w:r>
            <w:r w:rsidR="00614F20">
              <w:rPr>
                <w:noProof/>
                <w:webHidden/>
              </w:rPr>
            </w:r>
            <w:r w:rsidR="00614F20">
              <w:rPr>
                <w:noProof/>
                <w:webHidden/>
              </w:rPr>
              <w:fldChar w:fldCharType="separate"/>
            </w:r>
            <w:r w:rsidR="00614F20">
              <w:rPr>
                <w:noProof/>
                <w:webHidden/>
              </w:rPr>
              <w:t>5</w:t>
            </w:r>
            <w:r w:rsidR="00614F20">
              <w:rPr>
                <w:noProof/>
                <w:webHidden/>
              </w:rPr>
              <w:fldChar w:fldCharType="end"/>
            </w:r>
          </w:hyperlink>
        </w:p>
        <w:p w14:paraId="0F8A883E" w14:textId="0765C7D5" w:rsidR="00614F20" w:rsidRDefault="00063907">
          <w:pPr>
            <w:pStyle w:val="TOC3"/>
            <w:tabs>
              <w:tab w:val="left" w:pos="1200"/>
              <w:tab w:val="right" w:leader="dot" w:pos="9350"/>
            </w:tabs>
            <w:rPr>
              <w:rFonts w:asciiTheme="minorHAnsi" w:hAnsiTheme="minorHAnsi"/>
              <w:noProof/>
              <w:sz w:val="24"/>
              <w:szCs w:val="24"/>
              <w:lang w:eastAsia="en-US"/>
            </w:rPr>
          </w:pPr>
          <w:hyperlink w:anchor="_Toc27472657" w:history="1">
            <w:r w:rsidR="00614F20" w:rsidRPr="00404348">
              <w:rPr>
                <w:rStyle w:val="Hyperlink"/>
                <w:noProof/>
              </w:rPr>
              <w:t>1.2.4</w:t>
            </w:r>
            <w:r w:rsidR="00614F20">
              <w:rPr>
                <w:rFonts w:asciiTheme="minorHAnsi" w:hAnsiTheme="minorHAnsi"/>
                <w:noProof/>
                <w:sz w:val="24"/>
                <w:szCs w:val="24"/>
                <w:lang w:eastAsia="en-US"/>
              </w:rPr>
              <w:tab/>
            </w:r>
            <w:r w:rsidR="00614F20" w:rsidRPr="00404348">
              <w:rPr>
                <w:rStyle w:val="Hyperlink"/>
                <w:noProof/>
              </w:rPr>
              <w:t>Adoption Potential</w:t>
            </w:r>
            <w:r w:rsidR="00614F20">
              <w:rPr>
                <w:noProof/>
                <w:webHidden/>
              </w:rPr>
              <w:tab/>
            </w:r>
            <w:r w:rsidR="00614F20">
              <w:rPr>
                <w:noProof/>
                <w:webHidden/>
              </w:rPr>
              <w:fldChar w:fldCharType="begin"/>
            </w:r>
            <w:r w:rsidR="00614F20">
              <w:rPr>
                <w:noProof/>
                <w:webHidden/>
              </w:rPr>
              <w:instrText xml:space="preserve"> PAGEREF _Toc27472657 \h </w:instrText>
            </w:r>
            <w:r w:rsidR="00614F20">
              <w:rPr>
                <w:noProof/>
                <w:webHidden/>
              </w:rPr>
            </w:r>
            <w:r w:rsidR="00614F20">
              <w:rPr>
                <w:noProof/>
                <w:webHidden/>
              </w:rPr>
              <w:fldChar w:fldCharType="separate"/>
            </w:r>
            <w:r w:rsidR="00614F20">
              <w:rPr>
                <w:noProof/>
                <w:webHidden/>
              </w:rPr>
              <w:t>6</w:t>
            </w:r>
            <w:r w:rsidR="00614F20">
              <w:rPr>
                <w:noProof/>
                <w:webHidden/>
              </w:rPr>
              <w:fldChar w:fldCharType="end"/>
            </w:r>
          </w:hyperlink>
        </w:p>
        <w:p w14:paraId="50997D14" w14:textId="17BE67C6" w:rsidR="00614F20" w:rsidRDefault="00063907">
          <w:pPr>
            <w:pStyle w:val="TOC2"/>
            <w:tabs>
              <w:tab w:val="left" w:pos="720"/>
              <w:tab w:val="right" w:leader="dot" w:pos="9350"/>
            </w:tabs>
            <w:rPr>
              <w:rFonts w:asciiTheme="minorHAnsi" w:hAnsiTheme="minorHAnsi"/>
              <w:noProof/>
              <w:sz w:val="24"/>
              <w:szCs w:val="24"/>
              <w:lang w:eastAsia="en-US"/>
            </w:rPr>
          </w:pPr>
          <w:hyperlink w:anchor="_Toc27472658" w:history="1">
            <w:r w:rsidR="00614F20">
              <w:rPr>
                <w:rFonts w:asciiTheme="minorHAnsi" w:hAnsiTheme="minorHAnsi"/>
                <w:noProof/>
                <w:sz w:val="24"/>
                <w:szCs w:val="24"/>
                <w:lang w:eastAsia="en-US"/>
              </w:rPr>
              <w:tab/>
            </w:r>
            <w:r w:rsidR="00614F20" w:rsidRPr="00404348">
              <w:rPr>
                <w:rStyle w:val="Hyperlink"/>
                <w:noProof/>
              </w:rPr>
              <w:t>Advantages and Disadvantages of Bioplastics</w:t>
            </w:r>
            <w:r w:rsidR="00614F20">
              <w:rPr>
                <w:noProof/>
                <w:webHidden/>
              </w:rPr>
              <w:tab/>
            </w:r>
            <w:r w:rsidR="00614F20">
              <w:rPr>
                <w:noProof/>
                <w:webHidden/>
              </w:rPr>
              <w:fldChar w:fldCharType="begin"/>
            </w:r>
            <w:r w:rsidR="00614F20">
              <w:rPr>
                <w:noProof/>
                <w:webHidden/>
              </w:rPr>
              <w:instrText xml:space="preserve"> PAGEREF _Toc27472658 \h </w:instrText>
            </w:r>
            <w:r w:rsidR="00614F20">
              <w:rPr>
                <w:noProof/>
                <w:webHidden/>
              </w:rPr>
            </w:r>
            <w:r w:rsidR="00614F20">
              <w:rPr>
                <w:noProof/>
                <w:webHidden/>
              </w:rPr>
              <w:fldChar w:fldCharType="separate"/>
            </w:r>
            <w:r w:rsidR="00614F20">
              <w:rPr>
                <w:noProof/>
                <w:webHidden/>
              </w:rPr>
              <w:t>6</w:t>
            </w:r>
            <w:r w:rsidR="00614F20">
              <w:rPr>
                <w:noProof/>
                <w:webHidden/>
              </w:rPr>
              <w:fldChar w:fldCharType="end"/>
            </w:r>
          </w:hyperlink>
        </w:p>
        <w:p w14:paraId="2B6037D7" w14:textId="5D09D73A" w:rsidR="00614F20" w:rsidRDefault="00063907">
          <w:pPr>
            <w:pStyle w:val="TOC2"/>
            <w:tabs>
              <w:tab w:val="right" w:leader="dot" w:pos="9350"/>
            </w:tabs>
            <w:rPr>
              <w:rFonts w:asciiTheme="minorHAnsi" w:hAnsiTheme="minorHAnsi"/>
              <w:noProof/>
              <w:sz w:val="24"/>
              <w:szCs w:val="24"/>
              <w:lang w:eastAsia="en-US"/>
            </w:rPr>
          </w:pPr>
          <w:hyperlink w:anchor="_Toc27472659" w:history="1">
            <w:r w:rsidR="00614F20" w:rsidRPr="00404348">
              <w:rPr>
                <w:rStyle w:val="Hyperlink"/>
                <w:noProof/>
              </w:rPr>
              <w:t>1.3.</w:t>
            </w:r>
            <w:r w:rsidR="00614F20">
              <w:rPr>
                <w:noProof/>
                <w:webHidden/>
              </w:rPr>
              <w:tab/>
            </w:r>
            <w:r w:rsidR="00614F20">
              <w:rPr>
                <w:noProof/>
                <w:webHidden/>
              </w:rPr>
              <w:fldChar w:fldCharType="begin"/>
            </w:r>
            <w:r w:rsidR="00614F20">
              <w:rPr>
                <w:noProof/>
                <w:webHidden/>
              </w:rPr>
              <w:instrText xml:space="preserve"> PAGEREF _Toc27472659 \h </w:instrText>
            </w:r>
            <w:r w:rsidR="00614F20">
              <w:rPr>
                <w:noProof/>
                <w:webHidden/>
              </w:rPr>
            </w:r>
            <w:r w:rsidR="00614F20">
              <w:rPr>
                <w:noProof/>
                <w:webHidden/>
              </w:rPr>
              <w:fldChar w:fldCharType="separate"/>
            </w:r>
            <w:r w:rsidR="00614F20">
              <w:rPr>
                <w:noProof/>
                <w:webHidden/>
              </w:rPr>
              <w:t>6</w:t>
            </w:r>
            <w:r w:rsidR="00614F20">
              <w:rPr>
                <w:noProof/>
                <w:webHidden/>
              </w:rPr>
              <w:fldChar w:fldCharType="end"/>
            </w:r>
          </w:hyperlink>
        </w:p>
        <w:p w14:paraId="254B0933" w14:textId="3021EA5D" w:rsidR="00614F20" w:rsidRDefault="00063907">
          <w:pPr>
            <w:pStyle w:val="TOC1"/>
            <w:tabs>
              <w:tab w:val="left" w:pos="440"/>
              <w:tab w:val="right" w:leader="dot" w:pos="9350"/>
            </w:tabs>
            <w:rPr>
              <w:rFonts w:asciiTheme="minorHAnsi" w:hAnsiTheme="minorHAnsi"/>
              <w:noProof/>
              <w:sz w:val="24"/>
              <w:szCs w:val="24"/>
              <w:lang w:eastAsia="en-US"/>
            </w:rPr>
          </w:pPr>
          <w:hyperlink w:anchor="_Toc27472660" w:history="1">
            <w:r w:rsidR="00614F20" w:rsidRPr="00404348">
              <w:rPr>
                <w:rStyle w:val="Hyperlink"/>
                <w:noProof/>
              </w:rPr>
              <w:t>2</w:t>
            </w:r>
            <w:r w:rsidR="00614F20">
              <w:rPr>
                <w:rFonts w:asciiTheme="minorHAnsi" w:hAnsiTheme="minorHAnsi"/>
                <w:noProof/>
                <w:sz w:val="24"/>
                <w:szCs w:val="24"/>
                <w:lang w:eastAsia="en-US"/>
              </w:rPr>
              <w:tab/>
            </w:r>
            <w:r w:rsidR="00614F20" w:rsidRPr="00404348">
              <w:rPr>
                <w:rStyle w:val="Hyperlink"/>
                <w:noProof/>
              </w:rPr>
              <w:t>Methodology</w:t>
            </w:r>
            <w:r w:rsidR="00614F20">
              <w:rPr>
                <w:noProof/>
                <w:webHidden/>
              </w:rPr>
              <w:tab/>
            </w:r>
            <w:r w:rsidR="00614F20">
              <w:rPr>
                <w:noProof/>
                <w:webHidden/>
              </w:rPr>
              <w:fldChar w:fldCharType="begin"/>
            </w:r>
            <w:r w:rsidR="00614F20">
              <w:rPr>
                <w:noProof/>
                <w:webHidden/>
              </w:rPr>
              <w:instrText xml:space="preserve"> PAGEREF _Toc27472660 \h </w:instrText>
            </w:r>
            <w:r w:rsidR="00614F20">
              <w:rPr>
                <w:noProof/>
                <w:webHidden/>
              </w:rPr>
            </w:r>
            <w:r w:rsidR="00614F20">
              <w:rPr>
                <w:noProof/>
                <w:webHidden/>
              </w:rPr>
              <w:fldChar w:fldCharType="separate"/>
            </w:r>
            <w:r w:rsidR="00614F20">
              <w:rPr>
                <w:noProof/>
                <w:webHidden/>
              </w:rPr>
              <w:t>9</w:t>
            </w:r>
            <w:r w:rsidR="00614F20">
              <w:rPr>
                <w:noProof/>
                <w:webHidden/>
              </w:rPr>
              <w:fldChar w:fldCharType="end"/>
            </w:r>
          </w:hyperlink>
        </w:p>
        <w:p w14:paraId="4AACB80D" w14:textId="757D5A3F" w:rsidR="00614F20" w:rsidRDefault="00063907">
          <w:pPr>
            <w:pStyle w:val="TOC2"/>
            <w:tabs>
              <w:tab w:val="left" w:pos="960"/>
              <w:tab w:val="right" w:leader="dot" w:pos="9350"/>
            </w:tabs>
            <w:rPr>
              <w:rFonts w:asciiTheme="minorHAnsi" w:hAnsiTheme="minorHAnsi"/>
              <w:noProof/>
              <w:sz w:val="24"/>
              <w:szCs w:val="24"/>
              <w:lang w:eastAsia="en-US"/>
            </w:rPr>
          </w:pPr>
          <w:hyperlink w:anchor="_Toc27472661" w:history="1">
            <w:r w:rsidR="00614F20" w:rsidRPr="00404348">
              <w:rPr>
                <w:rStyle w:val="Hyperlink"/>
                <w:noProof/>
              </w:rPr>
              <w:t>2.1</w:t>
            </w:r>
            <w:r w:rsidR="00614F20">
              <w:rPr>
                <w:rFonts w:asciiTheme="minorHAnsi" w:hAnsiTheme="minorHAnsi"/>
                <w:noProof/>
                <w:sz w:val="24"/>
                <w:szCs w:val="24"/>
                <w:lang w:eastAsia="en-US"/>
              </w:rPr>
              <w:tab/>
            </w:r>
            <w:r w:rsidR="00614F20" w:rsidRPr="00404348">
              <w:rPr>
                <w:rStyle w:val="Hyperlink"/>
                <w:noProof/>
              </w:rPr>
              <w:t>Introduction</w:t>
            </w:r>
            <w:r w:rsidR="00614F20">
              <w:rPr>
                <w:noProof/>
                <w:webHidden/>
              </w:rPr>
              <w:tab/>
            </w:r>
            <w:r w:rsidR="00614F20">
              <w:rPr>
                <w:noProof/>
                <w:webHidden/>
              </w:rPr>
              <w:fldChar w:fldCharType="begin"/>
            </w:r>
            <w:r w:rsidR="00614F20">
              <w:rPr>
                <w:noProof/>
                <w:webHidden/>
              </w:rPr>
              <w:instrText xml:space="preserve"> PAGEREF _Toc27472661 \h </w:instrText>
            </w:r>
            <w:r w:rsidR="00614F20">
              <w:rPr>
                <w:noProof/>
                <w:webHidden/>
              </w:rPr>
            </w:r>
            <w:r w:rsidR="00614F20">
              <w:rPr>
                <w:noProof/>
                <w:webHidden/>
              </w:rPr>
              <w:fldChar w:fldCharType="separate"/>
            </w:r>
            <w:r w:rsidR="00614F20">
              <w:rPr>
                <w:noProof/>
                <w:webHidden/>
              </w:rPr>
              <w:t>9</w:t>
            </w:r>
            <w:r w:rsidR="00614F20">
              <w:rPr>
                <w:noProof/>
                <w:webHidden/>
              </w:rPr>
              <w:fldChar w:fldCharType="end"/>
            </w:r>
          </w:hyperlink>
        </w:p>
        <w:p w14:paraId="5F1DB259" w14:textId="432DE379" w:rsidR="00614F20" w:rsidRDefault="00063907">
          <w:pPr>
            <w:pStyle w:val="TOC2"/>
            <w:tabs>
              <w:tab w:val="left" w:pos="960"/>
              <w:tab w:val="right" w:leader="dot" w:pos="9350"/>
            </w:tabs>
            <w:rPr>
              <w:rFonts w:asciiTheme="minorHAnsi" w:hAnsiTheme="minorHAnsi"/>
              <w:noProof/>
              <w:sz w:val="24"/>
              <w:szCs w:val="24"/>
              <w:lang w:eastAsia="en-US"/>
            </w:rPr>
          </w:pPr>
          <w:hyperlink w:anchor="_Toc27472662" w:history="1">
            <w:r w:rsidR="00614F20" w:rsidRPr="00404348">
              <w:rPr>
                <w:rStyle w:val="Hyperlink"/>
                <w:noProof/>
              </w:rPr>
              <w:t>2.2</w:t>
            </w:r>
            <w:r w:rsidR="00614F20">
              <w:rPr>
                <w:rFonts w:asciiTheme="minorHAnsi" w:hAnsiTheme="minorHAnsi"/>
                <w:noProof/>
                <w:sz w:val="24"/>
                <w:szCs w:val="24"/>
                <w:lang w:eastAsia="en-US"/>
              </w:rPr>
              <w:tab/>
            </w:r>
            <w:r w:rsidR="00614F20" w:rsidRPr="00404348">
              <w:rPr>
                <w:rStyle w:val="Hyperlink"/>
                <w:noProof/>
              </w:rPr>
              <w:t>Data Sources</w:t>
            </w:r>
            <w:r w:rsidR="00614F20">
              <w:rPr>
                <w:noProof/>
                <w:webHidden/>
              </w:rPr>
              <w:tab/>
            </w:r>
            <w:r w:rsidR="00614F20">
              <w:rPr>
                <w:noProof/>
                <w:webHidden/>
              </w:rPr>
              <w:fldChar w:fldCharType="begin"/>
            </w:r>
            <w:r w:rsidR="00614F20">
              <w:rPr>
                <w:noProof/>
                <w:webHidden/>
              </w:rPr>
              <w:instrText xml:space="preserve"> PAGEREF _Toc27472662 \h </w:instrText>
            </w:r>
            <w:r w:rsidR="00614F20">
              <w:rPr>
                <w:noProof/>
                <w:webHidden/>
              </w:rPr>
            </w:r>
            <w:r w:rsidR="00614F20">
              <w:rPr>
                <w:noProof/>
                <w:webHidden/>
              </w:rPr>
              <w:fldChar w:fldCharType="separate"/>
            </w:r>
            <w:r w:rsidR="00614F20">
              <w:rPr>
                <w:noProof/>
                <w:webHidden/>
              </w:rPr>
              <w:t>9</w:t>
            </w:r>
            <w:r w:rsidR="00614F20">
              <w:rPr>
                <w:noProof/>
                <w:webHidden/>
              </w:rPr>
              <w:fldChar w:fldCharType="end"/>
            </w:r>
          </w:hyperlink>
        </w:p>
        <w:p w14:paraId="114FE231" w14:textId="72BFC200" w:rsidR="00614F20" w:rsidRDefault="00063907">
          <w:pPr>
            <w:pStyle w:val="TOC2"/>
            <w:tabs>
              <w:tab w:val="left" w:pos="960"/>
              <w:tab w:val="right" w:leader="dot" w:pos="9350"/>
            </w:tabs>
            <w:rPr>
              <w:rFonts w:asciiTheme="minorHAnsi" w:hAnsiTheme="minorHAnsi"/>
              <w:noProof/>
              <w:sz w:val="24"/>
              <w:szCs w:val="24"/>
              <w:lang w:eastAsia="en-US"/>
            </w:rPr>
          </w:pPr>
          <w:hyperlink w:anchor="_Toc27472663" w:history="1">
            <w:r w:rsidR="00614F20" w:rsidRPr="00404348">
              <w:rPr>
                <w:rStyle w:val="Hyperlink"/>
                <w:noProof/>
              </w:rPr>
              <w:t>2.3</w:t>
            </w:r>
            <w:r w:rsidR="00614F20">
              <w:rPr>
                <w:rFonts w:asciiTheme="minorHAnsi" w:hAnsiTheme="minorHAnsi"/>
                <w:noProof/>
                <w:sz w:val="24"/>
                <w:szCs w:val="24"/>
                <w:lang w:eastAsia="en-US"/>
              </w:rPr>
              <w:tab/>
            </w:r>
            <w:r w:rsidR="00614F20" w:rsidRPr="00404348">
              <w:rPr>
                <w:rStyle w:val="Hyperlink"/>
                <w:noProof/>
              </w:rPr>
              <w:t>Total Addressable Market</w:t>
            </w:r>
            <w:r w:rsidR="00614F20">
              <w:rPr>
                <w:noProof/>
                <w:webHidden/>
              </w:rPr>
              <w:tab/>
            </w:r>
            <w:r w:rsidR="00614F20">
              <w:rPr>
                <w:noProof/>
                <w:webHidden/>
              </w:rPr>
              <w:fldChar w:fldCharType="begin"/>
            </w:r>
            <w:r w:rsidR="00614F20">
              <w:rPr>
                <w:noProof/>
                <w:webHidden/>
              </w:rPr>
              <w:instrText xml:space="preserve"> PAGEREF _Toc27472663 \h </w:instrText>
            </w:r>
            <w:r w:rsidR="00614F20">
              <w:rPr>
                <w:noProof/>
                <w:webHidden/>
              </w:rPr>
            </w:r>
            <w:r w:rsidR="00614F20">
              <w:rPr>
                <w:noProof/>
                <w:webHidden/>
              </w:rPr>
              <w:fldChar w:fldCharType="separate"/>
            </w:r>
            <w:r w:rsidR="00614F20">
              <w:rPr>
                <w:noProof/>
                <w:webHidden/>
              </w:rPr>
              <w:t>10</w:t>
            </w:r>
            <w:r w:rsidR="00614F20">
              <w:rPr>
                <w:noProof/>
                <w:webHidden/>
              </w:rPr>
              <w:fldChar w:fldCharType="end"/>
            </w:r>
          </w:hyperlink>
        </w:p>
        <w:p w14:paraId="40A52DD2" w14:textId="6DC015B4" w:rsidR="00614F20" w:rsidRDefault="00063907">
          <w:pPr>
            <w:pStyle w:val="TOC2"/>
            <w:tabs>
              <w:tab w:val="left" w:pos="960"/>
              <w:tab w:val="right" w:leader="dot" w:pos="9350"/>
            </w:tabs>
            <w:rPr>
              <w:rFonts w:asciiTheme="minorHAnsi" w:hAnsiTheme="minorHAnsi"/>
              <w:noProof/>
              <w:sz w:val="24"/>
              <w:szCs w:val="24"/>
              <w:lang w:eastAsia="en-US"/>
            </w:rPr>
          </w:pPr>
          <w:hyperlink w:anchor="_Toc27472664" w:history="1">
            <w:r w:rsidR="00614F20" w:rsidRPr="00404348">
              <w:rPr>
                <w:rStyle w:val="Hyperlink"/>
                <w:noProof/>
              </w:rPr>
              <w:t>2.4</w:t>
            </w:r>
            <w:r w:rsidR="00614F20">
              <w:rPr>
                <w:rFonts w:asciiTheme="minorHAnsi" w:hAnsiTheme="minorHAnsi"/>
                <w:noProof/>
                <w:sz w:val="24"/>
                <w:szCs w:val="24"/>
                <w:lang w:eastAsia="en-US"/>
              </w:rPr>
              <w:tab/>
            </w:r>
            <w:r w:rsidR="00614F20" w:rsidRPr="00404348">
              <w:rPr>
                <w:rStyle w:val="Hyperlink"/>
                <w:noProof/>
              </w:rPr>
              <w:t>Adoption Scenarios</w:t>
            </w:r>
            <w:r w:rsidR="00614F20">
              <w:rPr>
                <w:noProof/>
                <w:webHidden/>
              </w:rPr>
              <w:tab/>
            </w:r>
            <w:r w:rsidR="00614F20">
              <w:rPr>
                <w:noProof/>
                <w:webHidden/>
              </w:rPr>
              <w:fldChar w:fldCharType="begin"/>
            </w:r>
            <w:r w:rsidR="00614F20">
              <w:rPr>
                <w:noProof/>
                <w:webHidden/>
              </w:rPr>
              <w:instrText xml:space="preserve"> PAGEREF _Toc27472664 \h </w:instrText>
            </w:r>
            <w:r w:rsidR="00614F20">
              <w:rPr>
                <w:noProof/>
                <w:webHidden/>
              </w:rPr>
            </w:r>
            <w:r w:rsidR="00614F20">
              <w:rPr>
                <w:noProof/>
                <w:webHidden/>
              </w:rPr>
              <w:fldChar w:fldCharType="separate"/>
            </w:r>
            <w:r w:rsidR="00614F20">
              <w:rPr>
                <w:noProof/>
                <w:webHidden/>
              </w:rPr>
              <w:t>10</w:t>
            </w:r>
            <w:r w:rsidR="00614F20">
              <w:rPr>
                <w:noProof/>
                <w:webHidden/>
              </w:rPr>
              <w:fldChar w:fldCharType="end"/>
            </w:r>
          </w:hyperlink>
        </w:p>
        <w:p w14:paraId="1BDB97B9" w14:textId="51BF7F50" w:rsidR="00614F20" w:rsidRDefault="00063907">
          <w:pPr>
            <w:pStyle w:val="TOC3"/>
            <w:tabs>
              <w:tab w:val="left" w:pos="1200"/>
              <w:tab w:val="right" w:leader="dot" w:pos="9350"/>
            </w:tabs>
            <w:rPr>
              <w:rFonts w:asciiTheme="minorHAnsi" w:hAnsiTheme="minorHAnsi"/>
              <w:noProof/>
              <w:sz w:val="24"/>
              <w:szCs w:val="24"/>
              <w:lang w:eastAsia="en-US"/>
            </w:rPr>
          </w:pPr>
          <w:hyperlink w:anchor="_Toc27472665" w:history="1">
            <w:r w:rsidR="00614F20" w:rsidRPr="00404348">
              <w:rPr>
                <w:rStyle w:val="Hyperlink"/>
                <w:noProof/>
              </w:rPr>
              <w:t>2.4.1</w:t>
            </w:r>
            <w:r w:rsidR="00614F20">
              <w:rPr>
                <w:rFonts w:asciiTheme="minorHAnsi" w:hAnsiTheme="minorHAnsi"/>
                <w:noProof/>
                <w:sz w:val="24"/>
                <w:szCs w:val="24"/>
                <w:lang w:eastAsia="en-US"/>
              </w:rPr>
              <w:tab/>
            </w:r>
            <w:r w:rsidR="00614F20" w:rsidRPr="00404348">
              <w:rPr>
                <w:rStyle w:val="Hyperlink"/>
                <w:noProof/>
              </w:rPr>
              <w:t>Reference Case / Current Adoption</w:t>
            </w:r>
            <w:r w:rsidR="00614F20">
              <w:rPr>
                <w:noProof/>
                <w:webHidden/>
              </w:rPr>
              <w:tab/>
            </w:r>
            <w:r w:rsidR="00614F20">
              <w:rPr>
                <w:noProof/>
                <w:webHidden/>
              </w:rPr>
              <w:fldChar w:fldCharType="begin"/>
            </w:r>
            <w:r w:rsidR="00614F20">
              <w:rPr>
                <w:noProof/>
                <w:webHidden/>
              </w:rPr>
              <w:instrText xml:space="preserve"> PAGEREF _Toc27472665 \h </w:instrText>
            </w:r>
            <w:r w:rsidR="00614F20">
              <w:rPr>
                <w:noProof/>
                <w:webHidden/>
              </w:rPr>
            </w:r>
            <w:r w:rsidR="00614F20">
              <w:rPr>
                <w:noProof/>
                <w:webHidden/>
              </w:rPr>
              <w:fldChar w:fldCharType="separate"/>
            </w:r>
            <w:r w:rsidR="00614F20">
              <w:rPr>
                <w:noProof/>
                <w:webHidden/>
              </w:rPr>
              <w:t>10</w:t>
            </w:r>
            <w:r w:rsidR="00614F20">
              <w:rPr>
                <w:noProof/>
                <w:webHidden/>
              </w:rPr>
              <w:fldChar w:fldCharType="end"/>
            </w:r>
          </w:hyperlink>
        </w:p>
        <w:p w14:paraId="52586428" w14:textId="51D4F910" w:rsidR="00614F20" w:rsidRDefault="00063907">
          <w:pPr>
            <w:pStyle w:val="TOC3"/>
            <w:tabs>
              <w:tab w:val="left" w:pos="1200"/>
              <w:tab w:val="right" w:leader="dot" w:pos="9350"/>
            </w:tabs>
            <w:rPr>
              <w:rFonts w:asciiTheme="minorHAnsi" w:hAnsiTheme="minorHAnsi"/>
              <w:noProof/>
              <w:sz w:val="24"/>
              <w:szCs w:val="24"/>
              <w:lang w:eastAsia="en-US"/>
            </w:rPr>
          </w:pPr>
          <w:hyperlink w:anchor="_Toc27472666" w:history="1">
            <w:r w:rsidR="00614F20" w:rsidRPr="00404348">
              <w:rPr>
                <w:rStyle w:val="Hyperlink"/>
                <w:noProof/>
              </w:rPr>
              <w:t>2.4.2</w:t>
            </w:r>
            <w:r w:rsidR="00614F20">
              <w:rPr>
                <w:rFonts w:asciiTheme="minorHAnsi" w:hAnsiTheme="minorHAnsi"/>
                <w:noProof/>
                <w:sz w:val="24"/>
                <w:szCs w:val="24"/>
                <w:lang w:eastAsia="en-US"/>
              </w:rPr>
              <w:tab/>
            </w:r>
            <w:r w:rsidR="00614F20" w:rsidRPr="00404348">
              <w:rPr>
                <w:rStyle w:val="Hyperlink"/>
                <w:noProof/>
              </w:rPr>
              <w:t>Project Drawdown Scenarios</w:t>
            </w:r>
            <w:r w:rsidR="00614F20">
              <w:rPr>
                <w:noProof/>
                <w:webHidden/>
              </w:rPr>
              <w:tab/>
            </w:r>
            <w:r w:rsidR="00614F20">
              <w:rPr>
                <w:noProof/>
                <w:webHidden/>
              </w:rPr>
              <w:fldChar w:fldCharType="begin"/>
            </w:r>
            <w:r w:rsidR="00614F20">
              <w:rPr>
                <w:noProof/>
                <w:webHidden/>
              </w:rPr>
              <w:instrText xml:space="preserve"> PAGEREF _Toc27472666 \h </w:instrText>
            </w:r>
            <w:r w:rsidR="00614F20">
              <w:rPr>
                <w:noProof/>
                <w:webHidden/>
              </w:rPr>
            </w:r>
            <w:r w:rsidR="00614F20">
              <w:rPr>
                <w:noProof/>
                <w:webHidden/>
              </w:rPr>
              <w:fldChar w:fldCharType="separate"/>
            </w:r>
            <w:r w:rsidR="00614F20">
              <w:rPr>
                <w:noProof/>
                <w:webHidden/>
              </w:rPr>
              <w:t>11</w:t>
            </w:r>
            <w:r w:rsidR="00614F20">
              <w:rPr>
                <w:noProof/>
                <w:webHidden/>
              </w:rPr>
              <w:fldChar w:fldCharType="end"/>
            </w:r>
          </w:hyperlink>
        </w:p>
        <w:p w14:paraId="2407251B" w14:textId="283A69C0" w:rsidR="00614F20" w:rsidRDefault="00063907">
          <w:pPr>
            <w:pStyle w:val="TOC2"/>
            <w:tabs>
              <w:tab w:val="left" w:pos="960"/>
              <w:tab w:val="right" w:leader="dot" w:pos="9350"/>
            </w:tabs>
            <w:rPr>
              <w:rFonts w:asciiTheme="minorHAnsi" w:hAnsiTheme="minorHAnsi"/>
              <w:noProof/>
              <w:sz w:val="24"/>
              <w:szCs w:val="24"/>
              <w:lang w:eastAsia="en-US"/>
            </w:rPr>
          </w:pPr>
          <w:hyperlink w:anchor="_Toc27472667" w:history="1">
            <w:r w:rsidR="00614F20" w:rsidRPr="00404348">
              <w:rPr>
                <w:rStyle w:val="Hyperlink"/>
                <w:noProof/>
              </w:rPr>
              <w:t>2.5</w:t>
            </w:r>
            <w:r w:rsidR="00614F20">
              <w:rPr>
                <w:rFonts w:asciiTheme="minorHAnsi" w:hAnsiTheme="minorHAnsi"/>
                <w:noProof/>
                <w:sz w:val="24"/>
                <w:szCs w:val="24"/>
                <w:lang w:eastAsia="en-US"/>
              </w:rPr>
              <w:tab/>
            </w:r>
            <w:r w:rsidR="00614F20" w:rsidRPr="00404348">
              <w:rPr>
                <w:rStyle w:val="Hyperlink"/>
                <w:noProof/>
              </w:rPr>
              <w:t>Inputs</w:t>
            </w:r>
            <w:r w:rsidR="00614F20">
              <w:rPr>
                <w:noProof/>
                <w:webHidden/>
              </w:rPr>
              <w:tab/>
            </w:r>
            <w:r w:rsidR="00614F20">
              <w:rPr>
                <w:noProof/>
                <w:webHidden/>
              </w:rPr>
              <w:fldChar w:fldCharType="begin"/>
            </w:r>
            <w:r w:rsidR="00614F20">
              <w:rPr>
                <w:noProof/>
                <w:webHidden/>
              </w:rPr>
              <w:instrText xml:space="preserve"> PAGEREF _Toc27472667 \h </w:instrText>
            </w:r>
            <w:r w:rsidR="00614F20">
              <w:rPr>
                <w:noProof/>
                <w:webHidden/>
              </w:rPr>
            </w:r>
            <w:r w:rsidR="00614F20">
              <w:rPr>
                <w:noProof/>
                <w:webHidden/>
              </w:rPr>
              <w:fldChar w:fldCharType="separate"/>
            </w:r>
            <w:r w:rsidR="00614F20">
              <w:rPr>
                <w:noProof/>
                <w:webHidden/>
              </w:rPr>
              <w:t>11</w:t>
            </w:r>
            <w:r w:rsidR="00614F20">
              <w:rPr>
                <w:noProof/>
                <w:webHidden/>
              </w:rPr>
              <w:fldChar w:fldCharType="end"/>
            </w:r>
          </w:hyperlink>
        </w:p>
        <w:p w14:paraId="412736BA" w14:textId="79AFDA85" w:rsidR="00614F20" w:rsidRDefault="00063907">
          <w:pPr>
            <w:pStyle w:val="TOC3"/>
            <w:tabs>
              <w:tab w:val="left" w:pos="1200"/>
              <w:tab w:val="right" w:leader="dot" w:pos="9350"/>
            </w:tabs>
            <w:rPr>
              <w:rFonts w:asciiTheme="minorHAnsi" w:hAnsiTheme="minorHAnsi"/>
              <w:noProof/>
              <w:sz w:val="24"/>
              <w:szCs w:val="24"/>
              <w:lang w:eastAsia="en-US"/>
            </w:rPr>
          </w:pPr>
          <w:hyperlink w:anchor="_Toc27472668" w:history="1">
            <w:r w:rsidR="00614F20" w:rsidRPr="00404348">
              <w:rPr>
                <w:rStyle w:val="Hyperlink"/>
                <w:noProof/>
              </w:rPr>
              <w:t>2.5.1</w:t>
            </w:r>
            <w:r w:rsidR="00614F20">
              <w:rPr>
                <w:rFonts w:asciiTheme="minorHAnsi" w:hAnsiTheme="minorHAnsi"/>
                <w:noProof/>
                <w:sz w:val="24"/>
                <w:szCs w:val="24"/>
                <w:lang w:eastAsia="en-US"/>
              </w:rPr>
              <w:tab/>
            </w:r>
            <w:r w:rsidR="00614F20" w:rsidRPr="00404348">
              <w:rPr>
                <w:rStyle w:val="Hyperlink"/>
                <w:noProof/>
              </w:rPr>
              <w:t>Climate Inputs</w:t>
            </w:r>
            <w:r w:rsidR="00614F20">
              <w:rPr>
                <w:noProof/>
                <w:webHidden/>
              </w:rPr>
              <w:tab/>
            </w:r>
            <w:r w:rsidR="00614F20">
              <w:rPr>
                <w:noProof/>
                <w:webHidden/>
              </w:rPr>
              <w:fldChar w:fldCharType="begin"/>
            </w:r>
            <w:r w:rsidR="00614F20">
              <w:rPr>
                <w:noProof/>
                <w:webHidden/>
              </w:rPr>
              <w:instrText xml:space="preserve"> PAGEREF _Toc27472668 \h </w:instrText>
            </w:r>
            <w:r w:rsidR="00614F20">
              <w:rPr>
                <w:noProof/>
                <w:webHidden/>
              </w:rPr>
            </w:r>
            <w:r w:rsidR="00614F20">
              <w:rPr>
                <w:noProof/>
                <w:webHidden/>
              </w:rPr>
              <w:fldChar w:fldCharType="separate"/>
            </w:r>
            <w:r w:rsidR="00614F20">
              <w:rPr>
                <w:noProof/>
                <w:webHidden/>
              </w:rPr>
              <w:t>11</w:t>
            </w:r>
            <w:r w:rsidR="00614F20">
              <w:rPr>
                <w:noProof/>
                <w:webHidden/>
              </w:rPr>
              <w:fldChar w:fldCharType="end"/>
            </w:r>
          </w:hyperlink>
        </w:p>
        <w:p w14:paraId="186B6712" w14:textId="356D900F" w:rsidR="00614F20" w:rsidRDefault="00063907">
          <w:pPr>
            <w:pStyle w:val="TOC3"/>
            <w:tabs>
              <w:tab w:val="left" w:pos="1200"/>
              <w:tab w:val="right" w:leader="dot" w:pos="9350"/>
            </w:tabs>
            <w:rPr>
              <w:rFonts w:asciiTheme="minorHAnsi" w:hAnsiTheme="minorHAnsi"/>
              <w:noProof/>
              <w:sz w:val="24"/>
              <w:szCs w:val="24"/>
              <w:lang w:eastAsia="en-US"/>
            </w:rPr>
          </w:pPr>
          <w:hyperlink w:anchor="_Toc27472670" w:history="1">
            <w:r w:rsidR="00614F20" w:rsidRPr="00404348">
              <w:rPr>
                <w:rStyle w:val="Hyperlink"/>
                <w:noProof/>
              </w:rPr>
              <w:t>2.5.2</w:t>
            </w:r>
            <w:r w:rsidR="00614F20">
              <w:rPr>
                <w:rFonts w:asciiTheme="minorHAnsi" w:hAnsiTheme="minorHAnsi"/>
                <w:noProof/>
                <w:sz w:val="24"/>
                <w:szCs w:val="24"/>
                <w:lang w:eastAsia="en-US"/>
              </w:rPr>
              <w:tab/>
            </w:r>
            <w:r w:rsidR="00614F20" w:rsidRPr="00404348">
              <w:rPr>
                <w:rStyle w:val="Hyperlink"/>
                <w:noProof/>
              </w:rPr>
              <w:t>Financial Inputs</w:t>
            </w:r>
            <w:r w:rsidR="00614F20">
              <w:rPr>
                <w:noProof/>
                <w:webHidden/>
              </w:rPr>
              <w:tab/>
            </w:r>
            <w:r w:rsidR="00614F20">
              <w:rPr>
                <w:noProof/>
                <w:webHidden/>
              </w:rPr>
              <w:fldChar w:fldCharType="begin"/>
            </w:r>
            <w:r w:rsidR="00614F20">
              <w:rPr>
                <w:noProof/>
                <w:webHidden/>
              </w:rPr>
              <w:instrText xml:space="preserve"> PAGEREF _Toc27472670 \h </w:instrText>
            </w:r>
            <w:r w:rsidR="00614F20">
              <w:rPr>
                <w:noProof/>
                <w:webHidden/>
              </w:rPr>
            </w:r>
            <w:r w:rsidR="00614F20">
              <w:rPr>
                <w:noProof/>
                <w:webHidden/>
              </w:rPr>
              <w:fldChar w:fldCharType="separate"/>
            </w:r>
            <w:r w:rsidR="00614F20">
              <w:rPr>
                <w:noProof/>
                <w:webHidden/>
              </w:rPr>
              <w:t>12</w:t>
            </w:r>
            <w:r w:rsidR="00614F20">
              <w:rPr>
                <w:noProof/>
                <w:webHidden/>
              </w:rPr>
              <w:fldChar w:fldCharType="end"/>
            </w:r>
          </w:hyperlink>
        </w:p>
        <w:p w14:paraId="6B5DEDC9" w14:textId="31A0E5BF" w:rsidR="00614F20" w:rsidRDefault="00063907">
          <w:pPr>
            <w:pStyle w:val="TOC2"/>
            <w:tabs>
              <w:tab w:val="left" w:pos="960"/>
              <w:tab w:val="right" w:leader="dot" w:pos="9350"/>
            </w:tabs>
            <w:rPr>
              <w:rFonts w:asciiTheme="minorHAnsi" w:hAnsiTheme="minorHAnsi"/>
              <w:noProof/>
              <w:sz w:val="24"/>
              <w:szCs w:val="24"/>
              <w:lang w:eastAsia="en-US"/>
            </w:rPr>
          </w:pPr>
          <w:hyperlink w:anchor="_Toc27472671" w:history="1">
            <w:r w:rsidR="00614F20" w:rsidRPr="00404348">
              <w:rPr>
                <w:rStyle w:val="Hyperlink"/>
                <w:noProof/>
              </w:rPr>
              <w:t>2.6</w:t>
            </w:r>
            <w:r w:rsidR="00614F20">
              <w:rPr>
                <w:rFonts w:asciiTheme="minorHAnsi" w:hAnsiTheme="minorHAnsi"/>
                <w:noProof/>
                <w:sz w:val="24"/>
                <w:szCs w:val="24"/>
                <w:lang w:eastAsia="en-US"/>
              </w:rPr>
              <w:tab/>
            </w:r>
            <w:r w:rsidR="00614F20" w:rsidRPr="00404348">
              <w:rPr>
                <w:rStyle w:val="Hyperlink"/>
                <w:noProof/>
              </w:rPr>
              <w:t>Assumptions</w:t>
            </w:r>
            <w:r w:rsidR="00614F20">
              <w:rPr>
                <w:noProof/>
                <w:webHidden/>
              </w:rPr>
              <w:tab/>
            </w:r>
            <w:r w:rsidR="00614F20">
              <w:rPr>
                <w:noProof/>
                <w:webHidden/>
              </w:rPr>
              <w:fldChar w:fldCharType="begin"/>
            </w:r>
            <w:r w:rsidR="00614F20">
              <w:rPr>
                <w:noProof/>
                <w:webHidden/>
              </w:rPr>
              <w:instrText xml:space="preserve"> PAGEREF _Toc27472671 \h </w:instrText>
            </w:r>
            <w:r w:rsidR="00614F20">
              <w:rPr>
                <w:noProof/>
                <w:webHidden/>
              </w:rPr>
            </w:r>
            <w:r w:rsidR="00614F20">
              <w:rPr>
                <w:noProof/>
                <w:webHidden/>
              </w:rPr>
              <w:fldChar w:fldCharType="separate"/>
            </w:r>
            <w:r w:rsidR="00614F20">
              <w:rPr>
                <w:noProof/>
                <w:webHidden/>
              </w:rPr>
              <w:t>13</w:t>
            </w:r>
            <w:r w:rsidR="00614F20">
              <w:rPr>
                <w:noProof/>
                <w:webHidden/>
              </w:rPr>
              <w:fldChar w:fldCharType="end"/>
            </w:r>
          </w:hyperlink>
        </w:p>
        <w:p w14:paraId="0D782678" w14:textId="1E1D490C" w:rsidR="00614F20" w:rsidRDefault="00063907">
          <w:pPr>
            <w:pStyle w:val="TOC2"/>
            <w:tabs>
              <w:tab w:val="left" w:pos="960"/>
              <w:tab w:val="right" w:leader="dot" w:pos="9350"/>
            </w:tabs>
            <w:rPr>
              <w:rFonts w:asciiTheme="minorHAnsi" w:hAnsiTheme="minorHAnsi"/>
              <w:noProof/>
              <w:sz w:val="24"/>
              <w:szCs w:val="24"/>
              <w:lang w:eastAsia="en-US"/>
            </w:rPr>
          </w:pPr>
          <w:hyperlink w:anchor="_Toc27472672" w:history="1">
            <w:r w:rsidR="00614F20" w:rsidRPr="00404348">
              <w:rPr>
                <w:rStyle w:val="Hyperlink"/>
                <w:noProof/>
              </w:rPr>
              <w:t>2.7</w:t>
            </w:r>
            <w:r w:rsidR="00614F20">
              <w:rPr>
                <w:rFonts w:asciiTheme="minorHAnsi" w:hAnsiTheme="minorHAnsi"/>
                <w:noProof/>
                <w:sz w:val="24"/>
                <w:szCs w:val="24"/>
                <w:lang w:eastAsia="en-US"/>
              </w:rPr>
              <w:tab/>
            </w:r>
            <w:r w:rsidR="00614F20" w:rsidRPr="00404348">
              <w:rPr>
                <w:rStyle w:val="Hyperlink"/>
                <w:noProof/>
              </w:rPr>
              <w:t>Integration</w:t>
            </w:r>
            <w:r w:rsidR="00614F20">
              <w:rPr>
                <w:noProof/>
                <w:webHidden/>
              </w:rPr>
              <w:tab/>
            </w:r>
            <w:r w:rsidR="00614F20">
              <w:rPr>
                <w:noProof/>
                <w:webHidden/>
              </w:rPr>
              <w:fldChar w:fldCharType="begin"/>
            </w:r>
            <w:r w:rsidR="00614F20">
              <w:rPr>
                <w:noProof/>
                <w:webHidden/>
              </w:rPr>
              <w:instrText xml:space="preserve"> PAGEREF _Toc27472672 \h </w:instrText>
            </w:r>
            <w:r w:rsidR="00614F20">
              <w:rPr>
                <w:noProof/>
                <w:webHidden/>
              </w:rPr>
            </w:r>
            <w:r w:rsidR="00614F20">
              <w:rPr>
                <w:noProof/>
                <w:webHidden/>
              </w:rPr>
              <w:fldChar w:fldCharType="separate"/>
            </w:r>
            <w:r w:rsidR="00614F20">
              <w:rPr>
                <w:noProof/>
                <w:webHidden/>
              </w:rPr>
              <w:t>13</w:t>
            </w:r>
            <w:r w:rsidR="00614F20">
              <w:rPr>
                <w:noProof/>
                <w:webHidden/>
              </w:rPr>
              <w:fldChar w:fldCharType="end"/>
            </w:r>
          </w:hyperlink>
        </w:p>
        <w:p w14:paraId="5568732E" w14:textId="6CD2FB01" w:rsidR="00614F20" w:rsidRDefault="00063907">
          <w:pPr>
            <w:pStyle w:val="TOC2"/>
            <w:tabs>
              <w:tab w:val="left" w:pos="960"/>
              <w:tab w:val="right" w:leader="dot" w:pos="9350"/>
            </w:tabs>
            <w:rPr>
              <w:rFonts w:asciiTheme="minorHAnsi" w:hAnsiTheme="minorHAnsi"/>
              <w:noProof/>
              <w:sz w:val="24"/>
              <w:szCs w:val="24"/>
              <w:lang w:eastAsia="en-US"/>
            </w:rPr>
          </w:pPr>
          <w:hyperlink w:anchor="_Toc27472673" w:history="1">
            <w:r w:rsidR="00614F20" w:rsidRPr="00404348">
              <w:rPr>
                <w:rStyle w:val="Hyperlink"/>
                <w:noProof/>
              </w:rPr>
              <w:t>2.8</w:t>
            </w:r>
            <w:r w:rsidR="00614F20">
              <w:rPr>
                <w:rFonts w:asciiTheme="minorHAnsi" w:hAnsiTheme="minorHAnsi"/>
                <w:noProof/>
                <w:sz w:val="24"/>
                <w:szCs w:val="24"/>
                <w:lang w:eastAsia="en-US"/>
              </w:rPr>
              <w:tab/>
            </w:r>
            <w:r w:rsidR="00614F20" w:rsidRPr="00404348">
              <w:rPr>
                <w:rStyle w:val="Hyperlink"/>
                <w:noProof/>
              </w:rPr>
              <w:t>Limitations/Further Development</w:t>
            </w:r>
            <w:r w:rsidR="00614F20">
              <w:rPr>
                <w:noProof/>
                <w:webHidden/>
              </w:rPr>
              <w:tab/>
            </w:r>
            <w:r w:rsidR="00614F20">
              <w:rPr>
                <w:noProof/>
                <w:webHidden/>
              </w:rPr>
              <w:fldChar w:fldCharType="begin"/>
            </w:r>
            <w:r w:rsidR="00614F20">
              <w:rPr>
                <w:noProof/>
                <w:webHidden/>
              </w:rPr>
              <w:instrText xml:space="preserve"> PAGEREF _Toc27472673 \h </w:instrText>
            </w:r>
            <w:r w:rsidR="00614F20">
              <w:rPr>
                <w:noProof/>
                <w:webHidden/>
              </w:rPr>
            </w:r>
            <w:r w:rsidR="00614F20">
              <w:rPr>
                <w:noProof/>
                <w:webHidden/>
              </w:rPr>
              <w:fldChar w:fldCharType="separate"/>
            </w:r>
            <w:r w:rsidR="00614F20">
              <w:rPr>
                <w:noProof/>
                <w:webHidden/>
              </w:rPr>
              <w:t>13</w:t>
            </w:r>
            <w:r w:rsidR="00614F20">
              <w:rPr>
                <w:noProof/>
                <w:webHidden/>
              </w:rPr>
              <w:fldChar w:fldCharType="end"/>
            </w:r>
          </w:hyperlink>
        </w:p>
        <w:p w14:paraId="23177E49" w14:textId="269D514F" w:rsidR="00614F20" w:rsidRDefault="00063907">
          <w:pPr>
            <w:pStyle w:val="TOC1"/>
            <w:tabs>
              <w:tab w:val="left" w:pos="440"/>
              <w:tab w:val="right" w:leader="dot" w:pos="9350"/>
            </w:tabs>
            <w:rPr>
              <w:rFonts w:asciiTheme="minorHAnsi" w:hAnsiTheme="minorHAnsi"/>
              <w:noProof/>
              <w:sz w:val="24"/>
              <w:szCs w:val="24"/>
              <w:lang w:eastAsia="en-US"/>
            </w:rPr>
          </w:pPr>
          <w:hyperlink w:anchor="_Toc27472674" w:history="1">
            <w:r w:rsidR="00614F20" w:rsidRPr="00404348">
              <w:rPr>
                <w:rStyle w:val="Hyperlink"/>
                <w:noProof/>
              </w:rPr>
              <w:t>3</w:t>
            </w:r>
            <w:r w:rsidR="00614F20">
              <w:rPr>
                <w:rFonts w:asciiTheme="minorHAnsi" w:hAnsiTheme="minorHAnsi"/>
                <w:noProof/>
                <w:sz w:val="24"/>
                <w:szCs w:val="24"/>
                <w:lang w:eastAsia="en-US"/>
              </w:rPr>
              <w:tab/>
            </w:r>
            <w:r w:rsidR="00614F20" w:rsidRPr="00404348">
              <w:rPr>
                <w:rStyle w:val="Hyperlink"/>
                <w:noProof/>
              </w:rPr>
              <w:t>Results</w:t>
            </w:r>
            <w:r w:rsidR="00614F20">
              <w:rPr>
                <w:noProof/>
                <w:webHidden/>
              </w:rPr>
              <w:tab/>
            </w:r>
            <w:r w:rsidR="00614F20">
              <w:rPr>
                <w:noProof/>
                <w:webHidden/>
              </w:rPr>
              <w:fldChar w:fldCharType="begin"/>
            </w:r>
            <w:r w:rsidR="00614F20">
              <w:rPr>
                <w:noProof/>
                <w:webHidden/>
              </w:rPr>
              <w:instrText xml:space="preserve"> PAGEREF _Toc27472674 \h </w:instrText>
            </w:r>
            <w:r w:rsidR="00614F20">
              <w:rPr>
                <w:noProof/>
                <w:webHidden/>
              </w:rPr>
            </w:r>
            <w:r w:rsidR="00614F20">
              <w:rPr>
                <w:noProof/>
                <w:webHidden/>
              </w:rPr>
              <w:fldChar w:fldCharType="separate"/>
            </w:r>
            <w:r w:rsidR="00614F20">
              <w:rPr>
                <w:noProof/>
                <w:webHidden/>
              </w:rPr>
              <w:t>13</w:t>
            </w:r>
            <w:r w:rsidR="00614F20">
              <w:rPr>
                <w:noProof/>
                <w:webHidden/>
              </w:rPr>
              <w:fldChar w:fldCharType="end"/>
            </w:r>
          </w:hyperlink>
        </w:p>
        <w:p w14:paraId="57547070" w14:textId="3FD88BA9" w:rsidR="00614F20" w:rsidRDefault="00063907">
          <w:pPr>
            <w:pStyle w:val="TOC2"/>
            <w:tabs>
              <w:tab w:val="left" w:pos="960"/>
              <w:tab w:val="right" w:leader="dot" w:pos="9350"/>
            </w:tabs>
            <w:rPr>
              <w:rFonts w:asciiTheme="minorHAnsi" w:hAnsiTheme="minorHAnsi"/>
              <w:noProof/>
              <w:sz w:val="24"/>
              <w:szCs w:val="24"/>
              <w:lang w:eastAsia="en-US"/>
            </w:rPr>
          </w:pPr>
          <w:hyperlink w:anchor="_Toc27472676" w:history="1">
            <w:r w:rsidR="00614F20" w:rsidRPr="00404348">
              <w:rPr>
                <w:rStyle w:val="Hyperlink"/>
                <w:noProof/>
              </w:rPr>
              <w:t>3.2</w:t>
            </w:r>
            <w:r w:rsidR="00614F20">
              <w:rPr>
                <w:rFonts w:asciiTheme="minorHAnsi" w:hAnsiTheme="minorHAnsi"/>
                <w:noProof/>
                <w:sz w:val="24"/>
                <w:szCs w:val="24"/>
                <w:lang w:eastAsia="en-US"/>
              </w:rPr>
              <w:tab/>
            </w:r>
            <w:r w:rsidR="00614F20" w:rsidRPr="00404348">
              <w:rPr>
                <w:rStyle w:val="Hyperlink"/>
                <w:noProof/>
              </w:rPr>
              <w:t>Adoption</w:t>
            </w:r>
            <w:r w:rsidR="00614F20">
              <w:rPr>
                <w:noProof/>
                <w:webHidden/>
              </w:rPr>
              <w:tab/>
            </w:r>
            <w:r w:rsidR="00614F20">
              <w:rPr>
                <w:noProof/>
                <w:webHidden/>
              </w:rPr>
              <w:fldChar w:fldCharType="begin"/>
            </w:r>
            <w:r w:rsidR="00614F20">
              <w:rPr>
                <w:noProof/>
                <w:webHidden/>
              </w:rPr>
              <w:instrText xml:space="preserve"> PAGEREF _Toc27472676 \h </w:instrText>
            </w:r>
            <w:r w:rsidR="00614F20">
              <w:rPr>
                <w:noProof/>
                <w:webHidden/>
              </w:rPr>
            </w:r>
            <w:r w:rsidR="00614F20">
              <w:rPr>
                <w:noProof/>
                <w:webHidden/>
              </w:rPr>
              <w:fldChar w:fldCharType="separate"/>
            </w:r>
            <w:r w:rsidR="00614F20">
              <w:rPr>
                <w:noProof/>
                <w:webHidden/>
              </w:rPr>
              <w:t>15</w:t>
            </w:r>
            <w:r w:rsidR="00614F20">
              <w:rPr>
                <w:noProof/>
                <w:webHidden/>
              </w:rPr>
              <w:fldChar w:fldCharType="end"/>
            </w:r>
          </w:hyperlink>
        </w:p>
        <w:p w14:paraId="5D6A622F" w14:textId="449F4788" w:rsidR="00614F20" w:rsidRDefault="00063907">
          <w:pPr>
            <w:pStyle w:val="TOC2"/>
            <w:tabs>
              <w:tab w:val="left" w:pos="960"/>
              <w:tab w:val="right" w:leader="dot" w:pos="9350"/>
            </w:tabs>
            <w:rPr>
              <w:rFonts w:asciiTheme="minorHAnsi" w:hAnsiTheme="minorHAnsi"/>
              <w:noProof/>
              <w:sz w:val="24"/>
              <w:szCs w:val="24"/>
              <w:lang w:eastAsia="en-US"/>
            </w:rPr>
          </w:pPr>
          <w:hyperlink w:anchor="_Toc27472677" w:history="1">
            <w:r w:rsidR="00614F20" w:rsidRPr="00404348">
              <w:rPr>
                <w:rStyle w:val="Hyperlink"/>
                <w:noProof/>
              </w:rPr>
              <w:t>3.3</w:t>
            </w:r>
            <w:r w:rsidR="00614F20">
              <w:rPr>
                <w:rFonts w:asciiTheme="minorHAnsi" w:hAnsiTheme="minorHAnsi"/>
                <w:noProof/>
                <w:sz w:val="24"/>
                <w:szCs w:val="24"/>
                <w:lang w:eastAsia="en-US"/>
              </w:rPr>
              <w:tab/>
            </w:r>
            <w:r w:rsidR="00614F20" w:rsidRPr="00404348">
              <w:rPr>
                <w:rStyle w:val="Hyperlink"/>
                <w:noProof/>
              </w:rPr>
              <w:t>Climate Impacts</w:t>
            </w:r>
            <w:r w:rsidR="00614F20">
              <w:rPr>
                <w:noProof/>
                <w:webHidden/>
              </w:rPr>
              <w:tab/>
            </w:r>
            <w:r w:rsidR="00614F20">
              <w:rPr>
                <w:noProof/>
                <w:webHidden/>
              </w:rPr>
              <w:fldChar w:fldCharType="begin"/>
            </w:r>
            <w:r w:rsidR="00614F20">
              <w:rPr>
                <w:noProof/>
                <w:webHidden/>
              </w:rPr>
              <w:instrText xml:space="preserve"> PAGEREF _Toc27472677 \h </w:instrText>
            </w:r>
            <w:r w:rsidR="00614F20">
              <w:rPr>
                <w:noProof/>
                <w:webHidden/>
              </w:rPr>
            </w:r>
            <w:r w:rsidR="00614F20">
              <w:rPr>
                <w:noProof/>
                <w:webHidden/>
              </w:rPr>
              <w:fldChar w:fldCharType="separate"/>
            </w:r>
            <w:r w:rsidR="00614F20">
              <w:rPr>
                <w:noProof/>
                <w:webHidden/>
              </w:rPr>
              <w:t>16</w:t>
            </w:r>
            <w:r w:rsidR="00614F20">
              <w:rPr>
                <w:noProof/>
                <w:webHidden/>
              </w:rPr>
              <w:fldChar w:fldCharType="end"/>
            </w:r>
          </w:hyperlink>
        </w:p>
        <w:p w14:paraId="55459BAF" w14:textId="5D326EE2" w:rsidR="00614F20" w:rsidRDefault="00063907">
          <w:pPr>
            <w:pStyle w:val="TOC2"/>
            <w:tabs>
              <w:tab w:val="left" w:pos="960"/>
              <w:tab w:val="right" w:leader="dot" w:pos="9350"/>
            </w:tabs>
            <w:rPr>
              <w:rFonts w:asciiTheme="minorHAnsi" w:hAnsiTheme="minorHAnsi"/>
              <w:noProof/>
              <w:sz w:val="24"/>
              <w:szCs w:val="24"/>
              <w:lang w:eastAsia="en-US"/>
            </w:rPr>
          </w:pPr>
          <w:hyperlink w:anchor="_Toc27472680" w:history="1">
            <w:r w:rsidR="00614F20" w:rsidRPr="00404348">
              <w:rPr>
                <w:rStyle w:val="Hyperlink"/>
                <w:noProof/>
              </w:rPr>
              <w:t>3.4</w:t>
            </w:r>
            <w:r w:rsidR="00614F20">
              <w:rPr>
                <w:rFonts w:asciiTheme="minorHAnsi" w:hAnsiTheme="minorHAnsi"/>
                <w:noProof/>
                <w:sz w:val="24"/>
                <w:szCs w:val="24"/>
                <w:lang w:eastAsia="en-US"/>
              </w:rPr>
              <w:tab/>
            </w:r>
            <w:r w:rsidR="00614F20" w:rsidRPr="00404348">
              <w:rPr>
                <w:rStyle w:val="Hyperlink"/>
                <w:noProof/>
              </w:rPr>
              <w:t>Financial Impacts</w:t>
            </w:r>
            <w:r w:rsidR="00614F20">
              <w:rPr>
                <w:noProof/>
                <w:webHidden/>
              </w:rPr>
              <w:tab/>
            </w:r>
            <w:r w:rsidR="00614F20">
              <w:rPr>
                <w:noProof/>
                <w:webHidden/>
              </w:rPr>
              <w:fldChar w:fldCharType="begin"/>
            </w:r>
            <w:r w:rsidR="00614F20">
              <w:rPr>
                <w:noProof/>
                <w:webHidden/>
              </w:rPr>
              <w:instrText xml:space="preserve"> PAGEREF _Toc27472680 \h </w:instrText>
            </w:r>
            <w:r w:rsidR="00614F20">
              <w:rPr>
                <w:noProof/>
                <w:webHidden/>
              </w:rPr>
            </w:r>
            <w:r w:rsidR="00614F20">
              <w:rPr>
                <w:noProof/>
                <w:webHidden/>
              </w:rPr>
              <w:fldChar w:fldCharType="separate"/>
            </w:r>
            <w:r w:rsidR="00614F20">
              <w:rPr>
                <w:noProof/>
                <w:webHidden/>
              </w:rPr>
              <w:t>17</w:t>
            </w:r>
            <w:r w:rsidR="00614F20">
              <w:rPr>
                <w:noProof/>
                <w:webHidden/>
              </w:rPr>
              <w:fldChar w:fldCharType="end"/>
            </w:r>
          </w:hyperlink>
        </w:p>
        <w:p w14:paraId="6A727704" w14:textId="11D484A1" w:rsidR="00614F20" w:rsidRDefault="00063907">
          <w:pPr>
            <w:pStyle w:val="TOC1"/>
            <w:tabs>
              <w:tab w:val="left" w:pos="440"/>
              <w:tab w:val="right" w:leader="dot" w:pos="9350"/>
            </w:tabs>
            <w:rPr>
              <w:rFonts w:asciiTheme="minorHAnsi" w:hAnsiTheme="minorHAnsi"/>
              <w:noProof/>
              <w:sz w:val="24"/>
              <w:szCs w:val="24"/>
              <w:lang w:eastAsia="en-US"/>
            </w:rPr>
          </w:pPr>
          <w:hyperlink w:anchor="_Toc27472681" w:history="1">
            <w:r w:rsidR="00614F20" w:rsidRPr="00404348">
              <w:rPr>
                <w:rStyle w:val="Hyperlink"/>
                <w:noProof/>
              </w:rPr>
              <w:t>4</w:t>
            </w:r>
            <w:r w:rsidR="00614F20">
              <w:rPr>
                <w:rFonts w:asciiTheme="minorHAnsi" w:hAnsiTheme="minorHAnsi"/>
                <w:noProof/>
                <w:sz w:val="24"/>
                <w:szCs w:val="24"/>
                <w:lang w:eastAsia="en-US"/>
              </w:rPr>
              <w:tab/>
            </w:r>
            <w:r w:rsidR="00614F20" w:rsidRPr="00404348">
              <w:rPr>
                <w:rStyle w:val="Hyperlink"/>
                <w:noProof/>
              </w:rPr>
              <w:t>Discussion</w:t>
            </w:r>
            <w:r w:rsidR="00614F20">
              <w:rPr>
                <w:noProof/>
                <w:webHidden/>
              </w:rPr>
              <w:tab/>
            </w:r>
            <w:r w:rsidR="00614F20">
              <w:rPr>
                <w:noProof/>
                <w:webHidden/>
              </w:rPr>
              <w:fldChar w:fldCharType="begin"/>
            </w:r>
            <w:r w:rsidR="00614F20">
              <w:rPr>
                <w:noProof/>
                <w:webHidden/>
              </w:rPr>
              <w:instrText xml:space="preserve"> PAGEREF _Toc27472681 \h </w:instrText>
            </w:r>
            <w:r w:rsidR="00614F20">
              <w:rPr>
                <w:noProof/>
                <w:webHidden/>
              </w:rPr>
            </w:r>
            <w:r w:rsidR="00614F20">
              <w:rPr>
                <w:noProof/>
                <w:webHidden/>
              </w:rPr>
              <w:fldChar w:fldCharType="separate"/>
            </w:r>
            <w:r w:rsidR="00614F20">
              <w:rPr>
                <w:noProof/>
                <w:webHidden/>
              </w:rPr>
              <w:t>18</w:t>
            </w:r>
            <w:r w:rsidR="00614F20">
              <w:rPr>
                <w:noProof/>
                <w:webHidden/>
              </w:rPr>
              <w:fldChar w:fldCharType="end"/>
            </w:r>
          </w:hyperlink>
        </w:p>
        <w:p w14:paraId="444CCA9D" w14:textId="744A35A4" w:rsidR="00614F20" w:rsidRDefault="00063907">
          <w:pPr>
            <w:pStyle w:val="TOC1"/>
            <w:tabs>
              <w:tab w:val="left" w:pos="440"/>
              <w:tab w:val="right" w:leader="dot" w:pos="9350"/>
            </w:tabs>
            <w:rPr>
              <w:rFonts w:asciiTheme="minorHAnsi" w:hAnsiTheme="minorHAnsi"/>
              <w:noProof/>
              <w:sz w:val="24"/>
              <w:szCs w:val="24"/>
              <w:lang w:eastAsia="en-US"/>
            </w:rPr>
          </w:pPr>
          <w:hyperlink w:anchor="_Toc27472682" w:history="1">
            <w:r w:rsidR="00614F20" w:rsidRPr="00404348">
              <w:rPr>
                <w:rStyle w:val="Hyperlink"/>
                <w:noProof/>
              </w:rPr>
              <w:t>5</w:t>
            </w:r>
            <w:r w:rsidR="00614F20">
              <w:rPr>
                <w:rFonts w:asciiTheme="minorHAnsi" w:hAnsiTheme="minorHAnsi"/>
                <w:noProof/>
                <w:sz w:val="24"/>
                <w:szCs w:val="24"/>
                <w:lang w:eastAsia="en-US"/>
              </w:rPr>
              <w:tab/>
            </w:r>
            <w:r w:rsidR="00614F20" w:rsidRPr="00404348">
              <w:rPr>
                <w:rStyle w:val="Hyperlink"/>
                <w:noProof/>
              </w:rPr>
              <w:t>References</w:t>
            </w:r>
            <w:r w:rsidR="00614F20">
              <w:rPr>
                <w:noProof/>
                <w:webHidden/>
              </w:rPr>
              <w:tab/>
            </w:r>
            <w:r w:rsidR="00614F20">
              <w:rPr>
                <w:noProof/>
                <w:webHidden/>
              </w:rPr>
              <w:fldChar w:fldCharType="begin"/>
            </w:r>
            <w:r w:rsidR="00614F20">
              <w:rPr>
                <w:noProof/>
                <w:webHidden/>
              </w:rPr>
              <w:instrText xml:space="preserve"> PAGEREF _Toc27472682 \h </w:instrText>
            </w:r>
            <w:r w:rsidR="00614F20">
              <w:rPr>
                <w:noProof/>
                <w:webHidden/>
              </w:rPr>
            </w:r>
            <w:r w:rsidR="00614F20">
              <w:rPr>
                <w:noProof/>
                <w:webHidden/>
              </w:rPr>
              <w:fldChar w:fldCharType="separate"/>
            </w:r>
            <w:r w:rsidR="00614F20">
              <w:rPr>
                <w:noProof/>
                <w:webHidden/>
              </w:rPr>
              <w:t>19</w:t>
            </w:r>
            <w:r w:rsidR="00614F20">
              <w:rPr>
                <w:noProof/>
                <w:webHidden/>
              </w:rPr>
              <w:fldChar w:fldCharType="end"/>
            </w:r>
          </w:hyperlink>
        </w:p>
        <w:p w14:paraId="5105D408" w14:textId="01CCDEA3" w:rsidR="00614F20" w:rsidRDefault="00063907">
          <w:pPr>
            <w:pStyle w:val="TOC1"/>
            <w:tabs>
              <w:tab w:val="left" w:pos="440"/>
              <w:tab w:val="right" w:leader="dot" w:pos="9350"/>
            </w:tabs>
            <w:rPr>
              <w:rFonts w:asciiTheme="minorHAnsi" w:hAnsiTheme="minorHAnsi"/>
              <w:noProof/>
              <w:sz w:val="24"/>
              <w:szCs w:val="24"/>
              <w:lang w:eastAsia="en-US"/>
            </w:rPr>
          </w:pPr>
          <w:hyperlink w:anchor="_Toc27472683" w:history="1">
            <w:r w:rsidR="00614F20" w:rsidRPr="00404348">
              <w:rPr>
                <w:rStyle w:val="Hyperlink"/>
                <w:noProof/>
              </w:rPr>
              <w:t>6</w:t>
            </w:r>
            <w:r w:rsidR="00614F20">
              <w:rPr>
                <w:rFonts w:asciiTheme="minorHAnsi" w:hAnsiTheme="minorHAnsi"/>
                <w:noProof/>
                <w:sz w:val="24"/>
                <w:szCs w:val="24"/>
                <w:lang w:eastAsia="en-US"/>
              </w:rPr>
              <w:tab/>
            </w:r>
            <w:r w:rsidR="00614F20" w:rsidRPr="00404348">
              <w:rPr>
                <w:rStyle w:val="Hyperlink"/>
                <w:noProof/>
              </w:rPr>
              <w:t>Glossary</w:t>
            </w:r>
            <w:r w:rsidR="00614F20">
              <w:rPr>
                <w:noProof/>
                <w:webHidden/>
              </w:rPr>
              <w:tab/>
            </w:r>
            <w:r w:rsidR="00614F20">
              <w:rPr>
                <w:noProof/>
                <w:webHidden/>
              </w:rPr>
              <w:fldChar w:fldCharType="begin"/>
            </w:r>
            <w:r w:rsidR="00614F20">
              <w:rPr>
                <w:noProof/>
                <w:webHidden/>
              </w:rPr>
              <w:instrText xml:space="preserve"> PAGEREF _Toc27472683 \h </w:instrText>
            </w:r>
            <w:r w:rsidR="00614F20">
              <w:rPr>
                <w:noProof/>
                <w:webHidden/>
              </w:rPr>
            </w:r>
            <w:r w:rsidR="00614F20">
              <w:rPr>
                <w:noProof/>
                <w:webHidden/>
              </w:rPr>
              <w:fldChar w:fldCharType="separate"/>
            </w:r>
            <w:r w:rsidR="00614F20">
              <w:rPr>
                <w:noProof/>
                <w:webHidden/>
              </w:rPr>
              <w:t>23</w:t>
            </w:r>
            <w:r w:rsidR="00614F20">
              <w:rPr>
                <w:noProof/>
                <w:webHidden/>
              </w:rPr>
              <w:fldChar w:fldCharType="end"/>
            </w:r>
          </w:hyperlink>
        </w:p>
        <w:p w14:paraId="12C7DAF6" w14:textId="71F60ADE"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277BCC">
      <w:pPr>
        <w:pStyle w:val="Heading1"/>
        <w:numPr>
          <w:ilvl w:val="0"/>
          <w:numId w:val="0"/>
        </w:numPr>
        <w:rPr>
          <w:noProof/>
        </w:rPr>
      </w:pPr>
      <w:bookmarkStart w:id="0" w:name="_Toc27472648"/>
      <w:r>
        <w:rPr>
          <w:noProof/>
        </w:rPr>
        <w:lastRenderedPageBreak/>
        <w:t xml:space="preserve">List of </w:t>
      </w:r>
      <w:r w:rsidR="2D56E7D4" w:rsidRPr="2D56E7D4">
        <w:rPr>
          <w:noProof/>
        </w:rPr>
        <w:t>Figures</w:t>
      </w:r>
      <w:bookmarkEnd w:id="0"/>
    </w:p>
    <w:p w14:paraId="272058FF" w14:textId="1AA69A8E" w:rsidR="007E1720"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543326" w:history="1">
        <w:r w:rsidR="007E1720" w:rsidRPr="006F63C4">
          <w:rPr>
            <w:rStyle w:val="Hyperlink"/>
            <w:noProof/>
          </w:rPr>
          <w:t>Figure 1. Production capacities and bioplastic types by market segment. This graph was published in a report by European Bioplastics</w:t>
        </w:r>
        <w:r w:rsidR="007E1720" w:rsidRPr="006F63C4">
          <w:rPr>
            <w:rStyle w:val="Hyperlink"/>
            <w:noProof/>
            <w:vertAlign w:val="superscript"/>
          </w:rPr>
          <w:t>8</w:t>
        </w:r>
        <w:r w:rsidR="007E1720" w:rsidRPr="006F63C4">
          <w:rPr>
            <w:rStyle w:val="Hyperlink"/>
            <w:noProof/>
          </w:rPr>
          <w:t>.</w:t>
        </w:r>
        <w:r w:rsidR="007E1720">
          <w:rPr>
            <w:noProof/>
            <w:webHidden/>
          </w:rPr>
          <w:tab/>
        </w:r>
        <w:r w:rsidR="007E1720">
          <w:rPr>
            <w:noProof/>
            <w:webHidden/>
          </w:rPr>
          <w:fldChar w:fldCharType="begin"/>
        </w:r>
        <w:r w:rsidR="007E1720">
          <w:rPr>
            <w:noProof/>
            <w:webHidden/>
          </w:rPr>
          <w:instrText xml:space="preserve"> PAGEREF _Toc18543326 \h </w:instrText>
        </w:r>
        <w:r w:rsidR="007E1720">
          <w:rPr>
            <w:noProof/>
            <w:webHidden/>
          </w:rPr>
        </w:r>
        <w:r w:rsidR="007E1720">
          <w:rPr>
            <w:noProof/>
            <w:webHidden/>
          </w:rPr>
          <w:fldChar w:fldCharType="separate"/>
        </w:r>
        <w:r w:rsidR="007E1720">
          <w:rPr>
            <w:noProof/>
            <w:webHidden/>
          </w:rPr>
          <w:t>2</w:t>
        </w:r>
        <w:r w:rsidR="007E1720">
          <w:rPr>
            <w:noProof/>
            <w:webHidden/>
          </w:rPr>
          <w:fldChar w:fldCharType="end"/>
        </w:r>
      </w:hyperlink>
    </w:p>
    <w:p w14:paraId="1F02F9B8" w14:textId="4615C81F" w:rsidR="007E1720" w:rsidRDefault="00063907">
      <w:pPr>
        <w:pStyle w:val="TableofFigures"/>
        <w:tabs>
          <w:tab w:val="right" w:leader="dot" w:pos="9350"/>
        </w:tabs>
        <w:rPr>
          <w:rFonts w:asciiTheme="minorHAnsi" w:hAnsiTheme="minorHAnsi"/>
          <w:noProof/>
          <w:lang w:eastAsia="en-US"/>
        </w:rPr>
      </w:pPr>
      <w:hyperlink w:anchor="_Toc18543327" w:history="1">
        <w:r w:rsidR="007E1720" w:rsidRPr="006F63C4">
          <w:rPr>
            <w:rStyle w:val="Hyperlink"/>
            <w:noProof/>
          </w:rPr>
          <w:t>Figure 2. Global production rate for bioplastics by region. This graph was published in a report by European Bioplastics</w:t>
        </w:r>
        <w:r w:rsidR="007E1720" w:rsidRPr="006F63C4">
          <w:rPr>
            <w:rStyle w:val="Hyperlink"/>
            <w:noProof/>
            <w:vertAlign w:val="superscript"/>
          </w:rPr>
          <w:t>8</w:t>
        </w:r>
        <w:r w:rsidR="007E1720" w:rsidRPr="006F63C4">
          <w:rPr>
            <w:rStyle w:val="Hyperlink"/>
            <w:noProof/>
          </w:rPr>
          <w:t>.</w:t>
        </w:r>
        <w:r w:rsidR="007E1720">
          <w:rPr>
            <w:noProof/>
            <w:webHidden/>
          </w:rPr>
          <w:tab/>
        </w:r>
        <w:r w:rsidR="007E1720">
          <w:rPr>
            <w:noProof/>
            <w:webHidden/>
          </w:rPr>
          <w:fldChar w:fldCharType="begin"/>
        </w:r>
        <w:r w:rsidR="007E1720">
          <w:rPr>
            <w:noProof/>
            <w:webHidden/>
          </w:rPr>
          <w:instrText xml:space="preserve"> PAGEREF _Toc18543327 \h </w:instrText>
        </w:r>
        <w:r w:rsidR="007E1720">
          <w:rPr>
            <w:noProof/>
            <w:webHidden/>
          </w:rPr>
        </w:r>
        <w:r w:rsidR="007E1720">
          <w:rPr>
            <w:noProof/>
            <w:webHidden/>
          </w:rPr>
          <w:fldChar w:fldCharType="separate"/>
        </w:r>
        <w:r w:rsidR="007E1720">
          <w:rPr>
            <w:noProof/>
            <w:webHidden/>
          </w:rPr>
          <w:t>3</w:t>
        </w:r>
        <w:r w:rsidR="007E1720">
          <w:rPr>
            <w:noProof/>
            <w:webHidden/>
          </w:rPr>
          <w:fldChar w:fldCharType="end"/>
        </w:r>
      </w:hyperlink>
    </w:p>
    <w:p w14:paraId="5032BB78" w14:textId="20A2EEBD" w:rsidR="007E1720" w:rsidRDefault="00063907">
      <w:pPr>
        <w:pStyle w:val="TableofFigures"/>
        <w:tabs>
          <w:tab w:val="right" w:leader="dot" w:pos="9350"/>
        </w:tabs>
        <w:rPr>
          <w:rFonts w:asciiTheme="minorHAnsi" w:hAnsiTheme="minorHAnsi"/>
          <w:noProof/>
          <w:lang w:eastAsia="en-US"/>
        </w:rPr>
      </w:pPr>
      <w:hyperlink w:anchor="_Toc18543328" w:history="1">
        <w:r w:rsidR="007E1720" w:rsidRPr="006F63C4">
          <w:rPr>
            <w:rStyle w:val="Hyperlink"/>
            <w:noProof/>
          </w:rPr>
          <w:t>Figure 3. Traditional plastic and bioplastic production overtime with overall market growth and increasing market share captured by bioplastic replacement technologies.</w:t>
        </w:r>
        <w:r w:rsidR="007E1720">
          <w:rPr>
            <w:noProof/>
            <w:webHidden/>
          </w:rPr>
          <w:tab/>
        </w:r>
        <w:r w:rsidR="007E1720">
          <w:rPr>
            <w:noProof/>
            <w:webHidden/>
          </w:rPr>
          <w:fldChar w:fldCharType="begin"/>
        </w:r>
        <w:r w:rsidR="007E1720">
          <w:rPr>
            <w:noProof/>
            <w:webHidden/>
          </w:rPr>
          <w:instrText xml:space="preserve"> PAGEREF _Toc18543328 \h </w:instrText>
        </w:r>
        <w:r w:rsidR="007E1720">
          <w:rPr>
            <w:noProof/>
            <w:webHidden/>
          </w:rPr>
        </w:r>
        <w:r w:rsidR="007E1720">
          <w:rPr>
            <w:noProof/>
            <w:webHidden/>
          </w:rPr>
          <w:fldChar w:fldCharType="separate"/>
        </w:r>
        <w:r w:rsidR="007E1720">
          <w:rPr>
            <w:noProof/>
            <w:webHidden/>
          </w:rPr>
          <w:t>10</w:t>
        </w:r>
        <w:r w:rsidR="007E1720">
          <w:rPr>
            <w:noProof/>
            <w:webHidden/>
          </w:rPr>
          <w:fldChar w:fldCharType="end"/>
        </w:r>
      </w:hyperlink>
    </w:p>
    <w:p w14:paraId="454ECA34" w14:textId="358DC87D" w:rsidR="007E1720" w:rsidRDefault="00063907">
      <w:pPr>
        <w:pStyle w:val="TableofFigures"/>
        <w:tabs>
          <w:tab w:val="right" w:leader="dot" w:pos="9350"/>
        </w:tabs>
        <w:rPr>
          <w:rFonts w:asciiTheme="minorHAnsi" w:hAnsiTheme="minorHAnsi"/>
          <w:noProof/>
          <w:lang w:eastAsia="en-US"/>
        </w:rPr>
      </w:pPr>
      <w:hyperlink w:anchor="_Toc18543329" w:history="1">
        <w:r w:rsidR="007E1720" w:rsidRPr="006F63C4">
          <w:rPr>
            <w:rStyle w:val="Hyperlink"/>
            <w:noProof/>
          </w:rPr>
          <w:t>Figure 4. Climate emissions based on production rates in Figure 3 and emissions factors from various LCA studies (see 'variable analysis' sheet in the model for more details).</w:t>
        </w:r>
        <w:r w:rsidR="007E1720">
          <w:rPr>
            <w:noProof/>
            <w:webHidden/>
          </w:rPr>
          <w:tab/>
        </w:r>
        <w:r w:rsidR="007E1720">
          <w:rPr>
            <w:noProof/>
            <w:webHidden/>
          </w:rPr>
          <w:fldChar w:fldCharType="begin"/>
        </w:r>
        <w:r w:rsidR="007E1720">
          <w:rPr>
            <w:noProof/>
            <w:webHidden/>
          </w:rPr>
          <w:instrText xml:space="preserve"> PAGEREF _Toc18543329 \h </w:instrText>
        </w:r>
        <w:r w:rsidR="007E1720">
          <w:rPr>
            <w:noProof/>
            <w:webHidden/>
          </w:rPr>
        </w:r>
        <w:r w:rsidR="007E1720">
          <w:rPr>
            <w:noProof/>
            <w:webHidden/>
          </w:rPr>
          <w:fldChar w:fldCharType="separate"/>
        </w:r>
        <w:r w:rsidR="007E1720">
          <w:rPr>
            <w:noProof/>
            <w:webHidden/>
          </w:rPr>
          <w:t>10</w:t>
        </w:r>
        <w:r w:rsidR="007E1720">
          <w:rPr>
            <w:noProof/>
            <w:webHidden/>
          </w:rPr>
          <w:fldChar w:fldCharType="end"/>
        </w:r>
      </w:hyperlink>
    </w:p>
    <w:p w14:paraId="7AAFFE09" w14:textId="2770849F" w:rsidR="007E1720" w:rsidRDefault="00063907">
      <w:pPr>
        <w:pStyle w:val="TableofFigures"/>
        <w:tabs>
          <w:tab w:val="right" w:leader="dot" w:pos="9350"/>
        </w:tabs>
        <w:rPr>
          <w:rFonts w:asciiTheme="minorHAnsi" w:hAnsiTheme="minorHAnsi"/>
          <w:noProof/>
          <w:lang w:eastAsia="en-US"/>
        </w:rPr>
      </w:pPr>
      <w:hyperlink w:anchor="_Toc18543330" w:history="1">
        <w:r w:rsidR="007E1720" w:rsidRPr="006F63C4">
          <w:rPr>
            <w:rStyle w:val="Hyperlink"/>
            <w:noProof/>
          </w:rPr>
          <w:t>Figure 5. Cumulative costs for REF and PDS scenarios given relative market prices and changes in market share overtime (see sheet 'Prices' in the model)</w:t>
        </w:r>
        <w:r w:rsidR="007E1720">
          <w:rPr>
            <w:noProof/>
            <w:webHidden/>
          </w:rPr>
          <w:tab/>
        </w:r>
        <w:r w:rsidR="007E1720">
          <w:rPr>
            <w:noProof/>
            <w:webHidden/>
          </w:rPr>
          <w:fldChar w:fldCharType="begin"/>
        </w:r>
        <w:r w:rsidR="007E1720">
          <w:rPr>
            <w:noProof/>
            <w:webHidden/>
          </w:rPr>
          <w:instrText xml:space="preserve"> PAGEREF _Toc18543330 \h </w:instrText>
        </w:r>
        <w:r w:rsidR="007E1720">
          <w:rPr>
            <w:noProof/>
            <w:webHidden/>
          </w:rPr>
        </w:r>
        <w:r w:rsidR="007E1720">
          <w:rPr>
            <w:noProof/>
            <w:webHidden/>
          </w:rPr>
          <w:fldChar w:fldCharType="separate"/>
        </w:r>
        <w:r w:rsidR="007E1720">
          <w:rPr>
            <w:noProof/>
            <w:webHidden/>
          </w:rPr>
          <w:t>11</w:t>
        </w:r>
        <w:r w:rsidR="007E1720">
          <w:rPr>
            <w:noProof/>
            <w:webHidden/>
          </w:rPr>
          <w:fldChar w:fldCharType="end"/>
        </w:r>
      </w:hyperlink>
    </w:p>
    <w:p w14:paraId="4CB1949B" w14:textId="312F6AC8" w:rsidR="007E1720" w:rsidRDefault="00063907">
      <w:pPr>
        <w:pStyle w:val="TableofFigures"/>
        <w:tabs>
          <w:tab w:val="right" w:leader="dot" w:pos="9350"/>
        </w:tabs>
        <w:rPr>
          <w:rFonts w:asciiTheme="minorHAnsi" w:hAnsiTheme="minorHAnsi"/>
          <w:noProof/>
          <w:lang w:eastAsia="en-US"/>
        </w:rPr>
      </w:pPr>
      <w:hyperlink w:anchor="_Toc18543331" w:history="1">
        <w:r w:rsidR="007E1720" w:rsidRPr="006F63C4">
          <w:rPr>
            <w:rStyle w:val="Hyperlink"/>
            <w:noProof/>
          </w:rPr>
          <w:t>Figure 3</w:t>
        </w:r>
        <w:r w:rsidR="007E1720" w:rsidRPr="006F63C4">
          <w:rPr>
            <w:rStyle w:val="Hyperlink"/>
            <w:noProof/>
          </w:rPr>
          <w:noBreakHyphen/>
          <w:t>1 World Annual Adoption 2020-2050</w:t>
        </w:r>
        <w:r w:rsidR="007E1720">
          <w:rPr>
            <w:noProof/>
            <w:webHidden/>
          </w:rPr>
          <w:tab/>
        </w:r>
        <w:r w:rsidR="007E1720">
          <w:rPr>
            <w:noProof/>
            <w:webHidden/>
          </w:rPr>
          <w:fldChar w:fldCharType="begin"/>
        </w:r>
        <w:r w:rsidR="007E1720">
          <w:rPr>
            <w:noProof/>
            <w:webHidden/>
          </w:rPr>
          <w:instrText xml:space="preserve"> PAGEREF _Toc18543331 \h </w:instrText>
        </w:r>
        <w:r w:rsidR="007E1720">
          <w:rPr>
            <w:noProof/>
            <w:webHidden/>
          </w:rPr>
        </w:r>
        <w:r w:rsidR="007E1720">
          <w:rPr>
            <w:noProof/>
            <w:webHidden/>
          </w:rPr>
          <w:fldChar w:fldCharType="separate"/>
        </w:r>
        <w:r w:rsidR="007E1720">
          <w:rPr>
            <w:noProof/>
            <w:webHidden/>
          </w:rPr>
          <w:t>12</w:t>
        </w:r>
        <w:r w:rsidR="007E1720">
          <w:rPr>
            <w:noProof/>
            <w:webHidden/>
          </w:rPr>
          <w:fldChar w:fldCharType="end"/>
        </w:r>
      </w:hyperlink>
    </w:p>
    <w:p w14:paraId="539EE988" w14:textId="1E8BAED6" w:rsidR="007E1720" w:rsidRDefault="00063907">
      <w:pPr>
        <w:pStyle w:val="TableofFigures"/>
        <w:tabs>
          <w:tab w:val="right" w:leader="dot" w:pos="9350"/>
        </w:tabs>
        <w:rPr>
          <w:rFonts w:asciiTheme="minorHAnsi" w:hAnsiTheme="minorHAnsi"/>
          <w:noProof/>
          <w:lang w:eastAsia="en-US"/>
        </w:rPr>
      </w:pPr>
      <w:hyperlink w:anchor="_Toc18543332" w:history="1">
        <w:r w:rsidR="007E1720" w:rsidRPr="006F63C4">
          <w:rPr>
            <w:rStyle w:val="Hyperlink"/>
            <w:noProof/>
          </w:rPr>
          <w:t>Figure 3.2 World Annual</w:t>
        </w:r>
        <w:r w:rsidR="007E1720" w:rsidRPr="006F63C4">
          <w:rPr>
            <w:rStyle w:val="Hyperlink"/>
            <w:noProof/>
            <w:vertAlign w:val="subscript"/>
          </w:rPr>
          <w:t xml:space="preserve"> </w:t>
        </w:r>
        <w:r w:rsidR="007E1720" w:rsidRPr="006F63C4">
          <w:rPr>
            <w:rStyle w:val="Hyperlink"/>
            <w:noProof/>
          </w:rPr>
          <w:t>Greenhouse Gas Emissions Reduction</w:t>
        </w:r>
        <w:r w:rsidR="007E1720">
          <w:rPr>
            <w:noProof/>
            <w:webHidden/>
          </w:rPr>
          <w:tab/>
        </w:r>
        <w:r w:rsidR="007E1720">
          <w:rPr>
            <w:noProof/>
            <w:webHidden/>
          </w:rPr>
          <w:fldChar w:fldCharType="begin"/>
        </w:r>
        <w:r w:rsidR="007E1720">
          <w:rPr>
            <w:noProof/>
            <w:webHidden/>
          </w:rPr>
          <w:instrText xml:space="preserve"> PAGEREF _Toc18543332 \h </w:instrText>
        </w:r>
        <w:r w:rsidR="007E1720">
          <w:rPr>
            <w:noProof/>
            <w:webHidden/>
          </w:rPr>
        </w:r>
        <w:r w:rsidR="007E1720">
          <w:rPr>
            <w:noProof/>
            <w:webHidden/>
          </w:rPr>
          <w:fldChar w:fldCharType="separate"/>
        </w:r>
        <w:r w:rsidR="007E1720">
          <w:rPr>
            <w:noProof/>
            <w:webHidden/>
          </w:rPr>
          <w:t>13</w:t>
        </w:r>
        <w:r w:rsidR="007E1720">
          <w:rPr>
            <w:noProof/>
            <w:webHidden/>
          </w:rPr>
          <w:fldChar w:fldCharType="end"/>
        </w:r>
      </w:hyperlink>
    </w:p>
    <w:p w14:paraId="5AD133BD" w14:textId="072B6723" w:rsidR="00640665" w:rsidRPr="003A0234" w:rsidRDefault="00F15AEE" w:rsidP="00483FFA">
      <w:r w:rsidRPr="003A0234">
        <w:fldChar w:fldCharType="end"/>
      </w:r>
    </w:p>
    <w:p w14:paraId="6055DED9" w14:textId="24973E3A" w:rsidR="006A4A08" w:rsidRPr="003A0234" w:rsidRDefault="00C23CAC" w:rsidP="00277BCC">
      <w:pPr>
        <w:pStyle w:val="Heading1"/>
        <w:numPr>
          <w:ilvl w:val="0"/>
          <w:numId w:val="0"/>
        </w:numPr>
      </w:pPr>
      <w:bookmarkStart w:id="1" w:name="_Toc27472649"/>
      <w:r w:rsidRPr="003A0234">
        <w:t xml:space="preserve">List of </w:t>
      </w:r>
      <w:r w:rsidR="2D56E7D4" w:rsidRPr="003A0234">
        <w:t>Tables</w:t>
      </w:r>
      <w:bookmarkEnd w:id="1"/>
    </w:p>
    <w:p w14:paraId="0F3C50D4" w14:textId="1C586437" w:rsidR="007E1720"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543333" w:history="1">
        <w:r w:rsidR="007E1720" w:rsidRPr="00F50745">
          <w:rPr>
            <w:rStyle w:val="Hyperlink"/>
            <w:noProof/>
          </w:rPr>
          <w:t>Table 3.1 World Adoption of the Solution</w:t>
        </w:r>
        <w:r w:rsidR="007E1720">
          <w:rPr>
            <w:noProof/>
            <w:webHidden/>
          </w:rPr>
          <w:tab/>
        </w:r>
        <w:r w:rsidR="007E1720">
          <w:rPr>
            <w:noProof/>
            <w:webHidden/>
          </w:rPr>
          <w:fldChar w:fldCharType="begin"/>
        </w:r>
        <w:r w:rsidR="007E1720">
          <w:rPr>
            <w:noProof/>
            <w:webHidden/>
          </w:rPr>
          <w:instrText xml:space="preserve"> PAGEREF _Toc18543333 \h </w:instrText>
        </w:r>
        <w:r w:rsidR="007E1720">
          <w:rPr>
            <w:noProof/>
            <w:webHidden/>
          </w:rPr>
        </w:r>
        <w:r w:rsidR="007E1720">
          <w:rPr>
            <w:noProof/>
            <w:webHidden/>
          </w:rPr>
          <w:fldChar w:fldCharType="separate"/>
        </w:r>
        <w:r w:rsidR="007E1720">
          <w:rPr>
            <w:noProof/>
            <w:webHidden/>
          </w:rPr>
          <w:t>11</w:t>
        </w:r>
        <w:r w:rsidR="007E1720">
          <w:rPr>
            <w:noProof/>
            <w:webHidden/>
          </w:rPr>
          <w:fldChar w:fldCharType="end"/>
        </w:r>
      </w:hyperlink>
    </w:p>
    <w:p w14:paraId="17F59D79" w14:textId="55DD2A69" w:rsidR="007E1720" w:rsidRDefault="00063907">
      <w:pPr>
        <w:pStyle w:val="TableofFigures"/>
        <w:tabs>
          <w:tab w:val="right" w:leader="dot" w:pos="9350"/>
        </w:tabs>
        <w:rPr>
          <w:rFonts w:asciiTheme="minorHAnsi" w:hAnsiTheme="minorHAnsi"/>
          <w:noProof/>
          <w:lang w:eastAsia="en-US"/>
        </w:rPr>
      </w:pPr>
      <w:hyperlink w:anchor="_Toc18543334" w:history="1">
        <w:r w:rsidR="007E1720" w:rsidRPr="00F50745">
          <w:rPr>
            <w:rStyle w:val="Hyperlink"/>
            <w:noProof/>
          </w:rPr>
          <w:t>Table 3.2 Climate Impacts</w:t>
        </w:r>
        <w:r w:rsidR="007E1720">
          <w:rPr>
            <w:noProof/>
            <w:webHidden/>
          </w:rPr>
          <w:tab/>
        </w:r>
        <w:r w:rsidR="007E1720">
          <w:rPr>
            <w:noProof/>
            <w:webHidden/>
          </w:rPr>
          <w:fldChar w:fldCharType="begin"/>
        </w:r>
        <w:r w:rsidR="007E1720">
          <w:rPr>
            <w:noProof/>
            <w:webHidden/>
          </w:rPr>
          <w:instrText xml:space="preserve"> PAGEREF _Toc18543334 \h </w:instrText>
        </w:r>
        <w:r w:rsidR="007E1720">
          <w:rPr>
            <w:noProof/>
            <w:webHidden/>
          </w:rPr>
        </w:r>
        <w:r w:rsidR="007E1720">
          <w:rPr>
            <w:noProof/>
            <w:webHidden/>
          </w:rPr>
          <w:fldChar w:fldCharType="separate"/>
        </w:r>
        <w:r w:rsidR="007E1720">
          <w:rPr>
            <w:noProof/>
            <w:webHidden/>
          </w:rPr>
          <w:t>12</w:t>
        </w:r>
        <w:r w:rsidR="007E1720">
          <w:rPr>
            <w:noProof/>
            <w:webHidden/>
          </w:rPr>
          <w:fldChar w:fldCharType="end"/>
        </w:r>
      </w:hyperlink>
    </w:p>
    <w:p w14:paraId="44A6F73C" w14:textId="47302797" w:rsidR="007E1720" w:rsidRDefault="00063907">
      <w:pPr>
        <w:pStyle w:val="TableofFigures"/>
        <w:tabs>
          <w:tab w:val="right" w:leader="dot" w:pos="9350"/>
        </w:tabs>
        <w:rPr>
          <w:rFonts w:asciiTheme="minorHAnsi" w:hAnsiTheme="minorHAnsi"/>
          <w:noProof/>
          <w:lang w:eastAsia="en-US"/>
        </w:rPr>
      </w:pPr>
      <w:hyperlink w:anchor="_Toc18543335" w:history="1">
        <w:r w:rsidR="007E1720" w:rsidRPr="00F50745">
          <w:rPr>
            <w:rStyle w:val="Hyperlink"/>
            <w:noProof/>
          </w:rPr>
          <w:t>Table 3.3 Impacts on Atmospheric Concentrations of CO</w:t>
        </w:r>
        <w:r w:rsidR="007E1720" w:rsidRPr="00F50745">
          <w:rPr>
            <w:rStyle w:val="Hyperlink"/>
            <w:noProof/>
            <w:vertAlign w:val="subscript"/>
          </w:rPr>
          <w:t>2</w:t>
        </w:r>
        <w:r w:rsidR="007E1720" w:rsidRPr="00F50745">
          <w:rPr>
            <w:rStyle w:val="Hyperlink"/>
            <w:noProof/>
          </w:rPr>
          <w:t>-eq</w:t>
        </w:r>
        <w:r w:rsidR="007E1720">
          <w:rPr>
            <w:noProof/>
            <w:webHidden/>
          </w:rPr>
          <w:tab/>
        </w:r>
        <w:r w:rsidR="007E1720">
          <w:rPr>
            <w:noProof/>
            <w:webHidden/>
          </w:rPr>
          <w:fldChar w:fldCharType="begin"/>
        </w:r>
        <w:r w:rsidR="007E1720">
          <w:rPr>
            <w:noProof/>
            <w:webHidden/>
          </w:rPr>
          <w:instrText xml:space="preserve"> PAGEREF _Toc18543335 \h </w:instrText>
        </w:r>
        <w:r w:rsidR="007E1720">
          <w:rPr>
            <w:noProof/>
            <w:webHidden/>
          </w:rPr>
        </w:r>
        <w:r w:rsidR="007E1720">
          <w:rPr>
            <w:noProof/>
            <w:webHidden/>
          </w:rPr>
          <w:fldChar w:fldCharType="separate"/>
        </w:r>
        <w:r w:rsidR="007E1720">
          <w:rPr>
            <w:noProof/>
            <w:webHidden/>
          </w:rPr>
          <w:t>13</w:t>
        </w:r>
        <w:r w:rsidR="007E1720">
          <w:rPr>
            <w:noProof/>
            <w:webHidden/>
          </w:rPr>
          <w:fldChar w:fldCharType="end"/>
        </w:r>
      </w:hyperlink>
    </w:p>
    <w:p w14:paraId="54678F30" w14:textId="0E1F546A" w:rsidR="007E1720" w:rsidRDefault="00063907">
      <w:pPr>
        <w:pStyle w:val="TableofFigures"/>
        <w:tabs>
          <w:tab w:val="right" w:leader="dot" w:pos="9350"/>
        </w:tabs>
        <w:rPr>
          <w:rFonts w:asciiTheme="minorHAnsi" w:hAnsiTheme="minorHAnsi"/>
          <w:noProof/>
          <w:lang w:eastAsia="en-US"/>
        </w:rPr>
      </w:pPr>
      <w:hyperlink w:anchor="_Toc18543336" w:history="1">
        <w:r w:rsidR="007E1720" w:rsidRPr="00F50745">
          <w:rPr>
            <w:rStyle w:val="Hyperlink"/>
            <w:noProof/>
          </w:rPr>
          <w:t>Table 3.4 Financial Impacts</w:t>
        </w:r>
        <w:r w:rsidR="007E1720">
          <w:rPr>
            <w:noProof/>
            <w:webHidden/>
          </w:rPr>
          <w:tab/>
        </w:r>
        <w:r w:rsidR="007E1720">
          <w:rPr>
            <w:noProof/>
            <w:webHidden/>
          </w:rPr>
          <w:fldChar w:fldCharType="begin"/>
        </w:r>
        <w:r w:rsidR="007E1720">
          <w:rPr>
            <w:noProof/>
            <w:webHidden/>
          </w:rPr>
          <w:instrText xml:space="preserve"> PAGEREF _Toc18543336 \h </w:instrText>
        </w:r>
        <w:r w:rsidR="007E1720">
          <w:rPr>
            <w:noProof/>
            <w:webHidden/>
          </w:rPr>
        </w:r>
        <w:r w:rsidR="007E1720">
          <w:rPr>
            <w:noProof/>
            <w:webHidden/>
          </w:rPr>
          <w:fldChar w:fldCharType="separate"/>
        </w:r>
        <w:r w:rsidR="007E1720">
          <w:rPr>
            <w:noProof/>
            <w:webHidden/>
          </w:rPr>
          <w:t>14</w:t>
        </w:r>
        <w:r w:rsidR="007E1720">
          <w:rPr>
            <w:noProof/>
            <w:webHidden/>
          </w:rPr>
          <w:fldChar w:fldCharType="end"/>
        </w:r>
      </w:hyperlink>
    </w:p>
    <w:p w14:paraId="59531BD3" w14:textId="615B864E"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258D1C7E" w14:textId="73E7FC05" w:rsidR="00E844EA" w:rsidRDefault="551A77D0" w:rsidP="00277BCC">
      <w:pPr>
        <w:pStyle w:val="Heading1"/>
        <w:numPr>
          <w:ilvl w:val="0"/>
          <w:numId w:val="0"/>
        </w:numPr>
      </w:pPr>
      <w:bookmarkStart w:id="2" w:name="_Toc27472650"/>
      <w:r>
        <w:lastRenderedPageBreak/>
        <w:t>Executive Summary</w:t>
      </w:r>
      <w:bookmarkEnd w:id="2"/>
    </w:p>
    <w:p w14:paraId="1A21C620" w14:textId="77777777" w:rsidR="00BD4953" w:rsidRDefault="00BD4953" w:rsidP="007C13A6">
      <w:pPr>
        <w:spacing w:after="0"/>
        <w:ind w:firstLine="708"/>
      </w:pPr>
      <w:r>
        <w:t>Bioplastics, also referred to as biopolymers, are plastics which are derived from biological feedstocks rather than fossil resources. Bioplastics represent a broad array of technologies to produce many different types of materials such as packaging, textiles, durable goods, and disposable products. The many different types of bioplastics can and are made using a wide variety of feedstocks with a significant portion of the current research being dedicated to identifying and expanding available feedstocks. Some bioplastics, such as thermoplastic starch (TPS), require little processing while others such as polylactic acid (PLA) are the result of a fairly intensive process of fermentation, distillation, and polymerization. This report addresses bioplastics collectively, assessing current pricing and production as well as forecasting a possible future given current trends and an optimistic outlook on future adoption.</w:t>
      </w:r>
    </w:p>
    <w:p w14:paraId="1CBA6BFB" w14:textId="3A7DD391" w:rsidR="00BD4953" w:rsidRDefault="00BD4953" w:rsidP="007C13A6">
      <w:pPr>
        <w:spacing w:after="0"/>
        <w:ind w:firstLine="708"/>
      </w:pPr>
      <w:r>
        <w:t xml:space="preserve">Currently the most visible bioplastics are disposable, and often compostable, products that are advertised as ‘green’ and ‘plant-based,’ however, the most growth in the market is characterized by </w:t>
      </w:r>
      <w:r w:rsidR="00E66647">
        <w:t xml:space="preserve">“drop-in” </w:t>
      </w:r>
      <w:r>
        <w:t xml:space="preserve">products like Coke-a-Cola’s </w:t>
      </w:r>
      <w:proofErr w:type="spellStart"/>
      <w:r>
        <w:t>PlantBottle</w:t>
      </w:r>
      <w:proofErr w:type="spellEnd"/>
      <w:r>
        <w:t xml:space="preserve"> which is a hybrid polyethylene terephthalate (PET) with </w:t>
      </w:r>
      <w:proofErr w:type="spellStart"/>
      <w:r>
        <w:t>biobased</w:t>
      </w:r>
      <w:proofErr w:type="spellEnd"/>
      <w:r>
        <w:t xml:space="preserve"> ethylene while the rest of the plastic is generated from fossil resources. Bioplastics exist as both mature and nascent technologies with some being drop in replacements (chemical equivalents) for traditional plastics and others that differ in performance and material characteristics. For example, PLA has become a favored plastic in 3D printing due to its favorable thermal properties and the current printer technologies. </w:t>
      </w:r>
    </w:p>
    <w:p w14:paraId="36CD320F" w14:textId="14D2BA30" w:rsidR="00BD4953" w:rsidRDefault="00BD4953" w:rsidP="007C13A6">
      <w:pPr>
        <w:spacing w:after="0"/>
        <w:ind w:firstLine="708"/>
      </w:pPr>
      <w:r>
        <w:t>There are environmental tradeoffs as a result of shifting from fossil extraction and refining to an agriculture</w:t>
      </w:r>
      <w:r w:rsidR="00E66647">
        <w:t>-</w:t>
      </w:r>
      <w:r>
        <w:t xml:space="preserve">based system. With regards to carbon, the fossil system is characterized by extraction hydrocarbons from the earth then the fossil resource itself is used as a raw material to create different plastic products. Through the agriculture process, carbon dioxide is taken in by plants which are then harvested and used to create bioplastics so the carbon in these materials is referred to as biogenic carbon. </w:t>
      </w:r>
    </w:p>
    <w:p w14:paraId="790633ED" w14:textId="0FE31FD5" w:rsidR="00BD4953" w:rsidRDefault="00BD4953" w:rsidP="007C13A6">
      <w:pPr>
        <w:spacing w:after="0"/>
        <w:ind w:firstLine="708"/>
      </w:pPr>
      <w:r>
        <w:t xml:space="preserve">In 2015 there </w:t>
      </w:r>
      <w:r w:rsidR="00E66647">
        <w:t>were</w:t>
      </w:r>
      <w:r>
        <w:t xml:space="preserve"> </w:t>
      </w:r>
      <w:r w:rsidR="00E66647">
        <w:t>2.03</w:t>
      </w:r>
      <w:r>
        <w:t xml:space="preserve"> MMT of biopolymers produced throughout the world</w:t>
      </w:r>
      <w:r w:rsidR="00E66647">
        <w:t>,</w:t>
      </w:r>
      <w:r>
        <w:t xml:space="preserve"> with a current maximum replacement potential of </w:t>
      </w:r>
      <w:r w:rsidR="00E66647">
        <w:t>90% of</w:t>
      </w:r>
      <w:r>
        <w:t xml:space="preserve"> the market</w:t>
      </w:r>
      <w:r w:rsidR="00E66647">
        <w:t>.</w:t>
      </w:r>
      <w:r>
        <w:t xml:space="preserve"> </w:t>
      </w:r>
      <w:r w:rsidR="00E66647">
        <w:t>A</w:t>
      </w:r>
      <w:r>
        <w:t>verage prices</w:t>
      </w:r>
      <w:r w:rsidR="00E66647">
        <w:t xml:space="preserve"> of bioplastics</w:t>
      </w:r>
      <w:r>
        <w:t xml:space="preserve"> ranging around $2.</w:t>
      </w:r>
      <w:r w:rsidR="00E66647">
        <w:t>70</w:t>
      </w:r>
      <w:r>
        <w:t xml:space="preserve"> per kilogram for resin</w:t>
      </w:r>
      <w:r w:rsidR="00E66647">
        <w:t>, but the range of prices can be between $1.00 and $6.00, depending on the material</w:t>
      </w:r>
      <w:r>
        <w:t xml:space="preserve">. Given the past growth in bioplastics and a high level of continued gains in market share, this report </w:t>
      </w:r>
      <w:r w:rsidR="00E66647">
        <w:t>includes three likely scenarios of growth, a baseline of 13% TAM penetration in 2050, a drawdown scenario with 51% market replacement in 2050, and finally an optimum scenario where complete replacement is achieved by 2050 within technological limits, at 90%.</w:t>
      </w:r>
    </w:p>
    <w:p w14:paraId="7E02FA10" w14:textId="63F740EA" w:rsidR="00BD4953" w:rsidRDefault="00BD4953" w:rsidP="007C13A6">
      <w:pPr>
        <w:spacing w:after="0"/>
        <w:ind w:firstLine="480"/>
      </w:pPr>
      <w:r>
        <w:t xml:space="preserve">Based upon the anticipated rate of adoption there will be an equivalent of around </w:t>
      </w:r>
      <w:proofErr w:type="gramStart"/>
      <w:r w:rsidR="00E66647">
        <w:t>0.96 ,</w:t>
      </w:r>
      <w:proofErr w:type="gramEnd"/>
      <w:r w:rsidR="00E66647">
        <w:t xml:space="preserve"> 3.8 and 5.77</w:t>
      </w:r>
      <w:r>
        <w:t xml:space="preserve"> GT of CO2 emissions avoided </w:t>
      </w:r>
      <w:r w:rsidR="00E66647">
        <w:t xml:space="preserve">in the three scenarios, respectively, </w:t>
      </w:r>
      <w:r>
        <w:t>during the thirty year period between 20</w:t>
      </w:r>
      <w:r w:rsidR="00167D34">
        <w:t>20</w:t>
      </w:r>
      <w:r>
        <w:t xml:space="preserve"> and 205</w:t>
      </w:r>
      <w:r w:rsidR="00167D34">
        <w:t>0</w:t>
      </w:r>
      <w:r>
        <w:t xml:space="preserve">. This analysis suggests that the bioplastics market can grow to replace a significant portion </w:t>
      </w:r>
      <w:r>
        <w:lastRenderedPageBreak/>
        <w:t>of traditional plastics while reducing climate emissions</w:t>
      </w:r>
      <w:r w:rsidR="00E66647">
        <w:t>, but growth is highly variable</w:t>
      </w:r>
      <w:r>
        <w:t xml:space="preserve">. </w:t>
      </w:r>
      <w:r w:rsidR="00E66647">
        <w:t>To date, growth of the bioplastics market has been slower than some of the more aggressive projections. F</w:t>
      </w:r>
      <w:r>
        <w:t xml:space="preserve">actors such as feedstock development and end of life treatment, whether recycling, composting, or landfilling, will play important roles in minimizing emissions throughout the life cycle of these products. </w:t>
      </w:r>
      <w:proofErr w:type="gramStart"/>
      <w:r>
        <w:t>Furthermore</w:t>
      </w:r>
      <w:proofErr w:type="gramEnd"/>
      <w:r>
        <w:t xml:space="preserve"> the reduction of demand for traditional plastics will decouple plastic markets from fossil fuel markets and will also make more fossil resources available for other uses. </w:t>
      </w:r>
    </w:p>
    <w:p w14:paraId="6D7F86BD" w14:textId="5060FCAA" w:rsidR="00F52595" w:rsidRDefault="00F52595" w:rsidP="00277BCC">
      <w:pPr>
        <w:pStyle w:val="Heading1"/>
        <w:numPr>
          <w:ilvl w:val="0"/>
          <w:numId w:val="0"/>
        </w:numPr>
        <w:ind w:left="720"/>
        <w:sectPr w:rsidR="00F52595"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0045908A" w:rsidR="00E815C8" w:rsidRDefault="551A77D0" w:rsidP="00277BCC">
      <w:pPr>
        <w:pStyle w:val="Heading1"/>
      </w:pPr>
      <w:bookmarkStart w:id="3" w:name="_Toc27472651"/>
      <w:bookmarkStart w:id="4" w:name="_GoBack"/>
      <w:r w:rsidRPr="00EB247F">
        <w:lastRenderedPageBreak/>
        <w:t>Literature Review</w:t>
      </w:r>
      <w:bookmarkEnd w:id="3"/>
      <w:bookmarkEnd w:id="4"/>
    </w:p>
    <w:p w14:paraId="135FEEDE" w14:textId="77777777" w:rsidR="00A52C99" w:rsidRDefault="00A52C99" w:rsidP="00A52C99">
      <w:pPr>
        <w:pStyle w:val="Heading2"/>
        <w:spacing w:before="0" w:line="240" w:lineRule="auto"/>
        <w:ind w:left="0" w:hanging="576"/>
        <w:jc w:val="left"/>
      </w:pPr>
      <w:bookmarkStart w:id="5" w:name="_Toc415001100"/>
      <w:bookmarkStart w:id="6" w:name="_Toc27472652"/>
      <w:r>
        <w:t>State of Bioplastics</w:t>
      </w:r>
      <w:bookmarkEnd w:id="5"/>
      <w:bookmarkEnd w:id="6"/>
    </w:p>
    <w:p w14:paraId="625B7F35" w14:textId="77777777" w:rsidR="00A52C99" w:rsidRDefault="00A52C99" w:rsidP="00A52C99">
      <w:pPr>
        <w:spacing w:after="0"/>
        <w:rPr>
          <w:bCs/>
        </w:rPr>
      </w:pPr>
    </w:p>
    <w:p w14:paraId="0136CAA3" w14:textId="66AAEE68" w:rsidR="00A22BA0" w:rsidRDefault="00A52C99" w:rsidP="00A52C99">
      <w:pPr>
        <w:spacing w:after="0"/>
        <w:ind w:firstLine="708"/>
        <w:rPr>
          <w:bCs/>
        </w:rPr>
      </w:pPr>
      <w:r>
        <w:rPr>
          <w:bCs/>
        </w:rPr>
        <w:t>Bioplastics, simply put, are plastics made from plants or other biological sources. The concept of commercial production of bioplastics began in earnest in the 1990’s with the introduction of Green Chemistry and increasing fossil fuel prices</w:t>
      </w:r>
      <w:bookmarkStart w:id="7" w:name="_Ref414969693"/>
      <w:r>
        <w:rPr>
          <w:rStyle w:val="FootnoteReference"/>
          <w:bCs/>
        </w:rPr>
        <w:footnoteReference w:id="1"/>
      </w:r>
      <w:bookmarkEnd w:id="7"/>
      <w:r>
        <w:rPr>
          <w:bCs/>
        </w:rPr>
        <w:t>. Since then bioplastics have been developed to and marketed as replacements for traditional plastics.</w:t>
      </w:r>
      <w:r w:rsidR="00E6310B">
        <w:rPr>
          <w:bCs/>
        </w:rPr>
        <w:t xml:space="preserve"> The primary advantage of bioplastics over traditional fossil-based plastics is that using a plant feedstock allows for carbon sequestration in the raw material through carbon fixing.</w:t>
      </w:r>
      <w:r>
        <w:rPr>
          <w:bCs/>
        </w:rPr>
        <w:t xml:space="preserve"> </w:t>
      </w:r>
      <w:r w:rsidR="00E6310B">
        <w:rPr>
          <w:bCs/>
        </w:rPr>
        <w:t>Beyond this, s</w:t>
      </w:r>
      <w:r>
        <w:rPr>
          <w:bCs/>
        </w:rPr>
        <w:t xml:space="preserve">ome bioplastics </w:t>
      </w:r>
      <w:r w:rsidR="00E6310B">
        <w:rPr>
          <w:bCs/>
        </w:rPr>
        <w:t xml:space="preserve">additionally </w:t>
      </w:r>
      <w:r>
        <w:rPr>
          <w:bCs/>
        </w:rPr>
        <w:t>have material characteristics which may make them more attractive than the commodity fossil plastics that dominate the market. Examples of these characteristics are biodegradability</w:t>
      </w:r>
      <w:r w:rsidR="00E6310B">
        <w:rPr>
          <w:bCs/>
        </w:rPr>
        <w:t xml:space="preserve"> or</w:t>
      </w:r>
      <w:r>
        <w:rPr>
          <w:bCs/>
        </w:rPr>
        <w:t xml:space="preserve"> </w:t>
      </w:r>
      <w:proofErr w:type="spellStart"/>
      <w:r>
        <w:rPr>
          <w:bCs/>
        </w:rPr>
        <w:t>compostability</w:t>
      </w:r>
      <w:proofErr w:type="spellEnd"/>
      <w:r w:rsidR="00E6310B">
        <w:rPr>
          <w:bCs/>
        </w:rPr>
        <w:t xml:space="preserve"> (reducing landfilling and recycling demand)</w:t>
      </w:r>
      <w:r>
        <w:rPr>
          <w:bCs/>
        </w:rPr>
        <w:t>, good thermal properties (for 3D printing), and stiffness to density ratio (important for packaging)</w:t>
      </w:r>
      <w:r>
        <w:rPr>
          <w:rStyle w:val="FootnoteReference"/>
          <w:bCs/>
        </w:rPr>
        <w:footnoteReference w:id="2"/>
      </w:r>
      <w:bookmarkStart w:id="8" w:name="_Ref414962140"/>
      <w:r w:rsidRPr="00917EBB">
        <w:rPr>
          <w:bCs/>
          <w:vertAlign w:val="superscript"/>
        </w:rPr>
        <w:t>,</w:t>
      </w:r>
      <w:r>
        <w:rPr>
          <w:rStyle w:val="FootnoteReference"/>
          <w:bCs/>
        </w:rPr>
        <w:footnoteReference w:id="3"/>
      </w:r>
      <w:bookmarkEnd w:id="8"/>
      <w:r>
        <w:rPr>
          <w:bCs/>
        </w:rPr>
        <w:t xml:space="preserve">. </w:t>
      </w:r>
    </w:p>
    <w:p w14:paraId="6B2BF5CF" w14:textId="1110E612" w:rsidR="00A52C99" w:rsidRDefault="00A22BA0" w:rsidP="00A52C99">
      <w:pPr>
        <w:spacing w:after="0"/>
        <w:ind w:firstLine="708"/>
        <w:rPr>
          <w:bCs/>
        </w:rPr>
      </w:pPr>
      <w:r>
        <w:rPr>
          <w:bCs/>
        </w:rPr>
        <w:t xml:space="preserve">There are several categories of materials that encompass bioplastics. </w:t>
      </w:r>
      <w:r w:rsidR="00A52C99">
        <w:rPr>
          <w:bCs/>
        </w:rPr>
        <w:t xml:space="preserve">Some plastics are </w:t>
      </w:r>
      <w:r>
        <w:rPr>
          <w:bCs/>
        </w:rPr>
        <w:t xml:space="preserve">bio-based, or </w:t>
      </w:r>
      <w:r w:rsidR="00A52C99">
        <w:rPr>
          <w:bCs/>
        </w:rPr>
        <w:t>part bio</w:t>
      </w:r>
      <w:r>
        <w:rPr>
          <w:bCs/>
        </w:rPr>
        <w:t>-</w:t>
      </w:r>
      <w:r w:rsidR="00A52C99">
        <w:rPr>
          <w:bCs/>
        </w:rPr>
        <w:t>based and part fossil</w:t>
      </w:r>
      <w:r>
        <w:rPr>
          <w:bCs/>
        </w:rPr>
        <w:t>-</w:t>
      </w:r>
      <w:r w:rsidR="00A52C99">
        <w:rPr>
          <w:bCs/>
        </w:rPr>
        <w:t>based</w:t>
      </w:r>
      <w:r>
        <w:rPr>
          <w:bCs/>
        </w:rPr>
        <w:t>, but not biodegradable,</w:t>
      </w:r>
      <w:r w:rsidR="00A52C99">
        <w:rPr>
          <w:bCs/>
        </w:rPr>
        <w:t xml:space="preserve"> such as Bio-PET</w:t>
      </w:r>
      <w:r w:rsidR="00E6310B">
        <w:rPr>
          <w:bCs/>
        </w:rPr>
        <w:t xml:space="preserve"> (</w:t>
      </w:r>
      <w:proofErr w:type="spellStart"/>
      <w:r w:rsidR="00E6310B">
        <w:rPr>
          <w:bCs/>
        </w:rPr>
        <w:t>polyethlylene</w:t>
      </w:r>
      <w:proofErr w:type="spellEnd"/>
      <w:r w:rsidR="00E6310B">
        <w:rPr>
          <w:bCs/>
        </w:rPr>
        <w:t xml:space="preserve"> terephthalate)</w:t>
      </w:r>
      <w:r w:rsidR="00A52C99">
        <w:rPr>
          <w:bCs/>
        </w:rPr>
        <w:t xml:space="preserve"> which contains plant</w:t>
      </w:r>
      <w:r w:rsidR="00405E42">
        <w:rPr>
          <w:bCs/>
        </w:rPr>
        <w:t xml:space="preserve">-derived </w:t>
      </w:r>
      <w:r w:rsidR="00A52C99">
        <w:rPr>
          <w:bCs/>
        </w:rPr>
        <w:t xml:space="preserve">ethylene, this is used in Coca-Cola’s </w:t>
      </w:r>
      <w:proofErr w:type="spellStart"/>
      <w:r w:rsidR="00A52C99">
        <w:rPr>
          <w:bCs/>
        </w:rPr>
        <w:t>PlantBottle</w:t>
      </w:r>
      <w:bookmarkStart w:id="9" w:name="_Ref414975159"/>
      <w:proofErr w:type="spellEnd"/>
      <w:r w:rsidR="00A52C99">
        <w:rPr>
          <w:rStyle w:val="FootnoteReference"/>
          <w:bCs/>
        </w:rPr>
        <w:footnoteReference w:id="4"/>
      </w:r>
      <w:bookmarkEnd w:id="9"/>
      <w:r w:rsidR="00A52C99">
        <w:rPr>
          <w:bCs/>
        </w:rPr>
        <w:t xml:space="preserve">. In this </w:t>
      </w:r>
      <w:r>
        <w:rPr>
          <w:bCs/>
        </w:rPr>
        <w:t xml:space="preserve">particular </w:t>
      </w:r>
      <w:r w:rsidR="00A52C99">
        <w:rPr>
          <w:bCs/>
        </w:rPr>
        <w:t xml:space="preserve">case the PET is the exact same polymer as a completely fossil based version, which makes it a ‘drop-in’ technology for extruding and forming products and recycling streams during end of life treatment for the material. </w:t>
      </w:r>
      <w:r>
        <w:rPr>
          <w:bCs/>
        </w:rPr>
        <w:t>Other plastics that are bio-based but not biodegradable are bio polyethylene</w:t>
      </w:r>
      <w:r w:rsidR="00E6310B">
        <w:rPr>
          <w:bCs/>
        </w:rPr>
        <w:t xml:space="preserve">, bio polypropylene, polyamides, and more. There are additionally bio-based and biodegradable plastics, of which some examples are polylactic acid (PLA) and </w:t>
      </w:r>
      <w:proofErr w:type="spellStart"/>
      <w:r w:rsidR="00E6310B">
        <w:rPr>
          <w:bCs/>
        </w:rPr>
        <w:t>polyhydroxyalkanoates</w:t>
      </w:r>
      <w:proofErr w:type="spellEnd"/>
      <w:r w:rsidR="00E6310B">
        <w:rPr>
          <w:bCs/>
        </w:rPr>
        <w:t xml:space="preserve"> (PHA). The final category are other biodegradable plastics, such as polybutylene adipate terephthalate (PBAT).  </w:t>
      </w:r>
    </w:p>
    <w:p w14:paraId="03E77647" w14:textId="67332624" w:rsidR="005C4F82" w:rsidRDefault="005C4F82" w:rsidP="00A52C99">
      <w:pPr>
        <w:spacing w:after="0"/>
        <w:ind w:firstLine="708"/>
        <w:rPr>
          <w:bCs/>
        </w:rPr>
      </w:pPr>
      <w:r>
        <w:rPr>
          <w:bCs/>
        </w:rPr>
        <w:t xml:space="preserve">Beyond types of plastics, there exist three methods for production of bio-based plastics: starch </w:t>
      </w:r>
      <w:proofErr w:type="spellStart"/>
      <w:r>
        <w:rPr>
          <w:bCs/>
        </w:rPr>
        <w:t>pastics</w:t>
      </w:r>
      <w:proofErr w:type="spellEnd"/>
      <w:r>
        <w:rPr>
          <w:bCs/>
        </w:rPr>
        <w:t xml:space="preserve">, which make use of natural polymers largely remaining intact, production of monomers and then polymerization (PLA), and production of biopolymers directly in microorganisms or GMO crops. </w:t>
      </w:r>
    </w:p>
    <w:p w14:paraId="1081F313" w14:textId="5056ECD2" w:rsidR="00A52C99" w:rsidRDefault="00A52C99" w:rsidP="00A52C99">
      <w:pPr>
        <w:spacing w:after="0"/>
        <w:ind w:firstLine="708"/>
        <w:rPr>
          <w:bCs/>
        </w:rPr>
      </w:pPr>
      <w:r>
        <w:rPr>
          <w:bCs/>
        </w:rPr>
        <w:lastRenderedPageBreak/>
        <w:t xml:space="preserve">There </w:t>
      </w:r>
      <w:r w:rsidR="00405E42">
        <w:rPr>
          <w:bCs/>
        </w:rPr>
        <w:t xml:space="preserve">are </w:t>
      </w:r>
      <w:r>
        <w:rPr>
          <w:bCs/>
        </w:rPr>
        <w:t>a wide variety of bioplastics with different feedstocks and different underlying technologies used to refine the raw materials into formable plastics but generally the process starts with simple carbohydrates from root or grain crops. The production of biopolymers can be as simple as isolating starches from grain and thermoforming the starch along with a few additives. Conversely some biopolymers must go through complex fermentation and polymerization processes to create high value products</w:t>
      </w:r>
      <w:r>
        <w:rPr>
          <w:rStyle w:val="FootnoteReference"/>
          <w:bCs/>
        </w:rPr>
        <w:footnoteReference w:id="5"/>
      </w:r>
      <w:r>
        <w:rPr>
          <w:bCs/>
        </w:rPr>
        <w:t xml:space="preserve">. For unique bioplastics, new facilities must be constructed, such as the </w:t>
      </w:r>
      <w:proofErr w:type="spellStart"/>
      <w:r>
        <w:rPr>
          <w:bCs/>
        </w:rPr>
        <w:t>NatureWorks</w:t>
      </w:r>
      <w:proofErr w:type="spellEnd"/>
      <w:r>
        <w:rPr>
          <w:bCs/>
        </w:rPr>
        <w:t xml:space="preserve"> PLA production facility in Blair, Nebraska</w:t>
      </w:r>
      <w:r>
        <w:rPr>
          <w:rStyle w:val="FootnoteReference"/>
          <w:bCs/>
        </w:rPr>
        <w:footnoteReference w:id="6"/>
      </w:r>
      <w:r>
        <w:rPr>
          <w:bCs/>
        </w:rPr>
        <w:t>. For ‘drop-in’ materials, biopolymers may be processed and produced at existing facilities, reducing the capital costs and time required to scale up the production of bioplastic materials. Another trend in biopolymer technology is feedstock improvement to create crops that minimize processing while maximizing useful biomass enabling more efficient and consistent production of biopolymers</w:t>
      </w:r>
      <w:bookmarkStart w:id="10" w:name="_Ref414977032"/>
      <w:r>
        <w:rPr>
          <w:rStyle w:val="FootnoteReference"/>
          <w:bCs/>
        </w:rPr>
        <w:footnoteReference w:id="7"/>
      </w:r>
      <w:bookmarkEnd w:id="10"/>
      <w:r>
        <w:rPr>
          <w:bCs/>
        </w:rPr>
        <w:t>.</w:t>
      </w:r>
    </w:p>
    <w:p w14:paraId="6456D087" w14:textId="77777777" w:rsidR="00A52C99" w:rsidRDefault="00A52C99" w:rsidP="00A52C99">
      <w:pPr>
        <w:spacing w:after="0"/>
        <w:ind w:firstLine="708"/>
        <w:rPr>
          <w:bCs/>
        </w:rPr>
      </w:pPr>
      <w:r>
        <w:rPr>
          <w:bCs/>
        </w:rPr>
        <w:t xml:space="preserve">While bioplastics have the potential to be implemented across many different markets but the technologies, as they currently stand, tend to favor growth in packaging applications. </w:t>
      </w:r>
      <w:r>
        <w:rPr>
          <w:bCs/>
        </w:rPr>
        <w:fldChar w:fldCharType="begin"/>
      </w:r>
      <w:r>
        <w:rPr>
          <w:bCs/>
        </w:rPr>
        <w:instrText xml:space="preserve"> REF _Ref414965126 \h </w:instrText>
      </w:r>
      <w:r>
        <w:rPr>
          <w:bCs/>
        </w:rPr>
      </w:r>
      <w:r>
        <w:rPr>
          <w:bCs/>
        </w:rPr>
        <w:fldChar w:fldCharType="separate"/>
      </w:r>
      <w:r>
        <w:t xml:space="preserve">Figure </w:t>
      </w:r>
      <w:r>
        <w:rPr>
          <w:noProof/>
        </w:rPr>
        <w:t>1</w:t>
      </w:r>
      <w:r>
        <w:rPr>
          <w:bCs/>
        </w:rPr>
        <w:fldChar w:fldCharType="end"/>
      </w:r>
      <w:r>
        <w:rPr>
          <w:bCs/>
        </w:rPr>
        <w:t xml:space="preserve"> depicts the type and </w:t>
      </w:r>
      <w:proofErr w:type="gramStart"/>
      <w:r>
        <w:rPr>
          <w:bCs/>
        </w:rPr>
        <w:t>amount</w:t>
      </w:r>
      <w:proofErr w:type="gramEnd"/>
      <w:r>
        <w:rPr>
          <w:bCs/>
        </w:rPr>
        <w:t xml:space="preserve"> of bioplastics that are produced for different markets</w:t>
      </w:r>
      <w:bookmarkStart w:id="11" w:name="_Ref414959692"/>
      <w:r>
        <w:rPr>
          <w:rStyle w:val="FootnoteReference"/>
          <w:bCs/>
        </w:rPr>
        <w:footnoteReference w:id="8"/>
      </w:r>
      <w:bookmarkEnd w:id="11"/>
      <w:r>
        <w:rPr>
          <w:bCs/>
        </w:rPr>
        <w:t>. While there are some bioplastics available to individual consumers, they are largely purchased through wholesalers for packaging other products or use on the commercial scale. As investments in bioplastics continue to increase, the industry will find new uses and markets for the products just as the fossil plastic industry did in the last century. The development of new feedstocks and polymer types will enable more diverse applications</w:t>
      </w:r>
      <w:r>
        <w:rPr>
          <w:rStyle w:val="FootnoteReference"/>
          <w:bCs/>
        </w:rPr>
        <w:footnoteReference w:id="9"/>
      </w:r>
      <w:r>
        <w:rPr>
          <w:bCs/>
        </w:rPr>
        <w:t>.</w:t>
      </w:r>
    </w:p>
    <w:p w14:paraId="718AC6D2" w14:textId="77777777" w:rsidR="00A52C99" w:rsidRPr="00B144E5" w:rsidRDefault="00A52C99" w:rsidP="00A52C99">
      <w:pPr>
        <w:spacing w:after="0"/>
        <w:rPr>
          <w:bCs/>
        </w:rPr>
      </w:pPr>
    </w:p>
    <w:p w14:paraId="73FA6930" w14:textId="31C81B8B" w:rsidR="00A52C99" w:rsidRDefault="00CE0D3E" w:rsidP="00A52C99">
      <w:pPr>
        <w:keepNext/>
        <w:spacing w:after="0"/>
        <w:jc w:val="center"/>
      </w:pPr>
      <w:r>
        <w:rPr>
          <w:bCs/>
          <w:noProof/>
          <w:lang w:eastAsia="en-US"/>
        </w:rPr>
        <w:lastRenderedPageBreak/>
        <w:drawing>
          <wp:inline distT="0" distB="0" distL="0" distR="0" wp14:anchorId="3FBD8345" wp14:editId="7556FAE0">
            <wp:extent cx="5943600" cy="297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2 at 7.52.22 PM.png"/>
                    <pic:cNvPicPr/>
                  </pic:nvPicPr>
                  <pic:blipFill>
                    <a:blip r:embed="rId16"/>
                    <a:stretch>
                      <a:fillRect/>
                    </a:stretch>
                  </pic:blipFill>
                  <pic:spPr>
                    <a:xfrm>
                      <a:off x="0" y="0"/>
                      <a:ext cx="5943600" cy="2976880"/>
                    </a:xfrm>
                    <a:prstGeom prst="rect">
                      <a:avLst/>
                    </a:prstGeom>
                  </pic:spPr>
                </pic:pic>
              </a:graphicData>
            </a:graphic>
          </wp:inline>
        </w:drawing>
      </w:r>
    </w:p>
    <w:p w14:paraId="305C058D" w14:textId="6AFCA00F" w:rsidR="00F15AEE" w:rsidRPr="00FA38F7" w:rsidRDefault="00A52C99" w:rsidP="00FA38F7">
      <w:pPr>
        <w:pStyle w:val="Caption"/>
      </w:pPr>
      <w:bookmarkStart w:id="12" w:name="_Ref414965126"/>
      <w:bookmarkStart w:id="13" w:name="_Toc415001110"/>
      <w:bookmarkStart w:id="14" w:name="_Toc18543326"/>
      <w:r>
        <w:t xml:space="preserve">Figure </w:t>
      </w:r>
      <w:r w:rsidR="00304B72">
        <w:fldChar w:fldCharType="begin"/>
      </w:r>
      <w:r w:rsidR="00304B72">
        <w:instrText xml:space="preserve"> SEQ Figure \* ARABIC </w:instrText>
      </w:r>
      <w:r w:rsidR="00304B72">
        <w:fldChar w:fldCharType="separate"/>
      </w:r>
      <w:r>
        <w:rPr>
          <w:noProof/>
        </w:rPr>
        <w:t>1</w:t>
      </w:r>
      <w:r w:rsidR="00304B72">
        <w:rPr>
          <w:noProof/>
        </w:rPr>
        <w:fldChar w:fldCharType="end"/>
      </w:r>
      <w:bookmarkEnd w:id="12"/>
      <w:r w:rsidRPr="001E441B">
        <w:t>. Production capacities and bioplastic types by market segment. This graph was published in a report by European Bioplastics</w:t>
      </w:r>
      <w:r w:rsidRPr="005078B6">
        <w:rPr>
          <w:vertAlign w:val="superscript"/>
        </w:rPr>
        <w:fldChar w:fldCharType="begin"/>
      </w:r>
      <w:r w:rsidRPr="005078B6">
        <w:rPr>
          <w:vertAlign w:val="superscript"/>
        </w:rPr>
        <w:instrText xml:space="preserve"> NOTEREF _Ref414959692 \h </w:instrText>
      </w:r>
      <w:r>
        <w:rPr>
          <w:vertAlign w:val="superscript"/>
        </w:rPr>
        <w:instrText xml:space="preserve"> \* MERGEFORMAT </w:instrText>
      </w:r>
      <w:r w:rsidRPr="005078B6">
        <w:rPr>
          <w:vertAlign w:val="superscript"/>
        </w:rPr>
      </w:r>
      <w:r w:rsidRPr="005078B6">
        <w:rPr>
          <w:vertAlign w:val="superscript"/>
        </w:rPr>
        <w:fldChar w:fldCharType="separate"/>
      </w:r>
      <w:r>
        <w:rPr>
          <w:vertAlign w:val="superscript"/>
        </w:rPr>
        <w:t>8</w:t>
      </w:r>
      <w:r w:rsidRPr="005078B6">
        <w:rPr>
          <w:vertAlign w:val="superscript"/>
        </w:rPr>
        <w:fldChar w:fldCharType="end"/>
      </w:r>
      <w:r w:rsidRPr="001E441B">
        <w:t>.</w:t>
      </w:r>
      <w:bookmarkEnd w:id="13"/>
      <w:bookmarkEnd w:id="14"/>
    </w:p>
    <w:p w14:paraId="52C7F761" w14:textId="490ACF20" w:rsidR="00B0717A" w:rsidRPr="00B0717A" w:rsidRDefault="007C0773" w:rsidP="00B0717A">
      <w:pPr>
        <w:pStyle w:val="Heading2"/>
        <w:spacing w:before="0" w:line="240" w:lineRule="auto"/>
        <w:ind w:left="0" w:hanging="576"/>
        <w:jc w:val="left"/>
      </w:pPr>
      <w:bookmarkStart w:id="15" w:name="_Toc415001101"/>
      <w:bookmarkStart w:id="16" w:name="_Toc27472653"/>
      <w:r>
        <w:t>Adoption Path</w:t>
      </w:r>
      <w:bookmarkEnd w:id="15"/>
      <w:bookmarkEnd w:id="16"/>
    </w:p>
    <w:p w14:paraId="5631E60F" w14:textId="49E51B22" w:rsidR="00660410" w:rsidRPr="00711E44" w:rsidRDefault="00711E44" w:rsidP="00D328BD">
      <w:pPr>
        <w:pStyle w:val="Heading3"/>
      </w:pPr>
      <w:bookmarkStart w:id="17" w:name="_Toc27472654"/>
      <w:r>
        <w:t>Current Adoption</w:t>
      </w:r>
      <w:bookmarkEnd w:id="17"/>
    </w:p>
    <w:p w14:paraId="55800D38" w14:textId="64D56282" w:rsidR="007C0773" w:rsidRDefault="007C0773" w:rsidP="00660410">
      <w:pPr>
        <w:spacing w:after="0"/>
        <w:rPr>
          <w:bCs/>
        </w:rPr>
      </w:pPr>
      <w:r>
        <w:rPr>
          <w:bCs/>
        </w:rPr>
        <w:t xml:space="preserve">Many bioplastics have been developed by large, international chemical companies and already have global representation as seen in </w:t>
      </w:r>
      <w:r>
        <w:rPr>
          <w:bCs/>
        </w:rPr>
        <w:fldChar w:fldCharType="begin"/>
      </w:r>
      <w:r>
        <w:rPr>
          <w:bCs/>
        </w:rPr>
        <w:instrText xml:space="preserve"> REF _Ref414970838 \h </w:instrText>
      </w:r>
      <w:r>
        <w:rPr>
          <w:bCs/>
        </w:rPr>
      </w:r>
      <w:r>
        <w:rPr>
          <w:bCs/>
        </w:rPr>
        <w:fldChar w:fldCharType="separate"/>
      </w:r>
      <w:r>
        <w:t xml:space="preserve">Figure </w:t>
      </w:r>
      <w:r>
        <w:rPr>
          <w:noProof/>
        </w:rPr>
        <w:t>2</w:t>
      </w:r>
      <w:r>
        <w:rPr>
          <w:bCs/>
        </w:rPr>
        <w:fldChar w:fldCharType="end"/>
      </w:r>
      <w:r>
        <w:rPr>
          <w:bCs/>
        </w:rPr>
        <w:t>. With names like DuPont, Cargill, Dow, BASF, and Mitsubishi Chemicals in addition to many other companies investing in bioplastics development these technologies have a strong platform to expand on the global scale</w:t>
      </w:r>
      <w:r w:rsidR="00CE0D3E">
        <w:rPr>
          <w:bCs/>
        </w:rPr>
        <w:t>; just since 2013, global production of bioplastics has increased over 30% from 1.62 million tons to 2.11 million tons in 2018</w:t>
      </w:r>
      <w:r w:rsidR="00CE0D3E">
        <w:rPr>
          <w:bCs/>
          <w:vertAlign w:val="superscript"/>
        </w:rPr>
        <w:t>8</w:t>
      </w:r>
      <w:r w:rsidR="00CE0D3E">
        <w:rPr>
          <w:bCs/>
        </w:rPr>
        <w:t xml:space="preserve">. However, this is still less than 1% of the total global plastics market. </w:t>
      </w:r>
      <w:r>
        <w:rPr>
          <w:bCs/>
        </w:rPr>
        <w:t>Bioplastics are promising similar breakthroughs in feedstock development as biofuels with higher output and fewer environmental impacts from cellulosic and algal sources. Because bioplastics are a replacement technology there is already demand for plastic materials worldwide and outlets for these materials. This suggests that bioplastics may be able to transition from research and development to products in the market relatively quickly.</w:t>
      </w:r>
    </w:p>
    <w:p w14:paraId="2C87F310" w14:textId="69310C36" w:rsidR="007C0773" w:rsidRDefault="00CE0D3E" w:rsidP="007C0773">
      <w:pPr>
        <w:keepNext/>
        <w:spacing w:after="0"/>
        <w:jc w:val="center"/>
      </w:pPr>
      <w:r>
        <w:rPr>
          <w:bCs/>
          <w:noProof/>
          <w:lang w:eastAsia="en-US"/>
        </w:rPr>
        <w:lastRenderedPageBreak/>
        <w:drawing>
          <wp:inline distT="0" distB="0" distL="0" distR="0" wp14:anchorId="47E6AF43" wp14:editId="518F38E6">
            <wp:extent cx="5943600" cy="346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7.52.35 PM.png"/>
                    <pic:cNvPicPr/>
                  </pic:nvPicPr>
                  <pic:blipFill>
                    <a:blip r:embed="rId17"/>
                    <a:stretch>
                      <a:fillRect/>
                    </a:stretch>
                  </pic:blipFill>
                  <pic:spPr>
                    <a:xfrm>
                      <a:off x="0" y="0"/>
                      <a:ext cx="5943600" cy="3469640"/>
                    </a:xfrm>
                    <a:prstGeom prst="rect">
                      <a:avLst/>
                    </a:prstGeom>
                  </pic:spPr>
                </pic:pic>
              </a:graphicData>
            </a:graphic>
          </wp:inline>
        </w:drawing>
      </w:r>
    </w:p>
    <w:p w14:paraId="76847EDB" w14:textId="77777777" w:rsidR="007C0773" w:rsidRPr="002C7305" w:rsidRDefault="007C0773" w:rsidP="007C0773">
      <w:pPr>
        <w:pStyle w:val="Caption"/>
      </w:pPr>
      <w:bookmarkStart w:id="18" w:name="_Ref414970838"/>
      <w:bookmarkStart w:id="19" w:name="_Toc415001111"/>
      <w:bookmarkStart w:id="20" w:name="_Toc18543327"/>
      <w:r>
        <w:t xml:space="preserve">Figure </w:t>
      </w:r>
      <w:r w:rsidR="00304B72">
        <w:fldChar w:fldCharType="begin"/>
      </w:r>
      <w:r w:rsidR="00304B72">
        <w:instrText xml:space="preserve"> SEQ Figure \* ARABIC </w:instrText>
      </w:r>
      <w:r w:rsidR="00304B72">
        <w:fldChar w:fldCharType="separate"/>
      </w:r>
      <w:r>
        <w:rPr>
          <w:noProof/>
        </w:rPr>
        <w:t>2</w:t>
      </w:r>
      <w:r w:rsidR="00304B72">
        <w:rPr>
          <w:noProof/>
        </w:rPr>
        <w:fldChar w:fldCharType="end"/>
      </w:r>
      <w:bookmarkEnd w:id="18"/>
      <w:r>
        <w:t xml:space="preserve">. Global production rate for bioplastics by region. </w:t>
      </w:r>
      <w:r w:rsidRPr="001E441B">
        <w:t>This graph was published in a report by European Bioplastics</w:t>
      </w:r>
      <w:r w:rsidRPr="005078B6">
        <w:rPr>
          <w:vertAlign w:val="superscript"/>
        </w:rPr>
        <w:fldChar w:fldCharType="begin"/>
      </w:r>
      <w:r w:rsidRPr="005078B6">
        <w:rPr>
          <w:vertAlign w:val="superscript"/>
        </w:rPr>
        <w:instrText xml:space="preserve"> NOTEREF _Ref414959692 \h </w:instrText>
      </w:r>
      <w:r>
        <w:rPr>
          <w:vertAlign w:val="superscript"/>
        </w:rPr>
        <w:instrText xml:space="preserve"> \* MERGEFORMAT </w:instrText>
      </w:r>
      <w:r w:rsidRPr="005078B6">
        <w:rPr>
          <w:vertAlign w:val="superscript"/>
        </w:rPr>
      </w:r>
      <w:r w:rsidRPr="005078B6">
        <w:rPr>
          <w:vertAlign w:val="superscript"/>
        </w:rPr>
        <w:fldChar w:fldCharType="separate"/>
      </w:r>
      <w:r>
        <w:rPr>
          <w:vertAlign w:val="superscript"/>
        </w:rPr>
        <w:t>8</w:t>
      </w:r>
      <w:r w:rsidRPr="005078B6">
        <w:rPr>
          <w:vertAlign w:val="superscript"/>
        </w:rPr>
        <w:fldChar w:fldCharType="end"/>
      </w:r>
      <w:r w:rsidRPr="001E441B">
        <w:t>.</w:t>
      </w:r>
      <w:bookmarkEnd w:id="19"/>
      <w:bookmarkEnd w:id="20"/>
    </w:p>
    <w:p w14:paraId="28498C85" w14:textId="3EB8E19B" w:rsidR="007C0773" w:rsidRDefault="007C0773" w:rsidP="007C0773">
      <w:pPr>
        <w:spacing w:after="0"/>
        <w:ind w:firstLine="708"/>
        <w:rPr>
          <w:bCs/>
        </w:rPr>
      </w:pPr>
      <w:r>
        <w:rPr>
          <w:bCs/>
        </w:rPr>
        <w:t>There are a few specific factors in the development of bioplastics which may influence the global rate of adoption some which favor bioplastics and others which may dampen their growth in the market. Factors favoring the development of bioplastics include the availability and uncertainty regarding fossil resources, the increasingly viable economics of production, environmental performance, and investments in bioplastics development. Conversely, low performance of some bioplastics, high processing costs, land use factors, and environmental impacts from agricultural are factors that will need to be addressed as bioplastics continue to gain an increasing market share</w:t>
      </w:r>
      <w:r>
        <w:rPr>
          <w:rStyle w:val="FootnoteReference"/>
          <w:bCs/>
        </w:rPr>
        <w:footnoteReference w:id="10"/>
      </w:r>
      <w:r w:rsidRPr="009523F2">
        <w:rPr>
          <w:bCs/>
          <w:vertAlign w:val="superscript"/>
        </w:rPr>
        <w:t>,</w:t>
      </w:r>
      <w:bookmarkStart w:id="21" w:name="_Ref414991025"/>
      <w:r>
        <w:rPr>
          <w:rStyle w:val="FootnoteReference"/>
          <w:bCs/>
        </w:rPr>
        <w:footnoteReference w:id="11"/>
      </w:r>
      <w:bookmarkEnd w:id="21"/>
      <w:r>
        <w:rPr>
          <w:bCs/>
          <w:vertAlign w:val="superscript"/>
        </w:rPr>
        <w:t>,</w:t>
      </w:r>
      <w:r>
        <w:rPr>
          <w:bCs/>
        </w:rPr>
        <w:fldChar w:fldCharType="begin"/>
      </w:r>
      <w:r>
        <w:rPr>
          <w:bCs/>
          <w:vertAlign w:val="superscript"/>
        </w:rPr>
        <w:instrText xml:space="preserve"> NOTEREF _Ref414977032 \h </w:instrText>
      </w:r>
      <w:r>
        <w:rPr>
          <w:bCs/>
        </w:rPr>
      </w:r>
      <w:r>
        <w:rPr>
          <w:bCs/>
        </w:rPr>
        <w:fldChar w:fldCharType="separate"/>
      </w:r>
      <w:r>
        <w:rPr>
          <w:bCs/>
          <w:vertAlign w:val="superscript"/>
        </w:rPr>
        <w:t>7</w:t>
      </w:r>
      <w:r>
        <w:rPr>
          <w:bCs/>
        </w:rPr>
        <w:fldChar w:fldCharType="end"/>
      </w:r>
      <w:r>
        <w:rPr>
          <w:bCs/>
        </w:rPr>
        <w:t xml:space="preserve">. Fossil resources are a double-edged sword which with volatile or high prices can encourage rapid bioplastics </w:t>
      </w:r>
      <w:proofErr w:type="gramStart"/>
      <w:r>
        <w:rPr>
          <w:bCs/>
        </w:rPr>
        <w:t>development</w:t>
      </w:r>
      <w:proofErr w:type="gramEnd"/>
      <w:r>
        <w:rPr>
          <w:bCs/>
        </w:rPr>
        <w:t xml:space="preserve"> but consistently low fossil prices may limit bioplastics to the niche markets they already occupy. Policy is another avenue by which biopolymers may make inroads into the fossil plastics market as bio-preferred programs, carbon markets (or taxes), and plastic bans may make bioplastics the favorable alternative to fossil plastics even if they have slightly higher prices. </w:t>
      </w:r>
    </w:p>
    <w:p w14:paraId="6E929BA0" w14:textId="4944C42E" w:rsidR="00B0717A" w:rsidRDefault="00B0717A" w:rsidP="00B0717A">
      <w:pPr>
        <w:pStyle w:val="Heading3"/>
      </w:pPr>
      <w:bookmarkStart w:id="22" w:name="_Toc27472655"/>
      <w:r>
        <w:lastRenderedPageBreak/>
        <w:t>Barriers to Adoption</w:t>
      </w:r>
      <w:bookmarkEnd w:id="22"/>
    </w:p>
    <w:p w14:paraId="120EFF2A" w14:textId="099BEA87" w:rsidR="009C3D1C" w:rsidRDefault="009C3D1C" w:rsidP="00711E44">
      <w:pPr>
        <w:spacing w:after="0"/>
        <w:ind w:firstLine="708"/>
        <w:rPr>
          <w:bCs/>
        </w:rPr>
      </w:pPr>
      <w:r>
        <w:rPr>
          <w:bCs/>
        </w:rPr>
        <w:t xml:space="preserve">There are several barriers to adoption which affect different phases of the bioplastic life cycle, some of which are technical barriers, and others of which are market barriers. </w:t>
      </w:r>
    </w:p>
    <w:p w14:paraId="4A068F84" w14:textId="5DE037E9" w:rsidR="00691C2B" w:rsidRDefault="00711E44" w:rsidP="00711E44">
      <w:pPr>
        <w:spacing w:after="0"/>
        <w:ind w:firstLine="708"/>
        <w:rPr>
          <w:bCs/>
        </w:rPr>
      </w:pPr>
      <w:r>
        <w:rPr>
          <w:bCs/>
        </w:rPr>
        <w:t xml:space="preserve">The main barriers to </w:t>
      </w:r>
      <w:r w:rsidR="009C3D1C">
        <w:rPr>
          <w:bCs/>
        </w:rPr>
        <w:t xml:space="preserve">market entry and </w:t>
      </w:r>
      <w:r>
        <w:rPr>
          <w:bCs/>
        </w:rPr>
        <w:t xml:space="preserve">continued growth are competition from the mature fossil plastics industries, pricing, and feedstock availability </w:t>
      </w:r>
      <w:r w:rsidRPr="00400680">
        <w:rPr>
          <w:bCs/>
          <w:vertAlign w:val="superscript"/>
        </w:rPr>
        <w:fldChar w:fldCharType="begin"/>
      </w:r>
      <w:r w:rsidRPr="00400680">
        <w:rPr>
          <w:bCs/>
          <w:vertAlign w:val="superscript"/>
        </w:rPr>
        <w:instrText xml:space="preserve"> NOTEREF _Ref414969693 \h </w:instrText>
      </w:r>
      <w:r>
        <w:rPr>
          <w:bCs/>
          <w:vertAlign w:val="superscript"/>
        </w:rPr>
        <w:instrText xml:space="preserve"> \* MERGEFORMAT </w:instrText>
      </w:r>
      <w:r w:rsidRPr="00400680">
        <w:rPr>
          <w:bCs/>
          <w:vertAlign w:val="superscript"/>
        </w:rPr>
      </w:r>
      <w:r w:rsidRPr="00400680">
        <w:rPr>
          <w:bCs/>
          <w:vertAlign w:val="superscript"/>
        </w:rPr>
        <w:fldChar w:fldCharType="separate"/>
      </w:r>
      <w:r>
        <w:rPr>
          <w:bCs/>
          <w:vertAlign w:val="superscript"/>
        </w:rPr>
        <w:t>1</w:t>
      </w:r>
      <w:r w:rsidRPr="00400680">
        <w:rPr>
          <w:bCs/>
          <w:vertAlign w:val="superscript"/>
        </w:rPr>
        <w:fldChar w:fldCharType="end"/>
      </w:r>
      <w:r w:rsidRPr="00400680">
        <w:rPr>
          <w:bCs/>
          <w:vertAlign w:val="superscript"/>
        </w:rPr>
        <w:t>,</w:t>
      </w:r>
      <w:r w:rsidRPr="00400680">
        <w:rPr>
          <w:bCs/>
          <w:vertAlign w:val="superscript"/>
        </w:rPr>
        <w:fldChar w:fldCharType="begin"/>
      </w:r>
      <w:r w:rsidRPr="00400680">
        <w:rPr>
          <w:bCs/>
          <w:vertAlign w:val="superscript"/>
        </w:rPr>
        <w:instrText xml:space="preserve"> NOTEREF _Ref414959692 \h </w:instrText>
      </w:r>
      <w:r>
        <w:rPr>
          <w:bCs/>
          <w:vertAlign w:val="superscript"/>
        </w:rPr>
        <w:instrText xml:space="preserve"> \* MERGEFORMAT </w:instrText>
      </w:r>
      <w:r w:rsidRPr="00400680">
        <w:rPr>
          <w:bCs/>
          <w:vertAlign w:val="superscript"/>
        </w:rPr>
      </w:r>
      <w:r w:rsidRPr="00400680">
        <w:rPr>
          <w:bCs/>
          <w:vertAlign w:val="superscript"/>
        </w:rPr>
        <w:fldChar w:fldCharType="separate"/>
      </w:r>
      <w:r>
        <w:rPr>
          <w:bCs/>
          <w:vertAlign w:val="superscript"/>
        </w:rPr>
        <w:t>8</w:t>
      </w:r>
      <w:r w:rsidRPr="00400680">
        <w:rPr>
          <w:bCs/>
          <w:vertAlign w:val="superscript"/>
        </w:rPr>
        <w:fldChar w:fldCharType="end"/>
      </w:r>
      <w:r w:rsidR="006335EC">
        <w:rPr>
          <w:bCs/>
          <w:vertAlign w:val="superscript"/>
        </w:rPr>
        <w:t>,12</w:t>
      </w:r>
      <w:r>
        <w:rPr>
          <w:bCs/>
        </w:rPr>
        <w:t>. One feedstock related issue is proximity of production facilities to raw materials. Agricultural products have extremely low density when compared to fossil resources and cannot be moved through pipelines or tankers</w:t>
      </w:r>
      <w:r w:rsidR="00C73128">
        <w:rPr>
          <w:bCs/>
        </w:rPr>
        <w:t>,</w:t>
      </w:r>
      <w:r>
        <w:rPr>
          <w:bCs/>
        </w:rPr>
        <w:t xml:space="preserve"> making transportation logistics one of the more challenging aspects of production which cannot be as centralized as fossil based plastic production. Bioplastic facilities must be located near feedstock production in order to realize any benefits that agricultural based production may have over fossil plastics</w:t>
      </w:r>
      <w:r w:rsidRPr="00FB6138">
        <w:rPr>
          <w:bCs/>
          <w:vertAlign w:val="superscript"/>
        </w:rPr>
        <w:fldChar w:fldCharType="begin"/>
      </w:r>
      <w:r w:rsidRPr="00FB6138">
        <w:rPr>
          <w:bCs/>
          <w:vertAlign w:val="superscript"/>
        </w:rPr>
        <w:instrText xml:space="preserve"> NOTEREF _Ref414977032 \h </w:instrText>
      </w:r>
      <w:r>
        <w:rPr>
          <w:bCs/>
          <w:vertAlign w:val="superscript"/>
        </w:rPr>
        <w:instrText xml:space="preserve"> \* MERGEFORMAT </w:instrText>
      </w:r>
      <w:r w:rsidRPr="00FB6138">
        <w:rPr>
          <w:bCs/>
          <w:vertAlign w:val="superscript"/>
        </w:rPr>
      </w:r>
      <w:r w:rsidRPr="00FB6138">
        <w:rPr>
          <w:bCs/>
          <w:vertAlign w:val="superscript"/>
        </w:rPr>
        <w:fldChar w:fldCharType="separate"/>
      </w:r>
      <w:r>
        <w:rPr>
          <w:bCs/>
          <w:vertAlign w:val="superscript"/>
        </w:rPr>
        <w:t>7</w:t>
      </w:r>
      <w:r w:rsidRPr="00FB6138">
        <w:rPr>
          <w:bCs/>
          <w:vertAlign w:val="superscript"/>
        </w:rPr>
        <w:fldChar w:fldCharType="end"/>
      </w:r>
      <w:r>
        <w:rPr>
          <w:bCs/>
        </w:rPr>
        <w:t xml:space="preserve">. </w:t>
      </w:r>
      <w:r w:rsidR="009C3D1C">
        <w:rPr>
          <w:bCs/>
        </w:rPr>
        <w:t>Another market barrier is cost of bioplastics –</w:t>
      </w:r>
      <w:r w:rsidR="00B6747A">
        <w:rPr>
          <w:bCs/>
        </w:rPr>
        <w:t xml:space="preserve"> not only are bioplastics currently more expensive than fossil plastics, but</w:t>
      </w:r>
      <w:r w:rsidR="009C3D1C">
        <w:rPr>
          <w:bCs/>
        </w:rPr>
        <w:t xml:space="preserve"> since the market is currently small, scaling up the production of new products is challenging. </w:t>
      </w:r>
      <w:proofErr w:type="gramStart"/>
      <w:r w:rsidR="009C3D1C">
        <w:rPr>
          <w:bCs/>
        </w:rPr>
        <w:t>Furthermore</w:t>
      </w:r>
      <w:proofErr w:type="gramEnd"/>
      <w:r w:rsidR="009C3D1C">
        <w:rPr>
          <w:bCs/>
        </w:rPr>
        <w:t xml:space="preserve"> current market standards are based on fossil plastics, not bioplastics, which can be a limit to direct competition</w:t>
      </w:r>
      <w:r w:rsidR="008F6377">
        <w:rPr>
          <w:rStyle w:val="FootnoteReference"/>
          <w:bCs/>
        </w:rPr>
        <w:footnoteReference w:id="12"/>
      </w:r>
      <w:r w:rsidR="009C3D1C">
        <w:rPr>
          <w:bCs/>
        </w:rPr>
        <w:t>.</w:t>
      </w:r>
    </w:p>
    <w:p w14:paraId="3AADCA78" w14:textId="45947B7D" w:rsidR="000E43F2" w:rsidRDefault="006335EC" w:rsidP="000E43F2">
      <w:pPr>
        <w:spacing w:after="0"/>
        <w:ind w:firstLine="708"/>
      </w:pPr>
      <w:r>
        <w:t xml:space="preserve">Technical barriers to adoption are varied. While cellulosic plastics from trees have several advantages, effective </w:t>
      </w:r>
      <w:r w:rsidR="00993B20">
        <w:t xml:space="preserve">and scalable </w:t>
      </w:r>
      <w:r>
        <w:t>methods for separation and depolymerization of lignin – which is necessary for the valorization of this material – is still very much in development</w:t>
      </w:r>
      <w:r>
        <w:rPr>
          <w:vertAlign w:val="superscript"/>
        </w:rPr>
        <w:t>12</w:t>
      </w:r>
      <w:r>
        <w:t xml:space="preserve">. </w:t>
      </w:r>
      <w:r w:rsidR="00080F74">
        <w:t xml:space="preserve">Even for starch-based plastics, in which production is happening at a larger scale than </w:t>
      </w:r>
      <w:proofErr w:type="spellStart"/>
      <w:r w:rsidR="00080F74">
        <w:t>cellulosics</w:t>
      </w:r>
      <w:proofErr w:type="spellEnd"/>
      <w:r w:rsidR="00080F74">
        <w:t>, improvements in conversion methodology as well as fermentation methods could be achieved</w:t>
      </w:r>
      <w:r w:rsidR="00080F74">
        <w:rPr>
          <w:vertAlign w:val="superscript"/>
        </w:rPr>
        <w:t>12</w:t>
      </w:r>
      <w:r w:rsidR="00080F74">
        <w:t>. Another consideration is the use of starch feedstocks to produce bioplastics. Increased demand could result in allocation of food crops for production, or major land use change.</w:t>
      </w:r>
      <w:r w:rsidR="009A0EBA">
        <w:t xml:space="preserve"> Land use for bioplastics in 2017 was 672,000 ha and is projected to grow to 1,038,000 ha by 2022</w:t>
      </w:r>
      <w:r w:rsidR="009A0EBA">
        <w:rPr>
          <w:rStyle w:val="FootnoteReference"/>
        </w:rPr>
        <w:footnoteReference w:id="13"/>
      </w:r>
      <w:r w:rsidR="009A0EBA">
        <w:t xml:space="preserve">. </w:t>
      </w:r>
    </w:p>
    <w:p w14:paraId="3B2F4787" w14:textId="77777777" w:rsidR="00432D6A" w:rsidRDefault="00432D6A" w:rsidP="00432D6A">
      <w:pPr>
        <w:pStyle w:val="Heading3"/>
      </w:pPr>
      <w:bookmarkStart w:id="23" w:name="_Toc27472656"/>
      <w:r>
        <w:t>Trends to Accelerate Adoption</w:t>
      </w:r>
      <w:bookmarkEnd w:id="23"/>
    </w:p>
    <w:p w14:paraId="5EB7DADF" w14:textId="1CD049C3" w:rsidR="00C43165" w:rsidRPr="00711E44" w:rsidRDefault="000E43F2" w:rsidP="00D328BD">
      <w:pPr>
        <w:spacing w:after="0"/>
        <w:ind w:firstLine="708"/>
      </w:pPr>
      <w:r>
        <w:t xml:space="preserve">The foremost trend to accelerate adoption of bioplastics over fossil plastics is perception. As concerns over the impact of continued use of fossil resources grows, interest in alternatives grows. </w:t>
      </w:r>
      <w:r w:rsidR="00B6747A">
        <w:t>Bioplastics have several advantages over fossil resources which can be leveraged to increase adoption. One such advantage is that b</w:t>
      </w:r>
      <w:r w:rsidR="009A0EBA">
        <w:t>ioplastics are “energy carriers,” even after use, they could be incinerated or processed for energy, reducing the necessity for direct incineration of biomass</w:t>
      </w:r>
      <w:r w:rsidR="009A0EBA" w:rsidRPr="00D328BD">
        <w:rPr>
          <w:vertAlign w:val="superscript"/>
        </w:rPr>
        <w:t>13</w:t>
      </w:r>
      <w:r w:rsidR="009A0EBA">
        <w:t xml:space="preserve">. </w:t>
      </w:r>
      <w:r w:rsidR="00B6747A">
        <w:t xml:space="preserve">As energy production from biomass is a growing field of interest as well, emphasizing that these two uses of biomass (energy and </w:t>
      </w:r>
      <w:r w:rsidR="00B6747A">
        <w:lastRenderedPageBreak/>
        <w:t>plastic production) do not need to be in direct competition for raw materials in the form of feedstocks and land use is a notable advantage. Another perception of bioplastics, and more generally, “green” materials generally is that performance may be compromised when compared to conventional goods. However, recent research and advances have shown that t</w:t>
      </w:r>
      <w:r w:rsidR="00C43165">
        <w:t>hermal and mechanical properties of bioplastics have been developed and improved significantly in recent years, and in many areas are comparable to fossil plastics</w:t>
      </w:r>
      <w:r>
        <w:rPr>
          <w:rStyle w:val="FootnoteReference"/>
        </w:rPr>
        <w:footnoteReference w:id="14"/>
      </w:r>
      <w:r w:rsidR="00C43165">
        <w:t xml:space="preserve">. </w:t>
      </w:r>
      <w:r w:rsidR="00B6747A">
        <w:t>PLA, for example, has an extremely high tensile strength, but production results in 40% less GHG emissions than its conventional counterpart</w:t>
      </w:r>
      <w:r w:rsidR="00B6747A">
        <w:rPr>
          <w:vertAlign w:val="superscript"/>
        </w:rPr>
        <w:t>14</w:t>
      </w:r>
      <w:r w:rsidR="00B6747A">
        <w:t xml:space="preserve">.  </w:t>
      </w:r>
    </w:p>
    <w:p w14:paraId="561676E8" w14:textId="1B679659" w:rsidR="00B0717A" w:rsidRPr="00B0717A" w:rsidRDefault="00B0717A" w:rsidP="00B0717A">
      <w:pPr>
        <w:pStyle w:val="Heading3"/>
      </w:pPr>
      <w:bookmarkStart w:id="24" w:name="_Toc27472657"/>
      <w:r>
        <w:t>Adoption Potential</w:t>
      </w:r>
      <w:bookmarkEnd w:id="24"/>
    </w:p>
    <w:p w14:paraId="1BC2E087" w14:textId="52AC5FA9" w:rsidR="00656F5C" w:rsidRPr="000A5842" w:rsidRDefault="00B6747A" w:rsidP="007C0773">
      <w:pPr>
        <w:spacing w:after="0"/>
        <w:ind w:firstLine="708"/>
        <w:rPr>
          <w:bCs/>
        </w:rPr>
      </w:pPr>
      <w:r>
        <w:rPr>
          <w:bCs/>
        </w:rPr>
        <w:t xml:space="preserve">Despite some cost and technological hurdles to overcome in the near future, the direct parallels of bioplastics to conventional plastics, </w:t>
      </w:r>
      <w:r w:rsidR="008E25B2">
        <w:rPr>
          <w:bCs/>
        </w:rPr>
        <w:t xml:space="preserve">means that there is high adoption potential as markets for these products already exist. </w:t>
      </w:r>
      <w:r w:rsidR="000A5842">
        <w:rPr>
          <w:bCs/>
        </w:rPr>
        <w:t>The US DOE, in 1999, set goals for growth of bio-based chemicals to 10% of market by 2020, and 50% of market by 2050</w:t>
      </w:r>
      <w:r w:rsidR="000A5842">
        <w:rPr>
          <w:bCs/>
          <w:vertAlign w:val="superscript"/>
        </w:rPr>
        <w:t>12</w:t>
      </w:r>
      <w:r w:rsidR="000A5842">
        <w:rPr>
          <w:bCs/>
        </w:rPr>
        <w:t xml:space="preserve"> – global plastics production </w:t>
      </w:r>
      <w:r w:rsidR="0043664F">
        <w:rPr>
          <w:bCs/>
        </w:rPr>
        <w:t xml:space="preserve">has been </w:t>
      </w:r>
      <w:r w:rsidR="000A5842">
        <w:rPr>
          <w:bCs/>
        </w:rPr>
        <w:t>over 300 million tons</w:t>
      </w:r>
      <w:r w:rsidR="0043664F">
        <w:rPr>
          <w:bCs/>
        </w:rPr>
        <w:t xml:space="preserve"> since 2014</w:t>
      </w:r>
      <w:r w:rsidR="000A5842">
        <w:rPr>
          <w:bCs/>
        </w:rPr>
        <w:t>. In the near term, several projections show that meeting this adoption potential is possible. The European Bioplastics 2018 report is one of the most conservative projections available, forecasting 2020 consumption to be 2.2 MMT</w:t>
      </w:r>
      <w:r w:rsidR="000A5842">
        <w:rPr>
          <w:bCs/>
          <w:vertAlign w:val="superscript"/>
        </w:rPr>
        <w:t>8</w:t>
      </w:r>
      <w:r w:rsidR="000A5842">
        <w:rPr>
          <w:bCs/>
        </w:rPr>
        <w:t xml:space="preserve"> (down significantly from the 2013 report, which projected almost 8 MMT by 2019). The Institute for Bioplastics and </w:t>
      </w:r>
      <w:proofErr w:type="spellStart"/>
      <w:r w:rsidR="000A5842">
        <w:rPr>
          <w:bCs/>
        </w:rPr>
        <w:t>Biocomposites</w:t>
      </w:r>
      <w:proofErr w:type="spellEnd"/>
      <w:r w:rsidR="000A5842">
        <w:rPr>
          <w:bCs/>
        </w:rPr>
        <w:t xml:space="preserve"> has a more aggressive projection, </w:t>
      </w:r>
      <w:r w:rsidR="00656F5C">
        <w:rPr>
          <w:bCs/>
        </w:rPr>
        <w:t>with adoption 82% higher</w:t>
      </w:r>
      <w:r w:rsidR="00656F5C">
        <w:rPr>
          <w:bCs/>
          <w:vertAlign w:val="superscript"/>
        </w:rPr>
        <w:t>13</w:t>
      </w:r>
      <w:r w:rsidR="00656F5C">
        <w:rPr>
          <w:bCs/>
        </w:rPr>
        <w:t xml:space="preserve"> than European Bioplastics, and t</w:t>
      </w:r>
      <w:r w:rsidR="000A5842">
        <w:rPr>
          <w:bCs/>
        </w:rPr>
        <w:t xml:space="preserve">he USDA </w:t>
      </w:r>
      <w:r w:rsidR="00656F5C">
        <w:rPr>
          <w:bCs/>
        </w:rPr>
        <w:t xml:space="preserve">also has a higher projection, with expected </w:t>
      </w:r>
      <w:r w:rsidR="000A5842">
        <w:rPr>
          <w:bCs/>
        </w:rPr>
        <w:t>18% market growth through 2025</w:t>
      </w:r>
      <w:r w:rsidR="00656F5C">
        <w:rPr>
          <w:bCs/>
        </w:rPr>
        <w:t xml:space="preserve"> resulting in </w:t>
      </w:r>
      <w:r w:rsidR="000A5842">
        <w:rPr>
          <w:bCs/>
        </w:rPr>
        <w:t>3.4 MMT in 2020</w:t>
      </w:r>
      <w:r w:rsidR="000A5842">
        <w:rPr>
          <w:rStyle w:val="FootnoteReference"/>
          <w:bCs/>
        </w:rPr>
        <w:footnoteReference w:id="15"/>
      </w:r>
      <w:r w:rsidR="00656F5C">
        <w:rPr>
          <w:bCs/>
        </w:rPr>
        <w:t xml:space="preserve">. A 2010 study by Shen et al., has three adoption scenarios – Low, Business as Usual, and High – with projections of the bioplastic market growing to 1.47, 3.45, and 4.40 MMT, respectively </w:t>
      </w:r>
      <w:r w:rsidR="00656F5C">
        <w:rPr>
          <w:rStyle w:val="FootnoteReference"/>
          <w:bCs/>
        </w:rPr>
        <w:footnoteReference w:id="16"/>
      </w:r>
      <w:r w:rsidR="00656F5C">
        <w:rPr>
          <w:bCs/>
        </w:rPr>
        <w:t xml:space="preserve">. Since current consumption has already exceeded the low scenario, it is safe to conclude that the adoption of bioplastics will continue to grow to meet or exceed expectations. </w:t>
      </w:r>
    </w:p>
    <w:p w14:paraId="28A07F84" w14:textId="77777777" w:rsidR="007C0773" w:rsidRPr="00B144E5" w:rsidRDefault="007C0773" w:rsidP="007C0773">
      <w:pPr>
        <w:spacing w:after="0"/>
        <w:rPr>
          <w:bCs/>
        </w:rPr>
      </w:pPr>
    </w:p>
    <w:p w14:paraId="727EB3BE" w14:textId="0A29CF1B" w:rsidR="007C0773" w:rsidRPr="00A53A38" w:rsidRDefault="007C0773" w:rsidP="00D328BD">
      <w:pPr>
        <w:pStyle w:val="Heading2"/>
        <w:spacing w:before="0" w:line="240" w:lineRule="auto"/>
        <w:ind w:left="0" w:hanging="576"/>
        <w:jc w:val="left"/>
      </w:pPr>
      <w:bookmarkStart w:id="25" w:name="_Toc415001102"/>
      <w:bookmarkStart w:id="26" w:name="_Toc27472658"/>
      <w:r>
        <w:t>Advantages and Disadvantages of Bioplastics</w:t>
      </w:r>
      <w:bookmarkEnd w:id="25"/>
      <w:bookmarkEnd w:id="26"/>
      <w:r w:rsidR="00B0717A">
        <w:t xml:space="preserve"> </w:t>
      </w:r>
      <w:bookmarkStart w:id="27" w:name="_Toc27472659"/>
      <w:bookmarkEnd w:id="27"/>
    </w:p>
    <w:p w14:paraId="01C27D3C" w14:textId="77777777" w:rsidR="007C0773" w:rsidRPr="007C0773" w:rsidRDefault="007C0773" w:rsidP="007C0773">
      <w:pPr>
        <w:autoSpaceDE w:val="0"/>
        <w:spacing w:after="0"/>
        <w:ind w:firstLine="708"/>
        <w:rPr>
          <w:bCs/>
        </w:rPr>
      </w:pPr>
      <w:r w:rsidRPr="007C0773">
        <w:rPr>
          <w:bCs/>
        </w:rPr>
        <w:t xml:space="preserve">Bioplastics are the only real way to transition away from the incumbent </w:t>
      </w:r>
      <w:proofErr w:type="gramStart"/>
      <w:r w:rsidRPr="007C0773">
        <w:rPr>
          <w:bCs/>
        </w:rPr>
        <w:t>fossil based</w:t>
      </w:r>
      <w:proofErr w:type="gramEnd"/>
      <w:r w:rsidRPr="007C0773">
        <w:rPr>
          <w:bCs/>
        </w:rPr>
        <w:t xml:space="preserve"> plastics. The beginning of the 20th century marked what is now known as the Polymer Age, a leap in materials science revolutionizing the ability humans have to shape the world around them just as the Bronze Age and Iron </w:t>
      </w:r>
      <w:r w:rsidRPr="007C0773">
        <w:rPr>
          <w:bCs/>
        </w:rPr>
        <w:lastRenderedPageBreak/>
        <w:t>Age had before. Plastics at the most fundamental level enable us to create products of various sizes and shapes with high durability and low weight in a way that no material had ever been able to previously. The transition from fossil plastics to bioplastics is not a transition away from these materials but a shift towards biologically based raw materials that are not directly tied to energy costs and are renewable. The other method of reducing impacts from plastics comes from the USEPA’s Waste Management Hierarchy</w:t>
      </w:r>
      <w:r w:rsidRPr="00D328BD">
        <w:rPr>
          <w:bCs/>
          <w:vertAlign w:val="superscript"/>
        </w:rPr>
        <w:footnoteReference w:id="17"/>
      </w:r>
      <w:r w:rsidRPr="00D328BD">
        <w:rPr>
          <w:bCs/>
          <w:vertAlign w:val="superscript"/>
        </w:rPr>
        <w:t xml:space="preserve"> </w:t>
      </w:r>
      <w:r w:rsidRPr="007C0773">
        <w:rPr>
          <w:bCs/>
        </w:rPr>
        <w:t>which characterizes the ubiquitous mantra Reduce, Reuse, Recycle. However, this ranking of waste avoidance can exist under either paradigm of plastic production and should be viewed as a both/and situation rather than an either/or competition.</w:t>
      </w:r>
    </w:p>
    <w:p w14:paraId="1D4B07FE" w14:textId="3766FE18" w:rsidR="007C0773" w:rsidRPr="007C0773" w:rsidRDefault="007C0773" w:rsidP="007C0773">
      <w:pPr>
        <w:autoSpaceDE w:val="0"/>
        <w:spacing w:after="0"/>
        <w:ind w:firstLine="708"/>
        <w:rPr>
          <w:bCs/>
        </w:rPr>
      </w:pPr>
      <w:r w:rsidRPr="007C0773">
        <w:rPr>
          <w:bCs/>
        </w:rPr>
        <w:t>If for no other reason, bioplastics should continue to be developed simply to diversify the feedstocks available to continue to supply plastic materials in order to maintain and raise the standard living for people and improve our environment. Many of the LCAs conducted on biopolymers also suggest that they may have improved performance with regards to climate impacts</w:t>
      </w:r>
      <w:bookmarkStart w:id="28" w:name="_Ref414991150"/>
      <w:r w:rsidRPr="00D328BD">
        <w:rPr>
          <w:bCs/>
          <w:vertAlign w:val="superscript"/>
        </w:rPr>
        <w:footnoteReference w:id="18"/>
      </w:r>
      <w:bookmarkEnd w:id="28"/>
      <w:r w:rsidRPr="00D328BD">
        <w:rPr>
          <w:bCs/>
          <w:vertAlign w:val="superscript"/>
        </w:rPr>
        <w:t>,</w:t>
      </w:r>
      <w:r w:rsidRPr="00D328BD">
        <w:rPr>
          <w:bCs/>
          <w:vertAlign w:val="superscript"/>
        </w:rPr>
        <w:footnoteReference w:id="19"/>
      </w:r>
      <w:r w:rsidRPr="00D328BD">
        <w:rPr>
          <w:bCs/>
          <w:vertAlign w:val="superscript"/>
        </w:rPr>
        <w:t>,</w:t>
      </w:r>
      <w:r w:rsidRPr="00D328BD">
        <w:rPr>
          <w:bCs/>
          <w:vertAlign w:val="superscript"/>
        </w:rPr>
        <w:footnoteReference w:id="20"/>
      </w:r>
      <w:r w:rsidRPr="007C0773">
        <w:rPr>
          <w:bCs/>
        </w:rPr>
        <w:t xml:space="preserve">. Further there are already niche markets for compostable and biodegradable products that will continue to grow, fostering the continued development of these technologies so bioplastics can become fully competitive on the global scale. Compostable products can also provide knock-on effects, enabling the composting of other organics including food and yard wastes which may otherwise go to landfill and create methane, which </w:t>
      </w:r>
      <w:r w:rsidR="00DC5041">
        <w:rPr>
          <w:bCs/>
        </w:rPr>
        <w:t xml:space="preserve">has a higher global warming potential </w:t>
      </w:r>
      <w:r w:rsidRPr="007C0773">
        <w:rPr>
          <w:bCs/>
        </w:rPr>
        <w:t>than the CO</w:t>
      </w:r>
      <w:r w:rsidRPr="00D328BD">
        <w:rPr>
          <w:bCs/>
          <w:vertAlign w:val="subscript"/>
        </w:rPr>
        <w:t xml:space="preserve">2 </w:t>
      </w:r>
      <w:r w:rsidRPr="007C0773">
        <w:rPr>
          <w:bCs/>
        </w:rPr>
        <w:t xml:space="preserve">generated through composting. </w:t>
      </w:r>
    </w:p>
    <w:p w14:paraId="1C8ACE03" w14:textId="7E82FABA" w:rsidR="0078670D" w:rsidRDefault="007C0773" w:rsidP="00B0717A">
      <w:pPr>
        <w:autoSpaceDE w:val="0"/>
        <w:spacing w:after="0"/>
        <w:ind w:firstLine="708"/>
        <w:rPr>
          <w:bCs/>
        </w:rPr>
      </w:pPr>
      <w:r w:rsidRPr="007C0773">
        <w:rPr>
          <w:bCs/>
        </w:rPr>
        <w:t xml:space="preserve">There are some potential drawbacks to bioplastics as previously mentioned in the Adoption Path section. The drawbacks include </w:t>
      </w:r>
      <w:r>
        <w:rPr>
          <w:bCs/>
        </w:rPr>
        <w:t>low performance of some bioplastics, high processing costs, land use concerns, and environmental impacts from agricultural</w:t>
      </w:r>
      <w:r w:rsidRPr="007C0773">
        <w:rPr>
          <w:bCs/>
        </w:rPr>
        <w:t>. Any climate benefits from biopolymers must be seen in the context of environmental tradeoffs specifically from agricultural processes</w:t>
      </w:r>
      <w:r w:rsidRPr="00D328BD">
        <w:rPr>
          <w:bCs/>
          <w:vertAlign w:val="superscript"/>
        </w:rPr>
        <w:fldChar w:fldCharType="begin"/>
      </w:r>
      <w:r w:rsidRPr="00D328BD">
        <w:rPr>
          <w:bCs/>
          <w:vertAlign w:val="superscript"/>
        </w:rPr>
        <w:instrText xml:space="preserve"> NOTEREF _Ref414975159 \h  \* MERGEFORMAT </w:instrText>
      </w:r>
      <w:r w:rsidRPr="00D328BD">
        <w:rPr>
          <w:bCs/>
          <w:vertAlign w:val="superscript"/>
        </w:rPr>
      </w:r>
      <w:r w:rsidRPr="00D328BD">
        <w:rPr>
          <w:bCs/>
          <w:vertAlign w:val="superscript"/>
        </w:rPr>
        <w:fldChar w:fldCharType="separate"/>
      </w:r>
      <w:r w:rsidRPr="00D328BD">
        <w:rPr>
          <w:bCs/>
          <w:vertAlign w:val="superscript"/>
        </w:rPr>
        <w:t>4</w:t>
      </w:r>
      <w:r w:rsidRPr="00D328BD">
        <w:rPr>
          <w:bCs/>
          <w:vertAlign w:val="superscript"/>
        </w:rPr>
        <w:fldChar w:fldCharType="end"/>
      </w:r>
      <w:r w:rsidR="0078670D">
        <w:rPr>
          <w:bCs/>
          <w:vertAlign w:val="superscript"/>
        </w:rPr>
        <w:t xml:space="preserve">, </w:t>
      </w:r>
      <w:r w:rsidRPr="00D328BD">
        <w:rPr>
          <w:bCs/>
          <w:vertAlign w:val="superscript"/>
        </w:rPr>
        <w:footnoteReference w:id="21"/>
      </w:r>
      <w:r w:rsidRPr="00D328BD">
        <w:rPr>
          <w:bCs/>
          <w:vertAlign w:val="superscript"/>
        </w:rPr>
        <w:t>,</w:t>
      </w:r>
      <w:r w:rsidRPr="00D328BD">
        <w:rPr>
          <w:bCs/>
          <w:vertAlign w:val="superscript"/>
        </w:rPr>
        <w:footnoteReference w:id="22"/>
      </w:r>
      <w:r w:rsidRPr="00D328BD">
        <w:rPr>
          <w:bCs/>
          <w:vertAlign w:val="superscript"/>
        </w:rPr>
        <w:t>,</w:t>
      </w:r>
      <w:r w:rsidRPr="00D328BD">
        <w:rPr>
          <w:bCs/>
          <w:vertAlign w:val="superscript"/>
        </w:rPr>
        <w:footnoteReference w:id="23"/>
      </w:r>
      <w:r w:rsidRPr="008F6377">
        <w:rPr>
          <w:bCs/>
        </w:rPr>
        <w:t>.</w:t>
      </w:r>
      <w:r w:rsidRPr="007C0773">
        <w:rPr>
          <w:bCs/>
        </w:rPr>
        <w:t xml:space="preserve"> Localized </w:t>
      </w:r>
      <w:r w:rsidRPr="007C0773">
        <w:rPr>
          <w:bCs/>
        </w:rPr>
        <w:lastRenderedPageBreak/>
        <w:t>impacts such as eutrophication, acidification, and ecotoxicity are examples of harmful effects caused by annual agricultural feedstock production compared to drilling a well that can provide resources for many years. Additionally, the variability of annual cropping can be unpredictable and may be strongly influenced by any severe weather impacts from climate change in the coming years.</w:t>
      </w:r>
      <w:r w:rsidR="0078670D">
        <w:rPr>
          <w:bCs/>
        </w:rPr>
        <w:t xml:space="preserve"> </w:t>
      </w:r>
    </w:p>
    <w:p w14:paraId="021F8AB1" w14:textId="5D33BEDC" w:rsidR="00B0717A" w:rsidRPr="00A53A38" w:rsidRDefault="0078670D" w:rsidP="00B0717A">
      <w:pPr>
        <w:autoSpaceDE w:val="0"/>
        <w:spacing w:after="0"/>
        <w:ind w:firstLine="708"/>
        <w:rPr>
          <w:bCs/>
        </w:rPr>
      </w:pPr>
      <w:r>
        <w:rPr>
          <w:bCs/>
        </w:rPr>
        <w:t xml:space="preserve">The most significant disadvantage to bioplastics, however, is the high variability and uncertainty in the impact of these materials. Because this is a burgeoning field, methods for production are in development and highly variable. Directly tied to this disadvantage, conversely, is a significant advantage: a new and exciting research area results in significant interest and resources in exploring these uncertainties to allow for more informed decisions. One example of variability of impact, is in the type of feedstock used for production. Though many LCAs show reduction in greenhouse gas emissions from the production of bioplastics as opposed to conventional fossil plastics, a closer look at feedstocks show a more interesting picture: </w:t>
      </w:r>
      <w:r w:rsidR="00A53A38">
        <w:rPr>
          <w:bCs/>
        </w:rPr>
        <w:t xml:space="preserve">cradle-to-gate impacts of </w:t>
      </w:r>
      <w:r>
        <w:rPr>
          <w:bCs/>
        </w:rPr>
        <w:t xml:space="preserve">PLA and </w:t>
      </w:r>
      <w:r w:rsidR="00A53A38">
        <w:rPr>
          <w:bCs/>
        </w:rPr>
        <w:t>PHB from corn do not, in all scenarios, result in lower GHG emissions than fossil plastics, where cradle-to-gate impacts of the same materials from switchgrass show significant reductions in GHG emissions</w:t>
      </w:r>
      <w:r w:rsidR="00A53A38">
        <w:rPr>
          <w:rStyle w:val="FootnoteReference"/>
          <w:bCs/>
        </w:rPr>
        <w:footnoteReference w:id="24"/>
      </w:r>
      <w:r w:rsidR="00A53A38">
        <w:rPr>
          <w:bCs/>
        </w:rPr>
        <w:t>. Another critical factor that contributes to uncertainty is end of life management. Where composability and biodegradation are marketed as advantages of bioplastics, in reality composting bioplastics leads to the release of much of the sequestered carbon. Greenhouse gas emissions of PLA from both corn and switchgrass, when landfilled, are only 0.04 kg CO</w:t>
      </w:r>
      <w:r w:rsidR="00A53A38">
        <w:rPr>
          <w:bCs/>
          <w:vertAlign w:val="subscript"/>
        </w:rPr>
        <w:t>2</w:t>
      </w:r>
      <w:r w:rsidR="00A53A38">
        <w:rPr>
          <w:bCs/>
        </w:rPr>
        <w:t xml:space="preserve">/kg plastic, but when composted </w:t>
      </w:r>
      <w:proofErr w:type="gramStart"/>
      <w:r w:rsidR="00A53A38">
        <w:rPr>
          <w:bCs/>
        </w:rPr>
        <w:t>this increases</w:t>
      </w:r>
      <w:proofErr w:type="gramEnd"/>
      <w:r w:rsidR="00A53A38">
        <w:rPr>
          <w:bCs/>
        </w:rPr>
        <w:t xml:space="preserve"> dramatically to 1.7 kg CO</w:t>
      </w:r>
      <w:r w:rsidR="00A53A38">
        <w:rPr>
          <w:bCs/>
          <w:vertAlign w:val="subscript"/>
        </w:rPr>
        <w:t>2</w:t>
      </w:r>
      <w:r w:rsidR="00A53A38">
        <w:rPr>
          <w:bCs/>
        </w:rPr>
        <w:t>/kg plastic</w:t>
      </w:r>
      <w:r w:rsidR="00A53A38">
        <w:rPr>
          <w:bCs/>
          <w:vertAlign w:val="superscript"/>
        </w:rPr>
        <w:t>24</w:t>
      </w:r>
      <w:r w:rsidR="00A53A38">
        <w:rPr>
          <w:bCs/>
        </w:rPr>
        <w:t xml:space="preserve">. This same study finds that recycling of bioplastics is the most effective </w:t>
      </w:r>
      <w:proofErr w:type="spellStart"/>
      <w:r w:rsidR="00A53A38">
        <w:rPr>
          <w:bCs/>
        </w:rPr>
        <w:t>EoL</w:t>
      </w:r>
      <w:proofErr w:type="spellEnd"/>
      <w:r w:rsidR="00A53A38">
        <w:rPr>
          <w:bCs/>
        </w:rPr>
        <w:t xml:space="preserve"> management method for reduction of GHGs, but methods for recycling bioplastics are still very much in development. A look at this, and similar studies that compare the impacts of feedstocks, plastic types, and end of life management highlight the huge variability in the benefits of bioplastics</w:t>
      </w:r>
      <w:r w:rsidR="00227298">
        <w:rPr>
          <w:bCs/>
        </w:rPr>
        <w:t xml:space="preserve">, and the fact that in some cases the benefits may in fact be minimal. Despite this, perhaps the most critical take away from this uncertainty is that there is huge potential in certain types of plastics, and these studies provide a framework for decision makers to focus R&amp;D and production efforts into low impact feedstocks and plastics, and to bolster improvement for end of life management of these resources. </w:t>
      </w:r>
    </w:p>
    <w:p w14:paraId="254F0585" w14:textId="77777777" w:rsidR="007C0773" w:rsidRPr="00B144E5" w:rsidRDefault="007C0773" w:rsidP="007C0773">
      <w:pPr>
        <w:spacing w:after="0"/>
        <w:rPr>
          <w:bCs/>
        </w:rPr>
      </w:pPr>
    </w:p>
    <w:p w14:paraId="58D827DE" w14:textId="73571849" w:rsidR="00F52595" w:rsidRPr="000B3EE3"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0B3EE3" w:rsidSect="00C44058">
          <w:footerReference w:type="default" r:id="rId18"/>
          <w:pgSz w:w="12240" w:h="15840"/>
          <w:pgMar w:top="1440" w:right="1440" w:bottom="1440" w:left="1440" w:header="720" w:footer="720" w:gutter="0"/>
          <w:pgNumType w:start="1"/>
          <w:cols w:space="720"/>
        </w:sectPr>
      </w:pPr>
    </w:p>
    <w:p w14:paraId="756DEC01" w14:textId="2A9B7491" w:rsidR="00966563" w:rsidRDefault="551A77D0" w:rsidP="00277BCC">
      <w:pPr>
        <w:pStyle w:val="Heading1"/>
      </w:pPr>
      <w:bookmarkStart w:id="29" w:name="_Toc27472660"/>
      <w:r>
        <w:lastRenderedPageBreak/>
        <w:t>Methodology</w:t>
      </w:r>
      <w:bookmarkEnd w:id="29"/>
    </w:p>
    <w:p w14:paraId="567926D6" w14:textId="2E842B8D" w:rsidR="00BD136D" w:rsidRDefault="00686965" w:rsidP="00AE749D">
      <w:pPr>
        <w:pStyle w:val="Heading2"/>
        <w:numPr>
          <w:ilvl w:val="1"/>
          <w:numId w:val="28"/>
        </w:numPr>
      </w:pPr>
      <w:bookmarkStart w:id="30" w:name="_Toc27472661"/>
      <w:r>
        <w:t>Introduction</w:t>
      </w:r>
      <w:bookmarkEnd w:id="30"/>
    </w:p>
    <w:p w14:paraId="093833F7" w14:textId="1FD25CCD" w:rsidR="00FB2C53" w:rsidRDefault="00FB2C53" w:rsidP="00D328BD">
      <w:pPr>
        <w:ind w:firstLine="480"/>
      </w:pPr>
      <w:r w:rsidRPr="001850DC">
        <w:t xml:space="preserve">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w:t>
      </w:r>
      <w:proofErr w:type="gramStart"/>
      <w:r w:rsidRPr="001850DC">
        <w:t>demand</w:t>
      </w:r>
      <w:proofErr w:type="gramEnd"/>
      <w:r w:rsidRPr="001850DC">
        <w:t xml:space="preserve">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 xml:space="preserve">(from a base year of 2014) </w:t>
      </w:r>
      <w:r w:rsidRPr="001850DC">
        <w:t>and the comparison of these scenarios (for the 2020-2050 segment</w:t>
      </w:r>
      <w:r w:rsidRPr="001850DC">
        <w:rPr>
          <w:rStyle w:val="FootnoteReference"/>
        </w:rPr>
        <w:footnoteRef/>
      </w:r>
      <w:r w:rsidRPr="001850DC">
        <w:t>) is what constituted the results.</w:t>
      </w:r>
    </w:p>
    <w:p w14:paraId="5EB2D9FC" w14:textId="24272AD0" w:rsidR="00DC5041" w:rsidRDefault="00DC5041" w:rsidP="00DC5041">
      <w:pPr>
        <w:pStyle w:val="Heading2"/>
        <w:numPr>
          <w:ilvl w:val="1"/>
          <w:numId w:val="26"/>
        </w:numPr>
      </w:pPr>
      <w:bookmarkStart w:id="31" w:name="_Toc27472662"/>
      <w:r>
        <w:t>Data Sources</w:t>
      </w:r>
      <w:bookmarkEnd w:id="31"/>
    </w:p>
    <w:p w14:paraId="1C9C9797" w14:textId="3D5A9D80" w:rsidR="00DE5957" w:rsidRDefault="00DE5957" w:rsidP="00DE5957">
      <w:pPr>
        <w:ind w:firstLine="480"/>
      </w:pPr>
      <w:r>
        <w:t xml:space="preserve">Key sources of data for this model include both peer-reviewed journal articles as well as publications from industry organizations, as well as some government or non-profit sources. The majority of data collected and used falls into three categories: environmental impact data, market data, and cost data. </w:t>
      </w:r>
    </w:p>
    <w:p w14:paraId="468EBAF7" w14:textId="69610202" w:rsidR="00DE5957" w:rsidRDefault="00DE5957" w:rsidP="00DE5957">
      <w:pPr>
        <w:ind w:firstLine="480"/>
      </w:pPr>
      <w:r>
        <w:t xml:space="preserve">Environmental impact, as quantified by </w:t>
      </w:r>
      <w:proofErr w:type="gramStart"/>
      <w:r>
        <w:t>CO</w:t>
      </w:r>
      <w:r>
        <w:rPr>
          <w:vertAlign w:val="subscript"/>
        </w:rPr>
        <w:t>2</w:t>
      </w:r>
      <w:r w:rsidR="0043664F">
        <w:rPr>
          <w:vertAlign w:val="subscript"/>
        </w:rPr>
        <w:t>,eq</w:t>
      </w:r>
      <w:proofErr w:type="gramEnd"/>
      <w:r>
        <w:t xml:space="preserve"> emissions, was collected for both the conventional functional unit [</w:t>
      </w:r>
      <w:proofErr w:type="spellStart"/>
      <w:r>
        <w:t>MMt</w:t>
      </w:r>
      <w:proofErr w:type="spellEnd"/>
      <w:r>
        <w:t xml:space="preserve"> of fossil plastics] and also the solution functional unit [</w:t>
      </w:r>
      <w:proofErr w:type="spellStart"/>
      <w:r>
        <w:t>MMt</w:t>
      </w:r>
      <w:proofErr w:type="spellEnd"/>
      <w:r>
        <w:t xml:space="preserve"> of bioplastics]. Emissions from production of plastics were collected primarily from </w:t>
      </w:r>
      <w:proofErr w:type="gramStart"/>
      <w:r>
        <w:t>peer-reviewed</w:t>
      </w:r>
      <w:proofErr w:type="gramEnd"/>
      <w:r>
        <w:t xml:space="preserve"> LCA studies. Some key sources include Akiyama </w:t>
      </w:r>
      <w:r w:rsidR="00A44087">
        <w:t xml:space="preserve">et al. </w:t>
      </w:r>
      <w:r>
        <w:t xml:space="preserve">(2003), </w:t>
      </w:r>
      <w:proofErr w:type="spellStart"/>
      <w:r>
        <w:t>Dornburg</w:t>
      </w:r>
      <w:proofErr w:type="spellEnd"/>
      <w:r w:rsidR="00A44087">
        <w:t xml:space="preserve"> et al.</w:t>
      </w:r>
      <w:r>
        <w:t xml:space="preserve"> (200</w:t>
      </w:r>
      <w:r w:rsidR="00A44087">
        <w:t>3</w:t>
      </w:r>
      <w:r>
        <w:t>)</w:t>
      </w:r>
      <w:r w:rsidR="00A44087">
        <w:t>,</w:t>
      </w:r>
      <w:r>
        <w:t xml:space="preserve"> Groot</w:t>
      </w:r>
      <w:r w:rsidR="00A44087">
        <w:t xml:space="preserve"> and Boren</w:t>
      </w:r>
      <w:r>
        <w:t xml:space="preserve"> (2010)</w:t>
      </w:r>
      <w:r w:rsidR="00A44087">
        <w:t>,</w:t>
      </w:r>
      <w:r>
        <w:t xml:space="preserve"> Chen </w:t>
      </w:r>
      <w:r w:rsidR="00A44087">
        <w:t xml:space="preserve">and Patel </w:t>
      </w:r>
      <w:r>
        <w:t>(2012)</w:t>
      </w:r>
      <w:r w:rsidR="00A44087">
        <w:t>,</w:t>
      </w:r>
      <w:r>
        <w:t xml:space="preserve"> Shen et al</w:t>
      </w:r>
      <w:r w:rsidR="00A44087">
        <w:t>.</w:t>
      </w:r>
      <w:r>
        <w:t xml:space="preserve"> (2012)</w:t>
      </w:r>
      <w:r w:rsidR="00A44087">
        <w:t>,</w:t>
      </w:r>
      <w:r>
        <w:t xml:space="preserve"> Yates </w:t>
      </w:r>
      <w:r w:rsidR="00A44087">
        <w:t xml:space="preserve">and Barlow </w:t>
      </w:r>
      <w:r>
        <w:t>(2013)</w:t>
      </w:r>
      <w:r w:rsidR="00A44087">
        <w:t>,</w:t>
      </w:r>
      <w:r>
        <w:t xml:space="preserve"> </w:t>
      </w:r>
      <w:proofErr w:type="spellStart"/>
      <w:r>
        <w:t>Hottle</w:t>
      </w:r>
      <w:proofErr w:type="spellEnd"/>
      <w:r>
        <w:t xml:space="preserve"> </w:t>
      </w:r>
      <w:r w:rsidR="00A44087">
        <w:t xml:space="preserve">et al. </w:t>
      </w:r>
      <w:r>
        <w:t xml:space="preserve">(2013). Additional sources include LCAs or data published by bioplastics producers, such as </w:t>
      </w:r>
      <w:proofErr w:type="spellStart"/>
      <w:r>
        <w:t>Natureworks</w:t>
      </w:r>
      <w:proofErr w:type="spellEnd"/>
      <w:r>
        <w:t xml:space="preserve"> (PE Americas, 2009). </w:t>
      </w:r>
    </w:p>
    <w:p w14:paraId="6B8E875C" w14:textId="6C0AA9C3" w:rsidR="00BA2292" w:rsidRDefault="00BA2292" w:rsidP="00DE5957">
      <w:pPr>
        <w:ind w:firstLine="480"/>
      </w:pPr>
      <w:r>
        <w:t xml:space="preserve">Market data, used to produce adoption cases as well as calculate the TAM, are primarily from industry organizations. Critical data of historical bioplastics production and </w:t>
      </w:r>
      <w:proofErr w:type="gramStart"/>
      <w:r>
        <w:t>short term</w:t>
      </w:r>
      <w:proofErr w:type="gramEnd"/>
      <w:r>
        <w:t xml:space="preserve"> projections are available from European Bioplastics (2018), as well as </w:t>
      </w:r>
      <w:proofErr w:type="spellStart"/>
      <w:r>
        <w:t>IfBB</w:t>
      </w:r>
      <w:proofErr w:type="spellEnd"/>
      <w:r>
        <w:t xml:space="preserve">, the Institute for Bioplastics and </w:t>
      </w:r>
      <w:proofErr w:type="spellStart"/>
      <w:r>
        <w:t>Biocomposites</w:t>
      </w:r>
      <w:proofErr w:type="spellEnd"/>
      <w:r>
        <w:t xml:space="preserve"> (2018). </w:t>
      </w:r>
      <w:r w:rsidR="004A08BC">
        <w:t xml:space="preserve">Data </w:t>
      </w:r>
      <w:r w:rsidR="00BD4E64">
        <w:t xml:space="preserve">about plastics generally, was collected from Plastics Europe (2019). Additional sources for bioplastics production projections include the Ellen Macarthur Foundation (2016) and the USDA (Lewis, 2018), as well as PRO-BIP, a peer-reviewed product overview of bioplastics supported by European Bioplastics (Shen et al., 2009). </w:t>
      </w:r>
    </w:p>
    <w:p w14:paraId="701F7C3F" w14:textId="618B2ED2" w:rsidR="00413BAC" w:rsidRPr="00DC5041" w:rsidRDefault="00413BAC" w:rsidP="00D328BD">
      <w:pPr>
        <w:ind w:firstLine="480"/>
      </w:pPr>
      <w:r>
        <w:lastRenderedPageBreak/>
        <w:t xml:space="preserve">Cost data were available also from PRO-BIP (Shen et al., 2009) as well as several other peer-reviewed articles, including Guzman (2012), </w:t>
      </w:r>
      <w:proofErr w:type="spellStart"/>
      <w:r>
        <w:t>Rorrer</w:t>
      </w:r>
      <w:proofErr w:type="spellEnd"/>
      <w:r>
        <w:t xml:space="preserve"> et al. (2017), Ashok et al. (2018) as well as a book (Biron, 2012).</w:t>
      </w:r>
    </w:p>
    <w:p w14:paraId="604303DC" w14:textId="74EFD9B5" w:rsidR="00DC5041" w:rsidRDefault="00DC5041" w:rsidP="00DC5041">
      <w:pPr>
        <w:pStyle w:val="Heading2"/>
        <w:numPr>
          <w:ilvl w:val="1"/>
          <w:numId w:val="26"/>
        </w:numPr>
      </w:pPr>
      <w:bookmarkStart w:id="32" w:name="_Toc27472663"/>
      <w:r>
        <w:t>Total Addressable Market</w:t>
      </w:r>
      <w:bookmarkEnd w:id="32"/>
      <w:r>
        <w:t xml:space="preserve"> </w:t>
      </w:r>
    </w:p>
    <w:p w14:paraId="643EDD6B" w14:textId="04AC5C52" w:rsidR="00DC5041" w:rsidRDefault="00D20B5E" w:rsidP="00D328BD">
      <w:pPr>
        <w:ind w:firstLine="480"/>
      </w:pPr>
      <w:r>
        <w:t xml:space="preserve">The total addressable market is calculated based on several estimates for total plastic demand. Baseline cases are developed based on historical global plastics consumption from </w:t>
      </w:r>
      <w:proofErr w:type="spellStart"/>
      <w:r>
        <w:t>PlasticsEurope</w:t>
      </w:r>
      <w:proofErr w:type="spellEnd"/>
      <w:r>
        <w:t xml:space="preserve">, and a World Economic Forum projection of consumption in 2050 (also used by the Ellen Macarthur Foundation in the New Plastics Economy report). A more conservative case is based on a </w:t>
      </w:r>
      <w:proofErr w:type="spellStart"/>
      <w:r>
        <w:t>Mosko</w:t>
      </w:r>
      <w:proofErr w:type="spellEnd"/>
      <w:r>
        <w:t xml:space="preserve"> (2012) publication which </w:t>
      </w:r>
      <w:r w:rsidR="00494506">
        <w:t xml:space="preserve">uses a </w:t>
      </w:r>
      <w:proofErr w:type="spellStart"/>
      <w:r w:rsidR="00494506">
        <w:t>PlasticsEurope</w:t>
      </w:r>
      <w:proofErr w:type="spellEnd"/>
      <w:r w:rsidR="00494506">
        <w:t xml:space="preserve"> market projection based on the same per capita plastics production in 2010 as in 2050, where only population drives increased demand, and people, on average, do not consume more plastic. </w:t>
      </w:r>
    </w:p>
    <w:p w14:paraId="5B05266B" w14:textId="4E132D08" w:rsidR="00FB2C53" w:rsidRDefault="00686965" w:rsidP="00FB2C53">
      <w:pPr>
        <w:pStyle w:val="Heading2"/>
        <w:numPr>
          <w:ilvl w:val="1"/>
          <w:numId w:val="26"/>
        </w:numPr>
      </w:pPr>
      <w:bookmarkStart w:id="33" w:name="_Toc27472664"/>
      <w:r>
        <w:t>Adoption Scenarios</w:t>
      </w:r>
      <w:bookmarkEnd w:id="33"/>
    </w:p>
    <w:p w14:paraId="6F9FC0E5" w14:textId="50B37A33" w:rsidR="00FB2C53" w:rsidRDefault="00FB2C53" w:rsidP="00D328BD">
      <w:pPr>
        <w:ind w:firstLine="480"/>
      </w:pPr>
      <w:bookmarkStart w:id="34" w:name="_Hlk525033174"/>
      <w:r w:rsidRPr="00FA2CC3">
        <w:t xml:space="preserve">Two different types of adoption scenarios were developed: </w:t>
      </w:r>
      <w:proofErr w:type="gramStart"/>
      <w:r w:rsidRPr="00FA2CC3">
        <w:t>a</w:t>
      </w:r>
      <w:proofErr w:type="gramEnd"/>
      <w:r w:rsidRPr="00FA2CC3">
        <w:t xml:space="preserve">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1063DEC1" w14:textId="47C0E85E" w:rsidR="00BD33FC" w:rsidRPr="00FA2CC3" w:rsidRDefault="00BD33FC" w:rsidP="00D328BD">
      <w:pPr>
        <w:spacing w:after="0"/>
        <w:ind w:firstLine="480"/>
      </w:pPr>
      <w:r>
        <w:t xml:space="preserve">Bioplastics are a replacement technology for </w:t>
      </w:r>
      <w:proofErr w:type="gramStart"/>
      <w:r>
        <w:t>fossil based</w:t>
      </w:r>
      <w:proofErr w:type="gramEnd"/>
      <w:r>
        <w:t xml:space="preserve"> plastics. This report and the corresponding model are based on an increasing market share for bioplastics of the total, still growing, plastics market. The main assumption here is that bioplastics grow into the plastics market but do not expand independent of the current plastics market. There is, however, a possibility that there are certain applications in which bioplastics will experience growth not captured in projections for traditional plastics, especially as biopolymers continue to improve with technological development (feedstocks and processing) and scale into the market. This report includes a </w:t>
      </w:r>
      <w:r w:rsidR="00746F6D">
        <w:t>REF</w:t>
      </w:r>
      <w:r>
        <w:t xml:space="preserve"> scenario based on the current adoption percentage of bioplastics remaining static from </w:t>
      </w:r>
      <w:r w:rsidR="0043664F">
        <w:t xml:space="preserve">2020 </w:t>
      </w:r>
      <w:r>
        <w:t xml:space="preserve">and </w:t>
      </w:r>
      <w:r w:rsidR="00484D41">
        <w:t xml:space="preserve">2050 </w:t>
      </w:r>
      <w:r>
        <w:t xml:space="preserve">and an </w:t>
      </w:r>
      <w:r w:rsidR="001A7F9F">
        <w:t xml:space="preserve">PDS </w:t>
      </w:r>
      <w:r>
        <w:t xml:space="preserve">scenario based on aggressive growth adoption between </w:t>
      </w:r>
      <w:r w:rsidR="0043664F">
        <w:t xml:space="preserve">2020 </w:t>
      </w:r>
      <w:r>
        <w:t xml:space="preserve">and </w:t>
      </w:r>
      <w:r w:rsidR="00484D41">
        <w:t>2050</w:t>
      </w:r>
      <w:r>
        <w:t xml:space="preserve">. </w:t>
      </w:r>
    </w:p>
    <w:p w14:paraId="5BB095A5" w14:textId="55BA0EC7" w:rsidR="000875B5" w:rsidRDefault="000875B5" w:rsidP="005D49A8">
      <w:pPr>
        <w:pStyle w:val="Heading3"/>
      </w:pPr>
      <w:bookmarkStart w:id="35" w:name="_Toc27472665"/>
      <w:bookmarkEnd w:id="34"/>
      <w:r>
        <w:t>Reference Case / Current Adoption</w:t>
      </w:r>
      <w:bookmarkEnd w:id="35"/>
    </w:p>
    <w:p w14:paraId="66325042" w14:textId="3C29F04E" w:rsidR="00BD33FC" w:rsidRPr="009066F8" w:rsidRDefault="00BD33FC" w:rsidP="00BD33FC">
      <w:pPr>
        <w:spacing w:after="0"/>
      </w:pPr>
      <w:r>
        <w:t>The REF scenario for bioplastics is characterized by a static share of the total plastics market over the next thirty years. In 2014</w:t>
      </w:r>
      <w:r w:rsidR="008272AD">
        <w:t>, the base year,</w:t>
      </w:r>
      <w:r>
        <w:t xml:space="preserve"> the plastics market was around </w:t>
      </w:r>
      <w:r w:rsidR="008272AD">
        <w:t xml:space="preserve">311 </w:t>
      </w:r>
      <w:proofErr w:type="spellStart"/>
      <w:r w:rsidR="008272AD">
        <w:t>MMt</w:t>
      </w:r>
      <w:proofErr w:type="spellEnd"/>
      <w:r>
        <w:t xml:space="preserve"> with only 1,670 </w:t>
      </w:r>
      <w:proofErr w:type="spellStart"/>
      <w:r>
        <w:t>kT</w:t>
      </w:r>
      <w:proofErr w:type="spellEnd"/>
      <w:r>
        <w:t xml:space="preserve"> of biopolymers going to market</w:t>
      </w:r>
      <w:r w:rsidR="008272AD">
        <w:t xml:space="preserve">. In 2018, total plastics market was 359 </w:t>
      </w:r>
      <w:proofErr w:type="spellStart"/>
      <w:r w:rsidR="008272AD">
        <w:t>MMt</w:t>
      </w:r>
      <w:proofErr w:type="spellEnd"/>
      <w:r w:rsidR="008272AD">
        <w:t xml:space="preserve">, and bioplastics were 2.1 </w:t>
      </w:r>
      <w:proofErr w:type="spellStart"/>
      <w:r w:rsidR="008272AD">
        <w:t>MMt</w:t>
      </w:r>
      <w:proofErr w:type="spellEnd"/>
      <w:r>
        <w:t xml:space="preserve"> resulting in a </w:t>
      </w:r>
      <w:r w:rsidR="00746F6D">
        <w:t>REF</w:t>
      </w:r>
      <w:r>
        <w:t xml:space="preserve"> adoption value set at 0.</w:t>
      </w:r>
      <w:r w:rsidR="008272AD">
        <w:t>6</w:t>
      </w:r>
      <w:proofErr w:type="gramStart"/>
      <w:r>
        <w:t>%</w:t>
      </w:r>
      <w:r w:rsidR="003D2682">
        <w:t xml:space="preserve"> </w:t>
      </w:r>
      <w:r>
        <w:t xml:space="preserve"> of</w:t>
      </w:r>
      <w:proofErr w:type="gramEnd"/>
      <w:r>
        <w:t xml:space="preserve"> the total market. This approach assumes only enough growth for biopolymers to maintain the 0.</w:t>
      </w:r>
      <w:r w:rsidR="008272AD">
        <w:t>6</w:t>
      </w:r>
      <w:r>
        <w:t>% market share from 20</w:t>
      </w:r>
      <w:r w:rsidR="00167D34">
        <w:t>20</w:t>
      </w:r>
      <w:r>
        <w:t xml:space="preserve"> to 205</w:t>
      </w:r>
      <w:r w:rsidR="00167D34">
        <w:t>0</w:t>
      </w:r>
      <w:r>
        <w:t>.</w:t>
      </w:r>
    </w:p>
    <w:p w14:paraId="17C11AEA" w14:textId="77777777" w:rsidR="00BD33FC" w:rsidRPr="00BD33FC" w:rsidRDefault="00BD33FC" w:rsidP="00BD33FC"/>
    <w:p w14:paraId="2FE0BC9D" w14:textId="10096525" w:rsidR="000875B5" w:rsidRPr="00FB5280" w:rsidRDefault="00D2050B" w:rsidP="005D49A8">
      <w:pPr>
        <w:pStyle w:val="Heading3"/>
      </w:pPr>
      <w:bookmarkStart w:id="36" w:name="_Toc27472666"/>
      <w:r w:rsidRPr="00FB5280">
        <w:lastRenderedPageBreak/>
        <w:t>Project Drawdown</w:t>
      </w:r>
      <w:r w:rsidR="000875B5" w:rsidRPr="00FB5280">
        <w:t xml:space="preserve"> Scenarios</w:t>
      </w:r>
      <w:bookmarkEnd w:id="36"/>
    </w:p>
    <w:p w14:paraId="0291C3B2" w14:textId="7DCF611E" w:rsidR="00FB2C53" w:rsidRDefault="00BD33FC" w:rsidP="00FB5280">
      <w:pPr>
        <w:spacing w:after="0"/>
        <w:ind w:firstLine="480"/>
      </w:pPr>
      <w:r w:rsidRPr="00FB5280">
        <w:t>The PDS scenario</w:t>
      </w:r>
      <w:r w:rsidR="00FB5280">
        <w:t>s</w:t>
      </w:r>
      <w:r w:rsidRPr="00FB5280">
        <w:t xml:space="preserve"> </w:t>
      </w:r>
      <w:r w:rsidR="00FB5280">
        <w:t>are</w:t>
      </w:r>
      <w:r w:rsidRPr="00FB5280">
        <w:t xml:space="preserve"> based on a combination of projections in the literature and an interpolation based on the total market growth mentioned above as well as a projection of bioplastic market share development in the </w:t>
      </w:r>
      <w:proofErr w:type="gramStart"/>
      <w:r w:rsidRPr="00FB5280">
        <w:t>30 year</w:t>
      </w:r>
      <w:proofErr w:type="gramEnd"/>
      <w:r w:rsidRPr="00FB5280">
        <w:t xml:space="preserve"> timeframe. For the years ranging from 2014 to 2018 </w:t>
      </w:r>
      <w:r w:rsidR="00FB5280">
        <w:t xml:space="preserve">real, historical data </w:t>
      </w:r>
      <w:r w:rsidRPr="00FB5280">
        <w:t>were used. Bioplastics production was then estimated for the following years using a “maximum technical substitution potential” of traditional plastics with bioplastics of 90%</w:t>
      </w:r>
      <w:r w:rsidR="00FB5280">
        <w:rPr>
          <w:vertAlign w:val="superscript"/>
        </w:rPr>
        <w:t>11,</w:t>
      </w:r>
      <w:r w:rsidRPr="00FB5280">
        <w:rPr>
          <w:rStyle w:val="FootnoteReference"/>
        </w:rPr>
        <w:footnoteReference w:id="25"/>
      </w:r>
      <w:r w:rsidRPr="00FB5280">
        <w:t xml:space="preserve">, and </w:t>
      </w:r>
      <w:r w:rsidR="00FB5280">
        <w:t>growth to various percentages of the TAM</w:t>
      </w:r>
      <w:r w:rsidRPr="00FB5280">
        <w:t>.</w:t>
      </w:r>
      <w:r w:rsidR="00FB5280">
        <w:t xml:space="preserve"> </w:t>
      </w:r>
    </w:p>
    <w:p w14:paraId="4B5EB1D9" w14:textId="6E7F153A" w:rsidR="00FB5280" w:rsidRDefault="00FB5280" w:rsidP="00FB5280">
      <w:pPr>
        <w:spacing w:after="0"/>
        <w:ind w:firstLine="480"/>
      </w:pPr>
      <w:r>
        <w:t>PDS1, the plausible scenario, in which solutions are adopted at a realistically vigorous rate over the time, follows a modest growth rate to 2023, from European Bioplastics</w:t>
      </w:r>
      <w:r>
        <w:rPr>
          <w:vertAlign w:val="superscript"/>
        </w:rPr>
        <w:t>8</w:t>
      </w:r>
      <w:r>
        <w:t xml:space="preserve">, and then a polynomial fit to </w:t>
      </w:r>
      <w:r w:rsidR="0043664F">
        <w:rPr>
          <w:highlight w:val="yellow"/>
        </w:rPr>
        <w:t>13</w:t>
      </w:r>
      <w:r w:rsidRPr="00D328BD">
        <w:rPr>
          <w:highlight w:val="yellow"/>
        </w:rPr>
        <w:t>%</w:t>
      </w:r>
      <w:r>
        <w:t xml:space="preserve"> of the replaceable market</w:t>
      </w:r>
      <w:r w:rsidR="005F4A66">
        <w:t xml:space="preserve"> in 2050</w:t>
      </w:r>
      <w:r w:rsidR="0043664F">
        <w:t>, based on baseline projections</w:t>
      </w:r>
      <w:r>
        <w:t xml:space="preserve">. </w:t>
      </w:r>
    </w:p>
    <w:p w14:paraId="079C815B" w14:textId="1C5E3A26" w:rsidR="00FB5280" w:rsidRPr="00FB5280" w:rsidRDefault="00FB5280" w:rsidP="00FB5280">
      <w:pPr>
        <w:spacing w:after="0"/>
        <w:ind w:firstLine="480"/>
      </w:pPr>
      <w:r>
        <w:t>PDS2, the drawdown scenario, in which solutions are optimized to achieve drawdown by 2050, follows a modest growth rate to 2023, from European Bioplastics</w:t>
      </w:r>
      <w:r>
        <w:rPr>
          <w:vertAlign w:val="superscript"/>
        </w:rPr>
        <w:t>8</w:t>
      </w:r>
      <w:r>
        <w:t xml:space="preserve">, and then a polynomial fit to </w:t>
      </w:r>
      <w:r w:rsidR="0043664F">
        <w:rPr>
          <w:highlight w:val="yellow"/>
        </w:rPr>
        <w:t>51</w:t>
      </w:r>
      <w:r w:rsidRPr="00D328BD">
        <w:rPr>
          <w:highlight w:val="yellow"/>
        </w:rPr>
        <w:t>%</w:t>
      </w:r>
      <w:r>
        <w:t xml:space="preserve"> of the replaceable market</w:t>
      </w:r>
      <w:r w:rsidR="005F4A66">
        <w:t xml:space="preserve"> in 2050</w:t>
      </w:r>
      <w:r w:rsidR="0043664F">
        <w:t>, based on aggressive projections</w:t>
      </w:r>
      <w:r>
        <w:t xml:space="preserve">. </w:t>
      </w:r>
    </w:p>
    <w:p w14:paraId="2147186D" w14:textId="652D0F3B" w:rsidR="00FB5280" w:rsidRPr="00FB5280" w:rsidRDefault="00FB5280" w:rsidP="00FB5280">
      <w:pPr>
        <w:spacing w:after="0"/>
        <w:ind w:firstLine="480"/>
      </w:pPr>
      <w:r>
        <w:t xml:space="preserve">PDS3, the optimum scenario, in which solutions achieve their maximum potential, follows a </w:t>
      </w:r>
      <w:r w:rsidR="005F4A66">
        <w:t>more aggressive</w:t>
      </w:r>
      <w:r>
        <w:t xml:space="preserve"> growth rate to 202</w:t>
      </w:r>
      <w:r w:rsidR="005F4A66">
        <w:t>5</w:t>
      </w:r>
      <w:r>
        <w:t xml:space="preserve">, and then a polynomial fit to </w:t>
      </w:r>
      <w:r w:rsidR="0043664F">
        <w:t>complete adoption of</w:t>
      </w:r>
      <w:r>
        <w:t xml:space="preserve"> the replaceable market</w:t>
      </w:r>
      <w:r w:rsidR="005F4A66">
        <w:t xml:space="preserve"> by 2050</w:t>
      </w:r>
      <w:r>
        <w:t xml:space="preserve">. </w:t>
      </w:r>
    </w:p>
    <w:p w14:paraId="58D04FCF" w14:textId="1A1B382F" w:rsidR="00FB5280" w:rsidRPr="00FB5280" w:rsidRDefault="00FB5280" w:rsidP="00D328BD">
      <w:pPr>
        <w:spacing w:after="0"/>
        <w:ind w:firstLine="480"/>
      </w:pPr>
    </w:p>
    <w:p w14:paraId="4C24E6F4" w14:textId="23F18AF2" w:rsidR="00FB3AB3" w:rsidRDefault="00686965" w:rsidP="00483FFA">
      <w:pPr>
        <w:pStyle w:val="Heading2"/>
        <w:numPr>
          <w:ilvl w:val="1"/>
          <w:numId w:val="26"/>
        </w:numPr>
      </w:pPr>
      <w:bookmarkStart w:id="37" w:name="_Toc27472667"/>
      <w:r>
        <w:t>Inputs</w:t>
      </w:r>
      <w:bookmarkEnd w:id="37"/>
    </w:p>
    <w:p w14:paraId="3EBCEF57" w14:textId="463B9347" w:rsidR="00FB3AB3" w:rsidRDefault="00686965" w:rsidP="005D49A8">
      <w:pPr>
        <w:pStyle w:val="Heading3"/>
      </w:pPr>
      <w:bookmarkStart w:id="38" w:name="_Toc27472668"/>
      <w:r>
        <w:t>Climate Inputs</w:t>
      </w:r>
      <w:bookmarkEnd w:id="38"/>
    </w:p>
    <w:p w14:paraId="2C622459" w14:textId="5D4B55BF" w:rsidR="00660410" w:rsidRDefault="00660410" w:rsidP="00D328BD">
      <w:pPr>
        <w:spacing w:after="0"/>
        <w:ind w:firstLine="708"/>
      </w:pPr>
      <w:r>
        <w:t>Climate reductions from bioplastics are achieved through a combination of the atmospheric origin of the carbon within the materials themselves and by keeping production impacts low enough to realize the benefits of the biogenic carbon. The LCAs used to assess the climate impacts of bioplastics and fossil plastics</w:t>
      </w:r>
      <w:r w:rsidR="002A7ED9">
        <w:t xml:space="preserve"> are cradle-to-gate</w:t>
      </w:r>
      <w:r>
        <w:t xml:space="preserve"> include raw material acquisition and production energy. </w:t>
      </w:r>
      <w:r w:rsidR="002A7ED9">
        <w:t xml:space="preserve">Bioplastics, being consumable materials, do not incur operational impacts and were assed solely on annual production. There is, however, uncertainty around the end of life treatment of biopolymers which may impact climate emissions when compared to traditional plastics, especially over such a </w:t>
      </w:r>
      <w:proofErr w:type="gramStart"/>
      <w:r w:rsidR="002A7ED9">
        <w:t>long time</w:t>
      </w:r>
      <w:proofErr w:type="gramEnd"/>
      <w:r w:rsidR="002A7ED9">
        <w:t xml:space="preserve"> frame. However, cradle-to-grave studies, or end of life impacts are not currently within the scope of this model, as they will be included in the larger waste integration model, where quantity of bioplastics landfilled, recycled, or composted are included. </w:t>
      </w:r>
    </w:p>
    <w:p w14:paraId="03548676" w14:textId="29F759B9" w:rsidR="00660410" w:rsidRDefault="005F4A66" w:rsidP="00660410">
      <w:pPr>
        <w:spacing w:after="0"/>
      </w:pPr>
      <w:r>
        <w:lastRenderedPageBreak/>
        <w:tab/>
        <w:t xml:space="preserve">Within the general category of bioplastics, there are multiple subcategories of solution technologies and types that have different climate impacts. Bioplastics can be categorized by feedstock, generation, biodegradability, or even chemical compound, all of which have different environmental impacts, and are growing at different rates within the larger plastics market. For this reason, climate impacts are weighted based on time-based market growth. The subcategories used to develop these time-based market weights are biodegradability, because of better data availability, as well as the fact that these are the most general of the </w:t>
      </w:r>
      <w:proofErr w:type="gramStart"/>
      <w:r>
        <w:t>categories, and</w:t>
      </w:r>
      <w:proofErr w:type="gramEnd"/>
      <w:r>
        <w:t xml:space="preserve"> can be sub-divided even fu</w:t>
      </w:r>
      <w:r w:rsidR="007E1D64">
        <w:t>r</w:t>
      </w:r>
      <w:r>
        <w:t xml:space="preserve">ther based on feedstock or chemical compound, if more data becomes available. </w:t>
      </w:r>
    </w:p>
    <w:p w14:paraId="13FE3AC2" w14:textId="51EBED37" w:rsidR="00F35365" w:rsidRDefault="00F35365" w:rsidP="00660410">
      <w:pPr>
        <w:spacing w:after="0"/>
      </w:pPr>
      <w:r>
        <w:tab/>
        <w:t xml:space="preserve">The market share of biodegradable and non-biodegradable plastics was determined for years until 2018, and then modeled based on projections, to 2050. The percent of market in each year can then be multiplied by the adoption scenario to estimate total adoption of each sub-solution in </w:t>
      </w:r>
      <w:proofErr w:type="spellStart"/>
      <w:r>
        <w:t>MMt</w:t>
      </w:r>
      <w:proofErr w:type="spellEnd"/>
      <w:r>
        <w:t xml:space="preserve"> of plastic (the functional unit) and summed for the entire time frame considered. The cumulative market share is then used to weight the sub-solution variables to determine the total direct emission per solution functional unit.</w:t>
      </w:r>
    </w:p>
    <w:p w14:paraId="24C491B8" w14:textId="51C363E5" w:rsidR="00F52595" w:rsidRDefault="00686965" w:rsidP="005D49A8">
      <w:pPr>
        <w:pStyle w:val="Heading3"/>
      </w:pPr>
      <w:bookmarkStart w:id="39" w:name="_Toc27472669"/>
      <w:bookmarkStart w:id="40" w:name="_Toc27472670"/>
      <w:bookmarkEnd w:id="39"/>
      <w:r>
        <w:t>Financial Inputs</w:t>
      </w:r>
      <w:bookmarkEnd w:id="40"/>
    </w:p>
    <w:p w14:paraId="0446F6B9" w14:textId="08D2FBEB" w:rsidR="00DF3A0A" w:rsidRDefault="00DF3A0A" w:rsidP="00D328BD">
      <w:pPr>
        <w:spacing w:after="0"/>
        <w:ind w:firstLine="708"/>
        <w:rPr>
          <w:bCs/>
        </w:rPr>
      </w:pPr>
      <w:r>
        <w:rPr>
          <w:bCs/>
        </w:rPr>
        <w:t xml:space="preserve">Forecasting prices is particularly difficult for this assessment comparing traditional plastics, which are sold as commodities on a global market, and bioplastics, which are still, largely, niche products just starting to make significant progress in global markets. Fossil based plastics track the price and availability of natural gas and petroleum and energy futures so plastic prices tend to be volatile with many markets providing daily price points. Bioplastics, however, are sold on such limited scales that it is difficult to find any data on material pricing. This model relies upon available literature and direct email inquiry with bioplastic producers (there are </w:t>
      </w:r>
      <w:r w:rsidR="00F35365">
        <w:rPr>
          <w:bCs/>
        </w:rPr>
        <w:t>some paid</w:t>
      </w:r>
      <w:r>
        <w:rPr>
          <w:bCs/>
        </w:rPr>
        <w:t xml:space="preserve"> market reports that may provide more insight into the bioplastics </w:t>
      </w:r>
      <w:proofErr w:type="gramStart"/>
      <w:r>
        <w:rPr>
          <w:bCs/>
        </w:rPr>
        <w:t>market</w:t>
      </w:r>
      <w:proofErr w:type="gramEnd"/>
      <w:r>
        <w:rPr>
          <w:bCs/>
        </w:rPr>
        <w:t xml:space="preserve"> but they remain inaccessible at the time of writing this report</w:t>
      </w:r>
      <w:r>
        <w:rPr>
          <w:rStyle w:val="FootnoteReference"/>
          <w:bCs/>
        </w:rPr>
        <w:footnoteReference w:id="26"/>
      </w:r>
      <w:r w:rsidR="00581378">
        <w:rPr>
          <w:bCs/>
          <w:vertAlign w:val="superscript"/>
        </w:rPr>
        <w:t>,</w:t>
      </w:r>
      <w:r>
        <w:rPr>
          <w:rStyle w:val="FootnoteReference"/>
          <w:bCs/>
        </w:rPr>
        <w:footnoteReference w:id="27"/>
      </w:r>
      <w:r>
        <w:rPr>
          <w:bCs/>
        </w:rPr>
        <w:t>).</w:t>
      </w:r>
    </w:p>
    <w:p w14:paraId="3173D5C6" w14:textId="77777777" w:rsidR="00DF3A0A" w:rsidRDefault="00DF3A0A" w:rsidP="00DF3A0A">
      <w:pPr>
        <w:spacing w:after="0"/>
        <w:rPr>
          <w:bCs/>
        </w:rPr>
      </w:pPr>
    </w:p>
    <w:p w14:paraId="43DCDA1B" w14:textId="1C737731" w:rsidR="00DF3A0A" w:rsidRDefault="00DF3A0A" w:rsidP="00D328BD">
      <w:pPr>
        <w:spacing w:after="0"/>
        <w:ind w:firstLine="708"/>
        <w:rPr>
          <w:bCs/>
        </w:rPr>
      </w:pPr>
      <w:r>
        <w:rPr>
          <w:bCs/>
        </w:rPr>
        <w:t>Price points within the model for both traditional plastics and bioplastics are based on the most currently available price data and a projection for prices in 2020 from the literature</w:t>
      </w:r>
      <w:bookmarkStart w:id="41" w:name="_Ref414787429"/>
      <w:r w:rsidR="00F35365">
        <w:rPr>
          <w:bCs/>
          <w:vertAlign w:val="superscript"/>
        </w:rPr>
        <w:t xml:space="preserve">26, </w:t>
      </w:r>
      <w:r>
        <w:rPr>
          <w:rStyle w:val="FootnoteReference"/>
          <w:bCs/>
        </w:rPr>
        <w:footnoteReference w:id="28"/>
      </w:r>
      <w:bookmarkEnd w:id="41"/>
      <w:r>
        <w:rPr>
          <w:bCs/>
        </w:rPr>
        <w:t>. The data found within the literature, via email, and in online market reports from 2011 to 2015 was averaged to estimate current market prices and was combined with future estimates for polypropylene and bioplastics in the book by Biron</w:t>
      </w:r>
      <w:r w:rsidRPr="00871BE6">
        <w:rPr>
          <w:bCs/>
          <w:vertAlign w:val="superscript"/>
        </w:rPr>
        <w:fldChar w:fldCharType="begin"/>
      </w:r>
      <w:r w:rsidRPr="00871BE6">
        <w:rPr>
          <w:bCs/>
          <w:vertAlign w:val="superscript"/>
        </w:rPr>
        <w:instrText xml:space="preserve"> NOTEREF _Ref414787429 \h </w:instrText>
      </w:r>
      <w:r>
        <w:rPr>
          <w:bCs/>
          <w:vertAlign w:val="superscript"/>
        </w:rPr>
        <w:instrText xml:space="preserve"> \* MERGEFORMAT </w:instrText>
      </w:r>
      <w:r w:rsidRPr="00871BE6">
        <w:rPr>
          <w:bCs/>
          <w:vertAlign w:val="superscript"/>
        </w:rPr>
      </w:r>
      <w:r w:rsidRPr="00871BE6">
        <w:rPr>
          <w:bCs/>
          <w:vertAlign w:val="superscript"/>
        </w:rPr>
        <w:fldChar w:fldCharType="separate"/>
      </w:r>
      <w:r>
        <w:rPr>
          <w:bCs/>
          <w:vertAlign w:val="superscript"/>
        </w:rPr>
        <w:t>23</w:t>
      </w:r>
      <w:r w:rsidRPr="00871BE6">
        <w:rPr>
          <w:bCs/>
          <w:vertAlign w:val="superscript"/>
        </w:rPr>
        <w:fldChar w:fldCharType="end"/>
      </w:r>
      <w:r>
        <w:rPr>
          <w:bCs/>
        </w:rPr>
        <w:t xml:space="preserve"> (see ‘prices’ sheet in the model) in an attempt to accommodate both historical prices and future trends within the model. Uncertainty in fossil resources was addressed by Biron by modeling based first on </w:t>
      </w:r>
      <w:r>
        <w:rPr>
          <w:bCs/>
        </w:rPr>
        <w:lastRenderedPageBreak/>
        <w:t xml:space="preserve">historical prices and then based on two different prices for a barrel of oil; $150/barrel and $300/barrel. </w:t>
      </w:r>
      <w:r w:rsidR="00E91811">
        <w:rPr>
          <w:bCs/>
        </w:rPr>
        <w:t xml:space="preserve">Pricing data, however, is limited in availability, due to the discretion of producers to set prices based on quantity or other variables. As the bioplastics market grows, more data and set prices may become available. </w:t>
      </w:r>
    </w:p>
    <w:p w14:paraId="0AA81B19" w14:textId="77777777" w:rsidR="00DF3A0A" w:rsidRDefault="00DF3A0A" w:rsidP="00DF3A0A">
      <w:pPr>
        <w:spacing w:after="0"/>
        <w:rPr>
          <w:bCs/>
        </w:rPr>
      </w:pPr>
    </w:p>
    <w:p w14:paraId="3F927A96" w14:textId="54D9EDF6" w:rsidR="00E978D4" w:rsidRDefault="00DF3A0A" w:rsidP="00D328BD">
      <w:pPr>
        <w:spacing w:after="0"/>
        <w:ind w:firstLine="480"/>
        <w:rPr>
          <w:bCs/>
        </w:rPr>
      </w:pPr>
      <w:r>
        <w:rPr>
          <w:bCs/>
        </w:rPr>
        <w:t>This data aggregation method includes scenario assessments and multiple price points from several sources which were averaged for inclusion</w:t>
      </w:r>
      <w:r w:rsidR="00F35365">
        <w:rPr>
          <w:bCs/>
        </w:rPr>
        <w:t>, and the Drawdown standard 4.7% first cost learning rate is assumed for bioplastics</w:t>
      </w:r>
      <w:r>
        <w:rPr>
          <w:bCs/>
        </w:rPr>
        <w:t>.</w:t>
      </w:r>
      <w:r w:rsidR="00F35365">
        <w:rPr>
          <w:bCs/>
        </w:rPr>
        <w:t xml:space="preserve"> Conventional plastics do not have a learning rate, as the technology is fully developed, and in fact, raw materials prices (oil) are rising.</w:t>
      </w:r>
      <w:r>
        <w:rPr>
          <w:bCs/>
        </w:rPr>
        <w:t xml:space="preserve">  The adoption scenarios are then valuated by multiplying this average price per unit by the market volume for traditional plastics and bioplastics and then summing them to get a total scenario cost for both </w:t>
      </w:r>
      <w:r w:rsidR="00746F6D">
        <w:rPr>
          <w:bCs/>
        </w:rPr>
        <w:t>REF</w:t>
      </w:r>
      <w:r>
        <w:rPr>
          <w:bCs/>
        </w:rPr>
        <w:t xml:space="preserve"> and </w:t>
      </w:r>
      <w:r w:rsidR="00F35365">
        <w:rPr>
          <w:bCs/>
        </w:rPr>
        <w:t>PDS scenarios</w:t>
      </w:r>
      <w:r>
        <w:rPr>
          <w:bCs/>
        </w:rPr>
        <w:t>. The uncertainty concerning these markets is high and any results should be seen as general trends and relationships rather than accurate predictors of future prices.</w:t>
      </w:r>
    </w:p>
    <w:p w14:paraId="38E2215F" w14:textId="34CC7F48" w:rsidR="00DC5041" w:rsidRDefault="00DC5041" w:rsidP="00DC5041">
      <w:pPr>
        <w:pStyle w:val="Heading2"/>
        <w:numPr>
          <w:ilvl w:val="1"/>
          <w:numId w:val="26"/>
        </w:numPr>
      </w:pPr>
      <w:bookmarkStart w:id="42" w:name="_Toc27472671"/>
      <w:r>
        <w:t>Assumptions</w:t>
      </w:r>
      <w:bookmarkEnd w:id="42"/>
    </w:p>
    <w:p w14:paraId="5627087C" w14:textId="0BC735DC" w:rsidR="00DC5041" w:rsidRDefault="00DC5041" w:rsidP="00DC5041">
      <w:pPr>
        <w:pStyle w:val="Heading2"/>
        <w:numPr>
          <w:ilvl w:val="1"/>
          <w:numId w:val="26"/>
        </w:numPr>
      </w:pPr>
      <w:bookmarkStart w:id="43" w:name="_Toc27472672"/>
      <w:r>
        <w:t>Integration</w:t>
      </w:r>
      <w:bookmarkEnd w:id="43"/>
    </w:p>
    <w:p w14:paraId="327D681F" w14:textId="1A720B46" w:rsidR="00DC5041" w:rsidRDefault="00DC5041" w:rsidP="00DC5041">
      <w:pPr>
        <w:pStyle w:val="Heading2"/>
        <w:numPr>
          <w:ilvl w:val="1"/>
          <w:numId w:val="26"/>
        </w:numPr>
      </w:pPr>
      <w:bookmarkStart w:id="44" w:name="_Toc27472673"/>
      <w:r>
        <w:t>Limitations/Further Development</w:t>
      </w:r>
      <w:bookmarkEnd w:id="44"/>
    </w:p>
    <w:p w14:paraId="5FFB1AF8" w14:textId="0F0369AD" w:rsidR="00DF27A6" w:rsidRDefault="00F35365" w:rsidP="00F35365">
      <w:pPr>
        <w:spacing w:after="0"/>
        <w:ind w:firstLine="480"/>
        <w:rPr>
          <w:bCs/>
        </w:rPr>
      </w:pPr>
      <w:r>
        <w:rPr>
          <w:bCs/>
        </w:rPr>
        <w:t>Within each sub-solution emissions variable, as mentioned in 2.5.1 Climate Inputs, further resolution of data is possible. Currently, there is not sufficient emissions data for each type of plastic within the biodegradable and non-biodegradable categories, to use a weighted average. However, as more LCA studies are done or more data becomes available, this would be possible. It is also possible to weight by feedstock type, if the percent of bioplastics from different feedstocks is</w:t>
      </w:r>
      <w:r w:rsidR="00DE3ECB">
        <w:rPr>
          <w:bCs/>
        </w:rPr>
        <w:t xml:space="preserve"> determined. </w:t>
      </w:r>
    </w:p>
    <w:p w14:paraId="10F9CC98" w14:textId="43B5B337" w:rsidR="00DE3ECB" w:rsidRPr="00B144E5" w:rsidRDefault="00DE3ECB" w:rsidP="00D328BD">
      <w:pPr>
        <w:spacing w:after="0"/>
        <w:ind w:firstLine="480"/>
        <w:rPr>
          <w:bCs/>
        </w:rPr>
      </w:pPr>
      <w:r>
        <w:rPr>
          <w:bCs/>
        </w:rPr>
        <w:t xml:space="preserve">Further, the same time-based weighting scheme could be applied to cost to determine a more accurate estimation of cost. Two variables, first cost for biodegradable plastics and first cost for non-biodegradable plastics, would need to be included, and then weighted in the same way as emissions. However, current price and cost data is lacking in both quantity of sources as well as accuracy for this to be implemented in this version. </w:t>
      </w:r>
    </w:p>
    <w:p w14:paraId="7CAFC693" w14:textId="4A2F7BD1" w:rsidR="007C645A" w:rsidRPr="005C77F5" w:rsidRDefault="551A77D0" w:rsidP="00277BCC">
      <w:pPr>
        <w:pStyle w:val="Heading1"/>
      </w:pPr>
      <w:bookmarkStart w:id="45" w:name="_Toc27472674"/>
      <w:r>
        <w:t>Results</w:t>
      </w:r>
      <w:bookmarkEnd w:id="45"/>
    </w:p>
    <w:p w14:paraId="2CBDAC93" w14:textId="09C5FC49" w:rsidR="00852171" w:rsidRDefault="00746F6D" w:rsidP="00746F6D">
      <w:pPr>
        <w:spacing w:after="0"/>
        <w:ind w:firstLine="708"/>
      </w:pPr>
      <w:r>
        <w:t xml:space="preserve">The total growth of the plastics market is represented by a </w:t>
      </w:r>
      <w:proofErr w:type="gramStart"/>
      <w:r>
        <w:t>five year</w:t>
      </w:r>
      <w:proofErr w:type="gramEnd"/>
      <w:r>
        <w:t xml:space="preserve"> period of strong growth followed by a more gradual development for the following twenty-five year period. These two linear trends </w:t>
      </w:r>
      <w:r>
        <w:lastRenderedPageBreak/>
        <w:t>combined in a way suggesting the typical ‘S’ shape of a logistical curve which is used to chart the growth of technologies (</w:t>
      </w:r>
      <w:r>
        <w:fldChar w:fldCharType="begin"/>
      </w:r>
      <w:r>
        <w:instrText xml:space="preserve"> REF _Ref414561167 \h </w:instrText>
      </w:r>
      <w:r>
        <w:fldChar w:fldCharType="separate"/>
      </w:r>
      <w:r>
        <w:t xml:space="preserve">Figure </w:t>
      </w:r>
      <w:r>
        <w:rPr>
          <w:noProof/>
        </w:rPr>
        <w:t>3</w:t>
      </w:r>
      <w:r>
        <w:fldChar w:fldCharType="end"/>
      </w:r>
      <w:r>
        <w:t>). Bioplastics in the REF scenario, given the anticipated growth in the total market, would increase from about 1</w:t>
      </w:r>
      <w:r w:rsidR="00852171">
        <w:t>.7 MM</w:t>
      </w:r>
      <w:r>
        <w:t>T in 201</w:t>
      </w:r>
      <w:r w:rsidR="00852171">
        <w:t>4</w:t>
      </w:r>
      <w:r>
        <w:t xml:space="preserve"> to around </w:t>
      </w:r>
      <w:r w:rsidR="00852171">
        <w:t>4.8 MM</w:t>
      </w:r>
      <w:r>
        <w:t>T by 20</w:t>
      </w:r>
      <w:r w:rsidR="00852171">
        <w:t>50</w:t>
      </w:r>
      <w:r>
        <w:t xml:space="preserve">, </w:t>
      </w:r>
      <w:r w:rsidR="00852171">
        <w:t>to</w:t>
      </w:r>
      <w:r>
        <w:t xml:space="preserve"> remain at 0.</w:t>
      </w:r>
      <w:r w:rsidR="00852171">
        <w:t>6</w:t>
      </w:r>
      <w:r>
        <w:t xml:space="preserve">% of the cumulative plastic production. For the </w:t>
      </w:r>
      <w:r w:rsidR="001A7F9F">
        <w:t xml:space="preserve">PDS </w:t>
      </w:r>
      <w:r>
        <w:t>scenario</w:t>
      </w:r>
      <w:r w:rsidR="00852171">
        <w:t>s</w:t>
      </w:r>
      <w:r>
        <w:t>, bioplastics production was estimated using predictions from the literature</w:t>
      </w:r>
      <w:r w:rsidR="00852171">
        <w:t xml:space="preserve">. </w:t>
      </w:r>
    </w:p>
    <w:p w14:paraId="08152006" w14:textId="595034C3" w:rsidR="00746F6D" w:rsidRDefault="00852171" w:rsidP="006A03C7">
      <w:pPr>
        <w:spacing w:after="0"/>
        <w:ind w:firstLine="708"/>
      </w:pPr>
      <w:r>
        <w:t xml:space="preserve">In the PDS 1 scenario, where 44% of the </w:t>
      </w:r>
      <w:r w:rsidR="00680EE5">
        <w:t>replaceable</w:t>
      </w:r>
      <w:r>
        <w:t xml:space="preserve"> market is substituted with bioplastics over conventional plastics, in 2050, </w:t>
      </w:r>
      <w:r w:rsidR="00746F6D">
        <w:t xml:space="preserve">of adoption bioplastics </w:t>
      </w:r>
      <w:r w:rsidR="00BB72DB">
        <w:t xml:space="preserve">is 310 </w:t>
      </w:r>
      <w:proofErr w:type="spellStart"/>
      <w:r w:rsidR="00BB72DB">
        <w:t>MMt</w:t>
      </w:r>
      <w:proofErr w:type="spellEnd"/>
      <w:r w:rsidR="00746F6D">
        <w:t xml:space="preserve"> in the final year</w:t>
      </w:r>
      <w:r w:rsidR="006A03C7">
        <w:t xml:space="preserve">. </w:t>
      </w:r>
      <w:r w:rsidR="00746F6D">
        <w:t xml:space="preserve">Given the rate of adoption in the </w:t>
      </w:r>
      <w:r w:rsidR="001A7F9F">
        <w:t>PDS</w:t>
      </w:r>
      <w:r w:rsidR="00BB72DB">
        <w:t>1</w:t>
      </w:r>
      <w:r w:rsidR="001A7F9F">
        <w:t xml:space="preserve"> </w:t>
      </w:r>
      <w:r w:rsidR="00746F6D">
        <w:t xml:space="preserve">scenario there will be </w:t>
      </w:r>
      <w:r w:rsidR="00BB72DB">
        <w:t>3.3</w:t>
      </w:r>
      <w:r w:rsidR="00746F6D">
        <w:t xml:space="preserve"> GT of CO</w:t>
      </w:r>
      <w:r w:rsidR="00746F6D" w:rsidRPr="00AA02BD">
        <w:rPr>
          <w:vertAlign w:val="subscript"/>
        </w:rPr>
        <w:t>2</w:t>
      </w:r>
      <w:r w:rsidR="00746F6D">
        <w:t xml:space="preserve"> equivalent emissions avoided during the </w:t>
      </w:r>
      <w:proofErr w:type="gramStart"/>
      <w:r w:rsidR="00746F6D">
        <w:t>thirty year</w:t>
      </w:r>
      <w:proofErr w:type="gramEnd"/>
      <w:r w:rsidR="00746F6D">
        <w:t xml:space="preserve"> period between 20</w:t>
      </w:r>
      <w:r w:rsidR="00167D34">
        <w:t>20</w:t>
      </w:r>
      <w:r w:rsidR="00746F6D">
        <w:t xml:space="preserve"> and 205</w:t>
      </w:r>
      <w:r w:rsidR="00167D34">
        <w:t>0</w:t>
      </w:r>
      <w:r w:rsidR="00746F6D">
        <w:t xml:space="preserve"> when compared to the REF scenario</w:t>
      </w:r>
      <w:r w:rsidR="00B12C3A">
        <w:t>, or 0.29 PPM</w:t>
      </w:r>
      <w:r w:rsidR="00746F6D">
        <w:t>. In the final year biopolymers contribute a 0.0</w:t>
      </w:r>
      <w:r w:rsidR="00167D34">
        <w:t>3</w:t>
      </w:r>
      <w:r w:rsidR="00746F6D">
        <w:t xml:space="preserve"> ppm CO</w:t>
      </w:r>
      <w:r w:rsidR="00746F6D" w:rsidRPr="00792328">
        <w:rPr>
          <w:vertAlign w:val="subscript"/>
        </w:rPr>
        <w:t>2</w:t>
      </w:r>
      <w:r w:rsidR="00746F6D">
        <w:t xml:space="preserve"> eq. reduction when compared to the REF scenario.  </w:t>
      </w:r>
    </w:p>
    <w:p w14:paraId="2D7A3217" w14:textId="77777777" w:rsidR="00746F6D" w:rsidRPr="00792328" w:rsidRDefault="00746F6D" w:rsidP="00746F6D">
      <w:pPr>
        <w:spacing w:after="0" w:line="240" w:lineRule="auto"/>
        <w:ind w:firstLine="708"/>
      </w:pPr>
    </w:p>
    <w:p w14:paraId="4EF7F767" w14:textId="39CD6806" w:rsidR="00746F6D" w:rsidRPr="001B2695" w:rsidRDefault="00746F6D" w:rsidP="00167D34">
      <w:pPr>
        <w:spacing w:after="0"/>
        <w:ind w:firstLine="708"/>
      </w:pPr>
      <w:r>
        <w:t>Biopolymers are expected to average $2.</w:t>
      </w:r>
      <w:r w:rsidR="00B12C3A">
        <w:t>77</w:t>
      </w:r>
      <w:r>
        <w:t>/kg between 2015 and 20</w:t>
      </w:r>
      <w:r w:rsidR="00B12C3A">
        <w:t>50</w:t>
      </w:r>
      <w:r>
        <w:t xml:space="preserve"> compared with $</w:t>
      </w:r>
      <w:r w:rsidR="00B12C3A">
        <w:t>1.7</w:t>
      </w:r>
      <w:r>
        <w:t xml:space="preserve">/kg for </w:t>
      </w:r>
      <w:proofErr w:type="gramStart"/>
      <w:r>
        <w:t>fossil based</w:t>
      </w:r>
      <w:proofErr w:type="gramEnd"/>
      <w:r>
        <w:t xml:space="preserve"> plastics. Since the model for the plastics market assumes no operational costs, the initial price and market share of bioplastics dictates the relative financial performance between the REF and </w:t>
      </w:r>
      <w:r w:rsidR="001A7F9F">
        <w:t xml:space="preserve">PDS </w:t>
      </w:r>
      <w:r>
        <w:t xml:space="preserve">scenarios. </w:t>
      </w:r>
      <w:r w:rsidR="00787EC5">
        <w:t xml:space="preserve">Because bioplastics are a developing technology, the costs are expected to come down as production grows in scale, but not below conventional plastics in the near future. </w:t>
      </w:r>
    </w:p>
    <w:p w14:paraId="19DB0097" w14:textId="77777777" w:rsidR="00746F6D" w:rsidRDefault="00746F6D" w:rsidP="00746F6D">
      <w:pPr>
        <w:spacing w:after="0"/>
        <w:rPr>
          <w:bCs/>
        </w:rPr>
      </w:pPr>
    </w:p>
    <w:p w14:paraId="01B24FFD" w14:textId="7D33CBBC" w:rsidR="00746F6D" w:rsidRDefault="00746F6D" w:rsidP="00746F6D">
      <w:pPr>
        <w:keepNext/>
        <w:spacing w:after="0"/>
      </w:pPr>
    </w:p>
    <w:p w14:paraId="7E39F2AB" w14:textId="10A52F35" w:rsidR="00B261E0" w:rsidRDefault="007C645A" w:rsidP="00483FFA">
      <w:pPr>
        <w:pStyle w:val="Heading2"/>
        <w:numPr>
          <w:ilvl w:val="1"/>
          <w:numId w:val="26"/>
        </w:numPr>
      </w:pPr>
      <w:bookmarkStart w:id="46" w:name="_Toc27472675"/>
      <w:bookmarkStart w:id="47" w:name="_Toc27472676"/>
      <w:bookmarkEnd w:id="46"/>
      <w:r>
        <w:t>Adoption</w:t>
      </w:r>
      <w:bookmarkEnd w:id="47"/>
    </w:p>
    <w:p w14:paraId="10EC0E5D" w14:textId="525C4D52" w:rsidR="0032353F" w:rsidRPr="0032353F" w:rsidRDefault="0032353F" w:rsidP="0032353F">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1183A78" w14:textId="353EDCDA" w:rsidR="008D1491" w:rsidRDefault="008D1491" w:rsidP="00EB247F">
      <w:pPr>
        <w:pStyle w:val="Caption"/>
        <w:jc w:val="center"/>
      </w:pPr>
      <w:bookmarkStart w:id="48" w:name="_Toc18543333"/>
      <w:r>
        <w:t xml:space="preserve">Table </w:t>
      </w:r>
      <w:r w:rsidR="00304B72">
        <w:fldChar w:fldCharType="begin"/>
      </w:r>
      <w:r w:rsidR="00304B72">
        <w:instrText xml:space="preserve"> STYLEREF 1 \s </w:instrText>
      </w:r>
      <w:r w:rsidR="00304B72">
        <w:fldChar w:fldCharType="separate"/>
      </w:r>
      <w:r w:rsidR="00492F5E" w:rsidRPr="551A77D0">
        <w:t>3</w:t>
      </w:r>
      <w:r w:rsidR="00304B72">
        <w:fldChar w:fldCharType="end"/>
      </w:r>
      <w:r w:rsidR="00492F5E">
        <w:t>.</w:t>
      </w:r>
      <w:r w:rsidR="00304B72">
        <w:fldChar w:fldCharType="begin"/>
      </w:r>
      <w:r w:rsidR="00304B72">
        <w:instrText xml:space="preserve"> SEQ Table \* ARABIC \s 1 </w:instrText>
      </w:r>
      <w:r w:rsidR="00304B72">
        <w:fldChar w:fldCharType="separate"/>
      </w:r>
      <w:r w:rsidR="00492F5E" w:rsidRPr="551A77D0">
        <w:t>1</w:t>
      </w:r>
      <w:r w:rsidR="00304B72">
        <w:fldChar w:fldCharType="end"/>
      </w:r>
      <w:r>
        <w:t xml:space="preserve"> </w:t>
      </w:r>
      <w:r w:rsidR="005C77F5">
        <w:t xml:space="preserve">World </w:t>
      </w:r>
      <w:r>
        <w:t>Adoption</w:t>
      </w:r>
      <w:r w:rsidR="005C77F5">
        <w:t xml:space="preserve"> of the Solution</w:t>
      </w:r>
      <w:bookmarkEnd w:id="48"/>
    </w:p>
    <w:tbl>
      <w:tblPr>
        <w:tblStyle w:val="TableGrid"/>
        <w:tblW w:w="9350" w:type="dxa"/>
        <w:tblLook w:val="04A0" w:firstRow="1" w:lastRow="0" w:firstColumn="1" w:lastColumn="0" w:noHBand="0" w:noVBand="1"/>
      </w:tblPr>
      <w:tblGrid>
        <w:gridCol w:w="1341"/>
        <w:gridCol w:w="1287"/>
        <w:gridCol w:w="963"/>
        <w:gridCol w:w="1915"/>
        <w:gridCol w:w="1165"/>
        <w:gridCol w:w="1322"/>
        <w:gridCol w:w="1357"/>
      </w:tblGrid>
      <w:tr w:rsidR="00B12C3A" w:rsidRPr="008D1491" w14:paraId="3FFD2090" w14:textId="77777777" w:rsidTr="00A73D07">
        <w:trPr>
          <w:cantSplit/>
          <w:trHeight w:val="48"/>
          <w:tblHeader/>
        </w:trPr>
        <w:tc>
          <w:tcPr>
            <w:tcW w:w="1341" w:type="dxa"/>
            <w:vMerge w:val="restart"/>
            <w:shd w:val="clear" w:color="auto" w:fill="4F81BD" w:themeFill="accent1"/>
            <w:vAlign w:val="center"/>
          </w:tcPr>
          <w:p w14:paraId="71879AD5" w14:textId="3CA30AF5" w:rsidR="00B12C3A" w:rsidRPr="005C77F5" w:rsidRDefault="00B12C3A"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287" w:type="dxa"/>
            <w:vMerge w:val="restart"/>
            <w:shd w:val="clear" w:color="auto" w:fill="4F81BD" w:themeFill="accent1"/>
            <w:vAlign w:val="center"/>
          </w:tcPr>
          <w:p w14:paraId="736EA4CB" w14:textId="55E81B77" w:rsidR="00B12C3A" w:rsidRPr="005C77F5" w:rsidRDefault="00B12C3A"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963" w:type="dxa"/>
            <w:vMerge w:val="restart"/>
            <w:shd w:val="clear" w:color="auto" w:fill="4F81BD" w:themeFill="accent1"/>
            <w:vAlign w:val="center"/>
          </w:tcPr>
          <w:p w14:paraId="7A4BC7EC" w14:textId="56617266" w:rsidR="00B12C3A" w:rsidRPr="005C77F5" w:rsidRDefault="00B12C3A" w:rsidP="00AD4CF8">
            <w:pPr>
              <w:spacing w:line="240" w:lineRule="auto"/>
              <w:jc w:val="center"/>
              <w:rPr>
                <w:b/>
                <w:bCs/>
                <w:color w:val="FFFFFF" w:themeColor="background1"/>
                <w:sz w:val="20"/>
                <w:szCs w:val="20"/>
              </w:rPr>
            </w:pPr>
            <w:r w:rsidRPr="005C77F5">
              <w:rPr>
                <w:b/>
                <w:bCs/>
                <w:iCs/>
                <w:color w:val="FFFFFF" w:themeColor="background1"/>
                <w:sz w:val="20"/>
                <w:szCs w:val="20"/>
              </w:rPr>
              <w:t xml:space="preserve">Base </w:t>
            </w:r>
            <w:proofErr w:type="gramStart"/>
            <w:r w:rsidRPr="005C77F5">
              <w:rPr>
                <w:b/>
                <w:bCs/>
                <w:iCs/>
                <w:color w:val="FFFFFF" w:themeColor="background1"/>
                <w:sz w:val="20"/>
                <w:szCs w:val="20"/>
              </w:rPr>
              <w:t xml:space="preserve">Year </w:t>
            </w:r>
            <w:r w:rsidRPr="005C77F5">
              <w:rPr>
                <w:b/>
                <w:bCs/>
                <w:color w:val="FFFFFF" w:themeColor="background1"/>
                <w:sz w:val="20"/>
                <w:szCs w:val="20"/>
              </w:rPr>
              <w:t xml:space="preserve"> (</w:t>
            </w:r>
            <w:proofErr w:type="gramEnd"/>
            <w:r w:rsidRPr="005C77F5">
              <w:rPr>
                <w:b/>
                <w:bCs/>
                <w:color w:val="FFFFFF" w:themeColor="background1"/>
                <w:sz w:val="20"/>
                <w:szCs w:val="20"/>
              </w:rPr>
              <w:t>2014)</w:t>
            </w:r>
          </w:p>
        </w:tc>
        <w:tc>
          <w:tcPr>
            <w:tcW w:w="1915" w:type="dxa"/>
            <w:vMerge w:val="restart"/>
            <w:shd w:val="clear" w:color="auto" w:fill="4F81BD" w:themeFill="accent1"/>
          </w:tcPr>
          <w:p w14:paraId="00372755" w14:textId="77777777" w:rsidR="00B12C3A" w:rsidRDefault="00B12C3A" w:rsidP="00AD4CF8">
            <w:pPr>
              <w:spacing w:line="240" w:lineRule="auto"/>
              <w:jc w:val="center"/>
              <w:rPr>
                <w:b/>
                <w:bCs/>
                <w:iCs/>
                <w:color w:val="FFFFFF" w:themeColor="background1"/>
                <w:sz w:val="20"/>
                <w:szCs w:val="20"/>
              </w:rPr>
            </w:pPr>
            <w:r>
              <w:rPr>
                <w:b/>
                <w:bCs/>
                <w:iCs/>
                <w:color w:val="FFFFFF" w:themeColor="background1"/>
                <w:sz w:val="20"/>
                <w:szCs w:val="20"/>
              </w:rPr>
              <w:t>Current Year</w:t>
            </w:r>
          </w:p>
          <w:p w14:paraId="5F8B8A65" w14:textId="3F45A9A1" w:rsidR="00B12C3A" w:rsidRDefault="00B12C3A" w:rsidP="00AD4CF8">
            <w:pPr>
              <w:spacing w:line="240" w:lineRule="auto"/>
              <w:jc w:val="center"/>
              <w:rPr>
                <w:b/>
                <w:bCs/>
                <w:iCs/>
                <w:color w:val="FFFFFF" w:themeColor="background1"/>
                <w:sz w:val="20"/>
                <w:szCs w:val="20"/>
              </w:rPr>
            </w:pPr>
            <w:r>
              <w:rPr>
                <w:b/>
                <w:bCs/>
                <w:iCs/>
                <w:color w:val="FFFFFF" w:themeColor="background1"/>
                <w:sz w:val="20"/>
                <w:szCs w:val="20"/>
              </w:rPr>
              <w:t>(2018)</w:t>
            </w:r>
          </w:p>
        </w:tc>
        <w:tc>
          <w:tcPr>
            <w:tcW w:w="3844" w:type="dxa"/>
            <w:gridSpan w:val="3"/>
            <w:shd w:val="clear" w:color="auto" w:fill="4F81BD" w:themeFill="accent1"/>
            <w:vAlign w:val="center"/>
          </w:tcPr>
          <w:p w14:paraId="1BAFBD47" w14:textId="3C56C8FB" w:rsidR="00B12C3A" w:rsidRPr="005C77F5" w:rsidRDefault="00B12C3A"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 xml:space="preserve">Adoption </w:t>
            </w:r>
            <w:r>
              <w:rPr>
                <w:b/>
                <w:bCs/>
                <w:iCs/>
                <w:color w:val="FFFFFF" w:themeColor="background1"/>
                <w:sz w:val="20"/>
                <w:szCs w:val="20"/>
              </w:rPr>
              <w:t>in</w:t>
            </w:r>
            <w:r w:rsidRPr="005C77F5">
              <w:rPr>
                <w:b/>
                <w:bCs/>
                <w:iCs/>
                <w:color w:val="FFFFFF" w:themeColor="background1"/>
                <w:sz w:val="20"/>
                <w:szCs w:val="20"/>
              </w:rPr>
              <w:t xml:space="preserve"> 2050</w:t>
            </w:r>
          </w:p>
        </w:tc>
      </w:tr>
      <w:tr w:rsidR="00B12C3A" w:rsidRPr="008D1491" w14:paraId="4801E75B" w14:textId="77777777" w:rsidTr="00A73D07">
        <w:trPr>
          <w:cantSplit/>
          <w:trHeight w:val="184"/>
          <w:tblHeader/>
        </w:trPr>
        <w:tc>
          <w:tcPr>
            <w:tcW w:w="1341" w:type="dxa"/>
            <w:vMerge/>
            <w:shd w:val="clear" w:color="auto" w:fill="4F81BD" w:themeFill="accent1"/>
            <w:vAlign w:val="center"/>
          </w:tcPr>
          <w:p w14:paraId="6CD710FF" w14:textId="77777777" w:rsidR="00B12C3A" w:rsidRPr="00FB649C" w:rsidRDefault="00B12C3A" w:rsidP="00AD4CF8">
            <w:pPr>
              <w:spacing w:line="240" w:lineRule="auto"/>
              <w:jc w:val="center"/>
              <w:rPr>
                <w:rFonts w:cstheme="minorHAnsi"/>
                <w:b/>
                <w:bCs/>
                <w:i/>
                <w:color w:val="FFFFFF" w:themeColor="background1"/>
                <w:sz w:val="20"/>
                <w:szCs w:val="20"/>
              </w:rPr>
            </w:pPr>
          </w:p>
        </w:tc>
        <w:tc>
          <w:tcPr>
            <w:tcW w:w="1287" w:type="dxa"/>
            <w:vMerge/>
            <w:shd w:val="clear" w:color="auto" w:fill="4F81BD" w:themeFill="accent1"/>
            <w:vAlign w:val="center"/>
          </w:tcPr>
          <w:p w14:paraId="173F30E0" w14:textId="77777777" w:rsidR="00B12C3A" w:rsidRPr="00FB649C" w:rsidRDefault="00B12C3A" w:rsidP="00AD4CF8">
            <w:pPr>
              <w:spacing w:line="240" w:lineRule="auto"/>
              <w:jc w:val="center"/>
              <w:rPr>
                <w:bCs/>
                <w:i/>
                <w:color w:val="FFFFFF" w:themeColor="background1"/>
                <w:sz w:val="20"/>
                <w:szCs w:val="20"/>
              </w:rPr>
            </w:pPr>
          </w:p>
        </w:tc>
        <w:tc>
          <w:tcPr>
            <w:tcW w:w="963" w:type="dxa"/>
            <w:vMerge/>
            <w:shd w:val="clear" w:color="auto" w:fill="4F81BD" w:themeFill="accent1"/>
            <w:vAlign w:val="center"/>
          </w:tcPr>
          <w:p w14:paraId="74E7E210" w14:textId="29C848AE" w:rsidR="00B12C3A" w:rsidRPr="00FB649C" w:rsidRDefault="00B12C3A" w:rsidP="00AD4CF8">
            <w:pPr>
              <w:spacing w:line="240" w:lineRule="auto"/>
              <w:jc w:val="center"/>
              <w:rPr>
                <w:bCs/>
                <w:i/>
                <w:color w:val="FFFFFF" w:themeColor="background1"/>
                <w:sz w:val="20"/>
                <w:szCs w:val="20"/>
              </w:rPr>
            </w:pPr>
          </w:p>
        </w:tc>
        <w:tc>
          <w:tcPr>
            <w:tcW w:w="1915" w:type="dxa"/>
            <w:vMerge/>
            <w:shd w:val="clear" w:color="auto" w:fill="4F81BD" w:themeFill="accent1"/>
          </w:tcPr>
          <w:p w14:paraId="1E7512EE" w14:textId="6CD9F273" w:rsidR="00B12C3A" w:rsidRPr="005C77F5" w:rsidRDefault="00B12C3A" w:rsidP="00AD4CF8">
            <w:pPr>
              <w:spacing w:line="240" w:lineRule="auto"/>
              <w:jc w:val="center"/>
              <w:rPr>
                <w:b/>
                <w:bCs/>
                <w:iCs/>
                <w:color w:val="FFFFFF" w:themeColor="background1"/>
                <w:sz w:val="20"/>
                <w:szCs w:val="20"/>
              </w:rPr>
            </w:pPr>
          </w:p>
        </w:tc>
        <w:tc>
          <w:tcPr>
            <w:tcW w:w="1165" w:type="dxa"/>
            <w:shd w:val="clear" w:color="auto" w:fill="4F81BD" w:themeFill="accent1"/>
            <w:vAlign w:val="center"/>
          </w:tcPr>
          <w:p w14:paraId="3BAD7FDF" w14:textId="074934A3" w:rsidR="00B12C3A" w:rsidRPr="005C77F5" w:rsidRDefault="00B12C3A"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322" w:type="dxa"/>
            <w:shd w:val="clear" w:color="auto" w:fill="4F81BD" w:themeFill="accent1"/>
            <w:vAlign w:val="center"/>
          </w:tcPr>
          <w:p w14:paraId="0A0F5473" w14:textId="77777777" w:rsidR="00B12C3A" w:rsidRPr="005C77F5" w:rsidRDefault="00B12C3A"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357" w:type="dxa"/>
            <w:shd w:val="clear" w:color="auto" w:fill="4F81BD" w:themeFill="accent1"/>
            <w:vAlign w:val="center"/>
          </w:tcPr>
          <w:p w14:paraId="0927695E" w14:textId="77777777" w:rsidR="00B12C3A" w:rsidRPr="005C77F5" w:rsidRDefault="00B12C3A"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DB40B6" w:rsidRPr="008D1491" w14:paraId="305C72A7" w14:textId="77777777" w:rsidTr="00D328BD">
        <w:trPr>
          <w:trHeight w:val="840"/>
        </w:trPr>
        <w:tc>
          <w:tcPr>
            <w:tcW w:w="1341" w:type="dxa"/>
            <w:vMerge w:val="restart"/>
            <w:vAlign w:val="center"/>
          </w:tcPr>
          <w:p w14:paraId="2B8FFE1B" w14:textId="77D5E265" w:rsidR="00DB40B6" w:rsidRPr="008D1491" w:rsidRDefault="00DB40B6" w:rsidP="00AD4CF8">
            <w:pPr>
              <w:spacing w:line="240" w:lineRule="auto"/>
              <w:jc w:val="center"/>
              <w:rPr>
                <w:sz w:val="20"/>
                <w:szCs w:val="20"/>
              </w:rPr>
            </w:pPr>
            <w:r>
              <w:rPr>
                <w:sz w:val="20"/>
                <w:szCs w:val="20"/>
              </w:rPr>
              <w:t>Solution Name</w:t>
            </w:r>
          </w:p>
        </w:tc>
        <w:tc>
          <w:tcPr>
            <w:tcW w:w="1287" w:type="dxa"/>
            <w:vAlign w:val="center"/>
          </w:tcPr>
          <w:p w14:paraId="5BDA7373" w14:textId="6B286C17" w:rsidR="00DB40B6" w:rsidRPr="005C77F5" w:rsidRDefault="00DB40B6" w:rsidP="00AD4CF8">
            <w:pPr>
              <w:spacing w:line="240" w:lineRule="auto"/>
              <w:jc w:val="center"/>
              <w:rPr>
                <w:rFonts w:cstheme="minorHAnsi"/>
                <w:bCs/>
                <w:color w:val="000000" w:themeColor="text1"/>
                <w:sz w:val="20"/>
                <w:szCs w:val="20"/>
              </w:rPr>
            </w:pPr>
            <w:proofErr w:type="spellStart"/>
            <w:r w:rsidRPr="00306716">
              <w:rPr>
                <w:bCs/>
                <w:i/>
                <w:color w:val="000000" w:themeColor="text1"/>
                <w:sz w:val="20"/>
                <w:szCs w:val="20"/>
              </w:rPr>
              <w:t>MMt</w:t>
            </w:r>
            <w:proofErr w:type="spellEnd"/>
            <w:r w:rsidRPr="00306716">
              <w:rPr>
                <w:bCs/>
                <w:i/>
                <w:color w:val="000000" w:themeColor="text1"/>
                <w:sz w:val="20"/>
                <w:szCs w:val="20"/>
              </w:rPr>
              <w:t xml:space="preserve"> of Plastic Produced Annually</w:t>
            </w:r>
          </w:p>
        </w:tc>
        <w:tc>
          <w:tcPr>
            <w:tcW w:w="963" w:type="dxa"/>
            <w:vAlign w:val="center"/>
          </w:tcPr>
          <w:p w14:paraId="72C0B03E" w14:textId="6D4EAEEB" w:rsidR="00DB40B6" w:rsidRPr="008006D0" w:rsidRDefault="00DB40B6" w:rsidP="00AD4CF8">
            <w:pPr>
              <w:spacing w:line="240" w:lineRule="auto"/>
              <w:jc w:val="center"/>
              <w:rPr>
                <w:rFonts w:cstheme="minorHAnsi"/>
                <w:bCs/>
                <w:sz w:val="20"/>
                <w:szCs w:val="20"/>
              </w:rPr>
            </w:pPr>
            <w:r>
              <w:rPr>
                <w:rFonts w:cstheme="minorHAnsi"/>
                <w:bCs/>
                <w:sz w:val="20"/>
                <w:szCs w:val="20"/>
              </w:rPr>
              <w:t>1.67</w:t>
            </w:r>
          </w:p>
        </w:tc>
        <w:tc>
          <w:tcPr>
            <w:tcW w:w="1915" w:type="dxa"/>
            <w:vAlign w:val="center"/>
          </w:tcPr>
          <w:p w14:paraId="717D8012" w14:textId="169E7364" w:rsidR="00DB40B6" w:rsidRDefault="00DB40B6" w:rsidP="00B12C3A">
            <w:pPr>
              <w:spacing w:line="240" w:lineRule="auto"/>
              <w:jc w:val="center"/>
              <w:rPr>
                <w:rFonts w:cstheme="minorHAnsi"/>
                <w:bCs/>
                <w:sz w:val="20"/>
                <w:szCs w:val="20"/>
              </w:rPr>
            </w:pPr>
            <w:r>
              <w:rPr>
                <w:rFonts w:cstheme="minorHAnsi"/>
                <w:bCs/>
                <w:sz w:val="20"/>
                <w:szCs w:val="20"/>
              </w:rPr>
              <w:t>2.11</w:t>
            </w:r>
          </w:p>
        </w:tc>
        <w:tc>
          <w:tcPr>
            <w:tcW w:w="1165" w:type="dxa"/>
            <w:vAlign w:val="center"/>
          </w:tcPr>
          <w:p w14:paraId="2A8FE7A2" w14:textId="75050822" w:rsidR="00DB40B6" w:rsidRPr="008006D0" w:rsidRDefault="0043664F" w:rsidP="00AD4CF8">
            <w:pPr>
              <w:spacing w:line="240" w:lineRule="auto"/>
              <w:jc w:val="center"/>
              <w:rPr>
                <w:rFonts w:cstheme="minorHAnsi"/>
                <w:bCs/>
                <w:sz w:val="20"/>
                <w:szCs w:val="20"/>
              </w:rPr>
            </w:pPr>
            <w:r>
              <w:rPr>
                <w:rFonts w:cstheme="minorHAnsi"/>
                <w:bCs/>
                <w:sz w:val="20"/>
                <w:szCs w:val="20"/>
              </w:rPr>
              <w:t>92.19</w:t>
            </w:r>
          </w:p>
        </w:tc>
        <w:tc>
          <w:tcPr>
            <w:tcW w:w="1322" w:type="dxa"/>
            <w:vAlign w:val="center"/>
          </w:tcPr>
          <w:p w14:paraId="79EE8DDC" w14:textId="5D1604C0" w:rsidR="00DB40B6" w:rsidRPr="008006D0" w:rsidRDefault="0043664F" w:rsidP="00306716">
            <w:pPr>
              <w:spacing w:line="240" w:lineRule="auto"/>
              <w:jc w:val="center"/>
              <w:rPr>
                <w:rFonts w:cstheme="minorHAnsi"/>
                <w:bCs/>
                <w:sz w:val="20"/>
                <w:szCs w:val="20"/>
              </w:rPr>
            </w:pPr>
            <w:r>
              <w:rPr>
                <w:rFonts w:cstheme="minorHAnsi"/>
                <w:bCs/>
                <w:sz w:val="20"/>
                <w:szCs w:val="20"/>
              </w:rPr>
              <w:t>356.8</w:t>
            </w:r>
          </w:p>
        </w:tc>
        <w:tc>
          <w:tcPr>
            <w:tcW w:w="1357" w:type="dxa"/>
            <w:vAlign w:val="center"/>
          </w:tcPr>
          <w:p w14:paraId="5B002A1D" w14:textId="30C11217" w:rsidR="00DB40B6" w:rsidRPr="008006D0" w:rsidRDefault="0043664F" w:rsidP="00306716">
            <w:pPr>
              <w:spacing w:line="240" w:lineRule="auto"/>
              <w:jc w:val="center"/>
              <w:rPr>
                <w:rFonts w:cstheme="minorHAnsi"/>
                <w:bCs/>
                <w:sz w:val="20"/>
                <w:szCs w:val="20"/>
              </w:rPr>
            </w:pPr>
            <w:r>
              <w:rPr>
                <w:rFonts w:cstheme="minorHAnsi"/>
                <w:bCs/>
                <w:sz w:val="20"/>
                <w:szCs w:val="20"/>
              </w:rPr>
              <w:t>705.</w:t>
            </w:r>
            <w:r w:rsidR="00383268">
              <w:rPr>
                <w:rFonts w:cstheme="minorHAnsi"/>
                <w:bCs/>
                <w:sz w:val="20"/>
                <w:szCs w:val="20"/>
              </w:rPr>
              <w:t>2</w:t>
            </w:r>
          </w:p>
        </w:tc>
      </w:tr>
      <w:tr w:rsidR="00DB40B6" w:rsidRPr="008D1491" w14:paraId="59E1863D" w14:textId="77777777" w:rsidTr="00D328BD">
        <w:trPr>
          <w:trHeight w:val="32"/>
        </w:trPr>
        <w:tc>
          <w:tcPr>
            <w:tcW w:w="1341" w:type="dxa"/>
            <w:vMerge/>
            <w:vAlign w:val="center"/>
          </w:tcPr>
          <w:p w14:paraId="518ED63B" w14:textId="77777777" w:rsidR="00DB40B6" w:rsidRDefault="00DB40B6" w:rsidP="00AD4CF8">
            <w:pPr>
              <w:spacing w:line="240" w:lineRule="auto"/>
              <w:jc w:val="center"/>
              <w:rPr>
                <w:sz w:val="20"/>
                <w:szCs w:val="20"/>
              </w:rPr>
            </w:pPr>
          </w:p>
        </w:tc>
        <w:tc>
          <w:tcPr>
            <w:tcW w:w="1287" w:type="dxa"/>
            <w:vAlign w:val="center"/>
          </w:tcPr>
          <w:p w14:paraId="2352B4C1" w14:textId="0398F6A2" w:rsidR="00DB40B6" w:rsidRPr="005C77F5" w:rsidRDefault="00DB40B6" w:rsidP="00AD4CF8">
            <w:pPr>
              <w:spacing w:line="240" w:lineRule="auto"/>
              <w:jc w:val="center"/>
              <w:rPr>
                <w:rFonts w:cstheme="minorHAnsi"/>
                <w:bCs/>
                <w:color w:val="000000" w:themeColor="text1"/>
                <w:sz w:val="20"/>
                <w:szCs w:val="20"/>
              </w:rPr>
            </w:pPr>
            <w:r w:rsidRPr="005C77F5">
              <w:rPr>
                <w:bCs/>
                <w:i/>
                <w:iCs/>
                <w:color w:val="000000" w:themeColor="text1"/>
                <w:sz w:val="20"/>
                <w:szCs w:val="20"/>
              </w:rPr>
              <w:t>(% market)</w:t>
            </w:r>
          </w:p>
        </w:tc>
        <w:tc>
          <w:tcPr>
            <w:tcW w:w="963" w:type="dxa"/>
            <w:vAlign w:val="center"/>
          </w:tcPr>
          <w:p w14:paraId="4FD03435" w14:textId="21265DC2" w:rsidR="00DB40B6" w:rsidRPr="008006D0" w:rsidRDefault="00DB40B6" w:rsidP="00AD4CF8">
            <w:pPr>
              <w:spacing w:line="240" w:lineRule="auto"/>
              <w:jc w:val="center"/>
              <w:rPr>
                <w:rFonts w:cstheme="minorHAnsi"/>
                <w:bCs/>
                <w:sz w:val="20"/>
                <w:szCs w:val="20"/>
              </w:rPr>
            </w:pPr>
            <w:r>
              <w:rPr>
                <w:rFonts w:cstheme="minorHAnsi"/>
                <w:bCs/>
                <w:sz w:val="20"/>
                <w:szCs w:val="20"/>
              </w:rPr>
              <w:t>0.54%</w:t>
            </w:r>
          </w:p>
        </w:tc>
        <w:tc>
          <w:tcPr>
            <w:tcW w:w="1915" w:type="dxa"/>
          </w:tcPr>
          <w:p w14:paraId="04C03277" w14:textId="20955AD1" w:rsidR="00DB40B6" w:rsidRDefault="00DB40B6" w:rsidP="00AD4CF8">
            <w:pPr>
              <w:spacing w:line="240" w:lineRule="auto"/>
              <w:jc w:val="center"/>
              <w:rPr>
                <w:rFonts w:cstheme="minorHAnsi"/>
                <w:bCs/>
                <w:sz w:val="20"/>
                <w:szCs w:val="20"/>
              </w:rPr>
            </w:pPr>
            <w:r>
              <w:rPr>
                <w:rFonts w:cstheme="minorHAnsi"/>
                <w:bCs/>
                <w:sz w:val="20"/>
                <w:szCs w:val="20"/>
              </w:rPr>
              <w:t>0.67%</w:t>
            </w:r>
          </w:p>
        </w:tc>
        <w:tc>
          <w:tcPr>
            <w:tcW w:w="1165" w:type="dxa"/>
            <w:vAlign w:val="center"/>
          </w:tcPr>
          <w:p w14:paraId="34CAFB53" w14:textId="79DFDC1C" w:rsidR="00DB40B6" w:rsidRDefault="0043664F" w:rsidP="00AD4CF8">
            <w:pPr>
              <w:spacing w:line="240" w:lineRule="auto"/>
              <w:jc w:val="center"/>
              <w:rPr>
                <w:rFonts w:cstheme="minorHAnsi"/>
                <w:bCs/>
                <w:sz w:val="20"/>
                <w:szCs w:val="20"/>
              </w:rPr>
            </w:pPr>
            <w:r>
              <w:rPr>
                <w:rFonts w:cstheme="minorHAnsi"/>
                <w:bCs/>
                <w:sz w:val="20"/>
                <w:szCs w:val="20"/>
              </w:rPr>
              <w:t>12</w:t>
            </w:r>
            <w:r w:rsidR="00DB40B6">
              <w:rPr>
                <w:rFonts w:cstheme="minorHAnsi"/>
                <w:bCs/>
                <w:sz w:val="20"/>
                <w:szCs w:val="20"/>
              </w:rPr>
              <w:t>%</w:t>
            </w:r>
          </w:p>
        </w:tc>
        <w:tc>
          <w:tcPr>
            <w:tcW w:w="1322" w:type="dxa"/>
            <w:vAlign w:val="center"/>
          </w:tcPr>
          <w:p w14:paraId="43B375D1" w14:textId="1C0C239F" w:rsidR="00DB40B6" w:rsidRDefault="0043664F" w:rsidP="00AD4CF8">
            <w:pPr>
              <w:spacing w:line="240" w:lineRule="auto"/>
              <w:jc w:val="center"/>
              <w:rPr>
                <w:rFonts w:cstheme="minorHAnsi"/>
                <w:bCs/>
                <w:sz w:val="20"/>
                <w:szCs w:val="20"/>
              </w:rPr>
            </w:pPr>
            <w:r>
              <w:rPr>
                <w:rFonts w:cstheme="minorHAnsi"/>
                <w:bCs/>
                <w:sz w:val="20"/>
                <w:szCs w:val="20"/>
              </w:rPr>
              <w:t>46</w:t>
            </w:r>
            <w:r w:rsidR="00DB40B6">
              <w:rPr>
                <w:rFonts w:cstheme="minorHAnsi"/>
                <w:bCs/>
                <w:sz w:val="20"/>
                <w:szCs w:val="20"/>
              </w:rPr>
              <w:t>%</w:t>
            </w:r>
          </w:p>
        </w:tc>
        <w:tc>
          <w:tcPr>
            <w:tcW w:w="1357" w:type="dxa"/>
            <w:vAlign w:val="center"/>
          </w:tcPr>
          <w:p w14:paraId="7641EB01" w14:textId="7EA91A76" w:rsidR="00DB40B6" w:rsidRDefault="0043664F" w:rsidP="00AD4CF8">
            <w:pPr>
              <w:spacing w:line="240" w:lineRule="auto"/>
              <w:jc w:val="center"/>
              <w:rPr>
                <w:rFonts w:cstheme="minorHAnsi"/>
                <w:bCs/>
                <w:sz w:val="20"/>
                <w:szCs w:val="20"/>
              </w:rPr>
            </w:pPr>
            <w:r>
              <w:rPr>
                <w:rFonts w:cstheme="minorHAnsi"/>
                <w:bCs/>
                <w:sz w:val="20"/>
                <w:szCs w:val="20"/>
              </w:rPr>
              <w:t>90</w:t>
            </w:r>
            <w:r w:rsidR="00DB40B6">
              <w:rPr>
                <w:rFonts w:cstheme="minorHAnsi"/>
                <w:bCs/>
                <w:sz w:val="20"/>
                <w:szCs w:val="20"/>
              </w:rPr>
              <w:t>%</w:t>
            </w:r>
          </w:p>
        </w:tc>
      </w:tr>
    </w:tbl>
    <w:p w14:paraId="0D817E1E" w14:textId="77777777" w:rsidR="0032353F" w:rsidRDefault="0032353F" w:rsidP="00EB247F">
      <w:pPr>
        <w:pStyle w:val="Caption"/>
        <w:jc w:val="center"/>
      </w:pPr>
    </w:p>
    <w:p w14:paraId="61456206" w14:textId="420A98A9" w:rsidR="007850C7" w:rsidRPr="007850C7" w:rsidRDefault="00736AB2" w:rsidP="00736AB2">
      <w:pPr>
        <w:pStyle w:val="Caption"/>
        <w:jc w:val="center"/>
      </w:pPr>
      <w:r w:rsidRPr="00736AB2">
        <w:rPr>
          <w:noProof/>
        </w:rPr>
        <w:lastRenderedPageBreak/>
        <w:t xml:space="preserve"> </w:t>
      </w:r>
      <w:r w:rsidR="00155E41">
        <w:rPr>
          <w:noProof/>
        </w:rPr>
        <w:drawing>
          <wp:inline distT="0" distB="0" distL="0" distR="0" wp14:anchorId="1FD608FF" wp14:editId="7E377744">
            <wp:extent cx="5943600" cy="3541395"/>
            <wp:effectExtent l="0" t="0" r="12700" b="14605"/>
            <wp:docPr id="1"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7E303A" w14:textId="6F3936C5" w:rsidR="00762877" w:rsidRPr="005C77F5" w:rsidRDefault="00977F6D" w:rsidP="005C77F5">
      <w:pPr>
        <w:pStyle w:val="Caption"/>
        <w:jc w:val="center"/>
        <w:rPr>
          <w:b/>
          <w:bCs/>
          <w:i w:val="0"/>
          <w:iCs w:val="0"/>
        </w:rPr>
      </w:pPr>
      <w:bookmarkStart w:id="49" w:name="_Toc18543331"/>
      <w:r w:rsidRPr="0032353F">
        <w:t xml:space="preserve">Figure </w:t>
      </w:r>
      <w:r w:rsidR="00D158BC" w:rsidRPr="0032353F">
        <w:rPr>
          <w:noProof/>
        </w:rPr>
        <w:fldChar w:fldCharType="begin"/>
      </w:r>
      <w:r w:rsidR="00D158BC" w:rsidRPr="0032353F">
        <w:rPr>
          <w:noProof/>
        </w:rPr>
        <w:instrText xml:space="preserve"> STYLEREF 1 \s </w:instrText>
      </w:r>
      <w:r w:rsidR="00D158BC" w:rsidRPr="0032353F">
        <w:rPr>
          <w:noProof/>
        </w:rPr>
        <w:fldChar w:fldCharType="separate"/>
      </w:r>
      <w:r w:rsidR="00586AA5" w:rsidRPr="0032353F">
        <w:rPr>
          <w:noProof/>
        </w:rPr>
        <w:t>3</w:t>
      </w:r>
      <w:r w:rsidR="00D158BC" w:rsidRPr="0032353F">
        <w:rPr>
          <w:noProof/>
        </w:rPr>
        <w:fldChar w:fldCharType="end"/>
      </w:r>
      <w:r w:rsidR="00586AA5" w:rsidRPr="0032353F">
        <w:noBreakHyphen/>
      </w:r>
      <w:r w:rsidR="00D158BC" w:rsidRPr="0032353F">
        <w:rPr>
          <w:noProof/>
        </w:rPr>
        <w:fldChar w:fldCharType="begin"/>
      </w:r>
      <w:r w:rsidR="00D158BC" w:rsidRPr="0032353F">
        <w:rPr>
          <w:noProof/>
        </w:rPr>
        <w:instrText xml:space="preserve"> SEQ Figure \* ARABIC \s 1 </w:instrText>
      </w:r>
      <w:r w:rsidR="00D158BC" w:rsidRPr="0032353F">
        <w:rPr>
          <w:noProof/>
        </w:rPr>
        <w:fldChar w:fldCharType="separate"/>
      </w:r>
      <w:r w:rsidR="00586AA5" w:rsidRPr="0032353F">
        <w:rPr>
          <w:noProof/>
        </w:rPr>
        <w:t>1</w:t>
      </w:r>
      <w:r w:rsidR="00D158BC" w:rsidRPr="0032353F">
        <w:rPr>
          <w:noProof/>
        </w:rPr>
        <w:fldChar w:fldCharType="end"/>
      </w:r>
      <w:r w:rsidRPr="0032353F">
        <w:t xml:space="preserve"> </w:t>
      </w:r>
      <w:r w:rsidR="00807D37" w:rsidRPr="0032353F">
        <w:t xml:space="preserve">World Annual </w:t>
      </w:r>
      <w:r w:rsidRPr="0032353F">
        <w:t>Adoption 20</w:t>
      </w:r>
      <w:r w:rsidR="00736AB2">
        <w:t>15</w:t>
      </w:r>
      <w:r w:rsidRPr="0032353F">
        <w:t>-2050</w:t>
      </w:r>
      <w:bookmarkEnd w:id="49"/>
    </w:p>
    <w:p w14:paraId="6B6F22E7" w14:textId="19002B27" w:rsidR="003A7929" w:rsidRDefault="551A77D0" w:rsidP="00483FFA">
      <w:pPr>
        <w:pStyle w:val="Heading2"/>
        <w:numPr>
          <w:ilvl w:val="1"/>
          <w:numId w:val="26"/>
        </w:numPr>
      </w:pPr>
      <w:bookmarkStart w:id="50" w:name="_Toc27472677"/>
      <w:r w:rsidRPr="551A77D0">
        <w:t>Climate Impacts</w:t>
      </w:r>
      <w:bookmarkEnd w:id="50"/>
    </w:p>
    <w:p w14:paraId="61041E32" w14:textId="77777777" w:rsidR="0032353F" w:rsidRPr="00B9196D" w:rsidRDefault="0032353F" w:rsidP="0032353F">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52E48BE0" w14:textId="77777777" w:rsidR="00B261E0" w:rsidRDefault="00B261E0" w:rsidP="00EB247F">
      <w:pPr>
        <w:spacing w:after="0"/>
        <w:rPr>
          <w:rFonts w:cstheme="minorHAnsi"/>
          <w:b/>
          <w:bCs/>
          <w:i/>
        </w:rPr>
      </w:pPr>
    </w:p>
    <w:p w14:paraId="4DA2B4CB" w14:textId="38CE99C4" w:rsidR="00762877" w:rsidRPr="00762877" w:rsidRDefault="0066753A" w:rsidP="00EB247F">
      <w:pPr>
        <w:pStyle w:val="Caption"/>
        <w:jc w:val="center"/>
        <w:rPr>
          <w:rFonts w:eastAsia="Times New Roman" w:cs="Times New Roman"/>
          <w:sz w:val="24"/>
          <w:szCs w:val="24"/>
          <w:lang w:eastAsia="zh-CN"/>
        </w:rPr>
      </w:pPr>
      <w:bookmarkStart w:id="51" w:name="_Toc18543334"/>
      <w:r>
        <w:t xml:space="preserve">Table </w:t>
      </w:r>
      <w:r w:rsidR="00304B72">
        <w:fldChar w:fldCharType="begin"/>
      </w:r>
      <w:r w:rsidR="00304B72">
        <w:instrText xml:space="preserve"> STYLEREF 1 \s </w:instrText>
      </w:r>
      <w:r w:rsidR="00304B72">
        <w:fldChar w:fldCharType="separate"/>
      </w:r>
      <w:r w:rsidR="00492F5E" w:rsidRPr="551A77D0">
        <w:t>3</w:t>
      </w:r>
      <w:r w:rsidR="00304B72">
        <w:fldChar w:fldCharType="end"/>
      </w:r>
      <w:r w:rsidR="00492F5E">
        <w:t>.</w:t>
      </w:r>
      <w:r w:rsidR="00304B72">
        <w:fldChar w:fldCharType="begin"/>
      </w:r>
      <w:r w:rsidR="00304B72">
        <w:instrText xml:space="preserve"> SEQ Table \* ARABIC \s 1 </w:instrText>
      </w:r>
      <w:r w:rsidR="00304B72">
        <w:fldChar w:fldCharType="separate"/>
      </w:r>
      <w:r w:rsidR="00492F5E" w:rsidRPr="551A77D0">
        <w:t>2</w:t>
      </w:r>
      <w:r w:rsidR="00304B72">
        <w:fldChar w:fldCharType="end"/>
      </w:r>
      <w:r>
        <w:t xml:space="preserve"> Climate Impacts</w:t>
      </w:r>
      <w:bookmarkEnd w:id="51"/>
    </w:p>
    <w:tbl>
      <w:tblPr>
        <w:tblW w:w="8741" w:type="dxa"/>
        <w:jc w:val="center"/>
        <w:tblLayout w:type="fixed"/>
        <w:tblCellMar>
          <w:top w:w="15" w:type="dxa"/>
          <w:left w:w="15" w:type="dxa"/>
          <w:bottom w:w="15" w:type="dxa"/>
          <w:right w:w="15" w:type="dxa"/>
        </w:tblCellMar>
        <w:tblLook w:val="04A0" w:firstRow="1" w:lastRow="0" w:firstColumn="1" w:lastColumn="0" w:noHBand="0" w:noVBand="1"/>
      </w:tblPr>
      <w:tblGrid>
        <w:gridCol w:w="2861"/>
        <w:gridCol w:w="2803"/>
        <w:gridCol w:w="3077"/>
      </w:tblGrid>
      <w:tr w:rsidR="007E1720" w:rsidRPr="006B675D" w14:paraId="0150056F" w14:textId="1D8EC1D7" w:rsidTr="007E1720">
        <w:trPr>
          <w:cantSplit/>
          <w:trHeight w:val="134"/>
          <w:tblHeader/>
          <w:jc w:val="center"/>
        </w:trPr>
        <w:tc>
          <w:tcPr>
            <w:tcW w:w="286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7E1720" w:rsidRPr="00F26176" w:rsidRDefault="007E1720"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7E1720" w:rsidRPr="00F26176" w:rsidRDefault="007E1720"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30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7E1720" w:rsidRPr="00F26176" w:rsidRDefault="007E1720"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r>
      <w:tr w:rsidR="007E1720" w:rsidRPr="006B675D" w14:paraId="6B5C6387" w14:textId="411C48F1" w:rsidTr="007E1720">
        <w:trPr>
          <w:cantSplit/>
          <w:trHeight w:val="105"/>
          <w:tblHeader/>
          <w:jc w:val="center"/>
        </w:trPr>
        <w:tc>
          <w:tcPr>
            <w:tcW w:w="2861"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7E1720" w:rsidRPr="006B675D" w:rsidRDefault="007E1720" w:rsidP="00AD4CF8">
            <w:pPr>
              <w:spacing w:line="240" w:lineRule="auto"/>
              <w:jc w:val="center"/>
              <w:rPr>
                <w:rFonts w:cstheme="minorHAnsi"/>
                <w:b/>
                <w:bCs/>
                <w:i/>
                <w:color w:val="FFFFFF" w:themeColor="background1"/>
                <w:sz w:val="20"/>
                <w:szCs w:val="20"/>
                <w:lang w:eastAsia="zh-CN"/>
              </w:rPr>
            </w:pP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7E1720" w:rsidRPr="006B675D" w:rsidRDefault="007E1720"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30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7E1720" w:rsidRPr="006B675D" w:rsidRDefault="007E1720"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r>
      <w:tr w:rsidR="007E1720" w:rsidRPr="006B675D" w14:paraId="354A2249" w14:textId="7B11184C" w:rsidTr="007E1720">
        <w:trPr>
          <w:trHeight w:val="55"/>
          <w:jc w:val="center"/>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7E1720" w:rsidRPr="006B675D" w:rsidRDefault="007E1720" w:rsidP="00AD4CF8">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32FE9C" w14:textId="31469DC9" w:rsidR="007E1720" w:rsidRPr="006B675D"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43664F">
              <w:rPr>
                <w:rFonts w:eastAsia="Times New Roman" w:cstheme="minorHAnsi"/>
                <w:color w:val="000000" w:themeColor="text1"/>
                <w:sz w:val="20"/>
                <w:szCs w:val="20"/>
                <w:lang w:eastAsia="zh-CN"/>
              </w:rPr>
              <w:t>09</w:t>
            </w:r>
          </w:p>
        </w:tc>
        <w:tc>
          <w:tcPr>
            <w:tcW w:w="30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5E6FA7" w14:textId="4EA0F5DB" w:rsidR="007E1720" w:rsidRPr="006B675D" w:rsidRDefault="0043664F"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0.96</w:t>
            </w:r>
          </w:p>
        </w:tc>
      </w:tr>
      <w:tr w:rsidR="007E1720" w:rsidRPr="006B675D" w14:paraId="7DCB0C2E" w14:textId="35D5AF3A" w:rsidTr="007E1720">
        <w:trPr>
          <w:trHeight w:val="55"/>
          <w:jc w:val="center"/>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7E1720" w:rsidRPr="006B675D" w:rsidRDefault="007E1720" w:rsidP="00AD4CF8">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BCD264C" w14:textId="10049F83" w:rsidR="007E1720" w:rsidRPr="006B675D"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0.3</w:t>
            </w:r>
            <w:r w:rsidR="004D27DE">
              <w:rPr>
                <w:rFonts w:eastAsia="Times New Roman" w:cstheme="minorHAnsi"/>
                <w:color w:val="000000" w:themeColor="text1"/>
                <w:sz w:val="20"/>
                <w:szCs w:val="20"/>
                <w:lang w:eastAsia="zh-CN"/>
              </w:rPr>
              <w:t>7</w:t>
            </w:r>
          </w:p>
        </w:tc>
        <w:tc>
          <w:tcPr>
            <w:tcW w:w="30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84325D3" w14:textId="1C682CF9" w:rsidR="007E1720" w:rsidRPr="006B675D" w:rsidRDefault="00CB6B92"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3.</w:t>
            </w:r>
            <w:r w:rsidR="004D27DE">
              <w:rPr>
                <w:rFonts w:eastAsia="Times New Roman" w:cstheme="minorHAnsi"/>
                <w:color w:val="000000" w:themeColor="text1"/>
                <w:sz w:val="20"/>
                <w:szCs w:val="20"/>
                <w:lang w:eastAsia="zh-CN"/>
              </w:rPr>
              <w:t>80</w:t>
            </w:r>
          </w:p>
        </w:tc>
      </w:tr>
      <w:tr w:rsidR="007E1720" w:rsidRPr="006B675D" w14:paraId="7CA1AA1B" w14:textId="3D7819CF" w:rsidTr="007E1720">
        <w:trPr>
          <w:trHeight w:val="55"/>
          <w:jc w:val="center"/>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7E1720" w:rsidRPr="006B675D" w:rsidRDefault="007E1720" w:rsidP="00AD4CF8">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786EBCB" w14:textId="75C066B7" w:rsidR="007E1720" w:rsidRPr="006B675D"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8F517F">
              <w:rPr>
                <w:rFonts w:eastAsia="Times New Roman" w:cstheme="minorHAnsi"/>
                <w:color w:val="000000" w:themeColor="text1"/>
                <w:sz w:val="20"/>
                <w:szCs w:val="20"/>
                <w:lang w:eastAsia="zh-CN"/>
              </w:rPr>
              <w:t>73</w:t>
            </w:r>
          </w:p>
        </w:tc>
        <w:tc>
          <w:tcPr>
            <w:tcW w:w="30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E107D52" w14:textId="71316480" w:rsidR="007E1720" w:rsidRPr="006B675D" w:rsidRDefault="008F517F"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5.7</w:t>
            </w:r>
            <w:r w:rsidR="00383268">
              <w:rPr>
                <w:rFonts w:eastAsia="Times New Roman" w:cstheme="minorHAnsi"/>
                <w:color w:val="000000" w:themeColor="text1"/>
                <w:sz w:val="20"/>
                <w:szCs w:val="20"/>
                <w:lang w:eastAsia="zh-CN"/>
              </w:rPr>
              <w:t>7</w:t>
            </w:r>
          </w:p>
        </w:tc>
      </w:tr>
    </w:tbl>
    <w:p w14:paraId="43965544" w14:textId="77777777" w:rsidR="00BB79D6" w:rsidRDefault="00BB79D6" w:rsidP="00EB247F">
      <w:pPr>
        <w:pStyle w:val="Caption"/>
      </w:pPr>
      <w:bookmarkStart w:id="52" w:name="_Toc524993443"/>
    </w:p>
    <w:p w14:paraId="54B5EBE5" w14:textId="07EE87BE" w:rsidR="006B675D" w:rsidRPr="005C77F5" w:rsidRDefault="00087D3B" w:rsidP="005C77F5">
      <w:r>
        <w:lastRenderedPageBreak/>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606C2CF2" w:rsidR="00762877" w:rsidRPr="00762877" w:rsidRDefault="003A7929" w:rsidP="00EB247F">
      <w:pPr>
        <w:pStyle w:val="Caption"/>
        <w:jc w:val="center"/>
        <w:rPr>
          <w:rFonts w:eastAsia="Times New Roman" w:cs="Times New Roman"/>
          <w:sz w:val="24"/>
          <w:szCs w:val="24"/>
          <w:lang w:eastAsia="zh-CN"/>
        </w:rPr>
      </w:pPr>
      <w:bookmarkStart w:id="53" w:name="_Toc18543335"/>
      <w:r>
        <w:t xml:space="preserve">Table </w:t>
      </w:r>
      <w:r w:rsidR="00304B72">
        <w:fldChar w:fldCharType="begin"/>
      </w:r>
      <w:r w:rsidR="00304B72">
        <w:instrText xml:space="preserve"> STYLEREF 1 \s </w:instrText>
      </w:r>
      <w:r w:rsidR="00304B72">
        <w:fldChar w:fldCharType="separate"/>
      </w:r>
      <w:r w:rsidRPr="551A77D0">
        <w:t>3</w:t>
      </w:r>
      <w:r w:rsidR="00304B72">
        <w:fldChar w:fldCharType="end"/>
      </w:r>
      <w:r>
        <w:t>.</w:t>
      </w:r>
      <w:r w:rsidR="00304B72">
        <w:fldChar w:fldCharType="begin"/>
      </w:r>
      <w:r w:rsidR="00304B72">
        <w:instrText xml:space="preserve"> SEQ Table \* ARABIC \s 1 </w:instrText>
      </w:r>
      <w:r w:rsidR="00304B72">
        <w:fldChar w:fldCharType="separate"/>
      </w:r>
      <w:r w:rsidRPr="551A77D0">
        <w:t>3</w:t>
      </w:r>
      <w:r w:rsidR="00304B72">
        <w:fldChar w:fldCharType="end"/>
      </w:r>
      <w:r>
        <w:t xml:space="preserve"> Impacts on Atmospheric Concentrations of CO</w:t>
      </w:r>
      <w:r w:rsidRPr="00AF1BB4">
        <w:rPr>
          <w:vertAlign w:val="subscript"/>
        </w:rPr>
        <w:t>2</w:t>
      </w:r>
      <w:r>
        <w:t>-eq</w:t>
      </w:r>
      <w:bookmarkEnd w:id="52"/>
      <w:bookmarkEnd w:id="53"/>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AD4CF8">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0EE9839B" w:rsidR="003A7929" w:rsidRPr="0066753A"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43664F">
              <w:rPr>
                <w:rFonts w:eastAsia="Times New Roman" w:cstheme="minorHAnsi"/>
                <w:color w:val="000000" w:themeColor="text1"/>
                <w:sz w:val="20"/>
                <w:szCs w:val="20"/>
                <w:lang w:eastAsia="zh-CN"/>
              </w:rPr>
              <w:t>09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2F6A8396" w:rsidR="003A7929" w:rsidRPr="0066753A"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43664F">
              <w:rPr>
                <w:rFonts w:eastAsia="Times New Roman" w:cstheme="minorHAnsi"/>
                <w:color w:val="000000" w:themeColor="text1"/>
                <w:sz w:val="20"/>
                <w:szCs w:val="20"/>
                <w:lang w:eastAsia="zh-CN"/>
              </w:rPr>
              <w:t>1</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AD4CF8">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2446E6C3" w:rsidR="0030099E" w:rsidRPr="0066753A"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CB6B92">
              <w:rPr>
                <w:rFonts w:eastAsia="Times New Roman" w:cstheme="minorHAnsi"/>
                <w:color w:val="000000" w:themeColor="text1"/>
                <w:sz w:val="20"/>
                <w:szCs w:val="20"/>
                <w:lang w:eastAsia="zh-CN"/>
              </w:rPr>
              <w:t>3</w:t>
            </w:r>
            <w:r w:rsidR="004D27DE">
              <w:rPr>
                <w:rFonts w:eastAsia="Times New Roman" w:cstheme="minorHAnsi"/>
                <w:color w:val="000000" w:themeColor="text1"/>
                <w:sz w:val="20"/>
                <w:szCs w:val="20"/>
                <w:lang w:eastAsia="zh-CN"/>
              </w:rP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229FCE37" w:rsidR="0030099E" w:rsidRPr="0066753A"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0.03</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AD4CF8">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4F0F9570" w:rsidR="0030099E" w:rsidRPr="0066753A"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8F517F">
              <w:rPr>
                <w:rFonts w:eastAsia="Times New Roman" w:cstheme="minorHAnsi"/>
                <w:color w:val="000000" w:themeColor="text1"/>
                <w:sz w:val="20"/>
                <w:szCs w:val="20"/>
                <w:lang w:eastAsia="zh-CN"/>
              </w:rPr>
              <w:t>53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23E4D849" w:rsidR="0030099E" w:rsidRPr="0066753A" w:rsidRDefault="007E1720"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8F517F">
              <w:rPr>
                <w:rFonts w:eastAsia="Times New Roman" w:cstheme="minorHAnsi"/>
                <w:color w:val="000000" w:themeColor="text1"/>
                <w:sz w:val="20"/>
                <w:szCs w:val="20"/>
                <w:lang w:eastAsia="zh-CN"/>
              </w:rPr>
              <w:t>7</w:t>
            </w:r>
          </w:p>
        </w:tc>
      </w:tr>
    </w:tbl>
    <w:p w14:paraId="6AAA540B" w14:textId="77777777" w:rsidR="00DA6842" w:rsidRDefault="00DA6842" w:rsidP="00DA6842">
      <w:pPr>
        <w:jc w:val="center"/>
      </w:pPr>
    </w:p>
    <w:p w14:paraId="6DD4F749" w14:textId="6E117AD4" w:rsidR="006B675D" w:rsidRPr="006B675D" w:rsidRDefault="006A03C7" w:rsidP="00D328BD">
      <w:pPr>
        <w:jc w:val="center"/>
      </w:pPr>
      <w:r>
        <w:rPr>
          <w:noProof/>
        </w:rPr>
        <w:drawing>
          <wp:inline distT="0" distB="0" distL="0" distR="0" wp14:anchorId="745C87B3" wp14:editId="3C163D86">
            <wp:extent cx="5943600" cy="3941233"/>
            <wp:effectExtent l="0" t="0" r="12700" b="8890"/>
            <wp:docPr id="4" name="Chart 4">
              <a:extLst xmlns:a="http://schemas.openxmlformats.org/drawingml/2006/main">
                <a:ext uri="{FF2B5EF4-FFF2-40B4-BE49-F238E27FC236}">
                  <a16:creationId xmlns:a16="http://schemas.microsoft.com/office/drawing/2014/main" id="{CDC337B0-B039-446F-AFAB-B144B2D77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EC2EBB" w14:textId="500D3397" w:rsidR="00B261E0" w:rsidRDefault="551A77D0" w:rsidP="00483FFA">
      <w:pPr>
        <w:pStyle w:val="Heading2"/>
        <w:numPr>
          <w:ilvl w:val="1"/>
          <w:numId w:val="26"/>
        </w:numPr>
      </w:pPr>
      <w:bookmarkStart w:id="54" w:name="_Toc27472678"/>
      <w:bookmarkStart w:id="55" w:name="_Toc27472679"/>
      <w:bookmarkStart w:id="56" w:name="_Toc27472680"/>
      <w:bookmarkEnd w:id="54"/>
      <w:bookmarkEnd w:id="55"/>
      <w:r w:rsidRPr="551A77D0">
        <w:lastRenderedPageBreak/>
        <w:t>Financial Impacts</w:t>
      </w:r>
      <w:bookmarkEnd w:id="56"/>
    </w:p>
    <w:p w14:paraId="4F6C2C45" w14:textId="1152228F" w:rsidR="00E14F94" w:rsidRDefault="006B675D" w:rsidP="00D328BD">
      <w:pPr>
        <w:rPr>
          <w:bCs/>
          <w:i/>
        </w:rPr>
      </w:pPr>
      <w:r w:rsidRPr="00EC12A1">
        <w:t>Below are the financial results of the analysis for each scenario. For a detailed explanation of each result, please see the glossary.</w:t>
      </w:r>
    </w:p>
    <w:p w14:paraId="09347CCA" w14:textId="38CA1A28" w:rsidR="00492F5E" w:rsidRPr="00492F5E" w:rsidRDefault="00492F5E" w:rsidP="00EB247F">
      <w:pPr>
        <w:pStyle w:val="Caption"/>
        <w:jc w:val="center"/>
        <w:rPr>
          <w:i w:val="0"/>
          <w:iCs w:val="0"/>
        </w:rPr>
      </w:pPr>
      <w:bookmarkStart w:id="57" w:name="_Toc18543336"/>
      <w:r>
        <w:t xml:space="preserve">Table </w:t>
      </w:r>
      <w:r w:rsidR="00304B72">
        <w:fldChar w:fldCharType="begin"/>
      </w:r>
      <w:r w:rsidR="00304B72">
        <w:instrText xml:space="preserve"> STYLEREF 1 \s </w:instrText>
      </w:r>
      <w:r w:rsidR="00304B72">
        <w:fldChar w:fldCharType="separate"/>
      </w:r>
      <w:r w:rsidRPr="551A77D0">
        <w:t>3</w:t>
      </w:r>
      <w:r w:rsidR="00304B72">
        <w:fldChar w:fldCharType="end"/>
      </w:r>
      <w:r>
        <w:t>.</w:t>
      </w:r>
      <w:r w:rsidR="00304B72">
        <w:fldChar w:fldCharType="begin"/>
      </w:r>
      <w:r w:rsidR="00304B72">
        <w:instrText xml:space="preserve"> SEQ Table \* ARABIC \s 1 </w:instrText>
      </w:r>
      <w:r w:rsidR="00304B72">
        <w:fldChar w:fldCharType="separate"/>
      </w:r>
      <w:r w:rsidRPr="551A77D0">
        <w:t>4</w:t>
      </w:r>
      <w:r w:rsidR="00304B72">
        <w:fldChar w:fldCharType="end"/>
      </w:r>
      <w:r>
        <w:t xml:space="preserve"> Financial Impacts</w:t>
      </w:r>
      <w:bookmarkEnd w:id="57"/>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348"/>
        <w:gridCol w:w="1450"/>
        <w:gridCol w:w="2119"/>
      </w:tblGrid>
      <w:tr w:rsidR="006B675D" w:rsidRPr="006B675D" w14:paraId="02CA9FB7" w14:textId="77777777" w:rsidTr="00D3523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AD4CF8">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AD4CF8">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D3523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AD4CF8">
            <w:pPr>
              <w:spacing w:after="0" w:line="240" w:lineRule="auto"/>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6B675D" w:rsidRPr="006B675D" w14:paraId="2CCDE781" w14:textId="77777777" w:rsidTr="006B675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6B675D" w:rsidRPr="006B675D" w:rsidRDefault="006B675D" w:rsidP="00AD4CF8">
            <w:pPr>
              <w:spacing w:after="0" w:line="240" w:lineRule="auto"/>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6D97A36E"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r w:rsidR="0043664F">
              <w:rPr>
                <w:rFonts w:eastAsia="Times New Roman" w:cstheme="minorHAnsi"/>
                <w:sz w:val="20"/>
                <w:szCs w:val="20"/>
                <w:lang w:eastAsia="zh-CN"/>
              </w:rPr>
              <w:t>2,065</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6D65A8F8"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r w:rsidR="0043664F">
              <w:rPr>
                <w:rFonts w:eastAsia="Times New Roman" w:cstheme="minorHAnsi"/>
                <w:sz w:val="20"/>
                <w:szCs w:val="20"/>
                <w:lang w:eastAsia="zh-CN"/>
              </w:rPr>
              <w:t>88.15</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9B277B" w14:textId="3BF598CC"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A6EF3" w14:textId="57F399C2"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C23F1" w14:textId="375E848A"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403F6C" w14:textId="400F6C89"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r>
      <w:tr w:rsidR="006B675D" w:rsidRPr="006B675D" w14:paraId="6C3482B4" w14:textId="77777777" w:rsidTr="006B675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6B675D" w:rsidRPr="006B675D" w:rsidRDefault="006B675D" w:rsidP="00AD4CF8">
            <w:pPr>
              <w:spacing w:after="0" w:line="240" w:lineRule="auto"/>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32B376" w14:textId="70103597"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r w:rsidR="004D27DE">
              <w:rPr>
                <w:rFonts w:eastAsia="Times New Roman" w:cstheme="minorHAnsi"/>
                <w:sz w:val="20"/>
                <w:szCs w:val="20"/>
                <w:lang w:eastAsia="zh-CN"/>
              </w:rPr>
              <w:t>7,135</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1B939A" w14:textId="38E4D9AB"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r w:rsidR="004D27DE">
              <w:rPr>
                <w:rFonts w:eastAsia="Times New Roman" w:cstheme="minorHAnsi"/>
                <w:sz w:val="20"/>
                <w:szCs w:val="20"/>
                <w:lang w:eastAsia="zh-CN"/>
              </w:rPr>
              <w:t>25.47</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DFA5DB3" w14:textId="6B9116B8"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185B1" w14:textId="38217A45"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88678" w14:textId="775C726B"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47233A8" w14:textId="309E6C68"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r>
      <w:tr w:rsidR="006B675D" w:rsidRPr="006B675D" w14:paraId="76A27626" w14:textId="77777777" w:rsidTr="006B675D">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6B675D" w:rsidRPr="006B675D" w:rsidRDefault="006B675D" w:rsidP="00AD4CF8">
            <w:pPr>
              <w:spacing w:after="0" w:line="240" w:lineRule="auto"/>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3E7F39AE"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r w:rsidR="00F83B25">
              <w:rPr>
                <w:rFonts w:eastAsia="Times New Roman" w:cstheme="minorHAnsi"/>
                <w:sz w:val="20"/>
                <w:szCs w:val="20"/>
                <w:lang w:eastAsia="zh-CN"/>
              </w:rPr>
              <w:t>10,698</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96F6A9C" w14:textId="31D4A9C5"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r w:rsidR="00F83B25">
              <w:rPr>
                <w:rFonts w:eastAsia="Times New Roman" w:cstheme="minorHAnsi"/>
                <w:sz w:val="20"/>
                <w:szCs w:val="20"/>
                <w:lang w:eastAsia="zh-CN"/>
              </w:rPr>
              <w:t>25.23</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59EAAB" w14:textId="5DDE0D32"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434F2" w14:textId="2AAD12CE"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8BB69" w14:textId="4CB721EE"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14A8F5" w14:textId="289D9109" w:rsidR="006B675D" w:rsidRPr="006B675D" w:rsidRDefault="007E1720" w:rsidP="00AD4CF8">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r>
    </w:tbl>
    <w:p w14:paraId="7A5C0514" w14:textId="3FD1DD7D" w:rsidR="006B675D" w:rsidRPr="006B675D" w:rsidRDefault="006B675D" w:rsidP="007E1720">
      <w:pPr>
        <w:pStyle w:val="Caption"/>
      </w:pPr>
      <w:bookmarkStart w:id="58" w:name="_Toc524993435"/>
    </w:p>
    <w:p w14:paraId="638C27B6" w14:textId="14174A2C" w:rsidR="00F52595" w:rsidRDefault="551A77D0" w:rsidP="00277BCC">
      <w:pPr>
        <w:pStyle w:val="Heading1"/>
      </w:pPr>
      <w:bookmarkStart w:id="59" w:name="_Toc27472681"/>
      <w:bookmarkEnd w:id="58"/>
      <w:r>
        <w:t>Discussion</w:t>
      </w:r>
      <w:bookmarkEnd w:id="59"/>
    </w:p>
    <w:p w14:paraId="4DAD09E0" w14:textId="2B8FBC3D" w:rsidR="00A119DA" w:rsidRDefault="00A119DA" w:rsidP="00A119DA">
      <w:pPr>
        <w:spacing w:after="0"/>
        <w:ind w:firstLine="708"/>
        <w:rPr>
          <w:bCs/>
        </w:rPr>
      </w:pPr>
      <w:r>
        <w:rPr>
          <w:bCs/>
        </w:rPr>
        <w:t xml:space="preserve">Though the </w:t>
      </w:r>
      <w:r w:rsidR="007E1720">
        <w:rPr>
          <w:bCs/>
        </w:rPr>
        <w:t>REF</w:t>
      </w:r>
      <w:r>
        <w:rPr>
          <w:bCs/>
        </w:rPr>
        <w:t xml:space="preserve"> scenario is based on current adoption rates, it does not correlate to the trends of growth within the market. The </w:t>
      </w:r>
      <w:r w:rsidR="007E1720">
        <w:rPr>
          <w:bCs/>
        </w:rPr>
        <w:t xml:space="preserve">PDS </w:t>
      </w:r>
      <w:r>
        <w:rPr>
          <w:bCs/>
        </w:rPr>
        <w:t>scenario</w:t>
      </w:r>
      <w:r w:rsidR="00DA6842">
        <w:rPr>
          <w:bCs/>
        </w:rPr>
        <w:t>s</w:t>
      </w:r>
      <w:r>
        <w:rPr>
          <w:bCs/>
        </w:rPr>
        <w:t xml:space="preserve"> better represents the rate of growth in the production of bioplastics and continued investment from the producers of bioplastics, this growth is likely to continue. The high levels of market adoption in the later years of the </w:t>
      </w:r>
      <w:r w:rsidR="007E1720">
        <w:rPr>
          <w:bCs/>
        </w:rPr>
        <w:t xml:space="preserve">PDS </w:t>
      </w:r>
      <w:r>
        <w:rPr>
          <w:bCs/>
        </w:rPr>
        <w:t>scenario</w:t>
      </w:r>
      <w:r w:rsidR="00DA6842">
        <w:rPr>
          <w:bCs/>
        </w:rPr>
        <w:t>s</w:t>
      </w:r>
      <w:r>
        <w:rPr>
          <w:bCs/>
        </w:rPr>
        <w:t xml:space="preserve"> may require favorable policies in addition to higher prices for fossil resources but are conceivable given adequate feedstocks and production infrastructure. Plastics are not going away anytime soon and the volatility in the fossil fuel market suggests diversification into biological production would be a logical investment.</w:t>
      </w:r>
    </w:p>
    <w:p w14:paraId="4E34BFE0" w14:textId="4C860472" w:rsidR="00DA6842" w:rsidRDefault="00A119DA" w:rsidP="00A119DA">
      <w:pPr>
        <w:spacing w:after="0"/>
        <w:ind w:firstLine="708"/>
        <w:rPr>
          <w:bCs/>
        </w:rPr>
      </w:pPr>
      <w:r>
        <w:rPr>
          <w:bCs/>
        </w:rPr>
        <w:t xml:space="preserve">Bioplastics are nascent technologies and will continue to develop. As such, there are some areas of uncertainty regarding the model and room for improvement in future iterations. While there was quite a bit of literature dedicated to measuring the climate impacts of fossil plastics and bioplastics, there are many different types of bioplastics each with different feedstocks and production techniques. The current </w:t>
      </w:r>
      <w:r w:rsidR="00DA6842">
        <w:rPr>
          <w:bCs/>
        </w:rPr>
        <w:t xml:space="preserve">model </w:t>
      </w:r>
      <w:r>
        <w:rPr>
          <w:bCs/>
        </w:rPr>
        <w:t>consider</w:t>
      </w:r>
      <w:r w:rsidR="00DA6842">
        <w:rPr>
          <w:bCs/>
        </w:rPr>
        <w:t>s</w:t>
      </w:r>
      <w:r>
        <w:rPr>
          <w:bCs/>
        </w:rPr>
        <w:t xml:space="preserve"> different polymer type and </w:t>
      </w:r>
      <w:r w:rsidR="00DA6842">
        <w:rPr>
          <w:bCs/>
        </w:rPr>
        <w:t>categorizes the solution based on projected growth of biodegradable and non-biodegradable plastics</w:t>
      </w:r>
      <w:r>
        <w:rPr>
          <w:bCs/>
        </w:rPr>
        <w:t xml:space="preserve">. </w:t>
      </w:r>
      <w:r w:rsidR="00DA6842">
        <w:rPr>
          <w:bCs/>
        </w:rPr>
        <w:t xml:space="preserve">An interesting finding of this analysis is that as the biodegradable portion of the bioplastics market is projected to grow and eventually surpass non-biodegradable and “drop in” </w:t>
      </w:r>
      <w:r w:rsidR="00DA6842">
        <w:rPr>
          <w:bCs/>
        </w:rPr>
        <w:lastRenderedPageBreak/>
        <w:t xml:space="preserve">technologies such as </w:t>
      </w:r>
      <w:proofErr w:type="spellStart"/>
      <w:r w:rsidR="00DA6842">
        <w:rPr>
          <w:bCs/>
        </w:rPr>
        <w:t>BioPET</w:t>
      </w:r>
      <w:proofErr w:type="spellEnd"/>
      <w:r w:rsidR="00DA6842">
        <w:rPr>
          <w:bCs/>
        </w:rPr>
        <w:t xml:space="preserve">, </w:t>
      </w:r>
      <w:proofErr w:type="spellStart"/>
      <w:r w:rsidR="00DA6842">
        <w:rPr>
          <w:bCs/>
        </w:rPr>
        <w:t>BioPP</w:t>
      </w:r>
      <w:proofErr w:type="spellEnd"/>
      <w:r w:rsidR="00DA6842">
        <w:rPr>
          <w:bCs/>
        </w:rPr>
        <w:t xml:space="preserve">, etc., the biodegradable plastics on average actually have a higher carbon footprint, and additionally when end of life is considered, </w:t>
      </w:r>
      <w:r w:rsidR="00C165D8">
        <w:rPr>
          <w:bCs/>
        </w:rPr>
        <w:t xml:space="preserve">composting and degradation of these materials releases significant amounts of the carbon that was fixed in the material during feedstock growth. As these technologies continue to develop, therefore, it is important to continue to update carbon emissions estimates, as the growing sector of bioplastics seems to currently be the sector with more carbon emissions, but this may not continue to be the case as production scales and grows in efficiency. </w:t>
      </w:r>
    </w:p>
    <w:p w14:paraId="0260AEB8" w14:textId="3F233703" w:rsidR="00A119DA" w:rsidRDefault="00A119DA" w:rsidP="00A119DA">
      <w:pPr>
        <w:spacing w:after="0"/>
        <w:ind w:firstLine="708"/>
        <w:rPr>
          <w:bCs/>
        </w:rPr>
      </w:pPr>
      <w:r>
        <w:rPr>
          <w:bCs/>
        </w:rPr>
        <w:t>Additional work could also be done on a robust financial breakdown of plastic commodities and feedstock availability including a techno-economic analysis of bioplastics. Production models could also include more nuanced data regarding geographical production rates, recycling rates, and source reductions, even if they are already accounted for in the aggregate in this version of the model.</w:t>
      </w:r>
    </w:p>
    <w:p w14:paraId="105A5AA0" w14:textId="584ACCB0" w:rsidR="000D30DE" w:rsidRPr="00E813FC" w:rsidRDefault="00A119DA" w:rsidP="00E813FC">
      <w:pPr>
        <w:spacing w:after="0"/>
        <w:ind w:firstLine="708"/>
      </w:pPr>
      <w:r>
        <w:t xml:space="preserve">In conclusion, this analysis suggests that the bioplastics market can grow to replace a significant portion of traditional plastics while reducing climate emissions. Other factors such as feedstock development and end of life treatment, whether recycling, composting, </w:t>
      </w:r>
      <w:r w:rsidR="00F83B25">
        <w:t xml:space="preserve">energy generation, </w:t>
      </w:r>
      <w:r>
        <w:t xml:space="preserve">or landfilling, will play important roles in minimizing emissions throughout the life cycle of these products. </w:t>
      </w:r>
      <w:proofErr w:type="gramStart"/>
      <w:r>
        <w:t>Furthermore</w:t>
      </w:r>
      <w:proofErr w:type="gramEnd"/>
      <w:r>
        <w:t xml:space="preserve"> the reduction of demand for traditional plastics will decouple plastic markets from fossil fuel markets and will also make more fossil resources available for other uses. Tradeoffs must be considered as bioplastics grow to ensure an effort for marginal improvement in climate impacts does not result more significant localized impacts.</w:t>
      </w:r>
    </w:p>
    <w:p w14:paraId="7454D80C" w14:textId="24C3373C" w:rsidR="00434F61" w:rsidRDefault="551A77D0" w:rsidP="00277BCC">
      <w:pPr>
        <w:pStyle w:val="Heading1"/>
      </w:pPr>
      <w:bookmarkStart w:id="60" w:name="_Toc27472682"/>
      <w:r>
        <w:t>References</w:t>
      </w:r>
      <w:bookmarkEnd w:id="60"/>
    </w:p>
    <w:p w14:paraId="0F993024" w14:textId="4BEA7AC5" w:rsidR="007E6BA8" w:rsidRDefault="007E6BA8" w:rsidP="007E6BA8">
      <w:pPr>
        <w:widowControl w:val="0"/>
        <w:autoSpaceDE w:val="0"/>
        <w:autoSpaceDN w:val="0"/>
        <w:adjustRightInd w:val="0"/>
        <w:spacing w:after="0" w:line="240" w:lineRule="auto"/>
        <w:ind w:left="720" w:hanging="720"/>
        <w:rPr>
          <w:rFonts w:cs="Times New Roman"/>
        </w:rPr>
      </w:pPr>
      <w:r w:rsidRPr="00B31C92">
        <w:rPr>
          <w:rFonts w:cs="Times New Roman"/>
        </w:rPr>
        <w:t xml:space="preserve">Akiyama, M., </w:t>
      </w:r>
      <w:proofErr w:type="spellStart"/>
      <w:r w:rsidRPr="00B31C92">
        <w:rPr>
          <w:rFonts w:cs="Times New Roman"/>
        </w:rPr>
        <w:t>Tsuge</w:t>
      </w:r>
      <w:proofErr w:type="spellEnd"/>
      <w:r w:rsidRPr="00B31C92">
        <w:rPr>
          <w:rFonts w:cs="Times New Roman"/>
        </w:rPr>
        <w:t xml:space="preserve">, T., &amp; Doi, Y. (2003). Environmental life cycle comparison of </w:t>
      </w:r>
      <w:proofErr w:type="spellStart"/>
      <w:r w:rsidRPr="00B31C92">
        <w:rPr>
          <w:rFonts w:cs="Times New Roman"/>
        </w:rPr>
        <w:t>polyhydroxyalkanoates</w:t>
      </w:r>
      <w:proofErr w:type="spellEnd"/>
      <w:r w:rsidRPr="00B31C92">
        <w:rPr>
          <w:rFonts w:cs="Times New Roman"/>
        </w:rPr>
        <w:t xml:space="preserve"> produced from renewable carbon resources by bacterial fermentation. </w:t>
      </w:r>
      <w:r w:rsidRPr="00B31C92">
        <w:rPr>
          <w:rFonts w:cs="Times New Roman"/>
          <w:i/>
          <w:iCs/>
        </w:rPr>
        <w:t>Polymer Degradation and Stability</w:t>
      </w:r>
      <w:r w:rsidRPr="00B31C92">
        <w:rPr>
          <w:rFonts w:cs="Times New Roman"/>
        </w:rPr>
        <w:t xml:space="preserve">, </w:t>
      </w:r>
      <w:r w:rsidRPr="00B31C92">
        <w:rPr>
          <w:rFonts w:cs="Times New Roman"/>
          <w:i/>
          <w:iCs/>
        </w:rPr>
        <w:t>80</w:t>
      </w:r>
      <w:r w:rsidRPr="00B31C92">
        <w:rPr>
          <w:rFonts w:cs="Times New Roman"/>
        </w:rPr>
        <w:t xml:space="preserve">(1), 183–194. </w:t>
      </w:r>
      <w:hyperlink r:id="rId21" w:history="1">
        <w:r w:rsidR="00413BAC" w:rsidRPr="009466EC">
          <w:rPr>
            <w:rStyle w:val="Hyperlink"/>
            <w:rFonts w:cs="Times New Roman"/>
          </w:rPr>
          <w:t>http://doi.org/10.1016/S0141-3910(02)00400-7</w:t>
        </w:r>
      </w:hyperlink>
    </w:p>
    <w:p w14:paraId="6A227271" w14:textId="7C3E4784" w:rsidR="00413BAC" w:rsidRPr="00B31C92" w:rsidRDefault="00413BAC" w:rsidP="007E6BA8">
      <w:pPr>
        <w:widowControl w:val="0"/>
        <w:autoSpaceDE w:val="0"/>
        <w:autoSpaceDN w:val="0"/>
        <w:adjustRightInd w:val="0"/>
        <w:spacing w:after="0" w:line="240" w:lineRule="auto"/>
        <w:ind w:left="720" w:hanging="720"/>
        <w:rPr>
          <w:rFonts w:cs="Times New Roman"/>
        </w:rPr>
      </w:pPr>
      <w:r w:rsidRPr="00413BAC">
        <w:rPr>
          <w:rFonts w:cs="Times New Roman"/>
        </w:rPr>
        <w:t xml:space="preserve">Ashok, R. P., </w:t>
      </w:r>
      <w:proofErr w:type="spellStart"/>
      <w:r w:rsidRPr="00413BAC">
        <w:rPr>
          <w:rFonts w:cs="Times New Roman"/>
        </w:rPr>
        <w:t>Oinas</w:t>
      </w:r>
      <w:proofErr w:type="spellEnd"/>
      <w:r w:rsidRPr="00413BAC">
        <w:rPr>
          <w:rFonts w:cs="Times New Roman"/>
        </w:rPr>
        <w:t xml:space="preserve">, P., </w:t>
      </w:r>
      <w:proofErr w:type="spellStart"/>
      <w:r w:rsidRPr="00413BAC">
        <w:rPr>
          <w:rFonts w:cs="Times New Roman"/>
        </w:rPr>
        <w:t>Lintinen</w:t>
      </w:r>
      <w:proofErr w:type="spellEnd"/>
      <w:r w:rsidRPr="00413BAC">
        <w:rPr>
          <w:rFonts w:cs="Times New Roman"/>
        </w:rPr>
        <w:t xml:space="preserve">, K., Sarwar, G., </w:t>
      </w:r>
      <w:proofErr w:type="spellStart"/>
      <w:r w:rsidRPr="00413BAC">
        <w:rPr>
          <w:rFonts w:cs="Times New Roman"/>
        </w:rPr>
        <w:t>Kostiainen</w:t>
      </w:r>
      <w:proofErr w:type="spellEnd"/>
      <w:r w:rsidRPr="00413BAC">
        <w:rPr>
          <w:rFonts w:cs="Times New Roman"/>
        </w:rPr>
        <w:t xml:space="preserve">, M. A., &amp; </w:t>
      </w:r>
      <w:proofErr w:type="spellStart"/>
      <w:r w:rsidRPr="00413BAC">
        <w:rPr>
          <w:rFonts w:cs="Times New Roman"/>
        </w:rPr>
        <w:t>Österberg</w:t>
      </w:r>
      <w:proofErr w:type="spellEnd"/>
      <w:r w:rsidRPr="00413BAC">
        <w:rPr>
          <w:rFonts w:cs="Times New Roman"/>
        </w:rPr>
        <w:t>, M. (2018). Techno-economic assessment for the large-scale production of colloidal lignin particles. Green Chemistry, 20(21), 4911–4919. https://doi.org/10.1039/C8GC02805B</w:t>
      </w:r>
    </w:p>
    <w:p w14:paraId="02D899B7"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Babu</w:t>
      </w:r>
      <w:proofErr w:type="spellEnd"/>
      <w:r w:rsidRPr="00BE5DAB">
        <w:rPr>
          <w:rFonts w:cs="Times New Roman"/>
        </w:rPr>
        <w:t xml:space="preserve">, R. P., O’Connor, K., &amp; </w:t>
      </w:r>
      <w:proofErr w:type="spellStart"/>
      <w:r w:rsidRPr="00BE5DAB">
        <w:rPr>
          <w:rFonts w:cs="Times New Roman"/>
        </w:rPr>
        <w:t>Seeram</w:t>
      </w:r>
      <w:proofErr w:type="spellEnd"/>
      <w:r w:rsidRPr="00BE5DAB">
        <w:rPr>
          <w:rFonts w:cs="Times New Roman"/>
        </w:rPr>
        <w:t xml:space="preserve">, R. (2013). Current progress on bio-based polymers and their future trends. </w:t>
      </w:r>
      <w:r w:rsidRPr="00BE5DAB">
        <w:rPr>
          <w:rFonts w:cs="Times New Roman"/>
          <w:i/>
          <w:iCs/>
        </w:rPr>
        <w:t>Progress in Biomaterials</w:t>
      </w:r>
      <w:r w:rsidRPr="00BE5DAB">
        <w:rPr>
          <w:rFonts w:cs="Times New Roman"/>
        </w:rPr>
        <w:t xml:space="preserve">, </w:t>
      </w:r>
      <w:r w:rsidRPr="00BE5DAB">
        <w:rPr>
          <w:rFonts w:cs="Times New Roman"/>
          <w:i/>
          <w:iCs/>
        </w:rPr>
        <w:t>2</w:t>
      </w:r>
      <w:r w:rsidRPr="00BE5DAB">
        <w:rPr>
          <w:rFonts w:cs="Times New Roman"/>
        </w:rPr>
        <w:t>(1), 8. http://doi.org/10.1186/2194-0517-2-8</w:t>
      </w:r>
    </w:p>
    <w:p w14:paraId="4A8DC3A4"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Beilen</w:t>
      </w:r>
      <w:proofErr w:type="spellEnd"/>
      <w:r w:rsidRPr="00BE5DAB">
        <w:rPr>
          <w:rFonts w:cs="Times New Roman"/>
        </w:rPr>
        <w:t xml:space="preserve">, J. B. van, &amp; Poirier, Y. (2007). Prospects for Biopolymer Production in Plants. In A. </w:t>
      </w:r>
      <w:proofErr w:type="spellStart"/>
      <w:r w:rsidRPr="00BE5DAB">
        <w:rPr>
          <w:rFonts w:cs="Times New Roman"/>
        </w:rPr>
        <w:t>Fiechter</w:t>
      </w:r>
      <w:proofErr w:type="spellEnd"/>
      <w:r w:rsidRPr="00BE5DAB">
        <w:rPr>
          <w:rFonts w:cs="Times New Roman"/>
        </w:rPr>
        <w:t xml:space="preserve"> &amp; C. </w:t>
      </w:r>
      <w:proofErr w:type="spellStart"/>
      <w:r w:rsidRPr="00BE5DAB">
        <w:rPr>
          <w:rFonts w:cs="Times New Roman"/>
        </w:rPr>
        <w:t>Sautter</w:t>
      </w:r>
      <w:proofErr w:type="spellEnd"/>
      <w:r w:rsidRPr="00BE5DAB">
        <w:rPr>
          <w:rFonts w:cs="Times New Roman"/>
        </w:rPr>
        <w:t xml:space="preserve"> (Eds.), </w:t>
      </w:r>
      <w:r w:rsidRPr="00BE5DAB">
        <w:rPr>
          <w:rFonts w:cs="Times New Roman"/>
          <w:i/>
          <w:iCs/>
        </w:rPr>
        <w:t>Green Gene Technology</w:t>
      </w:r>
      <w:r w:rsidRPr="00BE5DAB">
        <w:rPr>
          <w:rFonts w:cs="Times New Roman"/>
        </w:rPr>
        <w:t xml:space="preserve"> (pp. 133–151). Springer Berlin Heidelberg. Retrieved from http://link.springer.com.ezproxy1.lib.asu.edu/chapter/10.1007/10_2007_056</w:t>
      </w:r>
    </w:p>
    <w:p w14:paraId="3B975355"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Bioplastics &amp; Biopolymers Market by Type (PHA, Bio PE, PLA, Bio PET) &amp; Application - 2018 | </w:t>
      </w:r>
      <w:proofErr w:type="spellStart"/>
      <w:r w:rsidRPr="00BE5DAB">
        <w:rPr>
          <w:rFonts w:cs="Times New Roman"/>
        </w:rPr>
        <w:t>MarketsandMarkets</w:t>
      </w:r>
      <w:proofErr w:type="spellEnd"/>
      <w:r w:rsidRPr="00BE5DAB">
        <w:rPr>
          <w:rFonts w:cs="Times New Roman"/>
        </w:rPr>
        <w:t>. (n.d.). Retrieved February 16, 2015, from http://www.marketsandmarkets.com/Market-Reports/biopolymers-bioplastics-market-88795240.html</w:t>
      </w:r>
    </w:p>
    <w:p w14:paraId="3764ABD0" w14:textId="4D27D97C"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Biron, M. (</w:t>
      </w:r>
      <w:r w:rsidR="00413BAC">
        <w:rPr>
          <w:rFonts w:cs="Times New Roman"/>
        </w:rPr>
        <w:t>2012</w:t>
      </w:r>
      <w:r w:rsidRPr="00BE5DAB">
        <w:rPr>
          <w:rFonts w:cs="Times New Roman"/>
        </w:rPr>
        <w:t xml:space="preserve">). Thermoplastics and Thermoplastic Composites - Michel Biron - Google Books. Retrieved February 26, 2015, from </w:t>
      </w:r>
      <w:hyperlink r:id="rId22" w:anchor="v=onepage&amp;q&amp;f=false" w:history="1">
        <w:r w:rsidR="00471FA5" w:rsidRPr="001A5608">
          <w:rPr>
            <w:rStyle w:val="Hyperlink"/>
            <w:rFonts w:cs="Times New Roman"/>
          </w:rPr>
          <w:t>https://books.google.com/books?id=BhlkvI9tossC&amp;pg=PA989&amp;lpg=PA989&amp;dq=biopolymer+price&amp;source=bl&amp;ots=lh8V46QEdG&amp;sig=7sHVNX8QXbFOmVPbbZ3rgVlLIGI&amp;hl=en&amp;sa=X&amp;ei</w:t>
        </w:r>
        <w:r w:rsidR="00471FA5" w:rsidRPr="001A5608">
          <w:rPr>
            <w:rStyle w:val="Hyperlink"/>
            <w:rFonts w:cs="Times New Roman"/>
          </w:rPr>
          <w:lastRenderedPageBreak/>
          <w:t>=AIvvVKSGFM7qoATK8IHgBA&amp;ved=0CDEQ6AEwBDgK#v=onepage&amp;q&amp;f=false</w:t>
        </w:r>
      </w:hyperlink>
      <w:r w:rsidR="00471FA5">
        <w:rPr>
          <w:rFonts w:cs="Times New Roman"/>
        </w:rPr>
        <w:t xml:space="preserve"> </w:t>
      </w:r>
    </w:p>
    <w:p w14:paraId="2C200C6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Braasch</w:t>
      </w:r>
      <w:proofErr w:type="spellEnd"/>
      <w:r w:rsidRPr="00BE5DAB">
        <w:rPr>
          <w:rFonts w:cs="Times New Roman"/>
        </w:rPr>
        <w:t xml:space="preserve">, G. (2015, March 9). RE: research question PLA </w:t>
      </w:r>
      <w:proofErr w:type="spellStart"/>
      <w:r w:rsidRPr="00BE5DAB">
        <w:rPr>
          <w:rFonts w:cs="Times New Roman"/>
        </w:rPr>
        <w:t>pricepoints</w:t>
      </w:r>
      <w:proofErr w:type="spellEnd"/>
      <w:r w:rsidRPr="00BE5DAB">
        <w:rPr>
          <w:rFonts w:cs="Times New Roman"/>
        </w:rPr>
        <w:t>.</w:t>
      </w:r>
    </w:p>
    <w:p w14:paraId="099D6C36" w14:textId="77777777" w:rsidR="00A44087" w:rsidRDefault="007E6BA8" w:rsidP="00A44087">
      <w:pPr>
        <w:widowControl w:val="0"/>
        <w:autoSpaceDE w:val="0"/>
        <w:autoSpaceDN w:val="0"/>
        <w:adjustRightInd w:val="0"/>
        <w:spacing w:after="0" w:line="240" w:lineRule="auto"/>
        <w:ind w:left="720" w:hanging="720"/>
        <w:rPr>
          <w:rFonts w:cs="Times New Roman"/>
        </w:rPr>
      </w:pPr>
      <w:r w:rsidRPr="00BE5DAB">
        <w:rPr>
          <w:rFonts w:cs="Times New Roman"/>
        </w:rPr>
        <w:t xml:space="preserve">Byrne, J. (n.d.). Price stabilization of bioplastics expected in 2015. Retrieved February 13, 2015, from </w:t>
      </w:r>
      <w:hyperlink r:id="rId23" w:history="1">
        <w:r w:rsidR="00A44087" w:rsidRPr="009466EC">
          <w:rPr>
            <w:rStyle w:val="Hyperlink"/>
            <w:rFonts w:cs="Times New Roman"/>
          </w:rPr>
          <w:t>http://www.foodproductiondaily.com/Packaging/Price-stabilization-of-bioplastics-expected-in-2015</w:t>
        </w:r>
      </w:hyperlink>
    </w:p>
    <w:p w14:paraId="15F3F1F2" w14:textId="1309D4E6" w:rsidR="00A44087" w:rsidRPr="00BE5DAB" w:rsidRDefault="00A44087" w:rsidP="00A44087">
      <w:pPr>
        <w:widowControl w:val="0"/>
        <w:autoSpaceDE w:val="0"/>
        <w:autoSpaceDN w:val="0"/>
        <w:adjustRightInd w:val="0"/>
        <w:spacing w:after="0" w:line="240" w:lineRule="auto"/>
        <w:ind w:left="720" w:hanging="720"/>
        <w:rPr>
          <w:rFonts w:cs="Times New Roman"/>
        </w:rPr>
      </w:pPr>
      <w:r>
        <w:t xml:space="preserve">Chen, G.-Q., &amp; Patel, M. K. (2012). Plastics Derived from Biological Sources: Present and Future: A Technical and Environmental Review. </w:t>
      </w:r>
      <w:r>
        <w:rPr>
          <w:i/>
          <w:iCs/>
        </w:rPr>
        <w:t>Chemical Reviews</w:t>
      </w:r>
      <w:r>
        <w:t xml:space="preserve">, </w:t>
      </w:r>
      <w:r>
        <w:rPr>
          <w:i/>
          <w:iCs/>
        </w:rPr>
        <w:t>112</w:t>
      </w:r>
      <w:r>
        <w:t xml:space="preserve">(4), 2082–2099. </w:t>
      </w:r>
      <w:hyperlink r:id="rId24" w:history="1">
        <w:r>
          <w:rPr>
            <w:rStyle w:val="Hyperlink"/>
          </w:rPr>
          <w:t>https://doi.org/10.1021/cr200162d</w:t>
        </w:r>
      </w:hyperlink>
    </w:p>
    <w:p w14:paraId="09C5CFB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Crank, M., Patel, M., </w:t>
      </w:r>
      <w:proofErr w:type="spellStart"/>
      <w:r w:rsidRPr="00BE5DAB">
        <w:rPr>
          <w:rFonts w:cs="Times New Roman"/>
        </w:rPr>
        <w:t>Marscheider-Weidemann</w:t>
      </w:r>
      <w:proofErr w:type="spellEnd"/>
      <w:r w:rsidRPr="00BE5DAB">
        <w:rPr>
          <w:rFonts w:cs="Times New Roman"/>
        </w:rPr>
        <w:t xml:space="preserve">, F., </w:t>
      </w:r>
      <w:proofErr w:type="spellStart"/>
      <w:r w:rsidRPr="00BE5DAB">
        <w:rPr>
          <w:rFonts w:cs="Times New Roman"/>
        </w:rPr>
        <w:t>Schleich</w:t>
      </w:r>
      <w:proofErr w:type="spellEnd"/>
      <w:r w:rsidRPr="00BE5DAB">
        <w:rPr>
          <w:rFonts w:cs="Times New Roman"/>
        </w:rPr>
        <w:t xml:space="preserve">, J., </w:t>
      </w:r>
      <w:proofErr w:type="spellStart"/>
      <w:r w:rsidRPr="00BE5DAB">
        <w:rPr>
          <w:rFonts w:cs="Times New Roman"/>
        </w:rPr>
        <w:t>Huesing</w:t>
      </w:r>
      <w:proofErr w:type="spellEnd"/>
      <w:r w:rsidRPr="00BE5DAB">
        <w:rPr>
          <w:rFonts w:cs="Times New Roman"/>
        </w:rPr>
        <w:t xml:space="preserve">, B., &amp; </w:t>
      </w:r>
      <w:proofErr w:type="spellStart"/>
      <w:r w:rsidRPr="00BE5DAB">
        <w:rPr>
          <w:rFonts w:cs="Times New Roman"/>
        </w:rPr>
        <w:t>Angerer</w:t>
      </w:r>
      <w:proofErr w:type="spellEnd"/>
      <w:r w:rsidRPr="00BE5DAB">
        <w:rPr>
          <w:rFonts w:cs="Times New Roman"/>
        </w:rPr>
        <w:t xml:space="preserve">, G. (2004). </w:t>
      </w:r>
      <w:r w:rsidRPr="00BE5DAB">
        <w:rPr>
          <w:rFonts w:cs="Times New Roman"/>
          <w:i/>
          <w:iCs/>
        </w:rPr>
        <w:t>Techno-economic feasibility of large-scale production of bio-based polymers in Europe (PRO-BIP). Final report</w:t>
      </w:r>
      <w:r w:rsidRPr="00BE5DAB">
        <w:rPr>
          <w:rFonts w:cs="Times New Roman"/>
        </w:rPr>
        <w:t>. Department of Science, Technology and Society NWS, Copernicus Institute, Utrecht University, Utrecht (Netherlands). Retrieved from http://inis.iaea.org/Search/search.aspx?orig_q=RN:37032239</w:t>
      </w:r>
    </w:p>
    <w:p w14:paraId="04BF28BB"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De Jong, E., Higson, A., Walsh, P., &amp; </w:t>
      </w:r>
      <w:proofErr w:type="spellStart"/>
      <w:r w:rsidRPr="00BE5DAB">
        <w:rPr>
          <w:rFonts w:cs="Times New Roman"/>
        </w:rPr>
        <w:t>Wellisch</w:t>
      </w:r>
      <w:proofErr w:type="spellEnd"/>
      <w:r w:rsidRPr="00BE5DAB">
        <w:rPr>
          <w:rFonts w:cs="Times New Roman"/>
        </w:rPr>
        <w:t xml:space="preserve">, M. (2012). Product developments in the bio-based chemicals arena. </w:t>
      </w:r>
      <w:r w:rsidRPr="00BE5DAB">
        <w:rPr>
          <w:rFonts w:cs="Times New Roman"/>
          <w:i/>
          <w:iCs/>
        </w:rPr>
        <w:t>Biofuels, Bioproducts and Biorefining</w:t>
      </w:r>
      <w:r w:rsidRPr="00BE5DAB">
        <w:rPr>
          <w:rFonts w:cs="Times New Roman"/>
        </w:rPr>
        <w:t xml:space="preserve">, </w:t>
      </w:r>
      <w:r w:rsidRPr="00BE5DAB">
        <w:rPr>
          <w:rFonts w:cs="Times New Roman"/>
          <w:i/>
          <w:iCs/>
        </w:rPr>
        <w:t>6</w:t>
      </w:r>
      <w:r w:rsidRPr="00BE5DAB">
        <w:rPr>
          <w:rFonts w:cs="Times New Roman"/>
        </w:rPr>
        <w:t>(6), 606–624. http://doi.org/10.1002/bbb.1360</w:t>
      </w:r>
    </w:p>
    <w:p w14:paraId="348A41B6" w14:textId="0830498F" w:rsidR="007E6BA8"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Dornburg</w:t>
      </w:r>
      <w:proofErr w:type="spellEnd"/>
      <w:r w:rsidRPr="00BE5DAB">
        <w:rPr>
          <w:rFonts w:cs="Times New Roman"/>
        </w:rPr>
        <w:t xml:space="preserve">, V., Lewandowski, I., &amp; Patel, M. (2003). Comparing the Land Requirements, Energy Savings, and Greenhouse Gas Emissions Reduction of </w:t>
      </w:r>
      <w:proofErr w:type="spellStart"/>
      <w:r w:rsidRPr="00BE5DAB">
        <w:rPr>
          <w:rFonts w:cs="Times New Roman"/>
        </w:rPr>
        <w:t>Biobased</w:t>
      </w:r>
      <w:proofErr w:type="spellEnd"/>
      <w:r w:rsidRPr="00BE5DAB">
        <w:rPr>
          <w:rFonts w:cs="Times New Roman"/>
        </w:rPr>
        <w:t xml:space="preserve"> Polymers and Bioenergy. </w:t>
      </w:r>
      <w:r w:rsidRPr="00BE5DAB">
        <w:rPr>
          <w:rFonts w:cs="Times New Roman"/>
          <w:i/>
          <w:iCs/>
        </w:rPr>
        <w:t>Journal of Industrial Ecology</w:t>
      </w:r>
      <w:r w:rsidRPr="00BE5DAB">
        <w:rPr>
          <w:rFonts w:cs="Times New Roman"/>
        </w:rPr>
        <w:t xml:space="preserve">, </w:t>
      </w:r>
      <w:r w:rsidRPr="00BE5DAB">
        <w:rPr>
          <w:rFonts w:cs="Times New Roman"/>
          <w:i/>
          <w:iCs/>
        </w:rPr>
        <w:t>7</w:t>
      </w:r>
      <w:r w:rsidRPr="00BE5DAB">
        <w:rPr>
          <w:rFonts w:cs="Times New Roman"/>
        </w:rPr>
        <w:t xml:space="preserve">(3-4), 93–116. </w:t>
      </w:r>
      <w:hyperlink r:id="rId25" w:history="1">
        <w:r w:rsidR="00BD4E64" w:rsidRPr="009466EC">
          <w:rPr>
            <w:rStyle w:val="Hyperlink"/>
            <w:rFonts w:cs="Times New Roman"/>
          </w:rPr>
          <w:t>http://doi.org/10.1162/108819803323059424</w:t>
        </w:r>
      </w:hyperlink>
    </w:p>
    <w:p w14:paraId="550E74E9" w14:textId="29DE57F3" w:rsidR="00BD4E64" w:rsidRPr="00BE5DAB" w:rsidRDefault="00BD4E64" w:rsidP="007E6BA8">
      <w:pPr>
        <w:widowControl w:val="0"/>
        <w:autoSpaceDE w:val="0"/>
        <w:autoSpaceDN w:val="0"/>
        <w:adjustRightInd w:val="0"/>
        <w:spacing w:after="0" w:line="240" w:lineRule="auto"/>
        <w:ind w:left="720" w:hanging="720"/>
        <w:rPr>
          <w:rFonts w:cs="Times New Roman"/>
        </w:rPr>
      </w:pPr>
      <w:r w:rsidRPr="00BD4E64">
        <w:rPr>
          <w:rFonts w:cs="Times New Roman"/>
        </w:rPr>
        <w:t>Ellen Macarthur Foundation. (2016). The New Plastics Economy.</w:t>
      </w:r>
    </w:p>
    <w:p w14:paraId="3707AA4D" w14:textId="76AC6F96" w:rsidR="007E6BA8"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European Bioplastics. (2013). </w:t>
      </w:r>
      <w:r w:rsidRPr="00BE5DAB">
        <w:rPr>
          <w:rFonts w:cs="Times New Roman"/>
          <w:i/>
          <w:iCs/>
        </w:rPr>
        <w:t>Bioplastics facts and figures</w:t>
      </w:r>
      <w:r w:rsidRPr="00BE5DAB">
        <w:rPr>
          <w:rFonts w:cs="Times New Roman"/>
        </w:rPr>
        <w:t>.</w:t>
      </w:r>
    </w:p>
    <w:p w14:paraId="5041BC6C" w14:textId="2C3068C5" w:rsidR="00BA2292" w:rsidRPr="00BE5DAB" w:rsidRDefault="00BA2292" w:rsidP="00BA2292">
      <w:pPr>
        <w:widowControl w:val="0"/>
        <w:autoSpaceDE w:val="0"/>
        <w:autoSpaceDN w:val="0"/>
        <w:adjustRightInd w:val="0"/>
        <w:spacing w:after="0" w:line="240" w:lineRule="auto"/>
        <w:ind w:left="720" w:hanging="720"/>
        <w:rPr>
          <w:rFonts w:cs="Times New Roman"/>
        </w:rPr>
      </w:pPr>
      <w:r w:rsidRPr="00BE5DAB">
        <w:rPr>
          <w:rFonts w:cs="Times New Roman"/>
        </w:rPr>
        <w:t>European Bioplastics. (201</w:t>
      </w:r>
      <w:r>
        <w:rPr>
          <w:rFonts w:cs="Times New Roman"/>
        </w:rPr>
        <w:t>8</w:t>
      </w:r>
      <w:r w:rsidRPr="00BE5DAB">
        <w:rPr>
          <w:rFonts w:cs="Times New Roman"/>
        </w:rPr>
        <w:t xml:space="preserve">). </w:t>
      </w:r>
      <w:r w:rsidRPr="00BE5DAB">
        <w:rPr>
          <w:rFonts w:cs="Times New Roman"/>
          <w:i/>
          <w:iCs/>
        </w:rPr>
        <w:t>Bioplastics facts and figures</w:t>
      </w:r>
      <w:r w:rsidRPr="00BE5DAB">
        <w:rPr>
          <w:rFonts w:cs="Times New Roman"/>
        </w:rPr>
        <w:t>.</w:t>
      </w:r>
    </w:p>
    <w:p w14:paraId="3C1D14E1"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Gerngross</w:t>
      </w:r>
      <w:proofErr w:type="spellEnd"/>
      <w:r w:rsidRPr="00BE5DAB">
        <w:rPr>
          <w:rFonts w:cs="Times New Roman"/>
        </w:rPr>
        <w:t xml:space="preserve">, T. U., &amp; Slater, S. C. (2000). How Green are Green Plastics? </w:t>
      </w:r>
      <w:r w:rsidRPr="00BE5DAB">
        <w:rPr>
          <w:rFonts w:cs="Times New Roman"/>
          <w:i/>
          <w:iCs/>
        </w:rPr>
        <w:t>Scientific American</w:t>
      </w:r>
      <w:r w:rsidRPr="00BE5DAB">
        <w:rPr>
          <w:rFonts w:cs="Times New Roman"/>
        </w:rPr>
        <w:t xml:space="preserve">, </w:t>
      </w:r>
      <w:r w:rsidRPr="00BE5DAB">
        <w:rPr>
          <w:rFonts w:cs="Times New Roman"/>
          <w:i/>
          <w:iCs/>
        </w:rPr>
        <w:t>283</w:t>
      </w:r>
      <w:r w:rsidRPr="00BE5DAB">
        <w:rPr>
          <w:rFonts w:cs="Times New Roman"/>
        </w:rPr>
        <w:t>(2), 36–41. http://doi.org/10.1038/scientificamerican0800-36</w:t>
      </w:r>
    </w:p>
    <w:p w14:paraId="42B6CB76"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Gironi</w:t>
      </w:r>
      <w:proofErr w:type="spellEnd"/>
      <w:r w:rsidRPr="00BE5DAB">
        <w:rPr>
          <w:rFonts w:cs="Times New Roman"/>
        </w:rPr>
        <w:t xml:space="preserve">, F., &amp; Piemonte, V. (2011). Bioplastics and Petroleum-based Plastics: Strengths and Weaknesses. </w:t>
      </w:r>
      <w:r w:rsidRPr="00BE5DAB">
        <w:rPr>
          <w:rFonts w:cs="Times New Roman"/>
          <w:i/>
          <w:iCs/>
        </w:rPr>
        <w:t>Energy Sources, Part A: Recovery, Utilization, and Environmental Effects</w:t>
      </w:r>
      <w:r w:rsidRPr="00BE5DAB">
        <w:rPr>
          <w:rFonts w:cs="Times New Roman"/>
        </w:rPr>
        <w:t xml:space="preserve">, </w:t>
      </w:r>
      <w:r w:rsidRPr="00BE5DAB">
        <w:rPr>
          <w:rFonts w:cs="Times New Roman"/>
          <w:i/>
          <w:iCs/>
        </w:rPr>
        <w:t>33</w:t>
      </w:r>
      <w:r w:rsidRPr="00BE5DAB">
        <w:rPr>
          <w:rFonts w:cs="Times New Roman"/>
        </w:rPr>
        <w:t>(21), 1949–1959. http://doi.org/10.1080/15567030903436830</w:t>
      </w:r>
    </w:p>
    <w:p w14:paraId="79A851E5"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Gironi</w:t>
      </w:r>
      <w:proofErr w:type="spellEnd"/>
      <w:r w:rsidRPr="00BE5DAB">
        <w:rPr>
          <w:rFonts w:cs="Times New Roman"/>
        </w:rPr>
        <w:t xml:space="preserve">, F., &amp; Piemonte, V. (2011). Life cycle assessment of polylactic acid and polyethylene terephthalate bottles for drinking water. </w:t>
      </w:r>
      <w:r w:rsidRPr="00BE5DAB">
        <w:rPr>
          <w:rFonts w:cs="Times New Roman"/>
          <w:i/>
          <w:iCs/>
        </w:rPr>
        <w:t>Environmental Progress &amp; Sustainable Energy</w:t>
      </w:r>
      <w:r w:rsidRPr="00BE5DAB">
        <w:rPr>
          <w:rFonts w:cs="Times New Roman"/>
        </w:rPr>
        <w:t xml:space="preserve">, </w:t>
      </w:r>
      <w:r w:rsidRPr="00BE5DAB">
        <w:rPr>
          <w:rFonts w:cs="Times New Roman"/>
          <w:i/>
          <w:iCs/>
        </w:rPr>
        <w:t>30</w:t>
      </w:r>
      <w:r w:rsidRPr="00BE5DAB">
        <w:rPr>
          <w:rFonts w:cs="Times New Roman"/>
        </w:rPr>
        <w:t>(3), 459–468. http://doi.org/10.1002/ep.10490</w:t>
      </w:r>
    </w:p>
    <w:p w14:paraId="495AAAD6"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Grande, J. (n.d.). Biopolymers Strive to Meet Price/Performance Challenge. </w:t>
      </w:r>
      <w:r w:rsidRPr="00BE5DAB">
        <w:rPr>
          <w:rFonts w:cs="Times New Roman"/>
          <w:i/>
          <w:iCs/>
        </w:rPr>
        <w:t>Plastics Technology</w:t>
      </w:r>
      <w:r w:rsidRPr="00BE5DAB">
        <w:rPr>
          <w:rFonts w:cs="Times New Roman"/>
        </w:rPr>
        <w:t>, (March 2007). Retrieved from http://www.ptonline.com/articles/biopolymers-strive-to-meet-price-performance-challenge</w:t>
      </w:r>
    </w:p>
    <w:p w14:paraId="3658BC45"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Groot, W. J., &amp; </w:t>
      </w:r>
      <w:proofErr w:type="spellStart"/>
      <w:r w:rsidRPr="00BE5DAB">
        <w:rPr>
          <w:rFonts w:cs="Times New Roman"/>
        </w:rPr>
        <w:t>Borén</w:t>
      </w:r>
      <w:proofErr w:type="spellEnd"/>
      <w:r w:rsidRPr="00BE5DAB">
        <w:rPr>
          <w:rFonts w:cs="Times New Roman"/>
        </w:rPr>
        <w:t xml:space="preserve">, T. (2010). Life cycle assessment of the manufacture of lactide and PLA biopolymers from sugarcane in Thailand. </w:t>
      </w:r>
      <w:r w:rsidRPr="00BE5DAB">
        <w:rPr>
          <w:rFonts w:cs="Times New Roman"/>
          <w:i/>
          <w:iCs/>
        </w:rPr>
        <w:t>The International Journal of Life Cycle Assessment</w:t>
      </w:r>
      <w:r w:rsidRPr="00BE5DAB">
        <w:rPr>
          <w:rFonts w:cs="Times New Roman"/>
        </w:rPr>
        <w:t xml:space="preserve">, </w:t>
      </w:r>
      <w:r w:rsidRPr="00BE5DAB">
        <w:rPr>
          <w:rFonts w:cs="Times New Roman"/>
          <w:i/>
          <w:iCs/>
        </w:rPr>
        <w:t>15</w:t>
      </w:r>
      <w:r w:rsidRPr="00BE5DAB">
        <w:rPr>
          <w:rFonts w:cs="Times New Roman"/>
        </w:rPr>
        <w:t>(9), 970–984. http://doi.org/10.1007/s11367-010-0225-y</w:t>
      </w:r>
    </w:p>
    <w:p w14:paraId="053B6575"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Guo, M. (2012). LCA Case Studies of Starch-Based Foam. In </w:t>
      </w:r>
      <w:r w:rsidRPr="00BE5DAB">
        <w:rPr>
          <w:rFonts w:cs="Times New Roman"/>
          <w:i/>
          <w:iCs/>
        </w:rPr>
        <w:t>Life Cycle Assessment (LCA) of Light-Weight Eco-composites</w:t>
      </w:r>
      <w:r w:rsidRPr="00BE5DAB">
        <w:rPr>
          <w:rFonts w:cs="Times New Roman"/>
        </w:rPr>
        <w:t xml:space="preserve"> (pp. 153–220). Springer Berlin Heidelberg. Retrieved from http://link.springer.com/chapter/10.1007/978-3-642-35037-5_4</w:t>
      </w:r>
    </w:p>
    <w:p w14:paraId="52AFEA6E" w14:textId="7EDDBB0F"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Guzman, D. de. (</w:t>
      </w:r>
      <w:r w:rsidR="00413BAC">
        <w:rPr>
          <w:rFonts w:cs="Times New Roman"/>
        </w:rPr>
        <w:t>2012</w:t>
      </w:r>
      <w:r w:rsidRPr="00BE5DAB">
        <w:rPr>
          <w:rFonts w:cs="Times New Roman"/>
        </w:rPr>
        <w:t xml:space="preserve">). PHA bioplastic update. Retrieved from </w:t>
      </w:r>
      <w:hyperlink r:id="rId26" w:history="1">
        <w:r w:rsidR="00413BAC" w:rsidRPr="009466EC">
          <w:rPr>
            <w:rStyle w:val="Hyperlink"/>
            <w:rFonts w:cs="Times New Roman"/>
          </w:rPr>
          <w:t>http://greenchemicalsblog.com/2012/11/11/pha-bioplastic-update/</w:t>
        </w:r>
      </w:hyperlink>
      <w:r w:rsidR="00413BAC">
        <w:rPr>
          <w:rFonts w:cs="Times New Roman"/>
        </w:rPr>
        <w:t xml:space="preserve"> </w:t>
      </w:r>
    </w:p>
    <w:p w14:paraId="41C16F41"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Hermann, B. G., Blok, K., &amp; Patel, M. K. (2010). Twisting biomaterials around your little finger: environmental impacts of bio-based wrappings. </w:t>
      </w:r>
      <w:r w:rsidRPr="00BE5DAB">
        <w:rPr>
          <w:rFonts w:cs="Times New Roman"/>
          <w:i/>
          <w:iCs/>
        </w:rPr>
        <w:t>The International Journal of Life Cycle Assessment</w:t>
      </w:r>
      <w:r w:rsidRPr="00BE5DAB">
        <w:rPr>
          <w:rFonts w:cs="Times New Roman"/>
        </w:rPr>
        <w:t xml:space="preserve">, </w:t>
      </w:r>
      <w:r w:rsidRPr="00BE5DAB">
        <w:rPr>
          <w:rFonts w:cs="Times New Roman"/>
          <w:i/>
          <w:iCs/>
        </w:rPr>
        <w:t>15</w:t>
      </w:r>
      <w:r w:rsidRPr="00BE5DAB">
        <w:rPr>
          <w:rFonts w:cs="Times New Roman"/>
        </w:rPr>
        <w:t>(4), 346–358. http://doi.org/10.1007/s11367-010-0155-8</w:t>
      </w:r>
    </w:p>
    <w:p w14:paraId="34D5DCAB" w14:textId="014D5D71" w:rsidR="007E6BA8"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Hottle</w:t>
      </w:r>
      <w:proofErr w:type="spellEnd"/>
      <w:r w:rsidRPr="00BE5DAB">
        <w:rPr>
          <w:rFonts w:cs="Times New Roman"/>
        </w:rPr>
        <w:t xml:space="preserve">, T. A., </w:t>
      </w:r>
      <w:proofErr w:type="spellStart"/>
      <w:r w:rsidRPr="00BE5DAB">
        <w:rPr>
          <w:rFonts w:cs="Times New Roman"/>
        </w:rPr>
        <w:t>Bilec</w:t>
      </w:r>
      <w:proofErr w:type="spellEnd"/>
      <w:r w:rsidRPr="00BE5DAB">
        <w:rPr>
          <w:rFonts w:cs="Times New Roman"/>
        </w:rPr>
        <w:t xml:space="preserve">, M. M., &amp; Landis, A. E. (2013). Sustainability assessments of bio-based polymers. </w:t>
      </w:r>
      <w:r w:rsidRPr="00BE5DAB">
        <w:rPr>
          <w:rFonts w:cs="Times New Roman"/>
          <w:i/>
          <w:iCs/>
        </w:rPr>
        <w:t>Polymer Degradation and Stability</w:t>
      </w:r>
      <w:r w:rsidRPr="00BE5DAB">
        <w:rPr>
          <w:rFonts w:cs="Times New Roman"/>
        </w:rPr>
        <w:t xml:space="preserve">, </w:t>
      </w:r>
      <w:r w:rsidRPr="00BE5DAB">
        <w:rPr>
          <w:rFonts w:cs="Times New Roman"/>
          <w:i/>
          <w:iCs/>
        </w:rPr>
        <w:t>98</w:t>
      </w:r>
      <w:r w:rsidRPr="00BE5DAB">
        <w:rPr>
          <w:rFonts w:cs="Times New Roman"/>
        </w:rPr>
        <w:t xml:space="preserve">(9), 1898–1907. </w:t>
      </w:r>
      <w:hyperlink r:id="rId27" w:history="1">
        <w:r w:rsidR="00BA2292" w:rsidRPr="009466EC">
          <w:rPr>
            <w:rStyle w:val="Hyperlink"/>
            <w:rFonts w:cs="Times New Roman"/>
          </w:rPr>
          <w:t>http://doi.org/10.1016/j.polymdegradstab.2013.06.016</w:t>
        </w:r>
      </w:hyperlink>
    </w:p>
    <w:p w14:paraId="41EEDE6D" w14:textId="7B6C3752" w:rsidR="00BA2292" w:rsidRPr="00BE5DAB" w:rsidRDefault="00BA2292" w:rsidP="007E6BA8">
      <w:pPr>
        <w:widowControl w:val="0"/>
        <w:autoSpaceDE w:val="0"/>
        <w:autoSpaceDN w:val="0"/>
        <w:adjustRightInd w:val="0"/>
        <w:spacing w:after="0" w:line="240" w:lineRule="auto"/>
        <w:ind w:left="720" w:hanging="720"/>
        <w:rPr>
          <w:rFonts w:cs="Times New Roman"/>
        </w:rPr>
      </w:pPr>
      <w:proofErr w:type="spellStart"/>
      <w:r w:rsidRPr="00BA2292">
        <w:rPr>
          <w:rFonts w:cs="Times New Roman"/>
        </w:rPr>
        <w:t>IfBB</w:t>
      </w:r>
      <w:proofErr w:type="spellEnd"/>
      <w:r w:rsidRPr="00BA2292">
        <w:rPr>
          <w:rFonts w:cs="Times New Roman"/>
        </w:rPr>
        <w:t xml:space="preserve">. (2018). Biopolymers facts and statistics: 2018 production capacities, processing routes, feedstock, land and water use. Retrieved from Institute for Bioplastics and </w:t>
      </w:r>
      <w:proofErr w:type="spellStart"/>
      <w:r w:rsidRPr="00BA2292">
        <w:rPr>
          <w:rFonts w:cs="Times New Roman"/>
        </w:rPr>
        <w:t>Biocomposites</w:t>
      </w:r>
      <w:proofErr w:type="spellEnd"/>
      <w:r w:rsidRPr="00BA2292">
        <w:rPr>
          <w:rFonts w:cs="Times New Roman"/>
        </w:rPr>
        <w:t>, Hochschule Hannover website: https://www.ifbb-hannover.de/files/IfBB/downloads/faltblaetter_broschueren/Biopolymers-Facts-Statistics-</w:t>
      </w:r>
      <w:r w:rsidRPr="00BA2292">
        <w:rPr>
          <w:rFonts w:cs="Times New Roman"/>
        </w:rPr>
        <w:lastRenderedPageBreak/>
        <w:t>2018.pdf</w:t>
      </w:r>
    </w:p>
    <w:p w14:paraId="0B7F4D9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Iles, A., &amp; Martin, A. N. (2013). Expanding bioplastics production: sustainable business innovation in the chemical industry. </w:t>
      </w:r>
      <w:r w:rsidRPr="00BE5DAB">
        <w:rPr>
          <w:rFonts w:cs="Times New Roman"/>
          <w:i/>
          <w:iCs/>
        </w:rPr>
        <w:t>Journal of Cleaner Production</w:t>
      </w:r>
      <w:r w:rsidRPr="00BE5DAB">
        <w:rPr>
          <w:rFonts w:cs="Times New Roman"/>
        </w:rPr>
        <w:t xml:space="preserve">, </w:t>
      </w:r>
      <w:r w:rsidRPr="00BE5DAB">
        <w:rPr>
          <w:rFonts w:cs="Times New Roman"/>
          <w:i/>
          <w:iCs/>
        </w:rPr>
        <w:t>45</w:t>
      </w:r>
      <w:r w:rsidRPr="00BE5DAB">
        <w:rPr>
          <w:rFonts w:cs="Times New Roman"/>
        </w:rPr>
        <w:t>, 38–49. http://doi.org/10.1016/j.jclepro.2012.05.008</w:t>
      </w:r>
    </w:p>
    <w:p w14:paraId="2DD12A12"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Iwata, T. (2015). Biodegradable and Bio-Based Polymers: Future Prospects of Eco-Friendly Plastics. </w:t>
      </w:r>
      <w:proofErr w:type="spellStart"/>
      <w:r w:rsidRPr="00BE5DAB">
        <w:rPr>
          <w:rFonts w:cs="Times New Roman"/>
          <w:i/>
          <w:iCs/>
        </w:rPr>
        <w:t>Angewandte</w:t>
      </w:r>
      <w:proofErr w:type="spellEnd"/>
      <w:r w:rsidRPr="00BE5DAB">
        <w:rPr>
          <w:rFonts w:cs="Times New Roman"/>
          <w:i/>
          <w:iCs/>
        </w:rPr>
        <w:t xml:space="preserve"> </w:t>
      </w:r>
      <w:proofErr w:type="spellStart"/>
      <w:r w:rsidRPr="00BE5DAB">
        <w:rPr>
          <w:rFonts w:cs="Times New Roman"/>
          <w:i/>
          <w:iCs/>
        </w:rPr>
        <w:t>Chemie</w:t>
      </w:r>
      <w:proofErr w:type="spellEnd"/>
      <w:r w:rsidRPr="00BE5DAB">
        <w:rPr>
          <w:rFonts w:cs="Times New Roman"/>
          <w:i/>
          <w:iCs/>
        </w:rPr>
        <w:t xml:space="preserve"> International Edition</w:t>
      </w:r>
      <w:r w:rsidRPr="00BE5DAB">
        <w:rPr>
          <w:rFonts w:cs="Times New Roman"/>
        </w:rPr>
        <w:t>, n/a–n/a. http://doi.org/10.1002/anie.201410770</w:t>
      </w:r>
    </w:p>
    <w:p w14:paraId="4C47CA8E"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Joshi, S. (2008). Can Nanotechnology Improve the Sustainability of </w:t>
      </w:r>
      <w:proofErr w:type="spellStart"/>
      <w:r w:rsidRPr="00BE5DAB">
        <w:rPr>
          <w:rFonts w:cs="Times New Roman"/>
        </w:rPr>
        <w:t>Biobased</w:t>
      </w:r>
      <w:proofErr w:type="spellEnd"/>
      <w:r w:rsidRPr="00BE5DAB">
        <w:rPr>
          <w:rFonts w:cs="Times New Roman"/>
        </w:rPr>
        <w:t xml:space="preserve"> Products? </w:t>
      </w:r>
      <w:r w:rsidRPr="00BE5DAB">
        <w:rPr>
          <w:rFonts w:cs="Times New Roman"/>
          <w:i/>
          <w:iCs/>
        </w:rPr>
        <w:t>Journal of Industrial Ecology</w:t>
      </w:r>
      <w:r w:rsidRPr="00BE5DAB">
        <w:rPr>
          <w:rFonts w:cs="Times New Roman"/>
        </w:rPr>
        <w:t xml:space="preserve">, </w:t>
      </w:r>
      <w:r w:rsidRPr="00BE5DAB">
        <w:rPr>
          <w:rFonts w:cs="Times New Roman"/>
          <w:i/>
          <w:iCs/>
        </w:rPr>
        <w:t>12</w:t>
      </w:r>
      <w:r w:rsidRPr="00BE5DAB">
        <w:rPr>
          <w:rFonts w:cs="Times New Roman"/>
        </w:rPr>
        <w:t>(3), 474–489. http://doi.org/10.1111/j.1530-9290.2008.00039.x</w:t>
      </w:r>
    </w:p>
    <w:p w14:paraId="79329781"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Karpušenkaitė</w:t>
      </w:r>
      <w:proofErr w:type="spellEnd"/>
      <w:r w:rsidRPr="00BE5DAB">
        <w:rPr>
          <w:rFonts w:cs="Times New Roman"/>
        </w:rPr>
        <w:t xml:space="preserve">, A., &amp; </w:t>
      </w:r>
      <w:proofErr w:type="spellStart"/>
      <w:r w:rsidRPr="00BE5DAB">
        <w:rPr>
          <w:rFonts w:cs="Times New Roman"/>
        </w:rPr>
        <w:t>Varžinskas</w:t>
      </w:r>
      <w:proofErr w:type="spellEnd"/>
      <w:r w:rsidRPr="00BE5DAB">
        <w:rPr>
          <w:rFonts w:cs="Times New Roman"/>
        </w:rPr>
        <w:t xml:space="preserve">, V. (2014). Bioplastics: Development, Possibilities and Difficulties. </w:t>
      </w:r>
      <w:r w:rsidRPr="00BE5DAB">
        <w:rPr>
          <w:rFonts w:cs="Times New Roman"/>
          <w:i/>
          <w:iCs/>
        </w:rPr>
        <w:t>Environmental Research, Engineering and Management</w:t>
      </w:r>
      <w:r w:rsidRPr="00BE5DAB">
        <w:rPr>
          <w:rFonts w:cs="Times New Roman"/>
        </w:rPr>
        <w:t xml:space="preserve">, </w:t>
      </w:r>
      <w:r w:rsidRPr="00BE5DAB">
        <w:rPr>
          <w:rFonts w:cs="Times New Roman"/>
          <w:i/>
          <w:iCs/>
        </w:rPr>
        <w:t>68</w:t>
      </w:r>
      <w:r w:rsidRPr="00BE5DAB">
        <w:rPr>
          <w:rFonts w:cs="Times New Roman"/>
        </w:rPr>
        <w:t>(2). http://doi.org/10.5755/j01.erem.68.2.6777</w:t>
      </w:r>
    </w:p>
    <w:p w14:paraId="24EB1B9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Kendall, A. (2012). A life cycle assessment of biopolymer production from material recovery facility residuals. </w:t>
      </w:r>
      <w:r w:rsidRPr="00BE5DAB">
        <w:rPr>
          <w:rFonts w:cs="Times New Roman"/>
          <w:i/>
          <w:iCs/>
        </w:rPr>
        <w:t>Resources, Conservation and Recycling</w:t>
      </w:r>
      <w:r w:rsidRPr="00BE5DAB">
        <w:rPr>
          <w:rFonts w:cs="Times New Roman"/>
        </w:rPr>
        <w:t xml:space="preserve">, </w:t>
      </w:r>
      <w:r w:rsidRPr="00BE5DAB">
        <w:rPr>
          <w:rFonts w:cs="Times New Roman"/>
          <w:i/>
          <w:iCs/>
        </w:rPr>
        <w:t>61</w:t>
      </w:r>
      <w:r w:rsidRPr="00BE5DAB">
        <w:rPr>
          <w:rFonts w:cs="Times New Roman"/>
        </w:rPr>
        <w:t>, 69–74. http://doi.org/10.1016/j.resconrec.2012.01.008</w:t>
      </w:r>
    </w:p>
    <w:p w14:paraId="6A8F114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Khoo, H. H., &amp; Tan, R. B. H. (2010). Environmental impacts of conventional plastic and bio-based carrier bags. </w:t>
      </w:r>
      <w:r w:rsidRPr="00BE5DAB">
        <w:rPr>
          <w:rFonts w:cs="Times New Roman"/>
          <w:i/>
          <w:iCs/>
        </w:rPr>
        <w:t>The International Journal of Life Cycle Assessment</w:t>
      </w:r>
      <w:r w:rsidRPr="00BE5DAB">
        <w:rPr>
          <w:rFonts w:cs="Times New Roman"/>
        </w:rPr>
        <w:t xml:space="preserve">, </w:t>
      </w:r>
      <w:r w:rsidRPr="00BE5DAB">
        <w:rPr>
          <w:rFonts w:cs="Times New Roman"/>
          <w:i/>
          <w:iCs/>
        </w:rPr>
        <w:t>15</w:t>
      </w:r>
      <w:r w:rsidRPr="00BE5DAB">
        <w:rPr>
          <w:rFonts w:cs="Times New Roman"/>
        </w:rPr>
        <w:t>(4), 338–345. http://doi.org/10.1007/s11367-010-0163-8</w:t>
      </w:r>
    </w:p>
    <w:p w14:paraId="0D97AAD1"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Kim, S., &amp; Dale, B. (2004). Life Cycle Assessment Study of Biopolymers (</w:t>
      </w:r>
      <w:proofErr w:type="spellStart"/>
      <w:r w:rsidRPr="00BE5DAB">
        <w:rPr>
          <w:rFonts w:cs="Times New Roman"/>
        </w:rPr>
        <w:t>Polyhydroxyalkanoates</w:t>
      </w:r>
      <w:proofErr w:type="spellEnd"/>
      <w:r w:rsidRPr="00BE5DAB">
        <w:rPr>
          <w:rFonts w:cs="Times New Roman"/>
        </w:rPr>
        <w:t xml:space="preserve">) - Derived from No-Tilled Corn (11 pp). </w:t>
      </w:r>
      <w:r w:rsidRPr="00BE5DAB">
        <w:rPr>
          <w:rFonts w:cs="Times New Roman"/>
          <w:i/>
          <w:iCs/>
        </w:rPr>
        <w:t>The International Journal of Life Cycle Assessment</w:t>
      </w:r>
      <w:r w:rsidRPr="00BE5DAB">
        <w:rPr>
          <w:rFonts w:cs="Times New Roman"/>
        </w:rPr>
        <w:t xml:space="preserve">, </w:t>
      </w:r>
      <w:r w:rsidRPr="00BE5DAB">
        <w:rPr>
          <w:rFonts w:cs="Times New Roman"/>
          <w:i/>
          <w:iCs/>
        </w:rPr>
        <w:t>10</w:t>
      </w:r>
      <w:r w:rsidRPr="00BE5DAB">
        <w:rPr>
          <w:rFonts w:cs="Times New Roman"/>
        </w:rPr>
        <w:t>(3), 200–210. http://doi.org/10.1065/lca2004.08.171</w:t>
      </w:r>
    </w:p>
    <w:p w14:paraId="0E80C05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Kline-Group. (2014). </w:t>
      </w:r>
      <w:r w:rsidRPr="00BE5DAB">
        <w:rPr>
          <w:rFonts w:cs="Times New Roman"/>
          <w:i/>
          <w:iCs/>
        </w:rPr>
        <w:t>Biopolymers: Global Market Brief</w:t>
      </w:r>
      <w:r w:rsidRPr="00BE5DAB">
        <w:rPr>
          <w:rFonts w:cs="Times New Roman"/>
        </w:rPr>
        <w:t>. Retrieved from http://www.klinegroup.com/reports/biopolymers.asp</w:t>
      </w:r>
    </w:p>
    <w:p w14:paraId="7C60583E"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Kolstad, J. J., </w:t>
      </w:r>
      <w:proofErr w:type="spellStart"/>
      <w:r w:rsidRPr="00BE5DAB">
        <w:rPr>
          <w:rFonts w:cs="Times New Roman"/>
        </w:rPr>
        <w:t>Vink</w:t>
      </w:r>
      <w:proofErr w:type="spellEnd"/>
      <w:r w:rsidRPr="00BE5DAB">
        <w:rPr>
          <w:rFonts w:cs="Times New Roman"/>
        </w:rPr>
        <w:t xml:space="preserve">, E. T. H., De Wilde, B., &amp; </w:t>
      </w:r>
      <w:proofErr w:type="spellStart"/>
      <w:r w:rsidRPr="00BE5DAB">
        <w:rPr>
          <w:rFonts w:cs="Times New Roman"/>
        </w:rPr>
        <w:t>Debeer</w:t>
      </w:r>
      <w:proofErr w:type="spellEnd"/>
      <w:r w:rsidRPr="00BE5DAB">
        <w:rPr>
          <w:rFonts w:cs="Times New Roman"/>
        </w:rPr>
        <w:t xml:space="preserve">, L. (2012). Assessment of anaerobic degradation of </w:t>
      </w:r>
      <w:proofErr w:type="spellStart"/>
      <w:r w:rsidRPr="00BE5DAB">
        <w:rPr>
          <w:rFonts w:cs="Times New Roman"/>
        </w:rPr>
        <w:t>Ingeo</w:t>
      </w:r>
      <w:r w:rsidRPr="00BE5DAB">
        <w:rPr>
          <w:rFonts w:cs="Times New Roman"/>
          <w:vertAlign w:val="superscript"/>
        </w:rPr>
        <w:t>TM</w:t>
      </w:r>
      <w:proofErr w:type="spellEnd"/>
      <w:r w:rsidRPr="00BE5DAB">
        <w:rPr>
          <w:rFonts w:cs="Times New Roman"/>
        </w:rPr>
        <w:t xml:space="preserve"> polylactides under accelerated landfill conditions. </w:t>
      </w:r>
      <w:r w:rsidRPr="00BE5DAB">
        <w:rPr>
          <w:rFonts w:cs="Times New Roman"/>
          <w:i/>
          <w:iCs/>
        </w:rPr>
        <w:t>Polymer Degradation and Stability</w:t>
      </w:r>
      <w:r w:rsidRPr="00BE5DAB">
        <w:rPr>
          <w:rFonts w:cs="Times New Roman"/>
        </w:rPr>
        <w:t xml:space="preserve">, </w:t>
      </w:r>
      <w:r w:rsidRPr="00BE5DAB">
        <w:rPr>
          <w:rFonts w:cs="Times New Roman"/>
          <w:i/>
          <w:iCs/>
        </w:rPr>
        <w:t>97</w:t>
      </w:r>
      <w:r w:rsidRPr="00BE5DAB">
        <w:rPr>
          <w:rFonts w:cs="Times New Roman"/>
        </w:rPr>
        <w:t>(7), 1131–1141. http://doi.org/10.1016/j.polymdegradstab.2012.04.003</w:t>
      </w:r>
    </w:p>
    <w:p w14:paraId="17264607"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Lactic Acid Market &amp; Polylactic Acid Market by Application &amp; Geography - 2019 | </w:t>
      </w:r>
      <w:proofErr w:type="spellStart"/>
      <w:r w:rsidRPr="00BE5DAB">
        <w:rPr>
          <w:rFonts w:cs="Times New Roman"/>
        </w:rPr>
        <w:t>Marketsandmarkets</w:t>
      </w:r>
      <w:proofErr w:type="spellEnd"/>
      <w:r w:rsidRPr="00BE5DAB">
        <w:rPr>
          <w:rFonts w:cs="Times New Roman"/>
        </w:rPr>
        <w:t>. (n.d.). Retrieved February 25, 2015, from http://www.marketsandmarkets.com/Market-Reports/polylacticacid-387.html</w:t>
      </w:r>
    </w:p>
    <w:p w14:paraId="325925A1" w14:textId="6D853169" w:rsidR="007E6BA8"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Laszlo, C., &amp; Myers, M. (n.d.). </w:t>
      </w:r>
      <w:r w:rsidRPr="00BE5DAB">
        <w:rPr>
          <w:rFonts w:cs="Times New Roman"/>
          <w:i/>
          <w:iCs/>
        </w:rPr>
        <w:t>NATURE WORKS LLC</w:t>
      </w:r>
      <w:r w:rsidRPr="00BE5DAB">
        <w:rPr>
          <w:rFonts w:cs="Times New Roman"/>
        </w:rPr>
        <w:t xml:space="preserve">. </w:t>
      </w:r>
      <w:proofErr w:type="spellStart"/>
      <w:r w:rsidRPr="00BE5DAB">
        <w:rPr>
          <w:rFonts w:cs="Times New Roman"/>
        </w:rPr>
        <w:t>Weatherhead</w:t>
      </w:r>
      <w:proofErr w:type="spellEnd"/>
      <w:r w:rsidRPr="00BE5DAB">
        <w:rPr>
          <w:rFonts w:cs="Times New Roman"/>
        </w:rPr>
        <w:t xml:space="preserve"> School of Management at Case Western Reserve University.</w:t>
      </w:r>
    </w:p>
    <w:p w14:paraId="29C588E6" w14:textId="1F6394DA" w:rsidR="00BD4E64" w:rsidRPr="00BE5DAB" w:rsidRDefault="00BD4E64" w:rsidP="007E6BA8">
      <w:pPr>
        <w:widowControl w:val="0"/>
        <w:autoSpaceDE w:val="0"/>
        <w:autoSpaceDN w:val="0"/>
        <w:adjustRightInd w:val="0"/>
        <w:spacing w:after="0" w:line="240" w:lineRule="auto"/>
        <w:ind w:left="720" w:hanging="720"/>
        <w:rPr>
          <w:rFonts w:cs="Times New Roman"/>
        </w:rPr>
      </w:pPr>
      <w:r w:rsidRPr="00BD4E64">
        <w:rPr>
          <w:rFonts w:cs="Times New Roman"/>
        </w:rPr>
        <w:t>Lewis, K. (</w:t>
      </w:r>
      <w:r>
        <w:rPr>
          <w:rFonts w:cs="Times New Roman"/>
        </w:rPr>
        <w:t>2018</w:t>
      </w:r>
      <w:r w:rsidRPr="00BD4E64">
        <w:rPr>
          <w:rFonts w:cs="Times New Roman"/>
        </w:rPr>
        <w:t xml:space="preserve">). A New Industrial Revolution for Plastics. USDA </w:t>
      </w:r>
      <w:proofErr w:type="spellStart"/>
      <w:r w:rsidRPr="00BD4E64">
        <w:rPr>
          <w:rFonts w:cs="Times New Roman"/>
        </w:rPr>
        <w:t>BioPreferred</w:t>
      </w:r>
      <w:proofErr w:type="spellEnd"/>
      <w:r w:rsidRPr="00BD4E64">
        <w:rPr>
          <w:rFonts w:cs="Times New Roman"/>
        </w:rPr>
        <w:t xml:space="preserve"> Program in Biotechnology. Retrieved from https://www.usda.gov/media/blog/2018/09/19/new-industrial-revolution-plastics</w:t>
      </w:r>
    </w:p>
    <w:p w14:paraId="210555FA"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Mohan, A. M., &amp; Editor, S. (n.d.). Key trends driving bioplastics for packaging | Packaging World. Retrieved February 13, 2015, from http://www.packworld.com/sustainability/bioplastics/key-trends-driving-bioplastics-packaging</w:t>
      </w:r>
    </w:p>
    <w:p w14:paraId="64C00C0B" w14:textId="1B5E3BB1"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Mosko</w:t>
      </w:r>
      <w:proofErr w:type="spellEnd"/>
      <w:r w:rsidRPr="00BE5DAB">
        <w:rPr>
          <w:rFonts w:cs="Times New Roman"/>
        </w:rPr>
        <w:t>, S. (</w:t>
      </w:r>
      <w:r w:rsidR="00D20B5E">
        <w:rPr>
          <w:rFonts w:cs="Times New Roman"/>
        </w:rPr>
        <w:t>2012</w:t>
      </w:r>
      <w:r w:rsidRPr="00BE5DAB">
        <w:rPr>
          <w:rFonts w:cs="Times New Roman"/>
        </w:rPr>
        <w:t xml:space="preserve">). Bioplastics: Are They the Solution? Retrieved from </w:t>
      </w:r>
      <w:hyperlink r:id="rId28" w:history="1">
        <w:r w:rsidR="00D20B5E" w:rsidRPr="009466EC">
          <w:rPr>
            <w:rStyle w:val="Hyperlink"/>
            <w:rFonts w:cs="Times New Roman"/>
          </w:rPr>
          <w:t>https://sarahmosko.wordpress.com/2012/10/08/bioplastics-are-they-the-solution/</w:t>
        </w:r>
      </w:hyperlink>
      <w:r w:rsidR="00D20B5E">
        <w:rPr>
          <w:rFonts w:cs="Times New Roman"/>
        </w:rPr>
        <w:t xml:space="preserve"> </w:t>
      </w:r>
    </w:p>
    <w:p w14:paraId="369AF2F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Narayan, R. (2011). Carbon footprint of bioplastics using biocarbon content analysis and life-cycle assessment. </w:t>
      </w:r>
      <w:r w:rsidRPr="00BE5DAB">
        <w:rPr>
          <w:rFonts w:cs="Times New Roman"/>
          <w:i/>
          <w:iCs/>
        </w:rPr>
        <w:t>MRS Bulletin</w:t>
      </w:r>
      <w:r w:rsidRPr="00BE5DAB">
        <w:rPr>
          <w:rFonts w:cs="Times New Roman"/>
        </w:rPr>
        <w:t xml:space="preserve">, </w:t>
      </w:r>
      <w:r w:rsidRPr="00BE5DAB">
        <w:rPr>
          <w:rFonts w:cs="Times New Roman"/>
          <w:i/>
          <w:iCs/>
        </w:rPr>
        <w:t>36</w:t>
      </w:r>
      <w:r w:rsidRPr="00BE5DAB">
        <w:rPr>
          <w:rFonts w:cs="Times New Roman"/>
        </w:rPr>
        <w:t>(09), 716–721. http://doi.org/10.1557/mrs.2011.210</w:t>
      </w:r>
    </w:p>
    <w:p w14:paraId="7168AA73"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Patel, M., </w:t>
      </w:r>
      <w:proofErr w:type="spellStart"/>
      <w:r w:rsidRPr="00BE5DAB">
        <w:rPr>
          <w:rFonts w:cs="Times New Roman"/>
        </w:rPr>
        <w:t>Bastioli</w:t>
      </w:r>
      <w:proofErr w:type="spellEnd"/>
      <w:r w:rsidRPr="00BE5DAB">
        <w:rPr>
          <w:rFonts w:cs="Times New Roman"/>
        </w:rPr>
        <w:t xml:space="preserve">, C., Marini, L., &amp; </w:t>
      </w:r>
      <w:proofErr w:type="spellStart"/>
      <w:r w:rsidRPr="00BE5DAB">
        <w:rPr>
          <w:rFonts w:cs="Times New Roman"/>
        </w:rPr>
        <w:t>Würdinger</w:t>
      </w:r>
      <w:proofErr w:type="spellEnd"/>
      <w:r w:rsidRPr="00BE5DAB">
        <w:rPr>
          <w:rFonts w:cs="Times New Roman"/>
        </w:rPr>
        <w:t xml:space="preserve">, E. (2005). Life-cycle Assessment of Bio-based Polymers and Natural Fiber Composites. In </w:t>
      </w:r>
      <w:r w:rsidRPr="00BE5DAB">
        <w:rPr>
          <w:rFonts w:cs="Times New Roman"/>
          <w:i/>
          <w:iCs/>
        </w:rPr>
        <w:t>Biopolymers Online</w:t>
      </w:r>
      <w:r w:rsidRPr="00BE5DAB">
        <w:rPr>
          <w:rFonts w:cs="Times New Roman"/>
        </w:rPr>
        <w:t xml:space="preserve">. Wiley-VCH Verlag GmbH &amp; Co. </w:t>
      </w:r>
      <w:proofErr w:type="spellStart"/>
      <w:r w:rsidRPr="00BE5DAB">
        <w:rPr>
          <w:rFonts w:cs="Times New Roman"/>
        </w:rPr>
        <w:t>KGaA</w:t>
      </w:r>
      <w:proofErr w:type="spellEnd"/>
      <w:r w:rsidRPr="00BE5DAB">
        <w:rPr>
          <w:rFonts w:cs="Times New Roman"/>
        </w:rPr>
        <w:t>. Retrieved from http://onlinelibrary.wiley.com/doi/10.1002/3527600035.bpola014/abstract</w:t>
      </w:r>
    </w:p>
    <w:p w14:paraId="7728CA6B" w14:textId="0924B7EA" w:rsidR="00A44087"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Patel, M., Crank, M., </w:t>
      </w:r>
      <w:proofErr w:type="spellStart"/>
      <w:r w:rsidRPr="00BE5DAB">
        <w:rPr>
          <w:rFonts w:cs="Times New Roman"/>
        </w:rPr>
        <w:t>Dornburg</w:t>
      </w:r>
      <w:proofErr w:type="spellEnd"/>
      <w:r w:rsidRPr="00BE5DAB">
        <w:rPr>
          <w:rFonts w:cs="Times New Roman"/>
        </w:rPr>
        <w:t xml:space="preserve">, V., Hermann, B., Roes, L., </w:t>
      </w:r>
      <w:proofErr w:type="spellStart"/>
      <w:r w:rsidRPr="00BE5DAB">
        <w:rPr>
          <w:rFonts w:cs="Times New Roman"/>
        </w:rPr>
        <w:t>Husing</w:t>
      </w:r>
      <w:proofErr w:type="spellEnd"/>
      <w:r w:rsidRPr="00BE5DAB">
        <w:rPr>
          <w:rFonts w:cs="Times New Roman"/>
        </w:rPr>
        <w:t xml:space="preserve">, B., … Elena, R. (2006). </w:t>
      </w:r>
      <w:r w:rsidRPr="00BE5DAB">
        <w:rPr>
          <w:rFonts w:cs="Times New Roman"/>
          <w:i/>
          <w:iCs/>
        </w:rPr>
        <w:t>Medium and long-term opportunities and risks of the biotechnological production of bulk chemicals from renewable resources - The BREW Project</w:t>
      </w:r>
      <w:r w:rsidRPr="00BE5DAB">
        <w:rPr>
          <w:rFonts w:cs="Times New Roman"/>
        </w:rPr>
        <w:t xml:space="preserve">. European </w:t>
      </w:r>
      <w:proofErr w:type="spellStart"/>
      <w:r w:rsidRPr="00BE5DAB">
        <w:rPr>
          <w:rFonts w:cs="Times New Roman"/>
        </w:rPr>
        <w:t>Commissions’s</w:t>
      </w:r>
      <w:proofErr w:type="spellEnd"/>
      <w:r w:rsidRPr="00BE5DAB">
        <w:rPr>
          <w:rFonts w:cs="Times New Roman"/>
        </w:rPr>
        <w:t xml:space="preserve"> GROWTH </w:t>
      </w:r>
      <w:proofErr w:type="spellStart"/>
      <w:r w:rsidRPr="00BE5DAB">
        <w:rPr>
          <w:rFonts w:cs="Times New Roman"/>
        </w:rPr>
        <w:t>Programme</w:t>
      </w:r>
      <w:proofErr w:type="spellEnd"/>
      <w:r w:rsidRPr="00BE5DAB">
        <w:rPr>
          <w:rFonts w:cs="Times New Roman"/>
        </w:rPr>
        <w:t xml:space="preserve">. Retrieved from </w:t>
      </w:r>
      <w:hyperlink r:id="rId29" w:history="1">
        <w:r w:rsidR="00A44087" w:rsidRPr="009466EC">
          <w:rPr>
            <w:rStyle w:val="Hyperlink"/>
            <w:rFonts w:cs="Times New Roman"/>
          </w:rPr>
          <w:t>http://brew.geo.uu.nl/BREW_Final_Report_September_2006.pdf</w:t>
        </w:r>
      </w:hyperlink>
    </w:p>
    <w:p w14:paraId="6DCA6DC0" w14:textId="4927B2F9" w:rsidR="00A44087" w:rsidRPr="00A44087" w:rsidRDefault="00A44087" w:rsidP="00A44087">
      <w:pPr>
        <w:widowControl w:val="0"/>
        <w:autoSpaceDE w:val="0"/>
        <w:autoSpaceDN w:val="0"/>
        <w:adjustRightInd w:val="0"/>
        <w:spacing w:after="0" w:line="240" w:lineRule="auto"/>
        <w:ind w:left="720" w:hanging="720"/>
      </w:pPr>
      <w:r>
        <w:t xml:space="preserve">PE Americas. (2009). </w:t>
      </w:r>
      <w:r>
        <w:rPr>
          <w:i/>
          <w:iCs/>
        </w:rPr>
        <w:t xml:space="preserve">Comparative Life Cycle Assessment </w:t>
      </w:r>
      <w:proofErr w:type="spellStart"/>
      <w:r>
        <w:rPr>
          <w:i/>
          <w:iCs/>
        </w:rPr>
        <w:t>IngeoTM</w:t>
      </w:r>
      <w:proofErr w:type="spellEnd"/>
      <w:r>
        <w:rPr>
          <w:i/>
          <w:iCs/>
        </w:rPr>
        <w:t xml:space="preserve"> biopolymer, PET, and PP Drinking Cups</w:t>
      </w:r>
      <w:r>
        <w:t xml:space="preserve">. Retrieved from </w:t>
      </w:r>
      <w:hyperlink r:id="rId30" w:history="1">
        <w:r>
          <w:rPr>
            <w:rStyle w:val="Hyperlink"/>
          </w:rPr>
          <w:t>https://www.natureworksllc.com/~/media/Files/NatureWorks/What-is-Ingeo/Why-it-Matters/LCA/PEA_Cup_Lid_LCA_FullReport_ReviewStatement_121209_pdf.pdf?la=en</w:t>
        </w:r>
      </w:hyperlink>
    </w:p>
    <w:p w14:paraId="17718596" w14:textId="0B379136"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Philip, J. C., &amp; Ritchie, R. J. (2013). </w:t>
      </w:r>
      <w:proofErr w:type="spellStart"/>
      <w:r w:rsidRPr="00BE5DAB">
        <w:rPr>
          <w:rFonts w:cs="Times New Roman"/>
        </w:rPr>
        <w:t>Biobased</w:t>
      </w:r>
      <w:proofErr w:type="spellEnd"/>
      <w:r w:rsidRPr="00BE5DAB">
        <w:rPr>
          <w:rFonts w:cs="Times New Roman"/>
        </w:rPr>
        <w:t xml:space="preserve"> plastics in a </w:t>
      </w:r>
      <w:proofErr w:type="spellStart"/>
      <w:r w:rsidRPr="00BE5DAB">
        <w:rPr>
          <w:rFonts w:cs="Times New Roman"/>
        </w:rPr>
        <w:t>bioeconomy</w:t>
      </w:r>
      <w:proofErr w:type="spellEnd"/>
      <w:r w:rsidRPr="00BE5DAB">
        <w:rPr>
          <w:rFonts w:cs="Times New Roman"/>
        </w:rPr>
        <w:t xml:space="preserve">. </w:t>
      </w:r>
      <w:r w:rsidRPr="00BE5DAB">
        <w:rPr>
          <w:rFonts w:cs="Times New Roman"/>
          <w:i/>
          <w:iCs/>
        </w:rPr>
        <w:t>Trends in Biotechnology</w:t>
      </w:r>
      <w:r w:rsidRPr="00BE5DAB">
        <w:rPr>
          <w:rFonts w:cs="Times New Roman"/>
        </w:rPr>
        <w:t xml:space="preserve">, </w:t>
      </w:r>
      <w:r w:rsidRPr="00BE5DAB">
        <w:rPr>
          <w:rFonts w:cs="Times New Roman"/>
          <w:i/>
          <w:iCs/>
        </w:rPr>
        <w:t>31</w:t>
      </w:r>
      <w:r w:rsidRPr="00BE5DAB">
        <w:rPr>
          <w:rFonts w:cs="Times New Roman"/>
        </w:rPr>
        <w:t xml:space="preserve">(2), </w:t>
      </w:r>
      <w:r w:rsidRPr="00BE5DAB">
        <w:rPr>
          <w:rFonts w:cs="Times New Roman"/>
        </w:rPr>
        <w:lastRenderedPageBreak/>
        <w:t>65–67.</w:t>
      </w:r>
    </w:p>
    <w:p w14:paraId="791E972B"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Piemonte, V. (2011). Bioplastic Wastes: The Best Final Disposition for Energy Saving. </w:t>
      </w:r>
      <w:r w:rsidRPr="00BE5DAB">
        <w:rPr>
          <w:rFonts w:cs="Times New Roman"/>
          <w:i/>
          <w:iCs/>
        </w:rPr>
        <w:t>Journal of Polymers and the Environment</w:t>
      </w:r>
      <w:r w:rsidRPr="00BE5DAB">
        <w:rPr>
          <w:rFonts w:cs="Times New Roman"/>
        </w:rPr>
        <w:t xml:space="preserve">, </w:t>
      </w:r>
      <w:r w:rsidRPr="00BE5DAB">
        <w:rPr>
          <w:rFonts w:cs="Times New Roman"/>
          <w:i/>
          <w:iCs/>
        </w:rPr>
        <w:t>19</w:t>
      </w:r>
      <w:r w:rsidRPr="00BE5DAB">
        <w:rPr>
          <w:rFonts w:cs="Times New Roman"/>
        </w:rPr>
        <w:t>(4), 988–994. http://doi.org/10.1007/s10924-011-0343-z</w:t>
      </w:r>
    </w:p>
    <w:p w14:paraId="259A37FF"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Piemonte, V., &amp; </w:t>
      </w:r>
      <w:proofErr w:type="spellStart"/>
      <w:r w:rsidRPr="00BE5DAB">
        <w:rPr>
          <w:rFonts w:cs="Times New Roman"/>
        </w:rPr>
        <w:t>Gironi</w:t>
      </w:r>
      <w:proofErr w:type="spellEnd"/>
      <w:r w:rsidRPr="00BE5DAB">
        <w:rPr>
          <w:rFonts w:cs="Times New Roman"/>
        </w:rPr>
        <w:t xml:space="preserve">, F. (2011). Land-use change emissions: How green are the bioplastics? </w:t>
      </w:r>
      <w:r w:rsidRPr="00BE5DAB">
        <w:rPr>
          <w:rFonts w:cs="Times New Roman"/>
          <w:i/>
          <w:iCs/>
        </w:rPr>
        <w:t>Environmental Progress &amp; Sustainable Energy</w:t>
      </w:r>
      <w:r w:rsidRPr="00BE5DAB">
        <w:rPr>
          <w:rFonts w:cs="Times New Roman"/>
        </w:rPr>
        <w:t xml:space="preserve">, </w:t>
      </w:r>
      <w:r w:rsidRPr="00BE5DAB">
        <w:rPr>
          <w:rFonts w:cs="Times New Roman"/>
          <w:i/>
          <w:iCs/>
        </w:rPr>
        <w:t>30</w:t>
      </w:r>
      <w:r w:rsidRPr="00BE5DAB">
        <w:rPr>
          <w:rFonts w:cs="Times New Roman"/>
        </w:rPr>
        <w:t>(4), 685–691. http://doi.org/10.1002/ep.10518</w:t>
      </w:r>
    </w:p>
    <w:p w14:paraId="2862F05A"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Piemonte, V., &amp; </w:t>
      </w:r>
      <w:proofErr w:type="spellStart"/>
      <w:r w:rsidRPr="00BE5DAB">
        <w:rPr>
          <w:rFonts w:cs="Times New Roman"/>
        </w:rPr>
        <w:t>Gironi</w:t>
      </w:r>
      <w:proofErr w:type="spellEnd"/>
      <w:r w:rsidRPr="00BE5DAB">
        <w:rPr>
          <w:rFonts w:cs="Times New Roman"/>
        </w:rPr>
        <w:t xml:space="preserve">, F. (2012). Bioplastics and GHGs Saving: The Land Use Change (LUC) Emissions Issue. </w:t>
      </w:r>
      <w:r w:rsidRPr="00BE5DAB">
        <w:rPr>
          <w:rFonts w:cs="Times New Roman"/>
          <w:i/>
          <w:iCs/>
        </w:rPr>
        <w:t>Energy Sources, Part A: Recovery, Utilization, and Environmental Effects</w:t>
      </w:r>
      <w:r w:rsidRPr="00BE5DAB">
        <w:rPr>
          <w:rFonts w:cs="Times New Roman"/>
        </w:rPr>
        <w:t xml:space="preserve">, </w:t>
      </w:r>
      <w:r w:rsidRPr="00BE5DAB">
        <w:rPr>
          <w:rFonts w:cs="Times New Roman"/>
          <w:i/>
          <w:iCs/>
        </w:rPr>
        <w:t>34</w:t>
      </w:r>
      <w:r w:rsidRPr="00BE5DAB">
        <w:rPr>
          <w:rFonts w:cs="Times New Roman"/>
        </w:rPr>
        <w:t>(21), 1995–2003. http://doi.org/10.1080/15567036.2010.497797</w:t>
      </w:r>
    </w:p>
    <w:p w14:paraId="76AB87CE"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Razza</w:t>
      </w:r>
      <w:proofErr w:type="spellEnd"/>
      <w:r w:rsidRPr="00BE5DAB">
        <w:rPr>
          <w:rFonts w:cs="Times New Roman"/>
        </w:rPr>
        <w:t xml:space="preserve">, F., </w:t>
      </w:r>
      <w:proofErr w:type="spellStart"/>
      <w:r w:rsidRPr="00BE5DAB">
        <w:rPr>
          <w:rFonts w:cs="Times New Roman"/>
        </w:rPr>
        <w:t>Fieschi</w:t>
      </w:r>
      <w:proofErr w:type="spellEnd"/>
      <w:r w:rsidRPr="00BE5DAB">
        <w:rPr>
          <w:rFonts w:cs="Times New Roman"/>
        </w:rPr>
        <w:t xml:space="preserve">, M., </w:t>
      </w:r>
      <w:proofErr w:type="spellStart"/>
      <w:r w:rsidRPr="00BE5DAB">
        <w:rPr>
          <w:rFonts w:cs="Times New Roman"/>
        </w:rPr>
        <w:t>Innocenti</w:t>
      </w:r>
      <w:proofErr w:type="spellEnd"/>
      <w:r w:rsidRPr="00BE5DAB">
        <w:rPr>
          <w:rFonts w:cs="Times New Roman"/>
        </w:rPr>
        <w:t xml:space="preserve">, F. D., &amp; </w:t>
      </w:r>
      <w:proofErr w:type="spellStart"/>
      <w:r w:rsidRPr="00BE5DAB">
        <w:rPr>
          <w:rFonts w:cs="Times New Roman"/>
        </w:rPr>
        <w:t>Bastioli</w:t>
      </w:r>
      <w:proofErr w:type="spellEnd"/>
      <w:r w:rsidRPr="00BE5DAB">
        <w:rPr>
          <w:rFonts w:cs="Times New Roman"/>
        </w:rPr>
        <w:t xml:space="preserve">, C. (2009). Compostable cutlery and waste management: An LCA approach. </w:t>
      </w:r>
      <w:r w:rsidRPr="00BE5DAB">
        <w:rPr>
          <w:rFonts w:cs="Times New Roman"/>
          <w:i/>
          <w:iCs/>
        </w:rPr>
        <w:t>Waste Management</w:t>
      </w:r>
      <w:r w:rsidRPr="00BE5DAB">
        <w:rPr>
          <w:rFonts w:cs="Times New Roman"/>
        </w:rPr>
        <w:t xml:space="preserve">, </w:t>
      </w:r>
      <w:r w:rsidRPr="00BE5DAB">
        <w:rPr>
          <w:rFonts w:cs="Times New Roman"/>
          <w:i/>
          <w:iCs/>
        </w:rPr>
        <w:t>29</w:t>
      </w:r>
      <w:r w:rsidRPr="00BE5DAB">
        <w:rPr>
          <w:rFonts w:cs="Times New Roman"/>
        </w:rPr>
        <w:t>(4), 1424–1433. http://doi.org/10.1016/j.wasman.2008.08.021</w:t>
      </w:r>
    </w:p>
    <w:p w14:paraId="2D85E53F"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Razza</w:t>
      </w:r>
      <w:proofErr w:type="spellEnd"/>
      <w:r w:rsidRPr="00BE5DAB">
        <w:rPr>
          <w:rFonts w:cs="Times New Roman"/>
        </w:rPr>
        <w:t xml:space="preserve">, F., &amp; </w:t>
      </w:r>
      <w:proofErr w:type="spellStart"/>
      <w:r w:rsidRPr="00BE5DAB">
        <w:rPr>
          <w:rFonts w:cs="Times New Roman"/>
        </w:rPr>
        <w:t>Innocenti</w:t>
      </w:r>
      <w:proofErr w:type="spellEnd"/>
      <w:r w:rsidRPr="00BE5DAB">
        <w:rPr>
          <w:rFonts w:cs="Times New Roman"/>
        </w:rPr>
        <w:t xml:space="preserve">, F. D. (2012). Bioplastics from renewable resources: the benefits of biodegradability. </w:t>
      </w:r>
      <w:r w:rsidRPr="00BE5DAB">
        <w:rPr>
          <w:rFonts w:cs="Times New Roman"/>
          <w:i/>
          <w:iCs/>
        </w:rPr>
        <w:t>Asia-Pacific Journal of Chemical Engineering</w:t>
      </w:r>
      <w:r w:rsidRPr="00BE5DAB">
        <w:rPr>
          <w:rFonts w:cs="Times New Roman"/>
        </w:rPr>
        <w:t xml:space="preserve">, </w:t>
      </w:r>
      <w:r w:rsidRPr="00BE5DAB">
        <w:rPr>
          <w:rFonts w:cs="Times New Roman"/>
          <w:i/>
          <w:iCs/>
        </w:rPr>
        <w:t>7</w:t>
      </w:r>
      <w:r w:rsidRPr="00BE5DAB">
        <w:rPr>
          <w:rFonts w:cs="Times New Roman"/>
        </w:rPr>
        <w:t>, S301–S309. http://doi.org/10.1002/apj.1648</w:t>
      </w:r>
    </w:p>
    <w:p w14:paraId="04B85BA9"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Reddy, M. M., </w:t>
      </w:r>
      <w:proofErr w:type="spellStart"/>
      <w:r w:rsidRPr="00BE5DAB">
        <w:rPr>
          <w:rFonts w:cs="Times New Roman"/>
        </w:rPr>
        <w:t>Vivekanandhan</w:t>
      </w:r>
      <w:proofErr w:type="spellEnd"/>
      <w:r w:rsidRPr="00BE5DAB">
        <w:rPr>
          <w:rFonts w:cs="Times New Roman"/>
        </w:rPr>
        <w:t xml:space="preserve">, S., </w:t>
      </w:r>
      <w:proofErr w:type="spellStart"/>
      <w:r w:rsidRPr="00BE5DAB">
        <w:rPr>
          <w:rFonts w:cs="Times New Roman"/>
        </w:rPr>
        <w:t>Misra</w:t>
      </w:r>
      <w:proofErr w:type="spellEnd"/>
      <w:r w:rsidRPr="00BE5DAB">
        <w:rPr>
          <w:rFonts w:cs="Times New Roman"/>
        </w:rPr>
        <w:t xml:space="preserve">, M., Bhatia, S. K., &amp; Mohanty, A. K. (2013). </w:t>
      </w:r>
      <w:proofErr w:type="spellStart"/>
      <w:r w:rsidRPr="00BE5DAB">
        <w:rPr>
          <w:rFonts w:cs="Times New Roman"/>
        </w:rPr>
        <w:t>Biobased</w:t>
      </w:r>
      <w:proofErr w:type="spellEnd"/>
      <w:r w:rsidRPr="00BE5DAB">
        <w:rPr>
          <w:rFonts w:cs="Times New Roman"/>
        </w:rPr>
        <w:t xml:space="preserve"> plastics and </w:t>
      </w:r>
      <w:proofErr w:type="spellStart"/>
      <w:r w:rsidRPr="00BE5DAB">
        <w:rPr>
          <w:rFonts w:cs="Times New Roman"/>
        </w:rPr>
        <w:t>bionanocomposites</w:t>
      </w:r>
      <w:proofErr w:type="spellEnd"/>
      <w:r w:rsidRPr="00BE5DAB">
        <w:rPr>
          <w:rFonts w:cs="Times New Roman"/>
        </w:rPr>
        <w:t xml:space="preserve">: Current status and future opportunities. </w:t>
      </w:r>
      <w:r w:rsidRPr="00BE5DAB">
        <w:rPr>
          <w:rFonts w:cs="Times New Roman"/>
          <w:i/>
          <w:iCs/>
        </w:rPr>
        <w:t>Progress in Polymer Science</w:t>
      </w:r>
      <w:r w:rsidRPr="00BE5DAB">
        <w:rPr>
          <w:rFonts w:cs="Times New Roman"/>
        </w:rPr>
        <w:t xml:space="preserve">, </w:t>
      </w:r>
      <w:r w:rsidRPr="00BE5DAB">
        <w:rPr>
          <w:rFonts w:cs="Times New Roman"/>
          <w:i/>
          <w:iCs/>
        </w:rPr>
        <w:t>38</w:t>
      </w:r>
      <w:r w:rsidRPr="00BE5DAB">
        <w:rPr>
          <w:rFonts w:cs="Times New Roman"/>
        </w:rPr>
        <w:t>(10–11), 1653–1689. http://doi.org/10.1016/j.progpolymsci.2013.05.006</w:t>
      </w:r>
    </w:p>
    <w:p w14:paraId="2FA11798" w14:textId="2507029A" w:rsidR="007E6BA8"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Rochman</w:t>
      </w:r>
      <w:proofErr w:type="spellEnd"/>
      <w:r w:rsidRPr="00BE5DAB">
        <w:rPr>
          <w:rFonts w:cs="Times New Roman"/>
        </w:rPr>
        <w:t xml:space="preserve">, C. M., Browne, M. A., Halpern, B. S., </w:t>
      </w:r>
      <w:proofErr w:type="spellStart"/>
      <w:r w:rsidRPr="00BE5DAB">
        <w:rPr>
          <w:rFonts w:cs="Times New Roman"/>
        </w:rPr>
        <w:t>Hentschel</w:t>
      </w:r>
      <w:proofErr w:type="spellEnd"/>
      <w:r w:rsidRPr="00BE5DAB">
        <w:rPr>
          <w:rFonts w:cs="Times New Roman"/>
        </w:rPr>
        <w:t xml:space="preserve">, B. T., Hoh, E., </w:t>
      </w:r>
      <w:proofErr w:type="spellStart"/>
      <w:r w:rsidRPr="00BE5DAB">
        <w:rPr>
          <w:rFonts w:cs="Times New Roman"/>
        </w:rPr>
        <w:t>Karapanagioti</w:t>
      </w:r>
      <w:proofErr w:type="spellEnd"/>
      <w:r w:rsidRPr="00BE5DAB">
        <w:rPr>
          <w:rFonts w:cs="Times New Roman"/>
        </w:rPr>
        <w:t xml:space="preserve">, H. K., … Thompson, R. C. (2013). Policy: Classify plastic waste as hazardous. </w:t>
      </w:r>
      <w:r w:rsidRPr="00BE5DAB">
        <w:rPr>
          <w:rFonts w:cs="Times New Roman"/>
          <w:i/>
          <w:iCs/>
        </w:rPr>
        <w:t>Nature</w:t>
      </w:r>
      <w:r w:rsidRPr="00BE5DAB">
        <w:rPr>
          <w:rFonts w:cs="Times New Roman"/>
        </w:rPr>
        <w:t xml:space="preserve">, </w:t>
      </w:r>
      <w:r w:rsidRPr="00BE5DAB">
        <w:rPr>
          <w:rFonts w:cs="Times New Roman"/>
          <w:i/>
          <w:iCs/>
        </w:rPr>
        <w:t>494</w:t>
      </w:r>
      <w:r w:rsidRPr="00BE5DAB">
        <w:rPr>
          <w:rFonts w:cs="Times New Roman"/>
        </w:rPr>
        <w:t xml:space="preserve">(7436), 169–171. </w:t>
      </w:r>
      <w:hyperlink r:id="rId31" w:history="1">
        <w:r w:rsidR="00413BAC" w:rsidRPr="00413BAC">
          <w:rPr>
            <w:rStyle w:val="Hyperlink"/>
            <w:rFonts w:cs="Times New Roman"/>
          </w:rPr>
          <w:t>http://doi.org/10.1038/494169</w:t>
        </w:r>
        <w:r w:rsidR="00413BAC" w:rsidRPr="009466EC">
          <w:rPr>
            <w:rStyle w:val="Hyperlink"/>
            <w:rFonts w:cs="Times New Roman"/>
          </w:rPr>
          <w:t>a</w:t>
        </w:r>
      </w:hyperlink>
    </w:p>
    <w:p w14:paraId="082CD30A" w14:textId="0E0A2973" w:rsidR="00413BAC" w:rsidRPr="00BE5DAB" w:rsidRDefault="00413BAC" w:rsidP="007E6BA8">
      <w:pPr>
        <w:widowControl w:val="0"/>
        <w:autoSpaceDE w:val="0"/>
        <w:autoSpaceDN w:val="0"/>
        <w:adjustRightInd w:val="0"/>
        <w:spacing w:after="0" w:line="240" w:lineRule="auto"/>
        <w:ind w:left="720" w:hanging="720"/>
        <w:rPr>
          <w:rFonts w:cs="Times New Roman"/>
        </w:rPr>
      </w:pPr>
      <w:proofErr w:type="spellStart"/>
      <w:r w:rsidRPr="00413BAC">
        <w:rPr>
          <w:rFonts w:cs="Times New Roman"/>
        </w:rPr>
        <w:t>Rorrer</w:t>
      </w:r>
      <w:proofErr w:type="spellEnd"/>
      <w:r w:rsidRPr="00413BAC">
        <w:rPr>
          <w:rFonts w:cs="Times New Roman"/>
        </w:rPr>
        <w:t xml:space="preserve">, N. A., Nicholson, S., Carpenter, A., Biddy, M. J., </w:t>
      </w:r>
      <w:proofErr w:type="spellStart"/>
      <w:r w:rsidRPr="00413BAC">
        <w:rPr>
          <w:rFonts w:cs="Times New Roman"/>
        </w:rPr>
        <w:t>Grundl</w:t>
      </w:r>
      <w:proofErr w:type="spellEnd"/>
      <w:r w:rsidRPr="00413BAC">
        <w:rPr>
          <w:rFonts w:cs="Times New Roman"/>
        </w:rPr>
        <w:t>, N. J., &amp; Beckham, G. T. (2019). Combining Reclaimed PET with Bio-based Monomers Enables Plastics Upcycling. Joule, 3(4), 1006–1027. https://doi.org/10.1016/j.joule.2019.01.018</w:t>
      </w:r>
    </w:p>
    <w:p w14:paraId="5212FAB5"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Schut</w:t>
      </w:r>
      <w:proofErr w:type="spellEnd"/>
      <w:r w:rsidRPr="00BE5DAB">
        <w:rPr>
          <w:rFonts w:cs="Times New Roman"/>
        </w:rPr>
        <w:t xml:space="preserve">, J. (2007). Extruding Biopolymers: Packaging Reaps Cost Benefit of Going “Green.” </w:t>
      </w:r>
      <w:r w:rsidRPr="00BE5DAB">
        <w:rPr>
          <w:rFonts w:cs="Times New Roman"/>
          <w:i/>
          <w:iCs/>
        </w:rPr>
        <w:t>Plastics Technology</w:t>
      </w:r>
      <w:r w:rsidRPr="00BE5DAB">
        <w:rPr>
          <w:rFonts w:cs="Times New Roman"/>
        </w:rPr>
        <w:t>, (February 2007). Retrieved from http://www.ptonline.com/articles/extruding-biopolymers-packaging-reaps-cost-benefit-of-going-%27green%27</w:t>
      </w:r>
    </w:p>
    <w:p w14:paraId="3D28DF73"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Schut</w:t>
      </w:r>
      <w:proofErr w:type="spellEnd"/>
      <w:r w:rsidRPr="00BE5DAB">
        <w:rPr>
          <w:rFonts w:cs="Times New Roman"/>
        </w:rPr>
        <w:t xml:space="preserve">, J. (n.d.). Where is </w:t>
      </w:r>
      <w:proofErr w:type="spellStart"/>
      <w:r w:rsidRPr="00BE5DAB">
        <w:rPr>
          <w:rFonts w:cs="Times New Roman"/>
        </w:rPr>
        <w:t>Metabolix’s</w:t>
      </w:r>
      <w:proofErr w:type="spellEnd"/>
      <w:r w:rsidRPr="00BE5DAB">
        <w:rPr>
          <w:rFonts w:cs="Times New Roman"/>
        </w:rPr>
        <w:t xml:space="preserve"> PHA biopolymer? Retrieved from http://plasticsengineeringblog.com/2011/01/19/where-is-metabolix%e2%80%99s-pha-biopolymer/</w:t>
      </w:r>
    </w:p>
    <w:p w14:paraId="6411159E"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Shen, L., </w:t>
      </w:r>
      <w:proofErr w:type="spellStart"/>
      <w:r w:rsidRPr="00BE5DAB">
        <w:rPr>
          <w:rFonts w:cs="Times New Roman"/>
        </w:rPr>
        <w:t>Haufe</w:t>
      </w:r>
      <w:proofErr w:type="spellEnd"/>
      <w:r w:rsidRPr="00BE5DAB">
        <w:rPr>
          <w:rFonts w:cs="Times New Roman"/>
        </w:rPr>
        <w:t xml:space="preserve">, J., &amp; Patel, M. K. (2009). </w:t>
      </w:r>
      <w:r w:rsidRPr="00BE5DAB">
        <w:rPr>
          <w:rFonts w:cs="Times New Roman"/>
          <w:i/>
          <w:iCs/>
        </w:rPr>
        <w:t>Product overview and market projection of emerging bio-based plastics PRO-BIP 2009</w:t>
      </w:r>
      <w:r w:rsidRPr="00BE5DAB">
        <w:rPr>
          <w:rFonts w:cs="Times New Roman"/>
        </w:rPr>
        <w:t xml:space="preserve"> (No. 243). European Polysaccharide Network of Excellence (EPNOE) and European Bioplastics.</w:t>
      </w:r>
    </w:p>
    <w:p w14:paraId="7E773C3D" w14:textId="3B6B99DC" w:rsidR="007E6BA8"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Shen, L., &amp; Patel, M. K. (2008). Life Cycle Assessment of Polysaccharide Materials: A Review. </w:t>
      </w:r>
      <w:r w:rsidRPr="00BE5DAB">
        <w:rPr>
          <w:rFonts w:cs="Times New Roman"/>
          <w:i/>
          <w:iCs/>
        </w:rPr>
        <w:t>Journal of Polymers and the Environment</w:t>
      </w:r>
      <w:r w:rsidRPr="00BE5DAB">
        <w:rPr>
          <w:rFonts w:cs="Times New Roman"/>
        </w:rPr>
        <w:t xml:space="preserve">, </w:t>
      </w:r>
      <w:r w:rsidRPr="00BE5DAB">
        <w:rPr>
          <w:rFonts w:cs="Times New Roman"/>
          <w:i/>
          <w:iCs/>
        </w:rPr>
        <w:t>16</w:t>
      </w:r>
      <w:r w:rsidRPr="00BE5DAB">
        <w:rPr>
          <w:rFonts w:cs="Times New Roman"/>
        </w:rPr>
        <w:t xml:space="preserve">(2), 154–167. </w:t>
      </w:r>
      <w:hyperlink r:id="rId32" w:history="1">
        <w:r w:rsidR="00BD4E64" w:rsidRPr="009466EC">
          <w:rPr>
            <w:rStyle w:val="Hyperlink"/>
            <w:rFonts w:cs="Times New Roman"/>
          </w:rPr>
          <w:t>http://doi.org/10.1007/s10924-008-0092-9</w:t>
        </w:r>
      </w:hyperlink>
    </w:p>
    <w:p w14:paraId="3F4EFB4D" w14:textId="506F3572" w:rsidR="007E6BA8"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Shen, L., Worrell, E., &amp; Patel, M. (2010). Present and future development in plastics from biomass. </w:t>
      </w:r>
      <w:r w:rsidRPr="00BE5DAB">
        <w:rPr>
          <w:rFonts w:cs="Times New Roman"/>
          <w:i/>
          <w:iCs/>
        </w:rPr>
        <w:t>Biofuels, Bioproducts and Biorefining</w:t>
      </w:r>
      <w:r w:rsidRPr="00BE5DAB">
        <w:rPr>
          <w:rFonts w:cs="Times New Roman"/>
        </w:rPr>
        <w:t xml:space="preserve">, </w:t>
      </w:r>
      <w:r w:rsidRPr="00BE5DAB">
        <w:rPr>
          <w:rFonts w:cs="Times New Roman"/>
          <w:i/>
          <w:iCs/>
        </w:rPr>
        <w:t>4</w:t>
      </w:r>
      <w:r w:rsidRPr="00BE5DAB">
        <w:rPr>
          <w:rFonts w:cs="Times New Roman"/>
        </w:rPr>
        <w:t xml:space="preserve">(1), 25–40. </w:t>
      </w:r>
      <w:hyperlink r:id="rId33" w:history="1">
        <w:r w:rsidR="00A44087" w:rsidRPr="009466EC">
          <w:rPr>
            <w:rStyle w:val="Hyperlink"/>
            <w:rFonts w:cs="Times New Roman"/>
          </w:rPr>
          <w:t>http://doi.org/10.1002/bbb.189</w:t>
        </w:r>
      </w:hyperlink>
    </w:p>
    <w:p w14:paraId="6074FCA2" w14:textId="2609CD07" w:rsidR="00A44087" w:rsidRPr="00BE5DAB" w:rsidRDefault="00A44087" w:rsidP="007E6BA8">
      <w:pPr>
        <w:widowControl w:val="0"/>
        <w:autoSpaceDE w:val="0"/>
        <w:autoSpaceDN w:val="0"/>
        <w:adjustRightInd w:val="0"/>
        <w:spacing w:after="0" w:line="240" w:lineRule="auto"/>
        <w:ind w:left="720" w:hanging="720"/>
        <w:rPr>
          <w:rFonts w:cs="Times New Roman"/>
        </w:rPr>
      </w:pPr>
      <w:r w:rsidRPr="00A44087">
        <w:rPr>
          <w:rFonts w:cs="Times New Roman"/>
        </w:rPr>
        <w:t xml:space="preserve">Shen, L., Worrell, E., &amp; Patel, M. K. (2012). Comparing life cycle energy and GHG emissions of bio-based PET, recycled PET, PLA, and man-made </w:t>
      </w:r>
      <w:proofErr w:type="spellStart"/>
      <w:r w:rsidRPr="00A44087">
        <w:rPr>
          <w:rFonts w:cs="Times New Roman"/>
        </w:rPr>
        <w:t>cellulosics</w:t>
      </w:r>
      <w:proofErr w:type="spellEnd"/>
      <w:r w:rsidRPr="00A44087">
        <w:rPr>
          <w:rFonts w:cs="Times New Roman"/>
        </w:rPr>
        <w:t>: Modeling and Analysis: Comparing life-cycle energy and GHG emissions of bioproducts. Biofuels, Bioproducts and Biorefining, 6(6), 625–639. https://doi.org/10.1002/bbb.1368</w:t>
      </w:r>
    </w:p>
    <w:p w14:paraId="540B9EA6"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Smith, A. (1969, December 31). Global Plastics Market Will Grow at a Steady Rate of 5.3% from 2014 to 2020: Grand View Research, </w:t>
      </w:r>
      <w:proofErr w:type="spellStart"/>
      <w:r w:rsidRPr="00BE5DAB">
        <w:rPr>
          <w:rFonts w:cs="Times New Roman"/>
        </w:rPr>
        <w:t>inc.</w:t>
      </w:r>
      <w:proofErr w:type="spellEnd"/>
      <w:r w:rsidRPr="00BE5DAB">
        <w:rPr>
          <w:rFonts w:cs="Times New Roman"/>
        </w:rPr>
        <w:t xml:space="preserve"> Retrieved February 23, 2015, from http://www.benzinga.com/14/08/4795389/global-plastics-market-will-grow-at-a-steady-rate-of-5-3-from-2014-to-2020-grand-view-</w:t>
      </w:r>
    </w:p>
    <w:p w14:paraId="5CD232CD"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Smithers-Pira. (n.d.). </w:t>
      </w:r>
      <w:r w:rsidRPr="00BE5DAB">
        <w:rPr>
          <w:rFonts w:cs="Times New Roman"/>
          <w:i/>
          <w:iCs/>
        </w:rPr>
        <w:t>The Future of Bioplastics for Packaging to 2023</w:t>
      </w:r>
      <w:r w:rsidRPr="00BE5DAB">
        <w:rPr>
          <w:rFonts w:cs="Times New Roman"/>
        </w:rPr>
        <w:t>. Smithers Pira. Retrieved from https://www.smitherspira.com/products/market-reports/packaging/rigid-packaging/bioplastics-in-packaging</w:t>
      </w:r>
    </w:p>
    <w:p w14:paraId="06F3BCEA"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Snell, K. D., Singh, V., &amp; </w:t>
      </w:r>
      <w:proofErr w:type="spellStart"/>
      <w:r w:rsidRPr="00BE5DAB">
        <w:rPr>
          <w:rFonts w:cs="Times New Roman"/>
        </w:rPr>
        <w:t>Brumbley</w:t>
      </w:r>
      <w:proofErr w:type="spellEnd"/>
      <w:r w:rsidRPr="00BE5DAB">
        <w:rPr>
          <w:rFonts w:cs="Times New Roman"/>
        </w:rPr>
        <w:t xml:space="preserve">, S. M. (2015). Production of novel biopolymers in plants: recent technological advances and future prospects. </w:t>
      </w:r>
      <w:r w:rsidRPr="00BE5DAB">
        <w:rPr>
          <w:rFonts w:cs="Times New Roman"/>
          <w:i/>
          <w:iCs/>
        </w:rPr>
        <w:t>Current Opinion in Biotechnology</w:t>
      </w:r>
      <w:r w:rsidRPr="00BE5DAB">
        <w:rPr>
          <w:rFonts w:cs="Times New Roman"/>
        </w:rPr>
        <w:t xml:space="preserve">, </w:t>
      </w:r>
      <w:r w:rsidRPr="00BE5DAB">
        <w:rPr>
          <w:rFonts w:cs="Times New Roman"/>
          <w:i/>
          <w:iCs/>
        </w:rPr>
        <w:t>32</w:t>
      </w:r>
      <w:r w:rsidRPr="00BE5DAB">
        <w:rPr>
          <w:rFonts w:cs="Times New Roman"/>
        </w:rPr>
        <w:t>, 68–75. http://doi.org/10.1016/j.copbio.2014.11.005</w:t>
      </w:r>
    </w:p>
    <w:p w14:paraId="4FA319B3"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Suwanmanee</w:t>
      </w:r>
      <w:proofErr w:type="spellEnd"/>
      <w:r w:rsidRPr="00BE5DAB">
        <w:rPr>
          <w:rFonts w:cs="Times New Roman"/>
        </w:rPr>
        <w:t xml:space="preserve">, U., </w:t>
      </w:r>
      <w:proofErr w:type="spellStart"/>
      <w:r w:rsidRPr="00BE5DAB">
        <w:rPr>
          <w:rFonts w:cs="Times New Roman"/>
        </w:rPr>
        <w:t>Varabuntoonvit</w:t>
      </w:r>
      <w:proofErr w:type="spellEnd"/>
      <w:r w:rsidRPr="00BE5DAB">
        <w:rPr>
          <w:rFonts w:cs="Times New Roman"/>
        </w:rPr>
        <w:t xml:space="preserve">, V., </w:t>
      </w:r>
      <w:proofErr w:type="spellStart"/>
      <w:r w:rsidRPr="00BE5DAB">
        <w:rPr>
          <w:rFonts w:cs="Times New Roman"/>
        </w:rPr>
        <w:t>Chaiwutthinan</w:t>
      </w:r>
      <w:proofErr w:type="spellEnd"/>
      <w:r w:rsidRPr="00BE5DAB">
        <w:rPr>
          <w:rFonts w:cs="Times New Roman"/>
        </w:rPr>
        <w:t xml:space="preserve">, P., </w:t>
      </w:r>
      <w:proofErr w:type="spellStart"/>
      <w:r w:rsidRPr="00BE5DAB">
        <w:rPr>
          <w:rFonts w:cs="Times New Roman"/>
        </w:rPr>
        <w:t>Tajan</w:t>
      </w:r>
      <w:proofErr w:type="spellEnd"/>
      <w:r w:rsidRPr="00BE5DAB">
        <w:rPr>
          <w:rFonts w:cs="Times New Roman"/>
        </w:rPr>
        <w:t xml:space="preserve">, M., </w:t>
      </w:r>
      <w:proofErr w:type="spellStart"/>
      <w:r w:rsidRPr="00BE5DAB">
        <w:rPr>
          <w:rFonts w:cs="Times New Roman"/>
        </w:rPr>
        <w:t>Mungcharoen</w:t>
      </w:r>
      <w:proofErr w:type="spellEnd"/>
      <w:r w:rsidRPr="00BE5DAB">
        <w:rPr>
          <w:rFonts w:cs="Times New Roman"/>
        </w:rPr>
        <w:t xml:space="preserve">, T., &amp; </w:t>
      </w:r>
      <w:proofErr w:type="spellStart"/>
      <w:r w:rsidRPr="00BE5DAB">
        <w:rPr>
          <w:rFonts w:cs="Times New Roman"/>
        </w:rPr>
        <w:t>Leejarkpai</w:t>
      </w:r>
      <w:proofErr w:type="spellEnd"/>
      <w:r w:rsidRPr="00BE5DAB">
        <w:rPr>
          <w:rFonts w:cs="Times New Roman"/>
        </w:rPr>
        <w:t xml:space="preserve">, T. (2012). Life cycle assessment of single use thermoform boxes made from polystyrene (PS), </w:t>
      </w:r>
      <w:r w:rsidRPr="00BE5DAB">
        <w:rPr>
          <w:rFonts w:cs="Times New Roman"/>
        </w:rPr>
        <w:lastRenderedPageBreak/>
        <w:t xml:space="preserve">polylactic acid, (PLA), and PLA/starch: cradle to consumer gate. </w:t>
      </w:r>
      <w:r w:rsidRPr="00BE5DAB">
        <w:rPr>
          <w:rFonts w:cs="Times New Roman"/>
          <w:i/>
          <w:iCs/>
        </w:rPr>
        <w:t>The International Journal of Life Cycle Assessment</w:t>
      </w:r>
      <w:r w:rsidRPr="00BE5DAB">
        <w:rPr>
          <w:rFonts w:cs="Times New Roman"/>
        </w:rPr>
        <w:t xml:space="preserve">, </w:t>
      </w:r>
      <w:r w:rsidRPr="00BE5DAB">
        <w:rPr>
          <w:rFonts w:cs="Times New Roman"/>
          <w:i/>
          <w:iCs/>
        </w:rPr>
        <w:t>18</w:t>
      </w:r>
      <w:r w:rsidRPr="00BE5DAB">
        <w:rPr>
          <w:rFonts w:cs="Times New Roman"/>
        </w:rPr>
        <w:t>(2), 401–417. http://doi.org/10.1007/s11367-012-0479-7</w:t>
      </w:r>
    </w:p>
    <w:p w14:paraId="3F1DC6D0"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Tabone</w:t>
      </w:r>
      <w:proofErr w:type="spellEnd"/>
      <w:r w:rsidRPr="00BE5DAB">
        <w:rPr>
          <w:rFonts w:cs="Times New Roman"/>
        </w:rPr>
        <w:t xml:space="preserve">, M. D., </w:t>
      </w:r>
      <w:proofErr w:type="spellStart"/>
      <w:r w:rsidRPr="00BE5DAB">
        <w:rPr>
          <w:rFonts w:cs="Times New Roman"/>
        </w:rPr>
        <w:t>Cregg</w:t>
      </w:r>
      <w:proofErr w:type="spellEnd"/>
      <w:r w:rsidRPr="00BE5DAB">
        <w:rPr>
          <w:rFonts w:cs="Times New Roman"/>
        </w:rPr>
        <w:t xml:space="preserve">, J. J., Beckman, E. J., &amp; Landis, A. E. (2010). Sustainability Metrics: Life Cycle Assessment and Green Design in Polymers. </w:t>
      </w:r>
      <w:r w:rsidRPr="00BE5DAB">
        <w:rPr>
          <w:rFonts w:cs="Times New Roman"/>
          <w:i/>
          <w:iCs/>
        </w:rPr>
        <w:t>Environmental Science &amp; Technology</w:t>
      </w:r>
      <w:r w:rsidRPr="00BE5DAB">
        <w:rPr>
          <w:rFonts w:cs="Times New Roman"/>
        </w:rPr>
        <w:t xml:space="preserve">, </w:t>
      </w:r>
      <w:r w:rsidRPr="00BE5DAB">
        <w:rPr>
          <w:rFonts w:cs="Times New Roman"/>
          <w:i/>
          <w:iCs/>
        </w:rPr>
        <w:t>44</w:t>
      </w:r>
      <w:r w:rsidRPr="00BE5DAB">
        <w:rPr>
          <w:rFonts w:cs="Times New Roman"/>
        </w:rPr>
        <w:t>(21), 8264–8269. http://doi.org/10.1021/es101640n</w:t>
      </w:r>
    </w:p>
    <w:p w14:paraId="7460EAC8"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Tharanathan</w:t>
      </w:r>
      <w:proofErr w:type="spellEnd"/>
      <w:r w:rsidRPr="00BE5DAB">
        <w:rPr>
          <w:rFonts w:cs="Times New Roman"/>
        </w:rPr>
        <w:t xml:space="preserve">, R. N. (2003). Biodegradable films and composite coatings: past, present and future. </w:t>
      </w:r>
      <w:r w:rsidRPr="00BE5DAB">
        <w:rPr>
          <w:rFonts w:cs="Times New Roman"/>
          <w:i/>
          <w:iCs/>
        </w:rPr>
        <w:t>Trends in Food Science &amp; Technology</w:t>
      </w:r>
      <w:r w:rsidRPr="00BE5DAB">
        <w:rPr>
          <w:rFonts w:cs="Times New Roman"/>
        </w:rPr>
        <w:t xml:space="preserve">, </w:t>
      </w:r>
      <w:r w:rsidRPr="00BE5DAB">
        <w:rPr>
          <w:rFonts w:cs="Times New Roman"/>
          <w:i/>
          <w:iCs/>
        </w:rPr>
        <w:t>14</w:t>
      </w:r>
      <w:r w:rsidRPr="00BE5DAB">
        <w:rPr>
          <w:rFonts w:cs="Times New Roman"/>
        </w:rPr>
        <w:t>(3), 71–78. http://doi.org/10.1016/S0924-2244(02)00280-7</w:t>
      </w:r>
    </w:p>
    <w:p w14:paraId="451BF6F6"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USEPA. (2011). </w:t>
      </w:r>
      <w:r w:rsidRPr="00BE5DAB">
        <w:rPr>
          <w:rFonts w:cs="Times New Roman"/>
          <w:i/>
          <w:iCs/>
        </w:rPr>
        <w:t>Municipal Solid Waste Generation, Recycling, and Disposal in the United States: Facts and Figures for 2011</w:t>
      </w:r>
      <w:r w:rsidRPr="00BE5DAB">
        <w:rPr>
          <w:rFonts w:cs="Times New Roman"/>
        </w:rPr>
        <w:t>. US Environmental Protection Agency.</w:t>
      </w:r>
    </w:p>
    <w:p w14:paraId="5CDE2264"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USEPA. (2012). </w:t>
      </w:r>
      <w:r w:rsidRPr="00BE5DAB">
        <w:rPr>
          <w:rFonts w:cs="Times New Roman"/>
          <w:i/>
          <w:iCs/>
        </w:rPr>
        <w:t>Municipal Solid Waste Generation, Recycling, and Disposal in the United States: Facts and Figures for 2012</w:t>
      </w:r>
      <w:r w:rsidRPr="00BE5DAB">
        <w:rPr>
          <w:rFonts w:cs="Times New Roman"/>
        </w:rPr>
        <w:t>. US Environmental Protection Agency.</w:t>
      </w:r>
    </w:p>
    <w:p w14:paraId="50DA4D2A"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Vink</w:t>
      </w:r>
      <w:proofErr w:type="spellEnd"/>
      <w:r w:rsidRPr="00BE5DAB">
        <w:rPr>
          <w:rFonts w:cs="Times New Roman"/>
        </w:rPr>
        <w:t xml:space="preserve">, E. T. H., Davies, S., &amp; Kolstad, J. J. (2010). ORIGINAL RESEARCH: The eco-profile for current </w:t>
      </w:r>
      <w:proofErr w:type="spellStart"/>
      <w:r w:rsidRPr="00BE5DAB">
        <w:rPr>
          <w:rFonts w:cs="Times New Roman"/>
        </w:rPr>
        <w:t>Ingeo</w:t>
      </w:r>
      <w:proofErr w:type="spellEnd"/>
      <w:r w:rsidRPr="00BE5DAB">
        <w:rPr>
          <w:rFonts w:cs="Times New Roman"/>
        </w:rPr>
        <w:t xml:space="preserve">® polylactide production. </w:t>
      </w:r>
      <w:r w:rsidRPr="00BE5DAB">
        <w:rPr>
          <w:rFonts w:cs="Times New Roman"/>
          <w:i/>
          <w:iCs/>
        </w:rPr>
        <w:t>Industrial Biotechnology</w:t>
      </w:r>
      <w:r w:rsidRPr="00BE5DAB">
        <w:rPr>
          <w:rFonts w:cs="Times New Roman"/>
        </w:rPr>
        <w:t xml:space="preserve">, </w:t>
      </w:r>
      <w:r w:rsidRPr="00BE5DAB">
        <w:rPr>
          <w:rFonts w:cs="Times New Roman"/>
          <w:i/>
          <w:iCs/>
        </w:rPr>
        <w:t>6</w:t>
      </w:r>
      <w:r w:rsidRPr="00BE5DAB">
        <w:rPr>
          <w:rFonts w:cs="Times New Roman"/>
        </w:rPr>
        <w:t>(4), 212–224. http://doi.org/10.1089/ind.2010.6.212</w:t>
      </w:r>
    </w:p>
    <w:p w14:paraId="61CF213E"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Vink</w:t>
      </w:r>
      <w:proofErr w:type="spellEnd"/>
      <w:r w:rsidRPr="00BE5DAB">
        <w:rPr>
          <w:rFonts w:cs="Times New Roman"/>
        </w:rPr>
        <w:t xml:space="preserve">, E. T. H., </w:t>
      </w:r>
      <w:proofErr w:type="spellStart"/>
      <w:r w:rsidRPr="00BE5DAB">
        <w:rPr>
          <w:rFonts w:cs="Times New Roman"/>
        </w:rPr>
        <w:t>Glassner</w:t>
      </w:r>
      <w:proofErr w:type="spellEnd"/>
      <w:r w:rsidRPr="00BE5DAB">
        <w:rPr>
          <w:rFonts w:cs="Times New Roman"/>
        </w:rPr>
        <w:t xml:space="preserve">, D. A., Kolstad, J. J., Wooley, R. J., &amp; O’Connor, R. P. (2007). ORIGINAL RESEARCH: The eco-profiles for current and near-future </w:t>
      </w:r>
      <w:proofErr w:type="spellStart"/>
      <w:r w:rsidRPr="00BE5DAB">
        <w:rPr>
          <w:rFonts w:cs="Times New Roman"/>
        </w:rPr>
        <w:t>NatureWorks</w:t>
      </w:r>
      <w:proofErr w:type="spellEnd"/>
      <w:r w:rsidRPr="00BE5DAB">
        <w:rPr>
          <w:rFonts w:cs="Times New Roman"/>
        </w:rPr>
        <w:t xml:space="preserve">® polylactide (PLA) production. </w:t>
      </w:r>
      <w:r w:rsidRPr="00BE5DAB">
        <w:rPr>
          <w:rFonts w:cs="Times New Roman"/>
          <w:i/>
          <w:iCs/>
        </w:rPr>
        <w:t>Industrial Biotechnology</w:t>
      </w:r>
      <w:r w:rsidRPr="00BE5DAB">
        <w:rPr>
          <w:rFonts w:cs="Times New Roman"/>
        </w:rPr>
        <w:t xml:space="preserve">, </w:t>
      </w:r>
      <w:r w:rsidRPr="00BE5DAB">
        <w:rPr>
          <w:rFonts w:cs="Times New Roman"/>
          <w:i/>
          <w:iCs/>
        </w:rPr>
        <w:t>3</w:t>
      </w:r>
      <w:r w:rsidRPr="00BE5DAB">
        <w:rPr>
          <w:rFonts w:cs="Times New Roman"/>
        </w:rPr>
        <w:t>(1), 58–81. http://doi.org/10.1089/ind.2007.3.058</w:t>
      </w:r>
    </w:p>
    <w:p w14:paraId="623B3152"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Vink</w:t>
      </w:r>
      <w:proofErr w:type="spellEnd"/>
      <w:r w:rsidRPr="00BE5DAB">
        <w:rPr>
          <w:rFonts w:cs="Times New Roman"/>
        </w:rPr>
        <w:t xml:space="preserve">, E. T. H., </w:t>
      </w:r>
      <w:proofErr w:type="spellStart"/>
      <w:r w:rsidRPr="00BE5DAB">
        <w:rPr>
          <w:rFonts w:cs="Times New Roman"/>
        </w:rPr>
        <w:t>Rábago</w:t>
      </w:r>
      <w:proofErr w:type="spellEnd"/>
      <w:r w:rsidRPr="00BE5DAB">
        <w:rPr>
          <w:rFonts w:cs="Times New Roman"/>
        </w:rPr>
        <w:t xml:space="preserve">, K. R., </w:t>
      </w:r>
      <w:proofErr w:type="spellStart"/>
      <w:r w:rsidRPr="00BE5DAB">
        <w:rPr>
          <w:rFonts w:cs="Times New Roman"/>
        </w:rPr>
        <w:t>Glassner</w:t>
      </w:r>
      <w:proofErr w:type="spellEnd"/>
      <w:r w:rsidRPr="00BE5DAB">
        <w:rPr>
          <w:rFonts w:cs="Times New Roman"/>
        </w:rPr>
        <w:t xml:space="preserve">, D. A., &amp; Gruber, P. R. (2003). Applications of life cycle assessment to </w:t>
      </w:r>
      <w:proofErr w:type="spellStart"/>
      <w:r w:rsidRPr="00BE5DAB">
        <w:rPr>
          <w:rFonts w:cs="Times New Roman"/>
        </w:rPr>
        <w:t>NatureWorks</w:t>
      </w:r>
      <w:r w:rsidRPr="00BE5DAB">
        <w:rPr>
          <w:rFonts w:cs="Times New Roman"/>
          <w:vertAlign w:val="superscript"/>
        </w:rPr>
        <w:t>TM</w:t>
      </w:r>
      <w:proofErr w:type="spellEnd"/>
      <w:r w:rsidRPr="00BE5DAB">
        <w:rPr>
          <w:rFonts w:cs="Times New Roman"/>
        </w:rPr>
        <w:t xml:space="preserve"> polylactide (PLA) production. </w:t>
      </w:r>
      <w:r w:rsidRPr="00BE5DAB">
        <w:rPr>
          <w:rFonts w:cs="Times New Roman"/>
          <w:i/>
          <w:iCs/>
        </w:rPr>
        <w:t>Polymer Degradation and Stability</w:t>
      </w:r>
      <w:r w:rsidRPr="00BE5DAB">
        <w:rPr>
          <w:rFonts w:cs="Times New Roman"/>
        </w:rPr>
        <w:t xml:space="preserve">, </w:t>
      </w:r>
      <w:r w:rsidRPr="00BE5DAB">
        <w:rPr>
          <w:rFonts w:cs="Times New Roman"/>
          <w:i/>
          <w:iCs/>
        </w:rPr>
        <w:t>80</w:t>
      </w:r>
      <w:r w:rsidRPr="00BE5DAB">
        <w:rPr>
          <w:rFonts w:cs="Times New Roman"/>
        </w:rPr>
        <w:t>(3), 403–419. http://doi.org/10.1016/S0141-3910(02)00372-5</w:t>
      </w:r>
    </w:p>
    <w:p w14:paraId="13E002EA"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proofErr w:type="spellStart"/>
      <w:r w:rsidRPr="00BE5DAB">
        <w:rPr>
          <w:rFonts w:cs="Times New Roman"/>
        </w:rPr>
        <w:t>Vink</w:t>
      </w:r>
      <w:proofErr w:type="spellEnd"/>
      <w:r w:rsidRPr="00BE5DAB">
        <w:rPr>
          <w:rFonts w:cs="Times New Roman"/>
        </w:rPr>
        <w:t xml:space="preserve">, E. T. H., </w:t>
      </w:r>
      <w:proofErr w:type="spellStart"/>
      <w:r w:rsidRPr="00BE5DAB">
        <w:rPr>
          <w:rFonts w:cs="Times New Roman"/>
        </w:rPr>
        <w:t>Rábago</w:t>
      </w:r>
      <w:proofErr w:type="spellEnd"/>
      <w:r w:rsidRPr="00BE5DAB">
        <w:rPr>
          <w:rFonts w:cs="Times New Roman"/>
        </w:rPr>
        <w:t xml:space="preserve">, K. R., </w:t>
      </w:r>
      <w:proofErr w:type="spellStart"/>
      <w:r w:rsidRPr="00BE5DAB">
        <w:rPr>
          <w:rFonts w:cs="Times New Roman"/>
        </w:rPr>
        <w:t>Glassner</w:t>
      </w:r>
      <w:proofErr w:type="spellEnd"/>
      <w:r w:rsidRPr="00BE5DAB">
        <w:rPr>
          <w:rFonts w:cs="Times New Roman"/>
        </w:rPr>
        <w:t xml:space="preserve">, D. A., Springs, B., O’Connor, R. P., Kolstad, J., &amp; Gruber, P. R. (2004). The Sustainability of </w:t>
      </w:r>
      <w:proofErr w:type="spellStart"/>
      <w:r w:rsidRPr="00BE5DAB">
        <w:rPr>
          <w:rFonts w:cs="Times New Roman"/>
        </w:rPr>
        <w:t>NatureWorks</w:t>
      </w:r>
      <w:r w:rsidRPr="00BE5DAB">
        <w:rPr>
          <w:rFonts w:cs="Times New Roman"/>
          <w:vertAlign w:val="superscript"/>
        </w:rPr>
        <w:t>TM</w:t>
      </w:r>
      <w:proofErr w:type="spellEnd"/>
      <w:r w:rsidRPr="00BE5DAB">
        <w:rPr>
          <w:rFonts w:cs="Times New Roman"/>
        </w:rPr>
        <w:t xml:space="preserve"> Polylactide Polymers and </w:t>
      </w:r>
      <w:proofErr w:type="spellStart"/>
      <w:r w:rsidRPr="00BE5DAB">
        <w:rPr>
          <w:rFonts w:cs="Times New Roman"/>
        </w:rPr>
        <w:t>Ingeo</w:t>
      </w:r>
      <w:r w:rsidRPr="00BE5DAB">
        <w:rPr>
          <w:rFonts w:cs="Times New Roman"/>
          <w:vertAlign w:val="superscript"/>
        </w:rPr>
        <w:t>TM</w:t>
      </w:r>
      <w:proofErr w:type="spellEnd"/>
      <w:r w:rsidRPr="00BE5DAB">
        <w:rPr>
          <w:rFonts w:cs="Times New Roman"/>
        </w:rPr>
        <w:t xml:space="preserve"> Polylactide Fibers: </w:t>
      </w:r>
      <w:proofErr w:type="gramStart"/>
      <w:r w:rsidRPr="00BE5DAB">
        <w:rPr>
          <w:rFonts w:cs="Times New Roman"/>
        </w:rPr>
        <w:t>an</w:t>
      </w:r>
      <w:proofErr w:type="gramEnd"/>
      <w:r w:rsidRPr="00BE5DAB">
        <w:rPr>
          <w:rFonts w:cs="Times New Roman"/>
        </w:rPr>
        <w:t xml:space="preserve"> Update of the Future. </w:t>
      </w:r>
      <w:r w:rsidRPr="00BE5DAB">
        <w:rPr>
          <w:rFonts w:cs="Times New Roman"/>
          <w:i/>
          <w:iCs/>
        </w:rPr>
        <w:t>Macromolecular Bioscience</w:t>
      </w:r>
      <w:r w:rsidRPr="00BE5DAB">
        <w:rPr>
          <w:rFonts w:cs="Times New Roman"/>
        </w:rPr>
        <w:t xml:space="preserve">, </w:t>
      </w:r>
      <w:r w:rsidRPr="00BE5DAB">
        <w:rPr>
          <w:rFonts w:cs="Times New Roman"/>
          <w:i/>
          <w:iCs/>
        </w:rPr>
        <w:t>4</w:t>
      </w:r>
      <w:r w:rsidRPr="00BE5DAB">
        <w:rPr>
          <w:rFonts w:cs="Times New Roman"/>
        </w:rPr>
        <w:t>(6), 551–564. http://doi.org/10.1002/mabi.200400023</w:t>
      </w:r>
    </w:p>
    <w:p w14:paraId="13DC829C"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Weiss, M., </w:t>
      </w:r>
      <w:proofErr w:type="spellStart"/>
      <w:r w:rsidRPr="00BE5DAB">
        <w:rPr>
          <w:rFonts w:cs="Times New Roman"/>
        </w:rPr>
        <w:t>Haufe</w:t>
      </w:r>
      <w:proofErr w:type="spellEnd"/>
      <w:r w:rsidRPr="00BE5DAB">
        <w:rPr>
          <w:rFonts w:cs="Times New Roman"/>
        </w:rPr>
        <w:t xml:space="preserve">, J., </w:t>
      </w:r>
      <w:proofErr w:type="spellStart"/>
      <w:r w:rsidRPr="00BE5DAB">
        <w:rPr>
          <w:rFonts w:cs="Times New Roman"/>
        </w:rPr>
        <w:t>Carus</w:t>
      </w:r>
      <w:proofErr w:type="spellEnd"/>
      <w:r w:rsidRPr="00BE5DAB">
        <w:rPr>
          <w:rFonts w:cs="Times New Roman"/>
        </w:rPr>
        <w:t xml:space="preserve">, M., </w:t>
      </w:r>
      <w:proofErr w:type="spellStart"/>
      <w:r w:rsidRPr="00BE5DAB">
        <w:rPr>
          <w:rFonts w:cs="Times New Roman"/>
        </w:rPr>
        <w:t>Brandão</w:t>
      </w:r>
      <w:proofErr w:type="spellEnd"/>
      <w:r w:rsidRPr="00BE5DAB">
        <w:rPr>
          <w:rFonts w:cs="Times New Roman"/>
        </w:rPr>
        <w:t xml:space="preserve">, M., </w:t>
      </w:r>
      <w:proofErr w:type="spellStart"/>
      <w:r w:rsidRPr="00BE5DAB">
        <w:rPr>
          <w:rFonts w:cs="Times New Roman"/>
        </w:rPr>
        <w:t>Bringezu</w:t>
      </w:r>
      <w:proofErr w:type="spellEnd"/>
      <w:r w:rsidRPr="00BE5DAB">
        <w:rPr>
          <w:rFonts w:cs="Times New Roman"/>
        </w:rPr>
        <w:t xml:space="preserve">, S., Hermann, B., &amp; Patel, M. K. (2012). A Review of the Environmental Impacts of </w:t>
      </w:r>
      <w:proofErr w:type="spellStart"/>
      <w:r w:rsidRPr="00BE5DAB">
        <w:rPr>
          <w:rFonts w:cs="Times New Roman"/>
        </w:rPr>
        <w:t>Biobased</w:t>
      </w:r>
      <w:proofErr w:type="spellEnd"/>
      <w:r w:rsidRPr="00BE5DAB">
        <w:rPr>
          <w:rFonts w:cs="Times New Roman"/>
        </w:rPr>
        <w:t xml:space="preserve"> Materials. </w:t>
      </w:r>
      <w:r w:rsidRPr="00BE5DAB">
        <w:rPr>
          <w:rFonts w:cs="Times New Roman"/>
          <w:i/>
          <w:iCs/>
        </w:rPr>
        <w:t>Journal of Industrial Ecology</w:t>
      </w:r>
      <w:r w:rsidRPr="00BE5DAB">
        <w:rPr>
          <w:rFonts w:cs="Times New Roman"/>
        </w:rPr>
        <w:t xml:space="preserve">, </w:t>
      </w:r>
      <w:r w:rsidRPr="00BE5DAB">
        <w:rPr>
          <w:rFonts w:cs="Times New Roman"/>
          <w:i/>
          <w:iCs/>
        </w:rPr>
        <w:t>16</w:t>
      </w:r>
      <w:r w:rsidRPr="00BE5DAB">
        <w:rPr>
          <w:rFonts w:cs="Times New Roman"/>
        </w:rPr>
        <w:t>, S169–S181. http://doi.org/10.1111/j.1530-9290.2012.00468.x</w:t>
      </w:r>
    </w:p>
    <w:p w14:paraId="0D8B459C" w14:textId="77777777"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With 1 billion pounds of PLA sold, </w:t>
      </w:r>
      <w:proofErr w:type="spellStart"/>
      <w:r w:rsidRPr="00BE5DAB">
        <w:rPr>
          <w:rFonts w:cs="Times New Roman"/>
        </w:rPr>
        <w:t>NatureWorks</w:t>
      </w:r>
      <w:proofErr w:type="spellEnd"/>
      <w:r w:rsidRPr="00BE5DAB">
        <w:rPr>
          <w:rFonts w:cs="Times New Roman"/>
        </w:rPr>
        <w:t xml:space="preserve"> sees rapid growth to 2 billion. (n.d.). Retrieved February 7, 2015, from http://www.plasticsnews.com/article/20140306/NEWS/140309947/with-1-billion-pounds-of-pla-sold-natureworks-sees-rapid-growth-to-2-billion</w:t>
      </w:r>
    </w:p>
    <w:p w14:paraId="32FA2839" w14:textId="7C88BF11" w:rsidR="007E6BA8" w:rsidRPr="00BE5DAB" w:rsidRDefault="007E6BA8" w:rsidP="007E6BA8">
      <w:pPr>
        <w:widowControl w:val="0"/>
        <w:autoSpaceDE w:val="0"/>
        <w:autoSpaceDN w:val="0"/>
        <w:adjustRightInd w:val="0"/>
        <w:spacing w:after="0" w:line="240" w:lineRule="auto"/>
        <w:ind w:left="720" w:hanging="720"/>
        <w:rPr>
          <w:rFonts w:cs="Times New Roman"/>
        </w:rPr>
      </w:pPr>
      <w:r w:rsidRPr="00BE5DAB">
        <w:rPr>
          <w:rFonts w:cs="Times New Roman"/>
        </w:rPr>
        <w:t xml:space="preserve">Yates, M. R., &amp; Barlow, C. Y. (2013). Life cycle assessments of biodegradable, commercial biopolymers—A critical review. </w:t>
      </w:r>
      <w:r w:rsidRPr="00BE5DAB">
        <w:rPr>
          <w:rFonts w:cs="Times New Roman"/>
          <w:i/>
          <w:iCs/>
        </w:rPr>
        <w:t>Resources, Conservation and Recycling</w:t>
      </w:r>
      <w:r w:rsidRPr="00BE5DAB">
        <w:rPr>
          <w:rFonts w:cs="Times New Roman"/>
        </w:rPr>
        <w:t xml:space="preserve">, </w:t>
      </w:r>
      <w:r w:rsidRPr="00BE5DAB">
        <w:rPr>
          <w:rFonts w:cs="Times New Roman"/>
          <w:i/>
          <w:iCs/>
        </w:rPr>
        <w:t>78</w:t>
      </w:r>
      <w:r w:rsidRPr="00BE5DAB">
        <w:rPr>
          <w:rFonts w:cs="Times New Roman"/>
        </w:rPr>
        <w:t xml:space="preserve">, 54–66. </w:t>
      </w:r>
      <w:hyperlink r:id="rId34" w:history="1">
        <w:r w:rsidR="00DA7E17" w:rsidRPr="00543C47">
          <w:rPr>
            <w:rStyle w:val="Hyperlink"/>
            <w:rFonts w:cs="Times New Roman"/>
          </w:rPr>
          <w:t>http://doi.org/10.1016/j.resconrec.2013.06.010</w:t>
        </w:r>
      </w:hyperlink>
      <w:r w:rsidR="00DA7E17">
        <w:rPr>
          <w:rFonts w:cs="Times New Roman"/>
        </w:rPr>
        <w:t xml:space="preserve"> </w:t>
      </w:r>
    </w:p>
    <w:p w14:paraId="02EABFF3" w14:textId="6F23F628" w:rsidR="006745FF" w:rsidRPr="003A0234" w:rsidRDefault="006745FF" w:rsidP="00277BCC">
      <w:pPr>
        <w:pStyle w:val="Heading1"/>
      </w:pPr>
      <w:bookmarkStart w:id="61" w:name="_Toc27472683"/>
      <w:r w:rsidRPr="00BB79D6">
        <w:t>Glossary</w:t>
      </w:r>
      <w:bookmarkEnd w:id="61"/>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lastRenderedPageBreak/>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 xml:space="preserve">PDS </w:t>
      </w:r>
      <w:proofErr w:type="gramStart"/>
      <w:r w:rsidRPr="00BB79D6">
        <w:rPr>
          <w:b/>
        </w:rPr>
        <w:t>Scenario</w:t>
      </w:r>
      <w:r w:rsidRPr="00BB79D6">
        <w:t>, and</w:t>
      </w:r>
      <w:proofErr w:type="gramEnd"/>
      <w:r w:rsidRPr="00BB79D6">
        <w:t xml:space="preserve">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96E91">
      <w:r w:rsidRPr="00BB79D6">
        <w:rPr>
          <w:b/>
        </w:rPr>
        <w:lastRenderedPageBreak/>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BB79D6">
        <w:t>watt-hours</w:t>
      </w:r>
      <w:proofErr w:type="gramEnd"/>
      <w:r w:rsidRPr="00BB79D6">
        <w:t xml:space="preserve"> of electricity and high speed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proofErr w:type="gramStart"/>
      <w:r w:rsidRPr="00BB79D6">
        <w:rPr>
          <w:i/>
        </w:rPr>
        <w:t>good</w:t>
      </w:r>
      <w:r w:rsidRPr="00BB79D6">
        <w:t xml:space="preserve"> drops</w:t>
      </w:r>
      <w:proofErr w:type="gramEnd"/>
      <w:r w:rsidRPr="00BB79D6">
        <w:t xml:space="preserve">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96E91">
      <w:r w:rsidRPr="00BB79D6">
        <w:rPr>
          <w:b/>
        </w:rPr>
        <w:lastRenderedPageBreak/>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lastRenderedPageBreak/>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996E91"/>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EB247F">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86CD1" w14:textId="77777777" w:rsidR="00063907" w:rsidRDefault="00063907" w:rsidP="00D26F59">
      <w:pPr>
        <w:spacing w:after="0"/>
      </w:pPr>
      <w:r>
        <w:separator/>
      </w:r>
    </w:p>
  </w:endnote>
  <w:endnote w:type="continuationSeparator" w:id="0">
    <w:p w14:paraId="514F779B" w14:textId="77777777" w:rsidR="00063907" w:rsidRDefault="00063907"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0D0D19" w:rsidRDefault="000D0D19"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0D0D19" w:rsidRDefault="000D0D19"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0D0D19" w:rsidRPr="00F26176" w:rsidRDefault="000D0D1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I</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0D0D19" w:rsidRPr="00F26176" w:rsidRDefault="000D0D1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24</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FBA60" w14:textId="77777777" w:rsidR="00063907" w:rsidRDefault="00063907" w:rsidP="00D26F59">
      <w:pPr>
        <w:spacing w:after="0"/>
      </w:pPr>
      <w:r>
        <w:separator/>
      </w:r>
    </w:p>
  </w:footnote>
  <w:footnote w:type="continuationSeparator" w:id="0">
    <w:p w14:paraId="598CE7BD" w14:textId="77777777" w:rsidR="00063907" w:rsidRDefault="00063907" w:rsidP="00D26F59">
      <w:pPr>
        <w:spacing w:after="0"/>
      </w:pPr>
      <w:r>
        <w:continuationSeparator/>
      </w:r>
    </w:p>
  </w:footnote>
  <w:footnote w:id="1">
    <w:p w14:paraId="4DEFB0F1" w14:textId="77777777" w:rsidR="000D0D19" w:rsidRDefault="000D0D19" w:rsidP="00A52C99">
      <w:pPr>
        <w:pStyle w:val="FootnoteText"/>
      </w:pPr>
      <w:r>
        <w:rPr>
          <w:rStyle w:val="FootnoteReference"/>
        </w:rPr>
        <w:footnoteRef/>
      </w:r>
      <w:r>
        <w:t xml:space="preserve"> </w:t>
      </w:r>
      <w:r w:rsidRPr="002D1FDF">
        <w:t xml:space="preserve">Iles, A., &amp; Martin, A. N. (2013). Expanding bioplastics production: sustainable business innovation in the chemical industry. </w:t>
      </w:r>
      <w:r w:rsidRPr="002D1FDF">
        <w:rPr>
          <w:i/>
          <w:iCs/>
        </w:rPr>
        <w:t>Journal of Cleaner Production</w:t>
      </w:r>
      <w:r w:rsidRPr="002D1FDF">
        <w:t xml:space="preserve">, </w:t>
      </w:r>
      <w:r w:rsidRPr="002D1FDF">
        <w:rPr>
          <w:i/>
          <w:iCs/>
        </w:rPr>
        <w:t>45</w:t>
      </w:r>
      <w:r w:rsidRPr="002D1FDF">
        <w:t>, 38–49. http://doi.org/10.1016/j.jclepro.2012.05.008</w:t>
      </w:r>
    </w:p>
  </w:footnote>
  <w:footnote w:id="2">
    <w:p w14:paraId="7F63EFDB" w14:textId="77777777" w:rsidR="000D0D19" w:rsidRDefault="000D0D19" w:rsidP="00A52C99">
      <w:pPr>
        <w:pStyle w:val="FootnoteText"/>
      </w:pPr>
      <w:r>
        <w:rPr>
          <w:rStyle w:val="FootnoteReference"/>
        </w:rPr>
        <w:footnoteRef/>
      </w:r>
      <w:r>
        <w:t xml:space="preserve"> </w:t>
      </w:r>
      <w:proofErr w:type="spellStart"/>
      <w:r w:rsidRPr="00A17200">
        <w:t>Braasch</w:t>
      </w:r>
      <w:proofErr w:type="spellEnd"/>
      <w:r w:rsidRPr="00A17200">
        <w:t xml:space="preserve">, G. (2015, March 9). RE: research question PLA </w:t>
      </w:r>
      <w:proofErr w:type="spellStart"/>
      <w:r w:rsidRPr="00A17200">
        <w:t>pricepoints</w:t>
      </w:r>
      <w:proofErr w:type="spellEnd"/>
      <w:r w:rsidRPr="00A17200">
        <w:t>.</w:t>
      </w:r>
    </w:p>
  </w:footnote>
  <w:footnote w:id="3">
    <w:p w14:paraId="37F595DA" w14:textId="77777777" w:rsidR="000D0D19" w:rsidRDefault="000D0D19" w:rsidP="00A52C99">
      <w:pPr>
        <w:pStyle w:val="FootnoteText"/>
      </w:pPr>
      <w:r>
        <w:rPr>
          <w:rStyle w:val="FootnoteReference"/>
        </w:rPr>
        <w:footnoteRef/>
      </w:r>
      <w:r>
        <w:t xml:space="preserve"> </w:t>
      </w:r>
      <w:r w:rsidRPr="00B51171">
        <w:t xml:space="preserve">Patel, M., Crank, M., </w:t>
      </w:r>
      <w:proofErr w:type="spellStart"/>
      <w:r w:rsidRPr="00B51171">
        <w:t>Dornburg</w:t>
      </w:r>
      <w:proofErr w:type="spellEnd"/>
      <w:r w:rsidRPr="00B51171">
        <w:t xml:space="preserve">, V., Hermann, B., Roes, L., </w:t>
      </w:r>
      <w:proofErr w:type="spellStart"/>
      <w:r w:rsidRPr="00B51171">
        <w:t>Husing</w:t>
      </w:r>
      <w:proofErr w:type="spellEnd"/>
      <w:r w:rsidRPr="00B51171">
        <w:t xml:space="preserve">, B., … Elena, R. (2006). </w:t>
      </w:r>
      <w:r w:rsidRPr="00B51171">
        <w:rPr>
          <w:i/>
          <w:iCs/>
        </w:rPr>
        <w:t>Medium and long-term opportunities and risks of the biotechnological production of bulk chemicals from renewable resources - The BREW Project</w:t>
      </w:r>
      <w:r w:rsidRPr="00B51171">
        <w:t xml:space="preserve">. European </w:t>
      </w:r>
      <w:proofErr w:type="spellStart"/>
      <w:r w:rsidRPr="00B51171">
        <w:t>Commissions’s</w:t>
      </w:r>
      <w:proofErr w:type="spellEnd"/>
      <w:r w:rsidRPr="00B51171">
        <w:t xml:space="preserve"> GROWTH </w:t>
      </w:r>
      <w:proofErr w:type="spellStart"/>
      <w:r w:rsidRPr="00B51171">
        <w:t>Programme</w:t>
      </w:r>
      <w:proofErr w:type="spellEnd"/>
      <w:r w:rsidRPr="00B51171">
        <w:t>. Retrieved from http://brew.geo.uu.nl/BREW_Final_Report_September_2006.pdf</w:t>
      </w:r>
    </w:p>
  </w:footnote>
  <w:footnote w:id="4">
    <w:p w14:paraId="6382983F" w14:textId="77777777" w:rsidR="000D0D19" w:rsidRDefault="000D0D19" w:rsidP="00A52C99">
      <w:pPr>
        <w:pStyle w:val="FootnoteText"/>
      </w:pPr>
      <w:r>
        <w:rPr>
          <w:rStyle w:val="FootnoteReference"/>
        </w:rPr>
        <w:footnoteRef/>
      </w:r>
      <w:r>
        <w:t xml:space="preserve"> </w:t>
      </w:r>
      <w:proofErr w:type="spellStart"/>
      <w:r w:rsidRPr="00F32592">
        <w:t>Tabone</w:t>
      </w:r>
      <w:proofErr w:type="spellEnd"/>
      <w:r w:rsidRPr="00F32592">
        <w:t xml:space="preserve">, M. D., </w:t>
      </w:r>
      <w:proofErr w:type="spellStart"/>
      <w:r w:rsidRPr="00F32592">
        <w:t>Cregg</w:t>
      </w:r>
      <w:proofErr w:type="spellEnd"/>
      <w:r w:rsidRPr="00F32592">
        <w:t xml:space="preserve">, J. J., Beckman, E. J., &amp; Landis, A. E. (2010). Sustainability Metrics: Life Cycle Assessment and Green Design in Polymers. </w:t>
      </w:r>
      <w:r w:rsidRPr="00F32592">
        <w:rPr>
          <w:i/>
          <w:iCs/>
        </w:rPr>
        <w:t>Environmental Science &amp; Technology</w:t>
      </w:r>
      <w:r w:rsidRPr="00F32592">
        <w:t xml:space="preserve">, </w:t>
      </w:r>
      <w:r w:rsidRPr="00F32592">
        <w:rPr>
          <w:i/>
          <w:iCs/>
        </w:rPr>
        <w:t>44</w:t>
      </w:r>
      <w:r w:rsidRPr="00F32592">
        <w:t>(21), 8264–8269. http://doi.org/10.1021/es101640n</w:t>
      </w:r>
    </w:p>
  </w:footnote>
  <w:footnote w:id="5">
    <w:p w14:paraId="241790BD" w14:textId="77777777" w:rsidR="000D0D19" w:rsidRDefault="000D0D19" w:rsidP="00A52C99">
      <w:pPr>
        <w:pStyle w:val="FootnoteText"/>
      </w:pPr>
      <w:r>
        <w:rPr>
          <w:rStyle w:val="FootnoteReference"/>
        </w:rPr>
        <w:footnoteRef/>
      </w:r>
      <w:r>
        <w:t xml:space="preserve"> </w:t>
      </w:r>
      <w:r w:rsidRPr="00267A8A">
        <w:t xml:space="preserve">De Jong, E., Higson, A., Walsh, P., &amp; </w:t>
      </w:r>
      <w:proofErr w:type="spellStart"/>
      <w:r w:rsidRPr="00267A8A">
        <w:t>Wellisch</w:t>
      </w:r>
      <w:proofErr w:type="spellEnd"/>
      <w:r w:rsidRPr="00267A8A">
        <w:t xml:space="preserve">, M. (2012). Product developments in the bio-based chemicals arena. </w:t>
      </w:r>
      <w:r w:rsidRPr="00267A8A">
        <w:rPr>
          <w:i/>
          <w:iCs/>
        </w:rPr>
        <w:t>Biofuels, Bioproducts and Biorefining</w:t>
      </w:r>
      <w:r w:rsidRPr="00267A8A">
        <w:t xml:space="preserve">, </w:t>
      </w:r>
      <w:r w:rsidRPr="00267A8A">
        <w:rPr>
          <w:i/>
          <w:iCs/>
        </w:rPr>
        <w:t>6</w:t>
      </w:r>
      <w:r w:rsidRPr="00267A8A">
        <w:t>(6), 606–624. http://doi.org/10.1002/bbb.1360</w:t>
      </w:r>
    </w:p>
  </w:footnote>
  <w:footnote w:id="6">
    <w:p w14:paraId="3718730F" w14:textId="77777777" w:rsidR="000D0D19" w:rsidRDefault="000D0D19" w:rsidP="00A52C99">
      <w:pPr>
        <w:pStyle w:val="FootnoteText"/>
      </w:pPr>
      <w:r>
        <w:rPr>
          <w:rStyle w:val="FootnoteReference"/>
        </w:rPr>
        <w:footnoteRef/>
      </w:r>
      <w:r>
        <w:t xml:space="preserve"> </w:t>
      </w:r>
      <w:proofErr w:type="spellStart"/>
      <w:r w:rsidRPr="00E51B68">
        <w:t>Vink</w:t>
      </w:r>
      <w:proofErr w:type="spellEnd"/>
      <w:r w:rsidRPr="00E51B68">
        <w:t xml:space="preserve">, E. T. H., Davies, S., &amp; Kolstad, J. J. (2010). ORIGINAL RESEARCH: The eco-profile for current </w:t>
      </w:r>
      <w:proofErr w:type="spellStart"/>
      <w:r w:rsidRPr="00E51B68">
        <w:t>Ingeo</w:t>
      </w:r>
      <w:proofErr w:type="spellEnd"/>
      <w:r w:rsidRPr="00E51B68">
        <w:t xml:space="preserve">® polylactide production. </w:t>
      </w:r>
      <w:r w:rsidRPr="00E51B68">
        <w:rPr>
          <w:i/>
          <w:iCs/>
        </w:rPr>
        <w:t>Industrial Biotechnology</w:t>
      </w:r>
      <w:r w:rsidRPr="00E51B68">
        <w:t xml:space="preserve">, </w:t>
      </w:r>
      <w:r w:rsidRPr="00E51B68">
        <w:rPr>
          <w:i/>
          <w:iCs/>
        </w:rPr>
        <w:t>6</w:t>
      </w:r>
      <w:r w:rsidRPr="00E51B68">
        <w:t>(4), 212–224. http://doi.org/10.1089/ind.2010.6.212</w:t>
      </w:r>
    </w:p>
  </w:footnote>
  <w:footnote w:id="7">
    <w:p w14:paraId="4002DC78" w14:textId="77777777" w:rsidR="000D0D19" w:rsidRDefault="000D0D19" w:rsidP="00A52C99">
      <w:pPr>
        <w:pStyle w:val="FootnoteText"/>
      </w:pPr>
      <w:r>
        <w:rPr>
          <w:rStyle w:val="FootnoteReference"/>
        </w:rPr>
        <w:footnoteRef/>
      </w:r>
      <w:r>
        <w:t xml:space="preserve"> </w:t>
      </w:r>
      <w:proofErr w:type="spellStart"/>
      <w:r w:rsidRPr="00E35A48">
        <w:t>Babu</w:t>
      </w:r>
      <w:proofErr w:type="spellEnd"/>
      <w:r w:rsidRPr="00E35A48">
        <w:t xml:space="preserve">, R. P., O’Connor, K., &amp; </w:t>
      </w:r>
      <w:proofErr w:type="spellStart"/>
      <w:r w:rsidRPr="00E35A48">
        <w:t>Seeram</w:t>
      </w:r>
      <w:proofErr w:type="spellEnd"/>
      <w:r w:rsidRPr="00E35A48">
        <w:t xml:space="preserve">, R. (2013). Current progress on bio-based polymers and their future trends. </w:t>
      </w:r>
      <w:r w:rsidRPr="00E35A48">
        <w:rPr>
          <w:i/>
          <w:iCs/>
        </w:rPr>
        <w:t>Progress in Biomaterials</w:t>
      </w:r>
      <w:r w:rsidRPr="00E35A48">
        <w:t xml:space="preserve">, </w:t>
      </w:r>
      <w:r w:rsidRPr="00E35A48">
        <w:rPr>
          <w:i/>
          <w:iCs/>
        </w:rPr>
        <w:t>2</w:t>
      </w:r>
      <w:r w:rsidRPr="00E35A48">
        <w:t>(1), 8. http://doi.org/10.1186/2194-0517-2-8</w:t>
      </w:r>
    </w:p>
  </w:footnote>
  <w:footnote w:id="8">
    <w:p w14:paraId="48D0AF26" w14:textId="75F68700" w:rsidR="000D0D19" w:rsidRDefault="000D0D19" w:rsidP="00A52C99">
      <w:pPr>
        <w:pStyle w:val="FootnoteText"/>
      </w:pPr>
      <w:r>
        <w:rPr>
          <w:rStyle w:val="FootnoteReference"/>
        </w:rPr>
        <w:footnoteRef/>
      </w:r>
      <w:r>
        <w:t xml:space="preserve"> </w:t>
      </w:r>
      <w:r w:rsidRPr="00785A16">
        <w:t>European Bioplastics. (201</w:t>
      </w:r>
      <w:r>
        <w:t>8</w:t>
      </w:r>
      <w:r w:rsidRPr="00785A16">
        <w:t xml:space="preserve">). </w:t>
      </w:r>
      <w:r w:rsidRPr="00785A16">
        <w:rPr>
          <w:i/>
          <w:iCs/>
        </w:rPr>
        <w:t>Bioplastics facts and figures</w:t>
      </w:r>
      <w:r w:rsidRPr="00785A16">
        <w:t>.</w:t>
      </w:r>
    </w:p>
  </w:footnote>
  <w:footnote w:id="9">
    <w:p w14:paraId="08DC308E" w14:textId="77777777" w:rsidR="000D0D19" w:rsidRPr="007606A5" w:rsidRDefault="000D0D19" w:rsidP="00A52C99">
      <w:pPr>
        <w:pStyle w:val="FootnoteText"/>
      </w:pPr>
      <w:r>
        <w:rPr>
          <w:rStyle w:val="FootnoteReference"/>
        </w:rPr>
        <w:footnoteRef/>
      </w:r>
      <w:r>
        <w:t xml:space="preserve"> </w:t>
      </w:r>
      <w:r w:rsidRPr="007606A5">
        <w:t xml:space="preserve">Snell, K. D., Singh, V., &amp; </w:t>
      </w:r>
      <w:proofErr w:type="spellStart"/>
      <w:r w:rsidRPr="007606A5">
        <w:t>Brumbley</w:t>
      </w:r>
      <w:proofErr w:type="spellEnd"/>
      <w:r w:rsidRPr="007606A5">
        <w:t xml:space="preserve">, S. M. (2015). Production of novel biopolymers in plants: recent technological advances and future prospects. </w:t>
      </w:r>
      <w:r w:rsidRPr="007606A5">
        <w:rPr>
          <w:i/>
          <w:iCs/>
        </w:rPr>
        <w:t>Current Opinion in Biotechnology</w:t>
      </w:r>
      <w:r w:rsidRPr="007606A5">
        <w:t xml:space="preserve">, </w:t>
      </w:r>
      <w:r w:rsidRPr="007606A5">
        <w:rPr>
          <w:i/>
          <w:iCs/>
        </w:rPr>
        <w:t>32</w:t>
      </w:r>
      <w:r w:rsidRPr="007606A5">
        <w:t>, 68–75. http://doi.org/10.1016/j.copbio.2014.11.005</w:t>
      </w:r>
    </w:p>
    <w:p w14:paraId="023F72B5" w14:textId="77777777" w:rsidR="000D0D19" w:rsidRDefault="000D0D19" w:rsidP="00A52C99">
      <w:pPr>
        <w:pStyle w:val="FootnoteText"/>
      </w:pPr>
    </w:p>
  </w:footnote>
  <w:footnote w:id="10">
    <w:p w14:paraId="1EFA99AE" w14:textId="77777777" w:rsidR="000D0D19" w:rsidRDefault="000D0D19" w:rsidP="007C0773">
      <w:pPr>
        <w:pStyle w:val="FootnoteText"/>
      </w:pPr>
      <w:r>
        <w:rPr>
          <w:rStyle w:val="FootnoteReference"/>
        </w:rPr>
        <w:footnoteRef/>
      </w:r>
      <w:r>
        <w:t xml:space="preserve"> </w:t>
      </w:r>
      <w:r w:rsidRPr="009523F2">
        <w:t xml:space="preserve">Philip, J. C., &amp; Ritchie, R. J. (2013). </w:t>
      </w:r>
      <w:proofErr w:type="spellStart"/>
      <w:r w:rsidRPr="009523F2">
        <w:t>Biobased</w:t>
      </w:r>
      <w:proofErr w:type="spellEnd"/>
      <w:r w:rsidRPr="009523F2">
        <w:t xml:space="preserve"> plastics in a </w:t>
      </w:r>
      <w:proofErr w:type="spellStart"/>
      <w:r w:rsidRPr="009523F2">
        <w:t>bioeconomy</w:t>
      </w:r>
      <w:proofErr w:type="spellEnd"/>
      <w:r w:rsidRPr="009523F2">
        <w:t xml:space="preserve">. </w:t>
      </w:r>
      <w:r w:rsidRPr="009523F2">
        <w:rPr>
          <w:i/>
          <w:iCs/>
        </w:rPr>
        <w:t>Trends in Biotechnology</w:t>
      </w:r>
      <w:r w:rsidRPr="009523F2">
        <w:t xml:space="preserve">, </w:t>
      </w:r>
      <w:r w:rsidRPr="009523F2">
        <w:rPr>
          <w:i/>
          <w:iCs/>
        </w:rPr>
        <w:t>31</w:t>
      </w:r>
      <w:r w:rsidRPr="009523F2">
        <w:t>(2), 65–67.</w:t>
      </w:r>
    </w:p>
  </w:footnote>
  <w:footnote w:id="11">
    <w:p w14:paraId="0EE65A31" w14:textId="77777777" w:rsidR="000D0D19" w:rsidRDefault="000D0D19" w:rsidP="007C0773">
      <w:pPr>
        <w:pStyle w:val="FootnoteText"/>
      </w:pPr>
      <w:r>
        <w:rPr>
          <w:rStyle w:val="FootnoteReference"/>
        </w:rPr>
        <w:footnoteRef/>
      </w:r>
      <w:r>
        <w:t xml:space="preserve"> </w:t>
      </w:r>
      <w:r w:rsidRPr="009523F2">
        <w:t xml:space="preserve">Shen, L., Worrell, E., &amp; Patel, M. (2010). Present and future development in plastics from biomass. </w:t>
      </w:r>
      <w:r w:rsidRPr="009523F2">
        <w:rPr>
          <w:i/>
          <w:iCs/>
        </w:rPr>
        <w:t>Biofuels, Bioproducts and Biorefining</w:t>
      </w:r>
      <w:r w:rsidRPr="009523F2">
        <w:t xml:space="preserve">, </w:t>
      </w:r>
      <w:r w:rsidRPr="009523F2">
        <w:rPr>
          <w:i/>
          <w:iCs/>
        </w:rPr>
        <w:t>4</w:t>
      </w:r>
      <w:r w:rsidRPr="009523F2">
        <w:t>(1), 25–40. http://doi.org/10.1002/bbb.189</w:t>
      </w:r>
    </w:p>
  </w:footnote>
  <w:footnote w:id="12">
    <w:p w14:paraId="7F094281" w14:textId="449EE278" w:rsidR="000D0D19" w:rsidRDefault="000D0D19">
      <w:pPr>
        <w:pStyle w:val="FootnoteText"/>
      </w:pPr>
      <w:r>
        <w:rPr>
          <w:rStyle w:val="FootnoteReference"/>
        </w:rPr>
        <w:footnoteRef/>
      </w:r>
      <w:r>
        <w:t xml:space="preserve"> </w:t>
      </w:r>
      <w:r w:rsidRPr="008F6377">
        <w:t xml:space="preserve">US DOE. (2020). </w:t>
      </w:r>
      <w:r w:rsidRPr="008F6377">
        <w:rPr>
          <w:i/>
          <w:iCs/>
        </w:rPr>
        <w:t>The Technology Roadmap for Plant/Crop-Based Renewable Resources 2020</w:t>
      </w:r>
      <w:r w:rsidRPr="008F6377">
        <w:t>. 44.</w:t>
      </w:r>
    </w:p>
  </w:footnote>
  <w:footnote w:id="13">
    <w:p w14:paraId="29BAA77A" w14:textId="118C042F" w:rsidR="000D0D19" w:rsidRPr="009A0EBA" w:rsidRDefault="000D0D19" w:rsidP="009A0EBA">
      <w:pPr>
        <w:pStyle w:val="FootnoteText"/>
      </w:pPr>
      <w:r>
        <w:rPr>
          <w:rStyle w:val="FootnoteReference"/>
        </w:rPr>
        <w:footnoteRef/>
      </w:r>
      <w:r>
        <w:t xml:space="preserve"> </w:t>
      </w:r>
      <w:proofErr w:type="spellStart"/>
      <w:r w:rsidRPr="009A0EBA">
        <w:t>IfBB</w:t>
      </w:r>
      <w:proofErr w:type="spellEnd"/>
      <w:r w:rsidRPr="009A0EBA">
        <w:t xml:space="preserve">. (2018). </w:t>
      </w:r>
      <w:r w:rsidRPr="009A0EBA">
        <w:rPr>
          <w:i/>
          <w:iCs/>
        </w:rPr>
        <w:t>Biopolymers facts and statistics: 2018 production capacities, processing routes, feedstock, land and water use</w:t>
      </w:r>
      <w:r w:rsidRPr="009A0EBA">
        <w:t xml:space="preserve">. Retrieved from Institute for Bioplastics and </w:t>
      </w:r>
      <w:proofErr w:type="spellStart"/>
      <w:r w:rsidRPr="009A0EBA">
        <w:t>Biocomposites</w:t>
      </w:r>
      <w:proofErr w:type="spellEnd"/>
      <w:r w:rsidRPr="009A0EBA">
        <w:t xml:space="preserve">, Hochschule Hannover website: </w:t>
      </w:r>
      <w:hyperlink r:id="rId1" w:history="1">
        <w:r w:rsidRPr="009A0EBA">
          <w:rPr>
            <w:rStyle w:val="Hyperlink"/>
          </w:rPr>
          <w:t>https://www.ifbb-hannover.de/files/IfBB/downloads/faltblaetter_broschueren/Biopolymers-Facts-Statistics-2018.pdf</w:t>
        </w:r>
      </w:hyperlink>
      <w:r>
        <w:t xml:space="preserve"> </w:t>
      </w:r>
    </w:p>
    <w:p w14:paraId="3CF8B727" w14:textId="78B7AF2F" w:rsidR="000D0D19" w:rsidRDefault="000D0D19">
      <w:pPr>
        <w:pStyle w:val="FootnoteText"/>
      </w:pPr>
    </w:p>
  </w:footnote>
  <w:footnote w:id="14">
    <w:p w14:paraId="14A33276" w14:textId="0870BAD1" w:rsidR="000D0D19" w:rsidRDefault="000D0D19" w:rsidP="000E43F2">
      <w:pPr>
        <w:pStyle w:val="FootnoteText"/>
      </w:pPr>
      <w:r>
        <w:rPr>
          <w:rStyle w:val="FootnoteReference"/>
        </w:rPr>
        <w:footnoteRef/>
      </w:r>
      <w:r>
        <w:t xml:space="preserve"> </w:t>
      </w:r>
      <w:r w:rsidRPr="000E43F2">
        <w:t xml:space="preserve">Chen, G.-Q., &amp; Patel, M. K. (2012). Plastics Derived from Biological Sources: Present and Future: A Technical and Environmental Review. </w:t>
      </w:r>
      <w:r w:rsidRPr="000E43F2">
        <w:rPr>
          <w:i/>
          <w:iCs/>
        </w:rPr>
        <w:t>Chemical Reviews</w:t>
      </w:r>
      <w:r w:rsidRPr="000E43F2">
        <w:t xml:space="preserve">, </w:t>
      </w:r>
      <w:r w:rsidRPr="000E43F2">
        <w:rPr>
          <w:i/>
          <w:iCs/>
        </w:rPr>
        <w:t>112</w:t>
      </w:r>
      <w:r w:rsidRPr="000E43F2">
        <w:t xml:space="preserve">(4), 2082–2099. </w:t>
      </w:r>
      <w:hyperlink r:id="rId2" w:history="1">
        <w:r w:rsidRPr="000E43F2">
          <w:rPr>
            <w:rStyle w:val="Hyperlink"/>
          </w:rPr>
          <w:t>https://doi.org/10.1021/cr200162d</w:t>
        </w:r>
      </w:hyperlink>
    </w:p>
  </w:footnote>
  <w:footnote w:id="15">
    <w:p w14:paraId="082AEE95" w14:textId="43892DC1" w:rsidR="000D0D19" w:rsidRPr="00656F5C" w:rsidRDefault="000D0D19">
      <w:pPr>
        <w:pStyle w:val="FootnoteText"/>
      </w:pPr>
      <w:r>
        <w:rPr>
          <w:rStyle w:val="FootnoteReference"/>
        </w:rPr>
        <w:footnoteRef/>
      </w:r>
      <w:r>
        <w:t xml:space="preserve"> Lewis, K. (2018). A New Industrial Revolution for Plastics. </w:t>
      </w:r>
      <w:r>
        <w:rPr>
          <w:i/>
          <w:iCs/>
        </w:rPr>
        <w:t xml:space="preserve">USDA </w:t>
      </w:r>
      <w:proofErr w:type="spellStart"/>
      <w:r>
        <w:rPr>
          <w:i/>
          <w:iCs/>
        </w:rPr>
        <w:t>Biopreferred</w:t>
      </w:r>
      <w:proofErr w:type="spellEnd"/>
      <w:r>
        <w:rPr>
          <w:i/>
          <w:iCs/>
        </w:rPr>
        <w:t xml:space="preserve">. </w:t>
      </w:r>
      <w:r>
        <w:t xml:space="preserve">Retrieved from </w:t>
      </w:r>
      <w:hyperlink r:id="rId3" w:history="1">
        <w:r w:rsidRPr="00736F82">
          <w:rPr>
            <w:rStyle w:val="Hyperlink"/>
          </w:rPr>
          <w:t>https://www.usda.gov/media/blog/2018/09/19/new-industrial-revolution-plastics</w:t>
        </w:r>
      </w:hyperlink>
      <w:r>
        <w:t xml:space="preserve">  </w:t>
      </w:r>
    </w:p>
  </w:footnote>
  <w:footnote w:id="16">
    <w:p w14:paraId="1C4FFA0C" w14:textId="77777777" w:rsidR="000D0D19" w:rsidRPr="00656F5C" w:rsidRDefault="000D0D19" w:rsidP="00656F5C">
      <w:pPr>
        <w:pStyle w:val="FootnoteText"/>
      </w:pPr>
      <w:r>
        <w:rPr>
          <w:rStyle w:val="FootnoteReference"/>
        </w:rPr>
        <w:footnoteRef/>
      </w:r>
      <w:r>
        <w:t xml:space="preserve"> </w:t>
      </w:r>
      <w:r w:rsidRPr="00656F5C">
        <w:t xml:space="preserve">Shen, L., Worrell, E., &amp; Patel, M. (2010). Present and future development in plastics from biomass. </w:t>
      </w:r>
      <w:r w:rsidRPr="00656F5C">
        <w:rPr>
          <w:i/>
          <w:iCs/>
        </w:rPr>
        <w:t>Biofuels, Bioproducts and Biorefining</w:t>
      </w:r>
      <w:r w:rsidRPr="00656F5C">
        <w:t xml:space="preserve">, </w:t>
      </w:r>
      <w:r w:rsidRPr="00656F5C">
        <w:rPr>
          <w:i/>
          <w:iCs/>
        </w:rPr>
        <w:t>4</w:t>
      </w:r>
      <w:r w:rsidRPr="00656F5C">
        <w:t xml:space="preserve">(1), 25–40. </w:t>
      </w:r>
      <w:hyperlink r:id="rId4" w:history="1">
        <w:r w:rsidRPr="00656F5C">
          <w:rPr>
            <w:rStyle w:val="Hyperlink"/>
          </w:rPr>
          <w:t>https://doi.org/10.1002/bbb.189</w:t>
        </w:r>
      </w:hyperlink>
    </w:p>
    <w:p w14:paraId="774C2EFE" w14:textId="43387115" w:rsidR="000D0D19" w:rsidRDefault="000D0D19">
      <w:pPr>
        <w:pStyle w:val="FootnoteText"/>
      </w:pPr>
    </w:p>
  </w:footnote>
  <w:footnote w:id="17">
    <w:p w14:paraId="361EC332" w14:textId="77777777" w:rsidR="000D0D19" w:rsidRDefault="000D0D19" w:rsidP="007C0773">
      <w:pPr>
        <w:pStyle w:val="FootnoteText"/>
      </w:pPr>
      <w:r>
        <w:rPr>
          <w:rStyle w:val="FootnoteReference"/>
        </w:rPr>
        <w:footnoteRef/>
      </w:r>
      <w:r>
        <w:t xml:space="preserve"> </w:t>
      </w:r>
      <w:r w:rsidRPr="003B1EA9">
        <w:t>US EPA, O. (n.d.). Solid Waste Management Hierarchy [Overviews &amp; Factsheets]. Retrieved March 25, 2015, from http://www.epa.gov/waste/nonhaz/municipal/hierarchy.htm</w:t>
      </w:r>
    </w:p>
  </w:footnote>
  <w:footnote w:id="18">
    <w:p w14:paraId="5533343F" w14:textId="77777777" w:rsidR="000D0D19" w:rsidRDefault="000D0D19" w:rsidP="007C0773">
      <w:pPr>
        <w:pStyle w:val="FootnoteText"/>
      </w:pPr>
      <w:r>
        <w:rPr>
          <w:rStyle w:val="FootnoteReference"/>
        </w:rPr>
        <w:footnoteRef/>
      </w:r>
      <w:r>
        <w:t xml:space="preserve"> </w:t>
      </w:r>
      <w:r w:rsidRPr="00A470BD">
        <w:t xml:space="preserve">Weiss, M., </w:t>
      </w:r>
      <w:proofErr w:type="spellStart"/>
      <w:r w:rsidRPr="00A470BD">
        <w:t>Haufe</w:t>
      </w:r>
      <w:proofErr w:type="spellEnd"/>
      <w:r w:rsidRPr="00A470BD">
        <w:t xml:space="preserve">, J., </w:t>
      </w:r>
      <w:proofErr w:type="spellStart"/>
      <w:r w:rsidRPr="00A470BD">
        <w:t>Carus</w:t>
      </w:r>
      <w:proofErr w:type="spellEnd"/>
      <w:r w:rsidRPr="00A470BD">
        <w:t xml:space="preserve">, M., </w:t>
      </w:r>
      <w:proofErr w:type="spellStart"/>
      <w:r w:rsidRPr="00A470BD">
        <w:t>Brandão</w:t>
      </w:r>
      <w:proofErr w:type="spellEnd"/>
      <w:r w:rsidRPr="00A470BD">
        <w:t xml:space="preserve">, M., </w:t>
      </w:r>
      <w:proofErr w:type="spellStart"/>
      <w:r w:rsidRPr="00A470BD">
        <w:t>Bringezu</w:t>
      </w:r>
      <w:proofErr w:type="spellEnd"/>
      <w:r w:rsidRPr="00A470BD">
        <w:t xml:space="preserve">, S., Hermann, B., &amp; Patel, M. K. (2012). A Review of the Environmental Impacts of </w:t>
      </w:r>
      <w:proofErr w:type="spellStart"/>
      <w:r w:rsidRPr="00A470BD">
        <w:t>Biobased</w:t>
      </w:r>
      <w:proofErr w:type="spellEnd"/>
      <w:r w:rsidRPr="00A470BD">
        <w:t xml:space="preserve"> Materials. </w:t>
      </w:r>
      <w:r w:rsidRPr="00A470BD">
        <w:rPr>
          <w:i/>
          <w:iCs/>
        </w:rPr>
        <w:t>Journal of Industrial Ecology</w:t>
      </w:r>
      <w:r w:rsidRPr="00A470BD">
        <w:t xml:space="preserve">, </w:t>
      </w:r>
      <w:r w:rsidRPr="00A470BD">
        <w:rPr>
          <w:i/>
          <w:iCs/>
        </w:rPr>
        <w:t>16</w:t>
      </w:r>
      <w:r w:rsidRPr="00A470BD">
        <w:t>, S169–S181. http://doi.org/10.1111/j.1530-9290.2012.00468.x</w:t>
      </w:r>
    </w:p>
  </w:footnote>
  <w:footnote w:id="19">
    <w:p w14:paraId="286841FC" w14:textId="77777777" w:rsidR="000D0D19" w:rsidRDefault="000D0D19" w:rsidP="007C0773">
      <w:pPr>
        <w:pStyle w:val="FootnoteText"/>
      </w:pPr>
      <w:r>
        <w:rPr>
          <w:rStyle w:val="FootnoteReference"/>
        </w:rPr>
        <w:footnoteRef/>
      </w:r>
      <w:r>
        <w:t xml:space="preserve"> </w:t>
      </w:r>
      <w:r w:rsidRPr="00A902C8">
        <w:t xml:space="preserve">Joshi, S. (2008). Can Nanotechnology Improve the Sustainability of </w:t>
      </w:r>
      <w:proofErr w:type="spellStart"/>
      <w:r w:rsidRPr="00A902C8">
        <w:t>Biobased</w:t>
      </w:r>
      <w:proofErr w:type="spellEnd"/>
      <w:r w:rsidRPr="00A902C8">
        <w:t xml:space="preserve"> Products? </w:t>
      </w:r>
      <w:r w:rsidRPr="00A902C8">
        <w:rPr>
          <w:i/>
          <w:iCs/>
        </w:rPr>
        <w:t>Journal of Industrial Ecology</w:t>
      </w:r>
      <w:r w:rsidRPr="00A902C8">
        <w:t xml:space="preserve">, </w:t>
      </w:r>
      <w:r w:rsidRPr="00A902C8">
        <w:rPr>
          <w:i/>
          <w:iCs/>
        </w:rPr>
        <w:t>12</w:t>
      </w:r>
      <w:r w:rsidRPr="00A902C8">
        <w:t>(3), 474–489. http://doi.org/10.1111/j.1530-9290.2008.00039.x</w:t>
      </w:r>
    </w:p>
  </w:footnote>
  <w:footnote w:id="20">
    <w:p w14:paraId="42B82601" w14:textId="77777777" w:rsidR="000D0D19" w:rsidRDefault="000D0D19" w:rsidP="007C0773">
      <w:pPr>
        <w:pStyle w:val="FootnoteText"/>
      </w:pPr>
      <w:r>
        <w:rPr>
          <w:rStyle w:val="FootnoteReference"/>
        </w:rPr>
        <w:footnoteRef/>
      </w:r>
      <w:r>
        <w:t xml:space="preserve"> </w:t>
      </w:r>
      <w:proofErr w:type="spellStart"/>
      <w:r w:rsidRPr="00365232">
        <w:t>Karpušenkaitė</w:t>
      </w:r>
      <w:proofErr w:type="spellEnd"/>
      <w:r w:rsidRPr="00365232">
        <w:t xml:space="preserve">, A., &amp; </w:t>
      </w:r>
      <w:proofErr w:type="spellStart"/>
      <w:r w:rsidRPr="00365232">
        <w:t>Varžinskas</w:t>
      </w:r>
      <w:proofErr w:type="spellEnd"/>
      <w:r w:rsidRPr="00365232">
        <w:t xml:space="preserve">, V. (2014). Bioplastics: Development, Possibilities and Difficulties. </w:t>
      </w:r>
      <w:r w:rsidRPr="00365232">
        <w:rPr>
          <w:i/>
          <w:iCs/>
        </w:rPr>
        <w:t>Environmental Research, Engineering and Management</w:t>
      </w:r>
      <w:r w:rsidRPr="00365232">
        <w:t xml:space="preserve">, </w:t>
      </w:r>
      <w:r w:rsidRPr="00365232">
        <w:rPr>
          <w:i/>
          <w:iCs/>
        </w:rPr>
        <w:t>68</w:t>
      </w:r>
      <w:r w:rsidRPr="00365232">
        <w:t>(2). http://doi.org/10.5755/j01.erem.68.2.6777</w:t>
      </w:r>
    </w:p>
  </w:footnote>
  <w:footnote w:id="21">
    <w:p w14:paraId="2D96DCD1" w14:textId="77777777" w:rsidR="000D0D19" w:rsidRDefault="000D0D19" w:rsidP="007C0773">
      <w:pPr>
        <w:pStyle w:val="FootnoteText"/>
      </w:pPr>
      <w:r>
        <w:rPr>
          <w:rStyle w:val="FootnoteReference"/>
        </w:rPr>
        <w:footnoteRef/>
      </w:r>
      <w:r>
        <w:t xml:space="preserve"> </w:t>
      </w:r>
      <w:r w:rsidRPr="00A470BD">
        <w:t xml:space="preserve">Yates, M. R., &amp; Barlow, C. Y. (2013). Life cycle assessments of biodegradable, commercial biopolymers—A critical review. </w:t>
      </w:r>
      <w:r w:rsidRPr="00A470BD">
        <w:rPr>
          <w:i/>
          <w:iCs/>
        </w:rPr>
        <w:t>Resources, Conservation and Recycling</w:t>
      </w:r>
      <w:r w:rsidRPr="00A470BD">
        <w:t xml:space="preserve">, </w:t>
      </w:r>
      <w:r w:rsidRPr="00A470BD">
        <w:rPr>
          <w:i/>
          <w:iCs/>
        </w:rPr>
        <w:t>78</w:t>
      </w:r>
      <w:r w:rsidRPr="00A470BD">
        <w:t>, 54–66. http://doi.org/10.1016/j.resconrec.2013.06.010</w:t>
      </w:r>
    </w:p>
  </w:footnote>
  <w:footnote w:id="22">
    <w:p w14:paraId="0FA1F959" w14:textId="77777777" w:rsidR="000D0D19" w:rsidRDefault="000D0D19" w:rsidP="007C0773">
      <w:pPr>
        <w:pStyle w:val="FootnoteText"/>
      </w:pPr>
      <w:r>
        <w:rPr>
          <w:rStyle w:val="FootnoteReference"/>
        </w:rPr>
        <w:footnoteRef/>
      </w:r>
      <w:r>
        <w:t xml:space="preserve"> </w:t>
      </w:r>
      <w:r w:rsidRPr="00A470BD">
        <w:t xml:space="preserve">Groot, W. J., &amp; </w:t>
      </w:r>
      <w:proofErr w:type="spellStart"/>
      <w:r w:rsidRPr="00A470BD">
        <w:t>Borén</w:t>
      </w:r>
      <w:proofErr w:type="spellEnd"/>
      <w:r w:rsidRPr="00A470BD">
        <w:t xml:space="preserve">, T. (2010). Life cycle assessment of the manufacture of lactide and PLA biopolymers from sugarcane in Thailand. </w:t>
      </w:r>
      <w:r w:rsidRPr="00A470BD">
        <w:rPr>
          <w:i/>
          <w:iCs/>
        </w:rPr>
        <w:t>The International Journal of Life Cycle Assessment</w:t>
      </w:r>
      <w:r w:rsidRPr="00A470BD">
        <w:t xml:space="preserve">, </w:t>
      </w:r>
      <w:r w:rsidRPr="00A470BD">
        <w:rPr>
          <w:i/>
          <w:iCs/>
        </w:rPr>
        <w:t>15</w:t>
      </w:r>
      <w:r w:rsidRPr="00A470BD">
        <w:t>(9), 970–984. http://doi.org/10.1007/s11367-010-0225-y</w:t>
      </w:r>
    </w:p>
  </w:footnote>
  <w:footnote w:id="23">
    <w:p w14:paraId="53E78061" w14:textId="77777777" w:rsidR="000D0D19" w:rsidRDefault="000D0D19" w:rsidP="007C0773">
      <w:pPr>
        <w:pStyle w:val="FootnoteText"/>
      </w:pPr>
      <w:r>
        <w:rPr>
          <w:rStyle w:val="FootnoteReference"/>
        </w:rPr>
        <w:footnoteRef/>
      </w:r>
      <w:r>
        <w:t xml:space="preserve"> </w:t>
      </w:r>
      <w:proofErr w:type="spellStart"/>
      <w:r w:rsidRPr="00B560C2">
        <w:t>Hottle</w:t>
      </w:r>
      <w:proofErr w:type="spellEnd"/>
      <w:r w:rsidRPr="00B560C2">
        <w:t xml:space="preserve">, T. A., </w:t>
      </w:r>
      <w:proofErr w:type="spellStart"/>
      <w:r w:rsidRPr="00B560C2">
        <w:t>Bilec</w:t>
      </w:r>
      <w:proofErr w:type="spellEnd"/>
      <w:r w:rsidRPr="00B560C2">
        <w:t xml:space="preserve">, M. M., &amp; Landis, A. E. (2013). Sustainability assessments of bio-based polymers. </w:t>
      </w:r>
      <w:r w:rsidRPr="00B560C2">
        <w:rPr>
          <w:i/>
          <w:iCs/>
        </w:rPr>
        <w:t>Polymer Degradation and Stability</w:t>
      </w:r>
      <w:r w:rsidRPr="00B560C2">
        <w:t xml:space="preserve">, </w:t>
      </w:r>
      <w:r w:rsidRPr="00B560C2">
        <w:rPr>
          <w:i/>
          <w:iCs/>
        </w:rPr>
        <w:t>98</w:t>
      </w:r>
      <w:r w:rsidRPr="00B560C2">
        <w:t>(9), 1898–1907. http://doi.org/10.1016/j.polymdegradstab.2013.06.016</w:t>
      </w:r>
    </w:p>
  </w:footnote>
  <w:footnote w:id="24">
    <w:p w14:paraId="4C044874" w14:textId="77777777" w:rsidR="000D0D19" w:rsidRPr="00A53A38" w:rsidRDefault="000D0D19" w:rsidP="00A53A38">
      <w:pPr>
        <w:pStyle w:val="FootnoteText"/>
      </w:pPr>
      <w:r>
        <w:rPr>
          <w:rStyle w:val="FootnoteReference"/>
        </w:rPr>
        <w:footnoteRef/>
      </w:r>
      <w:r>
        <w:t xml:space="preserve"> </w:t>
      </w:r>
      <w:r w:rsidRPr="00A53A38">
        <w:t xml:space="preserve">Posen, I. D., Jaramillo, P., &amp; Griffin, W. M. (2016). Uncertainty in the Life Cycle Greenhouse Gas Emissions from U.S. Production of Three </w:t>
      </w:r>
      <w:proofErr w:type="spellStart"/>
      <w:r w:rsidRPr="00A53A38">
        <w:t>Biobased</w:t>
      </w:r>
      <w:proofErr w:type="spellEnd"/>
      <w:r w:rsidRPr="00A53A38">
        <w:t xml:space="preserve"> Polymer Families. </w:t>
      </w:r>
      <w:r w:rsidRPr="00A53A38">
        <w:rPr>
          <w:i/>
          <w:iCs/>
        </w:rPr>
        <w:t>Environmental Science &amp; Technology</w:t>
      </w:r>
      <w:r w:rsidRPr="00A53A38">
        <w:t xml:space="preserve">, </w:t>
      </w:r>
      <w:r w:rsidRPr="00A53A38">
        <w:rPr>
          <w:i/>
          <w:iCs/>
        </w:rPr>
        <w:t>50</w:t>
      </w:r>
      <w:r w:rsidRPr="00A53A38">
        <w:t xml:space="preserve">(6), 2846–2858. </w:t>
      </w:r>
      <w:hyperlink r:id="rId5" w:history="1">
        <w:r w:rsidRPr="00A53A38">
          <w:rPr>
            <w:rStyle w:val="Hyperlink"/>
          </w:rPr>
          <w:t>https://doi.org/10.1021/acs.est.5b05589</w:t>
        </w:r>
      </w:hyperlink>
    </w:p>
    <w:p w14:paraId="2DA8AF0C" w14:textId="5B5C5E0F" w:rsidR="000D0D19" w:rsidRDefault="000D0D19">
      <w:pPr>
        <w:pStyle w:val="FootnoteText"/>
      </w:pPr>
    </w:p>
  </w:footnote>
  <w:footnote w:id="25">
    <w:p w14:paraId="26FDF98D" w14:textId="77777777" w:rsidR="000D0D19" w:rsidRDefault="000D0D19" w:rsidP="00BD33FC">
      <w:pPr>
        <w:pStyle w:val="FootnoteText"/>
      </w:pPr>
      <w:r>
        <w:rPr>
          <w:rStyle w:val="FootnoteReference"/>
        </w:rPr>
        <w:footnoteRef/>
      </w:r>
      <w:r>
        <w:t xml:space="preserve"> </w:t>
      </w:r>
      <w:r w:rsidRPr="000415EB">
        <w:t xml:space="preserve">Shen, L., </w:t>
      </w:r>
      <w:proofErr w:type="spellStart"/>
      <w:r w:rsidRPr="000415EB">
        <w:t>Haufe</w:t>
      </w:r>
      <w:proofErr w:type="spellEnd"/>
      <w:r w:rsidRPr="000415EB">
        <w:t xml:space="preserve">, J., &amp; Patel, M. K. (2009). </w:t>
      </w:r>
      <w:r w:rsidRPr="000415EB">
        <w:rPr>
          <w:i/>
          <w:iCs/>
        </w:rPr>
        <w:t>Product overview and market projection of emerging bio-based plastics PRO-BIP 2009</w:t>
      </w:r>
      <w:r w:rsidRPr="000415EB">
        <w:t xml:space="preserve"> (No. 243). Eur</w:t>
      </w:r>
      <w:r>
        <w:t>o</w:t>
      </w:r>
      <w:r w:rsidRPr="000415EB">
        <w:t xml:space="preserve">pean Polysaccharide Network of </w:t>
      </w:r>
      <w:proofErr w:type="spellStart"/>
      <w:r w:rsidRPr="000415EB">
        <w:t>Exxcellence</w:t>
      </w:r>
      <w:proofErr w:type="spellEnd"/>
      <w:r w:rsidRPr="000415EB">
        <w:t xml:space="preserve"> (E</w:t>
      </w:r>
      <w:r>
        <w:t>PNOE) and European Bioplastics.</w:t>
      </w:r>
    </w:p>
  </w:footnote>
  <w:footnote w:id="26">
    <w:p w14:paraId="00C5B32F" w14:textId="77777777" w:rsidR="000D0D19" w:rsidRDefault="000D0D19" w:rsidP="00DF3A0A">
      <w:pPr>
        <w:pStyle w:val="FootnoteText"/>
      </w:pPr>
      <w:r>
        <w:rPr>
          <w:rStyle w:val="FootnoteReference"/>
        </w:rPr>
        <w:footnoteRef/>
      </w:r>
      <w:r>
        <w:t xml:space="preserve"> </w:t>
      </w:r>
      <w:r w:rsidRPr="00924C42">
        <w:t xml:space="preserve">Kline-Group. (2014). </w:t>
      </w:r>
      <w:r w:rsidRPr="00924C42">
        <w:rPr>
          <w:i/>
          <w:iCs/>
        </w:rPr>
        <w:t>Biopolymers: Global Market Brief</w:t>
      </w:r>
      <w:r w:rsidRPr="00924C42">
        <w:t>. Retrieved from http://www.klinegroup.com/reports/biopolymers.asp</w:t>
      </w:r>
    </w:p>
  </w:footnote>
  <w:footnote w:id="27">
    <w:p w14:paraId="3B77CB3F" w14:textId="77777777" w:rsidR="000D0D19" w:rsidRDefault="000D0D19" w:rsidP="00DF3A0A">
      <w:pPr>
        <w:pStyle w:val="FootnoteText"/>
      </w:pPr>
      <w:r>
        <w:rPr>
          <w:rStyle w:val="FootnoteReference"/>
        </w:rPr>
        <w:footnoteRef/>
      </w:r>
      <w:r>
        <w:t xml:space="preserve"> </w:t>
      </w:r>
      <w:r w:rsidRPr="00924C42">
        <w:t xml:space="preserve">Smithers-Pira. (n.d.). </w:t>
      </w:r>
      <w:r w:rsidRPr="00924C42">
        <w:rPr>
          <w:i/>
          <w:iCs/>
        </w:rPr>
        <w:t>The Future of Bioplastics for Packaging to 2023</w:t>
      </w:r>
      <w:r>
        <w:t>. Smithers Pira.</w:t>
      </w:r>
    </w:p>
  </w:footnote>
  <w:footnote w:id="28">
    <w:p w14:paraId="7DBCFA10" w14:textId="77777777" w:rsidR="000D0D19" w:rsidRPr="009317EC" w:rsidRDefault="000D0D19" w:rsidP="00DF3A0A">
      <w:pPr>
        <w:pStyle w:val="FootnoteText"/>
      </w:pPr>
      <w:r>
        <w:rPr>
          <w:rStyle w:val="FootnoteReference"/>
        </w:rPr>
        <w:footnoteRef/>
      </w:r>
      <w:r>
        <w:t xml:space="preserve"> </w:t>
      </w:r>
      <w:r w:rsidRPr="009317EC">
        <w:t>Biron, M. (n.d.). Thermoplastics and Thermoplastic Composites - Michel Biron - Google Books. Retrieved February 26, 2015</w:t>
      </w:r>
      <w:r>
        <w:t>.</w:t>
      </w:r>
    </w:p>
    <w:p w14:paraId="55D23CBC" w14:textId="77777777" w:rsidR="000D0D19" w:rsidRDefault="000D0D19" w:rsidP="00DF3A0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2"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3" w15:restartNumberingAfterBreak="0">
    <w:nsid w:val="2C0575DA"/>
    <w:multiLevelType w:val="hybridMultilevel"/>
    <w:tmpl w:val="DA9AFC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94073E"/>
    <w:multiLevelType w:val="multilevel"/>
    <w:tmpl w:val="F410CC9C"/>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3"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5"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6"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28"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0"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3"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5" w15:restartNumberingAfterBreak="0">
    <w:nsid w:val="79E46939"/>
    <w:multiLevelType w:val="hybridMultilevel"/>
    <w:tmpl w:val="9F9E0FE0"/>
    <w:lvl w:ilvl="0" w:tplc="7F428174">
      <w:start w:val="1"/>
      <w:numFmt w:val="bullet"/>
      <w:lvlText w:val="-"/>
      <w:lvlJc w:val="left"/>
      <w:pPr>
        <w:ind w:left="3240" w:hanging="360"/>
      </w:pPr>
      <w:rPr>
        <w:rFonts w:ascii="Calibri" w:eastAsia="Times New Roman"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24"/>
  </w:num>
  <w:num w:numId="4">
    <w:abstractNumId w:val="6"/>
  </w:num>
  <w:num w:numId="5">
    <w:abstractNumId w:val="34"/>
  </w:num>
  <w:num w:numId="6">
    <w:abstractNumId w:val="22"/>
  </w:num>
  <w:num w:numId="7">
    <w:abstractNumId w:val="29"/>
  </w:num>
  <w:num w:numId="8">
    <w:abstractNumId w:val="3"/>
  </w:num>
  <w:num w:numId="9">
    <w:abstractNumId w:val="7"/>
  </w:num>
  <w:num w:numId="10">
    <w:abstractNumId w:val="21"/>
  </w:num>
  <w:num w:numId="11">
    <w:abstractNumId w:val="17"/>
  </w:num>
  <w:num w:numId="12">
    <w:abstractNumId w:val="28"/>
  </w:num>
  <w:num w:numId="13">
    <w:abstractNumId w:val="9"/>
  </w:num>
  <w:num w:numId="14">
    <w:abstractNumId w:val="14"/>
  </w:num>
  <w:num w:numId="15">
    <w:abstractNumId w:val="2"/>
  </w:num>
  <w:num w:numId="16">
    <w:abstractNumId w:val="5"/>
  </w:num>
  <w:num w:numId="17">
    <w:abstractNumId w:val="30"/>
  </w:num>
  <w:num w:numId="18">
    <w:abstractNumId w:val="33"/>
  </w:num>
  <w:num w:numId="19">
    <w:abstractNumId w:val="31"/>
  </w:num>
  <w:num w:numId="20">
    <w:abstractNumId w:val="16"/>
  </w:num>
  <w:num w:numId="21">
    <w:abstractNumId w:val="7"/>
  </w:num>
  <w:num w:numId="22">
    <w:abstractNumId w:val="7"/>
  </w:num>
  <w:num w:numId="23">
    <w:abstractNumId w:val="11"/>
  </w:num>
  <w:num w:numId="24">
    <w:abstractNumId w:val="19"/>
  </w:num>
  <w:num w:numId="25">
    <w:abstractNumId w:val="23"/>
  </w:num>
  <w:num w:numId="26">
    <w:abstractNumId w:val="20"/>
  </w:num>
  <w:num w:numId="27">
    <w:abstractNumId w:val="20"/>
  </w:num>
  <w:num w:numId="28">
    <w:abstractNumId w:val="20"/>
    <w:lvlOverride w:ilvl="0">
      <w:startOverride w:val="2"/>
    </w:lvlOverride>
    <w:lvlOverride w:ilvl="1">
      <w:startOverride w:val="1"/>
    </w:lvlOverride>
  </w:num>
  <w:num w:numId="29">
    <w:abstractNumId w:val="20"/>
  </w:num>
  <w:num w:numId="30">
    <w:abstractNumId w:val="4"/>
  </w:num>
  <w:num w:numId="31">
    <w:abstractNumId w:val="25"/>
  </w:num>
  <w:num w:numId="32">
    <w:abstractNumId w:val="12"/>
  </w:num>
  <w:num w:numId="33">
    <w:abstractNumId w:val="18"/>
  </w:num>
  <w:num w:numId="34">
    <w:abstractNumId w:val="32"/>
  </w:num>
  <w:num w:numId="35">
    <w:abstractNumId w:val="26"/>
  </w:num>
  <w:num w:numId="36">
    <w:abstractNumId w:val="10"/>
  </w:num>
  <w:num w:numId="37">
    <w:abstractNumId w:val="15"/>
  </w:num>
  <w:num w:numId="38">
    <w:abstractNumId w:val="27"/>
  </w:num>
  <w:num w:numId="39">
    <w:abstractNumId w:val="19"/>
  </w:num>
  <w:num w:numId="40">
    <w:abstractNumId w:val="13"/>
  </w:num>
  <w:num w:numId="41">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4CE5"/>
    <w:rsid w:val="000178CE"/>
    <w:rsid w:val="00024F11"/>
    <w:rsid w:val="00025C18"/>
    <w:rsid w:val="000264C3"/>
    <w:rsid w:val="00027B88"/>
    <w:rsid w:val="000330C6"/>
    <w:rsid w:val="00035673"/>
    <w:rsid w:val="00054158"/>
    <w:rsid w:val="00056ED1"/>
    <w:rsid w:val="00057050"/>
    <w:rsid w:val="00063907"/>
    <w:rsid w:val="000663BB"/>
    <w:rsid w:val="00075F31"/>
    <w:rsid w:val="00077EA1"/>
    <w:rsid w:val="00080F74"/>
    <w:rsid w:val="00081F00"/>
    <w:rsid w:val="000828F9"/>
    <w:rsid w:val="000829DC"/>
    <w:rsid w:val="000856B7"/>
    <w:rsid w:val="000875B5"/>
    <w:rsid w:val="00087D3B"/>
    <w:rsid w:val="0009232E"/>
    <w:rsid w:val="0009271D"/>
    <w:rsid w:val="0009541F"/>
    <w:rsid w:val="000971F9"/>
    <w:rsid w:val="000A5842"/>
    <w:rsid w:val="000A6F40"/>
    <w:rsid w:val="000B1609"/>
    <w:rsid w:val="000B1918"/>
    <w:rsid w:val="000B3EE3"/>
    <w:rsid w:val="000C3205"/>
    <w:rsid w:val="000C3F49"/>
    <w:rsid w:val="000C7A55"/>
    <w:rsid w:val="000D0D19"/>
    <w:rsid w:val="000D30DE"/>
    <w:rsid w:val="000D3855"/>
    <w:rsid w:val="000D7BC5"/>
    <w:rsid w:val="000E43F2"/>
    <w:rsid w:val="000E594F"/>
    <w:rsid w:val="000F1267"/>
    <w:rsid w:val="000F131E"/>
    <w:rsid w:val="00101408"/>
    <w:rsid w:val="001073C8"/>
    <w:rsid w:val="00112479"/>
    <w:rsid w:val="00123A28"/>
    <w:rsid w:val="00124262"/>
    <w:rsid w:val="00124C49"/>
    <w:rsid w:val="00125B80"/>
    <w:rsid w:val="00136093"/>
    <w:rsid w:val="00137B82"/>
    <w:rsid w:val="00140F1E"/>
    <w:rsid w:val="00152E5D"/>
    <w:rsid w:val="00155E41"/>
    <w:rsid w:val="00167D34"/>
    <w:rsid w:val="001759D2"/>
    <w:rsid w:val="00176B3E"/>
    <w:rsid w:val="00196DBB"/>
    <w:rsid w:val="001A1AB8"/>
    <w:rsid w:val="001A6EB0"/>
    <w:rsid w:val="001A7F9F"/>
    <w:rsid w:val="001B1300"/>
    <w:rsid w:val="001B3003"/>
    <w:rsid w:val="001B58F5"/>
    <w:rsid w:val="001B6745"/>
    <w:rsid w:val="001C2B6F"/>
    <w:rsid w:val="001C3DC0"/>
    <w:rsid w:val="001C49CB"/>
    <w:rsid w:val="001C5872"/>
    <w:rsid w:val="001C5D1C"/>
    <w:rsid w:val="001D17E8"/>
    <w:rsid w:val="001E0FF2"/>
    <w:rsid w:val="001F2EFC"/>
    <w:rsid w:val="001F6FB0"/>
    <w:rsid w:val="00202788"/>
    <w:rsid w:val="002054FC"/>
    <w:rsid w:val="0021082B"/>
    <w:rsid w:val="00215F04"/>
    <w:rsid w:val="00216B08"/>
    <w:rsid w:val="00221954"/>
    <w:rsid w:val="00227298"/>
    <w:rsid w:val="0023178B"/>
    <w:rsid w:val="00232AAA"/>
    <w:rsid w:val="00233C0E"/>
    <w:rsid w:val="002476A8"/>
    <w:rsid w:val="00255D19"/>
    <w:rsid w:val="00260326"/>
    <w:rsid w:val="002603E9"/>
    <w:rsid w:val="0026327C"/>
    <w:rsid w:val="00264D1A"/>
    <w:rsid w:val="00266635"/>
    <w:rsid w:val="00270442"/>
    <w:rsid w:val="00272912"/>
    <w:rsid w:val="00274B56"/>
    <w:rsid w:val="00277BCC"/>
    <w:rsid w:val="00290D71"/>
    <w:rsid w:val="00291D3C"/>
    <w:rsid w:val="002A4E84"/>
    <w:rsid w:val="002A62C7"/>
    <w:rsid w:val="002A7ED9"/>
    <w:rsid w:val="002B4E23"/>
    <w:rsid w:val="002C0282"/>
    <w:rsid w:val="002D402C"/>
    <w:rsid w:val="002D4B9E"/>
    <w:rsid w:val="002D5C14"/>
    <w:rsid w:val="002D615A"/>
    <w:rsid w:val="002D6588"/>
    <w:rsid w:val="002E49AA"/>
    <w:rsid w:val="002E69FF"/>
    <w:rsid w:val="0030099E"/>
    <w:rsid w:val="00300CEE"/>
    <w:rsid w:val="00303670"/>
    <w:rsid w:val="00304B72"/>
    <w:rsid w:val="00306716"/>
    <w:rsid w:val="003069EE"/>
    <w:rsid w:val="003123D6"/>
    <w:rsid w:val="0032353F"/>
    <w:rsid w:val="00325AF7"/>
    <w:rsid w:val="003260E9"/>
    <w:rsid w:val="00327B08"/>
    <w:rsid w:val="00333214"/>
    <w:rsid w:val="00333492"/>
    <w:rsid w:val="00333748"/>
    <w:rsid w:val="00344262"/>
    <w:rsid w:val="0034746E"/>
    <w:rsid w:val="00367667"/>
    <w:rsid w:val="0037089C"/>
    <w:rsid w:val="003727F8"/>
    <w:rsid w:val="00374564"/>
    <w:rsid w:val="00383268"/>
    <w:rsid w:val="0038334F"/>
    <w:rsid w:val="00390757"/>
    <w:rsid w:val="003922A1"/>
    <w:rsid w:val="00395868"/>
    <w:rsid w:val="003A0234"/>
    <w:rsid w:val="003A2697"/>
    <w:rsid w:val="003A4CBC"/>
    <w:rsid w:val="003A7929"/>
    <w:rsid w:val="003A7FE2"/>
    <w:rsid w:val="003B2BDF"/>
    <w:rsid w:val="003B4C27"/>
    <w:rsid w:val="003B5002"/>
    <w:rsid w:val="003C025A"/>
    <w:rsid w:val="003C04AF"/>
    <w:rsid w:val="003C3271"/>
    <w:rsid w:val="003C69B0"/>
    <w:rsid w:val="003D2682"/>
    <w:rsid w:val="003D49F3"/>
    <w:rsid w:val="003E0AE3"/>
    <w:rsid w:val="003F4B38"/>
    <w:rsid w:val="003F537D"/>
    <w:rsid w:val="004057C8"/>
    <w:rsid w:val="00405E42"/>
    <w:rsid w:val="00413BAC"/>
    <w:rsid w:val="00416A4B"/>
    <w:rsid w:val="00426A19"/>
    <w:rsid w:val="00432D6A"/>
    <w:rsid w:val="00433358"/>
    <w:rsid w:val="00434F61"/>
    <w:rsid w:val="0043664F"/>
    <w:rsid w:val="00441028"/>
    <w:rsid w:val="0044137C"/>
    <w:rsid w:val="00442F4B"/>
    <w:rsid w:val="0045676A"/>
    <w:rsid w:val="004575C6"/>
    <w:rsid w:val="00471FA5"/>
    <w:rsid w:val="00481F8C"/>
    <w:rsid w:val="00483FFA"/>
    <w:rsid w:val="00484D41"/>
    <w:rsid w:val="004858E0"/>
    <w:rsid w:val="00486C75"/>
    <w:rsid w:val="00487017"/>
    <w:rsid w:val="00490F36"/>
    <w:rsid w:val="00492F5E"/>
    <w:rsid w:val="00494506"/>
    <w:rsid w:val="00496526"/>
    <w:rsid w:val="004A08BC"/>
    <w:rsid w:val="004A4DFA"/>
    <w:rsid w:val="004A6074"/>
    <w:rsid w:val="004B1A0B"/>
    <w:rsid w:val="004B45D0"/>
    <w:rsid w:val="004B4859"/>
    <w:rsid w:val="004B4939"/>
    <w:rsid w:val="004B75B7"/>
    <w:rsid w:val="004C1461"/>
    <w:rsid w:val="004C2EA3"/>
    <w:rsid w:val="004D27DE"/>
    <w:rsid w:val="004D345F"/>
    <w:rsid w:val="004D5520"/>
    <w:rsid w:val="004E4047"/>
    <w:rsid w:val="004E4194"/>
    <w:rsid w:val="004F1696"/>
    <w:rsid w:val="004F5425"/>
    <w:rsid w:val="00503F11"/>
    <w:rsid w:val="005251A9"/>
    <w:rsid w:val="0053240D"/>
    <w:rsid w:val="005341AC"/>
    <w:rsid w:val="00535AC0"/>
    <w:rsid w:val="00540434"/>
    <w:rsid w:val="00540530"/>
    <w:rsid w:val="00541D39"/>
    <w:rsid w:val="00542221"/>
    <w:rsid w:val="005501C2"/>
    <w:rsid w:val="00557A3B"/>
    <w:rsid w:val="00561650"/>
    <w:rsid w:val="00564C96"/>
    <w:rsid w:val="00570C51"/>
    <w:rsid w:val="00571C64"/>
    <w:rsid w:val="00576E74"/>
    <w:rsid w:val="00581378"/>
    <w:rsid w:val="00584CBD"/>
    <w:rsid w:val="00584ECC"/>
    <w:rsid w:val="00586AA5"/>
    <w:rsid w:val="00592C39"/>
    <w:rsid w:val="00592D80"/>
    <w:rsid w:val="005A0AE6"/>
    <w:rsid w:val="005A6986"/>
    <w:rsid w:val="005B7A11"/>
    <w:rsid w:val="005C4F82"/>
    <w:rsid w:val="005C6EC2"/>
    <w:rsid w:val="005C6F35"/>
    <w:rsid w:val="005C77F5"/>
    <w:rsid w:val="005D026A"/>
    <w:rsid w:val="005D2C9C"/>
    <w:rsid w:val="005D49A8"/>
    <w:rsid w:val="005E40E9"/>
    <w:rsid w:val="005F1E2F"/>
    <w:rsid w:val="005F38E3"/>
    <w:rsid w:val="005F4A66"/>
    <w:rsid w:val="005F6F5D"/>
    <w:rsid w:val="00600A52"/>
    <w:rsid w:val="00602DF7"/>
    <w:rsid w:val="006035E9"/>
    <w:rsid w:val="0060672D"/>
    <w:rsid w:val="00614F20"/>
    <w:rsid w:val="00630CD1"/>
    <w:rsid w:val="00631D39"/>
    <w:rsid w:val="006335EC"/>
    <w:rsid w:val="00635618"/>
    <w:rsid w:val="00640665"/>
    <w:rsid w:val="00652B00"/>
    <w:rsid w:val="00654D87"/>
    <w:rsid w:val="0065579A"/>
    <w:rsid w:val="00656F5C"/>
    <w:rsid w:val="00660410"/>
    <w:rsid w:val="0066398F"/>
    <w:rsid w:val="00666AAB"/>
    <w:rsid w:val="0066753A"/>
    <w:rsid w:val="0066787A"/>
    <w:rsid w:val="00667919"/>
    <w:rsid w:val="006745FF"/>
    <w:rsid w:val="00680EE5"/>
    <w:rsid w:val="00683100"/>
    <w:rsid w:val="00686965"/>
    <w:rsid w:val="0069014F"/>
    <w:rsid w:val="00691C2B"/>
    <w:rsid w:val="0069370D"/>
    <w:rsid w:val="00695682"/>
    <w:rsid w:val="00695E13"/>
    <w:rsid w:val="006A03C7"/>
    <w:rsid w:val="006A106E"/>
    <w:rsid w:val="006A4A08"/>
    <w:rsid w:val="006A7503"/>
    <w:rsid w:val="006B230A"/>
    <w:rsid w:val="006B267A"/>
    <w:rsid w:val="006B675D"/>
    <w:rsid w:val="006C273F"/>
    <w:rsid w:val="006D6012"/>
    <w:rsid w:val="006D6758"/>
    <w:rsid w:val="006D77CA"/>
    <w:rsid w:val="006E32FC"/>
    <w:rsid w:val="006E6C65"/>
    <w:rsid w:val="006F06B8"/>
    <w:rsid w:val="006F254D"/>
    <w:rsid w:val="006F2600"/>
    <w:rsid w:val="006F505C"/>
    <w:rsid w:val="006F6334"/>
    <w:rsid w:val="007102BE"/>
    <w:rsid w:val="00711E44"/>
    <w:rsid w:val="00717861"/>
    <w:rsid w:val="00720F3A"/>
    <w:rsid w:val="0072606A"/>
    <w:rsid w:val="00733FA3"/>
    <w:rsid w:val="00736AB2"/>
    <w:rsid w:val="00736D2D"/>
    <w:rsid w:val="00740504"/>
    <w:rsid w:val="00746F6D"/>
    <w:rsid w:val="007500D3"/>
    <w:rsid w:val="00753F11"/>
    <w:rsid w:val="007546AE"/>
    <w:rsid w:val="007546C9"/>
    <w:rsid w:val="007576C6"/>
    <w:rsid w:val="00761959"/>
    <w:rsid w:val="00762877"/>
    <w:rsid w:val="00763931"/>
    <w:rsid w:val="00767F96"/>
    <w:rsid w:val="00777C2B"/>
    <w:rsid w:val="007826D8"/>
    <w:rsid w:val="007850C7"/>
    <w:rsid w:val="007864AB"/>
    <w:rsid w:val="0078670D"/>
    <w:rsid w:val="00787EC5"/>
    <w:rsid w:val="00791571"/>
    <w:rsid w:val="0079350D"/>
    <w:rsid w:val="007A58F9"/>
    <w:rsid w:val="007B6910"/>
    <w:rsid w:val="007C0773"/>
    <w:rsid w:val="007C13A6"/>
    <w:rsid w:val="007C28E3"/>
    <w:rsid w:val="007C5AB0"/>
    <w:rsid w:val="007C645A"/>
    <w:rsid w:val="007D1608"/>
    <w:rsid w:val="007D2C50"/>
    <w:rsid w:val="007D2C6A"/>
    <w:rsid w:val="007D3695"/>
    <w:rsid w:val="007D4C43"/>
    <w:rsid w:val="007E1720"/>
    <w:rsid w:val="007E1D64"/>
    <w:rsid w:val="007E6BA8"/>
    <w:rsid w:val="007F1A54"/>
    <w:rsid w:val="007F218C"/>
    <w:rsid w:val="008006D0"/>
    <w:rsid w:val="00801004"/>
    <w:rsid w:val="00807D37"/>
    <w:rsid w:val="008113FA"/>
    <w:rsid w:val="00814EF4"/>
    <w:rsid w:val="008203FB"/>
    <w:rsid w:val="00826C41"/>
    <w:rsid w:val="008272AD"/>
    <w:rsid w:val="008274C2"/>
    <w:rsid w:val="008324D7"/>
    <w:rsid w:val="008332CA"/>
    <w:rsid w:val="0083647A"/>
    <w:rsid w:val="008368CA"/>
    <w:rsid w:val="00837784"/>
    <w:rsid w:val="00840500"/>
    <w:rsid w:val="00843F48"/>
    <w:rsid w:val="0084641A"/>
    <w:rsid w:val="00847D79"/>
    <w:rsid w:val="00852171"/>
    <w:rsid w:val="0085286D"/>
    <w:rsid w:val="00861FE7"/>
    <w:rsid w:val="008627CC"/>
    <w:rsid w:val="00870903"/>
    <w:rsid w:val="008806DE"/>
    <w:rsid w:val="008941A5"/>
    <w:rsid w:val="008A7600"/>
    <w:rsid w:val="008C377D"/>
    <w:rsid w:val="008D1491"/>
    <w:rsid w:val="008D4B9F"/>
    <w:rsid w:val="008D6D1A"/>
    <w:rsid w:val="008E25B2"/>
    <w:rsid w:val="008E6B1D"/>
    <w:rsid w:val="008F2ACC"/>
    <w:rsid w:val="008F517F"/>
    <w:rsid w:val="008F6377"/>
    <w:rsid w:val="0090423D"/>
    <w:rsid w:val="00905FBB"/>
    <w:rsid w:val="00907B1B"/>
    <w:rsid w:val="00910DE0"/>
    <w:rsid w:val="0091496E"/>
    <w:rsid w:val="00923893"/>
    <w:rsid w:val="00923F5D"/>
    <w:rsid w:val="0092677C"/>
    <w:rsid w:val="00926C81"/>
    <w:rsid w:val="0093067B"/>
    <w:rsid w:val="00930DE7"/>
    <w:rsid w:val="009323F1"/>
    <w:rsid w:val="00933FD7"/>
    <w:rsid w:val="009354FD"/>
    <w:rsid w:val="00936B09"/>
    <w:rsid w:val="00937CEB"/>
    <w:rsid w:val="00941CE1"/>
    <w:rsid w:val="0094349E"/>
    <w:rsid w:val="009470AC"/>
    <w:rsid w:val="00951B63"/>
    <w:rsid w:val="00954872"/>
    <w:rsid w:val="00954CF1"/>
    <w:rsid w:val="0096211B"/>
    <w:rsid w:val="00962201"/>
    <w:rsid w:val="00966563"/>
    <w:rsid w:val="00967E71"/>
    <w:rsid w:val="00975091"/>
    <w:rsid w:val="009777E1"/>
    <w:rsid w:val="00977F6D"/>
    <w:rsid w:val="00981A95"/>
    <w:rsid w:val="00982379"/>
    <w:rsid w:val="00983E39"/>
    <w:rsid w:val="00987FD1"/>
    <w:rsid w:val="00991E0E"/>
    <w:rsid w:val="00992B8D"/>
    <w:rsid w:val="00993B20"/>
    <w:rsid w:val="00996E91"/>
    <w:rsid w:val="009A0EBA"/>
    <w:rsid w:val="009A4537"/>
    <w:rsid w:val="009B472D"/>
    <w:rsid w:val="009B5FE3"/>
    <w:rsid w:val="009B7C4C"/>
    <w:rsid w:val="009C0F77"/>
    <w:rsid w:val="009C30D4"/>
    <w:rsid w:val="009C3D1C"/>
    <w:rsid w:val="009C57FB"/>
    <w:rsid w:val="009D118F"/>
    <w:rsid w:val="009D38F5"/>
    <w:rsid w:val="009D3B78"/>
    <w:rsid w:val="009E5A82"/>
    <w:rsid w:val="009E6074"/>
    <w:rsid w:val="009E6E89"/>
    <w:rsid w:val="009F306A"/>
    <w:rsid w:val="009F4361"/>
    <w:rsid w:val="009F5599"/>
    <w:rsid w:val="00A0321D"/>
    <w:rsid w:val="00A0399A"/>
    <w:rsid w:val="00A07B5E"/>
    <w:rsid w:val="00A119DA"/>
    <w:rsid w:val="00A15761"/>
    <w:rsid w:val="00A2204D"/>
    <w:rsid w:val="00A22BA0"/>
    <w:rsid w:val="00A30010"/>
    <w:rsid w:val="00A34C76"/>
    <w:rsid w:val="00A35BB5"/>
    <w:rsid w:val="00A44087"/>
    <w:rsid w:val="00A44819"/>
    <w:rsid w:val="00A52C99"/>
    <w:rsid w:val="00A52E22"/>
    <w:rsid w:val="00A53A38"/>
    <w:rsid w:val="00A53CDF"/>
    <w:rsid w:val="00A5758D"/>
    <w:rsid w:val="00A63C99"/>
    <w:rsid w:val="00A65656"/>
    <w:rsid w:val="00A67518"/>
    <w:rsid w:val="00A7030F"/>
    <w:rsid w:val="00A70D18"/>
    <w:rsid w:val="00A73D07"/>
    <w:rsid w:val="00A7402B"/>
    <w:rsid w:val="00A747FB"/>
    <w:rsid w:val="00A8560C"/>
    <w:rsid w:val="00A86488"/>
    <w:rsid w:val="00A87030"/>
    <w:rsid w:val="00A87D0F"/>
    <w:rsid w:val="00A9420C"/>
    <w:rsid w:val="00A95567"/>
    <w:rsid w:val="00A957B7"/>
    <w:rsid w:val="00AA228F"/>
    <w:rsid w:val="00AB01A1"/>
    <w:rsid w:val="00AB71E0"/>
    <w:rsid w:val="00AB783D"/>
    <w:rsid w:val="00AC07CF"/>
    <w:rsid w:val="00AC493E"/>
    <w:rsid w:val="00AD3ABE"/>
    <w:rsid w:val="00AD4CF8"/>
    <w:rsid w:val="00AE1C1F"/>
    <w:rsid w:val="00AE3F8B"/>
    <w:rsid w:val="00AE749D"/>
    <w:rsid w:val="00AE7A86"/>
    <w:rsid w:val="00AF0AA6"/>
    <w:rsid w:val="00AF1049"/>
    <w:rsid w:val="00AF78D3"/>
    <w:rsid w:val="00AF7DA5"/>
    <w:rsid w:val="00B0419B"/>
    <w:rsid w:val="00B0717A"/>
    <w:rsid w:val="00B12C3A"/>
    <w:rsid w:val="00B144E5"/>
    <w:rsid w:val="00B22D96"/>
    <w:rsid w:val="00B24F59"/>
    <w:rsid w:val="00B251A2"/>
    <w:rsid w:val="00B261E0"/>
    <w:rsid w:val="00B36063"/>
    <w:rsid w:val="00B404A4"/>
    <w:rsid w:val="00B43EF7"/>
    <w:rsid w:val="00B45FB5"/>
    <w:rsid w:val="00B502A3"/>
    <w:rsid w:val="00B51ACB"/>
    <w:rsid w:val="00B5320C"/>
    <w:rsid w:val="00B6183A"/>
    <w:rsid w:val="00B6274D"/>
    <w:rsid w:val="00B65A3B"/>
    <w:rsid w:val="00B6747A"/>
    <w:rsid w:val="00B7202B"/>
    <w:rsid w:val="00B76D3C"/>
    <w:rsid w:val="00B826D7"/>
    <w:rsid w:val="00B93749"/>
    <w:rsid w:val="00B945AD"/>
    <w:rsid w:val="00B94F2A"/>
    <w:rsid w:val="00B952BF"/>
    <w:rsid w:val="00B96AE0"/>
    <w:rsid w:val="00BA2292"/>
    <w:rsid w:val="00BB0284"/>
    <w:rsid w:val="00BB72DB"/>
    <w:rsid w:val="00BB79D6"/>
    <w:rsid w:val="00BD073E"/>
    <w:rsid w:val="00BD136D"/>
    <w:rsid w:val="00BD33FC"/>
    <w:rsid w:val="00BD4917"/>
    <w:rsid w:val="00BD4953"/>
    <w:rsid w:val="00BD4E64"/>
    <w:rsid w:val="00BD5090"/>
    <w:rsid w:val="00BD662B"/>
    <w:rsid w:val="00BE2EE4"/>
    <w:rsid w:val="00BF5EB9"/>
    <w:rsid w:val="00C002D1"/>
    <w:rsid w:val="00C04501"/>
    <w:rsid w:val="00C057BF"/>
    <w:rsid w:val="00C110B5"/>
    <w:rsid w:val="00C15067"/>
    <w:rsid w:val="00C165D8"/>
    <w:rsid w:val="00C23CAC"/>
    <w:rsid w:val="00C264B9"/>
    <w:rsid w:val="00C31CA2"/>
    <w:rsid w:val="00C43165"/>
    <w:rsid w:val="00C44058"/>
    <w:rsid w:val="00C53A13"/>
    <w:rsid w:val="00C57FAA"/>
    <w:rsid w:val="00C66CE0"/>
    <w:rsid w:val="00C70809"/>
    <w:rsid w:val="00C73128"/>
    <w:rsid w:val="00C81D94"/>
    <w:rsid w:val="00C904CD"/>
    <w:rsid w:val="00CA2EB1"/>
    <w:rsid w:val="00CB603A"/>
    <w:rsid w:val="00CB6B92"/>
    <w:rsid w:val="00CC3B2F"/>
    <w:rsid w:val="00CD1855"/>
    <w:rsid w:val="00CD1975"/>
    <w:rsid w:val="00CE0D3E"/>
    <w:rsid w:val="00CE2FEA"/>
    <w:rsid w:val="00CE38A3"/>
    <w:rsid w:val="00CF6B3C"/>
    <w:rsid w:val="00D053FB"/>
    <w:rsid w:val="00D05882"/>
    <w:rsid w:val="00D1007B"/>
    <w:rsid w:val="00D12962"/>
    <w:rsid w:val="00D14B14"/>
    <w:rsid w:val="00D1508C"/>
    <w:rsid w:val="00D158BC"/>
    <w:rsid w:val="00D201BF"/>
    <w:rsid w:val="00D2050B"/>
    <w:rsid w:val="00D20B5E"/>
    <w:rsid w:val="00D25FC7"/>
    <w:rsid w:val="00D26F59"/>
    <w:rsid w:val="00D27C35"/>
    <w:rsid w:val="00D30E16"/>
    <w:rsid w:val="00D328BD"/>
    <w:rsid w:val="00D34DF6"/>
    <w:rsid w:val="00D35237"/>
    <w:rsid w:val="00D35569"/>
    <w:rsid w:val="00D4582D"/>
    <w:rsid w:val="00D47A7D"/>
    <w:rsid w:val="00D541B8"/>
    <w:rsid w:val="00D6471D"/>
    <w:rsid w:val="00D72D0B"/>
    <w:rsid w:val="00D85366"/>
    <w:rsid w:val="00D9073E"/>
    <w:rsid w:val="00D93BC3"/>
    <w:rsid w:val="00DA06FE"/>
    <w:rsid w:val="00DA1392"/>
    <w:rsid w:val="00DA3F8A"/>
    <w:rsid w:val="00DA44EB"/>
    <w:rsid w:val="00DA57F1"/>
    <w:rsid w:val="00DA6842"/>
    <w:rsid w:val="00DA7E17"/>
    <w:rsid w:val="00DB40B6"/>
    <w:rsid w:val="00DC1888"/>
    <w:rsid w:val="00DC5041"/>
    <w:rsid w:val="00DD2BFC"/>
    <w:rsid w:val="00DD34C2"/>
    <w:rsid w:val="00DD43B9"/>
    <w:rsid w:val="00DE3ECB"/>
    <w:rsid w:val="00DE5957"/>
    <w:rsid w:val="00DF0D64"/>
    <w:rsid w:val="00DF27A6"/>
    <w:rsid w:val="00DF3A0A"/>
    <w:rsid w:val="00DF4904"/>
    <w:rsid w:val="00DF5D64"/>
    <w:rsid w:val="00E116B4"/>
    <w:rsid w:val="00E11CD2"/>
    <w:rsid w:val="00E131B4"/>
    <w:rsid w:val="00E14F94"/>
    <w:rsid w:val="00E174FE"/>
    <w:rsid w:val="00E23241"/>
    <w:rsid w:val="00E2663F"/>
    <w:rsid w:val="00E2775F"/>
    <w:rsid w:val="00E30692"/>
    <w:rsid w:val="00E33621"/>
    <w:rsid w:val="00E36AAB"/>
    <w:rsid w:val="00E439FB"/>
    <w:rsid w:val="00E43DEA"/>
    <w:rsid w:val="00E62D9D"/>
    <w:rsid w:val="00E6310B"/>
    <w:rsid w:val="00E6531F"/>
    <w:rsid w:val="00E66647"/>
    <w:rsid w:val="00E74BD5"/>
    <w:rsid w:val="00E805A1"/>
    <w:rsid w:val="00E813FC"/>
    <w:rsid w:val="00E815C8"/>
    <w:rsid w:val="00E82D62"/>
    <w:rsid w:val="00E8320F"/>
    <w:rsid w:val="00E844EA"/>
    <w:rsid w:val="00E91811"/>
    <w:rsid w:val="00E94A8C"/>
    <w:rsid w:val="00E9782A"/>
    <w:rsid w:val="00E978D4"/>
    <w:rsid w:val="00E97B6E"/>
    <w:rsid w:val="00EA34EF"/>
    <w:rsid w:val="00EB247F"/>
    <w:rsid w:val="00EC57B8"/>
    <w:rsid w:val="00ED7489"/>
    <w:rsid w:val="00EE0272"/>
    <w:rsid w:val="00EE274A"/>
    <w:rsid w:val="00EF21F4"/>
    <w:rsid w:val="00EF2247"/>
    <w:rsid w:val="00F05491"/>
    <w:rsid w:val="00F0595F"/>
    <w:rsid w:val="00F0598F"/>
    <w:rsid w:val="00F06F88"/>
    <w:rsid w:val="00F15AEE"/>
    <w:rsid w:val="00F26176"/>
    <w:rsid w:val="00F346F2"/>
    <w:rsid w:val="00F35365"/>
    <w:rsid w:val="00F4393C"/>
    <w:rsid w:val="00F46737"/>
    <w:rsid w:val="00F52595"/>
    <w:rsid w:val="00F53092"/>
    <w:rsid w:val="00F530FC"/>
    <w:rsid w:val="00F61DCA"/>
    <w:rsid w:val="00F66D25"/>
    <w:rsid w:val="00F73235"/>
    <w:rsid w:val="00F74517"/>
    <w:rsid w:val="00F808A4"/>
    <w:rsid w:val="00F83B25"/>
    <w:rsid w:val="00F84DB6"/>
    <w:rsid w:val="00F85FFB"/>
    <w:rsid w:val="00F90D56"/>
    <w:rsid w:val="00F921CF"/>
    <w:rsid w:val="00FA2194"/>
    <w:rsid w:val="00FA38F7"/>
    <w:rsid w:val="00FA5114"/>
    <w:rsid w:val="00FA6897"/>
    <w:rsid w:val="00FA7C26"/>
    <w:rsid w:val="00FB2C53"/>
    <w:rsid w:val="00FB2DC0"/>
    <w:rsid w:val="00FB3AB3"/>
    <w:rsid w:val="00FB5280"/>
    <w:rsid w:val="00FB558D"/>
    <w:rsid w:val="00FB649C"/>
    <w:rsid w:val="00FC2C8B"/>
    <w:rsid w:val="00FD2788"/>
    <w:rsid w:val="00FD7564"/>
    <w:rsid w:val="00FD77AF"/>
    <w:rsid w:val="00FE53D4"/>
    <w:rsid w:val="00FF038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BF15BB0F-45EF-7744-A46B-D727689B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277BCC"/>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277BCC"/>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styleId="UnresolvedMention">
    <w:name w:val="Unresolved Mention"/>
    <w:basedOn w:val="DefaultParagraphFont"/>
    <w:uiPriority w:val="99"/>
    <w:semiHidden/>
    <w:unhideWhenUsed/>
    <w:rsid w:val="00DA7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3526">
      <w:bodyDiv w:val="1"/>
      <w:marLeft w:val="0"/>
      <w:marRight w:val="0"/>
      <w:marTop w:val="0"/>
      <w:marBottom w:val="0"/>
      <w:divBdr>
        <w:top w:val="none" w:sz="0" w:space="0" w:color="auto"/>
        <w:left w:val="none" w:sz="0" w:space="0" w:color="auto"/>
        <w:bottom w:val="none" w:sz="0" w:space="0" w:color="auto"/>
        <w:right w:val="none" w:sz="0" w:space="0" w:color="auto"/>
      </w:divBdr>
      <w:divsChild>
        <w:div w:id="1652368587">
          <w:marLeft w:val="480"/>
          <w:marRight w:val="0"/>
          <w:marTop w:val="0"/>
          <w:marBottom w:val="0"/>
          <w:divBdr>
            <w:top w:val="none" w:sz="0" w:space="0" w:color="auto"/>
            <w:left w:val="none" w:sz="0" w:space="0" w:color="auto"/>
            <w:bottom w:val="none" w:sz="0" w:space="0" w:color="auto"/>
            <w:right w:val="none" w:sz="0" w:space="0" w:color="auto"/>
          </w:divBdr>
          <w:divsChild>
            <w:div w:id="1766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21651111">
      <w:bodyDiv w:val="1"/>
      <w:marLeft w:val="0"/>
      <w:marRight w:val="0"/>
      <w:marTop w:val="0"/>
      <w:marBottom w:val="0"/>
      <w:divBdr>
        <w:top w:val="none" w:sz="0" w:space="0" w:color="auto"/>
        <w:left w:val="none" w:sz="0" w:space="0" w:color="auto"/>
        <w:bottom w:val="none" w:sz="0" w:space="0" w:color="auto"/>
        <w:right w:val="none" w:sz="0" w:space="0" w:color="auto"/>
      </w:divBdr>
      <w:divsChild>
        <w:div w:id="1740595580">
          <w:marLeft w:val="480"/>
          <w:marRight w:val="0"/>
          <w:marTop w:val="0"/>
          <w:marBottom w:val="0"/>
          <w:divBdr>
            <w:top w:val="none" w:sz="0" w:space="0" w:color="auto"/>
            <w:left w:val="none" w:sz="0" w:space="0" w:color="auto"/>
            <w:bottom w:val="none" w:sz="0" w:space="0" w:color="auto"/>
            <w:right w:val="none" w:sz="0" w:space="0" w:color="auto"/>
          </w:divBdr>
          <w:divsChild>
            <w:div w:id="4497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43207165">
      <w:bodyDiv w:val="1"/>
      <w:marLeft w:val="0"/>
      <w:marRight w:val="0"/>
      <w:marTop w:val="0"/>
      <w:marBottom w:val="0"/>
      <w:divBdr>
        <w:top w:val="none" w:sz="0" w:space="0" w:color="auto"/>
        <w:left w:val="none" w:sz="0" w:space="0" w:color="auto"/>
        <w:bottom w:val="none" w:sz="0" w:space="0" w:color="auto"/>
        <w:right w:val="none" w:sz="0" w:space="0" w:color="auto"/>
      </w:divBdr>
      <w:divsChild>
        <w:div w:id="1303466600">
          <w:marLeft w:val="0"/>
          <w:marRight w:val="0"/>
          <w:marTop w:val="0"/>
          <w:marBottom w:val="0"/>
          <w:divBdr>
            <w:top w:val="none" w:sz="0" w:space="0" w:color="auto"/>
            <w:left w:val="none" w:sz="0" w:space="0" w:color="auto"/>
            <w:bottom w:val="none" w:sz="0" w:space="0" w:color="auto"/>
            <w:right w:val="none" w:sz="0" w:space="0" w:color="auto"/>
          </w:divBdr>
          <w:divsChild>
            <w:div w:id="1940522106">
              <w:marLeft w:val="0"/>
              <w:marRight w:val="0"/>
              <w:marTop w:val="0"/>
              <w:marBottom w:val="0"/>
              <w:divBdr>
                <w:top w:val="none" w:sz="0" w:space="0" w:color="auto"/>
                <w:left w:val="none" w:sz="0" w:space="0" w:color="auto"/>
                <w:bottom w:val="none" w:sz="0" w:space="0" w:color="auto"/>
                <w:right w:val="none" w:sz="0" w:space="0" w:color="auto"/>
              </w:divBdr>
              <w:divsChild>
                <w:div w:id="163795284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52014711">
      <w:bodyDiv w:val="1"/>
      <w:marLeft w:val="0"/>
      <w:marRight w:val="0"/>
      <w:marTop w:val="0"/>
      <w:marBottom w:val="0"/>
      <w:divBdr>
        <w:top w:val="none" w:sz="0" w:space="0" w:color="auto"/>
        <w:left w:val="none" w:sz="0" w:space="0" w:color="auto"/>
        <w:bottom w:val="none" w:sz="0" w:space="0" w:color="auto"/>
        <w:right w:val="none" w:sz="0" w:space="0" w:color="auto"/>
      </w:divBdr>
      <w:divsChild>
        <w:div w:id="108397458">
          <w:marLeft w:val="480"/>
          <w:marRight w:val="0"/>
          <w:marTop w:val="0"/>
          <w:marBottom w:val="0"/>
          <w:divBdr>
            <w:top w:val="none" w:sz="0" w:space="0" w:color="auto"/>
            <w:left w:val="none" w:sz="0" w:space="0" w:color="auto"/>
            <w:bottom w:val="none" w:sz="0" w:space="0" w:color="auto"/>
            <w:right w:val="none" w:sz="0" w:space="0" w:color="auto"/>
          </w:divBdr>
          <w:divsChild>
            <w:div w:id="2879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17225816">
      <w:bodyDiv w:val="1"/>
      <w:marLeft w:val="0"/>
      <w:marRight w:val="0"/>
      <w:marTop w:val="0"/>
      <w:marBottom w:val="0"/>
      <w:divBdr>
        <w:top w:val="none" w:sz="0" w:space="0" w:color="auto"/>
        <w:left w:val="none" w:sz="0" w:space="0" w:color="auto"/>
        <w:bottom w:val="none" w:sz="0" w:space="0" w:color="auto"/>
        <w:right w:val="none" w:sz="0" w:space="0" w:color="auto"/>
      </w:divBdr>
      <w:divsChild>
        <w:div w:id="1201820445">
          <w:marLeft w:val="480"/>
          <w:marRight w:val="0"/>
          <w:marTop w:val="0"/>
          <w:marBottom w:val="0"/>
          <w:divBdr>
            <w:top w:val="none" w:sz="0" w:space="0" w:color="auto"/>
            <w:left w:val="none" w:sz="0" w:space="0" w:color="auto"/>
            <w:bottom w:val="none" w:sz="0" w:space="0" w:color="auto"/>
            <w:right w:val="none" w:sz="0" w:space="0" w:color="auto"/>
          </w:divBdr>
          <w:divsChild>
            <w:div w:id="9551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75448249">
      <w:bodyDiv w:val="1"/>
      <w:marLeft w:val="0"/>
      <w:marRight w:val="0"/>
      <w:marTop w:val="0"/>
      <w:marBottom w:val="0"/>
      <w:divBdr>
        <w:top w:val="none" w:sz="0" w:space="0" w:color="auto"/>
        <w:left w:val="none" w:sz="0" w:space="0" w:color="auto"/>
        <w:bottom w:val="none" w:sz="0" w:space="0" w:color="auto"/>
        <w:right w:val="none" w:sz="0" w:space="0" w:color="auto"/>
      </w:divBdr>
      <w:divsChild>
        <w:div w:id="844393764">
          <w:marLeft w:val="480"/>
          <w:marRight w:val="0"/>
          <w:marTop w:val="0"/>
          <w:marBottom w:val="0"/>
          <w:divBdr>
            <w:top w:val="none" w:sz="0" w:space="0" w:color="auto"/>
            <w:left w:val="none" w:sz="0" w:space="0" w:color="auto"/>
            <w:bottom w:val="none" w:sz="0" w:space="0" w:color="auto"/>
            <w:right w:val="none" w:sz="0" w:space="0" w:color="auto"/>
          </w:divBdr>
          <w:divsChild>
            <w:div w:id="12773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5901">
      <w:bodyDiv w:val="1"/>
      <w:marLeft w:val="0"/>
      <w:marRight w:val="0"/>
      <w:marTop w:val="0"/>
      <w:marBottom w:val="0"/>
      <w:divBdr>
        <w:top w:val="none" w:sz="0" w:space="0" w:color="auto"/>
        <w:left w:val="none" w:sz="0" w:space="0" w:color="auto"/>
        <w:bottom w:val="none" w:sz="0" w:space="0" w:color="auto"/>
        <w:right w:val="none" w:sz="0" w:space="0" w:color="auto"/>
      </w:divBdr>
      <w:divsChild>
        <w:div w:id="693580451">
          <w:marLeft w:val="480"/>
          <w:marRight w:val="0"/>
          <w:marTop w:val="0"/>
          <w:marBottom w:val="0"/>
          <w:divBdr>
            <w:top w:val="none" w:sz="0" w:space="0" w:color="auto"/>
            <w:left w:val="none" w:sz="0" w:space="0" w:color="auto"/>
            <w:bottom w:val="none" w:sz="0" w:space="0" w:color="auto"/>
            <w:right w:val="none" w:sz="0" w:space="0" w:color="auto"/>
          </w:divBdr>
          <w:divsChild>
            <w:div w:id="19648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792676134">
      <w:bodyDiv w:val="1"/>
      <w:marLeft w:val="0"/>
      <w:marRight w:val="0"/>
      <w:marTop w:val="0"/>
      <w:marBottom w:val="0"/>
      <w:divBdr>
        <w:top w:val="none" w:sz="0" w:space="0" w:color="auto"/>
        <w:left w:val="none" w:sz="0" w:space="0" w:color="auto"/>
        <w:bottom w:val="none" w:sz="0" w:space="0" w:color="auto"/>
        <w:right w:val="none" w:sz="0" w:space="0" w:color="auto"/>
      </w:divBdr>
      <w:divsChild>
        <w:div w:id="960958616">
          <w:marLeft w:val="480"/>
          <w:marRight w:val="0"/>
          <w:marTop w:val="0"/>
          <w:marBottom w:val="0"/>
          <w:divBdr>
            <w:top w:val="none" w:sz="0" w:space="0" w:color="auto"/>
            <w:left w:val="none" w:sz="0" w:space="0" w:color="auto"/>
            <w:bottom w:val="none" w:sz="0" w:space="0" w:color="auto"/>
            <w:right w:val="none" w:sz="0" w:space="0" w:color="auto"/>
          </w:divBdr>
          <w:divsChild>
            <w:div w:id="14753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14875431">
      <w:bodyDiv w:val="1"/>
      <w:marLeft w:val="0"/>
      <w:marRight w:val="0"/>
      <w:marTop w:val="0"/>
      <w:marBottom w:val="0"/>
      <w:divBdr>
        <w:top w:val="none" w:sz="0" w:space="0" w:color="auto"/>
        <w:left w:val="none" w:sz="0" w:space="0" w:color="auto"/>
        <w:bottom w:val="none" w:sz="0" w:space="0" w:color="auto"/>
        <w:right w:val="none" w:sz="0" w:space="0" w:color="auto"/>
      </w:divBdr>
      <w:divsChild>
        <w:div w:id="1293629902">
          <w:marLeft w:val="480"/>
          <w:marRight w:val="0"/>
          <w:marTop w:val="0"/>
          <w:marBottom w:val="0"/>
          <w:divBdr>
            <w:top w:val="none" w:sz="0" w:space="0" w:color="auto"/>
            <w:left w:val="none" w:sz="0" w:space="0" w:color="auto"/>
            <w:bottom w:val="none" w:sz="0" w:space="0" w:color="auto"/>
            <w:right w:val="none" w:sz="0" w:space="0" w:color="auto"/>
          </w:divBdr>
          <w:divsChild>
            <w:div w:id="20383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9530">
      <w:bodyDiv w:val="1"/>
      <w:marLeft w:val="0"/>
      <w:marRight w:val="0"/>
      <w:marTop w:val="0"/>
      <w:marBottom w:val="0"/>
      <w:divBdr>
        <w:top w:val="none" w:sz="0" w:space="0" w:color="auto"/>
        <w:left w:val="none" w:sz="0" w:space="0" w:color="auto"/>
        <w:bottom w:val="none" w:sz="0" w:space="0" w:color="auto"/>
        <w:right w:val="none" w:sz="0" w:space="0" w:color="auto"/>
      </w:divBdr>
      <w:divsChild>
        <w:div w:id="392315319">
          <w:marLeft w:val="480"/>
          <w:marRight w:val="0"/>
          <w:marTop w:val="0"/>
          <w:marBottom w:val="0"/>
          <w:divBdr>
            <w:top w:val="none" w:sz="0" w:space="0" w:color="auto"/>
            <w:left w:val="none" w:sz="0" w:space="0" w:color="auto"/>
            <w:bottom w:val="none" w:sz="0" w:space="0" w:color="auto"/>
            <w:right w:val="none" w:sz="0" w:space="0" w:color="auto"/>
          </w:divBdr>
          <w:divsChild>
            <w:div w:id="12274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215">
      <w:bodyDiv w:val="1"/>
      <w:marLeft w:val="0"/>
      <w:marRight w:val="0"/>
      <w:marTop w:val="0"/>
      <w:marBottom w:val="0"/>
      <w:divBdr>
        <w:top w:val="none" w:sz="0" w:space="0" w:color="auto"/>
        <w:left w:val="none" w:sz="0" w:space="0" w:color="auto"/>
        <w:bottom w:val="none" w:sz="0" w:space="0" w:color="auto"/>
        <w:right w:val="none" w:sz="0" w:space="0" w:color="auto"/>
      </w:divBdr>
      <w:divsChild>
        <w:div w:id="72554666">
          <w:marLeft w:val="0"/>
          <w:marRight w:val="0"/>
          <w:marTop w:val="0"/>
          <w:marBottom w:val="0"/>
          <w:divBdr>
            <w:top w:val="none" w:sz="0" w:space="0" w:color="auto"/>
            <w:left w:val="none" w:sz="0" w:space="0" w:color="auto"/>
            <w:bottom w:val="none" w:sz="0" w:space="0" w:color="auto"/>
            <w:right w:val="none" w:sz="0" w:space="0" w:color="auto"/>
          </w:divBdr>
          <w:divsChild>
            <w:div w:id="1841046757">
              <w:marLeft w:val="0"/>
              <w:marRight w:val="0"/>
              <w:marTop w:val="0"/>
              <w:marBottom w:val="0"/>
              <w:divBdr>
                <w:top w:val="none" w:sz="0" w:space="0" w:color="auto"/>
                <w:left w:val="none" w:sz="0" w:space="0" w:color="auto"/>
                <w:bottom w:val="none" w:sz="0" w:space="0" w:color="auto"/>
                <w:right w:val="none" w:sz="0" w:space="0" w:color="auto"/>
              </w:divBdr>
              <w:divsChild>
                <w:div w:id="13408933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6284683">
      <w:bodyDiv w:val="1"/>
      <w:marLeft w:val="0"/>
      <w:marRight w:val="0"/>
      <w:marTop w:val="0"/>
      <w:marBottom w:val="0"/>
      <w:divBdr>
        <w:top w:val="none" w:sz="0" w:space="0" w:color="auto"/>
        <w:left w:val="none" w:sz="0" w:space="0" w:color="auto"/>
        <w:bottom w:val="none" w:sz="0" w:space="0" w:color="auto"/>
        <w:right w:val="none" w:sz="0" w:space="0" w:color="auto"/>
      </w:divBdr>
      <w:divsChild>
        <w:div w:id="1663897976">
          <w:marLeft w:val="480"/>
          <w:marRight w:val="0"/>
          <w:marTop w:val="0"/>
          <w:marBottom w:val="0"/>
          <w:divBdr>
            <w:top w:val="none" w:sz="0" w:space="0" w:color="auto"/>
            <w:left w:val="none" w:sz="0" w:space="0" w:color="auto"/>
            <w:bottom w:val="none" w:sz="0" w:space="0" w:color="auto"/>
            <w:right w:val="none" w:sz="0" w:space="0" w:color="auto"/>
          </w:divBdr>
          <w:divsChild>
            <w:div w:id="21071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69629740">
      <w:bodyDiv w:val="1"/>
      <w:marLeft w:val="0"/>
      <w:marRight w:val="0"/>
      <w:marTop w:val="0"/>
      <w:marBottom w:val="0"/>
      <w:divBdr>
        <w:top w:val="none" w:sz="0" w:space="0" w:color="auto"/>
        <w:left w:val="none" w:sz="0" w:space="0" w:color="auto"/>
        <w:bottom w:val="none" w:sz="0" w:space="0" w:color="auto"/>
        <w:right w:val="none" w:sz="0" w:space="0" w:color="auto"/>
      </w:divBdr>
      <w:divsChild>
        <w:div w:id="917717598">
          <w:marLeft w:val="480"/>
          <w:marRight w:val="0"/>
          <w:marTop w:val="0"/>
          <w:marBottom w:val="0"/>
          <w:divBdr>
            <w:top w:val="none" w:sz="0" w:space="0" w:color="auto"/>
            <w:left w:val="none" w:sz="0" w:space="0" w:color="auto"/>
            <w:bottom w:val="none" w:sz="0" w:space="0" w:color="auto"/>
            <w:right w:val="none" w:sz="0" w:space="0" w:color="auto"/>
          </w:divBdr>
          <w:divsChild>
            <w:div w:id="13276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267">
      <w:bodyDiv w:val="1"/>
      <w:marLeft w:val="0"/>
      <w:marRight w:val="0"/>
      <w:marTop w:val="0"/>
      <w:marBottom w:val="0"/>
      <w:divBdr>
        <w:top w:val="none" w:sz="0" w:space="0" w:color="auto"/>
        <w:left w:val="none" w:sz="0" w:space="0" w:color="auto"/>
        <w:bottom w:val="none" w:sz="0" w:space="0" w:color="auto"/>
        <w:right w:val="none" w:sz="0" w:space="0" w:color="auto"/>
      </w:divBdr>
      <w:divsChild>
        <w:div w:id="417018074">
          <w:marLeft w:val="480"/>
          <w:marRight w:val="0"/>
          <w:marTop w:val="0"/>
          <w:marBottom w:val="0"/>
          <w:divBdr>
            <w:top w:val="none" w:sz="0" w:space="0" w:color="auto"/>
            <w:left w:val="none" w:sz="0" w:space="0" w:color="auto"/>
            <w:bottom w:val="none" w:sz="0" w:space="0" w:color="auto"/>
            <w:right w:val="none" w:sz="0" w:space="0" w:color="auto"/>
          </w:divBdr>
          <w:divsChild>
            <w:div w:id="240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026">
      <w:bodyDiv w:val="1"/>
      <w:marLeft w:val="0"/>
      <w:marRight w:val="0"/>
      <w:marTop w:val="0"/>
      <w:marBottom w:val="0"/>
      <w:divBdr>
        <w:top w:val="none" w:sz="0" w:space="0" w:color="auto"/>
        <w:left w:val="none" w:sz="0" w:space="0" w:color="auto"/>
        <w:bottom w:val="none" w:sz="0" w:space="0" w:color="auto"/>
        <w:right w:val="none" w:sz="0" w:space="0" w:color="auto"/>
      </w:divBdr>
      <w:divsChild>
        <w:div w:id="409085486">
          <w:marLeft w:val="480"/>
          <w:marRight w:val="0"/>
          <w:marTop w:val="0"/>
          <w:marBottom w:val="0"/>
          <w:divBdr>
            <w:top w:val="none" w:sz="0" w:space="0" w:color="auto"/>
            <w:left w:val="none" w:sz="0" w:space="0" w:color="auto"/>
            <w:bottom w:val="none" w:sz="0" w:space="0" w:color="auto"/>
            <w:right w:val="none" w:sz="0" w:space="0" w:color="auto"/>
          </w:divBdr>
          <w:divsChild>
            <w:div w:id="14744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93988352">
      <w:bodyDiv w:val="1"/>
      <w:marLeft w:val="0"/>
      <w:marRight w:val="0"/>
      <w:marTop w:val="0"/>
      <w:marBottom w:val="0"/>
      <w:divBdr>
        <w:top w:val="none" w:sz="0" w:space="0" w:color="auto"/>
        <w:left w:val="none" w:sz="0" w:space="0" w:color="auto"/>
        <w:bottom w:val="none" w:sz="0" w:space="0" w:color="auto"/>
        <w:right w:val="none" w:sz="0" w:space="0" w:color="auto"/>
      </w:divBdr>
      <w:divsChild>
        <w:div w:id="1101022869">
          <w:marLeft w:val="480"/>
          <w:marRight w:val="0"/>
          <w:marTop w:val="0"/>
          <w:marBottom w:val="0"/>
          <w:divBdr>
            <w:top w:val="none" w:sz="0" w:space="0" w:color="auto"/>
            <w:left w:val="none" w:sz="0" w:space="0" w:color="auto"/>
            <w:bottom w:val="none" w:sz="0" w:space="0" w:color="auto"/>
            <w:right w:val="none" w:sz="0" w:space="0" w:color="auto"/>
          </w:divBdr>
          <w:divsChild>
            <w:div w:id="16825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9443">
      <w:bodyDiv w:val="1"/>
      <w:marLeft w:val="0"/>
      <w:marRight w:val="0"/>
      <w:marTop w:val="0"/>
      <w:marBottom w:val="0"/>
      <w:divBdr>
        <w:top w:val="none" w:sz="0" w:space="0" w:color="auto"/>
        <w:left w:val="none" w:sz="0" w:space="0" w:color="auto"/>
        <w:bottom w:val="none" w:sz="0" w:space="0" w:color="auto"/>
        <w:right w:val="none" w:sz="0" w:space="0" w:color="auto"/>
      </w:divBdr>
      <w:divsChild>
        <w:div w:id="143351440">
          <w:marLeft w:val="480"/>
          <w:marRight w:val="0"/>
          <w:marTop w:val="0"/>
          <w:marBottom w:val="0"/>
          <w:divBdr>
            <w:top w:val="none" w:sz="0" w:space="0" w:color="auto"/>
            <w:left w:val="none" w:sz="0" w:space="0" w:color="auto"/>
            <w:bottom w:val="none" w:sz="0" w:space="0" w:color="auto"/>
            <w:right w:val="none" w:sz="0" w:space="0" w:color="auto"/>
          </w:divBdr>
          <w:divsChild>
            <w:div w:id="15062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03326101">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09961032">
      <w:bodyDiv w:val="1"/>
      <w:marLeft w:val="0"/>
      <w:marRight w:val="0"/>
      <w:marTop w:val="0"/>
      <w:marBottom w:val="0"/>
      <w:divBdr>
        <w:top w:val="none" w:sz="0" w:space="0" w:color="auto"/>
        <w:left w:val="none" w:sz="0" w:space="0" w:color="auto"/>
        <w:bottom w:val="none" w:sz="0" w:space="0" w:color="auto"/>
        <w:right w:val="none" w:sz="0" w:space="0" w:color="auto"/>
      </w:divBdr>
      <w:divsChild>
        <w:div w:id="1916284948">
          <w:marLeft w:val="480"/>
          <w:marRight w:val="0"/>
          <w:marTop w:val="0"/>
          <w:marBottom w:val="0"/>
          <w:divBdr>
            <w:top w:val="none" w:sz="0" w:space="0" w:color="auto"/>
            <w:left w:val="none" w:sz="0" w:space="0" w:color="auto"/>
            <w:bottom w:val="none" w:sz="0" w:space="0" w:color="auto"/>
            <w:right w:val="none" w:sz="0" w:space="0" w:color="auto"/>
          </w:divBdr>
          <w:divsChild>
            <w:div w:id="19544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footer" Target="footer3.xml"/><Relationship Id="rId26" Type="http://schemas.openxmlformats.org/officeDocument/2006/relationships/hyperlink" Target="http://greenchemicalsblog.com/2012/11/11/pha-bioplastic-update/" TargetMode="External"/><Relationship Id="rId3" Type="http://schemas.openxmlformats.org/officeDocument/2006/relationships/numbering" Target="numbering.xml"/><Relationship Id="rId21" Type="http://schemas.openxmlformats.org/officeDocument/2006/relationships/hyperlink" Target="http://doi.org/10.1016/S0141-3910(02)00400-7" TargetMode="External"/><Relationship Id="rId34" Type="http://schemas.openxmlformats.org/officeDocument/2006/relationships/hyperlink" Target="http://doi.org/10.1016/j.resconrec.2013.06.010"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image" Target="media/image3.png"/><Relationship Id="rId25" Type="http://schemas.openxmlformats.org/officeDocument/2006/relationships/hyperlink" Target="http://doi.org/10.1162/108819803323059424" TargetMode="External"/><Relationship Id="rId33" Type="http://schemas.openxmlformats.org/officeDocument/2006/relationships/hyperlink" Target="http://doi.org/10.1002/bbb.189"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29" Type="http://schemas.openxmlformats.org/officeDocument/2006/relationships/hyperlink" Target="http://brew.geo.uu.nl/BREW_Final_Report_September_200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doi.org/10.1021/cr200162d" TargetMode="External"/><Relationship Id="rId32" Type="http://schemas.openxmlformats.org/officeDocument/2006/relationships/hyperlink" Target="http://doi.org/10.1007/s10924-008-0092-9"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foodproductiondaily.com/Packaging/Price-stabilization-of-bioplastics-expected-in-2015" TargetMode="External"/><Relationship Id="rId28" Type="http://schemas.openxmlformats.org/officeDocument/2006/relationships/hyperlink" Target="https://sarahmosko.wordpress.com/2012/10/08/bioplastics-are-they-the-solution/" TargetMode="External"/><Relationship Id="rId36"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chart" Target="charts/chart1.xml"/><Relationship Id="rId31" Type="http://schemas.openxmlformats.org/officeDocument/2006/relationships/hyperlink" Target="http://doi.org/10.1038/494169a"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s://books.google.com/books?id=BhlkvI9tossC&amp;pg=PA989&amp;lpg=PA989&amp;dq=biopolymer+price&amp;source=bl&amp;ots=lh8V46QEdG&amp;sig=7sHVNX8QXbFOmVPbbZ3rgVlLIGI&amp;hl=en&amp;sa=X&amp;ei=AIvvVKSGFM7qoATK8IHgBA&amp;ved=0CDEQ6AEwBDgK" TargetMode="External"/><Relationship Id="rId27" Type="http://schemas.openxmlformats.org/officeDocument/2006/relationships/hyperlink" Target="http://doi.org/10.1016/j.polymdegradstab.2013.06.016" TargetMode="External"/><Relationship Id="rId30" Type="http://schemas.openxmlformats.org/officeDocument/2006/relationships/hyperlink" Target="https://www.natureworksllc.com/~/media/Files/NatureWorks/What-is-Ingeo/Why-it-Matters/LCA/PEA_Cup_Lid_LCA_FullReport_ReviewStatement_121209_pdf.pdf?la=en"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usda.gov/media/blog/2018/09/19/new-industrial-revolution-plastics" TargetMode="External"/><Relationship Id="rId2" Type="http://schemas.openxmlformats.org/officeDocument/2006/relationships/hyperlink" Target="https://doi.org/10.1021/cr200162d" TargetMode="External"/><Relationship Id="rId1" Type="http://schemas.openxmlformats.org/officeDocument/2006/relationships/hyperlink" Target="https://www.ifbb-hannover.de/files/IfBB/downloads/faltblaetter_broschueren/Biopolymers-Facts-Statistics-2018.pdf" TargetMode="External"/><Relationship Id="rId5" Type="http://schemas.openxmlformats.org/officeDocument/2006/relationships/hyperlink" Target="https://doi.org/10.1021/acs.est.5b05589" TargetMode="External"/><Relationship Id="rId4" Type="http://schemas.openxmlformats.org/officeDocument/2006/relationships/hyperlink" Target="https://doi.org/10.1002/bbb.1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mrg/Library/Containers/com.apple.mail/Data/Library/Mail%20Downloads/330249B7-0752-40B7-B499-10DBDA20EF33/MRGBioplastics-RRS-DEC2019-UpdatedScenarios.xlsm"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mrg/Library/Containers/com.apple.mail/Data/Library/Mail%20Downloads/7EA2B821-D71F-4522-8E94-149162D03AB5/CO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2000"/>
              <a:t>World Adoption of Bioplastics to 2050</a:t>
            </a:r>
          </a:p>
        </c:rich>
      </c:tx>
      <c:overlay val="0"/>
    </c:title>
    <c:autoTitleDeleted val="0"/>
    <c:plotArea>
      <c:layout/>
      <c:scatterChart>
        <c:scatterStyle val="lineMarker"/>
        <c:varyColors val="0"/>
        <c:ser>
          <c:idx val="7"/>
          <c:order val="0"/>
          <c:tx>
            <c:v>PDS1</c:v>
          </c:tx>
          <c:spPr>
            <a:ln w="28575">
              <a:prstDash val="dash"/>
            </a:ln>
          </c:spPr>
          <c:marker>
            <c:spPr>
              <a:noFill/>
              <a:ln>
                <a:noFill/>
              </a:ln>
            </c:spPr>
          </c:marker>
          <c:xVal>
            <c:numRef>
              <c:f>'Custom PDS Adoption'!$A$23:$A$71</c:f>
              <c:numCache>
                <c:formatCode>0</c:formatCode>
                <c:ptCount val="49"/>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pt idx="31">
                  <c:v>2043</c:v>
                </c:pt>
                <c:pt idx="32">
                  <c:v>2044</c:v>
                </c:pt>
                <c:pt idx="33">
                  <c:v>2045</c:v>
                </c:pt>
                <c:pt idx="34">
                  <c:v>2046</c:v>
                </c:pt>
                <c:pt idx="35">
                  <c:v>2047</c:v>
                </c:pt>
                <c:pt idx="36">
                  <c:v>2048</c:v>
                </c:pt>
                <c:pt idx="37">
                  <c:v>2049</c:v>
                </c:pt>
                <c:pt idx="38">
                  <c:v>2050</c:v>
                </c:pt>
                <c:pt idx="39">
                  <c:v>2051</c:v>
                </c:pt>
                <c:pt idx="40">
                  <c:v>2052</c:v>
                </c:pt>
                <c:pt idx="41">
                  <c:v>2053</c:v>
                </c:pt>
                <c:pt idx="42">
                  <c:v>2054</c:v>
                </c:pt>
                <c:pt idx="43">
                  <c:v>2055</c:v>
                </c:pt>
                <c:pt idx="44">
                  <c:v>2056</c:v>
                </c:pt>
                <c:pt idx="45">
                  <c:v>2057</c:v>
                </c:pt>
                <c:pt idx="46">
                  <c:v>2058</c:v>
                </c:pt>
                <c:pt idx="47">
                  <c:v>2059</c:v>
                </c:pt>
                <c:pt idx="48">
                  <c:v>2060</c:v>
                </c:pt>
              </c:numCache>
            </c:numRef>
          </c:xVal>
          <c:yVal>
            <c:numRef>
              <c:f>'Custom PDS Adoption'!$B$457:$B$505</c:f>
              <c:numCache>
                <c:formatCode>General</c:formatCode>
                <c:ptCount val="49"/>
                <c:pt idx="2" formatCode="#,##0">
                  <c:v>1.7</c:v>
                </c:pt>
                <c:pt idx="3" formatCode="#,##0">
                  <c:v>2.0299999999999998</c:v>
                </c:pt>
                <c:pt idx="4" formatCode="#,##0">
                  <c:v>2.0499999999999998</c:v>
                </c:pt>
                <c:pt idx="5" formatCode="#,##0">
                  <c:v>2.27</c:v>
                </c:pt>
                <c:pt idx="6" formatCode="#,##0">
                  <c:v>2.1099999999999852</c:v>
                </c:pt>
                <c:pt idx="7" formatCode="#,##0">
                  <c:v>2.211199999999991</c:v>
                </c:pt>
                <c:pt idx="8" formatCode="#,##0">
                  <c:v>2.3123999999999967</c:v>
                </c:pt>
                <c:pt idx="9" formatCode="#,##0">
                  <c:v>2.413599999999974</c:v>
                </c:pt>
                <c:pt idx="10" formatCode="#,##0">
                  <c:v>2.5147999999999797</c:v>
                </c:pt>
                <c:pt idx="11" formatCode="#,##0">
                  <c:v>2.6159999999999854</c:v>
                </c:pt>
                <c:pt idx="12" formatCode="#,##0">
                  <c:v>3.666790941497311</c:v>
                </c:pt>
                <c:pt idx="13" formatCode="#,##0">
                  <c:v>4.5678132564062253</c:v>
                </c:pt>
                <c:pt idx="14" formatCode="#,##0">
                  <c:v>5.6675428241724148</c:v>
                </c:pt>
                <c:pt idx="15" formatCode="#,##0">
                  <c:v>6.9661754110711627</c:v>
                </c:pt>
                <c:pt idx="16" formatCode="#,##0">
                  <c:v>8.4639067831449211</c:v>
                </c:pt>
                <c:pt idx="17" formatCode="#,##0">
                  <c:v>10.160932706610765</c:v>
                </c:pt>
                <c:pt idx="18" formatCode="#,##0">
                  <c:v>12.057448947627563</c:v>
                </c:pt>
                <c:pt idx="19" formatCode="#,##0">
                  <c:v>14.153651272470597</c:v>
                </c:pt>
                <c:pt idx="20" formatCode="#,##0">
                  <c:v>16.44973544718232</c:v>
                </c:pt>
                <c:pt idx="21" formatCode="#,##0">
                  <c:v>18.945897238038015</c:v>
                </c:pt>
                <c:pt idx="22" formatCode="#,##0">
                  <c:v>21.642332411254756</c:v>
                </c:pt>
                <c:pt idx="23" formatCode="#,##0">
                  <c:v>24.539236732874997</c:v>
                </c:pt>
                <c:pt idx="24" formatCode="#,##0">
                  <c:v>27.636805969232228</c:v>
                </c:pt>
                <c:pt idx="25" formatCode="#,##0">
                  <c:v>30.935235886368901</c:v>
                </c:pt>
                <c:pt idx="26" formatCode="#,##0">
                  <c:v>34.434722250560299</c:v>
                </c:pt>
                <c:pt idx="27" formatCode="#,##0">
                  <c:v>38.135460827907082</c:v>
                </c:pt>
                <c:pt idx="28" formatCode="#,##0">
                  <c:v>42.037647384684533</c:v>
                </c:pt>
                <c:pt idx="29" formatCode="#,##0">
                  <c:v>46.141477686935104</c:v>
                </c:pt>
                <c:pt idx="30" formatCode="#,##0">
                  <c:v>50.447147500992287</c:v>
                </c:pt>
                <c:pt idx="31" formatCode="#,##0">
                  <c:v>54.954852592898533</c:v>
                </c:pt>
                <c:pt idx="32" formatCode="#,##0">
                  <c:v>59.664788728929125</c:v>
                </c:pt>
                <c:pt idx="33" formatCode="#,##0">
                  <c:v>64.577151675184723</c:v>
                </c:pt>
                <c:pt idx="34" formatCode="#,##0">
                  <c:v>69.69213719794061</c:v>
                </c:pt>
                <c:pt idx="35" formatCode="#,##0">
                  <c:v>75.009941063297447</c:v>
                </c:pt>
                <c:pt idx="36" formatCode="#,##0">
                  <c:v>80.530759037472308</c:v>
                </c:pt>
                <c:pt idx="37" formatCode="#,##0">
                  <c:v>86.254786886624061</c:v>
                </c:pt>
                <c:pt idx="38" formatCode="#,##0">
                  <c:v>92.182220376911573</c:v>
                </c:pt>
                <c:pt idx="39" formatCode="#,##0">
                  <c:v>98.313255274610128</c:v>
                </c:pt>
                <c:pt idx="40" formatCode="#,##0">
                  <c:v>104.64808734576218</c:v>
                </c:pt>
                <c:pt idx="41" formatCode="#,##0">
                  <c:v>111.18691235664301</c:v>
                </c:pt>
                <c:pt idx="42" formatCode="#,##0">
                  <c:v>117.92992607335327</c:v>
                </c:pt>
                <c:pt idx="43" formatCode="#,##0">
                  <c:v>124.87732426216826</c:v>
                </c:pt>
                <c:pt idx="44" formatCode="#,##0">
                  <c:v>132.02930268924683</c:v>
                </c:pt>
                <c:pt idx="45" formatCode="#,##0">
                  <c:v>139.38605712068966</c:v>
                </c:pt>
                <c:pt idx="46" formatCode="#,##0">
                  <c:v>146.94778332277201</c:v>
                </c:pt>
                <c:pt idx="47" formatCode="#,##0">
                  <c:v>154.71467706159456</c:v>
                </c:pt>
                <c:pt idx="48" formatCode="#,##0">
                  <c:v>162.68693410337437</c:v>
                </c:pt>
              </c:numCache>
            </c:numRef>
          </c:yVal>
          <c:smooth val="0"/>
          <c:extLst>
            <c:ext xmlns:c16="http://schemas.microsoft.com/office/drawing/2014/chart" uri="{C3380CC4-5D6E-409C-BE32-E72D297353CC}">
              <c16:uniqueId val="{00000000-311B-D74B-8F39-2C3D4CAB5811}"/>
            </c:ext>
          </c:extLst>
        </c:ser>
        <c:ser>
          <c:idx val="8"/>
          <c:order val="1"/>
          <c:tx>
            <c:v>PDS2</c:v>
          </c:tx>
          <c:spPr>
            <a:ln w="28575">
              <a:prstDash val="dashDot"/>
            </a:ln>
          </c:spPr>
          <c:marker>
            <c:spPr>
              <a:noFill/>
              <a:ln>
                <a:noFill/>
              </a:ln>
            </c:spPr>
          </c:marker>
          <c:xVal>
            <c:numRef>
              <c:f>'Custom PDS Adoption'!$A$23:$A$71</c:f>
              <c:numCache>
                <c:formatCode>0</c:formatCode>
                <c:ptCount val="49"/>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pt idx="31">
                  <c:v>2043</c:v>
                </c:pt>
                <c:pt idx="32">
                  <c:v>2044</c:v>
                </c:pt>
                <c:pt idx="33">
                  <c:v>2045</c:v>
                </c:pt>
                <c:pt idx="34">
                  <c:v>2046</c:v>
                </c:pt>
                <c:pt idx="35">
                  <c:v>2047</c:v>
                </c:pt>
                <c:pt idx="36">
                  <c:v>2048</c:v>
                </c:pt>
                <c:pt idx="37">
                  <c:v>2049</c:v>
                </c:pt>
                <c:pt idx="38">
                  <c:v>2050</c:v>
                </c:pt>
                <c:pt idx="39">
                  <c:v>2051</c:v>
                </c:pt>
                <c:pt idx="40">
                  <c:v>2052</c:v>
                </c:pt>
                <c:pt idx="41">
                  <c:v>2053</c:v>
                </c:pt>
                <c:pt idx="42">
                  <c:v>2054</c:v>
                </c:pt>
                <c:pt idx="43">
                  <c:v>2055</c:v>
                </c:pt>
                <c:pt idx="44">
                  <c:v>2056</c:v>
                </c:pt>
                <c:pt idx="45">
                  <c:v>2057</c:v>
                </c:pt>
                <c:pt idx="46">
                  <c:v>2058</c:v>
                </c:pt>
                <c:pt idx="47">
                  <c:v>2059</c:v>
                </c:pt>
                <c:pt idx="48">
                  <c:v>2060</c:v>
                </c:pt>
              </c:numCache>
            </c:numRef>
          </c:xVal>
          <c:yVal>
            <c:numRef>
              <c:f>'Custom PDS Adoption'!$B$511:$B$559</c:f>
              <c:numCache>
                <c:formatCode>General</c:formatCode>
                <c:ptCount val="49"/>
                <c:pt idx="2" formatCode="#,##0">
                  <c:v>1.7</c:v>
                </c:pt>
                <c:pt idx="3" formatCode="#,##0">
                  <c:v>2.0299999999999998</c:v>
                </c:pt>
                <c:pt idx="4" formatCode="#,##0">
                  <c:v>2.0499999999999998</c:v>
                </c:pt>
                <c:pt idx="5" formatCode="#,##0">
                  <c:v>2.27</c:v>
                </c:pt>
                <c:pt idx="6" formatCode="#,##0">
                  <c:v>2.1100000000000136</c:v>
                </c:pt>
                <c:pt idx="7" formatCode="#,##0">
                  <c:v>2.2120000000000175</c:v>
                </c:pt>
                <c:pt idx="8" formatCode="#,##0">
                  <c:v>2.3140000000000214</c:v>
                </c:pt>
                <c:pt idx="9" formatCode="#,##0">
                  <c:v>2.4160000000000252</c:v>
                </c:pt>
                <c:pt idx="10" formatCode="#,##0">
                  <c:v>2.5180000000000291</c:v>
                </c:pt>
                <c:pt idx="11" formatCode="#,##0">
                  <c:v>2.6200000000000045</c:v>
                </c:pt>
                <c:pt idx="12" formatCode="#,##0">
                  <c:v>6.5650350579526275</c:v>
                </c:pt>
                <c:pt idx="13" formatCode="#,##0">
                  <c:v>9.903950645821169</c:v>
                </c:pt>
                <c:pt idx="14" formatCode="#,##0">
                  <c:v>14.047043510247022</c:v>
                </c:pt>
                <c:pt idx="15" formatCode="#,##0">
                  <c:v>18.995106076123193</c:v>
                </c:pt>
                <c:pt idx="16" formatCode="#,##0">
                  <c:v>24.748930767644197</c:v>
                </c:pt>
                <c:pt idx="17" formatCode="#,##0">
                  <c:v>31.309310009470209</c:v>
                </c:pt>
                <c:pt idx="18" formatCode="#,##0">
                  <c:v>38.677036226727068</c:v>
                </c:pt>
                <c:pt idx="19" formatCode="#,##0">
                  <c:v>46.852901843376458</c:v>
                </c:pt>
                <c:pt idx="20" formatCode="#,##0">
                  <c:v>55.837699284311384</c:v>
                </c:pt>
                <c:pt idx="21" formatCode="#,##0">
                  <c:v>65.632220974424854</c:v>
                </c:pt>
                <c:pt idx="22" formatCode="#,##0">
                  <c:v>76.237259338144213</c:v>
                </c:pt>
                <c:pt idx="23" formatCode="#,##0">
                  <c:v>87.653606799896806</c:v>
                </c:pt>
                <c:pt idx="24" formatCode="#,##0">
                  <c:v>99.882055784575641</c:v>
                </c:pt>
                <c:pt idx="25" formatCode="#,##0">
                  <c:v>112.92339871684089</c:v>
                </c:pt>
                <c:pt idx="26" formatCode="#,##0">
                  <c:v>126.77842802088708</c:v>
                </c:pt>
                <c:pt idx="27" formatCode="#,##0">
                  <c:v>141.44793612184003</c:v>
                </c:pt>
                <c:pt idx="28" formatCode="#,##0">
                  <c:v>156.9327154441271</c:v>
                </c:pt>
                <c:pt idx="29" formatCode="#,##0">
                  <c:v>173.23355841217563</c:v>
                </c:pt>
                <c:pt idx="30" formatCode="#,##0">
                  <c:v>190.35125745111145</c:v>
                </c:pt>
                <c:pt idx="31" formatCode="#,##0">
                  <c:v>208.28660498512909</c:v>
                </c:pt>
                <c:pt idx="32" formatCode="#,##0">
                  <c:v>227.04039343912154</c:v>
                </c:pt>
                <c:pt idx="33" formatCode="#,##0">
                  <c:v>246.6134152370505</c:v>
                </c:pt>
                <c:pt idx="34" formatCode="#,##0">
                  <c:v>267.00646280474029</c:v>
                </c:pt>
                <c:pt idx="35" formatCode="#,##0">
                  <c:v>288.22032856568694</c:v>
                </c:pt>
                <c:pt idx="36" formatCode="#,##0">
                  <c:v>310.25580494501628</c:v>
                </c:pt>
                <c:pt idx="37" formatCode="#,##0">
                  <c:v>333.11368436738849</c:v>
                </c:pt>
                <c:pt idx="38" formatCode="#,##0">
                  <c:v>356.79475925723091</c:v>
                </c:pt>
                <c:pt idx="39" formatCode="#,##0">
                  <c:v>381.29982203943655</c:v>
                </c:pt>
                <c:pt idx="40" formatCode="#,##0">
                  <c:v>406.62966513843276</c:v>
                </c:pt>
                <c:pt idx="41" formatCode="#,##0">
                  <c:v>432.78508097887971</c:v>
                </c:pt>
                <c:pt idx="42" formatCode="#,##0">
                  <c:v>459.76686198543757</c:v>
                </c:pt>
                <c:pt idx="43" formatCode="#,##0">
                  <c:v>487.5758005825337</c:v>
                </c:pt>
                <c:pt idx="44" formatCode="#,##0">
                  <c:v>516.2126891950611</c:v>
                </c:pt>
                <c:pt idx="45" formatCode="#,##0">
                  <c:v>545.67832024744712</c:v>
                </c:pt>
                <c:pt idx="46" formatCode="#,##0">
                  <c:v>575.97348616435193</c:v>
                </c:pt>
                <c:pt idx="47" formatCode="#,##0">
                  <c:v>607.09897937066853</c:v>
                </c:pt>
                <c:pt idx="48" formatCode="#,##0">
                  <c:v>639.05559229059145</c:v>
                </c:pt>
              </c:numCache>
            </c:numRef>
          </c:yVal>
          <c:smooth val="0"/>
          <c:extLst>
            <c:ext xmlns:c16="http://schemas.microsoft.com/office/drawing/2014/chart" uri="{C3380CC4-5D6E-409C-BE32-E72D297353CC}">
              <c16:uniqueId val="{00000001-311B-D74B-8F39-2C3D4CAB5811}"/>
            </c:ext>
          </c:extLst>
        </c:ser>
        <c:ser>
          <c:idx val="9"/>
          <c:order val="2"/>
          <c:tx>
            <c:v>PDS3</c:v>
          </c:tx>
          <c:spPr>
            <a:ln w="28575">
              <a:prstDash val="sysDash"/>
            </a:ln>
          </c:spPr>
          <c:marker>
            <c:spPr>
              <a:noFill/>
              <a:ln>
                <a:noFill/>
              </a:ln>
            </c:spPr>
          </c:marker>
          <c:xVal>
            <c:numRef>
              <c:f>'Custom PDS Adoption'!$A$23:$A$71</c:f>
              <c:numCache>
                <c:formatCode>0</c:formatCode>
                <c:ptCount val="49"/>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pt idx="14">
                  <c:v>2026</c:v>
                </c:pt>
                <c:pt idx="15">
                  <c:v>2027</c:v>
                </c:pt>
                <c:pt idx="16">
                  <c:v>2028</c:v>
                </c:pt>
                <c:pt idx="17">
                  <c:v>2029</c:v>
                </c:pt>
                <c:pt idx="18">
                  <c:v>2030</c:v>
                </c:pt>
                <c:pt idx="19">
                  <c:v>2031</c:v>
                </c:pt>
                <c:pt idx="20">
                  <c:v>2032</c:v>
                </c:pt>
                <c:pt idx="21">
                  <c:v>2033</c:v>
                </c:pt>
                <c:pt idx="22">
                  <c:v>2034</c:v>
                </c:pt>
                <c:pt idx="23">
                  <c:v>2035</c:v>
                </c:pt>
                <c:pt idx="24">
                  <c:v>2036</c:v>
                </c:pt>
                <c:pt idx="25">
                  <c:v>2037</c:v>
                </c:pt>
                <c:pt idx="26">
                  <c:v>2038</c:v>
                </c:pt>
                <c:pt idx="27">
                  <c:v>2039</c:v>
                </c:pt>
                <c:pt idx="28">
                  <c:v>2040</c:v>
                </c:pt>
                <c:pt idx="29">
                  <c:v>2041</c:v>
                </c:pt>
                <c:pt idx="30">
                  <c:v>2042</c:v>
                </c:pt>
                <c:pt idx="31">
                  <c:v>2043</c:v>
                </c:pt>
                <c:pt idx="32">
                  <c:v>2044</c:v>
                </c:pt>
                <c:pt idx="33">
                  <c:v>2045</c:v>
                </c:pt>
                <c:pt idx="34">
                  <c:v>2046</c:v>
                </c:pt>
                <c:pt idx="35">
                  <c:v>2047</c:v>
                </c:pt>
                <c:pt idx="36">
                  <c:v>2048</c:v>
                </c:pt>
                <c:pt idx="37">
                  <c:v>2049</c:v>
                </c:pt>
                <c:pt idx="38">
                  <c:v>2050</c:v>
                </c:pt>
                <c:pt idx="39">
                  <c:v>2051</c:v>
                </c:pt>
                <c:pt idx="40">
                  <c:v>2052</c:v>
                </c:pt>
                <c:pt idx="41">
                  <c:v>2053</c:v>
                </c:pt>
                <c:pt idx="42">
                  <c:v>2054</c:v>
                </c:pt>
                <c:pt idx="43">
                  <c:v>2055</c:v>
                </c:pt>
                <c:pt idx="44">
                  <c:v>2056</c:v>
                </c:pt>
                <c:pt idx="45">
                  <c:v>2057</c:v>
                </c:pt>
                <c:pt idx="46">
                  <c:v>2058</c:v>
                </c:pt>
                <c:pt idx="47">
                  <c:v>2059</c:v>
                </c:pt>
                <c:pt idx="48">
                  <c:v>2060</c:v>
                </c:pt>
              </c:numCache>
            </c:numRef>
          </c:xVal>
          <c:yVal>
            <c:numRef>
              <c:f>'Custom PDS Adoption'!$B$565:$B$613</c:f>
              <c:numCache>
                <c:formatCode>General</c:formatCode>
                <c:ptCount val="49"/>
                <c:pt idx="2" formatCode="#,##0">
                  <c:v>1.7</c:v>
                </c:pt>
                <c:pt idx="3" formatCode="#,##0">
                  <c:v>2.0299999999999998</c:v>
                </c:pt>
                <c:pt idx="4" formatCode="#,##0">
                  <c:v>2.0499999999999998</c:v>
                </c:pt>
                <c:pt idx="5" formatCode="#,##0">
                  <c:v>2.27</c:v>
                </c:pt>
                <c:pt idx="6" formatCode="#,##0">
                  <c:v>2.1100000000001273</c:v>
                </c:pt>
                <c:pt idx="7" formatCode="#,##0">
                  <c:v>2.9085714285715767</c:v>
                </c:pt>
                <c:pt idx="8" formatCode="#,##0">
                  <c:v>3.707142857143026</c:v>
                </c:pt>
                <c:pt idx="9" formatCode="#,##0">
                  <c:v>4.505714285714248</c:v>
                </c:pt>
                <c:pt idx="10" formatCode="#,##0">
                  <c:v>5.3042857142856974</c:v>
                </c:pt>
                <c:pt idx="11" formatCode="#,##0">
                  <c:v>6.1028571428571468</c:v>
                </c:pt>
                <c:pt idx="12" formatCode="#,##0">
                  <c:v>6.9014285714285961</c:v>
                </c:pt>
                <c:pt idx="13" formatCode="#,##0">
                  <c:v>7.7000000000000455</c:v>
                </c:pt>
                <c:pt idx="14" formatCode="#,##0">
                  <c:v>10.01507231593132</c:v>
                </c:pt>
                <c:pt idx="15" formatCode="#,##0">
                  <c:v>12.796174675226212</c:v>
                </c:pt>
                <c:pt idx="16" formatCode="#,##0">
                  <c:v>16.557258695363998</c:v>
                </c:pt>
                <c:pt idx="17" formatCode="#,##0">
                  <c:v>21.475166767835617</c:v>
                </c:pt>
                <c:pt idx="18" formatCode="#,##0">
                  <c:v>27.726740807294846</c:v>
                </c:pt>
                <c:pt idx="19" formatCode="#,##0">
                  <c:v>35.488823384046555</c:v>
                </c:pt>
                <c:pt idx="20" formatCode="#,##0">
                  <c:v>44.938256591558456</c:v>
                </c:pt>
                <c:pt idx="21" formatCode="#,##0">
                  <c:v>56.251882582902908</c:v>
                </c:pt>
                <c:pt idx="22" formatCode="#,##0">
                  <c:v>69.606543749570847</c:v>
                </c:pt>
                <c:pt idx="23" formatCode="#,##0">
                  <c:v>85.179082244634628</c:v>
                </c:pt>
                <c:pt idx="24" formatCode="#,##0">
                  <c:v>103.14634022116661</c:v>
                </c:pt>
                <c:pt idx="25" formatCode="#,##0">
                  <c:v>123.68516001105309</c:v>
                </c:pt>
                <c:pt idx="26" formatCode="#,##0">
                  <c:v>146.97238382697105</c:v>
                </c:pt>
                <c:pt idx="27" formatCode="#,##0">
                  <c:v>173.18485388159752</c:v>
                </c:pt>
                <c:pt idx="28" formatCode="#,##0">
                  <c:v>202.49941232800484</c:v>
                </c:pt>
                <c:pt idx="29" formatCode="#,##0">
                  <c:v>235.09290143847466</c:v>
                </c:pt>
                <c:pt idx="30" formatCode="#,##0">
                  <c:v>271.1421637237072</c:v>
                </c:pt>
                <c:pt idx="31" formatCode="#,##0">
                  <c:v>310.82404085993767</c:v>
                </c:pt>
                <c:pt idx="32" formatCode="#,##0">
                  <c:v>354.31537553668022</c:v>
                </c:pt>
                <c:pt idx="33" formatCode="#,##0">
                  <c:v>401.79300984740257</c:v>
                </c:pt>
                <c:pt idx="34" formatCode="#,##0">
                  <c:v>453.43378600478172</c:v>
                </c:pt>
                <c:pt idx="35" formatCode="#,##0">
                  <c:v>509.41454616189003</c:v>
                </c:pt>
                <c:pt idx="36" formatCode="#,##0">
                  <c:v>569.91213259100914</c:v>
                </c:pt>
                <c:pt idx="37" formatCode="#,##0">
                  <c:v>635.1033875644207</c:v>
                </c:pt>
                <c:pt idx="38" formatCode="#,##0">
                  <c:v>705.16515335440636</c:v>
                </c:pt>
                <c:pt idx="39" formatCode="#,##0">
                  <c:v>780.2742722928524</c:v>
                </c:pt>
                <c:pt idx="40" formatCode="#,##0">
                  <c:v>784</c:v>
                </c:pt>
                <c:pt idx="41" formatCode="#,##0">
                  <c:v>784</c:v>
                </c:pt>
                <c:pt idx="42" formatCode="#,##0">
                  <c:v>784</c:v>
                </c:pt>
                <c:pt idx="43" formatCode="#,##0">
                  <c:v>784</c:v>
                </c:pt>
                <c:pt idx="44" formatCode="#,##0">
                  <c:v>784</c:v>
                </c:pt>
                <c:pt idx="45" formatCode="#,##0">
                  <c:v>784</c:v>
                </c:pt>
                <c:pt idx="46" formatCode="#,##0">
                  <c:v>784</c:v>
                </c:pt>
                <c:pt idx="47" formatCode="#,##0">
                  <c:v>784</c:v>
                </c:pt>
                <c:pt idx="48" formatCode="#,##0">
                  <c:v>784</c:v>
                </c:pt>
              </c:numCache>
            </c:numRef>
          </c:yVal>
          <c:smooth val="0"/>
          <c:extLst>
            <c:ext xmlns:c16="http://schemas.microsoft.com/office/drawing/2014/chart" uri="{C3380CC4-5D6E-409C-BE32-E72D297353CC}">
              <c16:uniqueId val="{00000002-311B-D74B-8F39-2C3D4CAB5811}"/>
            </c:ext>
          </c:extLst>
        </c:ser>
        <c:ser>
          <c:idx val="10"/>
          <c:order val="3"/>
          <c:tx>
            <c:v>TAM</c:v>
          </c:tx>
          <c:spPr>
            <a:ln w="22225">
              <a:solidFill>
                <a:schemeClr val="tx1"/>
              </a:solidFill>
            </a:ln>
          </c:spPr>
          <c:marker>
            <c:spPr>
              <a:noFill/>
              <a:ln>
                <a:noFill/>
              </a:ln>
            </c:spPr>
          </c:marker>
          <c:xVal>
            <c:numRef>
              <c:f>'Custom PDS Adoption'!$A$25:$A$71</c:f>
              <c:numCache>
                <c:formatCode>0</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xVal>
          <c:yVal>
            <c:numRef>
              <c:f>'Unit Adoption Calculations'!$B$69:$B$115</c:f>
              <c:numCache>
                <c:formatCode>_-* #,##0_-;\-* #,##0_-;_-* "-"??_-;_-@_-</c:formatCode>
                <c:ptCount val="47"/>
                <c:pt idx="0">
                  <c:v>311</c:v>
                </c:pt>
                <c:pt idx="1">
                  <c:v>318.43190492399771</c:v>
                </c:pt>
                <c:pt idx="2">
                  <c:v>325.99238984806294</c:v>
                </c:pt>
                <c:pt idx="3">
                  <c:v>333.95392543692475</c:v>
                </c:pt>
                <c:pt idx="4">
                  <c:v>342.31068184555227</c:v>
                </c:pt>
                <c:pt idx="5">
                  <c:v>351.05682922891447</c:v>
                </c:pt>
                <c:pt idx="6">
                  <c:v>360.18653774198049</c:v>
                </c:pt>
                <c:pt idx="7">
                  <c:v>369.6939775397193</c:v>
                </c:pt>
                <c:pt idx="8">
                  <c:v>379.57331877709993</c:v>
                </c:pt>
                <c:pt idx="9">
                  <c:v>389.81873160909151</c:v>
                </c:pt>
                <c:pt idx="10">
                  <c:v>400.42438619066303</c:v>
                </c:pt>
                <c:pt idx="11">
                  <c:v>411.38445267678355</c:v>
                </c:pt>
                <c:pt idx="12">
                  <c:v>422.69310122242211</c:v>
                </c:pt>
                <c:pt idx="13">
                  <c:v>434.34450198254774</c:v>
                </c:pt>
                <c:pt idx="14">
                  <c:v>446.33282511212951</c:v>
                </c:pt>
                <c:pt idx="15">
                  <c:v>458.65224076613652</c:v>
                </c:pt>
                <c:pt idx="16">
                  <c:v>471.29691909953766</c:v>
                </c:pt>
                <c:pt idx="17">
                  <c:v>484.26103026730209</c:v>
                </c:pt>
                <c:pt idx="18">
                  <c:v>497.53874442439883</c:v>
                </c:pt>
                <c:pt idx="19">
                  <c:v>511.1242317257969</c:v>
                </c:pt>
                <c:pt idx="20">
                  <c:v>525.0116623264654</c:v>
                </c:pt>
                <c:pt idx="21">
                  <c:v>539.1952063813734</c:v>
                </c:pt>
                <c:pt idx="22">
                  <c:v>553.66903404548975</c:v>
                </c:pt>
                <c:pt idx="23">
                  <c:v>568.42731547378378</c:v>
                </c:pt>
                <c:pt idx="24">
                  <c:v>583.46422082122433</c:v>
                </c:pt>
                <c:pt idx="25">
                  <c:v>598.77392024278049</c:v>
                </c:pt>
                <c:pt idx="26">
                  <c:v>614.35058389342134</c:v>
                </c:pt>
                <c:pt idx="27">
                  <c:v>630.18838192811586</c:v>
                </c:pt>
                <c:pt idx="28">
                  <c:v>646.28148450183323</c:v>
                </c:pt>
                <c:pt idx="29">
                  <c:v>662.62406176954232</c:v>
                </c:pt>
                <c:pt idx="30">
                  <c:v>679.21028388621244</c:v>
                </c:pt>
                <c:pt idx="31">
                  <c:v>696.03432100681221</c:v>
                </c:pt>
                <c:pt idx="32">
                  <c:v>713.09034328631105</c:v>
                </c:pt>
                <c:pt idx="33">
                  <c:v>730.37252087967795</c:v>
                </c:pt>
                <c:pt idx="34">
                  <c:v>747.87502394188164</c:v>
                </c:pt>
                <c:pt idx="35">
                  <c:v>765.59202262789165</c:v>
                </c:pt>
                <c:pt idx="36">
                  <c:v>783.51768709267662</c:v>
                </c:pt>
                <c:pt idx="37">
                  <c:v>801.64618749120586</c:v>
                </c:pt>
                <c:pt idx="38">
                  <c:v>819.97169397844823</c:v>
                </c:pt>
                <c:pt idx="39">
                  <c:v>838.48837670937291</c:v>
                </c:pt>
                <c:pt idx="40">
                  <c:v>857.19040583894889</c:v>
                </c:pt>
                <c:pt idx="41">
                  <c:v>876.07195152214524</c:v>
                </c:pt>
                <c:pt idx="42">
                  <c:v>895.12718391393093</c:v>
                </c:pt>
                <c:pt idx="43">
                  <c:v>914.35027316927506</c:v>
                </c:pt>
                <c:pt idx="44">
                  <c:v>933.73538944314669</c:v>
                </c:pt>
                <c:pt idx="45">
                  <c:v>953.27670289051491</c:v>
                </c:pt>
                <c:pt idx="46">
                  <c:v>972.96838366634859</c:v>
                </c:pt>
              </c:numCache>
            </c:numRef>
          </c:yVal>
          <c:smooth val="0"/>
          <c:extLst>
            <c:ext xmlns:c16="http://schemas.microsoft.com/office/drawing/2014/chart" uri="{C3380CC4-5D6E-409C-BE32-E72D297353CC}">
              <c16:uniqueId val="{00000003-311B-D74B-8F39-2C3D4CAB5811}"/>
            </c:ext>
          </c:extLst>
        </c:ser>
        <c:dLbls>
          <c:showLegendKey val="0"/>
          <c:showVal val="0"/>
          <c:showCatName val="0"/>
          <c:showSerName val="0"/>
          <c:showPercent val="0"/>
          <c:showBubbleSize val="0"/>
        </c:dLbls>
        <c:axId val="2095993608"/>
        <c:axId val="2096002024"/>
      </c:scatterChart>
      <c:valAx>
        <c:axId val="2095993608"/>
        <c:scaling>
          <c:orientation val="minMax"/>
          <c:max val="2050"/>
          <c:min val="2015"/>
        </c:scaling>
        <c:delete val="0"/>
        <c:axPos val="b"/>
        <c:title>
          <c:tx>
            <c:rich>
              <a:bodyPr/>
              <a:lstStyle/>
              <a:p>
                <a:pPr>
                  <a:defRPr/>
                </a:pPr>
                <a:r>
                  <a:rPr lang="en-US"/>
                  <a:t>Year</a:t>
                </a:r>
              </a:p>
            </c:rich>
          </c:tx>
          <c:overlay val="0"/>
        </c:title>
        <c:numFmt formatCode="0" sourceLinked="1"/>
        <c:majorTickMark val="out"/>
        <c:minorTickMark val="none"/>
        <c:tickLblPos val="nextTo"/>
        <c:crossAx val="2096002024"/>
        <c:crosses val="autoZero"/>
        <c:crossBetween val="midCat"/>
      </c:valAx>
      <c:valAx>
        <c:axId val="2096002024"/>
        <c:scaling>
          <c:orientation val="minMax"/>
          <c:max val="800"/>
        </c:scaling>
        <c:delete val="0"/>
        <c:axPos val="l"/>
        <c:majorGridlines/>
        <c:title>
          <c:tx>
            <c:rich>
              <a:bodyPr rot="-5400000" vert="horz"/>
              <a:lstStyle/>
              <a:p>
                <a:pPr>
                  <a:defRPr sz="1400"/>
                </a:pPr>
                <a:r>
                  <a:rPr lang="en-US" sz="1400" baseline="0"/>
                  <a:t>MMt Plastic (Functional Unit)</a:t>
                </a:r>
                <a:endParaRPr lang="en-US" sz="1400"/>
              </a:p>
            </c:rich>
          </c:tx>
          <c:overlay val="0"/>
        </c:title>
        <c:numFmt formatCode="General" sourceLinked="1"/>
        <c:majorTickMark val="out"/>
        <c:minorTickMark val="none"/>
        <c:tickLblPos val="nextTo"/>
        <c:crossAx val="2095993608"/>
        <c:crosses val="autoZero"/>
        <c:crossBetween val="midCat"/>
      </c:valAx>
    </c:plotArea>
    <c:legend>
      <c:legendPos val="r"/>
      <c:overlay val="0"/>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CO2 Savings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'/C:/Users/miranda/Desktop/[MRGBioplastics-RRS-DEC2019-UpdatedScenarios.xlsm]Sheet1'!$B$34</c:f>
              <c:strCache>
                <c:ptCount val="1"/>
                <c:pt idx="0">
                  <c:v>PDS1 </c:v>
                </c:pt>
              </c:strCache>
            </c:strRef>
          </c:tx>
          <c:spPr>
            <a:ln w="28575" cap="rnd">
              <a:solidFill>
                <a:schemeClr val="accent1"/>
              </a:solidFill>
              <a:round/>
            </a:ln>
            <a:effectLst/>
          </c:spPr>
          <c:marker>
            <c:symbol val="none"/>
          </c:marker>
          <c:cat>
            <c:numRef>
              <c:f>[1]Sheet1!$A$35:$A$81</c:f>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f>[1]Sheet1!$B$35:$B$81</c:f>
              <c:numCache>
                <c:formatCode>General</c:formatCode>
                <c:ptCount val="47"/>
                <c:pt idx="0">
                  <c:v>312335.43953527015</c:v>
                </c:pt>
                <c:pt idx="1">
                  <c:v>586733.90762517357</c:v>
                </c:pt>
                <c:pt idx="2">
                  <c:v>537370.8300206993</c:v>
                </c:pt>
                <c:pt idx="3">
                  <c:v>696886.16899324302</c:v>
                </c:pt>
                <c:pt idx="4">
                  <c:v>459532.51646943728</c:v>
                </c:pt>
                <c:pt idx="5">
                  <c:v>494974.07599523803</c:v>
                </c:pt>
                <c:pt idx="6">
                  <c:v>530415.63552103913</c:v>
                </c:pt>
                <c:pt idx="7">
                  <c:v>565857.1950468102</c:v>
                </c:pt>
                <c:pt idx="8">
                  <c:v>601298.7545726113</c:v>
                </c:pt>
                <c:pt idx="9">
                  <c:v>636740.31409841229</c:v>
                </c:pt>
                <c:pt idx="10">
                  <c:v>1663927.1349034123</c:v>
                </c:pt>
                <c:pt idx="11">
                  <c:v>2534696.7878349028</c:v>
                </c:pt>
                <c:pt idx="12">
                  <c:v>3612994.7224623775</c:v>
                </c:pt>
                <c:pt idx="13">
                  <c:v>4899025.3955338364</c:v>
                </c:pt>
                <c:pt idx="14">
                  <c:v>6392993.2635541167</c:v>
                </c:pt>
                <c:pt idx="15">
                  <c:v>8095102.7832104247</c:v>
                </c:pt>
                <c:pt idx="16">
                  <c:v>10005558.411129184</c:v>
                </c:pt>
                <c:pt idx="17">
                  <c:v>12124564.604058394</c:v>
                </c:pt>
                <c:pt idx="18">
                  <c:v>14452325.818502884</c:v>
                </c:pt>
                <c:pt idx="19">
                  <c:v>16989046.511210665</c:v>
                </c:pt>
                <c:pt idx="20">
                  <c:v>19734931.138868906</c:v>
                </c:pt>
                <c:pt idx="21">
                  <c:v>22690184.15798251</c:v>
                </c:pt>
                <c:pt idx="22">
                  <c:v>25855010.025360242</c:v>
                </c:pt>
                <c:pt idx="23">
                  <c:v>29229613.197506927</c:v>
                </c:pt>
                <c:pt idx="24">
                  <c:v>32814198.131170578</c:v>
                </c:pt>
                <c:pt idx="25">
                  <c:v>36608969.282916814</c:v>
                </c:pt>
                <c:pt idx="26">
                  <c:v>40614131.109493628</c:v>
                </c:pt>
                <c:pt idx="27">
                  <c:v>44829888.067405879</c:v>
                </c:pt>
                <c:pt idx="28">
                  <c:v>49256444.613462336</c:v>
                </c:pt>
                <c:pt idx="29">
                  <c:v>53894005.204167858</c:v>
                </c:pt>
                <c:pt idx="30">
                  <c:v>58742774.296270415</c:v>
                </c:pt>
                <c:pt idx="31">
                  <c:v>63802956.346335664</c:v>
                </c:pt>
                <c:pt idx="32">
                  <c:v>69074755.811111584</c:v>
                </c:pt>
                <c:pt idx="33">
                  <c:v>74558377.147163823</c:v>
                </c:pt>
                <c:pt idx="34">
                  <c:v>80254024.811179563</c:v>
                </c:pt>
                <c:pt idx="35">
                  <c:v>86161903.259785265</c:v>
                </c:pt>
                <c:pt idx="36">
                  <c:v>92282216.949607283</c:v>
                </c:pt>
                <c:pt idx="37">
                  <c:v>98615170.337393686</c:v>
                </c:pt>
                <c:pt idx="38">
                  <c:v>105160967.87964925</c:v>
                </c:pt>
                <c:pt idx="39">
                  <c:v>111919814.03312203</c:v>
                </c:pt>
                <c:pt idx="40">
                  <c:v>118891913.2543776</c:v>
                </c:pt>
                <c:pt idx="41">
                  <c:v>126077470.00016403</c:v>
                </c:pt>
                <c:pt idx="42">
                  <c:v>133476688.7271077</c:v>
                </c:pt>
                <c:pt idx="43">
                  <c:v>141089773.89177421</c:v>
                </c:pt>
                <c:pt idx="44">
                  <c:v>148916929.95091152</c:v>
                </c:pt>
                <c:pt idx="45">
                  <c:v>156958361.36108541</c:v>
                </c:pt>
                <c:pt idx="46">
                  <c:v>165214272.57898298</c:v>
                </c:pt>
              </c:numCache>
            </c:numRef>
          </c:val>
          <c:smooth val="0"/>
          <c:extLst>
            <c:ext xmlns:c16="http://schemas.microsoft.com/office/drawing/2014/chart" uri="{C3380CC4-5D6E-409C-BE32-E72D297353CC}">
              <c16:uniqueId val="{00000000-E39A-BF4E-87ED-E11989AB38CB}"/>
            </c:ext>
          </c:extLst>
        </c:ser>
        <c:ser>
          <c:idx val="1"/>
          <c:order val="1"/>
          <c:tx>
            <c:strRef>
              <c:f>'/C:/Users/miranda/Desktop/[MRGBioplastics-RRS-DEC2019-UpdatedScenarios.xlsm]Sheet1'!$C$34</c:f>
              <c:strCache>
                <c:ptCount val="1"/>
                <c:pt idx="0">
                  <c:v>PDS2</c:v>
                </c:pt>
              </c:strCache>
            </c:strRef>
          </c:tx>
          <c:spPr>
            <a:ln w="28575" cap="rnd">
              <a:solidFill>
                <a:schemeClr val="accent2"/>
              </a:solidFill>
              <a:round/>
            </a:ln>
            <a:effectLst/>
          </c:spPr>
          <c:marker>
            <c:symbol val="none"/>
          </c:marker>
          <c:cat>
            <c:numRef>
              <c:f>[1]Sheet1!$A$35:$A$81</c:f>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f>[1]Sheet1!$C$35:$C$81</c:f>
              <c:numCache>
                <c:formatCode>General</c:formatCode>
                <c:ptCount val="47"/>
                <c:pt idx="0">
                  <c:v>312335.43953527015</c:v>
                </c:pt>
                <c:pt idx="1">
                  <c:v>586733.90762517357</c:v>
                </c:pt>
                <c:pt idx="2">
                  <c:v>537370.8300206993</c:v>
                </c:pt>
                <c:pt idx="3">
                  <c:v>696886.16899324302</c:v>
                </c:pt>
                <c:pt idx="4">
                  <c:v>459532.51646946697</c:v>
                </c:pt>
                <c:pt idx="5">
                  <c:v>495809.58966157387</c:v>
                </c:pt>
                <c:pt idx="6">
                  <c:v>532086.66285368102</c:v>
                </c:pt>
                <c:pt idx="7">
                  <c:v>568363.73604578816</c:v>
                </c:pt>
                <c:pt idx="8">
                  <c:v>604640.80923789507</c:v>
                </c:pt>
                <c:pt idx="9">
                  <c:v>640917.88242997252</c:v>
                </c:pt>
                <c:pt idx="10">
                  <c:v>4690830.3443976371</c:v>
                </c:pt>
                <c:pt idx="11">
                  <c:v>8107716.4305269793</c:v>
                </c:pt>
                <c:pt idx="12">
                  <c:v>12364478.897528876</c:v>
                </c:pt>
                <c:pt idx="13">
                  <c:v>17461945.347687852</c:v>
                </c:pt>
                <c:pt idx="14">
                  <c:v>23400943.38255896</c:v>
                </c:pt>
                <c:pt idx="15">
                  <c:v>30182300.604183555</c:v>
                </c:pt>
                <c:pt idx="16">
                  <c:v>37806844.615089357</c:v>
                </c:pt>
                <c:pt idx="17">
                  <c:v>46275403.016588219</c:v>
                </c:pt>
                <c:pt idx="18">
                  <c:v>55588803.410964698</c:v>
                </c:pt>
                <c:pt idx="19">
                  <c:v>65747873.400503308</c:v>
                </c:pt>
                <c:pt idx="20">
                  <c:v>76753440.587002248</c:v>
                </c:pt>
                <c:pt idx="21">
                  <c:v>88606332.572259784</c:v>
                </c:pt>
                <c:pt idx="22">
                  <c:v>101307376.95856041</c:v>
                </c:pt>
                <c:pt idx="23">
                  <c:v>114857401.34794545</c:v>
                </c:pt>
                <c:pt idx="24">
                  <c:v>129257233.34197003</c:v>
                </c:pt>
                <c:pt idx="25">
                  <c:v>144507700.54316184</c:v>
                </c:pt>
                <c:pt idx="26">
                  <c:v>160609630.55331901</c:v>
                </c:pt>
                <c:pt idx="27">
                  <c:v>177563850.9742398</c:v>
                </c:pt>
                <c:pt idx="28">
                  <c:v>195371189.40845194</c:v>
                </c:pt>
                <c:pt idx="29">
                  <c:v>214032473.45751035</c:v>
                </c:pt>
                <c:pt idx="30">
                  <c:v>233548530.72369975</c:v>
                </c:pt>
                <c:pt idx="31">
                  <c:v>253920188.80833179</c:v>
                </c:pt>
                <c:pt idx="32">
                  <c:v>275148275.31466389</c:v>
                </c:pt>
                <c:pt idx="33">
                  <c:v>297233617.84352154</c:v>
                </c:pt>
                <c:pt idx="34">
                  <c:v>320177043.99743223</c:v>
                </c:pt>
                <c:pt idx="35">
                  <c:v>343979381.37843776</c:v>
                </c:pt>
                <c:pt idx="36">
                  <c:v>368641457.58833587</c:v>
                </c:pt>
                <c:pt idx="37">
                  <c:v>394164100.22941124</c:v>
                </c:pt>
                <c:pt idx="38">
                  <c:v>420548136.90346229</c:v>
                </c:pt>
                <c:pt idx="39">
                  <c:v>447794395.21253026</c:v>
                </c:pt>
                <c:pt idx="40">
                  <c:v>475903702.75865638</c:v>
                </c:pt>
                <c:pt idx="41">
                  <c:v>504876887.14363897</c:v>
                </c:pt>
                <c:pt idx="42">
                  <c:v>534714775.96976256</c:v>
                </c:pt>
                <c:pt idx="43">
                  <c:v>565418196.83882546</c:v>
                </c:pt>
                <c:pt idx="44">
                  <c:v>596987977.35286868</c:v>
                </c:pt>
                <c:pt idx="45">
                  <c:v>629424945.11417723</c:v>
                </c:pt>
                <c:pt idx="46">
                  <c:v>662729927.72430599</c:v>
                </c:pt>
              </c:numCache>
            </c:numRef>
          </c:val>
          <c:smooth val="0"/>
          <c:extLst>
            <c:ext xmlns:c16="http://schemas.microsoft.com/office/drawing/2014/chart" uri="{C3380CC4-5D6E-409C-BE32-E72D297353CC}">
              <c16:uniqueId val="{00000001-E39A-BF4E-87ED-E11989AB38CB}"/>
            </c:ext>
          </c:extLst>
        </c:ser>
        <c:ser>
          <c:idx val="2"/>
          <c:order val="2"/>
          <c:tx>
            <c:strRef>
              <c:f>'/C:/Users/miranda/Desktop/[MRGBioplastics-RRS-DEC2019-UpdatedScenarios.xlsm]Sheet1'!$D$34</c:f>
              <c:strCache>
                <c:ptCount val="1"/>
                <c:pt idx="0">
                  <c:v>PDS3</c:v>
                </c:pt>
              </c:strCache>
            </c:strRef>
          </c:tx>
          <c:spPr>
            <a:ln w="28575" cap="rnd">
              <a:solidFill>
                <a:schemeClr val="accent3"/>
              </a:solidFill>
              <a:round/>
            </a:ln>
            <a:effectLst/>
          </c:spPr>
          <c:marker>
            <c:symbol val="none"/>
          </c:marker>
          <c:cat>
            <c:numRef>
              <c:f>[1]Sheet1!$A$35:$A$81</c:f>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f>[1]Sheet1!$D$35:$D$81</c:f>
              <c:numCache>
                <c:formatCode>General</c:formatCode>
                <c:ptCount val="47"/>
                <c:pt idx="0">
                  <c:v>312335.43953527015</c:v>
                </c:pt>
                <c:pt idx="1">
                  <c:v>586733.90762517357</c:v>
                </c:pt>
                <c:pt idx="2">
                  <c:v>537370.8300206993</c:v>
                </c:pt>
                <c:pt idx="3">
                  <c:v>696886.16899324302</c:v>
                </c:pt>
                <c:pt idx="4">
                  <c:v>459532.51646958548</c:v>
                </c:pt>
                <c:pt idx="5">
                  <c:v>1223303.274825667</c:v>
                </c:pt>
                <c:pt idx="6">
                  <c:v>1987074.0331817488</c:v>
                </c:pt>
                <c:pt idx="7">
                  <c:v>2750844.7915375927</c:v>
                </c:pt>
                <c:pt idx="8">
                  <c:v>3514615.5498936744</c:v>
                </c:pt>
                <c:pt idx="9">
                  <c:v>4278386.3082497558</c:v>
                </c:pt>
                <c:pt idx="10">
                  <c:v>5042157.066605838</c:v>
                </c:pt>
                <c:pt idx="11">
                  <c:v>5805927.8249619193</c:v>
                </c:pt>
                <c:pt idx="12">
                  <c:v>8153520.1037648153</c:v>
                </c:pt>
                <c:pt idx="13">
                  <c:v>10987830.470243268</c:v>
                </c:pt>
                <c:pt idx="14">
                  <c:v>14845625.924678624</c:v>
                </c:pt>
                <c:pt idx="15">
                  <c:v>19911599.260662474</c:v>
                </c:pt>
                <c:pt idx="16">
                  <c:v>26370442.773781478</c:v>
                </c:pt>
                <c:pt idx="17">
                  <c:v>34406849.444379091</c:v>
                </c:pt>
                <c:pt idx="18">
                  <c:v>44205511.7547938</c:v>
                </c:pt>
                <c:pt idx="19">
                  <c:v>55951122.249614745</c:v>
                </c:pt>
                <c:pt idx="20">
                  <c:v>69828373.722433493</c:v>
                </c:pt>
                <c:pt idx="21">
                  <c:v>86021958.717839211</c:v>
                </c:pt>
                <c:pt idx="22">
                  <c:v>104716569.78042102</c:v>
                </c:pt>
                <c:pt idx="23">
                  <c:v>126096899.6415199</c:v>
                </c:pt>
                <c:pt idx="24">
                  <c:v>150347640.90797555</c:v>
                </c:pt>
                <c:pt idx="25">
                  <c:v>177653486.18662775</c:v>
                </c:pt>
                <c:pt idx="26">
                  <c:v>208199128.02206564</c:v>
                </c:pt>
                <c:pt idx="27">
                  <c:v>242169259.08337951</c:v>
                </c:pt>
                <c:pt idx="28">
                  <c:v>279748572.2886622</c:v>
                </c:pt>
                <c:pt idx="29">
                  <c:v>321121759.68449801</c:v>
                </c:pt>
                <c:pt idx="30">
                  <c:v>366473514.37573153</c:v>
                </c:pt>
                <c:pt idx="31">
                  <c:v>415988528.84470129</c:v>
                </c:pt>
                <c:pt idx="32">
                  <c:v>469851495.69824696</c:v>
                </c:pt>
                <c:pt idx="33">
                  <c:v>528247107.48095775</c:v>
                </c:pt>
                <c:pt idx="34">
                  <c:v>591360056.86192405</c:v>
                </c:pt>
                <c:pt idx="35">
                  <c:v>659375036.51023626</c:v>
                </c:pt>
                <c:pt idx="36">
                  <c:v>732476739.09498441</c:v>
                </c:pt>
                <c:pt idx="37">
                  <c:v>810849857.34750986</c:v>
                </c:pt>
                <c:pt idx="38">
                  <c:v>814670726.94857836</c:v>
                </c:pt>
                <c:pt idx="39">
                  <c:v>814600476.02931619</c:v>
                </c:pt>
                <c:pt idx="40">
                  <c:v>814530225.11005402</c:v>
                </c:pt>
                <c:pt idx="41">
                  <c:v>814459974.19079161</c:v>
                </c:pt>
                <c:pt idx="42">
                  <c:v>814389723.27152967</c:v>
                </c:pt>
                <c:pt idx="43">
                  <c:v>814319472.3522675</c:v>
                </c:pt>
                <c:pt idx="44">
                  <c:v>814249221.43300509</c:v>
                </c:pt>
                <c:pt idx="45">
                  <c:v>814178970.51374316</c:v>
                </c:pt>
                <c:pt idx="46">
                  <c:v>814108719.59448075</c:v>
                </c:pt>
              </c:numCache>
            </c:numRef>
          </c:val>
          <c:smooth val="0"/>
          <c:extLst>
            <c:ext xmlns:c16="http://schemas.microsoft.com/office/drawing/2014/chart" uri="{C3380CC4-5D6E-409C-BE32-E72D297353CC}">
              <c16:uniqueId val="{00000002-E39A-BF4E-87ED-E11989AB38CB}"/>
            </c:ext>
          </c:extLst>
        </c:ser>
        <c:dLbls>
          <c:showLegendKey val="0"/>
          <c:showVal val="0"/>
          <c:showCatName val="0"/>
          <c:showSerName val="0"/>
          <c:showPercent val="0"/>
          <c:showBubbleSize val="0"/>
        </c:dLbls>
        <c:smooth val="0"/>
        <c:axId val="1205436288"/>
        <c:axId val="1119252368"/>
      </c:lineChart>
      <c:catAx>
        <c:axId val="120543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52368"/>
        <c:crosses val="autoZero"/>
        <c:auto val="1"/>
        <c:lblAlgn val="ctr"/>
        <c:lblOffset val="100"/>
        <c:noMultiLvlLbl val="0"/>
      </c:catAx>
      <c:valAx>
        <c:axId val="111925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436288"/>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B3E03AB-7B08-C740-A406-ED50D63A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16</TotalTime>
  <Pages>32</Pages>
  <Words>10867</Words>
  <Characters>61943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Miranda</dc:creator>
  <cp:keywords/>
  <cp:lastModifiedBy>Miranda Gorman</cp:lastModifiedBy>
  <cp:revision>4</cp:revision>
  <cp:lastPrinted>2018-07-24T17:02:00Z</cp:lastPrinted>
  <dcterms:created xsi:type="dcterms:W3CDTF">2019-12-21T00:27:00Z</dcterms:created>
  <dcterms:modified xsi:type="dcterms:W3CDTF">2020-03-27T18:06:00Z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