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177418" w:rsidRDefault="00630CD1" w:rsidP="00E07370">
      <w:pPr>
        <w:pStyle w:val="TableofFigures"/>
        <w:rPr>
          <w:rStyle w:val="Hyperlink"/>
          <w:rFonts w:asciiTheme="minorHAnsi" w:hAnsiTheme="minorHAnsi"/>
          <w:b/>
          <w:bCs/>
          <w:i/>
          <w:iCs/>
          <w:noProof/>
          <w:sz w:val="18"/>
          <w:szCs w:val="18"/>
        </w:rPr>
      </w:pPr>
      <w:bookmarkStart w:id="0" w:name="_Hlk1009760"/>
      <w:bookmarkStart w:id="1" w:name="_GoBack"/>
      <w:bookmarkEnd w:id="0"/>
      <w:r w:rsidRPr="00177418">
        <w:rPr>
          <w:rStyle w:val="Hyperlink"/>
          <w:noProof/>
        </w:rPr>
        <mc:AlternateContent>
          <mc:Choice Requires="wps">
            <w:drawing>
              <wp:anchor distT="0" distB="0" distL="114300" distR="114300" simplePos="0" relativeHeight="251658240" behindDoc="0" locked="0" layoutInCell="1" allowOverlap="1" wp14:anchorId="77771319" wp14:editId="23B85C70">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8052C3" w:rsidRPr="00436945" w:rsidRDefault="008052C3" w:rsidP="00436945">
                            <w:pPr>
                              <w:spacing w:line="240" w:lineRule="auto"/>
                              <w:jc w:val="center"/>
                              <w:rPr>
                                <w:rFonts w:cs="Times New Roman"/>
                                <w:b/>
                                <w:smallCaps/>
                                <w:color w:val="404040" w:themeColor="text1" w:themeTint="BF"/>
                                <w:sz w:val="48"/>
                                <w:szCs w:val="48"/>
                              </w:rPr>
                            </w:pPr>
                            <w:r w:rsidRPr="00436945">
                              <w:rPr>
                                <w:rFonts w:cs="Times New Roman"/>
                                <w:b/>
                                <w:smallCaps/>
                                <w:color w:val="404040" w:themeColor="text1" w:themeTint="BF"/>
                                <w:sz w:val="48"/>
                                <w:szCs w:val="48"/>
                              </w:rPr>
                              <w:t>Technical assessment for</w:t>
                            </w:r>
                          </w:p>
                          <w:p w14:paraId="6774E85B" w14:textId="6B39FBD7" w:rsidR="008052C3" w:rsidRPr="00436945" w:rsidRDefault="008052C3" w:rsidP="00436945">
                            <w:pPr>
                              <w:spacing w:line="240" w:lineRule="auto"/>
                              <w:jc w:val="center"/>
                              <w:rPr>
                                <w:rFonts w:cs="Times New Roman"/>
                                <w:b/>
                                <w:smallCaps/>
                                <w:color w:val="404040" w:themeColor="text1" w:themeTint="BF"/>
                                <w:sz w:val="48"/>
                                <w:szCs w:val="48"/>
                              </w:rPr>
                            </w:pPr>
                            <w:r w:rsidRPr="00436945">
                              <w:rPr>
                                <w:rFonts w:cs="Times New Roman"/>
                                <w:b/>
                                <w:smallCaps/>
                                <w:color w:val="404040" w:themeColor="text1" w:themeTint="BF"/>
                                <w:sz w:val="48"/>
                                <w:szCs w:val="48"/>
                              </w:rPr>
                              <w:t>RESIDENTIAL SOLAR WATER HEATING SYSTEMS</w:t>
                            </w:r>
                          </w:p>
                          <w:p w14:paraId="4699D449" w14:textId="7768EE3C" w:rsidR="008052C3" w:rsidRPr="00436945" w:rsidRDefault="008052C3" w:rsidP="00436945">
                            <w:pPr>
                              <w:spacing w:line="240" w:lineRule="auto"/>
                              <w:jc w:val="center"/>
                              <w:rPr>
                                <w:rFonts w:cs="Times New Roman"/>
                                <w:smallCaps/>
                                <w:color w:val="404040" w:themeColor="text1" w:themeTint="BF"/>
                                <w:sz w:val="36"/>
                                <w:szCs w:val="36"/>
                              </w:rPr>
                            </w:pPr>
                            <w:r w:rsidRPr="00436945">
                              <w:rPr>
                                <w:rFonts w:cs="Times New Roman"/>
                                <w:smallCaps/>
                                <w:color w:val="404040" w:themeColor="text1" w:themeTint="BF"/>
                                <w:sz w:val="36"/>
                                <w:szCs w:val="36"/>
                              </w:rPr>
                              <w:t>Sector: Buildings and Cities</w:t>
                            </w:r>
                          </w:p>
                          <w:p w14:paraId="1671E118" w14:textId="6506D475" w:rsidR="008052C3" w:rsidRPr="00436945" w:rsidRDefault="008052C3" w:rsidP="00436945">
                            <w:pPr>
                              <w:spacing w:line="240" w:lineRule="auto"/>
                              <w:jc w:val="center"/>
                              <w:rPr>
                                <w:rFonts w:cs="Times New Roman"/>
                                <w:smallCaps/>
                                <w:color w:val="404040" w:themeColor="text1" w:themeTint="BF"/>
                                <w:sz w:val="36"/>
                                <w:szCs w:val="36"/>
                              </w:rPr>
                            </w:pPr>
                            <w:r w:rsidRPr="00436945">
                              <w:rPr>
                                <w:rFonts w:cs="Times New Roman"/>
                                <w:smallCaps/>
                                <w:color w:val="404040" w:themeColor="text1" w:themeTint="BF"/>
                                <w:sz w:val="36"/>
                                <w:szCs w:val="36"/>
                              </w:rPr>
                              <w:t>Agency Level: Household</w:t>
                            </w:r>
                          </w:p>
                          <w:p w14:paraId="29D510C4" w14:textId="7EFF3ED3" w:rsidR="008052C3" w:rsidRPr="00436945" w:rsidRDefault="008052C3" w:rsidP="00436945">
                            <w:pPr>
                              <w:spacing w:line="240" w:lineRule="auto"/>
                              <w:jc w:val="center"/>
                              <w:rPr>
                                <w:rFonts w:cs="Times New Roman"/>
                                <w:smallCaps/>
                                <w:color w:val="404040" w:themeColor="text1" w:themeTint="BF"/>
                                <w:sz w:val="36"/>
                                <w:szCs w:val="36"/>
                              </w:rPr>
                            </w:pPr>
                            <w:r w:rsidRPr="00436945">
                              <w:rPr>
                                <w:rFonts w:cs="Times New Roman"/>
                                <w:smallCaps/>
                                <w:color w:val="404040" w:themeColor="text1" w:themeTint="BF"/>
                                <w:sz w:val="36"/>
                                <w:szCs w:val="36"/>
                              </w:rPr>
                              <w:t>Keywords: Solar, Energy, Heat, Renewable</w:t>
                            </w:r>
                          </w:p>
                          <w:p w14:paraId="6DF0E7C6" w14:textId="77777777" w:rsidR="008052C3" w:rsidRDefault="008052C3" w:rsidP="00E07370"/>
                          <w:p w14:paraId="4DF87617" w14:textId="77777777" w:rsidR="008052C3" w:rsidRDefault="008052C3" w:rsidP="00E07370"/>
                          <w:p w14:paraId="4FD71E35" w14:textId="77777777" w:rsidR="008052C3" w:rsidRDefault="008052C3" w:rsidP="00E07370"/>
                          <w:p w14:paraId="0AAEA688" w14:textId="77777777" w:rsidR="008052C3" w:rsidRDefault="008052C3" w:rsidP="00E07370"/>
                          <w:p w14:paraId="693769A0" w14:textId="42A7EFCE" w:rsidR="008052C3" w:rsidRPr="00436945" w:rsidRDefault="008052C3" w:rsidP="00436945">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2</w:t>
                            </w:r>
                          </w:p>
                          <w:p w14:paraId="0DDBFE23" w14:textId="77777777" w:rsidR="008052C3" w:rsidRPr="000829DC" w:rsidRDefault="008052C3" w:rsidP="00E07370"/>
                          <w:p w14:paraId="4BB1447A" w14:textId="77777777" w:rsidR="008052C3" w:rsidRDefault="008052C3" w:rsidP="00E07370"/>
                          <w:p w14:paraId="6A9CEC43" w14:textId="77777777" w:rsidR="008052C3" w:rsidRDefault="008052C3" w:rsidP="00E07370"/>
                          <w:p w14:paraId="7DCFFDCF" w14:textId="77777777" w:rsidR="008052C3" w:rsidRDefault="008052C3" w:rsidP="00E07370"/>
                          <w:p w14:paraId="2F48DE38" w14:textId="77777777" w:rsidR="008052C3" w:rsidRPr="000829DC" w:rsidRDefault="008052C3" w:rsidP="00E07370"/>
                          <w:p w14:paraId="1981D31A" w14:textId="77777777" w:rsidR="008052C3" w:rsidRPr="00436945" w:rsidRDefault="008052C3" w:rsidP="00436945">
                            <w:pPr>
                              <w:spacing w:after="0" w:line="240" w:lineRule="auto"/>
                              <w:rPr>
                                <w:rFonts w:cs="Times New Roman"/>
                                <w:b/>
                                <w:smallCaps/>
                                <w:color w:val="404040" w:themeColor="text1" w:themeTint="BF"/>
                                <w:sz w:val="28"/>
                                <w:szCs w:val="28"/>
                              </w:rPr>
                            </w:pPr>
                            <w:r w:rsidRPr="00436945">
                              <w:rPr>
                                <w:rFonts w:cs="Times New Roman"/>
                                <w:b/>
                                <w:smallCaps/>
                                <w:color w:val="404040" w:themeColor="text1" w:themeTint="BF"/>
                                <w:sz w:val="28"/>
                                <w:szCs w:val="28"/>
                              </w:rPr>
                              <w:t>Prepared by:</w:t>
                            </w:r>
                          </w:p>
                          <w:p w14:paraId="657487DD" w14:textId="77BE9901" w:rsidR="008052C3" w:rsidRPr="00436945" w:rsidRDefault="008052C3" w:rsidP="00436945">
                            <w:pPr>
                              <w:spacing w:after="0" w:line="240" w:lineRule="auto"/>
                              <w:rPr>
                                <w:rFonts w:cs="Times New Roman"/>
                                <w:smallCaps/>
                                <w:color w:val="404040" w:themeColor="text1" w:themeTint="BF"/>
                                <w:sz w:val="28"/>
                                <w:szCs w:val="28"/>
                              </w:rPr>
                            </w:pPr>
                            <w:r w:rsidRPr="00436945">
                              <w:rPr>
                                <w:rFonts w:cs="Times New Roman"/>
                                <w:smallCaps/>
                                <w:color w:val="404040" w:themeColor="text1" w:themeTint="BF"/>
                                <w:sz w:val="28"/>
                                <w:szCs w:val="28"/>
                              </w:rPr>
                              <w:t>David Jaber, Research Fellow</w:t>
                            </w:r>
                          </w:p>
                          <w:p w14:paraId="536B63C8" w14:textId="68D60918" w:rsidR="008052C3" w:rsidRPr="00436945" w:rsidRDefault="008052C3" w:rsidP="00436945">
                            <w:pPr>
                              <w:spacing w:after="0" w:line="240" w:lineRule="auto"/>
                              <w:rPr>
                                <w:rFonts w:cs="Times New Roman"/>
                                <w:smallCaps/>
                                <w:color w:val="404040" w:themeColor="text1" w:themeTint="BF"/>
                                <w:sz w:val="28"/>
                                <w:szCs w:val="28"/>
                              </w:rPr>
                            </w:pPr>
                            <w:r w:rsidRPr="00436945">
                              <w:rPr>
                                <w:rFonts w:cs="Times New Roman"/>
                                <w:smallCaps/>
                                <w:color w:val="404040" w:themeColor="text1" w:themeTint="BF"/>
                                <w:sz w:val="28"/>
                                <w:szCs w:val="28"/>
                              </w:rPr>
                              <w:t>Priyanka Desouza, Research Fellow</w:t>
                            </w:r>
                          </w:p>
                          <w:p w14:paraId="6C4588F0" w14:textId="72E4E2C3" w:rsidR="008052C3" w:rsidRPr="00436945" w:rsidRDefault="008052C3" w:rsidP="00436945">
                            <w:pPr>
                              <w:spacing w:after="0" w:line="240" w:lineRule="auto"/>
                              <w:rPr>
                                <w:rFonts w:cs="Times New Roman"/>
                                <w:smallCaps/>
                                <w:color w:val="404040" w:themeColor="text1" w:themeTint="BF"/>
                                <w:sz w:val="28"/>
                                <w:szCs w:val="28"/>
                              </w:rPr>
                            </w:pPr>
                            <w:r w:rsidRPr="00436945">
                              <w:rPr>
                                <w:rFonts w:cs="Times New Roman"/>
                                <w:smallCaps/>
                                <w:color w:val="404040" w:themeColor="text1" w:themeTint="BF"/>
                                <w:sz w:val="28"/>
                                <w:szCs w:val="28"/>
                              </w:rPr>
                              <w:t>Chirjiv Anand, Research Fellow</w:t>
                            </w:r>
                          </w:p>
                          <w:p w14:paraId="1C3CFB47" w14:textId="16EF7065" w:rsidR="008052C3" w:rsidRPr="00436945" w:rsidRDefault="008052C3" w:rsidP="00E07370">
                            <w:pPr>
                              <w:rPr>
                                <w:rFonts w:cs="Times New Roman"/>
                                <w:smallCaps/>
                                <w:color w:val="404040" w:themeColor="text1" w:themeTint="BF"/>
                                <w:sz w:val="28"/>
                                <w:szCs w:val="28"/>
                              </w:rPr>
                            </w:pPr>
                            <w:r w:rsidRPr="00436945">
                              <w:rPr>
                                <w:rFonts w:cs="Times New Roman"/>
                                <w:smallCaps/>
                                <w:color w:val="404040" w:themeColor="text1" w:themeTint="BF"/>
                                <w:sz w:val="28"/>
                                <w:szCs w:val="28"/>
                              </w:rPr>
                              <w:t>Ryan f Allard, Senior Fellow</w:t>
                            </w:r>
                          </w:p>
                          <w:p w14:paraId="4481356F" w14:textId="6C098178" w:rsidR="008052C3" w:rsidRPr="00EB247F" w:rsidRDefault="008052C3" w:rsidP="00E07370">
                            <w:pPr>
                              <w:rPr>
                                <w:color w:val="404040" w:themeColor="text1" w:themeTint="BF"/>
                              </w:rPr>
                            </w:pPr>
                            <w:r w:rsidRPr="00EB247F">
                              <w:rPr>
                                <w:noProof/>
                              </w:rPr>
                              <w:drawing>
                                <wp:inline distT="0" distB="0" distL="0" distR="0" wp14:anchorId="43B8D81F" wp14:editId="36EEA413">
                                  <wp:extent cx="3203517" cy="7531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4171A7BA" w:rsidR="008052C3" w:rsidRPr="002C6C12" w:rsidRDefault="008052C3" w:rsidP="00E07370">
                            <w:pPr>
                              <w:rPr>
                                <w:smallCaps/>
                                <w:sz w:val="20"/>
                                <w:szCs w:val="20"/>
                              </w:rPr>
                            </w:pPr>
                            <w:hyperlink r:id="rId10" w:history="1">
                              <w:r w:rsidRPr="002C6C12">
                                <w:t>info@drawdown.org</w:t>
                              </w:r>
                            </w:hyperlink>
                            <w:r w:rsidRPr="002C6C12">
                              <w:rPr>
                                <w:smallCaps/>
                                <w:sz w:val="20"/>
                                <w:szCs w:val="20"/>
                              </w:rPr>
                              <w:t xml:space="preserve">             </w:t>
                            </w:r>
                            <w:hyperlink r:id="rId11" w:history="1">
                              <w:r w:rsidRPr="002C6C12">
                                <w:t>www.drawdown.org</w:t>
                              </w:r>
                            </w:hyperlink>
                            <w:r w:rsidRPr="002C6C12">
                              <w:rPr>
                                <w:smallCaps/>
                                <w:sz w:val="20"/>
                                <w:szCs w:val="20"/>
                              </w:rPr>
                              <w:t xml:space="preserve">  </w:t>
                            </w:r>
                          </w:p>
                          <w:p w14:paraId="05DAFFE7" w14:textId="77777777" w:rsidR="008052C3" w:rsidRPr="002C6C12" w:rsidRDefault="008052C3" w:rsidP="00E07370"/>
                          <w:p w14:paraId="3D97FBF6" w14:textId="77777777" w:rsidR="008052C3" w:rsidRPr="002C6C12" w:rsidRDefault="008052C3" w:rsidP="00E07370"/>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filled="f" stroked="f" strokeweight=".5pt">
                <v:textbox inset=",0,54pt,0">
                  <w:txbxContent>
                    <w:p w14:paraId="3A69A438" w14:textId="77777777" w:rsidR="008052C3" w:rsidRPr="00436945" w:rsidRDefault="008052C3" w:rsidP="00436945">
                      <w:pPr>
                        <w:spacing w:line="240" w:lineRule="auto"/>
                        <w:jc w:val="center"/>
                        <w:rPr>
                          <w:rFonts w:cs="Times New Roman"/>
                          <w:b/>
                          <w:smallCaps/>
                          <w:color w:val="404040" w:themeColor="text1" w:themeTint="BF"/>
                          <w:sz w:val="48"/>
                          <w:szCs w:val="48"/>
                        </w:rPr>
                      </w:pPr>
                      <w:r w:rsidRPr="00436945">
                        <w:rPr>
                          <w:rFonts w:cs="Times New Roman"/>
                          <w:b/>
                          <w:smallCaps/>
                          <w:color w:val="404040" w:themeColor="text1" w:themeTint="BF"/>
                          <w:sz w:val="48"/>
                          <w:szCs w:val="48"/>
                        </w:rPr>
                        <w:t>Technical assessment for</w:t>
                      </w:r>
                    </w:p>
                    <w:p w14:paraId="6774E85B" w14:textId="6B39FBD7" w:rsidR="008052C3" w:rsidRPr="00436945" w:rsidRDefault="008052C3" w:rsidP="00436945">
                      <w:pPr>
                        <w:spacing w:line="240" w:lineRule="auto"/>
                        <w:jc w:val="center"/>
                        <w:rPr>
                          <w:rFonts w:cs="Times New Roman"/>
                          <w:b/>
                          <w:smallCaps/>
                          <w:color w:val="404040" w:themeColor="text1" w:themeTint="BF"/>
                          <w:sz w:val="48"/>
                          <w:szCs w:val="48"/>
                        </w:rPr>
                      </w:pPr>
                      <w:r w:rsidRPr="00436945">
                        <w:rPr>
                          <w:rFonts w:cs="Times New Roman"/>
                          <w:b/>
                          <w:smallCaps/>
                          <w:color w:val="404040" w:themeColor="text1" w:themeTint="BF"/>
                          <w:sz w:val="48"/>
                          <w:szCs w:val="48"/>
                        </w:rPr>
                        <w:t>RESIDENTIAL SOLAR WATER HEATING SYSTEMS</w:t>
                      </w:r>
                    </w:p>
                    <w:p w14:paraId="4699D449" w14:textId="7768EE3C" w:rsidR="008052C3" w:rsidRPr="00436945" w:rsidRDefault="008052C3" w:rsidP="00436945">
                      <w:pPr>
                        <w:spacing w:line="240" w:lineRule="auto"/>
                        <w:jc w:val="center"/>
                        <w:rPr>
                          <w:rFonts w:cs="Times New Roman"/>
                          <w:smallCaps/>
                          <w:color w:val="404040" w:themeColor="text1" w:themeTint="BF"/>
                          <w:sz w:val="36"/>
                          <w:szCs w:val="36"/>
                        </w:rPr>
                      </w:pPr>
                      <w:r w:rsidRPr="00436945">
                        <w:rPr>
                          <w:rFonts w:cs="Times New Roman"/>
                          <w:smallCaps/>
                          <w:color w:val="404040" w:themeColor="text1" w:themeTint="BF"/>
                          <w:sz w:val="36"/>
                          <w:szCs w:val="36"/>
                        </w:rPr>
                        <w:t>Sector: Buildings and Cities</w:t>
                      </w:r>
                    </w:p>
                    <w:p w14:paraId="1671E118" w14:textId="6506D475" w:rsidR="008052C3" w:rsidRPr="00436945" w:rsidRDefault="008052C3" w:rsidP="00436945">
                      <w:pPr>
                        <w:spacing w:line="240" w:lineRule="auto"/>
                        <w:jc w:val="center"/>
                        <w:rPr>
                          <w:rFonts w:cs="Times New Roman"/>
                          <w:smallCaps/>
                          <w:color w:val="404040" w:themeColor="text1" w:themeTint="BF"/>
                          <w:sz w:val="36"/>
                          <w:szCs w:val="36"/>
                        </w:rPr>
                      </w:pPr>
                      <w:r w:rsidRPr="00436945">
                        <w:rPr>
                          <w:rFonts w:cs="Times New Roman"/>
                          <w:smallCaps/>
                          <w:color w:val="404040" w:themeColor="text1" w:themeTint="BF"/>
                          <w:sz w:val="36"/>
                          <w:szCs w:val="36"/>
                        </w:rPr>
                        <w:t>Agency Level: Household</w:t>
                      </w:r>
                    </w:p>
                    <w:p w14:paraId="29D510C4" w14:textId="7EFF3ED3" w:rsidR="008052C3" w:rsidRPr="00436945" w:rsidRDefault="008052C3" w:rsidP="00436945">
                      <w:pPr>
                        <w:spacing w:line="240" w:lineRule="auto"/>
                        <w:jc w:val="center"/>
                        <w:rPr>
                          <w:rFonts w:cs="Times New Roman"/>
                          <w:smallCaps/>
                          <w:color w:val="404040" w:themeColor="text1" w:themeTint="BF"/>
                          <w:sz w:val="36"/>
                          <w:szCs w:val="36"/>
                        </w:rPr>
                      </w:pPr>
                      <w:r w:rsidRPr="00436945">
                        <w:rPr>
                          <w:rFonts w:cs="Times New Roman"/>
                          <w:smallCaps/>
                          <w:color w:val="404040" w:themeColor="text1" w:themeTint="BF"/>
                          <w:sz w:val="36"/>
                          <w:szCs w:val="36"/>
                        </w:rPr>
                        <w:t>Keywords: Solar, Energy, Heat, Renewable</w:t>
                      </w:r>
                    </w:p>
                    <w:p w14:paraId="6DF0E7C6" w14:textId="77777777" w:rsidR="008052C3" w:rsidRDefault="008052C3" w:rsidP="00E07370"/>
                    <w:p w14:paraId="4DF87617" w14:textId="77777777" w:rsidR="008052C3" w:rsidRDefault="008052C3" w:rsidP="00E07370"/>
                    <w:p w14:paraId="4FD71E35" w14:textId="77777777" w:rsidR="008052C3" w:rsidRDefault="008052C3" w:rsidP="00E07370"/>
                    <w:p w14:paraId="0AAEA688" w14:textId="77777777" w:rsidR="008052C3" w:rsidRDefault="008052C3" w:rsidP="00E07370"/>
                    <w:p w14:paraId="693769A0" w14:textId="42A7EFCE" w:rsidR="008052C3" w:rsidRPr="00436945" w:rsidRDefault="008052C3" w:rsidP="00436945">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2</w:t>
                      </w:r>
                    </w:p>
                    <w:p w14:paraId="0DDBFE23" w14:textId="77777777" w:rsidR="008052C3" w:rsidRPr="000829DC" w:rsidRDefault="008052C3" w:rsidP="00E07370"/>
                    <w:p w14:paraId="4BB1447A" w14:textId="77777777" w:rsidR="008052C3" w:rsidRDefault="008052C3" w:rsidP="00E07370"/>
                    <w:p w14:paraId="6A9CEC43" w14:textId="77777777" w:rsidR="008052C3" w:rsidRDefault="008052C3" w:rsidP="00E07370"/>
                    <w:p w14:paraId="7DCFFDCF" w14:textId="77777777" w:rsidR="008052C3" w:rsidRDefault="008052C3" w:rsidP="00E07370"/>
                    <w:p w14:paraId="2F48DE38" w14:textId="77777777" w:rsidR="008052C3" w:rsidRPr="000829DC" w:rsidRDefault="008052C3" w:rsidP="00E07370"/>
                    <w:p w14:paraId="1981D31A" w14:textId="77777777" w:rsidR="008052C3" w:rsidRPr="00436945" w:rsidRDefault="008052C3" w:rsidP="00436945">
                      <w:pPr>
                        <w:spacing w:after="0" w:line="240" w:lineRule="auto"/>
                        <w:rPr>
                          <w:rFonts w:cs="Times New Roman"/>
                          <w:b/>
                          <w:smallCaps/>
                          <w:color w:val="404040" w:themeColor="text1" w:themeTint="BF"/>
                          <w:sz w:val="28"/>
                          <w:szCs w:val="28"/>
                        </w:rPr>
                      </w:pPr>
                      <w:r w:rsidRPr="00436945">
                        <w:rPr>
                          <w:rFonts w:cs="Times New Roman"/>
                          <w:b/>
                          <w:smallCaps/>
                          <w:color w:val="404040" w:themeColor="text1" w:themeTint="BF"/>
                          <w:sz w:val="28"/>
                          <w:szCs w:val="28"/>
                        </w:rPr>
                        <w:t>Prepared by:</w:t>
                      </w:r>
                    </w:p>
                    <w:p w14:paraId="657487DD" w14:textId="77BE9901" w:rsidR="008052C3" w:rsidRPr="00436945" w:rsidRDefault="008052C3" w:rsidP="00436945">
                      <w:pPr>
                        <w:spacing w:after="0" w:line="240" w:lineRule="auto"/>
                        <w:rPr>
                          <w:rFonts w:cs="Times New Roman"/>
                          <w:smallCaps/>
                          <w:color w:val="404040" w:themeColor="text1" w:themeTint="BF"/>
                          <w:sz w:val="28"/>
                          <w:szCs w:val="28"/>
                        </w:rPr>
                      </w:pPr>
                      <w:r w:rsidRPr="00436945">
                        <w:rPr>
                          <w:rFonts w:cs="Times New Roman"/>
                          <w:smallCaps/>
                          <w:color w:val="404040" w:themeColor="text1" w:themeTint="BF"/>
                          <w:sz w:val="28"/>
                          <w:szCs w:val="28"/>
                        </w:rPr>
                        <w:t>David Jaber, Research Fellow</w:t>
                      </w:r>
                    </w:p>
                    <w:p w14:paraId="536B63C8" w14:textId="68D60918" w:rsidR="008052C3" w:rsidRPr="00436945" w:rsidRDefault="008052C3" w:rsidP="00436945">
                      <w:pPr>
                        <w:spacing w:after="0" w:line="240" w:lineRule="auto"/>
                        <w:rPr>
                          <w:rFonts w:cs="Times New Roman"/>
                          <w:smallCaps/>
                          <w:color w:val="404040" w:themeColor="text1" w:themeTint="BF"/>
                          <w:sz w:val="28"/>
                          <w:szCs w:val="28"/>
                        </w:rPr>
                      </w:pPr>
                      <w:r w:rsidRPr="00436945">
                        <w:rPr>
                          <w:rFonts w:cs="Times New Roman"/>
                          <w:smallCaps/>
                          <w:color w:val="404040" w:themeColor="text1" w:themeTint="BF"/>
                          <w:sz w:val="28"/>
                          <w:szCs w:val="28"/>
                        </w:rPr>
                        <w:t>Priyanka Desouza, Research Fellow</w:t>
                      </w:r>
                    </w:p>
                    <w:p w14:paraId="6C4588F0" w14:textId="72E4E2C3" w:rsidR="008052C3" w:rsidRPr="00436945" w:rsidRDefault="008052C3" w:rsidP="00436945">
                      <w:pPr>
                        <w:spacing w:after="0" w:line="240" w:lineRule="auto"/>
                        <w:rPr>
                          <w:rFonts w:cs="Times New Roman"/>
                          <w:smallCaps/>
                          <w:color w:val="404040" w:themeColor="text1" w:themeTint="BF"/>
                          <w:sz w:val="28"/>
                          <w:szCs w:val="28"/>
                        </w:rPr>
                      </w:pPr>
                      <w:r w:rsidRPr="00436945">
                        <w:rPr>
                          <w:rFonts w:cs="Times New Roman"/>
                          <w:smallCaps/>
                          <w:color w:val="404040" w:themeColor="text1" w:themeTint="BF"/>
                          <w:sz w:val="28"/>
                          <w:szCs w:val="28"/>
                        </w:rPr>
                        <w:t>Chirjiv Anand, Research Fellow</w:t>
                      </w:r>
                    </w:p>
                    <w:p w14:paraId="1C3CFB47" w14:textId="16EF7065" w:rsidR="008052C3" w:rsidRPr="00436945" w:rsidRDefault="008052C3" w:rsidP="00E07370">
                      <w:pPr>
                        <w:rPr>
                          <w:rFonts w:cs="Times New Roman"/>
                          <w:smallCaps/>
                          <w:color w:val="404040" w:themeColor="text1" w:themeTint="BF"/>
                          <w:sz w:val="28"/>
                          <w:szCs w:val="28"/>
                        </w:rPr>
                      </w:pPr>
                      <w:r w:rsidRPr="00436945">
                        <w:rPr>
                          <w:rFonts w:cs="Times New Roman"/>
                          <w:smallCaps/>
                          <w:color w:val="404040" w:themeColor="text1" w:themeTint="BF"/>
                          <w:sz w:val="28"/>
                          <w:szCs w:val="28"/>
                        </w:rPr>
                        <w:t>Ryan f Allard, Senior Fellow</w:t>
                      </w:r>
                    </w:p>
                    <w:p w14:paraId="4481356F" w14:textId="6C098178" w:rsidR="008052C3" w:rsidRPr="00EB247F" w:rsidRDefault="008052C3" w:rsidP="00E07370">
                      <w:pPr>
                        <w:rPr>
                          <w:color w:val="404040" w:themeColor="text1" w:themeTint="BF"/>
                        </w:rPr>
                      </w:pPr>
                      <w:r w:rsidRPr="00EB247F">
                        <w:rPr>
                          <w:noProof/>
                        </w:rPr>
                        <w:drawing>
                          <wp:inline distT="0" distB="0" distL="0" distR="0" wp14:anchorId="43B8D81F" wp14:editId="36EEA413">
                            <wp:extent cx="3203517" cy="7531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4171A7BA" w:rsidR="008052C3" w:rsidRPr="002C6C12" w:rsidRDefault="008052C3" w:rsidP="00E07370">
                      <w:pPr>
                        <w:rPr>
                          <w:smallCaps/>
                          <w:sz w:val="20"/>
                          <w:szCs w:val="20"/>
                        </w:rPr>
                      </w:pPr>
                      <w:hyperlink r:id="rId12" w:history="1">
                        <w:r w:rsidRPr="002C6C12">
                          <w:t>info@drawdown.org</w:t>
                        </w:r>
                      </w:hyperlink>
                      <w:r w:rsidRPr="002C6C12">
                        <w:rPr>
                          <w:smallCaps/>
                          <w:sz w:val="20"/>
                          <w:szCs w:val="20"/>
                        </w:rPr>
                        <w:t xml:space="preserve">             </w:t>
                      </w:r>
                      <w:hyperlink r:id="rId13" w:history="1">
                        <w:r w:rsidRPr="002C6C12">
                          <w:t>www.drawdown.org</w:t>
                        </w:r>
                      </w:hyperlink>
                      <w:r w:rsidRPr="002C6C12">
                        <w:rPr>
                          <w:smallCaps/>
                          <w:sz w:val="20"/>
                          <w:szCs w:val="20"/>
                        </w:rPr>
                        <w:t xml:space="preserve">  </w:t>
                      </w:r>
                    </w:p>
                    <w:p w14:paraId="05DAFFE7" w14:textId="77777777" w:rsidR="008052C3" w:rsidRPr="002C6C12" w:rsidRDefault="008052C3" w:rsidP="00E07370"/>
                    <w:p w14:paraId="3D97FBF6" w14:textId="77777777" w:rsidR="008052C3" w:rsidRPr="002C6C12" w:rsidRDefault="008052C3" w:rsidP="00E07370"/>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B4CD6" w:rsidRDefault="551A77D0" w:rsidP="00E07370">
          <w:pPr>
            <w:rPr>
              <w:rStyle w:val="Heading1Char"/>
            </w:rPr>
          </w:pPr>
          <w:r w:rsidRPr="00CB4CD6">
            <w:rPr>
              <w:rStyle w:val="Heading1Char"/>
            </w:rPr>
            <w:t>Table of Contents</w:t>
          </w:r>
        </w:p>
        <w:p w14:paraId="6DDA8A1F" w14:textId="66958B8C" w:rsidR="001142D0" w:rsidRDefault="00640665">
          <w:pPr>
            <w:pStyle w:val="TOC1"/>
            <w:tabs>
              <w:tab w:val="right" w:leader="dot" w:pos="9350"/>
            </w:tabs>
            <w:rPr>
              <w:rFonts w:asciiTheme="minorHAnsi" w:hAnsiTheme="minorHAnsi"/>
              <w:noProof/>
              <w:lang w:eastAsia="en-US"/>
            </w:rPr>
          </w:pPr>
          <w:r w:rsidRPr="00CB4CD6">
            <w:fldChar w:fldCharType="begin"/>
          </w:r>
          <w:r w:rsidRPr="00CB4CD6">
            <w:instrText xml:space="preserve"> TOC \o "1-3" \h \z \u </w:instrText>
          </w:r>
          <w:r w:rsidRPr="00CB4CD6">
            <w:fldChar w:fldCharType="separate"/>
          </w:r>
          <w:hyperlink w:anchor="_Toc44510645" w:history="1">
            <w:r w:rsidR="001142D0" w:rsidRPr="008966C2">
              <w:rPr>
                <w:rStyle w:val="Hyperlink"/>
                <w:noProof/>
              </w:rPr>
              <w:t>List of Figures</w:t>
            </w:r>
            <w:r w:rsidR="001142D0">
              <w:rPr>
                <w:noProof/>
                <w:webHidden/>
              </w:rPr>
              <w:tab/>
            </w:r>
            <w:r w:rsidR="001142D0">
              <w:rPr>
                <w:noProof/>
                <w:webHidden/>
              </w:rPr>
              <w:fldChar w:fldCharType="begin"/>
            </w:r>
            <w:r w:rsidR="001142D0">
              <w:rPr>
                <w:noProof/>
                <w:webHidden/>
              </w:rPr>
              <w:instrText xml:space="preserve"> PAGEREF _Toc44510645 \h </w:instrText>
            </w:r>
            <w:r w:rsidR="001142D0">
              <w:rPr>
                <w:noProof/>
                <w:webHidden/>
              </w:rPr>
            </w:r>
            <w:r w:rsidR="001142D0">
              <w:rPr>
                <w:noProof/>
                <w:webHidden/>
              </w:rPr>
              <w:fldChar w:fldCharType="separate"/>
            </w:r>
            <w:r w:rsidR="001142D0">
              <w:rPr>
                <w:noProof/>
                <w:webHidden/>
              </w:rPr>
              <w:t>IV</w:t>
            </w:r>
            <w:r w:rsidR="001142D0">
              <w:rPr>
                <w:noProof/>
                <w:webHidden/>
              </w:rPr>
              <w:fldChar w:fldCharType="end"/>
            </w:r>
          </w:hyperlink>
        </w:p>
        <w:p w14:paraId="73F1B21B" w14:textId="09280C47" w:rsidR="001142D0" w:rsidRDefault="001142D0">
          <w:pPr>
            <w:pStyle w:val="TOC1"/>
            <w:tabs>
              <w:tab w:val="right" w:leader="dot" w:pos="9350"/>
            </w:tabs>
            <w:rPr>
              <w:rFonts w:asciiTheme="minorHAnsi" w:hAnsiTheme="minorHAnsi"/>
              <w:noProof/>
              <w:lang w:eastAsia="en-US"/>
            </w:rPr>
          </w:pPr>
          <w:hyperlink w:anchor="_Toc44510646" w:history="1">
            <w:r w:rsidRPr="008966C2">
              <w:rPr>
                <w:rStyle w:val="Hyperlink"/>
                <w:noProof/>
              </w:rPr>
              <w:t>List of Tables</w:t>
            </w:r>
            <w:r>
              <w:rPr>
                <w:noProof/>
                <w:webHidden/>
              </w:rPr>
              <w:tab/>
            </w:r>
            <w:r>
              <w:rPr>
                <w:noProof/>
                <w:webHidden/>
              </w:rPr>
              <w:fldChar w:fldCharType="begin"/>
            </w:r>
            <w:r>
              <w:rPr>
                <w:noProof/>
                <w:webHidden/>
              </w:rPr>
              <w:instrText xml:space="preserve"> PAGEREF _Toc44510646 \h </w:instrText>
            </w:r>
            <w:r>
              <w:rPr>
                <w:noProof/>
                <w:webHidden/>
              </w:rPr>
            </w:r>
            <w:r>
              <w:rPr>
                <w:noProof/>
                <w:webHidden/>
              </w:rPr>
              <w:fldChar w:fldCharType="separate"/>
            </w:r>
            <w:r>
              <w:rPr>
                <w:noProof/>
                <w:webHidden/>
              </w:rPr>
              <w:t>IV</w:t>
            </w:r>
            <w:r>
              <w:rPr>
                <w:noProof/>
                <w:webHidden/>
              </w:rPr>
              <w:fldChar w:fldCharType="end"/>
            </w:r>
          </w:hyperlink>
        </w:p>
        <w:p w14:paraId="1A4AB6EA" w14:textId="15FF0F8F" w:rsidR="001142D0" w:rsidRDefault="001142D0">
          <w:pPr>
            <w:pStyle w:val="TOC1"/>
            <w:tabs>
              <w:tab w:val="right" w:leader="dot" w:pos="9350"/>
            </w:tabs>
            <w:rPr>
              <w:rFonts w:asciiTheme="minorHAnsi" w:hAnsiTheme="minorHAnsi"/>
              <w:noProof/>
              <w:lang w:eastAsia="en-US"/>
            </w:rPr>
          </w:pPr>
          <w:hyperlink w:anchor="_Toc44510647" w:history="1">
            <w:r w:rsidRPr="008966C2">
              <w:rPr>
                <w:rStyle w:val="Hyperlink"/>
                <w:noProof/>
              </w:rPr>
              <w:t>Acronyms and Symbols Used</w:t>
            </w:r>
            <w:r>
              <w:rPr>
                <w:noProof/>
                <w:webHidden/>
              </w:rPr>
              <w:tab/>
            </w:r>
            <w:r>
              <w:rPr>
                <w:noProof/>
                <w:webHidden/>
              </w:rPr>
              <w:fldChar w:fldCharType="begin"/>
            </w:r>
            <w:r>
              <w:rPr>
                <w:noProof/>
                <w:webHidden/>
              </w:rPr>
              <w:instrText xml:space="preserve"> PAGEREF _Toc44510647 \h </w:instrText>
            </w:r>
            <w:r>
              <w:rPr>
                <w:noProof/>
                <w:webHidden/>
              </w:rPr>
            </w:r>
            <w:r>
              <w:rPr>
                <w:noProof/>
                <w:webHidden/>
              </w:rPr>
              <w:fldChar w:fldCharType="separate"/>
            </w:r>
            <w:r>
              <w:rPr>
                <w:noProof/>
                <w:webHidden/>
              </w:rPr>
              <w:t>V</w:t>
            </w:r>
            <w:r>
              <w:rPr>
                <w:noProof/>
                <w:webHidden/>
              </w:rPr>
              <w:fldChar w:fldCharType="end"/>
            </w:r>
          </w:hyperlink>
        </w:p>
        <w:p w14:paraId="3F57E149" w14:textId="18B40D5C" w:rsidR="001142D0" w:rsidRDefault="001142D0">
          <w:pPr>
            <w:pStyle w:val="TOC1"/>
            <w:tabs>
              <w:tab w:val="right" w:leader="dot" w:pos="9350"/>
            </w:tabs>
            <w:rPr>
              <w:rFonts w:asciiTheme="minorHAnsi" w:hAnsiTheme="minorHAnsi"/>
              <w:noProof/>
              <w:lang w:eastAsia="en-US"/>
            </w:rPr>
          </w:pPr>
          <w:hyperlink w:anchor="_Toc44510648" w:history="1">
            <w:r w:rsidRPr="008966C2">
              <w:rPr>
                <w:rStyle w:val="Hyperlink"/>
                <w:noProof/>
              </w:rPr>
              <w:t>Executive Summary</w:t>
            </w:r>
            <w:r>
              <w:rPr>
                <w:noProof/>
                <w:webHidden/>
              </w:rPr>
              <w:tab/>
            </w:r>
            <w:r>
              <w:rPr>
                <w:noProof/>
                <w:webHidden/>
              </w:rPr>
              <w:fldChar w:fldCharType="begin"/>
            </w:r>
            <w:r>
              <w:rPr>
                <w:noProof/>
                <w:webHidden/>
              </w:rPr>
              <w:instrText xml:space="preserve"> PAGEREF _Toc44510648 \h </w:instrText>
            </w:r>
            <w:r>
              <w:rPr>
                <w:noProof/>
                <w:webHidden/>
              </w:rPr>
            </w:r>
            <w:r>
              <w:rPr>
                <w:noProof/>
                <w:webHidden/>
              </w:rPr>
              <w:fldChar w:fldCharType="separate"/>
            </w:r>
            <w:r>
              <w:rPr>
                <w:noProof/>
                <w:webHidden/>
              </w:rPr>
              <w:t>VI</w:t>
            </w:r>
            <w:r>
              <w:rPr>
                <w:noProof/>
                <w:webHidden/>
              </w:rPr>
              <w:fldChar w:fldCharType="end"/>
            </w:r>
          </w:hyperlink>
        </w:p>
        <w:p w14:paraId="296A82CA" w14:textId="7A494927" w:rsidR="001142D0" w:rsidRDefault="001142D0">
          <w:pPr>
            <w:pStyle w:val="TOC1"/>
            <w:tabs>
              <w:tab w:val="left" w:pos="440"/>
              <w:tab w:val="right" w:leader="dot" w:pos="9350"/>
            </w:tabs>
            <w:rPr>
              <w:rFonts w:asciiTheme="minorHAnsi" w:hAnsiTheme="minorHAnsi"/>
              <w:noProof/>
              <w:lang w:eastAsia="en-US"/>
            </w:rPr>
          </w:pPr>
          <w:hyperlink w:anchor="_Toc44510649" w:history="1">
            <w:r w:rsidRPr="008966C2">
              <w:rPr>
                <w:rStyle w:val="Hyperlink"/>
                <w:noProof/>
              </w:rPr>
              <w:t>1</w:t>
            </w:r>
            <w:r>
              <w:rPr>
                <w:rFonts w:asciiTheme="minorHAnsi" w:hAnsiTheme="minorHAnsi"/>
                <w:noProof/>
                <w:lang w:eastAsia="en-US"/>
              </w:rPr>
              <w:tab/>
            </w:r>
            <w:r w:rsidRPr="008966C2">
              <w:rPr>
                <w:rStyle w:val="Hyperlink"/>
                <w:noProof/>
              </w:rPr>
              <w:t>Literature Review</w:t>
            </w:r>
            <w:r>
              <w:rPr>
                <w:noProof/>
                <w:webHidden/>
              </w:rPr>
              <w:tab/>
            </w:r>
            <w:r>
              <w:rPr>
                <w:noProof/>
                <w:webHidden/>
              </w:rPr>
              <w:fldChar w:fldCharType="begin"/>
            </w:r>
            <w:r>
              <w:rPr>
                <w:noProof/>
                <w:webHidden/>
              </w:rPr>
              <w:instrText xml:space="preserve"> PAGEREF _Toc44510649 \h </w:instrText>
            </w:r>
            <w:r>
              <w:rPr>
                <w:noProof/>
                <w:webHidden/>
              </w:rPr>
            </w:r>
            <w:r>
              <w:rPr>
                <w:noProof/>
                <w:webHidden/>
              </w:rPr>
              <w:fldChar w:fldCharType="separate"/>
            </w:r>
            <w:r>
              <w:rPr>
                <w:noProof/>
                <w:webHidden/>
              </w:rPr>
              <w:t>1</w:t>
            </w:r>
            <w:r>
              <w:rPr>
                <w:noProof/>
                <w:webHidden/>
              </w:rPr>
              <w:fldChar w:fldCharType="end"/>
            </w:r>
          </w:hyperlink>
        </w:p>
        <w:p w14:paraId="76284DFB" w14:textId="03BF8F5C" w:rsidR="001142D0" w:rsidRDefault="001142D0">
          <w:pPr>
            <w:pStyle w:val="TOC2"/>
            <w:tabs>
              <w:tab w:val="left" w:pos="880"/>
              <w:tab w:val="right" w:leader="dot" w:pos="9350"/>
            </w:tabs>
            <w:rPr>
              <w:rFonts w:asciiTheme="minorHAnsi" w:hAnsiTheme="minorHAnsi"/>
              <w:noProof/>
              <w:lang w:eastAsia="en-US"/>
            </w:rPr>
          </w:pPr>
          <w:hyperlink w:anchor="_Toc44510650" w:history="1">
            <w:r w:rsidRPr="008966C2">
              <w:rPr>
                <w:rStyle w:val="Hyperlink"/>
                <w:noProof/>
              </w:rPr>
              <w:t>1.1</w:t>
            </w:r>
            <w:r>
              <w:rPr>
                <w:rFonts w:asciiTheme="minorHAnsi" w:hAnsiTheme="minorHAnsi"/>
                <w:noProof/>
                <w:lang w:eastAsia="en-US"/>
              </w:rPr>
              <w:tab/>
            </w:r>
            <w:r w:rsidRPr="008966C2">
              <w:rPr>
                <w:rStyle w:val="Hyperlink"/>
                <w:noProof/>
              </w:rPr>
              <w:t>State of Domestic Solar Water Heating Systems</w:t>
            </w:r>
            <w:r>
              <w:rPr>
                <w:noProof/>
                <w:webHidden/>
              </w:rPr>
              <w:tab/>
            </w:r>
            <w:r>
              <w:rPr>
                <w:noProof/>
                <w:webHidden/>
              </w:rPr>
              <w:fldChar w:fldCharType="begin"/>
            </w:r>
            <w:r>
              <w:rPr>
                <w:noProof/>
                <w:webHidden/>
              </w:rPr>
              <w:instrText xml:space="preserve"> PAGEREF _Toc44510650 \h </w:instrText>
            </w:r>
            <w:r>
              <w:rPr>
                <w:noProof/>
                <w:webHidden/>
              </w:rPr>
            </w:r>
            <w:r>
              <w:rPr>
                <w:noProof/>
                <w:webHidden/>
              </w:rPr>
              <w:fldChar w:fldCharType="separate"/>
            </w:r>
            <w:r>
              <w:rPr>
                <w:noProof/>
                <w:webHidden/>
              </w:rPr>
              <w:t>1</w:t>
            </w:r>
            <w:r>
              <w:rPr>
                <w:noProof/>
                <w:webHidden/>
              </w:rPr>
              <w:fldChar w:fldCharType="end"/>
            </w:r>
          </w:hyperlink>
        </w:p>
        <w:p w14:paraId="034484C8" w14:textId="18983F79" w:rsidR="001142D0" w:rsidRDefault="001142D0">
          <w:pPr>
            <w:pStyle w:val="TOC3"/>
            <w:tabs>
              <w:tab w:val="left" w:pos="1320"/>
              <w:tab w:val="right" w:leader="dot" w:pos="9350"/>
            </w:tabs>
            <w:rPr>
              <w:rFonts w:asciiTheme="minorHAnsi" w:hAnsiTheme="minorHAnsi"/>
              <w:noProof/>
              <w:lang w:eastAsia="en-US"/>
            </w:rPr>
          </w:pPr>
          <w:hyperlink w:anchor="_Toc44510651" w:history="1">
            <w:r w:rsidRPr="008966C2">
              <w:rPr>
                <w:rStyle w:val="Hyperlink"/>
                <w:noProof/>
              </w:rPr>
              <w:t>1.1.1</w:t>
            </w:r>
            <w:r>
              <w:rPr>
                <w:rFonts w:asciiTheme="minorHAnsi" w:hAnsiTheme="minorHAnsi"/>
                <w:noProof/>
                <w:lang w:eastAsia="en-US"/>
              </w:rPr>
              <w:tab/>
            </w:r>
            <w:r w:rsidRPr="008966C2">
              <w:rPr>
                <w:rStyle w:val="Hyperlink"/>
                <w:noProof/>
              </w:rPr>
              <w:t>Domestic Solar Hot Water Technology Overview</w:t>
            </w:r>
            <w:r>
              <w:rPr>
                <w:noProof/>
                <w:webHidden/>
              </w:rPr>
              <w:tab/>
            </w:r>
            <w:r>
              <w:rPr>
                <w:noProof/>
                <w:webHidden/>
              </w:rPr>
              <w:fldChar w:fldCharType="begin"/>
            </w:r>
            <w:r>
              <w:rPr>
                <w:noProof/>
                <w:webHidden/>
              </w:rPr>
              <w:instrText xml:space="preserve"> PAGEREF _Toc44510651 \h </w:instrText>
            </w:r>
            <w:r>
              <w:rPr>
                <w:noProof/>
                <w:webHidden/>
              </w:rPr>
            </w:r>
            <w:r>
              <w:rPr>
                <w:noProof/>
                <w:webHidden/>
              </w:rPr>
              <w:fldChar w:fldCharType="separate"/>
            </w:r>
            <w:r>
              <w:rPr>
                <w:noProof/>
                <w:webHidden/>
              </w:rPr>
              <w:t>2</w:t>
            </w:r>
            <w:r>
              <w:rPr>
                <w:noProof/>
                <w:webHidden/>
              </w:rPr>
              <w:fldChar w:fldCharType="end"/>
            </w:r>
          </w:hyperlink>
        </w:p>
        <w:p w14:paraId="76A6A406" w14:textId="32A0AAE0" w:rsidR="001142D0" w:rsidRDefault="001142D0">
          <w:pPr>
            <w:pStyle w:val="TOC3"/>
            <w:tabs>
              <w:tab w:val="left" w:pos="1320"/>
              <w:tab w:val="right" w:leader="dot" w:pos="9350"/>
            </w:tabs>
            <w:rPr>
              <w:rFonts w:asciiTheme="minorHAnsi" w:hAnsiTheme="minorHAnsi"/>
              <w:noProof/>
              <w:lang w:eastAsia="en-US"/>
            </w:rPr>
          </w:pPr>
          <w:hyperlink w:anchor="_Toc44510652" w:history="1">
            <w:r w:rsidRPr="008966C2">
              <w:rPr>
                <w:rStyle w:val="Hyperlink"/>
                <w:noProof/>
              </w:rPr>
              <w:t>1.1.2</w:t>
            </w:r>
            <w:r>
              <w:rPr>
                <w:rFonts w:asciiTheme="minorHAnsi" w:hAnsiTheme="minorHAnsi"/>
                <w:noProof/>
                <w:lang w:eastAsia="en-US"/>
              </w:rPr>
              <w:tab/>
            </w:r>
            <w:r w:rsidRPr="008966C2">
              <w:rPr>
                <w:rStyle w:val="Hyperlink"/>
                <w:noProof/>
              </w:rPr>
              <w:t>Current Market for domestic Solar water heaters</w:t>
            </w:r>
            <w:r>
              <w:rPr>
                <w:noProof/>
                <w:webHidden/>
              </w:rPr>
              <w:tab/>
            </w:r>
            <w:r>
              <w:rPr>
                <w:noProof/>
                <w:webHidden/>
              </w:rPr>
              <w:fldChar w:fldCharType="begin"/>
            </w:r>
            <w:r>
              <w:rPr>
                <w:noProof/>
                <w:webHidden/>
              </w:rPr>
              <w:instrText xml:space="preserve"> PAGEREF _Toc44510652 \h </w:instrText>
            </w:r>
            <w:r>
              <w:rPr>
                <w:noProof/>
                <w:webHidden/>
              </w:rPr>
            </w:r>
            <w:r>
              <w:rPr>
                <w:noProof/>
                <w:webHidden/>
              </w:rPr>
              <w:fldChar w:fldCharType="separate"/>
            </w:r>
            <w:r>
              <w:rPr>
                <w:noProof/>
                <w:webHidden/>
              </w:rPr>
              <w:t>8</w:t>
            </w:r>
            <w:r>
              <w:rPr>
                <w:noProof/>
                <w:webHidden/>
              </w:rPr>
              <w:fldChar w:fldCharType="end"/>
            </w:r>
          </w:hyperlink>
        </w:p>
        <w:p w14:paraId="71EF834C" w14:textId="2644E3B3" w:rsidR="001142D0" w:rsidRDefault="001142D0">
          <w:pPr>
            <w:pStyle w:val="TOC2"/>
            <w:tabs>
              <w:tab w:val="left" w:pos="880"/>
              <w:tab w:val="right" w:leader="dot" w:pos="9350"/>
            </w:tabs>
            <w:rPr>
              <w:rFonts w:asciiTheme="minorHAnsi" w:hAnsiTheme="minorHAnsi"/>
              <w:noProof/>
              <w:lang w:eastAsia="en-US"/>
            </w:rPr>
          </w:pPr>
          <w:hyperlink w:anchor="_Toc44510653" w:history="1">
            <w:r w:rsidRPr="008966C2">
              <w:rPr>
                <w:rStyle w:val="Hyperlink"/>
                <w:noProof/>
              </w:rPr>
              <w:t>1.2</w:t>
            </w:r>
            <w:r>
              <w:rPr>
                <w:rFonts w:asciiTheme="minorHAnsi" w:hAnsiTheme="minorHAnsi"/>
                <w:noProof/>
                <w:lang w:eastAsia="en-US"/>
              </w:rPr>
              <w:tab/>
            </w:r>
            <w:r w:rsidRPr="008966C2">
              <w:rPr>
                <w:rStyle w:val="Hyperlink"/>
                <w:noProof/>
              </w:rPr>
              <w:t>Adoption Path</w:t>
            </w:r>
            <w:r>
              <w:rPr>
                <w:noProof/>
                <w:webHidden/>
              </w:rPr>
              <w:tab/>
            </w:r>
            <w:r>
              <w:rPr>
                <w:noProof/>
                <w:webHidden/>
              </w:rPr>
              <w:fldChar w:fldCharType="begin"/>
            </w:r>
            <w:r>
              <w:rPr>
                <w:noProof/>
                <w:webHidden/>
              </w:rPr>
              <w:instrText xml:space="preserve"> PAGEREF _Toc44510653 \h </w:instrText>
            </w:r>
            <w:r>
              <w:rPr>
                <w:noProof/>
                <w:webHidden/>
              </w:rPr>
            </w:r>
            <w:r>
              <w:rPr>
                <w:noProof/>
                <w:webHidden/>
              </w:rPr>
              <w:fldChar w:fldCharType="separate"/>
            </w:r>
            <w:r>
              <w:rPr>
                <w:noProof/>
                <w:webHidden/>
              </w:rPr>
              <w:t>9</w:t>
            </w:r>
            <w:r>
              <w:rPr>
                <w:noProof/>
                <w:webHidden/>
              </w:rPr>
              <w:fldChar w:fldCharType="end"/>
            </w:r>
          </w:hyperlink>
        </w:p>
        <w:p w14:paraId="0C8CFAF7" w14:textId="3E9548ED" w:rsidR="001142D0" w:rsidRDefault="001142D0">
          <w:pPr>
            <w:pStyle w:val="TOC3"/>
            <w:tabs>
              <w:tab w:val="left" w:pos="1320"/>
              <w:tab w:val="right" w:leader="dot" w:pos="9350"/>
            </w:tabs>
            <w:rPr>
              <w:rFonts w:asciiTheme="minorHAnsi" w:hAnsiTheme="minorHAnsi"/>
              <w:noProof/>
              <w:lang w:eastAsia="en-US"/>
            </w:rPr>
          </w:pPr>
          <w:hyperlink w:anchor="_Toc44510654" w:history="1">
            <w:r w:rsidRPr="008966C2">
              <w:rPr>
                <w:rStyle w:val="Hyperlink"/>
                <w:noProof/>
              </w:rPr>
              <w:t>1.2.1</w:t>
            </w:r>
            <w:r>
              <w:rPr>
                <w:rFonts w:asciiTheme="minorHAnsi" w:hAnsiTheme="minorHAnsi"/>
                <w:noProof/>
                <w:lang w:eastAsia="en-US"/>
              </w:rPr>
              <w:tab/>
            </w:r>
            <w:r w:rsidRPr="008966C2">
              <w:rPr>
                <w:rStyle w:val="Hyperlink"/>
                <w:noProof/>
              </w:rPr>
              <w:t>Current Adoption</w:t>
            </w:r>
            <w:r>
              <w:rPr>
                <w:noProof/>
                <w:webHidden/>
              </w:rPr>
              <w:tab/>
            </w:r>
            <w:r>
              <w:rPr>
                <w:noProof/>
                <w:webHidden/>
              </w:rPr>
              <w:fldChar w:fldCharType="begin"/>
            </w:r>
            <w:r>
              <w:rPr>
                <w:noProof/>
                <w:webHidden/>
              </w:rPr>
              <w:instrText xml:space="preserve"> PAGEREF _Toc44510654 \h </w:instrText>
            </w:r>
            <w:r>
              <w:rPr>
                <w:noProof/>
                <w:webHidden/>
              </w:rPr>
            </w:r>
            <w:r>
              <w:rPr>
                <w:noProof/>
                <w:webHidden/>
              </w:rPr>
              <w:fldChar w:fldCharType="separate"/>
            </w:r>
            <w:r>
              <w:rPr>
                <w:noProof/>
                <w:webHidden/>
              </w:rPr>
              <w:t>9</w:t>
            </w:r>
            <w:r>
              <w:rPr>
                <w:noProof/>
                <w:webHidden/>
              </w:rPr>
              <w:fldChar w:fldCharType="end"/>
            </w:r>
          </w:hyperlink>
        </w:p>
        <w:p w14:paraId="17848F0E" w14:textId="54A0A868" w:rsidR="001142D0" w:rsidRDefault="001142D0">
          <w:pPr>
            <w:pStyle w:val="TOC3"/>
            <w:tabs>
              <w:tab w:val="left" w:pos="1320"/>
              <w:tab w:val="right" w:leader="dot" w:pos="9350"/>
            </w:tabs>
            <w:rPr>
              <w:rFonts w:asciiTheme="minorHAnsi" w:hAnsiTheme="minorHAnsi"/>
              <w:noProof/>
              <w:lang w:eastAsia="en-US"/>
            </w:rPr>
          </w:pPr>
          <w:hyperlink w:anchor="_Toc44510655" w:history="1">
            <w:r w:rsidRPr="008966C2">
              <w:rPr>
                <w:rStyle w:val="Hyperlink"/>
                <w:noProof/>
              </w:rPr>
              <w:t>1.2.2</w:t>
            </w:r>
            <w:r>
              <w:rPr>
                <w:rFonts w:asciiTheme="minorHAnsi" w:hAnsiTheme="minorHAnsi"/>
                <w:noProof/>
                <w:lang w:eastAsia="en-US"/>
              </w:rPr>
              <w:tab/>
            </w:r>
            <w:r w:rsidRPr="008966C2">
              <w:rPr>
                <w:rStyle w:val="Hyperlink"/>
                <w:noProof/>
              </w:rPr>
              <w:t>Trends to Accelerate Adoption</w:t>
            </w:r>
            <w:r>
              <w:rPr>
                <w:noProof/>
                <w:webHidden/>
              </w:rPr>
              <w:tab/>
            </w:r>
            <w:r>
              <w:rPr>
                <w:noProof/>
                <w:webHidden/>
              </w:rPr>
              <w:fldChar w:fldCharType="begin"/>
            </w:r>
            <w:r>
              <w:rPr>
                <w:noProof/>
                <w:webHidden/>
              </w:rPr>
              <w:instrText xml:space="preserve"> PAGEREF _Toc44510655 \h </w:instrText>
            </w:r>
            <w:r>
              <w:rPr>
                <w:noProof/>
                <w:webHidden/>
              </w:rPr>
            </w:r>
            <w:r>
              <w:rPr>
                <w:noProof/>
                <w:webHidden/>
              </w:rPr>
              <w:fldChar w:fldCharType="separate"/>
            </w:r>
            <w:r>
              <w:rPr>
                <w:noProof/>
                <w:webHidden/>
              </w:rPr>
              <w:t>10</w:t>
            </w:r>
            <w:r>
              <w:rPr>
                <w:noProof/>
                <w:webHidden/>
              </w:rPr>
              <w:fldChar w:fldCharType="end"/>
            </w:r>
          </w:hyperlink>
        </w:p>
        <w:p w14:paraId="5370BDD6" w14:textId="2409ED03" w:rsidR="001142D0" w:rsidRDefault="001142D0">
          <w:pPr>
            <w:pStyle w:val="TOC3"/>
            <w:tabs>
              <w:tab w:val="left" w:pos="1320"/>
              <w:tab w:val="right" w:leader="dot" w:pos="9350"/>
            </w:tabs>
            <w:rPr>
              <w:rFonts w:asciiTheme="minorHAnsi" w:hAnsiTheme="minorHAnsi"/>
              <w:noProof/>
              <w:lang w:eastAsia="en-US"/>
            </w:rPr>
          </w:pPr>
          <w:hyperlink w:anchor="_Toc44510656" w:history="1">
            <w:r w:rsidRPr="008966C2">
              <w:rPr>
                <w:rStyle w:val="Hyperlink"/>
                <w:noProof/>
              </w:rPr>
              <w:t>1.2.3</w:t>
            </w:r>
            <w:r>
              <w:rPr>
                <w:rFonts w:asciiTheme="minorHAnsi" w:hAnsiTheme="minorHAnsi"/>
                <w:noProof/>
                <w:lang w:eastAsia="en-US"/>
              </w:rPr>
              <w:tab/>
            </w:r>
            <w:r w:rsidRPr="008966C2">
              <w:rPr>
                <w:rStyle w:val="Hyperlink"/>
                <w:noProof/>
              </w:rPr>
              <w:t>Barriers to Adoption</w:t>
            </w:r>
            <w:r>
              <w:rPr>
                <w:noProof/>
                <w:webHidden/>
              </w:rPr>
              <w:tab/>
            </w:r>
            <w:r>
              <w:rPr>
                <w:noProof/>
                <w:webHidden/>
              </w:rPr>
              <w:fldChar w:fldCharType="begin"/>
            </w:r>
            <w:r>
              <w:rPr>
                <w:noProof/>
                <w:webHidden/>
              </w:rPr>
              <w:instrText xml:space="preserve"> PAGEREF _Toc44510656 \h </w:instrText>
            </w:r>
            <w:r>
              <w:rPr>
                <w:noProof/>
                <w:webHidden/>
              </w:rPr>
            </w:r>
            <w:r>
              <w:rPr>
                <w:noProof/>
                <w:webHidden/>
              </w:rPr>
              <w:fldChar w:fldCharType="separate"/>
            </w:r>
            <w:r>
              <w:rPr>
                <w:noProof/>
                <w:webHidden/>
              </w:rPr>
              <w:t>11</w:t>
            </w:r>
            <w:r>
              <w:rPr>
                <w:noProof/>
                <w:webHidden/>
              </w:rPr>
              <w:fldChar w:fldCharType="end"/>
            </w:r>
          </w:hyperlink>
        </w:p>
        <w:p w14:paraId="272FABF6" w14:textId="7C37F63E" w:rsidR="001142D0" w:rsidRDefault="001142D0">
          <w:pPr>
            <w:pStyle w:val="TOC3"/>
            <w:tabs>
              <w:tab w:val="left" w:pos="1320"/>
              <w:tab w:val="right" w:leader="dot" w:pos="9350"/>
            </w:tabs>
            <w:rPr>
              <w:rFonts w:asciiTheme="minorHAnsi" w:hAnsiTheme="minorHAnsi"/>
              <w:noProof/>
              <w:lang w:eastAsia="en-US"/>
            </w:rPr>
          </w:pPr>
          <w:hyperlink w:anchor="_Toc44510657" w:history="1">
            <w:r w:rsidRPr="008966C2">
              <w:rPr>
                <w:rStyle w:val="Hyperlink"/>
                <w:noProof/>
              </w:rPr>
              <w:t>1.2.4</w:t>
            </w:r>
            <w:r>
              <w:rPr>
                <w:rFonts w:asciiTheme="minorHAnsi" w:hAnsiTheme="minorHAnsi"/>
                <w:noProof/>
                <w:lang w:eastAsia="en-US"/>
              </w:rPr>
              <w:tab/>
            </w:r>
            <w:r w:rsidRPr="008966C2">
              <w:rPr>
                <w:rStyle w:val="Hyperlink"/>
                <w:noProof/>
              </w:rPr>
              <w:t>Adoption Potential</w:t>
            </w:r>
            <w:r>
              <w:rPr>
                <w:noProof/>
                <w:webHidden/>
              </w:rPr>
              <w:tab/>
            </w:r>
            <w:r>
              <w:rPr>
                <w:noProof/>
                <w:webHidden/>
              </w:rPr>
              <w:fldChar w:fldCharType="begin"/>
            </w:r>
            <w:r>
              <w:rPr>
                <w:noProof/>
                <w:webHidden/>
              </w:rPr>
              <w:instrText xml:space="preserve"> PAGEREF _Toc44510657 \h </w:instrText>
            </w:r>
            <w:r>
              <w:rPr>
                <w:noProof/>
                <w:webHidden/>
              </w:rPr>
            </w:r>
            <w:r>
              <w:rPr>
                <w:noProof/>
                <w:webHidden/>
              </w:rPr>
              <w:fldChar w:fldCharType="separate"/>
            </w:r>
            <w:r>
              <w:rPr>
                <w:noProof/>
                <w:webHidden/>
              </w:rPr>
              <w:t>12</w:t>
            </w:r>
            <w:r>
              <w:rPr>
                <w:noProof/>
                <w:webHidden/>
              </w:rPr>
              <w:fldChar w:fldCharType="end"/>
            </w:r>
          </w:hyperlink>
        </w:p>
        <w:p w14:paraId="6AE4C173" w14:textId="5C2EFF57" w:rsidR="001142D0" w:rsidRDefault="001142D0">
          <w:pPr>
            <w:pStyle w:val="TOC2"/>
            <w:tabs>
              <w:tab w:val="left" w:pos="880"/>
              <w:tab w:val="right" w:leader="dot" w:pos="9350"/>
            </w:tabs>
            <w:rPr>
              <w:rFonts w:asciiTheme="minorHAnsi" w:hAnsiTheme="minorHAnsi"/>
              <w:noProof/>
              <w:lang w:eastAsia="en-US"/>
            </w:rPr>
          </w:pPr>
          <w:hyperlink w:anchor="_Toc44510658" w:history="1">
            <w:r w:rsidRPr="008966C2">
              <w:rPr>
                <w:rStyle w:val="Hyperlink"/>
                <w:noProof/>
              </w:rPr>
              <w:t>1.3</w:t>
            </w:r>
            <w:r>
              <w:rPr>
                <w:rFonts w:asciiTheme="minorHAnsi" w:hAnsiTheme="minorHAnsi"/>
                <w:noProof/>
                <w:lang w:eastAsia="en-US"/>
              </w:rPr>
              <w:tab/>
            </w:r>
            <w:r w:rsidRPr="008966C2">
              <w:rPr>
                <w:rStyle w:val="Hyperlink"/>
                <w:noProof/>
              </w:rPr>
              <w:t>Advantages and Disadvantages of Solar Hot Water</w:t>
            </w:r>
            <w:r>
              <w:rPr>
                <w:noProof/>
                <w:webHidden/>
              </w:rPr>
              <w:tab/>
            </w:r>
            <w:r>
              <w:rPr>
                <w:noProof/>
                <w:webHidden/>
              </w:rPr>
              <w:fldChar w:fldCharType="begin"/>
            </w:r>
            <w:r>
              <w:rPr>
                <w:noProof/>
                <w:webHidden/>
              </w:rPr>
              <w:instrText xml:space="preserve"> PAGEREF _Toc44510658 \h </w:instrText>
            </w:r>
            <w:r>
              <w:rPr>
                <w:noProof/>
                <w:webHidden/>
              </w:rPr>
            </w:r>
            <w:r>
              <w:rPr>
                <w:noProof/>
                <w:webHidden/>
              </w:rPr>
              <w:fldChar w:fldCharType="separate"/>
            </w:r>
            <w:r>
              <w:rPr>
                <w:noProof/>
                <w:webHidden/>
              </w:rPr>
              <w:t>13</w:t>
            </w:r>
            <w:r>
              <w:rPr>
                <w:noProof/>
                <w:webHidden/>
              </w:rPr>
              <w:fldChar w:fldCharType="end"/>
            </w:r>
          </w:hyperlink>
        </w:p>
        <w:p w14:paraId="64DE44BF" w14:textId="5CA83191" w:rsidR="001142D0" w:rsidRDefault="001142D0">
          <w:pPr>
            <w:pStyle w:val="TOC3"/>
            <w:tabs>
              <w:tab w:val="left" w:pos="1320"/>
              <w:tab w:val="right" w:leader="dot" w:pos="9350"/>
            </w:tabs>
            <w:rPr>
              <w:rFonts w:asciiTheme="minorHAnsi" w:hAnsiTheme="minorHAnsi"/>
              <w:noProof/>
              <w:lang w:eastAsia="en-US"/>
            </w:rPr>
          </w:pPr>
          <w:hyperlink w:anchor="_Toc44510659" w:history="1">
            <w:r w:rsidRPr="008966C2">
              <w:rPr>
                <w:rStyle w:val="Hyperlink"/>
                <w:noProof/>
              </w:rPr>
              <w:t>1.3.1</w:t>
            </w:r>
            <w:r>
              <w:rPr>
                <w:rFonts w:asciiTheme="minorHAnsi" w:hAnsiTheme="minorHAnsi"/>
                <w:noProof/>
                <w:lang w:eastAsia="en-US"/>
              </w:rPr>
              <w:tab/>
            </w:r>
            <w:r w:rsidRPr="008966C2">
              <w:rPr>
                <w:rStyle w:val="Hyperlink"/>
                <w:noProof/>
              </w:rPr>
              <w:t>Similar Solutions</w:t>
            </w:r>
            <w:r>
              <w:rPr>
                <w:noProof/>
                <w:webHidden/>
              </w:rPr>
              <w:tab/>
            </w:r>
            <w:r>
              <w:rPr>
                <w:noProof/>
                <w:webHidden/>
              </w:rPr>
              <w:fldChar w:fldCharType="begin"/>
            </w:r>
            <w:r>
              <w:rPr>
                <w:noProof/>
                <w:webHidden/>
              </w:rPr>
              <w:instrText xml:space="preserve"> PAGEREF _Toc44510659 \h </w:instrText>
            </w:r>
            <w:r>
              <w:rPr>
                <w:noProof/>
                <w:webHidden/>
              </w:rPr>
            </w:r>
            <w:r>
              <w:rPr>
                <w:noProof/>
                <w:webHidden/>
              </w:rPr>
              <w:fldChar w:fldCharType="separate"/>
            </w:r>
            <w:r>
              <w:rPr>
                <w:noProof/>
                <w:webHidden/>
              </w:rPr>
              <w:t>13</w:t>
            </w:r>
            <w:r>
              <w:rPr>
                <w:noProof/>
                <w:webHidden/>
              </w:rPr>
              <w:fldChar w:fldCharType="end"/>
            </w:r>
          </w:hyperlink>
        </w:p>
        <w:p w14:paraId="3E0049D9" w14:textId="5D3F697F" w:rsidR="001142D0" w:rsidRDefault="001142D0">
          <w:pPr>
            <w:pStyle w:val="TOC3"/>
            <w:tabs>
              <w:tab w:val="left" w:pos="1320"/>
              <w:tab w:val="right" w:leader="dot" w:pos="9350"/>
            </w:tabs>
            <w:rPr>
              <w:rFonts w:asciiTheme="minorHAnsi" w:hAnsiTheme="minorHAnsi"/>
              <w:noProof/>
              <w:lang w:eastAsia="en-US"/>
            </w:rPr>
          </w:pPr>
          <w:hyperlink w:anchor="_Toc44510660" w:history="1">
            <w:r w:rsidRPr="008966C2">
              <w:rPr>
                <w:rStyle w:val="Hyperlink"/>
                <w:noProof/>
              </w:rPr>
              <w:t>1.3.2</w:t>
            </w:r>
            <w:r>
              <w:rPr>
                <w:rFonts w:asciiTheme="minorHAnsi" w:hAnsiTheme="minorHAnsi"/>
                <w:noProof/>
                <w:lang w:eastAsia="en-US"/>
              </w:rPr>
              <w:tab/>
            </w:r>
            <w:r w:rsidRPr="008966C2">
              <w:rPr>
                <w:rStyle w:val="Hyperlink"/>
                <w:noProof/>
              </w:rPr>
              <w:t>Arguments for Adoption</w:t>
            </w:r>
            <w:r>
              <w:rPr>
                <w:noProof/>
                <w:webHidden/>
              </w:rPr>
              <w:tab/>
            </w:r>
            <w:r>
              <w:rPr>
                <w:noProof/>
                <w:webHidden/>
              </w:rPr>
              <w:fldChar w:fldCharType="begin"/>
            </w:r>
            <w:r>
              <w:rPr>
                <w:noProof/>
                <w:webHidden/>
              </w:rPr>
              <w:instrText xml:space="preserve"> PAGEREF _Toc44510660 \h </w:instrText>
            </w:r>
            <w:r>
              <w:rPr>
                <w:noProof/>
                <w:webHidden/>
              </w:rPr>
            </w:r>
            <w:r>
              <w:rPr>
                <w:noProof/>
                <w:webHidden/>
              </w:rPr>
              <w:fldChar w:fldCharType="separate"/>
            </w:r>
            <w:r>
              <w:rPr>
                <w:noProof/>
                <w:webHidden/>
              </w:rPr>
              <w:t>14</w:t>
            </w:r>
            <w:r>
              <w:rPr>
                <w:noProof/>
                <w:webHidden/>
              </w:rPr>
              <w:fldChar w:fldCharType="end"/>
            </w:r>
          </w:hyperlink>
        </w:p>
        <w:p w14:paraId="2C1DEA57" w14:textId="330E3DE2" w:rsidR="001142D0" w:rsidRDefault="001142D0">
          <w:pPr>
            <w:pStyle w:val="TOC3"/>
            <w:tabs>
              <w:tab w:val="left" w:pos="1320"/>
              <w:tab w:val="right" w:leader="dot" w:pos="9350"/>
            </w:tabs>
            <w:rPr>
              <w:rFonts w:asciiTheme="minorHAnsi" w:hAnsiTheme="minorHAnsi"/>
              <w:noProof/>
              <w:lang w:eastAsia="en-US"/>
            </w:rPr>
          </w:pPr>
          <w:hyperlink w:anchor="_Toc44510661" w:history="1">
            <w:r w:rsidRPr="008966C2">
              <w:rPr>
                <w:rStyle w:val="Hyperlink"/>
                <w:noProof/>
              </w:rPr>
              <w:t>1.3.3</w:t>
            </w:r>
            <w:r>
              <w:rPr>
                <w:rFonts w:asciiTheme="minorHAnsi" w:hAnsiTheme="minorHAnsi"/>
                <w:noProof/>
                <w:lang w:eastAsia="en-US"/>
              </w:rPr>
              <w:tab/>
            </w:r>
            <w:r w:rsidRPr="008966C2">
              <w:rPr>
                <w:rStyle w:val="Hyperlink"/>
                <w:noProof/>
              </w:rPr>
              <w:t>Additional Benefits and Burdens</w:t>
            </w:r>
            <w:r>
              <w:rPr>
                <w:noProof/>
                <w:webHidden/>
              </w:rPr>
              <w:tab/>
            </w:r>
            <w:r>
              <w:rPr>
                <w:noProof/>
                <w:webHidden/>
              </w:rPr>
              <w:fldChar w:fldCharType="begin"/>
            </w:r>
            <w:r>
              <w:rPr>
                <w:noProof/>
                <w:webHidden/>
              </w:rPr>
              <w:instrText xml:space="preserve"> PAGEREF _Toc44510661 \h </w:instrText>
            </w:r>
            <w:r>
              <w:rPr>
                <w:noProof/>
                <w:webHidden/>
              </w:rPr>
            </w:r>
            <w:r>
              <w:rPr>
                <w:noProof/>
                <w:webHidden/>
              </w:rPr>
              <w:fldChar w:fldCharType="separate"/>
            </w:r>
            <w:r>
              <w:rPr>
                <w:noProof/>
                <w:webHidden/>
              </w:rPr>
              <w:t>15</w:t>
            </w:r>
            <w:r>
              <w:rPr>
                <w:noProof/>
                <w:webHidden/>
              </w:rPr>
              <w:fldChar w:fldCharType="end"/>
            </w:r>
          </w:hyperlink>
        </w:p>
        <w:p w14:paraId="12B3E3A6" w14:textId="339CB49F" w:rsidR="001142D0" w:rsidRDefault="001142D0">
          <w:pPr>
            <w:pStyle w:val="TOC1"/>
            <w:tabs>
              <w:tab w:val="left" w:pos="440"/>
              <w:tab w:val="right" w:leader="dot" w:pos="9350"/>
            </w:tabs>
            <w:rPr>
              <w:rFonts w:asciiTheme="minorHAnsi" w:hAnsiTheme="minorHAnsi"/>
              <w:noProof/>
              <w:lang w:eastAsia="en-US"/>
            </w:rPr>
          </w:pPr>
          <w:hyperlink w:anchor="_Toc44510662" w:history="1">
            <w:r w:rsidRPr="008966C2">
              <w:rPr>
                <w:rStyle w:val="Hyperlink"/>
                <w:noProof/>
              </w:rPr>
              <w:t>2</w:t>
            </w:r>
            <w:r>
              <w:rPr>
                <w:rFonts w:asciiTheme="minorHAnsi" w:hAnsiTheme="minorHAnsi"/>
                <w:noProof/>
                <w:lang w:eastAsia="en-US"/>
              </w:rPr>
              <w:tab/>
            </w:r>
            <w:r w:rsidRPr="008966C2">
              <w:rPr>
                <w:rStyle w:val="Hyperlink"/>
                <w:noProof/>
              </w:rPr>
              <w:t>Methodology</w:t>
            </w:r>
            <w:r>
              <w:rPr>
                <w:noProof/>
                <w:webHidden/>
              </w:rPr>
              <w:tab/>
            </w:r>
            <w:r>
              <w:rPr>
                <w:noProof/>
                <w:webHidden/>
              </w:rPr>
              <w:fldChar w:fldCharType="begin"/>
            </w:r>
            <w:r>
              <w:rPr>
                <w:noProof/>
                <w:webHidden/>
              </w:rPr>
              <w:instrText xml:space="preserve"> PAGEREF _Toc44510662 \h </w:instrText>
            </w:r>
            <w:r>
              <w:rPr>
                <w:noProof/>
                <w:webHidden/>
              </w:rPr>
            </w:r>
            <w:r>
              <w:rPr>
                <w:noProof/>
                <w:webHidden/>
              </w:rPr>
              <w:fldChar w:fldCharType="separate"/>
            </w:r>
            <w:r>
              <w:rPr>
                <w:noProof/>
                <w:webHidden/>
              </w:rPr>
              <w:t>17</w:t>
            </w:r>
            <w:r>
              <w:rPr>
                <w:noProof/>
                <w:webHidden/>
              </w:rPr>
              <w:fldChar w:fldCharType="end"/>
            </w:r>
          </w:hyperlink>
        </w:p>
        <w:p w14:paraId="1A311B31" w14:textId="7097AAE8" w:rsidR="001142D0" w:rsidRDefault="001142D0">
          <w:pPr>
            <w:pStyle w:val="TOC2"/>
            <w:tabs>
              <w:tab w:val="left" w:pos="880"/>
              <w:tab w:val="right" w:leader="dot" w:pos="9350"/>
            </w:tabs>
            <w:rPr>
              <w:rFonts w:asciiTheme="minorHAnsi" w:hAnsiTheme="minorHAnsi"/>
              <w:noProof/>
              <w:lang w:eastAsia="en-US"/>
            </w:rPr>
          </w:pPr>
          <w:hyperlink w:anchor="_Toc44510663" w:history="1">
            <w:r w:rsidRPr="008966C2">
              <w:rPr>
                <w:rStyle w:val="Hyperlink"/>
                <w:noProof/>
              </w:rPr>
              <w:t>2.1</w:t>
            </w:r>
            <w:r>
              <w:rPr>
                <w:rFonts w:asciiTheme="minorHAnsi" w:hAnsiTheme="minorHAnsi"/>
                <w:noProof/>
                <w:lang w:eastAsia="en-US"/>
              </w:rPr>
              <w:tab/>
            </w:r>
            <w:r w:rsidRPr="008966C2">
              <w:rPr>
                <w:rStyle w:val="Hyperlink"/>
                <w:noProof/>
              </w:rPr>
              <w:t>Introduction</w:t>
            </w:r>
            <w:r>
              <w:rPr>
                <w:noProof/>
                <w:webHidden/>
              </w:rPr>
              <w:tab/>
            </w:r>
            <w:r>
              <w:rPr>
                <w:noProof/>
                <w:webHidden/>
              </w:rPr>
              <w:fldChar w:fldCharType="begin"/>
            </w:r>
            <w:r>
              <w:rPr>
                <w:noProof/>
                <w:webHidden/>
              </w:rPr>
              <w:instrText xml:space="preserve"> PAGEREF _Toc44510663 \h </w:instrText>
            </w:r>
            <w:r>
              <w:rPr>
                <w:noProof/>
                <w:webHidden/>
              </w:rPr>
            </w:r>
            <w:r>
              <w:rPr>
                <w:noProof/>
                <w:webHidden/>
              </w:rPr>
              <w:fldChar w:fldCharType="separate"/>
            </w:r>
            <w:r>
              <w:rPr>
                <w:noProof/>
                <w:webHidden/>
              </w:rPr>
              <w:t>17</w:t>
            </w:r>
            <w:r>
              <w:rPr>
                <w:noProof/>
                <w:webHidden/>
              </w:rPr>
              <w:fldChar w:fldCharType="end"/>
            </w:r>
          </w:hyperlink>
        </w:p>
        <w:p w14:paraId="68ECF001" w14:textId="0123FF50" w:rsidR="001142D0" w:rsidRDefault="001142D0">
          <w:pPr>
            <w:pStyle w:val="TOC2"/>
            <w:tabs>
              <w:tab w:val="left" w:pos="880"/>
              <w:tab w:val="right" w:leader="dot" w:pos="9350"/>
            </w:tabs>
            <w:rPr>
              <w:rFonts w:asciiTheme="minorHAnsi" w:hAnsiTheme="minorHAnsi"/>
              <w:noProof/>
              <w:lang w:eastAsia="en-US"/>
            </w:rPr>
          </w:pPr>
          <w:hyperlink w:anchor="_Toc44510664" w:history="1">
            <w:r w:rsidRPr="008966C2">
              <w:rPr>
                <w:rStyle w:val="Hyperlink"/>
                <w:noProof/>
              </w:rPr>
              <w:t>2.2</w:t>
            </w:r>
            <w:r>
              <w:rPr>
                <w:rFonts w:asciiTheme="minorHAnsi" w:hAnsiTheme="minorHAnsi"/>
                <w:noProof/>
                <w:lang w:eastAsia="en-US"/>
              </w:rPr>
              <w:tab/>
            </w:r>
            <w:r w:rsidRPr="008966C2">
              <w:rPr>
                <w:rStyle w:val="Hyperlink"/>
                <w:noProof/>
              </w:rPr>
              <w:t>Data Sources</w:t>
            </w:r>
            <w:r>
              <w:rPr>
                <w:noProof/>
                <w:webHidden/>
              </w:rPr>
              <w:tab/>
            </w:r>
            <w:r>
              <w:rPr>
                <w:noProof/>
                <w:webHidden/>
              </w:rPr>
              <w:fldChar w:fldCharType="begin"/>
            </w:r>
            <w:r>
              <w:rPr>
                <w:noProof/>
                <w:webHidden/>
              </w:rPr>
              <w:instrText xml:space="preserve"> PAGEREF _Toc44510664 \h </w:instrText>
            </w:r>
            <w:r>
              <w:rPr>
                <w:noProof/>
                <w:webHidden/>
              </w:rPr>
            </w:r>
            <w:r>
              <w:rPr>
                <w:noProof/>
                <w:webHidden/>
              </w:rPr>
              <w:fldChar w:fldCharType="separate"/>
            </w:r>
            <w:r>
              <w:rPr>
                <w:noProof/>
                <w:webHidden/>
              </w:rPr>
              <w:t>18</w:t>
            </w:r>
            <w:r>
              <w:rPr>
                <w:noProof/>
                <w:webHidden/>
              </w:rPr>
              <w:fldChar w:fldCharType="end"/>
            </w:r>
          </w:hyperlink>
        </w:p>
        <w:p w14:paraId="64C041F5" w14:textId="28C11522" w:rsidR="001142D0" w:rsidRDefault="001142D0">
          <w:pPr>
            <w:pStyle w:val="TOC2"/>
            <w:tabs>
              <w:tab w:val="left" w:pos="880"/>
              <w:tab w:val="right" w:leader="dot" w:pos="9350"/>
            </w:tabs>
            <w:rPr>
              <w:rFonts w:asciiTheme="minorHAnsi" w:hAnsiTheme="minorHAnsi"/>
              <w:noProof/>
              <w:lang w:eastAsia="en-US"/>
            </w:rPr>
          </w:pPr>
          <w:hyperlink w:anchor="_Toc44510665" w:history="1">
            <w:r w:rsidRPr="008966C2">
              <w:rPr>
                <w:rStyle w:val="Hyperlink"/>
                <w:noProof/>
              </w:rPr>
              <w:t>2.3</w:t>
            </w:r>
            <w:r>
              <w:rPr>
                <w:rFonts w:asciiTheme="minorHAnsi" w:hAnsiTheme="minorHAnsi"/>
                <w:noProof/>
                <w:lang w:eastAsia="en-US"/>
              </w:rPr>
              <w:tab/>
            </w:r>
            <w:r w:rsidRPr="008966C2">
              <w:rPr>
                <w:rStyle w:val="Hyperlink"/>
                <w:noProof/>
              </w:rPr>
              <w:t>Total Addressable Market</w:t>
            </w:r>
            <w:r>
              <w:rPr>
                <w:noProof/>
                <w:webHidden/>
              </w:rPr>
              <w:tab/>
            </w:r>
            <w:r>
              <w:rPr>
                <w:noProof/>
                <w:webHidden/>
              </w:rPr>
              <w:fldChar w:fldCharType="begin"/>
            </w:r>
            <w:r>
              <w:rPr>
                <w:noProof/>
                <w:webHidden/>
              </w:rPr>
              <w:instrText xml:space="preserve"> PAGEREF _Toc44510665 \h </w:instrText>
            </w:r>
            <w:r>
              <w:rPr>
                <w:noProof/>
                <w:webHidden/>
              </w:rPr>
            </w:r>
            <w:r>
              <w:rPr>
                <w:noProof/>
                <w:webHidden/>
              </w:rPr>
              <w:fldChar w:fldCharType="separate"/>
            </w:r>
            <w:r>
              <w:rPr>
                <w:noProof/>
                <w:webHidden/>
              </w:rPr>
              <w:t>19</w:t>
            </w:r>
            <w:r>
              <w:rPr>
                <w:noProof/>
                <w:webHidden/>
              </w:rPr>
              <w:fldChar w:fldCharType="end"/>
            </w:r>
          </w:hyperlink>
        </w:p>
        <w:p w14:paraId="3EAF4DEA" w14:textId="6B6E58D6" w:rsidR="001142D0" w:rsidRDefault="001142D0">
          <w:pPr>
            <w:pStyle w:val="TOC2"/>
            <w:tabs>
              <w:tab w:val="left" w:pos="880"/>
              <w:tab w:val="right" w:leader="dot" w:pos="9350"/>
            </w:tabs>
            <w:rPr>
              <w:rFonts w:asciiTheme="minorHAnsi" w:hAnsiTheme="minorHAnsi"/>
              <w:noProof/>
              <w:lang w:eastAsia="en-US"/>
            </w:rPr>
          </w:pPr>
          <w:hyperlink w:anchor="_Toc44510666" w:history="1">
            <w:r w:rsidRPr="008966C2">
              <w:rPr>
                <w:rStyle w:val="Hyperlink"/>
                <w:noProof/>
              </w:rPr>
              <w:t>2.4</w:t>
            </w:r>
            <w:r>
              <w:rPr>
                <w:rFonts w:asciiTheme="minorHAnsi" w:hAnsiTheme="minorHAnsi"/>
                <w:noProof/>
                <w:lang w:eastAsia="en-US"/>
              </w:rPr>
              <w:tab/>
            </w:r>
            <w:r w:rsidRPr="008966C2">
              <w:rPr>
                <w:rStyle w:val="Hyperlink"/>
                <w:noProof/>
              </w:rPr>
              <w:t>Adoption Scenarios</w:t>
            </w:r>
            <w:r>
              <w:rPr>
                <w:noProof/>
                <w:webHidden/>
              </w:rPr>
              <w:tab/>
            </w:r>
            <w:r>
              <w:rPr>
                <w:noProof/>
                <w:webHidden/>
              </w:rPr>
              <w:fldChar w:fldCharType="begin"/>
            </w:r>
            <w:r>
              <w:rPr>
                <w:noProof/>
                <w:webHidden/>
              </w:rPr>
              <w:instrText xml:space="preserve"> PAGEREF _Toc44510666 \h </w:instrText>
            </w:r>
            <w:r>
              <w:rPr>
                <w:noProof/>
                <w:webHidden/>
              </w:rPr>
            </w:r>
            <w:r>
              <w:rPr>
                <w:noProof/>
                <w:webHidden/>
              </w:rPr>
              <w:fldChar w:fldCharType="separate"/>
            </w:r>
            <w:r>
              <w:rPr>
                <w:noProof/>
                <w:webHidden/>
              </w:rPr>
              <w:t>20</w:t>
            </w:r>
            <w:r>
              <w:rPr>
                <w:noProof/>
                <w:webHidden/>
              </w:rPr>
              <w:fldChar w:fldCharType="end"/>
            </w:r>
          </w:hyperlink>
        </w:p>
        <w:p w14:paraId="664CD1C9" w14:textId="365EA3BA" w:rsidR="001142D0" w:rsidRDefault="001142D0">
          <w:pPr>
            <w:pStyle w:val="TOC3"/>
            <w:tabs>
              <w:tab w:val="left" w:pos="1320"/>
              <w:tab w:val="right" w:leader="dot" w:pos="9350"/>
            </w:tabs>
            <w:rPr>
              <w:rFonts w:asciiTheme="minorHAnsi" w:hAnsiTheme="minorHAnsi"/>
              <w:noProof/>
              <w:lang w:eastAsia="en-US"/>
            </w:rPr>
          </w:pPr>
          <w:hyperlink w:anchor="_Toc44510667" w:history="1">
            <w:r w:rsidRPr="008966C2">
              <w:rPr>
                <w:rStyle w:val="Hyperlink"/>
                <w:noProof/>
              </w:rPr>
              <w:t>2.4.1</w:t>
            </w:r>
            <w:r>
              <w:rPr>
                <w:rFonts w:asciiTheme="minorHAnsi" w:hAnsiTheme="minorHAnsi"/>
                <w:noProof/>
                <w:lang w:eastAsia="en-US"/>
              </w:rPr>
              <w:tab/>
            </w:r>
            <w:r w:rsidRPr="008966C2">
              <w:rPr>
                <w:rStyle w:val="Hyperlink"/>
                <w:noProof/>
              </w:rPr>
              <w:t>Reference Case / Current Adoption</w:t>
            </w:r>
            <w:r>
              <w:rPr>
                <w:noProof/>
                <w:webHidden/>
              </w:rPr>
              <w:tab/>
            </w:r>
            <w:r>
              <w:rPr>
                <w:noProof/>
                <w:webHidden/>
              </w:rPr>
              <w:fldChar w:fldCharType="begin"/>
            </w:r>
            <w:r>
              <w:rPr>
                <w:noProof/>
                <w:webHidden/>
              </w:rPr>
              <w:instrText xml:space="preserve"> PAGEREF _Toc44510667 \h </w:instrText>
            </w:r>
            <w:r>
              <w:rPr>
                <w:noProof/>
                <w:webHidden/>
              </w:rPr>
            </w:r>
            <w:r>
              <w:rPr>
                <w:noProof/>
                <w:webHidden/>
              </w:rPr>
              <w:fldChar w:fldCharType="separate"/>
            </w:r>
            <w:r>
              <w:rPr>
                <w:noProof/>
                <w:webHidden/>
              </w:rPr>
              <w:t>20</w:t>
            </w:r>
            <w:r>
              <w:rPr>
                <w:noProof/>
                <w:webHidden/>
              </w:rPr>
              <w:fldChar w:fldCharType="end"/>
            </w:r>
          </w:hyperlink>
        </w:p>
        <w:p w14:paraId="2C190CAC" w14:textId="6D7680EC" w:rsidR="001142D0" w:rsidRDefault="001142D0">
          <w:pPr>
            <w:pStyle w:val="TOC3"/>
            <w:tabs>
              <w:tab w:val="left" w:pos="1320"/>
              <w:tab w:val="right" w:leader="dot" w:pos="9350"/>
            </w:tabs>
            <w:rPr>
              <w:rFonts w:asciiTheme="minorHAnsi" w:hAnsiTheme="minorHAnsi"/>
              <w:noProof/>
              <w:lang w:eastAsia="en-US"/>
            </w:rPr>
          </w:pPr>
          <w:hyperlink w:anchor="_Toc44510668" w:history="1">
            <w:r w:rsidRPr="008966C2">
              <w:rPr>
                <w:rStyle w:val="Hyperlink"/>
                <w:noProof/>
              </w:rPr>
              <w:t>2.4.2</w:t>
            </w:r>
            <w:r>
              <w:rPr>
                <w:rFonts w:asciiTheme="minorHAnsi" w:hAnsiTheme="minorHAnsi"/>
                <w:noProof/>
                <w:lang w:eastAsia="en-US"/>
              </w:rPr>
              <w:tab/>
            </w:r>
            <w:r w:rsidRPr="008966C2">
              <w:rPr>
                <w:rStyle w:val="Hyperlink"/>
                <w:noProof/>
              </w:rPr>
              <w:t>Project Drawdown Scenarios</w:t>
            </w:r>
            <w:r>
              <w:rPr>
                <w:noProof/>
                <w:webHidden/>
              </w:rPr>
              <w:tab/>
            </w:r>
            <w:r>
              <w:rPr>
                <w:noProof/>
                <w:webHidden/>
              </w:rPr>
              <w:fldChar w:fldCharType="begin"/>
            </w:r>
            <w:r>
              <w:rPr>
                <w:noProof/>
                <w:webHidden/>
              </w:rPr>
              <w:instrText xml:space="preserve"> PAGEREF _Toc44510668 \h </w:instrText>
            </w:r>
            <w:r>
              <w:rPr>
                <w:noProof/>
                <w:webHidden/>
              </w:rPr>
            </w:r>
            <w:r>
              <w:rPr>
                <w:noProof/>
                <w:webHidden/>
              </w:rPr>
              <w:fldChar w:fldCharType="separate"/>
            </w:r>
            <w:r>
              <w:rPr>
                <w:noProof/>
                <w:webHidden/>
              </w:rPr>
              <w:t>20</w:t>
            </w:r>
            <w:r>
              <w:rPr>
                <w:noProof/>
                <w:webHidden/>
              </w:rPr>
              <w:fldChar w:fldCharType="end"/>
            </w:r>
          </w:hyperlink>
        </w:p>
        <w:p w14:paraId="5807F79A" w14:textId="09B9C93D" w:rsidR="001142D0" w:rsidRDefault="001142D0">
          <w:pPr>
            <w:pStyle w:val="TOC2"/>
            <w:tabs>
              <w:tab w:val="left" w:pos="880"/>
              <w:tab w:val="right" w:leader="dot" w:pos="9350"/>
            </w:tabs>
            <w:rPr>
              <w:rFonts w:asciiTheme="minorHAnsi" w:hAnsiTheme="minorHAnsi"/>
              <w:noProof/>
              <w:lang w:eastAsia="en-US"/>
            </w:rPr>
          </w:pPr>
          <w:hyperlink w:anchor="_Toc44510669" w:history="1">
            <w:r w:rsidRPr="008966C2">
              <w:rPr>
                <w:rStyle w:val="Hyperlink"/>
                <w:noProof/>
              </w:rPr>
              <w:t>2.5</w:t>
            </w:r>
            <w:r>
              <w:rPr>
                <w:rFonts w:asciiTheme="minorHAnsi" w:hAnsiTheme="minorHAnsi"/>
                <w:noProof/>
                <w:lang w:eastAsia="en-US"/>
              </w:rPr>
              <w:tab/>
            </w:r>
            <w:r w:rsidRPr="008966C2">
              <w:rPr>
                <w:rStyle w:val="Hyperlink"/>
                <w:noProof/>
              </w:rPr>
              <w:t>Inputs</w:t>
            </w:r>
            <w:r>
              <w:rPr>
                <w:noProof/>
                <w:webHidden/>
              </w:rPr>
              <w:tab/>
            </w:r>
            <w:r>
              <w:rPr>
                <w:noProof/>
                <w:webHidden/>
              </w:rPr>
              <w:fldChar w:fldCharType="begin"/>
            </w:r>
            <w:r>
              <w:rPr>
                <w:noProof/>
                <w:webHidden/>
              </w:rPr>
              <w:instrText xml:space="preserve"> PAGEREF _Toc44510669 \h </w:instrText>
            </w:r>
            <w:r>
              <w:rPr>
                <w:noProof/>
                <w:webHidden/>
              </w:rPr>
            </w:r>
            <w:r>
              <w:rPr>
                <w:noProof/>
                <w:webHidden/>
              </w:rPr>
              <w:fldChar w:fldCharType="separate"/>
            </w:r>
            <w:r>
              <w:rPr>
                <w:noProof/>
                <w:webHidden/>
              </w:rPr>
              <w:t>21</w:t>
            </w:r>
            <w:r>
              <w:rPr>
                <w:noProof/>
                <w:webHidden/>
              </w:rPr>
              <w:fldChar w:fldCharType="end"/>
            </w:r>
          </w:hyperlink>
        </w:p>
        <w:p w14:paraId="44B2B5F9" w14:textId="382B21AF" w:rsidR="001142D0" w:rsidRDefault="001142D0">
          <w:pPr>
            <w:pStyle w:val="TOC3"/>
            <w:tabs>
              <w:tab w:val="left" w:pos="1320"/>
              <w:tab w:val="right" w:leader="dot" w:pos="9350"/>
            </w:tabs>
            <w:rPr>
              <w:rFonts w:asciiTheme="minorHAnsi" w:hAnsiTheme="minorHAnsi"/>
              <w:noProof/>
              <w:lang w:eastAsia="en-US"/>
            </w:rPr>
          </w:pPr>
          <w:hyperlink w:anchor="_Toc44510670" w:history="1">
            <w:r w:rsidRPr="008966C2">
              <w:rPr>
                <w:rStyle w:val="Hyperlink"/>
                <w:noProof/>
              </w:rPr>
              <w:t>2.5.1</w:t>
            </w:r>
            <w:r>
              <w:rPr>
                <w:rFonts w:asciiTheme="minorHAnsi" w:hAnsiTheme="minorHAnsi"/>
                <w:noProof/>
                <w:lang w:eastAsia="en-US"/>
              </w:rPr>
              <w:tab/>
            </w:r>
            <w:r w:rsidRPr="008966C2">
              <w:rPr>
                <w:rStyle w:val="Hyperlink"/>
                <w:noProof/>
              </w:rPr>
              <w:t>Climate Inputs</w:t>
            </w:r>
            <w:r>
              <w:rPr>
                <w:noProof/>
                <w:webHidden/>
              </w:rPr>
              <w:tab/>
            </w:r>
            <w:r>
              <w:rPr>
                <w:noProof/>
                <w:webHidden/>
              </w:rPr>
              <w:fldChar w:fldCharType="begin"/>
            </w:r>
            <w:r>
              <w:rPr>
                <w:noProof/>
                <w:webHidden/>
              </w:rPr>
              <w:instrText xml:space="preserve"> PAGEREF _Toc44510670 \h </w:instrText>
            </w:r>
            <w:r>
              <w:rPr>
                <w:noProof/>
                <w:webHidden/>
              </w:rPr>
            </w:r>
            <w:r>
              <w:rPr>
                <w:noProof/>
                <w:webHidden/>
              </w:rPr>
              <w:fldChar w:fldCharType="separate"/>
            </w:r>
            <w:r>
              <w:rPr>
                <w:noProof/>
                <w:webHidden/>
              </w:rPr>
              <w:t>21</w:t>
            </w:r>
            <w:r>
              <w:rPr>
                <w:noProof/>
                <w:webHidden/>
              </w:rPr>
              <w:fldChar w:fldCharType="end"/>
            </w:r>
          </w:hyperlink>
        </w:p>
        <w:p w14:paraId="16FBE1EF" w14:textId="033CE4D8" w:rsidR="001142D0" w:rsidRDefault="001142D0">
          <w:pPr>
            <w:pStyle w:val="TOC3"/>
            <w:tabs>
              <w:tab w:val="left" w:pos="1320"/>
              <w:tab w:val="right" w:leader="dot" w:pos="9350"/>
            </w:tabs>
            <w:rPr>
              <w:rFonts w:asciiTheme="minorHAnsi" w:hAnsiTheme="minorHAnsi"/>
              <w:noProof/>
              <w:lang w:eastAsia="en-US"/>
            </w:rPr>
          </w:pPr>
          <w:hyperlink w:anchor="_Toc44510671" w:history="1">
            <w:r w:rsidRPr="008966C2">
              <w:rPr>
                <w:rStyle w:val="Hyperlink"/>
                <w:noProof/>
              </w:rPr>
              <w:t>2.5.2</w:t>
            </w:r>
            <w:r>
              <w:rPr>
                <w:rFonts w:asciiTheme="minorHAnsi" w:hAnsiTheme="minorHAnsi"/>
                <w:noProof/>
                <w:lang w:eastAsia="en-US"/>
              </w:rPr>
              <w:tab/>
            </w:r>
            <w:r w:rsidRPr="008966C2">
              <w:rPr>
                <w:rStyle w:val="Hyperlink"/>
                <w:noProof/>
              </w:rPr>
              <w:t>Financial Inputs</w:t>
            </w:r>
            <w:r>
              <w:rPr>
                <w:noProof/>
                <w:webHidden/>
              </w:rPr>
              <w:tab/>
            </w:r>
            <w:r>
              <w:rPr>
                <w:noProof/>
                <w:webHidden/>
              </w:rPr>
              <w:fldChar w:fldCharType="begin"/>
            </w:r>
            <w:r>
              <w:rPr>
                <w:noProof/>
                <w:webHidden/>
              </w:rPr>
              <w:instrText xml:space="preserve"> PAGEREF _Toc44510671 \h </w:instrText>
            </w:r>
            <w:r>
              <w:rPr>
                <w:noProof/>
                <w:webHidden/>
              </w:rPr>
            </w:r>
            <w:r>
              <w:rPr>
                <w:noProof/>
                <w:webHidden/>
              </w:rPr>
              <w:fldChar w:fldCharType="separate"/>
            </w:r>
            <w:r>
              <w:rPr>
                <w:noProof/>
                <w:webHidden/>
              </w:rPr>
              <w:t>22</w:t>
            </w:r>
            <w:r>
              <w:rPr>
                <w:noProof/>
                <w:webHidden/>
              </w:rPr>
              <w:fldChar w:fldCharType="end"/>
            </w:r>
          </w:hyperlink>
        </w:p>
        <w:p w14:paraId="58174472" w14:textId="0F50D95D" w:rsidR="001142D0" w:rsidRDefault="001142D0">
          <w:pPr>
            <w:pStyle w:val="TOC3"/>
            <w:tabs>
              <w:tab w:val="left" w:pos="1320"/>
              <w:tab w:val="right" w:leader="dot" w:pos="9350"/>
            </w:tabs>
            <w:rPr>
              <w:rFonts w:asciiTheme="minorHAnsi" w:hAnsiTheme="minorHAnsi"/>
              <w:noProof/>
              <w:lang w:eastAsia="en-US"/>
            </w:rPr>
          </w:pPr>
          <w:hyperlink w:anchor="_Toc44510672" w:history="1">
            <w:r w:rsidRPr="008966C2">
              <w:rPr>
                <w:rStyle w:val="Hyperlink"/>
                <w:noProof/>
              </w:rPr>
              <w:t>2.5.3</w:t>
            </w:r>
            <w:r>
              <w:rPr>
                <w:rFonts w:asciiTheme="minorHAnsi" w:hAnsiTheme="minorHAnsi"/>
                <w:noProof/>
                <w:lang w:eastAsia="en-US"/>
              </w:rPr>
              <w:tab/>
            </w:r>
            <w:r w:rsidRPr="008966C2">
              <w:rPr>
                <w:rStyle w:val="Hyperlink"/>
                <w:noProof/>
              </w:rPr>
              <w:t>Technical Inputs</w:t>
            </w:r>
            <w:r>
              <w:rPr>
                <w:noProof/>
                <w:webHidden/>
              </w:rPr>
              <w:tab/>
            </w:r>
            <w:r>
              <w:rPr>
                <w:noProof/>
                <w:webHidden/>
              </w:rPr>
              <w:fldChar w:fldCharType="begin"/>
            </w:r>
            <w:r>
              <w:rPr>
                <w:noProof/>
                <w:webHidden/>
              </w:rPr>
              <w:instrText xml:space="preserve"> PAGEREF _Toc44510672 \h </w:instrText>
            </w:r>
            <w:r>
              <w:rPr>
                <w:noProof/>
                <w:webHidden/>
              </w:rPr>
            </w:r>
            <w:r>
              <w:rPr>
                <w:noProof/>
                <w:webHidden/>
              </w:rPr>
              <w:fldChar w:fldCharType="separate"/>
            </w:r>
            <w:r>
              <w:rPr>
                <w:noProof/>
                <w:webHidden/>
              </w:rPr>
              <w:t>24</w:t>
            </w:r>
            <w:r>
              <w:rPr>
                <w:noProof/>
                <w:webHidden/>
              </w:rPr>
              <w:fldChar w:fldCharType="end"/>
            </w:r>
          </w:hyperlink>
        </w:p>
        <w:p w14:paraId="0FA9B337" w14:textId="418520F7" w:rsidR="001142D0" w:rsidRDefault="001142D0">
          <w:pPr>
            <w:pStyle w:val="TOC2"/>
            <w:tabs>
              <w:tab w:val="left" w:pos="880"/>
              <w:tab w:val="right" w:leader="dot" w:pos="9350"/>
            </w:tabs>
            <w:rPr>
              <w:rFonts w:asciiTheme="minorHAnsi" w:hAnsiTheme="minorHAnsi"/>
              <w:noProof/>
              <w:lang w:eastAsia="en-US"/>
            </w:rPr>
          </w:pPr>
          <w:hyperlink w:anchor="_Toc44510673" w:history="1">
            <w:r w:rsidRPr="008966C2">
              <w:rPr>
                <w:rStyle w:val="Hyperlink"/>
                <w:noProof/>
              </w:rPr>
              <w:t>2.6</w:t>
            </w:r>
            <w:r>
              <w:rPr>
                <w:rFonts w:asciiTheme="minorHAnsi" w:hAnsiTheme="minorHAnsi"/>
                <w:noProof/>
                <w:lang w:eastAsia="en-US"/>
              </w:rPr>
              <w:tab/>
            </w:r>
            <w:r w:rsidRPr="008966C2">
              <w:rPr>
                <w:rStyle w:val="Hyperlink"/>
                <w:noProof/>
              </w:rPr>
              <w:t>Assumptions</w:t>
            </w:r>
            <w:r>
              <w:rPr>
                <w:noProof/>
                <w:webHidden/>
              </w:rPr>
              <w:tab/>
            </w:r>
            <w:r>
              <w:rPr>
                <w:noProof/>
                <w:webHidden/>
              </w:rPr>
              <w:fldChar w:fldCharType="begin"/>
            </w:r>
            <w:r>
              <w:rPr>
                <w:noProof/>
                <w:webHidden/>
              </w:rPr>
              <w:instrText xml:space="preserve"> PAGEREF _Toc44510673 \h </w:instrText>
            </w:r>
            <w:r>
              <w:rPr>
                <w:noProof/>
                <w:webHidden/>
              </w:rPr>
            </w:r>
            <w:r>
              <w:rPr>
                <w:noProof/>
                <w:webHidden/>
              </w:rPr>
              <w:fldChar w:fldCharType="separate"/>
            </w:r>
            <w:r>
              <w:rPr>
                <w:noProof/>
                <w:webHidden/>
              </w:rPr>
              <w:t>26</w:t>
            </w:r>
            <w:r>
              <w:rPr>
                <w:noProof/>
                <w:webHidden/>
              </w:rPr>
              <w:fldChar w:fldCharType="end"/>
            </w:r>
          </w:hyperlink>
        </w:p>
        <w:p w14:paraId="7C4D0ABC" w14:textId="375B5F4C" w:rsidR="001142D0" w:rsidRDefault="001142D0">
          <w:pPr>
            <w:pStyle w:val="TOC2"/>
            <w:tabs>
              <w:tab w:val="left" w:pos="880"/>
              <w:tab w:val="right" w:leader="dot" w:pos="9350"/>
            </w:tabs>
            <w:rPr>
              <w:rFonts w:asciiTheme="minorHAnsi" w:hAnsiTheme="minorHAnsi"/>
              <w:noProof/>
              <w:lang w:eastAsia="en-US"/>
            </w:rPr>
          </w:pPr>
          <w:hyperlink w:anchor="_Toc44510674" w:history="1">
            <w:r w:rsidRPr="008966C2">
              <w:rPr>
                <w:rStyle w:val="Hyperlink"/>
                <w:noProof/>
              </w:rPr>
              <w:t>2.7</w:t>
            </w:r>
            <w:r>
              <w:rPr>
                <w:rFonts w:asciiTheme="minorHAnsi" w:hAnsiTheme="minorHAnsi"/>
                <w:noProof/>
                <w:lang w:eastAsia="en-US"/>
              </w:rPr>
              <w:tab/>
            </w:r>
            <w:r w:rsidRPr="008966C2">
              <w:rPr>
                <w:rStyle w:val="Hyperlink"/>
                <w:noProof/>
              </w:rPr>
              <w:t>Integration</w:t>
            </w:r>
            <w:r>
              <w:rPr>
                <w:noProof/>
                <w:webHidden/>
              </w:rPr>
              <w:tab/>
            </w:r>
            <w:r>
              <w:rPr>
                <w:noProof/>
                <w:webHidden/>
              </w:rPr>
              <w:fldChar w:fldCharType="begin"/>
            </w:r>
            <w:r>
              <w:rPr>
                <w:noProof/>
                <w:webHidden/>
              </w:rPr>
              <w:instrText xml:space="preserve"> PAGEREF _Toc44510674 \h </w:instrText>
            </w:r>
            <w:r>
              <w:rPr>
                <w:noProof/>
                <w:webHidden/>
              </w:rPr>
            </w:r>
            <w:r>
              <w:rPr>
                <w:noProof/>
                <w:webHidden/>
              </w:rPr>
              <w:fldChar w:fldCharType="separate"/>
            </w:r>
            <w:r>
              <w:rPr>
                <w:noProof/>
                <w:webHidden/>
              </w:rPr>
              <w:t>27</w:t>
            </w:r>
            <w:r>
              <w:rPr>
                <w:noProof/>
                <w:webHidden/>
              </w:rPr>
              <w:fldChar w:fldCharType="end"/>
            </w:r>
          </w:hyperlink>
        </w:p>
        <w:p w14:paraId="32A1D29F" w14:textId="2CE533B4" w:rsidR="001142D0" w:rsidRDefault="001142D0">
          <w:pPr>
            <w:pStyle w:val="TOC2"/>
            <w:tabs>
              <w:tab w:val="left" w:pos="880"/>
              <w:tab w:val="right" w:leader="dot" w:pos="9350"/>
            </w:tabs>
            <w:rPr>
              <w:rFonts w:asciiTheme="minorHAnsi" w:hAnsiTheme="minorHAnsi"/>
              <w:noProof/>
              <w:lang w:eastAsia="en-US"/>
            </w:rPr>
          </w:pPr>
          <w:hyperlink w:anchor="_Toc44510675" w:history="1">
            <w:r w:rsidRPr="008966C2">
              <w:rPr>
                <w:rStyle w:val="Hyperlink"/>
                <w:noProof/>
              </w:rPr>
              <w:t>2.8</w:t>
            </w:r>
            <w:r>
              <w:rPr>
                <w:rFonts w:asciiTheme="minorHAnsi" w:hAnsiTheme="minorHAnsi"/>
                <w:noProof/>
                <w:lang w:eastAsia="en-US"/>
              </w:rPr>
              <w:tab/>
            </w:r>
            <w:r w:rsidRPr="008966C2">
              <w:rPr>
                <w:rStyle w:val="Hyperlink"/>
                <w:noProof/>
              </w:rPr>
              <w:t>Limitations/Further Development</w:t>
            </w:r>
            <w:r>
              <w:rPr>
                <w:noProof/>
                <w:webHidden/>
              </w:rPr>
              <w:tab/>
            </w:r>
            <w:r>
              <w:rPr>
                <w:noProof/>
                <w:webHidden/>
              </w:rPr>
              <w:fldChar w:fldCharType="begin"/>
            </w:r>
            <w:r>
              <w:rPr>
                <w:noProof/>
                <w:webHidden/>
              </w:rPr>
              <w:instrText xml:space="preserve"> PAGEREF _Toc44510675 \h </w:instrText>
            </w:r>
            <w:r>
              <w:rPr>
                <w:noProof/>
                <w:webHidden/>
              </w:rPr>
            </w:r>
            <w:r>
              <w:rPr>
                <w:noProof/>
                <w:webHidden/>
              </w:rPr>
              <w:fldChar w:fldCharType="separate"/>
            </w:r>
            <w:r>
              <w:rPr>
                <w:noProof/>
                <w:webHidden/>
              </w:rPr>
              <w:t>28</w:t>
            </w:r>
            <w:r>
              <w:rPr>
                <w:noProof/>
                <w:webHidden/>
              </w:rPr>
              <w:fldChar w:fldCharType="end"/>
            </w:r>
          </w:hyperlink>
        </w:p>
        <w:p w14:paraId="0519EF36" w14:textId="15CCFEA9" w:rsidR="001142D0" w:rsidRDefault="001142D0">
          <w:pPr>
            <w:pStyle w:val="TOC3"/>
            <w:tabs>
              <w:tab w:val="left" w:pos="1320"/>
              <w:tab w:val="right" w:leader="dot" w:pos="9350"/>
            </w:tabs>
            <w:rPr>
              <w:rFonts w:asciiTheme="minorHAnsi" w:hAnsiTheme="minorHAnsi"/>
              <w:noProof/>
              <w:lang w:eastAsia="en-US"/>
            </w:rPr>
          </w:pPr>
          <w:hyperlink w:anchor="_Toc44510676" w:history="1">
            <w:r w:rsidRPr="008966C2">
              <w:rPr>
                <w:rStyle w:val="Hyperlink"/>
                <w:noProof/>
              </w:rPr>
              <w:t>2.8.1</w:t>
            </w:r>
            <w:r>
              <w:rPr>
                <w:rFonts w:asciiTheme="minorHAnsi" w:hAnsiTheme="minorHAnsi"/>
                <w:noProof/>
                <w:lang w:eastAsia="en-US"/>
              </w:rPr>
              <w:tab/>
            </w:r>
            <w:r w:rsidRPr="008966C2">
              <w:rPr>
                <w:rStyle w:val="Hyperlink"/>
                <w:noProof/>
              </w:rPr>
              <w:t>TAM and Adoption</w:t>
            </w:r>
            <w:r>
              <w:rPr>
                <w:noProof/>
                <w:webHidden/>
              </w:rPr>
              <w:tab/>
            </w:r>
            <w:r>
              <w:rPr>
                <w:noProof/>
                <w:webHidden/>
              </w:rPr>
              <w:fldChar w:fldCharType="begin"/>
            </w:r>
            <w:r>
              <w:rPr>
                <w:noProof/>
                <w:webHidden/>
              </w:rPr>
              <w:instrText xml:space="preserve"> PAGEREF _Toc44510676 \h </w:instrText>
            </w:r>
            <w:r>
              <w:rPr>
                <w:noProof/>
                <w:webHidden/>
              </w:rPr>
            </w:r>
            <w:r>
              <w:rPr>
                <w:noProof/>
                <w:webHidden/>
              </w:rPr>
              <w:fldChar w:fldCharType="separate"/>
            </w:r>
            <w:r>
              <w:rPr>
                <w:noProof/>
                <w:webHidden/>
              </w:rPr>
              <w:t>29</w:t>
            </w:r>
            <w:r>
              <w:rPr>
                <w:noProof/>
                <w:webHidden/>
              </w:rPr>
              <w:fldChar w:fldCharType="end"/>
            </w:r>
          </w:hyperlink>
        </w:p>
        <w:p w14:paraId="4EFAAF1A" w14:textId="658A6011" w:rsidR="001142D0" w:rsidRDefault="001142D0">
          <w:pPr>
            <w:pStyle w:val="TOC3"/>
            <w:tabs>
              <w:tab w:val="left" w:pos="1320"/>
              <w:tab w:val="right" w:leader="dot" w:pos="9350"/>
            </w:tabs>
            <w:rPr>
              <w:rFonts w:asciiTheme="minorHAnsi" w:hAnsiTheme="minorHAnsi"/>
              <w:noProof/>
              <w:lang w:eastAsia="en-US"/>
            </w:rPr>
          </w:pPr>
          <w:hyperlink w:anchor="_Toc44510677" w:history="1">
            <w:r w:rsidRPr="008966C2">
              <w:rPr>
                <w:rStyle w:val="Hyperlink"/>
                <w:noProof/>
              </w:rPr>
              <w:t>2.8.2</w:t>
            </w:r>
            <w:r>
              <w:rPr>
                <w:rFonts w:asciiTheme="minorHAnsi" w:hAnsiTheme="minorHAnsi"/>
                <w:noProof/>
                <w:lang w:eastAsia="en-US"/>
              </w:rPr>
              <w:tab/>
            </w:r>
            <w:r w:rsidRPr="008966C2">
              <w:rPr>
                <w:rStyle w:val="Hyperlink"/>
                <w:noProof/>
              </w:rPr>
              <w:t>Climate and Financial Analyses</w:t>
            </w:r>
            <w:r>
              <w:rPr>
                <w:noProof/>
                <w:webHidden/>
              </w:rPr>
              <w:tab/>
            </w:r>
            <w:r>
              <w:rPr>
                <w:noProof/>
                <w:webHidden/>
              </w:rPr>
              <w:fldChar w:fldCharType="begin"/>
            </w:r>
            <w:r>
              <w:rPr>
                <w:noProof/>
                <w:webHidden/>
              </w:rPr>
              <w:instrText xml:space="preserve"> PAGEREF _Toc44510677 \h </w:instrText>
            </w:r>
            <w:r>
              <w:rPr>
                <w:noProof/>
                <w:webHidden/>
              </w:rPr>
            </w:r>
            <w:r>
              <w:rPr>
                <w:noProof/>
                <w:webHidden/>
              </w:rPr>
              <w:fldChar w:fldCharType="separate"/>
            </w:r>
            <w:r>
              <w:rPr>
                <w:noProof/>
                <w:webHidden/>
              </w:rPr>
              <w:t>29</w:t>
            </w:r>
            <w:r>
              <w:rPr>
                <w:noProof/>
                <w:webHidden/>
              </w:rPr>
              <w:fldChar w:fldCharType="end"/>
            </w:r>
          </w:hyperlink>
        </w:p>
        <w:p w14:paraId="021C530A" w14:textId="0D3148D0" w:rsidR="001142D0" w:rsidRDefault="001142D0">
          <w:pPr>
            <w:pStyle w:val="TOC1"/>
            <w:tabs>
              <w:tab w:val="left" w:pos="440"/>
              <w:tab w:val="right" w:leader="dot" w:pos="9350"/>
            </w:tabs>
            <w:rPr>
              <w:rFonts w:asciiTheme="minorHAnsi" w:hAnsiTheme="minorHAnsi"/>
              <w:noProof/>
              <w:lang w:eastAsia="en-US"/>
            </w:rPr>
          </w:pPr>
          <w:hyperlink w:anchor="_Toc44510678" w:history="1">
            <w:r w:rsidRPr="008966C2">
              <w:rPr>
                <w:rStyle w:val="Hyperlink"/>
                <w:noProof/>
              </w:rPr>
              <w:t>3</w:t>
            </w:r>
            <w:r>
              <w:rPr>
                <w:rFonts w:asciiTheme="minorHAnsi" w:hAnsiTheme="minorHAnsi"/>
                <w:noProof/>
                <w:lang w:eastAsia="en-US"/>
              </w:rPr>
              <w:tab/>
            </w:r>
            <w:r w:rsidRPr="008966C2">
              <w:rPr>
                <w:rStyle w:val="Hyperlink"/>
                <w:noProof/>
              </w:rPr>
              <w:t>Results</w:t>
            </w:r>
            <w:r>
              <w:rPr>
                <w:noProof/>
                <w:webHidden/>
              </w:rPr>
              <w:tab/>
            </w:r>
            <w:r>
              <w:rPr>
                <w:noProof/>
                <w:webHidden/>
              </w:rPr>
              <w:fldChar w:fldCharType="begin"/>
            </w:r>
            <w:r>
              <w:rPr>
                <w:noProof/>
                <w:webHidden/>
              </w:rPr>
              <w:instrText xml:space="preserve"> PAGEREF _Toc44510678 \h </w:instrText>
            </w:r>
            <w:r>
              <w:rPr>
                <w:noProof/>
                <w:webHidden/>
              </w:rPr>
            </w:r>
            <w:r>
              <w:rPr>
                <w:noProof/>
                <w:webHidden/>
              </w:rPr>
              <w:fldChar w:fldCharType="separate"/>
            </w:r>
            <w:r>
              <w:rPr>
                <w:noProof/>
                <w:webHidden/>
              </w:rPr>
              <w:t>29</w:t>
            </w:r>
            <w:r>
              <w:rPr>
                <w:noProof/>
                <w:webHidden/>
              </w:rPr>
              <w:fldChar w:fldCharType="end"/>
            </w:r>
          </w:hyperlink>
        </w:p>
        <w:p w14:paraId="13AA4AE7" w14:textId="77702949" w:rsidR="001142D0" w:rsidRDefault="001142D0">
          <w:pPr>
            <w:pStyle w:val="TOC2"/>
            <w:tabs>
              <w:tab w:val="left" w:pos="880"/>
              <w:tab w:val="right" w:leader="dot" w:pos="9350"/>
            </w:tabs>
            <w:rPr>
              <w:rFonts w:asciiTheme="minorHAnsi" w:hAnsiTheme="minorHAnsi"/>
              <w:noProof/>
              <w:lang w:eastAsia="en-US"/>
            </w:rPr>
          </w:pPr>
          <w:hyperlink w:anchor="_Toc44510679" w:history="1">
            <w:r w:rsidRPr="008966C2">
              <w:rPr>
                <w:rStyle w:val="Hyperlink"/>
                <w:noProof/>
              </w:rPr>
              <w:t>3.1</w:t>
            </w:r>
            <w:r>
              <w:rPr>
                <w:rFonts w:asciiTheme="minorHAnsi" w:hAnsiTheme="minorHAnsi"/>
                <w:noProof/>
                <w:lang w:eastAsia="en-US"/>
              </w:rPr>
              <w:tab/>
            </w:r>
            <w:r w:rsidRPr="008966C2">
              <w:rPr>
                <w:rStyle w:val="Hyperlink"/>
                <w:noProof/>
              </w:rPr>
              <w:t>Adoption</w:t>
            </w:r>
            <w:r>
              <w:rPr>
                <w:noProof/>
                <w:webHidden/>
              </w:rPr>
              <w:tab/>
            </w:r>
            <w:r>
              <w:rPr>
                <w:noProof/>
                <w:webHidden/>
              </w:rPr>
              <w:fldChar w:fldCharType="begin"/>
            </w:r>
            <w:r>
              <w:rPr>
                <w:noProof/>
                <w:webHidden/>
              </w:rPr>
              <w:instrText xml:space="preserve"> PAGEREF _Toc44510679 \h </w:instrText>
            </w:r>
            <w:r>
              <w:rPr>
                <w:noProof/>
                <w:webHidden/>
              </w:rPr>
            </w:r>
            <w:r>
              <w:rPr>
                <w:noProof/>
                <w:webHidden/>
              </w:rPr>
              <w:fldChar w:fldCharType="separate"/>
            </w:r>
            <w:r>
              <w:rPr>
                <w:noProof/>
                <w:webHidden/>
              </w:rPr>
              <w:t>29</w:t>
            </w:r>
            <w:r>
              <w:rPr>
                <w:noProof/>
                <w:webHidden/>
              </w:rPr>
              <w:fldChar w:fldCharType="end"/>
            </w:r>
          </w:hyperlink>
        </w:p>
        <w:p w14:paraId="0708301A" w14:textId="2DBC0F4E" w:rsidR="001142D0" w:rsidRDefault="001142D0">
          <w:pPr>
            <w:pStyle w:val="TOC2"/>
            <w:tabs>
              <w:tab w:val="left" w:pos="880"/>
              <w:tab w:val="right" w:leader="dot" w:pos="9350"/>
            </w:tabs>
            <w:rPr>
              <w:rFonts w:asciiTheme="minorHAnsi" w:hAnsiTheme="minorHAnsi"/>
              <w:noProof/>
              <w:lang w:eastAsia="en-US"/>
            </w:rPr>
          </w:pPr>
          <w:hyperlink w:anchor="_Toc44510680" w:history="1">
            <w:r w:rsidRPr="008966C2">
              <w:rPr>
                <w:rStyle w:val="Hyperlink"/>
                <w:noProof/>
              </w:rPr>
              <w:t>3.2</w:t>
            </w:r>
            <w:r>
              <w:rPr>
                <w:rFonts w:asciiTheme="minorHAnsi" w:hAnsiTheme="minorHAnsi"/>
                <w:noProof/>
                <w:lang w:eastAsia="en-US"/>
              </w:rPr>
              <w:tab/>
            </w:r>
            <w:r w:rsidRPr="008966C2">
              <w:rPr>
                <w:rStyle w:val="Hyperlink"/>
                <w:noProof/>
              </w:rPr>
              <w:t>Climate Impacts</w:t>
            </w:r>
            <w:r>
              <w:rPr>
                <w:noProof/>
                <w:webHidden/>
              </w:rPr>
              <w:tab/>
            </w:r>
            <w:r>
              <w:rPr>
                <w:noProof/>
                <w:webHidden/>
              </w:rPr>
              <w:fldChar w:fldCharType="begin"/>
            </w:r>
            <w:r>
              <w:rPr>
                <w:noProof/>
                <w:webHidden/>
              </w:rPr>
              <w:instrText xml:space="preserve"> PAGEREF _Toc44510680 \h </w:instrText>
            </w:r>
            <w:r>
              <w:rPr>
                <w:noProof/>
                <w:webHidden/>
              </w:rPr>
            </w:r>
            <w:r>
              <w:rPr>
                <w:noProof/>
                <w:webHidden/>
              </w:rPr>
              <w:fldChar w:fldCharType="separate"/>
            </w:r>
            <w:r>
              <w:rPr>
                <w:noProof/>
                <w:webHidden/>
              </w:rPr>
              <w:t>30</w:t>
            </w:r>
            <w:r>
              <w:rPr>
                <w:noProof/>
                <w:webHidden/>
              </w:rPr>
              <w:fldChar w:fldCharType="end"/>
            </w:r>
          </w:hyperlink>
        </w:p>
        <w:p w14:paraId="602A180E" w14:textId="17478C1F" w:rsidR="001142D0" w:rsidRDefault="001142D0">
          <w:pPr>
            <w:pStyle w:val="TOC2"/>
            <w:tabs>
              <w:tab w:val="left" w:pos="880"/>
              <w:tab w:val="right" w:leader="dot" w:pos="9350"/>
            </w:tabs>
            <w:rPr>
              <w:rFonts w:asciiTheme="minorHAnsi" w:hAnsiTheme="minorHAnsi"/>
              <w:noProof/>
              <w:lang w:eastAsia="en-US"/>
            </w:rPr>
          </w:pPr>
          <w:hyperlink w:anchor="_Toc44510681" w:history="1">
            <w:r w:rsidRPr="008966C2">
              <w:rPr>
                <w:rStyle w:val="Hyperlink"/>
                <w:noProof/>
              </w:rPr>
              <w:t>3.3</w:t>
            </w:r>
            <w:r>
              <w:rPr>
                <w:rFonts w:asciiTheme="minorHAnsi" w:hAnsiTheme="minorHAnsi"/>
                <w:noProof/>
                <w:lang w:eastAsia="en-US"/>
              </w:rPr>
              <w:tab/>
            </w:r>
            <w:r w:rsidRPr="008966C2">
              <w:rPr>
                <w:rStyle w:val="Hyperlink"/>
                <w:noProof/>
              </w:rPr>
              <w:t>Financial Impacts</w:t>
            </w:r>
            <w:r>
              <w:rPr>
                <w:noProof/>
                <w:webHidden/>
              </w:rPr>
              <w:tab/>
            </w:r>
            <w:r>
              <w:rPr>
                <w:noProof/>
                <w:webHidden/>
              </w:rPr>
              <w:fldChar w:fldCharType="begin"/>
            </w:r>
            <w:r>
              <w:rPr>
                <w:noProof/>
                <w:webHidden/>
              </w:rPr>
              <w:instrText xml:space="preserve"> PAGEREF _Toc44510681 \h </w:instrText>
            </w:r>
            <w:r>
              <w:rPr>
                <w:noProof/>
                <w:webHidden/>
              </w:rPr>
            </w:r>
            <w:r>
              <w:rPr>
                <w:noProof/>
                <w:webHidden/>
              </w:rPr>
              <w:fldChar w:fldCharType="separate"/>
            </w:r>
            <w:r>
              <w:rPr>
                <w:noProof/>
                <w:webHidden/>
              </w:rPr>
              <w:t>32</w:t>
            </w:r>
            <w:r>
              <w:rPr>
                <w:noProof/>
                <w:webHidden/>
              </w:rPr>
              <w:fldChar w:fldCharType="end"/>
            </w:r>
          </w:hyperlink>
        </w:p>
        <w:p w14:paraId="49E9BD48" w14:textId="05CB069D" w:rsidR="001142D0" w:rsidRDefault="001142D0">
          <w:pPr>
            <w:pStyle w:val="TOC2"/>
            <w:tabs>
              <w:tab w:val="left" w:pos="880"/>
              <w:tab w:val="right" w:leader="dot" w:pos="9350"/>
            </w:tabs>
            <w:rPr>
              <w:rFonts w:asciiTheme="minorHAnsi" w:hAnsiTheme="minorHAnsi"/>
              <w:noProof/>
              <w:lang w:eastAsia="en-US"/>
            </w:rPr>
          </w:pPr>
          <w:hyperlink w:anchor="_Toc44510682" w:history="1">
            <w:r w:rsidRPr="008966C2">
              <w:rPr>
                <w:rStyle w:val="Hyperlink"/>
                <w:noProof/>
              </w:rPr>
              <w:t>3.4</w:t>
            </w:r>
            <w:r>
              <w:rPr>
                <w:rFonts w:asciiTheme="minorHAnsi" w:hAnsiTheme="minorHAnsi"/>
                <w:noProof/>
                <w:lang w:eastAsia="en-US"/>
              </w:rPr>
              <w:tab/>
            </w:r>
            <w:r w:rsidRPr="008966C2">
              <w:rPr>
                <w:rStyle w:val="Hyperlink"/>
                <w:noProof/>
              </w:rPr>
              <w:t>Other Impacts</w:t>
            </w:r>
            <w:r>
              <w:rPr>
                <w:noProof/>
                <w:webHidden/>
              </w:rPr>
              <w:tab/>
            </w:r>
            <w:r>
              <w:rPr>
                <w:noProof/>
                <w:webHidden/>
              </w:rPr>
              <w:fldChar w:fldCharType="begin"/>
            </w:r>
            <w:r>
              <w:rPr>
                <w:noProof/>
                <w:webHidden/>
              </w:rPr>
              <w:instrText xml:space="preserve"> PAGEREF _Toc44510682 \h </w:instrText>
            </w:r>
            <w:r>
              <w:rPr>
                <w:noProof/>
                <w:webHidden/>
              </w:rPr>
            </w:r>
            <w:r>
              <w:rPr>
                <w:noProof/>
                <w:webHidden/>
              </w:rPr>
              <w:fldChar w:fldCharType="separate"/>
            </w:r>
            <w:r>
              <w:rPr>
                <w:noProof/>
                <w:webHidden/>
              </w:rPr>
              <w:t>34</w:t>
            </w:r>
            <w:r>
              <w:rPr>
                <w:noProof/>
                <w:webHidden/>
              </w:rPr>
              <w:fldChar w:fldCharType="end"/>
            </w:r>
          </w:hyperlink>
        </w:p>
        <w:p w14:paraId="270F5816" w14:textId="1DA98B00" w:rsidR="001142D0" w:rsidRDefault="001142D0">
          <w:pPr>
            <w:pStyle w:val="TOC1"/>
            <w:tabs>
              <w:tab w:val="left" w:pos="440"/>
              <w:tab w:val="right" w:leader="dot" w:pos="9350"/>
            </w:tabs>
            <w:rPr>
              <w:rFonts w:asciiTheme="minorHAnsi" w:hAnsiTheme="minorHAnsi"/>
              <w:noProof/>
              <w:lang w:eastAsia="en-US"/>
            </w:rPr>
          </w:pPr>
          <w:hyperlink w:anchor="_Toc44510683" w:history="1">
            <w:r w:rsidRPr="008966C2">
              <w:rPr>
                <w:rStyle w:val="Hyperlink"/>
                <w:noProof/>
              </w:rPr>
              <w:t>4</w:t>
            </w:r>
            <w:r>
              <w:rPr>
                <w:rFonts w:asciiTheme="minorHAnsi" w:hAnsiTheme="minorHAnsi"/>
                <w:noProof/>
                <w:lang w:eastAsia="en-US"/>
              </w:rPr>
              <w:tab/>
            </w:r>
            <w:r w:rsidRPr="008966C2">
              <w:rPr>
                <w:rStyle w:val="Hyperlink"/>
                <w:noProof/>
              </w:rPr>
              <w:t>Discussion</w:t>
            </w:r>
            <w:r>
              <w:rPr>
                <w:noProof/>
                <w:webHidden/>
              </w:rPr>
              <w:tab/>
            </w:r>
            <w:r>
              <w:rPr>
                <w:noProof/>
                <w:webHidden/>
              </w:rPr>
              <w:fldChar w:fldCharType="begin"/>
            </w:r>
            <w:r>
              <w:rPr>
                <w:noProof/>
                <w:webHidden/>
              </w:rPr>
              <w:instrText xml:space="preserve"> PAGEREF _Toc44510683 \h </w:instrText>
            </w:r>
            <w:r>
              <w:rPr>
                <w:noProof/>
                <w:webHidden/>
              </w:rPr>
            </w:r>
            <w:r>
              <w:rPr>
                <w:noProof/>
                <w:webHidden/>
              </w:rPr>
              <w:fldChar w:fldCharType="separate"/>
            </w:r>
            <w:r>
              <w:rPr>
                <w:noProof/>
                <w:webHidden/>
              </w:rPr>
              <w:t>35</w:t>
            </w:r>
            <w:r>
              <w:rPr>
                <w:noProof/>
                <w:webHidden/>
              </w:rPr>
              <w:fldChar w:fldCharType="end"/>
            </w:r>
          </w:hyperlink>
        </w:p>
        <w:p w14:paraId="12B3112C" w14:textId="36845EFD" w:rsidR="001142D0" w:rsidRDefault="001142D0">
          <w:pPr>
            <w:pStyle w:val="TOC2"/>
            <w:tabs>
              <w:tab w:val="left" w:pos="880"/>
              <w:tab w:val="right" w:leader="dot" w:pos="9350"/>
            </w:tabs>
            <w:rPr>
              <w:rFonts w:asciiTheme="minorHAnsi" w:hAnsiTheme="minorHAnsi"/>
              <w:noProof/>
              <w:lang w:eastAsia="en-US"/>
            </w:rPr>
          </w:pPr>
          <w:hyperlink w:anchor="_Toc44510684" w:history="1">
            <w:r w:rsidRPr="008966C2">
              <w:rPr>
                <w:rStyle w:val="Hyperlink"/>
                <w:noProof/>
              </w:rPr>
              <w:t>4.1</w:t>
            </w:r>
            <w:r>
              <w:rPr>
                <w:rFonts w:asciiTheme="minorHAnsi" w:hAnsiTheme="minorHAnsi"/>
                <w:noProof/>
                <w:lang w:eastAsia="en-US"/>
              </w:rPr>
              <w:tab/>
            </w:r>
            <w:r w:rsidRPr="008966C2">
              <w:rPr>
                <w:rStyle w:val="Hyperlink"/>
                <w:noProof/>
              </w:rPr>
              <w:t>Limitations</w:t>
            </w:r>
            <w:r>
              <w:rPr>
                <w:noProof/>
                <w:webHidden/>
              </w:rPr>
              <w:tab/>
            </w:r>
            <w:r>
              <w:rPr>
                <w:noProof/>
                <w:webHidden/>
              </w:rPr>
              <w:fldChar w:fldCharType="begin"/>
            </w:r>
            <w:r>
              <w:rPr>
                <w:noProof/>
                <w:webHidden/>
              </w:rPr>
              <w:instrText xml:space="preserve"> PAGEREF _Toc44510684 \h </w:instrText>
            </w:r>
            <w:r>
              <w:rPr>
                <w:noProof/>
                <w:webHidden/>
              </w:rPr>
            </w:r>
            <w:r>
              <w:rPr>
                <w:noProof/>
                <w:webHidden/>
              </w:rPr>
              <w:fldChar w:fldCharType="separate"/>
            </w:r>
            <w:r>
              <w:rPr>
                <w:noProof/>
                <w:webHidden/>
              </w:rPr>
              <w:t>35</w:t>
            </w:r>
            <w:r>
              <w:rPr>
                <w:noProof/>
                <w:webHidden/>
              </w:rPr>
              <w:fldChar w:fldCharType="end"/>
            </w:r>
          </w:hyperlink>
        </w:p>
        <w:p w14:paraId="7AA67BE7" w14:textId="20A75B7C" w:rsidR="001142D0" w:rsidRDefault="001142D0">
          <w:pPr>
            <w:pStyle w:val="TOC2"/>
            <w:tabs>
              <w:tab w:val="left" w:pos="880"/>
              <w:tab w:val="right" w:leader="dot" w:pos="9350"/>
            </w:tabs>
            <w:rPr>
              <w:rFonts w:asciiTheme="minorHAnsi" w:hAnsiTheme="minorHAnsi"/>
              <w:noProof/>
              <w:lang w:eastAsia="en-US"/>
            </w:rPr>
          </w:pPr>
          <w:hyperlink w:anchor="_Toc44510685" w:history="1">
            <w:r w:rsidRPr="008966C2">
              <w:rPr>
                <w:rStyle w:val="Hyperlink"/>
                <w:noProof/>
              </w:rPr>
              <w:t>4.2</w:t>
            </w:r>
            <w:r>
              <w:rPr>
                <w:rFonts w:asciiTheme="minorHAnsi" w:hAnsiTheme="minorHAnsi"/>
                <w:noProof/>
                <w:lang w:eastAsia="en-US"/>
              </w:rPr>
              <w:tab/>
            </w:r>
            <w:r w:rsidRPr="008966C2">
              <w:rPr>
                <w:rStyle w:val="Hyperlink"/>
                <w:noProof/>
              </w:rPr>
              <w:t>Benchmarks</w:t>
            </w:r>
            <w:r>
              <w:rPr>
                <w:noProof/>
                <w:webHidden/>
              </w:rPr>
              <w:tab/>
            </w:r>
            <w:r>
              <w:rPr>
                <w:noProof/>
                <w:webHidden/>
              </w:rPr>
              <w:fldChar w:fldCharType="begin"/>
            </w:r>
            <w:r>
              <w:rPr>
                <w:noProof/>
                <w:webHidden/>
              </w:rPr>
              <w:instrText xml:space="preserve"> PAGEREF _Toc44510685 \h </w:instrText>
            </w:r>
            <w:r>
              <w:rPr>
                <w:noProof/>
                <w:webHidden/>
              </w:rPr>
            </w:r>
            <w:r>
              <w:rPr>
                <w:noProof/>
                <w:webHidden/>
              </w:rPr>
              <w:fldChar w:fldCharType="separate"/>
            </w:r>
            <w:r>
              <w:rPr>
                <w:noProof/>
                <w:webHidden/>
              </w:rPr>
              <w:t>36</w:t>
            </w:r>
            <w:r>
              <w:rPr>
                <w:noProof/>
                <w:webHidden/>
              </w:rPr>
              <w:fldChar w:fldCharType="end"/>
            </w:r>
          </w:hyperlink>
        </w:p>
        <w:p w14:paraId="5FEC5297" w14:textId="6B2989B0" w:rsidR="001142D0" w:rsidRDefault="001142D0">
          <w:pPr>
            <w:pStyle w:val="TOC1"/>
            <w:tabs>
              <w:tab w:val="left" w:pos="440"/>
              <w:tab w:val="right" w:leader="dot" w:pos="9350"/>
            </w:tabs>
            <w:rPr>
              <w:rFonts w:asciiTheme="minorHAnsi" w:hAnsiTheme="minorHAnsi"/>
              <w:noProof/>
              <w:lang w:eastAsia="en-US"/>
            </w:rPr>
          </w:pPr>
          <w:hyperlink w:anchor="_Toc44510686" w:history="1">
            <w:r w:rsidRPr="008966C2">
              <w:rPr>
                <w:rStyle w:val="Hyperlink"/>
                <w:noProof/>
              </w:rPr>
              <w:t>5</w:t>
            </w:r>
            <w:r>
              <w:rPr>
                <w:rFonts w:asciiTheme="minorHAnsi" w:hAnsiTheme="minorHAnsi"/>
                <w:noProof/>
                <w:lang w:eastAsia="en-US"/>
              </w:rPr>
              <w:tab/>
            </w:r>
            <w:r w:rsidRPr="008966C2">
              <w:rPr>
                <w:rStyle w:val="Hyperlink"/>
                <w:noProof/>
              </w:rPr>
              <w:t>References</w:t>
            </w:r>
            <w:r>
              <w:rPr>
                <w:noProof/>
                <w:webHidden/>
              </w:rPr>
              <w:tab/>
            </w:r>
            <w:r>
              <w:rPr>
                <w:noProof/>
                <w:webHidden/>
              </w:rPr>
              <w:fldChar w:fldCharType="begin"/>
            </w:r>
            <w:r>
              <w:rPr>
                <w:noProof/>
                <w:webHidden/>
              </w:rPr>
              <w:instrText xml:space="preserve"> PAGEREF _Toc44510686 \h </w:instrText>
            </w:r>
            <w:r>
              <w:rPr>
                <w:noProof/>
                <w:webHidden/>
              </w:rPr>
            </w:r>
            <w:r>
              <w:rPr>
                <w:noProof/>
                <w:webHidden/>
              </w:rPr>
              <w:fldChar w:fldCharType="separate"/>
            </w:r>
            <w:r>
              <w:rPr>
                <w:noProof/>
                <w:webHidden/>
              </w:rPr>
              <w:t>38</w:t>
            </w:r>
            <w:r>
              <w:rPr>
                <w:noProof/>
                <w:webHidden/>
              </w:rPr>
              <w:fldChar w:fldCharType="end"/>
            </w:r>
          </w:hyperlink>
        </w:p>
        <w:p w14:paraId="0829467F" w14:textId="3D082A81" w:rsidR="001142D0" w:rsidRDefault="001142D0">
          <w:pPr>
            <w:pStyle w:val="TOC1"/>
            <w:tabs>
              <w:tab w:val="left" w:pos="440"/>
              <w:tab w:val="right" w:leader="dot" w:pos="9350"/>
            </w:tabs>
            <w:rPr>
              <w:rFonts w:asciiTheme="minorHAnsi" w:hAnsiTheme="minorHAnsi"/>
              <w:noProof/>
              <w:lang w:eastAsia="en-US"/>
            </w:rPr>
          </w:pPr>
          <w:hyperlink w:anchor="_Toc44510687" w:history="1">
            <w:r w:rsidRPr="008966C2">
              <w:rPr>
                <w:rStyle w:val="Hyperlink"/>
                <w:noProof/>
              </w:rPr>
              <w:t>6</w:t>
            </w:r>
            <w:r>
              <w:rPr>
                <w:rFonts w:asciiTheme="minorHAnsi" w:hAnsiTheme="minorHAnsi"/>
                <w:noProof/>
                <w:lang w:eastAsia="en-US"/>
              </w:rPr>
              <w:tab/>
            </w:r>
            <w:r w:rsidRPr="008966C2">
              <w:rPr>
                <w:rStyle w:val="Hyperlink"/>
                <w:noProof/>
              </w:rPr>
              <w:t>Glossary</w:t>
            </w:r>
            <w:r>
              <w:rPr>
                <w:noProof/>
                <w:webHidden/>
              </w:rPr>
              <w:tab/>
            </w:r>
            <w:r>
              <w:rPr>
                <w:noProof/>
                <w:webHidden/>
              </w:rPr>
              <w:fldChar w:fldCharType="begin"/>
            </w:r>
            <w:r>
              <w:rPr>
                <w:noProof/>
                <w:webHidden/>
              </w:rPr>
              <w:instrText xml:space="preserve"> PAGEREF _Toc44510687 \h </w:instrText>
            </w:r>
            <w:r>
              <w:rPr>
                <w:noProof/>
                <w:webHidden/>
              </w:rPr>
            </w:r>
            <w:r>
              <w:rPr>
                <w:noProof/>
                <w:webHidden/>
              </w:rPr>
              <w:fldChar w:fldCharType="separate"/>
            </w:r>
            <w:r>
              <w:rPr>
                <w:noProof/>
                <w:webHidden/>
              </w:rPr>
              <w:t>42</w:t>
            </w:r>
            <w:r>
              <w:rPr>
                <w:noProof/>
                <w:webHidden/>
              </w:rPr>
              <w:fldChar w:fldCharType="end"/>
            </w:r>
          </w:hyperlink>
        </w:p>
        <w:p w14:paraId="12C7DAF6" w14:textId="3E5C1691" w:rsidR="00640665" w:rsidRPr="00177418" w:rsidRDefault="00640665" w:rsidP="00E07370">
          <w:r w:rsidRPr="00CB4CD6">
            <w:rPr>
              <w:b/>
              <w:bCs/>
              <w:noProof/>
            </w:rPr>
            <w:fldChar w:fldCharType="end"/>
          </w:r>
        </w:p>
      </w:sdtContent>
    </w:sdt>
    <w:p w14:paraId="1827C10C" w14:textId="3B09BCA5" w:rsidR="00F15AEE" w:rsidRPr="00177418" w:rsidRDefault="00F15AEE" w:rsidP="00E07370">
      <w:r w:rsidRPr="00177418">
        <w:br w:type="page"/>
      </w:r>
    </w:p>
    <w:p w14:paraId="325B3971" w14:textId="4DF0A92F" w:rsidR="2D56E7D4" w:rsidRPr="00177418" w:rsidRDefault="00C23CAC" w:rsidP="00FA2088">
      <w:pPr>
        <w:pStyle w:val="Heading1"/>
        <w:numPr>
          <w:ilvl w:val="0"/>
          <w:numId w:val="0"/>
        </w:numPr>
        <w:ind w:left="432" w:hanging="432"/>
        <w:rPr>
          <w:noProof/>
        </w:rPr>
      </w:pPr>
      <w:bookmarkStart w:id="2" w:name="_Toc44510645"/>
      <w:r w:rsidRPr="00177418">
        <w:rPr>
          <w:noProof/>
        </w:rPr>
        <w:lastRenderedPageBreak/>
        <w:t xml:space="preserve">List of </w:t>
      </w:r>
      <w:r w:rsidR="2D56E7D4" w:rsidRPr="00177418">
        <w:rPr>
          <w:noProof/>
        </w:rPr>
        <w:t>Figures</w:t>
      </w:r>
      <w:bookmarkEnd w:id="2"/>
    </w:p>
    <w:p w14:paraId="4E0B2082" w14:textId="758AD807" w:rsidR="001142D0" w:rsidRDefault="00F15AEE">
      <w:pPr>
        <w:pStyle w:val="TableofFigures"/>
        <w:tabs>
          <w:tab w:val="right" w:leader="dot" w:pos="9350"/>
        </w:tabs>
        <w:rPr>
          <w:rFonts w:asciiTheme="minorHAnsi" w:hAnsiTheme="minorHAnsi"/>
          <w:noProof/>
          <w:lang w:eastAsia="en-US"/>
        </w:rPr>
      </w:pPr>
      <w:r w:rsidRPr="00177418">
        <w:fldChar w:fldCharType="begin"/>
      </w:r>
      <w:r w:rsidRPr="00177418">
        <w:instrText xml:space="preserve"> TOC \h \z \c "Figure" </w:instrText>
      </w:r>
      <w:r w:rsidRPr="00177418">
        <w:fldChar w:fldCharType="separate"/>
      </w:r>
      <w:hyperlink w:anchor="_Toc44510688" w:history="1">
        <w:r w:rsidR="001142D0" w:rsidRPr="00F46A1F">
          <w:rPr>
            <w:rStyle w:val="Hyperlink"/>
            <w:noProof/>
          </w:rPr>
          <w:t>Figure 1.1 Domestic solar hot water heating systems</w:t>
        </w:r>
        <w:r w:rsidR="001142D0">
          <w:rPr>
            <w:noProof/>
            <w:webHidden/>
          </w:rPr>
          <w:tab/>
        </w:r>
        <w:r w:rsidR="001142D0">
          <w:rPr>
            <w:noProof/>
            <w:webHidden/>
          </w:rPr>
          <w:fldChar w:fldCharType="begin"/>
        </w:r>
        <w:r w:rsidR="001142D0">
          <w:rPr>
            <w:noProof/>
            <w:webHidden/>
          </w:rPr>
          <w:instrText xml:space="preserve"> PAGEREF _Toc44510688 \h </w:instrText>
        </w:r>
        <w:r w:rsidR="001142D0">
          <w:rPr>
            <w:noProof/>
            <w:webHidden/>
          </w:rPr>
        </w:r>
        <w:r w:rsidR="001142D0">
          <w:rPr>
            <w:noProof/>
            <w:webHidden/>
          </w:rPr>
          <w:fldChar w:fldCharType="separate"/>
        </w:r>
        <w:r w:rsidR="001142D0">
          <w:rPr>
            <w:noProof/>
            <w:webHidden/>
          </w:rPr>
          <w:t>3</w:t>
        </w:r>
        <w:r w:rsidR="001142D0">
          <w:rPr>
            <w:noProof/>
            <w:webHidden/>
          </w:rPr>
          <w:fldChar w:fldCharType="end"/>
        </w:r>
      </w:hyperlink>
    </w:p>
    <w:p w14:paraId="1BEAF7C4" w14:textId="24A4736E" w:rsidR="001142D0" w:rsidRDefault="001142D0">
      <w:pPr>
        <w:pStyle w:val="TableofFigures"/>
        <w:tabs>
          <w:tab w:val="right" w:leader="dot" w:pos="9350"/>
        </w:tabs>
        <w:rPr>
          <w:rFonts w:asciiTheme="minorHAnsi" w:hAnsiTheme="minorHAnsi"/>
          <w:noProof/>
          <w:lang w:eastAsia="en-US"/>
        </w:rPr>
      </w:pPr>
      <w:hyperlink w:anchor="_Toc44510689" w:history="1">
        <w:r w:rsidRPr="00F46A1F">
          <w:rPr>
            <w:rStyle w:val="Hyperlink"/>
            <w:noProof/>
          </w:rPr>
          <w:t>Figure 3.1 World Annual Adoption 2020-2050</w:t>
        </w:r>
        <w:r>
          <w:rPr>
            <w:noProof/>
            <w:webHidden/>
          </w:rPr>
          <w:tab/>
        </w:r>
        <w:r>
          <w:rPr>
            <w:noProof/>
            <w:webHidden/>
          </w:rPr>
          <w:fldChar w:fldCharType="begin"/>
        </w:r>
        <w:r>
          <w:rPr>
            <w:noProof/>
            <w:webHidden/>
          </w:rPr>
          <w:instrText xml:space="preserve"> PAGEREF _Toc44510689 \h </w:instrText>
        </w:r>
        <w:r>
          <w:rPr>
            <w:noProof/>
            <w:webHidden/>
          </w:rPr>
        </w:r>
        <w:r>
          <w:rPr>
            <w:noProof/>
            <w:webHidden/>
          </w:rPr>
          <w:fldChar w:fldCharType="separate"/>
        </w:r>
        <w:r>
          <w:rPr>
            <w:noProof/>
            <w:webHidden/>
          </w:rPr>
          <w:t>30</w:t>
        </w:r>
        <w:r>
          <w:rPr>
            <w:noProof/>
            <w:webHidden/>
          </w:rPr>
          <w:fldChar w:fldCharType="end"/>
        </w:r>
      </w:hyperlink>
    </w:p>
    <w:p w14:paraId="202FDA32" w14:textId="47BF550A" w:rsidR="001142D0" w:rsidRDefault="001142D0">
      <w:pPr>
        <w:pStyle w:val="TableofFigures"/>
        <w:tabs>
          <w:tab w:val="right" w:leader="dot" w:pos="9350"/>
        </w:tabs>
        <w:rPr>
          <w:rFonts w:asciiTheme="minorHAnsi" w:hAnsiTheme="minorHAnsi"/>
          <w:noProof/>
          <w:lang w:eastAsia="en-US"/>
        </w:rPr>
      </w:pPr>
      <w:hyperlink w:anchor="_Toc44510690" w:history="1">
        <w:r w:rsidRPr="00F46A1F">
          <w:rPr>
            <w:rStyle w:val="Hyperlink"/>
            <w:noProof/>
          </w:rPr>
          <w:t>Figure 3.2 World Annual</w:t>
        </w:r>
        <w:r w:rsidRPr="00F46A1F">
          <w:rPr>
            <w:rStyle w:val="Hyperlink"/>
            <w:noProof/>
            <w:vertAlign w:val="subscript"/>
          </w:rPr>
          <w:t xml:space="preserve"> </w:t>
        </w:r>
        <w:r w:rsidRPr="00F46A1F">
          <w:rPr>
            <w:rStyle w:val="Hyperlink"/>
            <w:noProof/>
          </w:rPr>
          <w:t>Greenhouse Gas Emissions Reduction</w:t>
        </w:r>
        <w:r>
          <w:rPr>
            <w:noProof/>
            <w:webHidden/>
          </w:rPr>
          <w:tab/>
        </w:r>
        <w:r>
          <w:rPr>
            <w:noProof/>
            <w:webHidden/>
          </w:rPr>
          <w:fldChar w:fldCharType="begin"/>
        </w:r>
        <w:r>
          <w:rPr>
            <w:noProof/>
            <w:webHidden/>
          </w:rPr>
          <w:instrText xml:space="preserve"> PAGEREF _Toc44510690 \h </w:instrText>
        </w:r>
        <w:r>
          <w:rPr>
            <w:noProof/>
            <w:webHidden/>
          </w:rPr>
        </w:r>
        <w:r>
          <w:rPr>
            <w:noProof/>
            <w:webHidden/>
          </w:rPr>
          <w:fldChar w:fldCharType="separate"/>
        </w:r>
        <w:r>
          <w:rPr>
            <w:noProof/>
            <w:webHidden/>
          </w:rPr>
          <w:t>32</w:t>
        </w:r>
        <w:r>
          <w:rPr>
            <w:noProof/>
            <w:webHidden/>
          </w:rPr>
          <w:fldChar w:fldCharType="end"/>
        </w:r>
      </w:hyperlink>
    </w:p>
    <w:p w14:paraId="66D26849" w14:textId="1AEDC2C9" w:rsidR="001142D0" w:rsidRDefault="001142D0">
      <w:pPr>
        <w:pStyle w:val="TableofFigures"/>
        <w:tabs>
          <w:tab w:val="right" w:leader="dot" w:pos="9350"/>
        </w:tabs>
        <w:rPr>
          <w:rFonts w:asciiTheme="minorHAnsi" w:hAnsiTheme="minorHAnsi"/>
          <w:noProof/>
          <w:lang w:eastAsia="en-US"/>
        </w:rPr>
      </w:pPr>
      <w:hyperlink w:anchor="_Toc44510691" w:history="1">
        <w:r w:rsidRPr="00F46A1F">
          <w:rPr>
            <w:rStyle w:val="Hyperlink"/>
            <w:noProof/>
          </w:rPr>
          <w:t>Figure 3.3 Net Profit Margin /Operating Costs Over Time</w:t>
        </w:r>
        <w:r>
          <w:rPr>
            <w:noProof/>
            <w:webHidden/>
          </w:rPr>
          <w:tab/>
        </w:r>
        <w:r>
          <w:rPr>
            <w:noProof/>
            <w:webHidden/>
          </w:rPr>
          <w:fldChar w:fldCharType="begin"/>
        </w:r>
        <w:r>
          <w:rPr>
            <w:noProof/>
            <w:webHidden/>
          </w:rPr>
          <w:instrText xml:space="preserve"> PAGEREF _Toc44510691 \h </w:instrText>
        </w:r>
        <w:r>
          <w:rPr>
            <w:noProof/>
            <w:webHidden/>
          </w:rPr>
        </w:r>
        <w:r>
          <w:rPr>
            <w:noProof/>
            <w:webHidden/>
          </w:rPr>
          <w:fldChar w:fldCharType="separate"/>
        </w:r>
        <w:r>
          <w:rPr>
            <w:noProof/>
            <w:webHidden/>
          </w:rPr>
          <w:t>33</w:t>
        </w:r>
        <w:r>
          <w:rPr>
            <w:noProof/>
            <w:webHidden/>
          </w:rPr>
          <w:fldChar w:fldCharType="end"/>
        </w:r>
      </w:hyperlink>
    </w:p>
    <w:p w14:paraId="5AD133BD" w14:textId="4867B803" w:rsidR="00640665" w:rsidRPr="00177418" w:rsidRDefault="00F15AEE" w:rsidP="00E07370">
      <w:r w:rsidRPr="00177418">
        <w:fldChar w:fldCharType="end"/>
      </w:r>
    </w:p>
    <w:p w14:paraId="6055DED9" w14:textId="24973E3A" w:rsidR="006A4A08" w:rsidRPr="00177418" w:rsidRDefault="00C23CAC" w:rsidP="00FA2088">
      <w:pPr>
        <w:pStyle w:val="Heading1"/>
        <w:numPr>
          <w:ilvl w:val="0"/>
          <w:numId w:val="0"/>
        </w:numPr>
        <w:ind w:left="432" w:hanging="432"/>
      </w:pPr>
      <w:bookmarkStart w:id="3" w:name="_Toc44510646"/>
      <w:r w:rsidRPr="00177418">
        <w:t xml:space="preserve">List of </w:t>
      </w:r>
      <w:r w:rsidR="2D56E7D4" w:rsidRPr="00177418">
        <w:t>Tables</w:t>
      </w:r>
      <w:bookmarkEnd w:id="3"/>
    </w:p>
    <w:p w14:paraId="6AA642BB" w14:textId="411B3981" w:rsidR="001142D0" w:rsidRDefault="006A4A08">
      <w:pPr>
        <w:pStyle w:val="TableofFigures"/>
        <w:tabs>
          <w:tab w:val="right" w:leader="dot" w:pos="9350"/>
        </w:tabs>
        <w:rPr>
          <w:rFonts w:asciiTheme="minorHAnsi" w:hAnsiTheme="minorHAnsi"/>
          <w:noProof/>
          <w:lang w:eastAsia="en-US"/>
        </w:rPr>
      </w:pPr>
      <w:r w:rsidRPr="00177418">
        <w:fldChar w:fldCharType="begin"/>
      </w:r>
      <w:r w:rsidRPr="00177418">
        <w:instrText xml:space="preserve"> TOC \h \z \c "Table" </w:instrText>
      </w:r>
      <w:r w:rsidRPr="00177418">
        <w:fldChar w:fldCharType="separate"/>
      </w:r>
      <w:hyperlink w:anchor="_Toc44510692" w:history="1">
        <w:r w:rsidR="001142D0" w:rsidRPr="005F4483">
          <w:rPr>
            <w:rStyle w:val="Hyperlink"/>
            <w:noProof/>
          </w:rPr>
          <w:t>Table 1.1 Maximum temperature provided by collector type</w:t>
        </w:r>
        <w:r w:rsidR="001142D0">
          <w:rPr>
            <w:noProof/>
            <w:webHidden/>
          </w:rPr>
          <w:tab/>
        </w:r>
        <w:r w:rsidR="001142D0">
          <w:rPr>
            <w:noProof/>
            <w:webHidden/>
          </w:rPr>
          <w:fldChar w:fldCharType="begin"/>
        </w:r>
        <w:r w:rsidR="001142D0">
          <w:rPr>
            <w:noProof/>
            <w:webHidden/>
          </w:rPr>
          <w:instrText xml:space="preserve"> PAGEREF _Toc44510692 \h </w:instrText>
        </w:r>
        <w:r w:rsidR="001142D0">
          <w:rPr>
            <w:noProof/>
            <w:webHidden/>
          </w:rPr>
        </w:r>
        <w:r w:rsidR="001142D0">
          <w:rPr>
            <w:noProof/>
            <w:webHidden/>
          </w:rPr>
          <w:fldChar w:fldCharType="separate"/>
        </w:r>
        <w:r w:rsidR="001142D0">
          <w:rPr>
            <w:noProof/>
            <w:webHidden/>
          </w:rPr>
          <w:t>5</w:t>
        </w:r>
        <w:r w:rsidR="001142D0">
          <w:rPr>
            <w:noProof/>
            <w:webHidden/>
          </w:rPr>
          <w:fldChar w:fldCharType="end"/>
        </w:r>
      </w:hyperlink>
    </w:p>
    <w:p w14:paraId="075AFE44" w14:textId="7F1CA4AB" w:rsidR="001142D0" w:rsidRDefault="001142D0">
      <w:pPr>
        <w:pStyle w:val="TableofFigures"/>
        <w:tabs>
          <w:tab w:val="right" w:leader="dot" w:pos="9350"/>
        </w:tabs>
        <w:rPr>
          <w:rFonts w:asciiTheme="minorHAnsi" w:hAnsiTheme="minorHAnsi"/>
          <w:noProof/>
          <w:lang w:eastAsia="en-US"/>
        </w:rPr>
      </w:pPr>
      <w:hyperlink w:anchor="_Toc44510693" w:history="1">
        <w:r w:rsidRPr="005F4483">
          <w:rPr>
            <w:rStyle w:val="Hyperlink"/>
            <w:noProof/>
          </w:rPr>
          <w:t>Table 1.2 Tank and Collector sizes</w:t>
        </w:r>
        <w:r>
          <w:rPr>
            <w:noProof/>
            <w:webHidden/>
          </w:rPr>
          <w:tab/>
        </w:r>
        <w:r>
          <w:rPr>
            <w:noProof/>
            <w:webHidden/>
          </w:rPr>
          <w:fldChar w:fldCharType="begin"/>
        </w:r>
        <w:r>
          <w:rPr>
            <w:noProof/>
            <w:webHidden/>
          </w:rPr>
          <w:instrText xml:space="preserve"> PAGEREF _Toc44510693 \h </w:instrText>
        </w:r>
        <w:r>
          <w:rPr>
            <w:noProof/>
            <w:webHidden/>
          </w:rPr>
        </w:r>
        <w:r>
          <w:rPr>
            <w:noProof/>
            <w:webHidden/>
          </w:rPr>
          <w:fldChar w:fldCharType="separate"/>
        </w:r>
        <w:r>
          <w:rPr>
            <w:noProof/>
            <w:webHidden/>
          </w:rPr>
          <w:t>7</w:t>
        </w:r>
        <w:r>
          <w:rPr>
            <w:noProof/>
            <w:webHidden/>
          </w:rPr>
          <w:fldChar w:fldCharType="end"/>
        </w:r>
      </w:hyperlink>
    </w:p>
    <w:p w14:paraId="48D9339F" w14:textId="663DF052" w:rsidR="001142D0" w:rsidRDefault="001142D0">
      <w:pPr>
        <w:pStyle w:val="TableofFigures"/>
        <w:tabs>
          <w:tab w:val="right" w:leader="dot" w:pos="9350"/>
        </w:tabs>
        <w:rPr>
          <w:rFonts w:asciiTheme="minorHAnsi" w:hAnsiTheme="minorHAnsi"/>
          <w:noProof/>
          <w:lang w:eastAsia="en-US"/>
        </w:rPr>
      </w:pPr>
      <w:hyperlink w:anchor="_Toc44510694" w:history="1">
        <w:r w:rsidRPr="005F4483">
          <w:rPr>
            <w:rStyle w:val="Hyperlink"/>
            <w:noProof/>
          </w:rPr>
          <w:t>Table 1.3 Technology comparison</w:t>
        </w:r>
        <w:r>
          <w:rPr>
            <w:noProof/>
            <w:webHidden/>
          </w:rPr>
          <w:tab/>
        </w:r>
        <w:r>
          <w:rPr>
            <w:noProof/>
            <w:webHidden/>
          </w:rPr>
          <w:fldChar w:fldCharType="begin"/>
        </w:r>
        <w:r>
          <w:rPr>
            <w:noProof/>
            <w:webHidden/>
          </w:rPr>
          <w:instrText xml:space="preserve"> PAGEREF _Toc44510694 \h </w:instrText>
        </w:r>
        <w:r>
          <w:rPr>
            <w:noProof/>
            <w:webHidden/>
          </w:rPr>
        </w:r>
        <w:r>
          <w:rPr>
            <w:noProof/>
            <w:webHidden/>
          </w:rPr>
          <w:fldChar w:fldCharType="separate"/>
        </w:r>
        <w:r>
          <w:rPr>
            <w:noProof/>
            <w:webHidden/>
          </w:rPr>
          <w:t>15</w:t>
        </w:r>
        <w:r>
          <w:rPr>
            <w:noProof/>
            <w:webHidden/>
          </w:rPr>
          <w:fldChar w:fldCharType="end"/>
        </w:r>
      </w:hyperlink>
    </w:p>
    <w:p w14:paraId="4F9E2816" w14:textId="2E4E0F1D" w:rsidR="001142D0" w:rsidRDefault="001142D0">
      <w:pPr>
        <w:pStyle w:val="TableofFigures"/>
        <w:tabs>
          <w:tab w:val="right" w:leader="dot" w:pos="9350"/>
        </w:tabs>
        <w:rPr>
          <w:rFonts w:asciiTheme="minorHAnsi" w:hAnsiTheme="minorHAnsi"/>
          <w:noProof/>
          <w:lang w:eastAsia="en-US"/>
        </w:rPr>
      </w:pPr>
      <w:hyperlink w:anchor="_Toc44510695" w:history="1">
        <w:r w:rsidRPr="005F4483">
          <w:rPr>
            <w:rStyle w:val="Hyperlink"/>
            <w:noProof/>
          </w:rPr>
          <w:t>Table 2.1 Climate Inputs</w:t>
        </w:r>
        <w:r>
          <w:rPr>
            <w:noProof/>
            <w:webHidden/>
          </w:rPr>
          <w:tab/>
        </w:r>
        <w:r>
          <w:rPr>
            <w:noProof/>
            <w:webHidden/>
          </w:rPr>
          <w:fldChar w:fldCharType="begin"/>
        </w:r>
        <w:r>
          <w:rPr>
            <w:noProof/>
            <w:webHidden/>
          </w:rPr>
          <w:instrText xml:space="preserve"> PAGEREF _Toc44510695 \h </w:instrText>
        </w:r>
        <w:r>
          <w:rPr>
            <w:noProof/>
            <w:webHidden/>
          </w:rPr>
        </w:r>
        <w:r>
          <w:rPr>
            <w:noProof/>
            <w:webHidden/>
          </w:rPr>
          <w:fldChar w:fldCharType="separate"/>
        </w:r>
        <w:r>
          <w:rPr>
            <w:noProof/>
            <w:webHidden/>
          </w:rPr>
          <w:t>22</w:t>
        </w:r>
        <w:r>
          <w:rPr>
            <w:noProof/>
            <w:webHidden/>
          </w:rPr>
          <w:fldChar w:fldCharType="end"/>
        </w:r>
      </w:hyperlink>
    </w:p>
    <w:p w14:paraId="0174BF38" w14:textId="1BED8029" w:rsidR="001142D0" w:rsidRDefault="001142D0">
      <w:pPr>
        <w:pStyle w:val="TableofFigures"/>
        <w:tabs>
          <w:tab w:val="right" w:leader="dot" w:pos="9350"/>
        </w:tabs>
        <w:rPr>
          <w:rFonts w:asciiTheme="minorHAnsi" w:hAnsiTheme="minorHAnsi"/>
          <w:noProof/>
          <w:lang w:eastAsia="en-US"/>
        </w:rPr>
      </w:pPr>
      <w:hyperlink w:anchor="_Toc44510696" w:history="1">
        <w:r w:rsidRPr="005F4483">
          <w:rPr>
            <w:rStyle w:val="Hyperlink"/>
            <w:noProof/>
          </w:rPr>
          <w:t>Table 2.2 Financial Inputs for Conventional Technologies</w:t>
        </w:r>
        <w:r>
          <w:rPr>
            <w:noProof/>
            <w:webHidden/>
          </w:rPr>
          <w:tab/>
        </w:r>
        <w:r>
          <w:rPr>
            <w:noProof/>
            <w:webHidden/>
          </w:rPr>
          <w:fldChar w:fldCharType="begin"/>
        </w:r>
        <w:r>
          <w:rPr>
            <w:noProof/>
            <w:webHidden/>
          </w:rPr>
          <w:instrText xml:space="preserve"> PAGEREF _Toc44510696 \h </w:instrText>
        </w:r>
        <w:r>
          <w:rPr>
            <w:noProof/>
            <w:webHidden/>
          </w:rPr>
        </w:r>
        <w:r>
          <w:rPr>
            <w:noProof/>
            <w:webHidden/>
          </w:rPr>
          <w:fldChar w:fldCharType="separate"/>
        </w:r>
        <w:r>
          <w:rPr>
            <w:noProof/>
            <w:webHidden/>
          </w:rPr>
          <w:t>23</w:t>
        </w:r>
        <w:r>
          <w:rPr>
            <w:noProof/>
            <w:webHidden/>
          </w:rPr>
          <w:fldChar w:fldCharType="end"/>
        </w:r>
      </w:hyperlink>
    </w:p>
    <w:p w14:paraId="76D8780B" w14:textId="067A2E18" w:rsidR="001142D0" w:rsidRDefault="001142D0">
      <w:pPr>
        <w:pStyle w:val="TableofFigures"/>
        <w:tabs>
          <w:tab w:val="right" w:leader="dot" w:pos="9350"/>
        </w:tabs>
        <w:rPr>
          <w:rFonts w:asciiTheme="minorHAnsi" w:hAnsiTheme="minorHAnsi"/>
          <w:noProof/>
          <w:lang w:eastAsia="en-US"/>
        </w:rPr>
      </w:pPr>
      <w:hyperlink w:anchor="_Toc44510697" w:history="1">
        <w:r w:rsidRPr="005F4483">
          <w:rPr>
            <w:rStyle w:val="Hyperlink"/>
            <w:noProof/>
          </w:rPr>
          <w:t>Table 2.3 Financial Inputs for Solution Technologies</w:t>
        </w:r>
        <w:r>
          <w:rPr>
            <w:noProof/>
            <w:webHidden/>
          </w:rPr>
          <w:tab/>
        </w:r>
        <w:r>
          <w:rPr>
            <w:noProof/>
            <w:webHidden/>
          </w:rPr>
          <w:fldChar w:fldCharType="begin"/>
        </w:r>
        <w:r>
          <w:rPr>
            <w:noProof/>
            <w:webHidden/>
          </w:rPr>
          <w:instrText xml:space="preserve"> PAGEREF _Toc44510697 \h </w:instrText>
        </w:r>
        <w:r>
          <w:rPr>
            <w:noProof/>
            <w:webHidden/>
          </w:rPr>
        </w:r>
        <w:r>
          <w:rPr>
            <w:noProof/>
            <w:webHidden/>
          </w:rPr>
          <w:fldChar w:fldCharType="separate"/>
        </w:r>
        <w:r>
          <w:rPr>
            <w:noProof/>
            <w:webHidden/>
          </w:rPr>
          <w:t>24</w:t>
        </w:r>
        <w:r>
          <w:rPr>
            <w:noProof/>
            <w:webHidden/>
          </w:rPr>
          <w:fldChar w:fldCharType="end"/>
        </w:r>
      </w:hyperlink>
    </w:p>
    <w:p w14:paraId="698240BF" w14:textId="62416DE7" w:rsidR="001142D0" w:rsidRDefault="001142D0">
      <w:pPr>
        <w:pStyle w:val="TableofFigures"/>
        <w:tabs>
          <w:tab w:val="right" w:leader="dot" w:pos="9350"/>
        </w:tabs>
        <w:rPr>
          <w:rFonts w:asciiTheme="minorHAnsi" w:hAnsiTheme="minorHAnsi"/>
          <w:noProof/>
          <w:lang w:eastAsia="en-US"/>
        </w:rPr>
      </w:pPr>
      <w:hyperlink w:anchor="_Toc44510698" w:history="1">
        <w:r w:rsidRPr="005F4483">
          <w:rPr>
            <w:rStyle w:val="Hyperlink"/>
            <w:noProof/>
          </w:rPr>
          <w:t>Table 2.4 Key Technical Inputs for Energy Consumption and Efficiency</w:t>
        </w:r>
        <w:r>
          <w:rPr>
            <w:noProof/>
            <w:webHidden/>
          </w:rPr>
          <w:tab/>
        </w:r>
        <w:r>
          <w:rPr>
            <w:noProof/>
            <w:webHidden/>
          </w:rPr>
          <w:fldChar w:fldCharType="begin"/>
        </w:r>
        <w:r>
          <w:rPr>
            <w:noProof/>
            <w:webHidden/>
          </w:rPr>
          <w:instrText xml:space="preserve"> PAGEREF _Toc44510698 \h </w:instrText>
        </w:r>
        <w:r>
          <w:rPr>
            <w:noProof/>
            <w:webHidden/>
          </w:rPr>
        </w:r>
        <w:r>
          <w:rPr>
            <w:noProof/>
            <w:webHidden/>
          </w:rPr>
          <w:fldChar w:fldCharType="separate"/>
        </w:r>
        <w:r>
          <w:rPr>
            <w:noProof/>
            <w:webHidden/>
          </w:rPr>
          <w:t>25</w:t>
        </w:r>
        <w:r>
          <w:rPr>
            <w:noProof/>
            <w:webHidden/>
          </w:rPr>
          <w:fldChar w:fldCharType="end"/>
        </w:r>
      </w:hyperlink>
    </w:p>
    <w:p w14:paraId="44FAC36A" w14:textId="425CCD28" w:rsidR="001142D0" w:rsidRDefault="001142D0">
      <w:pPr>
        <w:pStyle w:val="TableofFigures"/>
        <w:tabs>
          <w:tab w:val="right" w:leader="dot" w:pos="9350"/>
        </w:tabs>
        <w:rPr>
          <w:rFonts w:asciiTheme="minorHAnsi" w:hAnsiTheme="minorHAnsi"/>
          <w:noProof/>
          <w:lang w:eastAsia="en-US"/>
        </w:rPr>
      </w:pPr>
      <w:hyperlink w:anchor="_Toc44510699" w:history="1">
        <w:r w:rsidRPr="005F4483">
          <w:rPr>
            <w:rStyle w:val="Hyperlink"/>
            <w:noProof/>
          </w:rPr>
          <w:t>Table 2.5 Key Technical Inputs for Usage and Lifetime</w:t>
        </w:r>
        <w:r>
          <w:rPr>
            <w:noProof/>
            <w:webHidden/>
          </w:rPr>
          <w:tab/>
        </w:r>
        <w:r>
          <w:rPr>
            <w:noProof/>
            <w:webHidden/>
          </w:rPr>
          <w:fldChar w:fldCharType="begin"/>
        </w:r>
        <w:r>
          <w:rPr>
            <w:noProof/>
            <w:webHidden/>
          </w:rPr>
          <w:instrText xml:space="preserve"> PAGEREF _Toc44510699 \h </w:instrText>
        </w:r>
        <w:r>
          <w:rPr>
            <w:noProof/>
            <w:webHidden/>
          </w:rPr>
        </w:r>
        <w:r>
          <w:rPr>
            <w:noProof/>
            <w:webHidden/>
          </w:rPr>
          <w:fldChar w:fldCharType="separate"/>
        </w:r>
        <w:r>
          <w:rPr>
            <w:noProof/>
            <w:webHidden/>
          </w:rPr>
          <w:t>25</w:t>
        </w:r>
        <w:r>
          <w:rPr>
            <w:noProof/>
            <w:webHidden/>
          </w:rPr>
          <w:fldChar w:fldCharType="end"/>
        </w:r>
      </w:hyperlink>
    </w:p>
    <w:p w14:paraId="6327A627" w14:textId="1D65E0C1" w:rsidR="001142D0" w:rsidRDefault="001142D0">
      <w:pPr>
        <w:pStyle w:val="TableofFigures"/>
        <w:tabs>
          <w:tab w:val="right" w:leader="dot" w:pos="9350"/>
        </w:tabs>
        <w:rPr>
          <w:rFonts w:asciiTheme="minorHAnsi" w:hAnsiTheme="minorHAnsi"/>
          <w:noProof/>
          <w:lang w:eastAsia="en-US"/>
        </w:rPr>
      </w:pPr>
      <w:hyperlink w:anchor="_Toc44510700" w:history="1">
        <w:r w:rsidRPr="005F4483">
          <w:rPr>
            <w:rStyle w:val="Hyperlink"/>
            <w:noProof/>
          </w:rPr>
          <w:t>Table 3.1 World Adoption of the Solution</w:t>
        </w:r>
        <w:r>
          <w:rPr>
            <w:noProof/>
            <w:webHidden/>
          </w:rPr>
          <w:tab/>
        </w:r>
        <w:r>
          <w:rPr>
            <w:noProof/>
            <w:webHidden/>
          </w:rPr>
          <w:fldChar w:fldCharType="begin"/>
        </w:r>
        <w:r>
          <w:rPr>
            <w:noProof/>
            <w:webHidden/>
          </w:rPr>
          <w:instrText xml:space="preserve"> PAGEREF _Toc44510700 \h </w:instrText>
        </w:r>
        <w:r>
          <w:rPr>
            <w:noProof/>
            <w:webHidden/>
          </w:rPr>
        </w:r>
        <w:r>
          <w:rPr>
            <w:noProof/>
            <w:webHidden/>
          </w:rPr>
          <w:fldChar w:fldCharType="separate"/>
        </w:r>
        <w:r>
          <w:rPr>
            <w:noProof/>
            <w:webHidden/>
          </w:rPr>
          <w:t>29</w:t>
        </w:r>
        <w:r>
          <w:rPr>
            <w:noProof/>
            <w:webHidden/>
          </w:rPr>
          <w:fldChar w:fldCharType="end"/>
        </w:r>
      </w:hyperlink>
    </w:p>
    <w:p w14:paraId="031E0E8C" w14:textId="7BCFB67A" w:rsidR="001142D0" w:rsidRDefault="001142D0">
      <w:pPr>
        <w:pStyle w:val="TableofFigures"/>
        <w:tabs>
          <w:tab w:val="right" w:leader="dot" w:pos="9350"/>
        </w:tabs>
        <w:rPr>
          <w:rFonts w:asciiTheme="minorHAnsi" w:hAnsiTheme="minorHAnsi"/>
          <w:noProof/>
          <w:lang w:eastAsia="en-US"/>
        </w:rPr>
      </w:pPr>
      <w:hyperlink w:anchor="_Toc44510701" w:history="1">
        <w:r w:rsidRPr="005F4483">
          <w:rPr>
            <w:rStyle w:val="Hyperlink"/>
            <w:noProof/>
          </w:rPr>
          <w:t>Table 3.2 Climate Impacts</w:t>
        </w:r>
        <w:r>
          <w:rPr>
            <w:noProof/>
            <w:webHidden/>
          </w:rPr>
          <w:tab/>
        </w:r>
        <w:r>
          <w:rPr>
            <w:noProof/>
            <w:webHidden/>
          </w:rPr>
          <w:fldChar w:fldCharType="begin"/>
        </w:r>
        <w:r>
          <w:rPr>
            <w:noProof/>
            <w:webHidden/>
          </w:rPr>
          <w:instrText xml:space="preserve"> PAGEREF _Toc44510701 \h </w:instrText>
        </w:r>
        <w:r>
          <w:rPr>
            <w:noProof/>
            <w:webHidden/>
          </w:rPr>
        </w:r>
        <w:r>
          <w:rPr>
            <w:noProof/>
            <w:webHidden/>
          </w:rPr>
          <w:fldChar w:fldCharType="separate"/>
        </w:r>
        <w:r>
          <w:rPr>
            <w:noProof/>
            <w:webHidden/>
          </w:rPr>
          <w:t>30</w:t>
        </w:r>
        <w:r>
          <w:rPr>
            <w:noProof/>
            <w:webHidden/>
          </w:rPr>
          <w:fldChar w:fldCharType="end"/>
        </w:r>
      </w:hyperlink>
    </w:p>
    <w:p w14:paraId="3320C54F" w14:textId="6929AA48" w:rsidR="001142D0" w:rsidRDefault="001142D0">
      <w:pPr>
        <w:pStyle w:val="TableofFigures"/>
        <w:tabs>
          <w:tab w:val="right" w:leader="dot" w:pos="9350"/>
        </w:tabs>
        <w:rPr>
          <w:rFonts w:asciiTheme="minorHAnsi" w:hAnsiTheme="minorHAnsi"/>
          <w:noProof/>
          <w:lang w:eastAsia="en-US"/>
        </w:rPr>
      </w:pPr>
      <w:hyperlink w:anchor="_Toc44510702" w:history="1">
        <w:r w:rsidRPr="005F4483">
          <w:rPr>
            <w:rStyle w:val="Hyperlink"/>
            <w:noProof/>
          </w:rPr>
          <w:t>Table 3.3 Impacts on Atmospheric Concentrations of CO</w:t>
        </w:r>
        <w:r w:rsidRPr="005F4483">
          <w:rPr>
            <w:rStyle w:val="Hyperlink"/>
            <w:noProof/>
            <w:vertAlign w:val="subscript"/>
          </w:rPr>
          <w:t>2</w:t>
        </w:r>
        <w:r w:rsidRPr="005F4483">
          <w:rPr>
            <w:rStyle w:val="Hyperlink"/>
            <w:noProof/>
          </w:rPr>
          <w:t>-eq</w:t>
        </w:r>
        <w:r>
          <w:rPr>
            <w:noProof/>
            <w:webHidden/>
          </w:rPr>
          <w:tab/>
        </w:r>
        <w:r>
          <w:rPr>
            <w:noProof/>
            <w:webHidden/>
          </w:rPr>
          <w:fldChar w:fldCharType="begin"/>
        </w:r>
        <w:r>
          <w:rPr>
            <w:noProof/>
            <w:webHidden/>
          </w:rPr>
          <w:instrText xml:space="preserve"> PAGEREF _Toc44510702 \h </w:instrText>
        </w:r>
        <w:r>
          <w:rPr>
            <w:noProof/>
            <w:webHidden/>
          </w:rPr>
        </w:r>
        <w:r>
          <w:rPr>
            <w:noProof/>
            <w:webHidden/>
          </w:rPr>
          <w:fldChar w:fldCharType="separate"/>
        </w:r>
        <w:r>
          <w:rPr>
            <w:noProof/>
            <w:webHidden/>
          </w:rPr>
          <w:t>32</w:t>
        </w:r>
        <w:r>
          <w:rPr>
            <w:noProof/>
            <w:webHidden/>
          </w:rPr>
          <w:fldChar w:fldCharType="end"/>
        </w:r>
      </w:hyperlink>
    </w:p>
    <w:p w14:paraId="0B3E473D" w14:textId="09B94F44" w:rsidR="001142D0" w:rsidRDefault="001142D0">
      <w:pPr>
        <w:pStyle w:val="TableofFigures"/>
        <w:tabs>
          <w:tab w:val="right" w:leader="dot" w:pos="9350"/>
        </w:tabs>
        <w:rPr>
          <w:rFonts w:asciiTheme="minorHAnsi" w:hAnsiTheme="minorHAnsi"/>
          <w:noProof/>
          <w:lang w:eastAsia="en-US"/>
        </w:rPr>
      </w:pPr>
      <w:hyperlink w:anchor="_Toc44510703" w:history="1">
        <w:r w:rsidRPr="005F4483">
          <w:rPr>
            <w:rStyle w:val="Hyperlink"/>
            <w:noProof/>
          </w:rPr>
          <w:t>Table 3.4 Financial Impacts</w:t>
        </w:r>
        <w:r>
          <w:rPr>
            <w:noProof/>
            <w:webHidden/>
          </w:rPr>
          <w:tab/>
        </w:r>
        <w:r>
          <w:rPr>
            <w:noProof/>
            <w:webHidden/>
          </w:rPr>
          <w:fldChar w:fldCharType="begin"/>
        </w:r>
        <w:r>
          <w:rPr>
            <w:noProof/>
            <w:webHidden/>
          </w:rPr>
          <w:instrText xml:space="preserve"> PAGEREF _Toc44510703 \h </w:instrText>
        </w:r>
        <w:r>
          <w:rPr>
            <w:noProof/>
            <w:webHidden/>
          </w:rPr>
        </w:r>
        <w:r>
          <w:rPr>
            <w:noProof/>
            <w:webHidden/>
          </w:rPr>
          <w:fldChar w:fldCharType="separate"/>
        </w:r>
        <w:r>
          <w:rPr>
            <w:noProof/>
            <w:webHidden/>
          </w:rPr>
          <w:t>33</w:t>
        </w:r>
        <w:r>
          <w:rPr>
            <w:noProof/>
            <w:webHidden/>
          </w:rPr>
          <w:fldChar w:fldCharType="end"/>
        </w:r>
      </w:hyperlink>
    </w:p>
    <w:p w14:paraId="6F3FA9FA" w14:textId="5DBB2CCD" w:rsidR="001142D0" w:rsidRDefault="001142D0">
      <w:pPr>
        <w:pStyle w:val="TableofFigures"/>
        <w:tabs>
          <w:tab w:val="right" w:leader="dot" w:pos="9350"/>
        </w:tabs>
        <w:rPr>
          <w:rFonts w:asciiTheme="minorHAnsi" w:hAnsiTheme="minorHAnsi"/>
          <w:noProof/>
          <w:lang w:eastAsia="en-US"/>
        </w:rPr>
      </w:pPr>
      <w:hyperlink w:anchor="_Toc44510704" w:history="1">
        <w:r w:rsidRPr="005F4483">
          <w:rPr>
            <w:rStyle w:val="Hyperlink"/>
            <w:noProof/>
          </w:rPr>
          <w:t>Table 4.1 Benchmarks (Heat produced)</w:t>
        </w:r>
        <w:r>
          <w:rPr>
            <w:noProof/>
            <w:webHidden/>
          </w:rPr>
          <w:tab/>
        </w:r>
        <w:r>
          <w:rPr>
            <w:noProof/>
            <w:webHidden/>
          </w:rPr>
          <w:fldChar w:fldCharType="begin"/>
        </w:r>
        <w:r>
          <w:rPr>
            <w:noProof/>
            <w:webHidden/>
          </w:rPr>
          <w:instrText xml:space="preserve"> PAGEREF _Toc44510704 \h </w:instrText>
        </w:r>
        <w:r>
          <w:rPr>
            <w:noProof/>
            <w:webHidden/>
          </w:rPr>
        </w:r>
        <w:r>
          <w:rPr>
            <w:noProof/>
            <w:webHidden/>
          </w:rPr>
          <w:fldChar w:fldCharType="separate"/>
        </w:r>
        <w:r>
          <w:rPr>
            <w:noProof/>
            <w:webHidden/>
          </w:rPr>
          <w:t>36</w:t>
        </w:r>
        <w:r>
          <w:rPr>
            <w:noProof/>
            <w:webHidden/>
          </w:rPr>
          <w:fldChar w:fldCharType="end"/>
        </w:r>
      </w:hyperlink>
    </w:p>
    <w:p w14:paraId="7868CC36" w14:textId="6697F041" w:rsidR="001142D0" w:rsidRDefault="001142D0">
      <w:pPr>
        <w:pStyle w:val="TableofFigures"/>
        <w:tabs>
          <w:tab w:val="right" w:leader="dot" w:pos="9350"/>
        </w:tabs>
        <w:rPr>
          <w:rFonts w:asciiTheme="minorHAnsi" w:hAnsiTheme="minorHAnsi"/>
          <w:noProof/>
          <w:lang w:eastAsia="en-US"/>
        </w:rPr>
      </w:pPr>
      <w:hyperlink w:anchor="_Toc44510705" w:history="1">
        <w:r w:rsidRPr="005F4483">
          <w:rPr>
            <w:rStyle w:val="Hyperlink"/>
            <w:noProof/>
          </w:rPr>
          <w:t>Table 4.2 Emissions Benchmarks</w:t>
        </w:r>
        <w:r>
          <w:rPr>
            <w:noProof/>
            <w:webHidden/>
          </w:rPr>
          <w:tab/>
        </w:r>
        <w:r>
          <w:rPr>
            <w:noProof/>
            <w:webHidden/>
          </w:rPr>
          <w:fldChar w:fldCharType="begin"/>
        </w:r>
        <w:r>
          <w:rPr>
            <w:noProof/>
            <w:webHidden/>
          </w:rPr>
          <w:instrText xml:space="preserve"> PAGEREF _Toc44510705 \h </w:instrText>
        </w:r>
        <w:r>
          <w:rPr>
            <w:noProof/>
            <w:webHidden/>
          </w:rPr>
        </w:r>
        <w:r>
          <w:rPr>
            <w:noProof/>
            <w:webHidden/>
          </w:rPr>
          <w:fldChar w:fldCharType="separate"/>
        </w:r>
        <w:r>
          <w:rPr>
            <w:noProof/>
            <w:webHidden/>
          </w:rPr>
          <w:t>37</w:t>
        </w:r>
        <w:r>
          <w:rPr>
            <w:noProof/>
            <w:webHidden/>
          </w:rPr>
          <w:fldChar w:fldCharType="end"/>
        </w:r>
      </w:hyperlink>
    </w:p>
    <w:p w14:paraId="59531BD3" w14:textId="17672294" w:rsidR="006A4A08" w:rsidRPr="00177418" w:rsidRDefault="006A4A08" w:rsidP="00E07370">
      <w:r w:rsidRPr="00177418">
        <w:fldChar w:fldCharType="end"/>
      </w:r>
    </w:p>
    <w:p w14:paraId="4825AD3F" w14:textId="40954F23" w:rsidR="00640665" w:rsidRPr="00177418" w:rsidRDefault="00640665" w:rsidP="00E07370">
      <w:pPr>
        <w:rPr>
          <w:rFonts w:asciiTheme="majorHAnsi" w:eastAsiaTheme="majorEastAsia" w:hAnsiTheme="majorHAnsi" w:cstheme="majorBidi"/>
          <w:color w:val="000000" w:themeColor="text1"/>
          <w:sz w:val="36"/>
          <w:szCs w:val="36"/>
        </w:rPr>
      </w:pPr>
      <w:r w:rsidRPr="00177418">
        <w:br w:type="page"/>
      </w:r>
    </w:p>
    <w:p w14:paraId="314CD877" w14:textId="0A90708E" w:rsidR="00FA6897" w:rsidRPr="00177418" w:rsidRDefault="2D56E7D4" w:rsidP="00FA2088">
      <w:pPr>
        <w:pStyle w:val="Heading1"/>
        <w:numPr>
          <w:ilvl w:val="0"/>
          <w:numId w:val="0"/>
        </w:numPr>
        <w:ind w:left="432" w:hanging="432"/>
      </w:pPr>
      <w:bookmarkStart w:id="4" w:name="_Toc44510647"/>
      <w:r w:rsidRPr="00177418">
        <w:lastRenderedPageBreak/>
        <w:t>Acronyms and Symbols Used</w:t>
      </w:r>
      <w:bookmarkEnd w:id="4"/>
    </w:p>
    <w:p w14:paraId="03EFB516" w14:textId="4556AE14" w:rsidR="001C1E53" w:rsidRDefault="001C1E53" w:rsidP="00E07370">
      <w:pPr>
        <w:rPr>
          <w:b/>
        </w:rPr>
      </w:pPr>
      <w:r>
        <w:rPr>
          <w:b/>
        </w:rPr>
        <w:t xml:space="preserve">AMPERE – </w:t>
      </w:r>
      <w:r w:rsidRPr="003B30E8">
        <w:t>Assessment of Climate Change Mitigation Pathways and Evaluation of the Robustness of Mitigation Cost Estimates</w:t>
      </w:r>
      <w:r>
        <w:t xml:space="preserve"> (Project</w:t>
      </w:r>
      <w:r w:rsidR="008C5096">
        <w:t xml:space="preserve"> of the EU</w:t>
      </w:r>
      <w:r>
        <w:t>)</w:t>
      </w:r>
    </w:p>
    <w:p w14:paraId="2C8C7503" w14:textId="0E026483" w:rsidR="008436EA" w:rsidRDefault="008436EA" w:rsidP="00E07370">
      <w:r w:rsidRPr="00177418">
        <w:rPr>
          <w:b/>
        </w:rPr>
        <w:t xml:space="preserve">DOE </w:t>
      </w:r>
      <w:r w:rsidRPr="00177418">
        <w:t>–</w:t>
      </w:r>
      <w:r w:rsidR="00F9615F">
        <w:t xml:space="preserve"> </w:t>
      </w:r>
      <w:r w:rsidRPr="00177418">
        <w:t>Department of Energy</w:t>
      </w:r>
      <w:r w:rsidR="00F9615F">
        <w:t xml:space="preserve"> (of the US)</w:t>
      </w:r>
    </w:p>
    <w:p w14:paraId="139D606F" w14:textId="0F667DC4" w:rsidR="00F9615F" w:rsidRPr="00177418" w:rsidRDefault="00F9615F" w:rsidP="00E07370">
      <w:r w:rsidRPr="003B30E8">
        <w:rPr>
          <w:b/>
        </w:rPr>
        <w:t>DSHWS</w:t>
      </w:r>
      <w:r>
        <w:t xml:space="preserve"> – </w:t>
      </w:r>
      <w:r w:rsidRPr="00177418">
        <w:t>Domestic Solar Hot Water System</w:t>
      </w:r>
      <w:r>
        <w:t>s</w:t>
      </w:r>
    </w:p>
    <w:p w14:paraId="5D835153" w14:textId="712AF9F8" w:rsidR="008436EA" w:rsidRPr="00177418" w:rsidRDefault="008436EA" w:rsidP="00E07370">
      <w:r w:rsidRPr="00177418">
        <w:rPr>
          <w:b/>
        </w:rPr>
        <w:t xml:space="preserve">EIA </w:t>
      </w:r>
      <w:r w:rsidRPr="00177418">
        <w:t>– Energy Information Administration</w:t>
      </w:r>
      <w:r w:rsidR="00260F6C">
        <w:t xml:space="preserve"> (of the US)</w:t>
      </w:r>
    </w:p>
    <w:p w14:paraId="1DC53BE9" w14:textId="3C426E75" w:rsidR="001848B2" w:rsidRDefault="001848B2" w:rsidP="00E07370">
      <w:r w:rsidRPr="00177418">
        <w:rPr>
          <w:b/>
        </w:rPr>
        <w:t xml:space="preserve">ETP </w:t>
      </w:r>
      <w:r w:rsidRPr="00177418">
        <w:t>– Energy Technology Perspectives</w:t>
      </w:r>
    </w:p>
    <w:p w14:paraId="5B946109" w14:textId="0AF6BFD7" w:rsidR="00910BAD" w:rsidRPr="00177418" w:rsidRDefault="00910BAD" w:rsidP="00E07370">
      <w:r>
        <w:rPr>
          <w:b/>
        </w:rPr>
        <w:t xml:space="preserve">GBPN </w:t>
      </w:r>
      <w:r>
        <w:t>– Global Buildings Performance Network</w:t>
      </w:r>
    </w:p>
    <w:p w14:paraId="6E3BE2D0" w14:textId="77777777" w:rsidR="008436EA" w:rsidRPr="00177418" w:rsidRDefault="008436EA" w:rsidP="00E07370">
      <w:r w:rsidRPr="00177418">
        <w:rPr>
          <w:b/>
        </w:rPr>
        <w:t xml:space="preserve">IEA </w:t>
      </w:r>
      <w:r w:rsidRPr="00177418">
        <w:t>– International Energy Agency</w:t>
      </w:r>
    </w:p>
    <w:p w14:paraId="6903471F" w14:textId="6F1ACE70" w:rsidR="008436EA" w:rsidRDefault="008436EA" w:rsidP="00E07370">
      <w:r w:rsidRPr="00177418">
        <w:rPr>
          <w:b/>
        </w:rPr>
        <w:t xml:space="preserve">IPCC </w:t>
      </w:r>
      <w:r w:rsidRPr="00177418">
        <w:t>– Intergovernmental Panel on Climate Change</w:t>
      </w:r>
    </w:p>
    <w:p w14:paraId="726E87A9" w14:textId="68CE3AB6" w:rsidR="00910BAD" w:rsidRPr="00177418" w:rsidRDefault="00910BAD" w:rsidP="00E07370">
      <w:r>
        <w:rPr>
          <w:b/>
        </w:rPr>
        <w:t xml:space="preserve">IRENA </w:t>
      </w:r>
      <w:r>
        <w:t>– International Renewable Energy Agency</w:t>
      </w:r>
    </w:p>
    <w:p w14:paraId="6D12C927" w14:textId="0DDABAFF" w:rsidR="008436EA" w:rsidRDefault="008436EA" w:rsidP="00E07370">
      <w:r w:rsidRPr="00177418">
        <w:rPr>
          <w:b/>
        </w:rPr>
        <w:t xml:space="preserve">NPV </w:t>
      </w:r>
      <w:r w:rsidRPr="00177418">
        <w:t>– Net Present Value</w:t>
      </w:r>
    </w:p>
    <w:p w14:paraId="1B447239" w14:textId="7A5E52DB" w:rsidR="00F9615F" w:rsidRPr="00177418" w:rsidRDefault="00F9615F" w:rsidP="00E07370">
      <w:r>
        <w:rPr>
          <w:b/>
        </w:rPr>
        <w:t xml:space="preserve">NREL </w:t>
      </w:r>
      <w:r>
        <w:t>– National Renewable Energy Laboratory (of the US)</w:t>
      </w:r>
    </w:p>
    <w:p w14:paraId="04BBDE93" w14:textId="77777777" w:rsidR="008436EA" w:rsidRPr="00177418" w:rsidRDefault="008436EA" w:rsidP="00E07370">
      <w:r w:rsidRPr="00177418">
        <w:rPr>
          <w:b/>
        </w:rPr>
        <w:t xml:space="preserve">PDS </w:t>
      </w:r>
      <w:r w:rsidRPr="00177418">
        <w:t>– Project Drawdown Scenario</w:t>
      </w:r>
    </w:p>
    <w:p w14:paraId="36565531" w14:textId="1B738F11" w:rsidR="008436EA" w:rsidRDefault="008436EA" w:rsidP="00E07370">
      <w:r w:rsidRPr="00177418">
        <w:rPr>
          <w:b/>
        </w:rPr>
        <w:t xml:space="preserve">REF </w:t>
      </w:r>
      <w:r w:rsidRPr="00177418">
        <w:t>– Reference</w:t>
      </w:r>
      <w:r w:rsidR="00910BAD">
        <w:t xml:space="preserve"> Scenario</w:t>
      </w:r>
    </w:p>
    <w:p w14:paraId="3B444E24" w14:textId="34199BC6" w:rsidR="001C1E53" w:rsidRDefault="001C1E53" w:rsidP="00E07370">
      <w:r>
        <w:rPr>
          <w:b/>
        </w:rPr>
        <w:t xml:space="preserve">RefPol </w:t>
      </w:r>
      <w:r>
        <w:t>– The Reference Policy Scenario</w:t>
      </w:r>
    </w:p>
    <w:p w14:paraId="3972D1BD" w14:textId="1871F862" w:rsidR="00910BAD" w:rsidRPr="00177418" w:rsidRDefault="00910BAD" w:rsidP="00E07370">
      <w:r>
        <w:rPr>
          <w:b/>
        </w:rPr>
        <w:t xml:space="preserve">REN21 </w:t>
      </w:r>
      <w:r>
        <w:t>– The Renewable Energy Policy Network for the 21</w:t>
      </w:r>
      <w:r w:rsidRPr="001D1186">
        <w:rPr>
          <w:vertAlign w:val="superscript"/>
        </w:rPr>
        <w:t>st</w:t>
      </w:r>
      <w:r>
        <w:t xml:space="preserve"> Century</w:t>
      </w:r>
    </w:p>
    <w:p w14:paraId="447F085D" w14:textId="127BEFF4" w:rsidR="008436EA" w:rsidRPr="00177418" w:rsidRDefault="008436EA" w:rsidP="00E07370">
      <w:r w:rsidRPr="00177418">
        <w:rPr>
          <w:b/>
        </w:rPr>
        <w:t xml:space="preserve">RRS </w:t>
      </w:r>
      <w:r w:rsidRPr="00177418">
        <w:t xml:space="preserve">– Reduction and Replacement Solutions </w:t>
      </w:r>
      <w:r w:rsidR="00260F6C">
        <w:t>(Model of Project Drawdown)</w:t>
      </w:r>
    </w:p>
    <w:p w14:paraId="7C1D9EC2" w14:textId="31D10AD9" w:rsidR="001848B2" w:rsidRPr="00177418" w:rsidRDefault="001848B2" w:rsidP="00E07370">
      <w:r w:rsidRPr="00177418">
        <w:rPr>
          <w:b/>
        </w:rPr>
        <w:t xml:space="preserve">SHC </w:t>
      </w:r>
      <w:r w:rsidRPr="00177418">
        <w:t>– Solar Heating and Cooling Programme (of the IEA)</w:t>
      </w:r>
    </w:p>
    <w:p w14:paraId="192A3FD8" w14:textId="6C142942" w:rsidR="008436EA" w:rsidRDefault="008436EA" w:rsidP="00E07370">
      <w:r w:rsidRPr="00177418">
        <w:rPr>
          <w:b/>
        </w:rPr>
        <w:t xml:space="preserve">SHW – </w:t>
      </w:r>
      <w:r w:rsidRPr="00177418">
        <w:t xml:space="preserve">Solar Hot Water </w:t>
      </w:r>
    </w:p>
    <w:p w14:paraId="5C7FAA15" w14:textId="760B9558" w:rsidR="008D5FED" w:rsidRDefault="008D5FED" w:rsidP="00E07370">
      <w:r>
        <w:rPr>
          <w:b/>
        </w:rPr>
        <w:t>SHWS –</w:t>
      </w:r>
      <w:r>
        <w:t xml:space="preserve"> Solar Hot Water Systems</w:t>
      </w:r>
    </w:p>
    <w:p w14:paraId="356D506C" w14:textId="703B2232" w:rsidR="007F0A22" w:rsidRPr="00177418" w:rsidRDefault="007F0A22" w:rsidP="00E07370">
      <w:r w:rsidRPr="007F0A22">
        <w:rPr>
          <w:b/>
        </w:rPr>
        <w:t>SWH</w:t>
      </w:r>
      <w:r>
        <w:t xml:space="preserve"> – Solar Water Heating</w:t>
      </w:r>
    </w:p>
    <w:p w14:paraId="04DFF686" w14:textId="41B2647B" w:rsidR="008436EA" w:rsidRDefault="008436EA" w:rsidP="00E07370">
      <w:r w:rsidRPr="00177418">
        <w:rPr>
          <w:b/>
        </w:rPr>
        <w:t xml:space="preserve">TAM </w:t>
      </w:r>
      <w:r w:rsidRPr="00177418">
        <w:t>– Total Addressable Market</w:t>
      </w:r>
    </w:p>
    <w:p w14:paraId="73C59314" w14:textId="28B9E84C" w:rsidR="00F9615F" w:rsidRPr="00177418" w:rsidRDefault="00F9615F" w:rsidP="00E07370">
      <w:r>
        <w:rPr>
          <w:b/>
        </w:rPr>
        <w:t xml:space="preserve">WBDG </w:t>
      </w:r>
      <w:r>
        <w:t>– World Building Design Guide</w:t>
      </w:r>
    </w:p>
    <w:p w14:paraId="25BC328C" w14:textId="49FC3454" w:rsidR="00FB2C53" w:rsidRPr="00177418" w:rsidRDefault="00FB2C53" w:rsidP="00E07370">
      <w:r w:rsidRPr="00177418">
        <w:br w:type="page"/>
      </w:r>
    </w:p>
    <w:p w14:paraId="258D1C7E" w14:textId="73E7FC05" w:rsidR="00E844EA" w:rsidRPr="00177418" w:rsidRDefault="551A77D0" w:rsidP="00FA2088">
      <w:pPr>
        <w:pStyle w:val="Heading1"/>
        <w:numPr>
          <w:ilvl w:val="0"/>
          <w:numId w:val="0"/>
        </w:numPr>
        <w:ind w:left="432" w:hanging="432"/>
      </w:pPr>
      <w:bookmarkStart w:id="5" w:name="_Toc44510648"/>
      <w:r w:rsidRPr="00177418">
        <w:lastRenderedPageBreak/>
        <w:t>Executive Summary</w:t>
      </w:r>
      <w:bookmarkEnd w:id="5"/>
    </w:p>
    <w:p w14:paraId="2E24A5BF" w14:textId="34EEF816" w:rsidR="008A73FA" w:rsidRPr="00177418" w:rsidRDefault="008A73FA" w:rsidP="00E07370">
      <w:r w:rsidRPr="00177418">
        <w:t>Residential solar water heat</w:t>
      </w:r>
      <w:r w:rsidR="00CD027B" w:rsidRPr="00177418">
        <w:t xml:space="preserve">ers are </w:t>
      </w:r>
      <w:r w:rsidRPr="00177418">
        <w:t>a mature technology</w:t>
      </w:r>
      <w:r w:rsidR="006905C6" w:rsidRPr="00177418">
        <w:t xml:space="preserve"> </w:t>
      </w:r>
      <w:r w:rsidRPr="00177418">
        <w:t>that</w:t>
      </w:r>
      <w:r w:rsidR="002B73B4" w:rsidRPr="00177418">
        <w:t xml:space="preserve"> </w:t>
      </w:r>
      <w:r w:rsidR="00CA5156" w:rsidRPr="00177418">
        <w:t xml:space="preserve">has </w:t>
      </w:r>
      <w:r w:rsidRPr="00177418">
        <w:t xml:space="preserve">been around since the 1960s. </w:t>
      </w:r>
      <w:r w:rsidR="00F07D61">
        <w:t>It heats</w:t>
      </w:r>
      <w:r w:rsidR="006905C6" w:rsidRPr="00177418">
        <w:t xml:space="preserve"> water using thermal energy from the sun. </w:t>
      </w:r>
      <w:r w:rsidRPr="00177418">
        <w:t xml:space="preserve">Despite this technology contributing to only a small fraction of the world’s </w:t>
      </w:r>
      <w:r w:rsidR="00ED5310">
        <w:t xml:space="preserve">current </w:t>
      </w:r>
      <w:r w:rsidRPr="00177418">
        <w:t xml:space="preserve">hot water demand, in countries such as Cyprus and Israel, favorable government policies have enabled penetration of this technology to </w:t>
      </w:r>
      <w:r w:rsidR="004C3D0C" w:rsidRPr="00177418">
        <w:t>80-90%</w:t>
      </w:r>
      <w:r w:rsidRPr="00177418">
        <w:t xml:space="preserve">. This is a hopeful sign for other countries that </w:t>
      </w:r>
      <w:r w:rsidR="00ED5310">
        <w:t>c</w:t>
      </w:r>
      <w:r w:rsidRPr="00177418">
        <w:t>ould greatly benefit from this technology. This report lays out the climate and financial benefits of optimistic adoption</w:t>
      </w:r>
      <w:r w:rsidR="00C40F03" w:rsidRPr="00177418">
        <w:t>s</w:t>
      </w:r>
      <w:r w:rsidRPr="00177418">
        <w:t xml:space="preserve"> of roof-top solar water heating versus </w:t>
      </w:r>
      <w:r w:rsidR="00C40F03" w:rsidRPr="00177418">
        <w:t>a reference</w:t>
      </w:r>
      <w:r w:rsidRPr="00177418">
        <w:t xml:space="preserve"> scenario.</w:t>
      </w:r>
    </w:p>
    <w:p w14:paraId="03123780" w14:textId="3BC14E8F" w:rsidR="008A73FA" w:rsidRPr="00177418" w:rsidRDefault="008A73FA" w:rsidP="00E07370">
      <w:r w:rsidRPr="00177418">
        <w:t xml:space="preserve">Using data mainly from the </w:t>
      </w:r>
      <w:r w:rsidR="0070280F" w:rsidRPr="00177418">
        <w:t>International Energy Agency (</w:t>
      </w:r>
      <w:r w:rsidRPr="00177418">
        <w:t>IEA</w:t>
      </w:r>
      <w:r w:rsidR="0070280F" w:rsidRPr="00177418">
        <w:t>)</w:t>
      </w:r>
      <w:r w:rsidRPr="00177418">
        <w:t xml:space="preserve"> Solar Heating and Cooling Report </w:t>
      </w:r>
      <w:r w:rsidR="004A1D43">
        <w:t>(</w:t>
      </w:r>
      <w:r w:rsidRPr="00177418">
        <w:t>2012</w:t>
      </w:r>
      <w:r w:rsidR="004A1D43">
        <w:t>)</w:t>
      </w:r>
      <w:r w:rsidRPr="00177418">
        <w:t xml:space="preserve">, </w:t>
      </w:r>
      <w:r w:rsidR="003B536D">
        <w:t>IEA’s</w:t>
      </w:r>
      <w:r w:rsidRPr="00177418">
        <w:t xml:space="preserve"> Solar Heat World Wide 2015</w:t>
      </w:r>
      <w:r w:rsidR="00C56305" w:rsidRPr="00177418">
        <w:t xml:space="preserve"> and</w:t>
      </w:r>
      <w:r w:rsidR="00AB58F3" w:rsidRPr="00177418">
        <w:t xml:space="preserve"> 2018</w:t>
      </w:r>
      <w:r w:rsidRPr="00177418">
        <w:t xml:space="preserve"> report</w:t>
      </w:r>
      <w:r w:rsidR="00AB58F3" w:rsidRPr="00177418">
        <w:t>s</w:t>
      </w:r>
      <w:r w:rsidRPr="00177418">
        <w:t>, as well as the Renewables 2012</w:t>
      </w:r>
      <w:r w:rsidR="00C56305" w:rsidRPr="00177418">
        <w:t xml:space="preserve"> and 2018</w:t>
      </w:r>
      <w:r w:rsidRPr="00177418">
        <w:t xml:space="preserve"> Global Status Outlook, Project Drawdown’s Reduction and Replacement Solutions (RRS) model framework </w:t>
      </w:r>
      <w:r w:rsidR="00F07D61">
        <w:t>estimate</w:t>
      </w:r>
      <w:r w:rsidR="00ED5310">
        <w:t>s</w:t>
      </w:r>
      <w:r w:rsidR="00F07D61" w:rsidRPr="00177418">
        <w:t xml:space="preserve"> </w:t>
      </w:r>
      <w:r w:rsidRPr="00177418">
        <w:t xml:space="preserve">the </w:t>
      </w:r>
      <w:r w:rsidR="00562BD8" w:rsidRPr="00177418">
        <w:t>climate</w:t>
      </w:r>
      <w:r w:rsidRPr="00177418">
        <w:t xml:space="preserve"> and cost impacts of increased global adoption of residential solar water heaters. </w:t>
      </w:r>
      <w:r w:rsidR="00C56305" w:rsidRPr="00177418">
        <w:t>T</w:t>
      </w:r>
      <w:r w:rsidRPr="00177418">
        <w:t xml:space="preserve">he global adoption of solar water heaters </w:t>
      </w:r>
      <w:r w:rsidR="00E52922">
        <w:t>was</w:t>
      </w:r>
      <w:r w:rsidRPr="00177418">
        <w:t xml:space="preserve"> </w:t>
      </w:r>
      <w:r w:rsidR="002B73B4" w:rsidRPr="00177418">
        <w:t xml:space="preserve">at </w:t>
      </w:r>
      <w:r w:rsidR="008735E5">
        <w:t>8</w:t>
      </w:r>
      <w:r w:rsidRPr="00177418">
        <w:t xml:space="preserve">% with </w:t>
      </w:r>
      <w:r w:rsidR="008735E5">
        <w:t>394</w:t>
      </w:r>
      <w:r w:rsidRPr="00177418">
        <w:t xml:space="preserve"> TWh in 201</w:t>
      </w:r>
      <w:r w:rsidR="008735E5">
        <w:t>8</w:t>
      </w:r>
      <w:r w:rsidR="00C56305" w:rsidRPr="00177418">
        <w:t>.</w:t>
      </w:r>
      <w:r w:rsidRPr="00177418">
        <w:t xml:space="preserve"> Given the potential of households around the world that could be potential </w:t>
      </w:r>
      <w:r w:rsidR="00E52922">
        <w:t xml:space="preserve">adoption </w:t>
      </w:r>
      <w:r w:rsidRPr="00177418">
        <w:t xml:space="preserve">sites for this technology, it is possible that in the next 30 years, global adoption </w:t>
      </w:r>
      <w:r w:rsidR="004A1D43">
        <w:t>increases by 15</w:t>
      </w:r>
      <w:r w:rsidRPr="00177418">
        <w:t>%</w:t>
      </w:r>
      <w:r w:rsidR="00562BD8" w:rsidRPr="00177418">
        <w:t xml:space="preserve"> to </w:t>
      </w:r>
      <w:r w:rsidR="004A1D43">
        <w:t>5</w:t>
      </w:r>
      <w:r w:rsidR="00562BD8" w:rsidRPr="00177418">
        <w:t>0%</w:t>
      </w:r>
      <w:r w:rsidRPr="00177418">
        <w:t xml:space="preserve"> of the total addressable market</w:t>
      </w:r>
      <w:r w:rsidR="00E52922">
        <w:t xml:space="preserve"> (TAM)</w:t>
      </w:r>
      <w:r w:rsidRPr="00177418">
        <w:t xml:space="preserve">. The </w:t>
      </w:r>
      <w:r w:rsidR="00332B51" w:rsidRPr="00177418">
        <w:t xml:space="preserve">TAM </w:t>
      </w:r>
      <w:r w:rsidRPr="00177418">
        <w:t>was derived from projections</w:t>
      </w:r>
      <w:r w:rsidR="00C16FC3">
        <w:t xml:space="preserve"> made by using IEA </w:t>
      </w:r>
      <w:r w:rsidR="004B6985">
        <w:t>data for adoption potential</w:t>
      </w:r>
      <w:r w:rsidRPr="00177418">
        <w:t>.</w:t>
      </w:r>
    </w:p>
    <w:p w14:paraId="0B5A59C8" w14:textId="3831863A" w:rsidR="00E11836" w:rsidRPr="00177418" w:rsidRDefault="008A73FA" w:rsidP="00E07370">
      <w:r w:rsidRPr="00177418">
        <w:t>The environmental impacts of such an adoption involves a maximum annual emissions reduction of 0.</w:t>
      </w:r>
      <w:r w:rsidR="00BE2638">
        <w:t>2</w:t>
      </w:r>
      <w:r w:rsidR="00C255C6" w:rsidRPr="00177418">
        <w:t xml:space="preserve"> to </w:t>
      </w:r>
      <w:r w:rsidR="00714D80">
        <w:t>1</w:t>
      </w:r>
      <w:r w:rsidRPr="00177418">
        <w:t xml:space="preserve"> Gt CO</w:t>
      </w:r>
      <w:r w:rsidRPr="00177418">
        <w:rPr>
          <w:vertAlign w:val="subscript"/>
        </w:rPr>
        <w:t>2</w:t>
      </w:r>
      <w:r w:rsidRPr="00177418">
        <w:t>/year</w:t>
      </w:r>
      <w:r w:rsidR="00C255C6" w:rsidRPr="00177418">
        <w:t xml:space="preserve"> </w:t>
      </w:r>
      <w:r w:rsidRPr="00177418">
        <w:t xml:space="preserve">with a </w:t>
      </w:r>
      <w:r w:rsidRPr="00E52922">
        <w:t>total cumulative CO</w:t>
      </w:r>
      <w:r w:rsidRPr="00E52922">
        <w:rPr>
          <w:vertAlign w:val="subscript"/>
        </w:rPr>
        <w:t>2</w:t>
      </w:r>
      <w:r w:rsidRPr="00E52922">
        <w:t xml:space="preserve"> reduction of</w:t>
      </w:r>
      <w:r w:rsidR="001D5057" w:rsidRPr="00CB4CD6">
        <w:t xml:space="preserve"> </w:t>
      </w:r>
      <w:r w:rsidR="008735E5">
        <w:t>3.6</w:t>
      </w:r>
      <w:r w:rsidRPr="00E52922">
        <w:t xml:space="preserve"> </w:t>
      </w:r>
      <w:r w:rsidR="00C255C6" w:rsidRPr="00E52922">
        <w:t xml:space="preserve">to </w:t>
      </w:r>
      <w:r w:rsidR="00714D80">
        <w:t>2</w:t>
      </w:r>
      <w:r w:rsidR="008735E5">
        <w:t>7</w:t>
      </w:r>
      <w:r w:rsidR="00C255C6" w:rsidRPr="00E52922">
        <w:t xml:space="preserve"> </w:t>
      </w:r>
      <w:r w:rsidRPr="00E52922">
        <w:t>Gt</w:t>
      </w:r>
      <w:r w:rsidR="0017574B" w:rsidRPr="008B62A1">
        <w:rPr>
          <w:rFonts w:cstheme="minorHAnsi"/>
          <w:bCs/>
          <w:i/>
          <w:color w:val="000000" w:themeColor="text1"/>
          <w:lang w:eastAsia="zh-CN"/>
        </w:rPr>
        <w:t xml:space="preserve"> </w:t>
      </w:r>
      <w:r w:rsidR="0017574B" w:rsidRPr="008B62A1">
        <w:rPr>
          <w:rFonts w:cstheme="minorHAnsi"/>
          <w:bCs/>
          <w:color w:val="000000" w:themeColor="text1"/>
          <w:lang w:eastAsia="zh-CN"/>
        </w:rPr>
        <w:t>CO</w:t>
      </w:r>
      <w:r w:rsidR="0017574B" w:rsidRPr="008B62A1">
        <w:rPr>
          <w:rFonts w:cstheme="minorHAnsi"/>
          <w:bCs/>
          <w:color w:val="000000" w:themeColor="text1"/>
          <w:vertAlign w:val="subscript"/>
          <w:lang w:eastAsia="zh-CN"/>
        </w:rPr>
        <w:t>2</w:t>
      </w:r>
      <w:r w:rsidR="0017574B" w:rsidRPr="008B62A1">
        <w:rPr>
          <w:rFonts w:cstheme="minorHAnsi"/>
          <w:bCs/>
          <w:color w:val="000000" w:themeColor="text1"/>
          <w:lang w:eastAsia="zh-CN"/>
        </w:rPr>
        <w:t>-eq</w:t>
      </w:r>
      <w:r w:rsidR="00714D80">
        <w:rPr>
          <w:rFonts w:cstheme="minorHAnsi"/>
          <w:bCs/>
          <w:color w:val="000000" w:themeColor="text1"/>
          <w:lang w:eastAsia="zh-CN"/>
        </w:rPr>
        <w:t xml:space="preserve"> (depending on scenario)</w:t>
      </w:r>
      <w:r w:rsidR="0017574B" w:rsidRPr="008B62A1">
        <w:rPr>
          <w:rFonts w:cstheme="minorHAnsi"/>
          <w:bCs/>
          <w:i/>
          <w:color w:val="000000" w:themeColor="text1"/>
          <w:lang w:eastAsia="zh-CN"/>
        </w:rPr>
        <w:t>.</w:t>
      </w:r>
      <w:r w:rsidR="0017574B">
        <w:t xml:space="preserve"> </w:t>
      </w:r>
      <w:r w:rsidRPr="00177418">
        <w:t xml:space="preserve">This is a result of adding </w:t>
      </w:r>
      <w:r w:rsidR="0017574B">
        <w:t>0.</w:t>
      </w:r>
      <w:r w:rsidR="00BE2638">
        <w:t>42</w:t>
      </w:r>
      <w:r w:rsidR="00C255C6" w:rsidRPr="00177418">
        <w:t xml:space="preserve"> to </w:t>
      </w:r>
      <w:r w:rsidR="00714D80">
        <w:t>2.5</w:t>
      </w:r>
      <w:r w:rsidR="00C255C6" w:rsidRPr="00177418">
        <w:t xml:space="preserve"> </w:t>
      </w:r>
      <w:r w:rsidRPr="00177418">
        <w:t xml:space="preserve">TW of additional capacity by </w:t>
      </w:r>
      <w:r w:rsidR="00EF6E84" w:rsidRPr="00177418">
        <w:t>2050</w:t>
      </w:r>
      <w:r w:rsidRPr="00177418">
        <w:t>. These environmental benefits come at a cost of $</w:t>
      </w:r>
      <w:r w:rsidR="000B3980">
        <w:t>1.</w:t>
      </w:r>
      <w:r w:rsidR="00BE2638">
        <w:t>0</w:t>
      </w:r>
      <w:r w:rsidR="00C255C6" w:rsidRPr="00177418">
        <w:t xml:space="preserve"> to $</w:t>
      </w:r>
      <w:r w:rsidR="008735E5">
        <w:t>4.8</w:t>
      </w:r>
      <w:r w:rsidRPr="00177418">
        <w:t xml:space="preserve"> </w:t>
      </w:r>
      <w:r w:rsidR="00C255C6" w:rsidRPr="00177418">
        <w:t>tr</w:t>
      </w:r>
      <w:r w:rsidRPr="00177418">
        <w:t>illion in cumulative first costs and $</w:t>
      </w:r>
      <w:r w:rsidR="00BE2638">
        <w:t>0.7</w:t>
      </w:r>
      <w:r w:rsidR="00E85D75" w:rsidRPr="00177418">
        <w:t xml:space="preserve"> </w:t>
      </w:r>
      <w:r w:rsidR="00C255C6" w:rsidRPr="00177418">
        <w:t>to $</w:t>
      </w:r>
      <w:r w:rsidR="000B3980">
        <w:t>4</w:t>
      </w:r>
      <w:r w:rsidR="00714D80">
        <w:t>.</w:t>
      </w:r>
      <w:r w:rsidR="008735E5">
        <w:t>5</w:t>
      </w:r>
      <w:r w:rsidR="00E85D75" w:rsidRPr="00177418">
        <w:t xml:space="preserve"> </w:t>
      </w:r>
      <w:r w:rsidR="00C255C6" w:rsidRPr="00177418">
        <w:t>tr</w:t>
      </w:r>
      <w:r w:rsidRPr="00177418">
        <w:t xml:space="preserve">illion in marginal costs. </w:t>
      </w:r>
    </w:p>
    <w:p w14:paraId="581DADF2" w14:textId="33E1752B" w:rsidR="008A73FA" w:rsidRPr="00177418" w:rsidRDefault="008A73FA" w:rsidP="00E07370">
      <w:r w:rsidRPr="00177418">
        <w:t xml:space="preserve">Total lifetime cash flow savings </w:t>
      </w:r>
      <w:r w:rsidR="00C255C6" w:rsidRPr="00177418">
        <w:t>are</w:t>
      </w:r>
      <w:r w:rsidRPr="00177418">
        <w:t xml:space="preserve"> estimated to be </w:t>
      </w:r>
      <w:r w:rsidR="00C255C6" w:rsidRPr="00177418">
        <w:t>negative (</w:t>
      </w:r>
      <w:r w:rsidR="00BE2638" w:rsidRPr="00177418">
        <w:t>-$</w:t>
      </w:r>
      <w:r w:rsidR="00BE2638">
        <w:t>2.3</w:t>
      </w:r>
      <w:r w:rsidR="00BE2638" w:rsidRPr="00177418">
        <w:t xml:space="preserve"> trillion </w:t>
      </w:r>
      <w:r w:rsidR="00BE2638">
        <w:t xml:space="preserve"> to </w:t>
      </w:r>
      <w:r w:rsidR="00C255C6" w:rsidRPr="00177418">
        <w:t>-$</w:t>
      </w:r>
      <w:r w:rsidR="00BE2638">
        <w:t>334</w:t>
      </w:r>
      <w:r w:rsidR="00C255C6" w:rsidRPr="00177418">
        <w:t xml:space="preserve"> </w:t>
      </w:r>
      <w:r w:rsidR="00573434">
        <w:t>b</w:t>
      </w:r>
      <w:r w:rsidR="00C255C6" w:rsidRPr="00177418">
        <w:t>illion)</w:t>
      </w:r>
      <w:r w:rsidR="001E164C">
        <w:t xml:space="preserve">, </w:t>
      </w:r>
      <w:r w:rsidR="00BE2638">
        <w:t>and</w:t>
      </w:r>
      <w:r w:rsidR="00C255C6" w:rsidRPr="00177418">
        <w:t xml:space="preserve"> </w:t>
      </w:r>
      <w:r w:rsidR="00573434">
        <w:t xml:space="preserve">net </w:t>
      </w:r>
      <w:r w:rsidR="001E164C">
        <w:t>o</w:t>
      </w:r>
      <w:r w:rsidR="00C255C6" w:rsidRPr="00177418">
        <w:t xml:space="preserve">perating savings are </w:t>
      </w:r>
      <w:r w:rsidR="00BE2638">
        <w:t>also negative owing to low fuel costs</w:t>
      </w:r>
      <w:r w:rsidR="00C255C6" w:rsidRPr="00177418">
        <w:t xml:space="preserve"> (</w:t>
      </w:r>
      <w:r w:rsidR="00BE2638">
        <w:t>-</w:t>
      </w:r>
      <w:r w:rsidR="00C255C6" w:rsidRPr="00177418">
        <w:t>$</w:t>
      </w:r>
      <w:r w:rsidR="00BE2638">
        <w:t>110</w:t>
      </w:r>
      <w:r w:rsidR="00C255C6" w:rsidRPr="00177418">
        <w:t xml:space="preserve"> </w:t>
      </w:r>
      <w:r w:rsidR="00BE2638">
        <w:t>to -</w:t>
      </w:r>
      <w:r w:rsidRPr="00177418">
        <w:t>$</w:t>
      </w:r>
      <w:r w:rsidR="00BE2638">
        <w:t xml:space="preserve">14 </w:t>
      </w:r>
      <w:r w:rsidR="00714D80">
        <w:t>b</w:t>
      </w:r>
      <w:r w:rsidR="00C255C6" w:rsidRPr="00177418">
        <w:t>illion)</w:t>
      </w:r>
      <w:r w:rsidRPr="00177418">
        <w:t xml:space="preserve">. </w:t>
      </w:r>
      <w:r w:rsidR="00C255C6" w:rsidRPr="00177418">
        <w:t>The model</w:t>
      </w:r>
      <w:r w:rsidRPr="00177418">
        <w:t xml:space="preserve"> assumes that solar water heaters (SHWs) will only serve as a supplemental technology and not replace electric </w:t>
      </w:r>
      <w:r w:rsidR="004B6985">
        <w:t xml:space="preserve">heaters </w:t>
      </w:r>
      <w:r w:rsidRPr="00177418">
        <w:t>and gas boilers. In the optimistic adoption scenario</w:t>
      </w:r>
      <w:r w:rsidR="001E164C">
        <w:t>s</w:t>
      </w:r>
      <w:r w:rsidRPr="00177418">
        <w:t xml:space="preserve">, it is assumed that the conventional </w:t>
      </w:r>
      <w:r w:rsidR="000B3980">
        <w:t>water heater</w:t>
      </w:r>
      <w:r w:rsidRPr="00177418">
        <w:t xml:space="preserve"> adoption will remain the same to cater to peak demand when the sun is not shining. However, solar water heating will cater to a greater percentage of water heating.</w:t>
      </w:r>
      <w:r w:rsidR="0011543A" w:rsidRPr="00177418">
        <w:t xml:space="preserve"> </w:t>
      </w:r>
      <w:r w:rsidR="003E4D2D">
        <w:t>T</w:t>
      </w:r>
      <w:r w:rsidR="0011543A" w:rsidRPr="00177418">
        <w:t>his</w:t>
      </w:r>
      <w:r w:rsidRPr="00177418">
        <w:t xml:space="preserve"> is purely a supplemental technology</w:t>
      </w:r>
      <w:r w:rsidR="003E4D2D">
        <w:t>, which is why</w:t>
      </w:r>
      <w:r w:rsidRPr="00177418">
        <w:t xml:space="preserve"> a negative NPV was obtained. </w:t>
      </w:r>
      <w:r w:rsidR="00E11836" w:rsidRPr="00177418">
        <w:t>D</w:t>
      </w:r>
      <w:r w:rsidRPr="00177418">
        <w:t xml:space="preserve">espite </w:t>
      </w:r>
      <w:r w:rsidR="004B6985">
        <w:t xml:space="preserve">the </w:t>
      </w:r>
      <w:r w:rsidRPr="00177418">
        <w:t>high upfront costs, solar water heaters are an important solution to</w:t>
      </w:r>
      <w:r w:rsidR="00E11836" w:rsidRPr="00177418">
        <w:t xml:space="preserve"> explore</w:t>
      </w:r>
      <w:r w:rsidRPr="00177418">
        <w:t xml:space="preserve">, as they are clean, have low </w:t>
      </w:r>
      <w:r w:rsidR="00E11836" w:rsidRPr="00177418">
        <w:t>long term (</w:t>
      </w:r>
      <w:r w:rsidRPr="00177418">
        <w:t>operation and maintenance</w:t>
      </w:r>
      <w:r w:rsidR="00E11836" w:rsidRPr="00177418">
        <w:t>)</w:t>
      </w:r>
      <w:r w:rsidRPr="00177418">
        <w:t xml:space="preserve"> costs and has the potential to significantly lower GHG emissions in the future</w:t>
      </w:r>
      <w:r w:rsidR="00E11836" w:rsidRPr="00177418">
        <w:t>.</w:t>
      </w:r>
    </w:p>
    <w:p w14:paraId="6D7F86BD" w14:textId="5060FCAA" w:rsidR="00F52595" w:rsidRPr="00177418" w:rsidRDefault="00F52595" w:rsidP="00E07370">
      <w:pPr>
        <w:pStyle w:val="Heading1"/>
        <w:sectPr w:rsidR="00F52595" w:rsidRPr="00177418" w:rsidSect="00F26176">
          <w:footerReference w:type="even" r:id="rId14"/>
          <w:footerReference w:type="default" r:id="rId15"/>
          <w:pgSz w:w="12240" w:h="15840"/>
          <w:pgMar w:top="1440" w:right="1440" w:bottom="1440" w:left="1440" w:header="720" w:footer="720" w:gutter="0"/>
          <w:pgNumType w:fmt="upperRoman"/>
          <w:cols w:space="720"/>
        </w:sectPr>
      </w:pPr>
    </w:p>
    <w:p w14:paraId="34916870" w14:textId="6A7727F8" w:rsidR="00E815C8" w:rsidRDefault="551A77D0" w:rsidP="00E07370">
      <w:pPr>
        <w:pStyle w:val="Heading1"/>
      </w:pPr>
      <w:bookmarkStart w:id="6" w:name="_Toc44510649"/>
      <w:r w:rsidRPr="00177418">
        <w:lastRenderedPageBreak/>
        <w:t>Literature Review</w:t>
      </w:r>
      <w:bookmarkEnd w:id="6"/>
    </w:p>
    <w:p w14:paraId="42A838C4" w14:textId="0FAB2176" w:rsidR="00BE2B46" w:rsidRPr="003B30E8" w:rsidRDefault="00BE2B46" w:rsidP="00E07370">
      <w:pPr>
        <w:rPr>
          <w:color w:val="FF0000"/>
        </w:rPr>
      </w:pPr>
      <w:r w:rsidRPr="00143F08">
        <w:t>Globally, the buildings sector is one of the largest end-use sectors, accounting for 30% of global final energy usage. Including building construction increases this to 36%. These two together account for 39% of energy-related CO</w:t>
      </w:r>
      <w:r w:rsidRPr="00143F08">
        <w:rPr>
          <w:vertAlign w:val="subscript"/>
        </w:rPr>
        <w:t>2</w:t>
      </w:r>
      <w:r w:rsidRPr="00143F08">
        <w:t xml:space="preserve"> emissions</w:t>
      </w:r>
      <w:r>
        <w:t xml:space="preserve"> (UN Environment &amp; IEA, 2017)</w:t>
      </w:r>
      <w:r w:rsidRPr="00143F08">
        <w:t xml:space="preserve">. Thus, the global building </w:t>
      </w:r>
      <w:r w:rsidRPr="006C4933">
        <w:t xml:space="preserve">sector needs innovative technologies and approaches to reduce energy consumption while ensuring building operations are not affected. Breaking down the building sector by energy end-use gives us an idea of where the potentials lie. Space heating consumed 32% of final building energy in 2014. The other top </w:t>
      </w:r>
      <w:r w:rsidRPr="00945C46">
        <w:t>uses are cooking energy (22%), water heating (19%), appliances and equipment (16%), and lighting (6%)</w:t>
      </w:r>
      <w:r>
        <w:t xml:space="preserve"> (IEA, 2017</w:t>
      </w:r>
      <w:r w:rsidR="004C2F23">
        <w:t>a</w:t>
      </w:r>
      <w:r>
        <w:t>)</w:t>
      </w:r>
      <w:r w:rsidRPr="00945C46">
        <w:t xml:space="preserve">. Clearly there are many opportunities across the building sector for energy efficiency. Space and water heating energy is affected by windows, walls and heat source, cooking energy is affected by source and cooking technology, appliance energy by appliance efficiency and use, and lighting is affected by light technology and use. </w:t>
      </w:r>
    </w:p>
    <w:p w14:paraId="05406D4C" w14:textId="5B5F578C" w:rsidR="006A4A08" w:rsidRPr="00177418" w:rsidRDefault="551A77D0" w:rsidP="00E07370">
      <w:pPr>
        <w:pStyle w:val="Heading2"/>
      </w:pPr>
      <w:bookmarkStart w:id="7" w:name="_Toc44510650"/>
      <w:r w:rsidRPr="00177418">
        <w:t xml:space="preserve">State of </w:t>
      </w:r>
      <w:r w:rsidR="008A73FA" w:rsidRPr="00177418">
        <w:t>Domestic Solar Water Heating Systems</w:t>
      </w:r>
      <w:bookmarkEnd w:id="7"/>
    </w:p>
    <w:p w14:paraId="4DE1229A" w14:textId="48826B2B" w:rsidR="0008033B" w:rsidRDefault="00D44884" w:rsidP="00E07370">
      <w:r w:rsidRPr="00177418">
        <w:t xml:space="preserve">Conventional technologies for water heating include, electric resistance hot water heaters, boilers, heat pumps etc., that produce up to three times the amount of emissions </w:t>
      </w:r>
      <w:r w:rsidR="00340742">
        <w:t>compared to their</w:t>
      </w:r>
      <w:r w:rsidRPr="00177418">
        <w:t xml:space="preserve"> low </w:t>
      </w:r>
      <w:r w:rsidR="00340742">
        <w:t>carbon</w:t>
      </w:r>
      <w:r w:rsidRPr="00177418">
        <w:t xml:space="preserve"> alternatives. Solar energy</w:t>
      </w:r>
      <w:r w:rsidR="00A013AE">
        <w:t>,</w:t>
      </w:r>
      <w:r w:rsidRPr="00177418">
        <w:t xml:space="preserve"> </w:t>
      </w:r>
      <w:r w:rsidR="00E11836" w:rsidRPr="00177418">
        <w:t>being</w:t>
      </w:r>
      <w:r w:rsidRPr="00177418">
        <w:t xml:space="preserve"> free and renewable</w:t>
      </w:r>
      <w:r w:rsidR="00E11836" w:rsidRPr="00177418">
        <w:t xml:space="preserve"> when collected and used for water heating</w:t>
      </w:r>
      <w:r w:rsidR="00A013AE">
        <w:t>,</w:t>
      </w:r>
      <w:r w:rsidR="00E11836" w:rsidRPr="00177418">
        <w:t xml:space="preserve"> helps displace other fuels thus aiding with GHG emissions reductions.</w:t>
      </w:r>
    </w:p>
    <w:p w14:paraId="10E7449E" w14:textId="3FF4B581" w:rsidR="008B0376" w:rsidRDefault="008B0376" w:rsidP="00E07370">
      <w:r w:rsidRPr="00177418">
        <w:t>According to the IEA, solar domestic hot water was first deployed on a large scale in the 1960s in Australia, Japan, Israel, and other countries (IEA, 2015</w:t>
      </w:r>
      <w:r>
        <w:t>). Based on</w:t>
      </w:r>
      <w:r w:rsidRPr="00177418">
        <w:t xml:space="preserve"> IEA statistics the deployment per capita, Cyprus, Austria, Israel, Barbados, and Greece were the top five countries at the end of 2012. </w:t>
      </w:r>
      <w:r>
        <w:t>T</w:t>
      </w:r>
      <w:r w:rsidRPr="00177418">
        <w:t xml:space="preserve">he penetration of solar water heating in Cyprus and Israel is 90% and 85% respectively. This high penetration is due to legislation passed in the 1980s during the oil crisis that required all new homes to have solar thermal systems installed. In 2012, Cyprus introduced a subsidy </w:t>
      </w:r>
      <w:r w:rsidR="00F8464C">
        <w:t>for</w:t>
      </w:r>
      <w:r w:rsidRPr="00177418">
        <w:t xml:space="preserve"> replacement of all solar collectors or entire systems to </w:t>
      </w:r>
      <w:r w:rsidR="00F8464C">
        <w:t>stimulate adoption of the latest technological systems</w:t>
      </w:r>
      <w:r w:rsidRPr="00177418">
        <w:t xml:space="preserve">. The same countries reported in 2012 for total per capita capacity are leading at the end of 2016 but in a different order, with Barbados leading followed by Austria, Cyprus, Israel, and Greece respectively </w:t>
      </w:r>
      <w:r w:rsidRPr="00177418">
        <w:rPr>
          <w:noProof/>
        </w:rPr>
        <w:t>(</w:t>
      </w:r>
      <w:r>
        <w:rPr>
          <w:noProof/>
        </w:rPr>
        <w:t>REN21</w:t>
      </w:r>
      <w:r w:rsidRPr="00177418">
        <w:rPr>
          <w:noProof/>
        </w:rPr>
        <w:t>, 2018)</w:t>
      </w:r>
      <w:r w:rsidRPr="00177418">
        <w:t>. These rankings were estimated to remain unchanged for end of 2017. Region wise, China remained the leader in per capita installations in 2017 followed by Australia and MENA regions (Weiss &amp; Spörk-Dür, 2018).</w:t>
      </w:r>
    </w:p>
    <w:p w14:paraId="4729AC22" w14:textId="77777777" w:rsidR="00CB4CD6" w:rsidRDefault="00CB4CD6" w:rsidP="00E07370"/>
    <w:p w14:paraId="08668B37" w14:textId="433ADC39" w:rsidR="0008033B" w:rsidRDefault="008B0376" w:rsidP="00E07370">
      <w:r w:rsidRPr="00177418">
        <w:lastRenderedPageBreak/>
        <w:t>Markets that have seen strong increased deployment due to subsidies and/or renewable commitments include Austria and Germany (subsidies) and Israel and Spain (solar obligations).  In some cases, solar hot water has competitive advantages over alternative technologies (e.g. China, Cyprus).</w:t>
      </w:r>
      <w:r>
        <w:t xml:space="preserve"> </w:t>
      </w:r>
      <w:r w:rsidR="008F42A8" w:rsidRPr="00E52922">
        <w:t xml:space="preserve">Attractive national subsidy schemes, </w:t>
      </w:r>
      <w:r w:rsidR="00340742">
        <w:fldChar w:fldCharType="begin"/>
      </w:r>
      <w:r w:rsidR="00340742">
        <w:instrText xml:space="preserve"> ADDIN ZOTERO_ITEM CSL_CITATION {"citationID":"DMeh7Mn6","properties":{"formattedCitation":"(Girardeau, 2017; Zhou, 2018)","plainCitation":"(Girardeau, 2017; Zhou, 2018)","noteIndex":0},"citationItems":[{"id":1776,"uris":["http://zotero.org/groups/2241931/items/ZNWW94S4"],"uri":["http://zotero.org/groups/2241931/items/ZNWW94S4"],"itemData":{"id":1776,"type":"thesis","title":"HOUSEHOLD SOLAR ADOPTION: A SYSTEMATIC REVIEW","publisher":"Duke University","URL":"https://dukespace.lib.duke.edu/dspace/bitstream/handle/10161/14203/GirardeauH_HouseholdSolarAdoption_2017v2.pdf?sequence=4","author":[{"family":"Girardeau","given":"Hannah"}],"issued":{"date-parts":[["2017",4,28]]}}},{"id":1772,"uris":["http://zotero.org/groups/2241931/items/B8WSTA93"],"uri":["http://zotero.org/groups/2241931/items/B8WSTA93"],"itemData":{"id":1772,"type":"article-journal","title":"Comparing the Technology Trajectories of Solar PV and Solar Water Heaters in China","container-title":"Sustainability","volume":"10","issue":"11","abstract":"China invests more in renewable energy than any other countries, such as in solar energy.\nThe traditional literature maintains that these government-supported industries are more\ninnovative than grassroots industries such as solar or thermal, which leads to debate. This study\nuses mixed methods, combining qualitative and quantitative approaches to compare the technology\ntrajectories of leading solar water heater (SWH) and solar photovoltaic (PV) firms in China. It\nconcentrates on the following three aspects: trajectories of key technologies, patent citation network,\nand type of collaboration. Our analyses show that technology trajectories differ significantly\nbetween leading SWH firms and PV firms in China. We find that the Chinese SWH firms are core\nto international knowledge networks, and are following a market-driven innovation mode. In\ncontrast, Chinese PV firms are close to the center of the network and government-driven. Research\nsuggests that grassroots innovation, by doing, using, and interaction (DUI), can create short-term\nmarket development models relying on China’s traditional industry model, but cannot create a\nlong-term international leading innovation model; only integrated science, technology, innovation\nmodes (STI), and DUI innovation modes tend to result in international leadership in innovation.","URL":"https://www.mdpi.com/2071-1050/10/11/4166","DOI":"https://doi.org/10.3390/su10114166","author":[{"family":"Zhou","given":"Yuan"}],"issued":{"date-parts":[["2018"]]}}}],"schema":"https://github.com/citation-style-language/schema/raw/master/csl-citation.json"} </w:instrText>
      </w:r>
      <w:r w:rsidR="00340742">
        <w:fldChar w:fldCharType="separate"/>
      </w:r>
      <w:r w:rsidR="00A15A88">
        <w:t>(Girardeau, 2017; Zhou, 2018)</w:t>
      </w:r>
      <w:r w:rsidR="00340742">
        <w:fldChar w:fldCharType="end"/>
      </w:r>
      <w:r w:rsidR="008F42A8" w:rsidRPr="00E52922">
        <w:t xml:space="preserve"> standards, and mandates for use of solar hot water have been successful in contributing to the growing market of solar water heaters in certain regions (Mordor Intelligence, 2018; REN21, 2018). Specific policies include low-cost loans, tax rebates and research grants in China (Zhou, 2018).</w:t>
      </w:r>
      <w:r w:rsidR="004F1EDA" w:rsidRPr="00E52922">
        <w:t xml:space="preserve"> </w:t>
      </w:r>
      <w:r w:rsidR="008052C3">
        <w:t>C</w:t>
      </w:r>
      <w:r w:rsidR="004F1EDA" w:rsidRPr="00E52922">
        <w:t>ombin</w:t>
      </w:r>
      <w:r w:rsidR="00BE6585">
        <w:t>ing</w:t>
      </w:r>
      <w:r w:rsidR="004F1EDA" w:rsidRPr="00E52922">
        <w:t xml:space="preserve"> solar cooling with solar hot water have shown improve</w:t>
      </w:r>
      <w:r w:rsidR="008052C3">
        <w:t>d</w:t>
      </w:r>
      <w:r w:rsidR="004F1EDA" w:rsidRPr="00E52922">
        <w:t xml:space="preserve"> economics </w:t>
      </w:r>
      <w:r w:rsidR="008052C3">
        <w:t>for</w:t>
      </w:r>
      <w:r w:rsidR="004F1EDA" w:rsidRPr="00E52922">
        <w:t xml:space="preserve"> solar investment in Southern Europe.</w:t>
      </w:r>
    </w:p>
    <w:p w14:paraId="79FDF63C" w14:textId="763C739C" w:rsidR="00E52922" w:rsidRPr="009857E0" w:rsidRDefault="00E52922" w:rsidP="00E07370">
      <w:pPr>
        <w:pStyle w:val="Heading3"/>
      </w:pPr>
      <w:bookmarkStart w:id="8" w:name="_Toc44510651"/>
      <w:r w:rsidRPr="00CB4CD6">
        <w:t>Domestic Solar Hot Water Technology Overview</w:t>
      </w:r>
      <w:bookmarkEnd w:id="8"/>
    </w:p>
    <w:p w14:paraId="2E20E3EE" w14:textId="6FFDC19A" w:rsidR="00FC667D" w:rsidRDefault="00500D02" w:rsidP="00E07370">
      <w:r w:rsidRPr="00177418">
        <w:t>Domestic solar hot water systems</w:t>
      </w:r>
      <w:r w:rsidR="009A48E8" w:rsidRPr="00177418">
        <w:t xml:space="preserve"> </w:t>
      </w:r>
      <w:r w:rsidRPr="00177418">
        <w:t xml:space="preserve">(DSHWS) mainly </w:t>
      </w:r>
      <w:r w:rsidR="003E4D2D">
        <w:t>are composed of</w:t>
      </w:r>
      <w:r w:rsidR="003E4D2D" w:rsidRPr="00177418">
        <w:t xml:space="preserve"> </w:t>
      </w:r>
      <w:r w:rsidRPr="00177418">
        <w:t>storage tanks and solar collectors</w:t>
      </w:r>
      <w:r w:rsidR="00982015">
        <w:t>. They</w:t>
      </w:r>
      <w:r w:rsidRPr="00177418">
        <w:t xml:space="preserve"> </w:t>
      </w:r>
      <w:r w:rsidR="009A48E8" w:rsidRPr="00177418">
        <w:t>can be sized to fulfill a</w:t>
      </w:r>
      <w:r w:rsidR="003E4D2D">
        <w:t xml:space="preserve"> desired </w:t>
      </w:r>
      <w:r w:rsidR="009A48E8" w:rsidRPr="00177418">
        <w:t>percentage of hot water</w:t>
      </w:r>
      <w:r w:rsidR="00982015">
        <w:t xml:space="preserve"> demand</w:t>
      </w:r>
      <w:r w:rsidR="009A48E8" w:rsidRPr="00177418">
        <w:t xml:space="preserve"> in a household depending on the local climate.</w:t>
      </w:r>
      <w:r w:rsidR="00D44884" w:rsidRPr="00177418">
        <w:t xml:space="preserve"> They are typically configured with a conventional water heater </w:t>
      </w:r>
      <w:r w:rsidR="00982015">
        <w:t>as a back-up heater</w:t>
      </w:r>
      <w:r w:rsidR="00D44884" w:rsidRPr="00177418">
        <w:t xml:space="preserve">. </w:t>
      </w:r>
      <w:r w:rsidR="00CA5156" w:rsidRPr="00177418">
        <w:t>The solar collectors</w:t>
      </w:r>
      <w:r w:rsidR="001F4566" w:rsidRPr="00177418">
        <w:t xml:space="preserve"> collect</w:t>
      </w:r>
      <w:r w:rsidRPr="00177418">
        <w:t xml:space="preserve"> the</w:t>
      </w:r>
      <w:r w:rsidR="008A73FA" w:rsidRPr="00177418">
        <w:t xml:space="preserve"> </w:t>
      </w:r>
      <w:r w:rsidR="003E64ED" w:rsidRPr="00177418">
        <w:t>thermal energy from the sun</w:t>
      </w:r>
      <w:r w:rsidR="00B016DD" w:rsidRPr="00177418">
        <w:t xml:space="preserve">. This captured </w:t>
      </w:r>
      <w:r w:rsidR="005536C3">
        <w:t xml:space="preserve">heat </w:t>
      </w:r>
      <w:r w:rsidR="00B016DD" w:rsidRPr="00177418">
        <w:t xml:space="preserve">energy is </w:t>
      </w:r>
      <w:r w:rsidR="005536C3">
        <w:t xml:space="preserve">used to heat water. </w:t>
      </w:r>
      <w:r w:rsidR="003E64ED" w:rsidRPr="00177418">
        <w:t xml:space="preserve">This technology is also used for space heating </w:t>
      </w:r>
      <w:r w:rsidR="00982015">
        <w:t xml:space="preserve">as well </w:t>
      </w:r>
      <w:r w:rsidR="003E64ED" w:rsidRPr="00177418">
        <w:t xml:space="preserve">and </w:t>
      </w:r>
      <w:r w:rsidR="001F4566" w:rsidRPr="00177418">
        <w:t>is</w:t>
      </w:r>
      <w:r w:rsidR="003E64ED" w:rsidRPr="00177418">
        <w:t xml:space="preserve"> different from solar photovoltaic that use solar energy to produce electricity.</w:t>
      </w:r>
      <w:r w:rsidR="006056DD" w:rsidRPr="00177418">
        <w:t xml:space="preserve"> </w:t>
      </w:r>
    </w:p>
    <w:p w14:paraId="748C444B" w14:textId="0AB5C341" w:rsidR="00AB650E" w:rsidRDefault="005536C3" w:rsidP="00E07370">
      <w:r>
        <w:t xml:space="preserve">The energy saved from a solar water heater depends on various factors such as </w:t>
      </w:r>
      <w:r w:rsidR="0055369D">
        <w:t xml:space="preserve">size of the collectors </w:t>
      </w:r>
      <w:r w:rsidR="00982015">
        <w:t>as well as the</w:t>
      </w:r>
      <w:r w:rsidR="0055369D">
        <w:t xml:space="preserve"> storage tank, appliance efficiency, amount of sunlight</w:t>
      </w:r>
      <w:r w:rsidR="00517350">
        <w:t>, and</w:t>
      </w:r>
      <w:r w:rsidR="0055369D">
        <w:t xml:space="preserve"> hot water demand </w:t>
      </w:r>
      <w:r w:rsidR="0055369D" w:rsidRPr="007E57A6">
        <w:t>(Natural Resources Canada, 2003)</w:t>
      </w:r>
      <w:r w:rsidR="00517350" w:rsidRPr="007E57A6">
        <w:t>.</w:t>
      </w:r>
      <w:r w:rsidR="00517350">
        <w:t xml:space="preserve"> The amount of solar energy </w:t>
      </w:r>
      <w:r w:rsidR="00514884">
        <w:t>available depends on several factors such as</w:t>
      </w:r>
      <w:r w:rsidR="00517350">
        <w:t xml:space="preserve"> </w:t>
      </w:r>
      <w:r w:rsidR="0055369D">
        <w:t>temperature</w:t>
      </w:r>
      <w:r w:rsidR="00517350">
        <w:t>, cloud cover, site latitude, season of the year</w:t>
      </w:r>
      <w:r w:rsidR="00514884">
        <w:t>, solar collector tilt</w:t>
      </w:r>
      <w:r w:rsidR="003C5A40">
        <w:t xml:space="preserve"> (including tilt on flat roofs)</w:t>
      </w:r>
      <w:r w:rsidR="00514884">
        <w:t>, orientation to path of sun, shading</w:t>
      </w:r>
      <w:r w:rsidR="00DF4138">
        <w:t xml:space="preserve"> and local </w:t>
      </w:r>
      <w:r w:rsidR="00982015">
        <w:t>fog, (</w:t>
      </w:r>
      <w:r w:rsidR="0018607C" w:rsidRPr="007E57A6">
        <w:t>World Building Design Guide, 2011)</w:t>
      </w:r>
      <w:r w:rsidR="0055369D" w:rsidRPr="007E57A6">
        <w:t>.</w:t>
      </w:r>
    </w:p>
    <w:p w14:paraId="7A1045C3" w14:textId="55D092C3" w:rsidR="008B0376" w:rsidRDefault="008B0376" w:rsidP="00E07370"/>
    <w:p w14:paraId="3D9B27C5" w14:textId="09A299D0" w:rsidR="008B0376" w:rsidRDefault="008B0376" w:rsidP="00E07370"/>
    <w:p w14:paraId="3DF37A68" w14:textId="73B5F14F" w:rsidR="008B0376" w:rsidRDefault="008B0376" w:rsidP="00E07370"/>
    <w:p w14:paraId="25F74A5A" w14:textId="1AEC32D8" w:rsidR="008B0376" w:rsidRDefault="008B0376" w:rsidP="00E07370"/>
    <w:p w14:paraId="72673B44" w14:textId="77777777" w:rsidR="008B0376" w:rsidRDefault="008B0376" w:rsidP="00E07370"/>
    <w:p w14:paraId="6072DDAE" w14:textId="32D4173B" w:rsidR="00313F75" w:rsidRDefault="004D517A" w:rsidP="00E07370">
      <w:pPr>
        <w:pStyle w:val="Heading4"/>
      </w:pPr>
      <w:r w:rsidRPr="00313F75">
        <w:lastRenderedPageBreak/>
        <w:t>Types</w:t>
      </w:r>
      <w:r w:rsidRPr="00CB4CD6">
        <w:t xml:space="preserve"> of </w:t>
      </w:r>
      <w:r w:rsidR="00B61F6B" w:rsidRPr="00CB4CD6">
        <w:t>S</w:t>
      </w:r>
      <w:r w:rsidR="00B61F6B" w:rsidRPr="009857E0">
        <w:t>olar Hot Water Systems</w:t>
      </w:r>
    </w:p>
    <w:p w14:paraId="3EF99779" w14:textId="30D1172D" w:rsidR="006409BB" w:rsidRDefault="001E7BA1" w:rsidP="00452F7C">
      <w:pPr>
        <w:jc w:val="center"/>
      </w:pPr>
      <w:r>
        <w:rPr>
          <w:noProof/>
        </w:rPr>
        <mc:AlternateContent>
          <mc:Choice Requires="wpg">
            <w:drawing>
              <wp:inline distT="0" distB="0" distL="0" distR="0" wp14:anchorId="4835EC84" wp14:editId="152E6B25">
                <wp:extent cx="4696803" cy="2840503"/>
                <wp:effectExtent l="0" t="0" r="27940" b="17145"/>
                <wp:docPr id="2" name="Group 2"/>
                <wp:cNvGraphicFramePr/>
                <a:graphic xmlns:a="http://schemas.openxmlformats.org/drawingml/2006/main">
                  <a:graphicData uri="http://schemas.microsoft.com/office/word/2010/wordprocessingGroup">
                    <wpg:wgp>
                      <wpg:cNvGrpSpPr/>
                      <wpg:grpSpPr>
                        <a:xfrm>
                          <a:off x="0" y="0"/>
                          <a:ext cx="4696803" cy="2840503"/>
                          <a:chOff x="0" y="0"/>
                          <a:chExt cx="4009712" cy="2385060"/>
                        </a:xfrm>
                      </wpg:grpSpPr>
                      <wps:wsp>
                        <wps:cNvPr id="11" name="Rectangle 11"/>
                        <wps:cNvSpPr/>
                        <wps:spPr>
                          <a:xfrm>
                            <a:off x="0" y="0"/>
                            <a:ext cx="4009712" cy="2385060"/>
                          </a:xfrm>
                          <a:prstGeom prst="rect">
                            <a:avLst/>
                          </a:prstGeom>
                        </wps:spPr>
                        <wps:style>
                          <a:lnRef idx="2">
                            <a:schemeClr val="dk1"/>
                          </a:lnRef>
                          <a:fillRef idx="1">
                            <a:schemeClr val="lt1"/>
                          </a:fillRef>
                          <a:effectRef idx="0">
                            <a:schemeClr val="dk1"/>
                          </a:effectRef>
                          <a:fontRef idx="minor">
                            <a:schemeClr val="dk1"/>
                          </a:fontRef>
                        </wps:style>
                        <wps:txbx>
                          <w:txbxContent>
                            <w:p w14:paraId="3162A372" w14:textId="11145A82" w:rsidR="008052C3" w:rsidRPr="006409BB" w:rsidRDefault="008052C3" w:rsidP="00E07370">
                              <w:r w:rsidRPr="005536C3">
                                <w:t>SOLAR WATER HEATING SYSTEM</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76760" y="99015"/>
                            <a:ext cx="3608998" cy="2203034"/>
                          </a:xfrm>
                          <a:prstGeom prst="rect">
                            <a:avLst/>
                          </a:prstGeom>
                          <a:ln w="3175">
                            <a:prstDash val="solid"/>
                          </a:ln>
                        </wps:spPr>
                        <wps:style>
                          <a:lnRef idx="2">
                            <a:schemeClr val="dk1"/>
                          </a:lnRef>
                          <a:fillRef idx="1">
                            <a:schemeClr val="lt1"/>
                          </a:fillRef>
                          <a:effectRef idx="0">
                            <a:schemeClr val="dk1"/>
                          </a:effectRef>
                          <a:fontRef idx="minor">
                            <a:schemeClr val="dk1"/>
                          </a:fontRef>
                        </wps:style>
                        <wps:txbx>
                          <w:txbxContent>
                            <w:p w14:paraId="26FF846E" w14:textId="77777777" w:rsidR="008052C3" w:rsidRDefault="008052C3" w:rsidP="00E07370"/>
                            <w:p w14:paraId="68D16920" w14:textId="0C3358D9" w:rsidR="008052C3" w:rsidRPr="000252A5" w:rsidRDefault="008052C3" w:rsidP="00E07370">
                              <w:pPr>
                                <w:rPr>
                                  <w:b/>
                                </w:rPr>
                              </w:pPr>
                              <w:r w:rsidRPr="000252A5">
                                <w:rPr>
                                  <w:b/>
                                </w:rPr>
                                <w:t>Active Systems (No Anti-Freeze)</w:t>
                              </w:r>
                            </w:p>
                            <w:p w14:paraId="15CBF0F7" w14:textId="19FB757D" w:rsidR="008052C3" w:rsidRPr="008B62A1" w:rsidRDefault="008052C3" w:rsidP="00E07370">
                              <w:pPr>
                                <w:pStyle w:val="ListParagraph"/>
                                <w:numPr>
                                  <w:ilvl w:val="0"/>
                                  <w:numId w:val="22"/>
                                </w:numPr>
                              </w:pPr>
                              <w:r w:rsidRPr="008B62A1">
                                <w:t xml:space="preserve">Direct circulation                 </w:t>
                              </w:r>
                            </w:p>
                            <w:p w14:paraId="07F466CE" w14:textId="68E6CB65" w:rsidR="008052C3" w:rsidRDefault="008052C3" w:rsidP="00FA2088">
                              <w:pPr>
                                <w:pStyle w:val="ListParagraph"/>
                                <w:numPr>
                                  <w:ilvl w:val="0"/>
                                  <w:numId w:val="22"/>
                                </w:numPr>
                              </w:pPr>
                              <w:r w:rsidRPr="008B62A1">
                                <w:t xml:space="preserve">Indirect circulation  </w:t>
                              </w:r>
                            </w:p>
                            <w:p w14:paraId="5501B25B" w14:textId="77777777" w:rsidR="008052C3" w:rsidRDefault="008052C3" w:rsidP="00FA2088"/>
                            <w:p w14:paraId="769D5B26" w14:textId="1E44BCE3" w:rsidR="008052C3" w:rsidRPr="000252A5" w:rsidRDefault="008052C3" w:rsidP="00FA2088">
                              <w:pPr>
                                <w:rPr>
                                  <w:b/>
                                </w:rPr>
                              </w:pPr>
                              <w:r w:rsidRPr="000252A5">
                                <w:rPr>
                                  <w:b/>
                                </w:rPr>
                                <w:t>Passive Systems (No Pumps)</w:t>
                              </w:r>
                            </w:p>
                            <w:p w14:paraId="11083C31" w14:textId="2F3BE13C" w:rsidR="008052C3" w:rsidRPr="001648AB" w:rsidRDefault="008052C3" w:rsidP="00FA2088">
                              <w:pPr>
                                <w:pStyle w:val="ListParagraph"/>
                                <w:numPr>
                                  <w:ilvl w:val="0"/>
                                  <w:numId w:val="22"/>
                                </w:numPr>
                              </w:pPr>
                              <w:r>
                                <w:t xml:space="preserve">  </w:t>
                              </w:r>
                              <w:r w:rsidRPr="001648AB">
                                <w:t xml:space="preserve">Thermosyphon </w:t>
                              </w:r>
                            </w:p>
                            <w:p w14:paraId="0F293726" w14:textId="7C4E1D99" w:rsidR="008052C3" w:rsidRPr="00BB7D67" w:rsidRDefault="008052C3" w:rsidP="00FA2088">
                              <w:pPr>
                                <w:pStyle w:val="ListParagraph"/>
                                <w:numPr>
                                  <w:ilvl w:val="0"/>
                                  <w:numId w:val="22"/>
                                </w:numPr>
                              </w:pPr>
                              <w:r w:rsidRPr="001648AB">
                                <w:t xml:space="preserve"> </w:t>
                              </w:r>
                              <w:r>
                                <w:t xml:space="preserve"> </w:t>
                              </w:r>
                              <w:r w:rsidRPr="001648AB">
                                <w:t>Integral collector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200790" y="303750"/>
                            <a:ext cx="1450371" cy="608424"/>
                          </a:xfrm>
                          <a:prstGeom prst="rect">
                            <a:avLst/>
                          </a:prstGeom>
                          <a:solidFill>
                            <a:schemeClr val="lt1"/>
                          </a:solidFill>
                          <a:ln w="6350">
                            <a:solidFill>
                              <a:prstClr val="black"/>
                            </a:solidFill>
                            <a:prstDash val="dash"/>
                          </a:ln>
                        </wps:spPr>
                        <wps:txbx>
                          <w:txbxContent>
                            <w:p w14:paraId="1B48E897" w14:textId="79D8E28B" w:rsidR="008052C3" w:rsidRPr="000252A5" w:rsidRDefault="008052C3" w:rsidP="00FA2088">
                              <w:pPr>
                                <w:spacing w:after="0"/>
                                <w:rPr>
                                  <w:b/>
                                  <w:sz w:val="20"/>
                                </w:rPr>
                              </w:pPr>
                              <w:r w:rsidRPr="000252A5">
                                <w:rPr>
                                  <w:b/>
                                  <w:sz w:val="20"/>
                                </w:rPr>
                                <w:t>Tank types</w:t>
                              </w:r>
                            </w:p>
                            <w:p w14:paraId="344503B5" w14:textId="121719E4" w:rsidR="008052C3" w:rsidRPr="00FA2088" w:rsidRDefault="008052C3" w:rsidP="00FA2088">
                              <w:pPr>
                                <w:spacing w:after="0"/>
                                <w:rPr>
                                  <w:sz w:val="20"/>
                                </w:rPr>
                              </w:pPr>
                              <w:r w:rsidRPr="00FA2088">
                                <w:rPr>
                                  <w:sz w:val="20"/>
                                </w:rPr>
                                <w:t>One-Tank system</w:t>
                              </w:r>
                            </w:p>
                            <w:p w14:paraId="35C4991E" w14:textId="5E88B1C6" w:rsidR="008052C3" w:rsidRPr="00FA2088" w:rsidRDefault="008052C3" w:rsidP="00FA2088">
                              <w:pPr>
                                <w:spacing w:after="0"/>
                                <w:rPr>
                                  <w:sz w:val="20"/>
                                </w:rPr>
                              </w:pPr>
                              <w:r w:rsidRPr="00FA2088">
                                <w:rPr>
                                  <w:sz w:val="20"/>
                                </w:rPr>
                                <w:t>Two-Tank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69014" y="1230429"/>
                            <a:ext cx="1724025" cy="949355"/>
                          </a:xfrm>
                          <a:prstGeom prst="rect">
                            <a:avLst/>
                          </a:prstGeom>
                          <a:solidFill>
                            <a:schemeClr val="lt1"/>
                          </a:solidFill>
                          <a:ln w="6350">
                            <a:solidFill>
                              <a:prstClr val="black"/>
                            </a:solidFill>
                            <a:prstDash val="dash"/>
                          </a:ln>
                        </wps:spPr>
                        <wps:txbx>
                          <w:txbxContent>
                            <w:p w14:paraId="216C0BF6" w14:textId="432301D1" w:rsidR="008052C3" w:rsidRPr="000252A5" w:rsidRDefault="008052C3" w:rsidP="00FA2088">
                              <w:pPr>
                                <w:spacing w:after="0"/>
                                <w:rPr>
                                  <w:b/>
                                  <w:sz w:val="20"/>
                                </w:rPr>
                              </w:pPr>
                              <w:r w:rsidRPr="000252A5">
                                <w:rPr>
                                  <w:b/>
                                  <w:sz w:val="20"/>
                                </w:rPr>
                                <w:t>Energy Collector Types</w:t>
                              </w:r>
                            </w:p>
                            <w:p w14:paraId="77E74287" w14:textId="7520F66F" w:rsidR="008052C3" w:rsidRPr="00FA2088" w:rsidRDefault="008052C3" w:rsidP="00FA2088">
                              <w:pPr>
                                <w:spacing w:after="0"/>
                                <w:rPr>
                                  <w:sz w:val="20"/>
                                </w:rPr>
                              </w:pPr>
                              <w:r w:rsidRPr="00FA2088">
                                <w:rPr>
                                  <w:sz w:val="20"/>
                                </w:rPr>
                                <w:t>Flat plate (Glazed and unglazed)</w:t>
                              </w:r>
                            </w:p>
                            <w:p w14:paraId="3C931E8E" w14:textId="6B5148E2" w:rsidR="008052C3" w:rsidRPr="00FA2088" w:rsidRDefault="008052C3" w:rsidP="00FA2088">
                              <w:pPr>
                                <w:spacing w:after="0"/>
                                <w:rPr>
                                  <w:sz w:val="20"/>
                                </w:rPr>
                              </w:pPr>
                              <w:r w:rsidRPr="00FA2088">
                                <w:rPr>
                                  <w:sz w:val="20"/>
                                </w:rPr>
                                <w:t>Integral Collector</w:t>
                              </w:r>
                            </w:p>
                            <w:p w14:paraId="28660927" w14:textId="21992C8B" w:rsidR="008052C3" w:rsidRPr="00FA2088" w:rsidRDefault="008052C3" w:rsidP="00FA2088">
                              <w:pPr>
                                <w:spacing w:after="0"/>
                                <w:rPr>
                                  <w:sz w:val="20"/>
                                </w:rPr>
                              </w:pPr>
                              <w:r w:rsidRPr="00FA2088">
                                <w:rPr>
                                  <w:sz w:val="20"/>
                                </w:rPr>
                                <w:t>Evacuated tube collector</w:t>
                              </w:r>
                            </w:p>
                            <w:p w14:paraId="7E17FA0F" w14:textId="7DA067C9" w:rsidR="008052C3" w:rsidRPr="00FA2088" w:rsidRDefault="008052C3" w:rsidP="00FA2088">
                              <w:pPr>
                                <w:spacing w:after="0"/>
                                <w:rPr>
                                  <w:sz w:val="20"/>
                                </w:rPr>
                              </w:pPr>
                              <w:r w:rsidRPr="00FA2088">
                                <w:rPr>
                                  <w:sz w:val="20"/>
                                </w:rPr>
                                <w:t>Parabolic-Trough collectors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835EC84" id="Group 2" o:spid="_x0000_s1027" style="width:369.85pt;height:223.65pt;mso-position-horizontal-relative:char;mso-position-vertical-relative:line" coordsize="40097,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">
                <v:rect id="Rectangle 11" o:spid="_x0000_s1028" style="position:absolute;width:40097;height:23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" fillcolor="white [3201]" strokecolor="black [3200]" strokeweight="2pt">
                  <v:textbox style="layout-flow:vertical;mso-layout-flow-alt:bottom-to-top">
                    <w:txbxContent>
                      <w:p w14:paraId="3162A372" w14:textId="11145A82" w:rsidR="008052C3" w:rsidRPr="006409BB" w:rsidRDefault="008052C3" w:rsidP="00E07370">
                        <w:r w:rsidRPr="005536C3">
                          <w:t>SOLAR WATER HEATING SYSTEM</w:t>
                        </w:r>
                      </w:p>
                    </w:txbxContent>
                  </v:textbox>
                </v:rect>
                <v:shape id="Text Box 13" o:spid="_x0000_s1029" type="#_x0000_t202" style="position:absolute;left:2767;top:990;width:36090;height:2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" fillcolor="white [3201]" strokecolor="black [3200]" strokeweight=".25pt">
                  <v:textbox>
                    <w:txbxContent>
                      <w:p w14:paraId="26FF846E" w14:textId="77777777" w:rsidR="008052C3" w:rsidRDefault="008052C3" w:rsidP="00E07370"/>
                      <w:p w14:paraId="68D16920" w14:textId="0C3358D9" w:rsidR="008052C3" w:rsidRPr="000252A5" w:rsidRDefault="008052C3" w:rsidP="00E07370">
                        <w:pPr>
                          <w:rPr>
                            <w:b/>
                          </w:rPr>
                        </w:pPr>
                        <w:r w:rsidRPr="000252A5">
                          <w:rPr>
                            <w:b/>
                          </w:rPr>
                          <w:t>Active Systems (No Anti-Freeze)</w:t>
                        </w:r>
                      </w:p>
                      <w:p w14:paraId="15CBF0F7" w14:textId="19FB757D" w:rsidR="008052C3" w:rsidRPr="008B62A1" w:rsidRDefault="008052C3" w:rsidP="00E07370">
                        <w:pPr>
                          <w:pStyle w:val="ListParagraph"/>
                          <w:numPr>
                            <w:ilvl w:val="0"/>
                            <w:numId w:val="22"/>
                          </w:numPr>
                        </w:pPr>
                        <w:r w:rsidRPr="008B62A1">
                          <w:t xml:space="preserve">Direct circulation                 </w:t>
                        </w:r>
                      </w:p>
                      <w:p w14:paraId="07F466CE" w14:textId="68E6CB65" w:rsidR="008052C3" w:rsidRDefault="008052C3" w:rsidP="00FA2088">
                        <w:pPr>
                          <w:pStyle w:val="ListParagraph"/>
                          <w:numPr>
                            <w:ilvl w:val="0"/>
                            <w:numId w:val="22"/>
                          </w:numPr>
                        </w:pPr>
                        <w:r w:rsidRPr="008B62A1">
                          <w:t xml:space="preserve">Indirect circulation  </w:t>
                        </w:r>
                      </w:p>
                      <w:p w14:paraId="5501B25B" w14:textId="77777777" w:rsidR="008052C3" w:rsidRDefault="008052C3" w:rsidP="00FA2088"/>
                      <w:p w14:paraId="769D5B26" w14:textId="1E44BCE3" w:rsidR="008052C3" w:rsidRPr="000252A5" w:rsidRDefault="008052C3" w:rsidP="00FA2088">
                        <w:pPr>
                          <w:rPr>
                            <w:b/>
                          </w:rPr>
                        </w:pPr>
                        <w:r w:rsidRPr="000252A5">
                          <w:rPr>
                            <w:b/>
                          </w:rPr>
                          <w:t>Passive Systems (No Pumps)</w:t>
                        </w:r>
                      </w:p>
                      <w:p w14:paraId="11083C31" w14:textId="2F3BE13C" w:rsidR="008052C3" w:rsidRPr="001648AB" w:rsidRDefault="008052C3" w:rsidP="00FA2088">
                        <w:pPr>
                          <w:pStyle w:val="ListParagraph"/>
                          <w:numPr>
                            <w:ilvl w:val="0"/>
                            <w:numId w:val="22"/>
                          </w:numPr>
                        </w:pPr>
                        <w:r>
                          <w:t xml:space="preserve">  </w:t>
                        </w:r>
                        <w:r w:rsidRPr="001648AB">
                          <w:t xml:space="preserve">Thermosyphon </w:t>
                        </w:r>
                      </w:p>
                      <w:p w14:paraId="0F293726" w14:textId="7C4E1D99" w:rsidR="008052C3" w:rsidRPr="00BB7D67" w:rsidRDefault="008052C3" w:rsidP="00FA2088">
                        <w:pPr>
                          <w:pStyle w:val="ListParagraph"/>
                          <w:numPr>
                            <w:ilvl w:val="0"/>
                            <w:numId w:val="22"/>
                          </w:numPr>
                        </w:pPr>
                        <w:r w:rsidRPr="001648AB">
                          <w:t xml:space="preserve"> </w:t>
                        </w:r>
                        <w:r>
                          <w:t xml:space="preserve"> </w:t>
                        </w:r>
                        <w:r w:rsidRPr="001648AB">
                          <w:t>Integral collector storage</w:t>
                        </w:r>
                      </w:p>
                    </w:txbxContent>
                  </v:textbox>
                </v:shape>
                <v:shape id="Text Box 14" o:spid="_x0000_s1030" type="#_x0000_t202" style="position:absolute;left:22007;top:3037;width:14504;height:6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" fillcolor="white [3201]" strokeweight=".5pt">
                  <v:stroke dashstyle="dash"/>
                  <v:textbox>
                    <w:txbxContent>
                      <w:p w14:paraId="1B48E897" w14:textId="79D8E28B" w:rsidR="008052C3" w:rsidRPr="000252A5" w:rsidRDefault="008052C3" w:rsidP="00FA2088">
                        <w:pPr>
                          <w:spacing w:after="0"/>
                          <w:rPr>
                            <w:b/>
                            <w:sz w:val="20"/>
                          </w:rPr>
                        </w:pPr>
                        <w:r w:rsidRPr="000252A5">
                          <w:rPr>
                            <w:b/>
                            <w:sz w:val="20"/>
                          </w:rPr>
                          <w:t>Tank types</w:t>
                        </w:r>
                      </w:p>
                      <w:p w14:paraId="344503B5" w14:textId="121719E4" w:rsidR="008052C3" w:rsidRPr="00FA2088" w:rsidRDefault="008052C3" w:rsidP="00FA2088">
                        <w:pPr>
                          <w:spacing w:after="0"/>
                          <w:rPr>
                            <w:sz w:val="20"/>
                          </w:rPr>
                        </w:pPr>
                        <w:r w:rsidRPr="00FA2088">
                          <w:rPr>
                            <w:sz w:val="20"/>
                          </w:rPr>
                          <w:t>One-Tank system</w:t>
                        </w:r>
                      </w:p>
                      <w:p w14:paraId="35C4991E" w14:textId="5E88B1C6" w:rsidR="008052C3" w:rsidRPr="00FA2088" w:rsidRDefault="008052C3" w:rsidP="00FA2088">
                        <w:pPr>
                          <w:spacing w:after="0"/>
                          <w:rPr>
                            <w:sz w:val="20"/>
                          </w:rPr>
                        </w:pPr>
                        <w:r w:rsidRPr="00FA2088">
                          <w:rPr>
                            <w:sz w:val="20"/>
                          </w:rPr>
                          <w:t>Two-Tank system</w:t>
                        </w:r>
                      </w:p>
                    </w:txbxContent>
                  </v:textbox>
                </v:shape>
                <v:shape id="Text Box 15" o:spid="_x0000_s1031" type="#_x0000_t202" style="position:absolute;left:20690;top:12304;width:17240;height:9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" fillcolor="white [3201]" strokeweight=".5pt">
                  <v:stroke dashstyle="dash"/>
                  <v:textbox>
                    <w:txbxContent>
                      <w:p w14:paraId="216C0BF6" w14:textId="432301D1" w:rsidR="008052C3" w:rsidRPr="000252A5" w:rsidRDefault="008052C3" w:rsidP="00FA2088">
                        <w:pPr>
                          <w:spacing w:after="0"/>
                          <w:rPr>
                            <w:b/>
                            <w:sz w:val="20"/>
                          </w:rPr>
                        </w:pPr>
                        <w:r w:rsidRPr="000252A5">
                          <w:rPr>
                            <w:b/>
                            <w:sz w:val="20"/>
                          </w:rPr>
                          <w:t>Energy Collector Types</w:t>
                        </w:r>
                      </w:p>
                      <w:p w14:paraId="77E74287" w14:textId="7520F66F" w:rsidR="008052C3" w:rsidRPr="00FA2088" w:rsidRDefault="008052C3" w:rsidP="00FA2088">
                        <w:pPr>
                          <w:spacing w:after="0"/>
                          <w:rPr>
                            <w:sz w:val="20"/>
                          </w:rPr>
                        </w:pPr>
                        <w:r w:rsidRPr="00FA2088">
                          <w:rPr>
                            <w:sz w:val="20"/>
                          </w:rPr>
                          <w:t>Flat plate (Glazed and unglazed)</w:t>
                        </w:r>
                      </w:p>
                      <w:p w14:paraId="3C931E8E" w14:textId="6B5148E2" w:rsidR="008052C3" w:rsidRPr="00FA2088" w:rsidRDefault="008052C3" w:rsidP="00FA2088">
                        <w:pPr>
                          <w:spacing w:after="0"/>
                          <w:rPr>
                            <w:sz w:val="20"/>
                          </w:rPr>
                        </w:pPr>
                        <w:r w:rsidRPr="00FA2088">
                          <w:rPr>
                            <w:sz w:val="20"/>
                          </w:rPr>
                          <w:t>Integral Collector</w:t>
                        </w:r>
                      </w:p>
                      <w:p w14:paraId="28660927" w14:textId="21992C8B" w:rsidR="008052C3" w:rsidRPr="00FA2088" w:rsidRDefault="008052C3" w:rsidP="00FA2088">
                        <w:pPr>
                          <w:spacing w:after="0"/>
                          <w:rPr>
                            <w:sz w:val="20"/>
                          </w:rPr>
                        </w:pPr>
                        <w:r w:rsidRPr="00FA2088">
                          <w:rPr>
                            <w:sz w:val="20"/>
                          </w:rPr>
                          <w:t>Evacuated tube collector</w:t>
                        </w:r>
                      </w:p>
                      <w:p w14:paraId="7E17FA0F" w14:textId="7DA067C9" w:rsidR="008052C3" w:rsidRPr="00FA2088" w:rsidRDefault="008052C3" w:rsidP="00FA2088">
                        <w:pPr>
                          <w:spacing w:after="0"/>
                          <w:rPr>
                            <w:sz w:val="20"/>
                          </w:rPr>
                        </w:pPr>
                        <w:r w:rsidRPr="00FA2088">
                          <w:rPr>
                            <w:sz w:val="20"/>
                          </w:rPr>
                          <w:t>Parabolic-Trough collectors</w:t>
                        </w:r>
                      </w:p>
                    </w:txbxContent>
                  </v:textbox>
                </v:shape>
                <w10:anchorlock/>
              </v:group>
            </w:pict>
          </mc:Fallback>
        </mc:AlternateContent>
      </w:r>
    </w:p>
    <w:p w14:paraId="29668741" w14:textId="1BDDC635" w:rsidR="001E7BA1" w:rsidRPr="001648AB" w:rsidRDefault="001E7BA1" w:rsidP="006831EE">
      <w:pPr>
        <w:pStyle w:val="Caption"/>
      </w:pPr>
      <w:bookmarkStart w:id="9" w:name="_Ref893716"/>
      <w:bookmarkStart w:id="10" w:name="_Toc44510688"/>
      <w:r w:rsidRPr="001648AB">
        <w:t xml:space="preserve">Figure </w:t>
      </w:r>
      <w:r w:rsidR="00CA08B6">
        <w:rPr>
          <w:noProof/>
        </w:rPr>
        <w:fldChar w:fldCharType="begin"/>
      </w:r>
      <w:r w:rsidR="00CA08B6">
        <w:rPr>
          <w:noProof/>
        </w:rPr>
        <w:instrText xml:space="preserve"> STYLEREF 1 \s </w:instrText>
      </w:r>
      <w:r w:rsidR="00CA08B6">
        <w:rPr>
          <w:noProof/>
        </w:rPr>
        <w:fldChar w:fldCharType="separate"/>
      </w:r>
      <w:r w:rsidR="001142D0">
        <w:rPr>
          <w:noProof/>
        </w:rPr>
        <w:t>1</w:t>
      </w:r>
      <w:r w:rsidR="00CA08B6">
        <w:rPr>
          <w:noProof/>
        </w:rPr>
        <w:fldChar w:fldCharType="end"/>
      </w:r>
      <w:r w:rsidRPr="001648AB">
        <w:t>.</w:t>
      </w:r>
      <w:r w:rsidR="00CA08B6">
        <w:rPr>
          <w:noProof/>
        </w:rPr>
        <w:fldChar w:fldCharType="begin"/>
      </w:r>
      <w:r w:rsidR="00CA08B6">
        <w:rPr>
          <w:noProof/>
        </w:rPr>
        <w:instrText xml:space="preserve"> SEQ Figure \* ARABIC \s 1 </w:instrText>
      </w:r>
      <w:r w:rsidR="00CA08B6">
        <w:rPr>
          <w:noProof/>
        </w:rPr>
        <w:fldChar w:fldCharType="separate"/>
      </w:r>
      <w:r w:rsidR="001142D0">
        <w:rPr>
          <w:noProof/>
        </w:rPr>
        <w:t>1</w:t>
      </w:r>
      <w:r w:rsidR="00CA08B6">
        <w:rPr>
          <w:noProof/>
        </w:rPr>
        <w:fldChar w:fldCharType="end"/>
      </w:r>
      <w:bookmarkEnd w:id="9"/>
      <w:r w:rsidRPr="001648AB">
        <w:t xml:space="preserve"> Domestic solar hot water heating systems</w:t>
      </w:r>
      <w:bookmarkEnd w:id="10"/>
    </w:p>
    <w:p w14:paraId="448456CD" w14:textId="10B2534E" w:rsidR="00F3313C" w:rsidRPr="00E07370" w:rsidRDefault="00F3313C" w:rsidP="00E07370">
      <w:r w:rsidRPr="00E07370">
        <w:t>A solar hot water system typically comprises of a tank and a</w:t>
      </w:r>
      <w:r w:rsidR="00217A1A" w:rsidRPr="00E07370">
        <w:t xml:space="preserve">n energy </w:t>
      </w:r>
      <w:r w:rsidRPr="00E07370">
        <w:t xml:space="preserve">collector. </w:t>
      </w:r>
      <w:r w:rsidR="00982015" w:rsidRPr="00E07370">
        <w:fldChar w:fldCharType="begin"/>
      </w:r>
      <w:r w:rsidR="00982015" w:rsidRPr="00E07370">
        <w:instrText xml:space="preserve"> REF _Ref893716 \h </w:instrText>
      </w:r>
      <w:r w:rsidR="00313F75" w:rsidRPr="00E07370">
        <w:instrText xml:space="preserve"> \* MERGEFORMAT </w:instrText>
      </w:r>
      <w:r w:rsidR="00982015" w:rsidRPr="00E07370">
        <w:fldChar w:fldCharType="separate"/>
      </w:r>
      <w:r w:rsidR="001142D0" w:rsidRPr="001648AB">
        <w:t xml:space="preserve">Figure </w:t>
      </w:r>
      <w:r w:rsidR="001142D0">
        <w:t>1</w:t>
      </w:r>
      <w:r w:rsidR="001142D0" w:rsidRPr="001648AB">
        <w:t>.</w:t>
      </w:r>
      <w:r w:rsidR="001142D0">
        <w:t>1</w:t>
      </w:r>
      <w:r w:rsidR="00982015" w:rsidRPr="00E07370">
        <w:fldChar w:fldCharType="end"/>
      </w:r>
      <w:r w:rsidR="00982015" w:rsidRPr="00E07370">
        <w:t xml:space="preserve"> </w:t>
      </w:r>
      <w:r w:rsidRPr="00E07370">
        <w:t xml:space="preserve">illustrates the different types of solar hot water systems </w:t>
      </w:r>
      <w:r w:rsidR="00982015" w:rsidRPr="00E07370">
        <w:t>(</w:t>
      </w:r>
      <w:r w:rsidRPr="00E07370">
        <w:t>explained in this section</w:t>
      </w:r>
      <w:r w:rsidR="00982015" w:rsidRPr="00E07370">
        <w:t>)</w:t>
      </w:r>
      <w:r w:rsidRPr="00E07370">
        <w:t xml:space="preserve">. There are two main types of solar hot water systems, active and passive. </w:t>
      </w:r>
    </w:p>
    <w:p w14:paraId="58A4C326" w14:textId="5608CDE1" w:rsidR="00837008" w:rsidRPr="00E07370" w:rsidRDefault="00F3313C" w:rsidP="00E07370">
      <w:r w:rsidRPr="007E57A6">
        <w:rPr>
          <w:rStyle w:val="Heading5Char"/>
        </w:rPr>
        <w:t>Active systems</w:t>
      </w:r>
      <w:r w:rsidR="00F66B55">
        <w:rPr>
          <w:i/>
          <w:iCs/>
        </w:rPr>
        <w:t>.</w:t>
      </w:r>
      <w:r w:rsidRPr="00E07370">
        <w:rPr>
          <w:i/>
          <w:iCs/>
        </w:rPr>
        <w:t xml:space="preserve"> </w:t>
      </w:r>
      <w:r w:rsidRPr="00E07370">
        <w:t xml:space="preserve">Active systems depend on electric pumps to circulate fluid through the collector. </w:t>
      </w:r>
      <w:r w:rsidR="004D517A" w:rsidRPr="00E07370">
        <w:t>Active</w:t>
      </w:r>
      <w:r w:rsidRPr="00E07370">
        <w:t xml:space="preserve"> circulation</w:t>
      </w:r>
      <w:r w:rsidR="004D517A" w:rsidRPr="00E07370">
        <w:t xml:space="preserve"> </w:t>
      </w:r>
      <w:r w:rsidRPr="00E07370">
        <w:t>systems are of two types</w:t>
      </w:r>
      <w:r w:rsidR="004D517A" w:rsidRPr="00E07370">
        <w:t xml:space="preserve"> direct and indirect. </w:t>
      </w:r>
    </w:p>
    <w:p w14:paraId="6BCFD6B8" w14:textId="71115057" w:rsidR="00B02362" w:rsidRPr="00105754" w:rsidRDefault="00837008" w:rsidP="00E07370">
      <w:pPr>
        <w:pStyle w:val="NormalWeb"/>
        <w:rPr>
          <w:lang w:eastAsia="en-US"/>
        </w:rPr>
      </w:pPr>
      <w:r w:rsidRPr="007E57A6">
        <w:rPr>
          <w:rStyle w:val="Heading6Char"/>
        </w:rPr>
        <w:t xml:space="preserve">Direct </w:t>
      </w:r>
      <w:r w:rsidR="007E57A6" w:rsidRPr="007E57A6">
        <w:rPr>
          <w:rStyle w:val="Heading6Char"/>
        </w:rPr>
        <w:t>Circulation Systems</w:t>
      </w:r>
      <w:r w:rsidRPr="00105754">
        <w:rPr>
          <w:rStyle w:val="Heading6Char"/>
        </w:rPr>
        <w:t>:</w:t>
      </w:r>
      <w:r w:rsidRPr="00105754">
        <w:t xml:space="preserve"> </w:t>
      </w:r>
      <w:r w:rsidRPr="009E68DA">
        <w:t xml:space="preserve">The </w:t>
      </w:r>
      <w:r w:rsidR="004D517A" w:rsidRPr="009E68DA">
        <w:t>direct circulation systems,</w:t>
      </w:r>
      <w:r w:rsidRPr="009E68DA">
        <w:t xml:space="preserve"> use</w:t>
      </w:r>
      <w:r w:rsidR="004D517A" w:rsidRPr="009E68DA">
        <w:t xml:space="preserve"> pumps </w:t>
      </w:r>
      <w:r w:rsidRPr="009E68DA">
        <w:t xml:space="preserve">to </w:t>
      </w:r>
      <w:r w:rsidR="004D517A" w:rsidRPr="009E68DA">
        <w:t>circulate water</w:t>
      </w:r>
      <w:r w:rsidRPr="009E68DA">
        <w:t xml:space="preserve"> heated with solar energy</w:t>
      </w:r>
      <w:r w:rsidR="004D517A" w:rsidRPr="009E68DA">
        <w:t xml:space="preserve"> through the collectors</w:t>
      </w:r>
      <w:r w:rsidR="00401501" w:rsidRPr="009E68DA">
        <w:t xml:space="preserve"> into the household and back again</w:t>
      </w:r>
      <w:r w:rsidR="004D517A" w:rsidRPr="009E68DA">
        <w:t xml:space="preserve">. </w:t>
      </w:r>
      <w:r w:rsidR="00767A35" w:rsidRPr="009E68DA">
        <w:t>They use a differential controller that</w:t>
      </w:r>
      <w:r w:rsidR="00B02362" w:rsidRPr="009E68DA">
        <w:t xml:space="preserve"> helps to maintain a temperature difference of </w:t>
      </w:r>
      <w:r w:rsidR="00F70E2C" w:rsidRPr="009E68DA">
        <w:t xml:space="preserve">about </w:t>
      </w:r>
      <w:r w:rsidR="00B02362" w:rsidRPr="009E68DA">
        <w:rPr>
          <w:lang w:eastAsia="en-US"/>
        </w:rPr>
        <w:t>3 to 5</w:t>
      </w:r>
      <w:r w:rsidR="00B02362" w:rsidRPr="009E68DA">
        <w:rPr>
          <w:rFonts w:hint="eastAsia"/>
          <w:lang w:eastAsia="en-US"/>
        </w:rPr>
        <w:t>°</w:t>
      </w:r>
      <w:r w:rsidR="00B02362" w:rsidRPr="009E68DA">
        <w:rPr>
          <w:lang w:eastAsia="en-US"/>
        </w:rPr>
        <w:t>F (1</w:t>
      </w:r>
      <w:r w:rsidR="00BE6585">
        <w:rPr>
          <w:lang w:eastAsia="en-US"/>
        </w:rPr>
        <w:t>.</w:t>
      </w:r>
      <w:r w:rsidR="00B02362" w:rsidRPr="009E68DA">
        <w:rPr>
          <w:lang w:eastAsia="en-US"/>
        </w:rPr>
        <w:t xml:space="preserve">6 to </w:t>
      </w:r>
      <w:r w:rsidR="00BE6585">
        <w:rPr>
          <w:lang w:eastAsia="en-US"/>
        </w:rPr>
        <w:t>2.77</w:t>
      </w:r>
      <w:r w:rsidR="00B02362" w:rsidRPr="009E68DA">
        <w:rPr>
          <w:rFonts w:hint="eastAsia"/>
          <w:lang w:eastAsia="en-US"/>
        </w:rPr>
        <w:t>°</w:t>
      </w:r>
      <w:r w:rsidR="00B02362" w:rsidRPr="009E68DA">
        <w:rPr>
          <w:lang w:eastAsia="en-US"/>
        </w:rPr>
        <w:t>C)</w:t>
      </w:r>
      <w:r w:rsidR="00F70E2C" w:rsidRPr="009E68DA">
        <w:rPr>
          <w:lang w:eastAsia="en-US"/>
        </w:rPr>
        <w:t xml:space="preserve"> between the hot water leaving the collector and the water in the storage tank. As the water in the tank begins to get cooler, the pump is automatically turned on</w:t>
      </w:r>
      <w:r w:rsidR="008C7153" w:rsidRPr="009E68DA">
        <w:rPr>
          <w:lang w:eastAsia="en-US"/>
        </w:rPr>
        <w:t xml:space="preserve"> </w:t>
      </w:r>
      <w:r w:rsidR="00105754">
        <w:rPr>
          <w:lang w:eastAsia="en-US"/>
        </w:rPr>
        <w:fldChar w:fldCharType="begin"/>
      </w:r>
      <w:r w:rsidR="00105754">
        <w:rPr>
          <w:lang w:eastAsia="en-US"/>
        </w:rPr>
        <w:instrText xml:space="preserve"> ADDIN ZOTERO_ITEM CSL_CITATION {"citationID":"DgS1Cs3g","properties":{"formattedCitation":"(World Building Design Guide, 2016)","plainCitation":"(World Building Design Guide, 2016)","noteIndex":0},"citationItems":[{"id":1847,"uris":["http://zotero.org/groups/2241931/items/87BFUSAF"],"uri":["http://zotero.org/groups/2241931/items/87BFUSAF"],"itemData":{"id":1847,"type":"webpage","title":"SOLAR WATER HEATING","URL":"https://www.wbdg.org/resources/solar-water-heating","author":[{"family":"World Building Design Guide","given":""}],"issued":{"date-parts":[["2016"]]}}}],"schema":"https://github.com/citation-style-language/schema/raw/master/csl-citation.json"} </w:instrText>
      </w:r>
      <w:r w:rsidR="00105754">
        <w:rPr>
          <w:lang w:eastAsia="en-US"/>
        </w:rPr>
        <w:fldChar w:fldCharType="separate"/>
      </w:r>
      <w:r w:rsidR="00A15A88">
        <w:rPr>
          <w:noProof/>
          <w:lang w:eastAsia="en-US"/>
        </w:rPr>
        <w:t>(World Building Design Guide, 2016)</w:t>
      </w:r>
      <w:r w:rsidR="00105754">
        <w:rPr>
          <w:lang w:eastAsia="en-US"/>
        </w:rPr>
        <w:fldChar w:fldCharType="end"/>
      </w:r>
      <w:r w:rsidR="00F70E2C" w:rsidRPr="009E68DA">
        <w:rPr>
          <w:lang w:eastAsia="en-US"/>
        </w:rPr>
        <w:t>.</w:t>
      </w:r>
      <w:r w:rsidR="00296183" w:rsidRPr="009E68DA">
        <w:rPr>
          <w:lang w:eastAsia="en-US"/>
        </w:rPr>
        <w:t xml:space="preserve"> </w:t>
      </w:r>
    </w:p>
    <w:p w14:paraId="0D8EBD01" w14:textId="1E958346" w:rsidR="00E52922" w:rsidRPr="009E68DA" w:rsidRDefault="00767A35" w:rsidP="00E07370">
      <w:r w:rsidRPr="00177418">
        <w:t>These systems work well in places where temperatures do not go below the freezing point of water</w:t>
      </w:r>
      <w:r>
        <w:t xml:space="preserve"> since they do not use anti-freezing liquids</w:t>
      </w:r>
      <w:r w:rsidRPr="00177418">
        <w:t>.</w:t>
      </w:r>
      <w:r w:rsidR="00296183">
        <w:t xml:space="preserve"> </w:t>
      </w:r>
      <w:r w:rsidR="008C7153">
        <w:t>The</w:t>
      </w:r>
      <w:r w:rsidR="00613047">
        <w:t>y</w:t>
      </w:r>
      <w:r w:rsidR="008C7153">
        <w:t xml:space="preserve"> </w:t>
      </w:r>
      <w:r w:rsidR="00296183">
        <w:t xml:space="preserve">have a </w:t>
      </w:r>
      <w:r w:rsidR="008C7153">
        <w:t xml:space="preserve">flush-type freeze protection valve </w:t>
      </w:r>
      <w:r w:rsidR="00BE6585">
        <w:t>(lets</w:t>
      </w:r>
      <w:r w:rsidR="008C7153">
        <w:t xml:space="preserve"> warm water flow through the collector when temperatures approach freezing</w:t>
      </w:r>
      <w:r w:rsidR="00BE6585">
        <w:t>)</w:t>
      </w:r>
      <w:r w:rsidR="008C7153">
        <w:t>.</w:t>
      </w:r>
      <w:r w:rsidR="009A43C8">
        <w:t xml:space="preserve"> For cold climates, drain back direct circulation active systems are availabl</w:t>
      </w:r>
      <w:r w:rsidR="00BE6585">
        <w:t>e</w:t>
      </w:r>
      <w:r w:rsidR="009A43C8">
        <w:t>.</w:t>
      </w:r>
      <w:r w:rsidR="001D1E78">
        <w:t xml:space="preserve"> They are designed to store all of the water heated by the collect</w:t>
      </w:r>
      <w:r w:rsidR="00BE6585">
        <w:t>or</w:t>
      </w:r>
      <w:r w:rsidR="001D1E78">
        <w:t xml:space="preserve"> in a </w:t>
      </w:r>
      <w:r w:rsidR="00D53A5F">
        <w:t>“</w:t>
      </w:r>
      <w:r w:rsidR="001D1E78">
        <w:t>drain</w:t>
      </w:r>
      <w:r w:rsidR="00BE6585">
        <w:t>-</w:t>
      </w:r>
      <w:r w:rsidR="001D1E78">
        <w:t>back</w:t>
      </w:r>
      <w:r w:rsidR="00D53A5F">
        <w:t>”</w:t>
      </w:r>
      <w:r w:rsidR="001D1E78">
        <w:t xml:space="preserve"> tank, stored in a heated portion of the building. In the absence of sunlight, the pump </w:t>
      </w:r>
      <w:r w:rsidR="006E1A73">
        <w:t>switches</w:t>
      </w:r>
      <w:r w:rsidR="001D1E78">
        <w:t xml:space="preserve"> off and </w:t>
      </w:r>
      <w:r w:rsidR="00D53A5F">
        <w:lastRenderedPageBreak/>
        <w:t>any water in the collector</w:t>
      </w:r>
      <w:r w:rsidR="001D1E78">
        <w:t xml:space="preserve"> flows </w:t>
      </w:r>
      <w:r w:rsidR="00D53A5F">
        <w:t xml:space="preserve">back </w:t>
      </w:r>
      <w:r w:rsidR="001D1E78">
        <w:t>into the drain</w:t>
      </w:r>
      <w:r w:rsidR="00D53A5F">
        <w:t>-</w:t>
      </w:r>
      <w:r w:rsidR="001D1E78">
        <w:t xml:space="preserve">back tank by gravity. </w:t>
      </w:r>
      <w:r w:rsidR="00D53A5F">
        <w:t>S</w:t>
      </w:r>
      <w:r w:rsidR="001D1E78">
        <w:t xml:space="preserve">ystems </w:t>
      </w:r>
      <w:r w:rsidR="00D53A5F">
        <w:t xml:space="preserve">like these don’t need heat exchangers </w:t>
      </w:r>
      <w:r w:rsidR="001D1E78">
        <w:t>since they use water</w:t>
      </w:r>
      <w:r w:rsidR="00860E23">
        <w:t xml:space="preserve"> as the heat exchange fluid</w:t>
      </w:r>
      <w:r w:rsidR="001D1E78">
        <w:t>.</w:t>
      </w:r>
    </w:p>
    <w:p w14:paraId="74CC4520" w14:textId="7D9B95AD" w:rsidR="00860E23" w:rsidRDefault="00837008" w:rsidP="00E07370">
      <w:r w:rsidRPr="009E68DA">
        <w:rPr>
          <w:rStyle w:val="Heading6Char"/>
        </w:rPr>
        <w:t xml:space="preserve">Indirect </w:t>
      </w:r>
      <w:r w:rsidR="007E57A6" w:rsidRPr="009E68DA">
        <w:rPr>
          <w:rStyle w:val="Heading6Char"/>
        </w:rPr>
        <w:t>Circulation Systems</w:t>
      </w:r>
      <w:r w:rsidRPr="009E68DA">
        <w:rPr>
          <w:rStyle w:val="Heading6Char"/>
        </w:rPr>
        <w:t>:</w:t>
      </w:r>
      <w:r>
        <w:t xml:space="preserve"> </w:t>
      </w:r>
      <w:r w:rsidR="00120C99">
        <w:t>These systems work similar</w:t>
      </w:r>
      <w:r w:rsidR="00F8464C">
        <w:t>ly</w:t>
      </w:r>
      <w:r w:rsidR="00120C99">
        <w:t xml:space="preserve"> to the direct systems except that they have two circulating heat transfer fluid loops. In the first loop, a non-freezing, heat transfer fluid circulates though the collector field. A heat exchanger is used to transfer heat from this fluid to potable water. The exchanger can either be directly integrated in the tank </w:t>
      </w:r>
      <w:r w:rsidR="00F8464C">
        <w:t xml:space="preserve">(internal) </w:t>
      </w:r>
      <w:r w:rsidR="00120C99">
        <w:t xml:space="preserve">or connected to a second loop </w:t>
      </w:r>
      <w:r w:rsidR="00F8464C">
        <w:t>(</w:t>
      </w:r>
      <w:r w:rsidR="00120C99">
        <w:t>external</w:t>
      </w:r>
      <w:r w:rsidR="00F8464C">
        <w:t>)</w:t>
      </w:r>
      <w:r w:rsidR="00120C99">
        <w:t xml:space="preserve">. </w:t>
      </w:r>
    </w:p>
    <w:p w14:paraId="102B99FE" w14:textId="567772E2" w:rsidR="00E52922" w:rsidRDefault="004D517A" w:rsidP="00E07370">
      <w:r w:rsidRPr="004D517A">
        <w:t>These systems are more suitable in areas that are prone to have temperatures below 0 degrees centigrade</w:t>
      </w:r>
      <w:r w:rsidR="00837008">
        <w:t xml:space="preserve"> since they use an anti-freeze solution (a water and glycol mixture), as a heat transfer medium to avoid freezing</w:t>
      </w:r>
      <w:r w:rsidRPr="004D517A">
        <w:t>. The indirect systems are</w:t>
      </w:r>
      <w:r w:rsidR="00837008">
        <w:t xml:space="preserve"> hence</w:t>
      </w:r>
      <w:r w:rsidRPr="004D517A">
        <w:t xml:space="preserve"> more expensive considering </w:t>
      </w:r>
      <w:r w:rsidR="00860E23">
        <w:t xml:space="preserve">the </w:t>
      </w:r>
      <w:r w:rsidRPr="004D517A">
        <w:t>extra material used in th</w:t>
      </w:r>
      <w:r w:rsidR="00837008">
        <w:t>ese</w:t>
      </w:r>
      <w:r w:rsidRPr="004D517A">
        <w:t xml:space="preserve"> system compared to the direct circulation system</w:t>
      </w:r>
      <w:r w:rsidR="00837008">
        <w:t>s</w:t>
      </w:r>
      <w:r w:rsidRPr="004D517A">
        <w:t>.</w:t>
      </w:r>
      <w:r w:rsidRPr="00177418">
        <w:t xml:space="preserve"> </w:t>
      </w:r>
    </w:p>
    <w:p w14:paraId="7FD91D57" w14:textId="2796C55B" w:rsidR="000D6AE9" w:rsidRDefault="004D517A" w:rsidP="00E07370">
      <w:r w:rsidRPr="00860E23">
        <w:rPr>
          <w:rStyle w:val="Heading5Char"/>
        </w:rPr>
        <w:t xml:space="preserve">Passive </w:t>
      </w:r>
      <w:r w:rsidR="007E57A6" w:rsidRPr="00860E23">
        <w:rPr>
          <w:rStyle w:val="Heading5Char"/>
        </w:rPr>
        <w:t>Systems</w:t>
      </w:r>
      <w:r w:rsidR="00F66B55">
        <w:rPr>
          <w:rStyle w:val="Heading5Char"/>
        </w:rPr>
        <w:t>.</w:t>
      </w:r>
      <w:r w:rsidR="00120C99">
        <w:t xml:space="preserve"> </w:t>
      </w:r>
      <w:r w:rsidR="008A62EA">
        <w:t>Passive systems as, do not</w:t>
      </w:r>
      <w:r w:rsidR="00860E23">
        <w:t xml:space="preserve"> use</w:t>
      </w:r>
      <w:r w:rsidR="008A62EA">
        <w:t xml:space="preserve"> pumps. </w:t>
      </w:r>
      <w:r w:rsidR="00E91238">
        <w:t>W</w:t>
      </w:r>
      <w:r w:rsidR="00B44741">
        <w:t>ater</w:t>
      </w:r>
      <w:r w:rsidR="00E91238">
        <w:t xml:space="preserve"> moves by convection (heated water moves upwards naturally)</w:t>
      </w:r>
      <w:r w:rsidR="00B44741">
        <w:t>.</w:t>
      </w:r>
    </w:p>
    <w:p w14:paraId="0675CED8" w14:textId="3F7F252A" w:rsidR="00CB4CD6" w:rsidRDefault="008225D8" w:rsidP="00E07370">
      <w:r>
        <w:t xml:space="preserve">These systems are used on individual buildings for a single heating demand. They are not designed for central heating that serves several </w:t>
      </w:r>
      <w:r w:rsidR="005B1D4B">
        <w:t>buildings</w:t>
      </w:r>
      <w:r w:rsidR="00860E23">
        <w:t xml:space="preserve"> </w:t>
      </w:r>
      <w:r w:rsidR="00860E23">
        <w:fldChar w:fldCharType="begin"/>
      </w:r>
      <w:r w:rsidR="00860E23">
        <w:instrText xml:space="preserve"> ADDIN ZOTERO_ITEM CSL_CITATION {"citationID":"7a1xZNc5","properties":{"formattedCitation":"(World Building Design Guide, 2016)","plainCitation":"(World Building Design Guide, 2016)","noteIndex":0},"citationItems":[{"id":1847,"uris":["http://zotero.org/groups/2241931/items/87BFUSAF"],"uri":["http://zotero.org/groups/2241931/items/87BFUSAF"],"itemData":{"id":1847,"type":"webpage","title":"SOLAR WATER HEATING","URL":"https://www.wbdg.org/resources/solar-water-heating","author":[{"family":"World Building Design Guide","given":""}],"issued":{"date-parts":[["2016"]]}}}],"schema":"https://github.com/citation-style-language/schema/raw/master/csl-citation.json"} </w:instrText>
      </w:r>
      <w:r w:rsidR="00860E23">
        <w:fldChar w:fldCharType="separate"/>
      </w:r>
      <w:r w:rsidR="00A15A88">
        <w:rPr>
          <w:noProof/>
        </w:rPr>
        <w:t>(World Building Design Guide, 2016)</w:t>
      </w:r>
      <w:r w:rsidR="00860E23">
        <w:fldChar w:fldCharType="end"/>
      </w:r>
      <w:r w:rsidR="00860E23">
        <w:t xml:space="preserve"> </w:t>
      </w:r>
      <w:r>
        <w:t xml:space="preserve">. </w:t>
      </w:r>
      <w:r w:rsidR="00B44741">
        <w:t xml:space="preserve">They </w:t>
      </w:r>
      <w:r w:rsidR="004D517A" w:rsidRPr="00177418">
        <w:t>are typically less expensive than active solar water heating systems as they do not have pumps. However, they are less efficient</w:t>
      </w:r>
      <w:r>
        <w:t xml:space="preserve"> in cooler climates</w:t>
      </w:r>
      <w:r w:rsidR="004D517A" w:rsidRPr="00177418">
        <w:t>. Due to the fact that these systems do not comprise of movi</w:t>
      </w:r>
      <w:r w:rsidR="00B44741">
        <w:t>ng</w:t>
      </w:r>
      <w:r w:rsidR="004D517A" w:rsidRPr="00177418">
        <w:t xml:space="preserve"> pumps they tend to last longer. The two main kinds of passive solar water heating systems are,</w:t>
      </w:r>
      <w:r w:rsidR="00B44741">
        <w:t xml:space="preserve"> batch or</w:t>
      </w:r>
      <w:r w:rsidR="004D517A" w:rsidRPr="00177418">
        <w:t xml:space="preserve"> integral collector-storage and thermosiphon systems.</w:t>
      </w:r>
    </w:p>
    <w:p w14:paraId="03BB6BF4" w14:textId="6EF69A18" w:rsidR="00860E23" w:rsidRDefault="00B27C90" w:rsidP="00E07370">
      <w:r w:rsidRPr="009E68DA">
        <w:rPr>
          <w:rStyle w:val="Heading6Char"/>
        </w:rPr>
        <w:t xml:space="preserve">Thermosiphon </w:t>
      </w:r>
      <w:r w:rsidR="007E57A6" w:rsidRPr="009E68DA">
        <w:rPr>
          <w:rStyle w:val="Heading6Char"/>
        </w:rPr>
        <w:t>Systems</w:t>
      </w:r>
      <w:r w:rsidRPr="009E68DA">
        <w:rPr>
          <w:rStyle w:val="Heading6Char"/>
        </w:rPr>
        <w:t>:</w:t>
      </w:r>
      <w:r>
        <w:t xml:space="preserve"> </w:t>
      </w:r>
      <w:r w:rsidRPr="00177418">
        <w:t xml:space="preserve">In the thermosiphon systems, the difference in density in warm and cold water is used to produce a flow of water into the tank. </w:t>
      </w:r>
      <w:r>
        <w:t xml:space="preserve">These systems do not depend on pumps or electricity. </w:t>
      </w:r>
      <w:r w:rsidRPr="00177418">
        <w:t xml:space="preserve">The collector must thus be installed below the storage tank so that warm water will rise into the tank. </w:t>
      </w:r>
      <w:r>
        <w:t xml:space="preserve">A roof-top water storage tank would be required in these cases and this </w:t>
      </w:r>
      <w:r w:rsidR="00860E23">
        <w:t xml:space="preserve">factor </w:t>
      </w:r>
      <w:r>
        <w:t xml:space="preserve">should be incorporated in the roof design, both in new builds and retrofits. </w:t>
      </w:r>
    </w:p>
    <w:p w14:paraId="66CDD60D" w14:textId="05826F6D" w:rsidR="00CB4CD6" w:rsidRDefault="00B27C90" w:rsidP="00E07370">
      <w:r w:rsidRPr="00177418">
        <w:t>The</w:t>
      </w:r>
      <w:r>
        <w:t>se systems</w:t>
      </w:r>
      <w:r w:rsidRPr="00177418">
        <w:t xml:space="preserve"> are usually more expensive than integral collector-storage </w:t>
      </w:r>
      <w:r w:rsidR="000730A3">
        <w:t xml:space="preserve">and </w:t>
      </w:r>
      <w:r w:rsidRPr="00177418">
        <w:t>passive systems (Department of Energy, n.d.) and are typically used in warmer climates such as in Africa, South America, Southern Europe, and the Middle East and North Africa (MENA) region (Weiss &amp; Spörk-Dür, 2018)</w:t>
      </w:r>
      <w:r w:rsidR="006676FB">
        <w:t xml:space="preserve"> but can work well in areas with less sunshine as well </w:t>
      </w:r>
      <w:r w:rsidR="000730A3">
        <w:fldChar w:fldCharType="begin"/>
      </w:r>
      <w:r w:rsidR="000730A3">
        <w:instrText xml:space="preserve"> ADDIN ZOTERO_ITEM CSL_CITATION {"citationID":"9AGvXVhj","properties":{"formattedCitation":"(World Building Design Guide, 2016)","plainCitation":"(World Building Design Guide, 2016)","noteIndex":0},"citationItems":[{"id":1847,"uris":["http://zotero.org/groups/2241931/items/87BFUSAF"],"uri":["http://zotero.org/groups/2241931/items/87BFUSAF"],"itemData":{"id":1847,"type":"webpage","title":"SOLAR WATER HEATING","URL":"https://www.wbdg.org/resources/solar-water-heating","author":[{"family":"World Building Design Guide","given":""}],"issued":{"date-parts":[["2016"]]}}}],"schema":"https://github.com/citation-style-language/schema/raw/master/csl-citation.json"} </w:instrText>
      </w:r>
      <w:r w:rsidR="000730A3">
        <w:fldChar w:fldCharType="separate"/>
      </w:r>
      <w:r w:rsidR="00A15A88">
        <w:rPr>
          <w:noProof/>
        </w:rPr>
        <w:t>(World Building Design Guide, 2016)</w:t>
      </w:r>
      <w:r w:rsidR="000730A3">
        <w:fldChar w:fldCharType="end"/>
      </w:r>
      <w:r w:rsidR="006676FB">
        <w:t>.</w:t>
      </w:r>
    </w:p>
    <w:p w14:paraId="77B7547F" w14:textId="669A91D9" w:rsidR="000730A3" w:rsidRDefault="00C528BD" w:rsidP="00E07370">
      <w:r w:rsidRPr="009E68DA">
        <w:rPr>
          <w:rStyle w:val="Heading6Char"/>
        </w:rPr>
        <w:t>Batch or</w:t>
      </w:r>
      <w:r w:rsidR="007E57A6" w:rsidRPr="009E68DA">
        <w:rPr>
          <w:rStyle w:val="Heading6Char"/>
        </w:rPr>
        <w:t xml:space="preserve"> </w:t>
      </w:r>
      <w:r w:rsidR="00B44741" w:rsidRPr="009E68DA">
        <w:rPr>
          <w:rStyle w:val="Heading6Char"/>
        </w:rPr>
        <w:t xml:space="preserve">Integrated </w:t>
      </w:r>
      <w:r w:rsidR="007E57A6" w:rsidRPr="009E68DA">
        <w:rPr>
          <w:rStyle w:val="Heading6Char"/>
        </w:rPr>
        <w:t>Collector Storage Systems</w:t>
      </w:r>
      <w:r w:rsidR="00B44741" w:rsidRPr="009E68DA">
        <w:rPr>
          <w:rStyle w:val="Heading6Char"/>
        </w:rPr>
        <w:t>:</w:t>
      </w:r>
      <w:r w:rsidR="00B44741">
        <w:t xml:space="preserve"> </w:t>
      </w:r>
      <w:r w:rsidR="00B44741" w:rsidRPr="00177418">
        <w:t xml:space="preserve">In the integral collector storage systems (ICS), the tank and the collector are combined in one unit. </w:t>
      </w:r>
      <w:r w:rsidR="000601D9" w:rsidRPr="00177418">
        <w:t xml:space="preserve">The storage in these systems may be in the form of tank or large pipes. These systems comprise of black tanks or tubes in an </w:t>
      </w:r>
      <w:r w:rsidR="00B27C90" w:rsidRPr="00177418">
        <w:t>insulated</w:t>
      </w:r>
      <w:r w:rsidR="00B27C90">
        <w:t>, glazed</w:t>
      </w:r>
      <w:r w:rsidR="000601D9" w:rsidRPr="00177418">
        <w:t xml:space="preserve"> box.</w:t>
      </w:r>
      <w:r w:rsidR="000601D9" w:rsidRPr="000601D9">
        <w:t xml:space="preserve"> </w:t>
      </w:r>
      <w:r w:rsidR="000601D9" w:rsidRPr="00177418">
        <w:t>Cold water from the mains first passes through the solar collector</w:t>
      </w:r>
      <w:r w:rsidR="00736CF3">
        <w:t xml:space="preserve"> to</w:t>
      </w:r>
      <w:r w:rsidR="000601D9" w:rsidRPr="00177418">
        <w:t xml:space="preserve"> preheat the water (U.S Department of Energy, 2016) and </w:t>
      </w:r>
      <w:r w:rsidR="000601D9" w:rsidRPr="00177418">
        <w:lastRenderedPageBreak/>
        <w:t xml:space="preserve">then continues to the conventional backup water heater, providing </w:t>
      </w:r>
      <w:r w:rsidR="00736CF3">
        <w:t>consistent</w:t>
      </w:r>
      <w:r w:rsidR="000601D9" w:rsidRPr="00177418">
        <w:t xml:space="preserve"> hot water. Cold water continually flows through the collector from the bottom where it is heated by the sun. Hot wate</w:t>
      </w:r>
      <w:r w:rsidR="000601D9">
        <w:t>r</w:t>
      </w:r>
      <w:r w:rsidR="000601D9" w:rsidRPr="00177418">
        <w:t xml:space="preserve"> is continually drawn from the top where it is hottest. </w:t>
      </w:r>
    </w:p>
    <w:p w14:paraId="266CDC98" w14:textId="30012F23" w:rsidR="00CA4A1B" w:rsidRDefault="004B4C91" w:rsidP="00E07370">
      <w:r>
        <w:t xml:space="preserve">These systems </w:t>
      </w:r>
      <w:r w:rsidR="00AE4FA3">
        <w:t xml:space="preserve">are more suited to regions without frequent sub-zero temperatures. </w:t>
      </w:r>
      <w:r w:rsidR="00B44741" w:rsidRPr="00177418">
        <w:t xml:space="preserve">If installed outdoors, these systems would require extra insulation or anti-freezing elements. </w:t>
      </w:r>
      <w:r w:rsidR="000601D9">
        <w:t>They also work well in scenarios where buildings have high day time and evening hot water needs</w:t>
      </w:r>
      <w:r w:rsidR="00FA6726">
        <w:t>.</w:t>
      </w:r>
    </w:p>
    <w:p w14:paraId="628F233A" w14:textId="55438A60" w:rsidR="008225D8" w:rsidRPr="009857E0" w:rsidRDefault="008225D8" w:rsidP="00E07370">
      <w:pPr>
        <w:pStyle w:val="Heading4"/>
      </w:pPr>
      <w:r w:rsidRPr="009857E0">
        <w:t>Solar Thermal Energy Collectors</w:t>
      </w:r>
    </w:p>
    <w:p w14:paraId="7F1CD1AA" w14:textId="54ED1D9C" w:rsidR="00CB4CD6" w:rsidRDefault="008A73FA" w:rsidP="00E07370">
      <w:r w:rsidRPr="00177418">
        <w:t xml:space="preserve">Solar water heating systems </w:t>
      </w:r>
      <w:r w:rsidR="00E1346C" w:rsidRPr="00177418">
        <w:t>use collectors</w:t>
      </w:r>
      <w:r w:rsidR="00926A76">
        <w:t xml:space="preserve">. </w:t>
      </w:r>
      <w:r w:rsidR="00A10DAD">
        <w:t xml:space="preserve">A collector has an absorber, that collects heat from the sun. This heat is </w:t>
      </w:r>
      <w:r w:rsidR="00AE4FA3">
        <w:t>captured in</w:t>
      </w:r>
      <w:r w:rsidR="00A10DAD">
        <w:t xml:space="preserve"> the fluid flowing through the tubes attached to the absorber. Since the collectors are located outside, they tend to lose heat in cooler environments. The absorber therefore is covered</w:t>
      </w:r>
      <w:r w:rsidR="00B56EA6">
        <w:t>, with a transparent cover,</w:t>
      </w:r>
      <w:r w:rsidR="00A10DAD">
        <w:t xml:space="preserve"> on the top and insulated on the sides and the bottom to reduce heat loss.</w:t>
      </w:r>
      <w:r w:rsidR="00E422D0">
        <w:t xml:space="preserve"> </w:t>
      </w:r>
      <w:r w:rsidR="00A709E4">
        <w:t xml:space="preserve">Typically, the top cover </w:t>
      </w:r>
      <w:r w:rsidR="00B56EA6">
        <w:t xml:space="preserve">used is a special solar </w:t>
      </w:r>
      <w:r w:rsidR="00A709E4">
        <w:t>glass</w:t>
      </w:r>
      <w:r w:rsidR="00B56EA6">
        <w:t xml:space="preserve">. It does </w:t>
      </w:r>
      <w:r w:rsidR="00A709E4">
        <w:t>allow</w:t>
      </w:r>
      <w:r w:rsidR="00B56EA6">
        <w:t xml:space="preserve"> some</w:t>
      </w:r>
      <w:r w:rsidR="00A709E4">
        <w:t xml:space="preserve"> reflection to be radiated out to the atmosphere.</w:t>
      </w:r>
      <w:r w:rsidR="00B56EA6">
        <w:t xml:space="preserve"> The collector</w:t>
      </w:r>
      <w:r w:rsidR="000E1B10">
        <w:t xml:space="preserve"> needs to be protected from rain, snow and wind. A housing for the collector is typically used to provide this protection. Aluminum, steel, plastic or wood are the typical materials used for the housing </w:t>
      </w:r>
      <w:r w:rsidR="001D1F7D">
        <w:fldChar w:fldCharType="begin"/>
      </w:r>
      <w:r w:rsidR="00A15A88">
        <w:instrText xml:space="preserve"> ADDIN ZOTERO_ITEM CSL_CITATION {"citationID":"iderg0Eo","properties":{"formattedCitation":"(World Building Design Guide, 2016)","plainCitation":"(World Building Design Guide, 2016)","noteIndex":0},"citationItems":[{"id":1847,"uris":["http://zotero.org/groups/2241931/items/87BFUSAF"],"uri":["http://zotero.org/groups/2241931/items/87BFUSAF"],"itemData":{"id":1847,"type":"webpage","title":"SOLAR WATER HEATING","URL":"https://www.wbdg.org/resources/solar-water-heating","author":[{"family":"World Building Design Guide","given":""}],"issued":{"date-parts":[["2016"]]}}}],"schema":"https://github.com/citation-style-language/schema/raw/master/csl-citation.json"} </w:instrText>
      </w:r>
      <w:r w:rsidR="001D1F7D">
        <w:fldChar w:fldCharType="separate"/>
      </w:r>
      <w:r w:rsidR="00A15A88">
        <w:rPr>
          <w:noProof/>
        </w:rPr>
        <w:t>(World Building Design Guide, 2016)</w:t>
      </w:r>
      <w:r w:rsidR="001D1F7D">
        <w:fldChar w:fldCharType="end"/>
      </w:r>
      <w:r w:rsidR="000E1B10">
        <w:t>.</w:t>
      </w:r>
      <w:r w:rsidR="00B70E5B">
        <w:t xml:space="preserve"> </w:t>
      </w:r>
      <w:r w:rsidR="00FA6726">
        <w:t xml:space="preserve">It is estimated that 20 square feet of collector area is </w:t>
      </w:r>
      <w:r w:rsidR="001007DC">
        <w:t>required for a family of two. An additional 8 square feet would be required for each additional person in areas with abundant sunlight and 12-14 square feet in areas with lesser sunlight.</w:t>
      </w:r>
    </w:p>
    <w:p w14:paraId="65F4E2DA" w14:textId="2C61027F" w:rsidR="00926A76" w:rsidRDefault="00926A76" w:rsidP="00E07370">
      <w:r>
        <w:t>There are different types of collectors including, unglazed, flat plate</w:t>
      </w:r>
      <w:r w:rsidR="0089146E">
        <w:t xml:space="preserve"> (glazed)</w:t>
      </w:r>
      <w:r>
        <w:t xml:space="preserve">, evacuated tube and parabolic trough. Glazed flat plate and evacuated tube collectors are most relevant to domestic applications. The type of the collector chosen depends on the required operating temperature </w:t>
      </w:r>
      <w:r w:rsidRPr="00F66B55">
        <w:t xml:space="preserve">and </w:t>
      </w:r>
      <w:r w:rsidR="00253B82" w:rsidRPr="00F66B55">
        <w:t xml:space="preserve">the given ambient temperature range. </w:t>
      </w:r>
      <w:r w:rsidR="00AE4FA3">
        <w:t>There is an upper limit to the</w:t>
      </w:r>
      <w:r w:rsidR="00253B82" w:rsidRPr="00F66B55">
        <w:t xml:space="preserve"> temperature </w:t>
      </w:r>
      <w:r w:rsidR="00AE4FA3">
        <w:t>of the water output which depends on collector type</w:t>
      </w:r>
      <w:r w:rsidR="00253B82" w:rsidRPr="00F66B55">
        <w:t xml:space="preserve"> (see</w:t>
      </w:r>
      <w:r w:rsidR="001D1F7D" w:rsidRPr="00F66B55">
        <w:t xml:space="preserve"> </w:t>
      </w:r>
      <w:r w:rsidR="001D1F7D" w:rsidRPr="00F66B55">
        <w:fldChar w:fldCharType="begin"/>
      </w:r>
      <w:r w:rsidR="001D1F7D" w:rsidRPr="00F66B55">
        <w:instrText xml:space="preserve"> REF _Ref645846 \h </w:instrText>
      </w:r>
      <w:r w:rsidR="00F66B55">
        <w:instrText xml:space="preserve"> \* MERGEFORMAT </w:instrText>
      </w:r>
      <w:r w:rsidR="001D1F7D" w:rsidRPr="00F66B55">
        <w:fldChar w:fldCharType="separate"/>
      </w:r>
      <w:r w:rsidR="001142D0" w:rsidRPr="003F5943">
        <w:t xml:space="preserve">Table </w:t>
      </w:r>
      <w:r w:rsidR="001142D0">
        <w:t>1.1</w:t>
      </w:r>
      <w:r w:rsidR="001D1F7D" w:rsidRPr="00F66B55">
        <w:fldChar w:fldCharType="end"/>
      </w:r>
      <w:r w:rsidR="00253B82" w:rsidRPr="00F66B55">
        <w:t>).</w:t>
      </w:r>
    </w:p>
    <w:p w14:paraId="70D260CD" w14:textId="17AE56AB" w:rsidR="00B27A06" w:rsidRPr="003F5943" w:rsidRDefault="00B27A06" w:rsidP="006831EE">
      <w:pPr>
        <w:pStyle w:val="Caption"/>
      </w:pPr>
      <w:bookmarkStart w:id="11" w:name="_Ref645846"/>
      <w:bookmarkStart w:id="12" w:name="_Toc44510692"/>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1</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1</w:t>
      </w:r>
      <w:r w:rsidR="00CA08B6">
        <w:rPr>
          <w:noProof/>
        </w:rPr>
        <w:fldChar w:fldCharType="end"/>
      </w:r>
      <w:bookmarkEnd w:id="11"/>
      <w:r w:rsidR="007E57A6">
        <w:t xml:space="preserve"> </w:t>
      </w:r>
      <w:r w:rsidRPr="003F5943">
        <w:t>Maximum temperature provided by collector type</w:t>
      </w:r>
      <w:bookmarkEnd w:id="12"/>
    </w:p>
    <w:tbl>
      <w:tblPr>
        <w:tblStyle w:val="TableGrid"/>
        <w:tblW w:w="0" w:type="auto"/>
        <w:jc w:val="center"/>
        <w:tblLook w:val="04A0" w:firstRow="1" w:lastRow="0" w:firstColumn="1" w:lastColumn="0" w:noHBand="0" w:noVBand="1"/>
      </w:tblPr>
      <w:tblGrid>
        <w:gridCol w:w="1657"/>
        <w:gridCol w:w="2365"/>
      </w:tblGrid>
      <w:tr w:rsidR="00253B82" w:rsidRPr="00253B82" w14:paraId="138F7682" w14:textId="77777777" w:rsidTr="007E57A6">
        <w:trPr>
          <w:jc w:val="center"/>
        </w:trPr>
        <w:tc>
          <w:tcPr>
            <w:tcW w:w="0" w:type="auto"/>
            <w:shd w:val="clear" w:color="auto" w:fill="4F81BD" w:themeFill="accent1"/>
            <w:vAlign w:val="center"/>
          </w:tcPr>
          <w:p w14:paraId="0266C8BC" w14:textId="08D7884F" w:rsidR="00253B82" w:rsidRPr="007E57A6" w:rsidRDefault="00253B82" w:rsidP="007E57A6">
            <w:pPr>
              <w:spacing w:before="240"/>
              <w:rPr>
                <w:b/>
                <w:color w:val="FFFFFF" w:themeColor="background1"/>
                <w:sz w:val="22"/>
              </w:rPr>
            </w:pPr>
            <w:r w:rsidRPr="007E57A6">
              <w:rPr>
                <w:b/>
                <w:color w:val="FFFFFF" w:themeColor="background1"/>
              </w:rPr>
              <w:t xml:space="preserve">Collector </w:t>
            </w:r>
            <w:r w:rsidR="007E57A6" w:rsidRPr="007E57A6">
              <w:rPr>
                <w:b/>
                <w:color w:val="FFFFFF" w:themeColor="background1"/>
              </w:rPr>
              <w:t>Type</w:t>
            </w:r>
          </w:p>
        </w:tc>
        <w:tc>
          <w:tcPr>
            <w:tcW w:w="0" w:type="auto"/>
            <w:shd w:val="clear" w:color="auto" w:fill="4F81BD" w:themeFill="accent1"/>
            <w:vAlign w:val="center"/>
          </w:tcPr>
          <w:p w14:paraId="3C2F8633" w14:textId="22042409" w:rsidR="00253B82" w:rsidRPr="007E57A6" w:rsidRDefault="00253B82" w:rsidP="007E57A6">
            <w:pPr>
              <w:spacing w:before="240"/>
              <w:rPr>
                <w:b/>
                <w:color w:val="FFFFFF" w:themeColor="background1"/>
                <w:sz w:val="22"/>
              </w:rPr>
            </w:pPr>
            <w:r w:rsidRPr="007E57A6">
              <w:rPr>
                <w:b/>
                <w:color w:val="FFFFFF" w:themeColor="background1"/>
              </w:rPr>
              <w:t xml:space="preserve">Maximum </w:t>
            </w:r>
            <w:r w:rsidR="007E57A6" w:rsidRPr="007E57A6">
              <w:rPr>
                <w:b/>
                <w:color w:val="FFFFFF" w:themeColor="background1"/>
              </w:rPr>
              <w:t xml:space="preserve">Temperature </w:t>
            </w:r>
          </w:p>
        </w:tc>
      </w:tr>
      <w:tr w:rsidR="00253B82" w:rsidRPr="00253B82" w14:paraId="2E0A45E9" w14:textId="77777777" w:rsidTr="007E57A6">
        <w:trPr>
          <w:jc w:val="center"/>
        </w:trPr>
        <w:tc>
          <w:tcPr>
            <w:tcW w:w="0" w:type="auto"/>
          </w:tcPr>
          <w:p w14:paraId="01C22309" w14:textId="45E084FD" w:rsidR="00253B82" w:rsidRPr="003F5943" w:rsidRDefault="00253B82" w:rsidP="00E07370">
            <w:pPr>
              <w:rPr>
                <w:sz w:val="22"/>
              </w:rPr>
            </w:pPr>
            <w:r w:rsidRPr="00460FE4">
              <w:t>Ung</w:t>
            </w:r>
            <w:r w:rsidRPr="00E52922">
              <w:t xml:space="preserve">lazed EPDM </w:t>
            </w:r>
          </w:p>
        </w:tc>
        <w:tc>
          <w:tcPr>
            <w:tcW w:w="0" w:type="auto"/>
          </w:tcPr>
          <w:p w14:paraId="0FC6C087" w14:textId="31EB473F" w:rsidR="00253B82" w:rsidRPr="003F5943" w:rsidRDefault="00253B82" w:rsidP="00E07370">
            <w:pPr>
              <w:pStyle w:val="NormalWeb"/>
            </w:pPr>
            <w:r w:rsidRPr="003F5943">
              <w:t xml:space="preserve">below 90 </w:t>
            </w:r>
            <w:r w:rsidRPr="003F5943">
              <w:rPr>
                <w:rFonts w:hint="eastAsia"/>
              </w:rPr>
              <w:t>°</w:t>
            </w:r>
            <w:r w:rsidRPr="003F5943">
              <w:t xml:space="preserve">F (32 </w:t>
            </w:r>
            <w:r w:rsidRPr="003F5943">
              <w:rPr>
                <w:rFonts w:hint="eastAsia"/>
              </w:rPr>
              <w:t>°</w:t>
            </w:r>
            <w:r w:rsidRPr="003F5943">
              <w:t>C)</w:t>
            </w:r>
          </w:p>
        </w:tc>
      </w:tr>
      <w:tr w:rsidR="00253B82" w:rsidRPr="00253B82" w14:paraId="3FE3DDA8" w14:textId="77777777" w:rsidTr="007E57A6">
        <w:trPr>
          <w:jc w:val="center"/>
        </w:trPr>
        <w:tc>
          <w:tcPr>
            <w:tcW w:w="0" w:type="auto"/>
          </w:tcPr>
          <w:p w14:paraId="5B28C632" w14:textId="2293DBFC" w:rsidR="00253B82" w:rsidRPr="003F5943" w:rsidRDefault="00253B82" w:rsidP="00E07370">
            <w:pPr>
              <w:rPr>
                <w:sz w:val="22"/>
              </w:rPr>
            </w:pPr>
            <w:r w:rsidRPr="00460FE4">
              <w:t>Flat plate</w:t>
            </w:r>
          </w:p>
        </w:tc>
        <w:tc>
          <w:tcPr>
            <w:tcW w:w="0" w:type="auto"/>
          </w:tcPr>
          <w:p w14:paraId="4648621A" w14:textId="242615B5" w:rsidR="00253B82" w:rsidRPr="003F5943" w:rsidRDefault="00253B82" w:rsidP="00E07370">
            <w:pPr>
              <w:pStyle w:val="NormalWeb"/>
            </w:pPr>
            <w:r w:rsidRPr="003F5943">
              <w:t xml:space="preserve">below 160 </w:t>
            </w:r>
            <w:r w:rsidRPr="003F5943">
              <w:rPr>
                <w:rFonts w:hint="eastAsia"/>
              </w:rPr>
              <w:t>°</w:t>
            </w:r>
            <w:r w:rsidRPr="003F5943">
              <w:t xml:space="preserve">F (71 </w:t>
            </w:r>
            <w:r w:rsidRPr="003F5943">
              <w:rPr>
                <w:rFonts w:hint="eastAsia"/>
              </w:rPr>
              <w:t>°</w:t>
            </w:r>
            <w:r w:rsidRPr="003F5943">
              <w:t xml:space="preserve">C) </w:t>
            </w:r>
          </w:p>
        </w:tc>
      </w:tr>
      <w:tr w:rsidR="00253B82" w:rsidRPr="00253B82" w14:paraId="15E2BF42" w14:textId="77777777" w:rsidTr="007E57A6">
        <w:trPr>
          <w:jc w:val="center"/>
        </w:trPr>
        <w:tc>
          <w:tcPr>
            <w:tcW w:w="0" w:type="auto"/>
          </w:tcPr>
          <w:p w14:paraId="5FF17FEF" w14:textId="35120F81" w:rsidR="00253B82" w:rsidRPr="003F5943" w:rsidRDefault="00253B82" w:rsidP="00E07370">
            <w:pPr>
              <w:rPr>
                <w:sz w:val="22"/>
              </w:rPr>
            </w:pPr>
            <w:r w:rsidRPr="00460FE4">
              <w:t>Evacuated tube</w:t>
            </w:r>
          </w:p>
        </w:tc>
        <w:tc>
          <w:tcPr>
            <w:tcW w:w="0" w:type="auto"/>
          </w:tcPr>
          <w:p w14:paraId="4EC5D0A9" w14:textId="7F441820" w:rsidR="00253B82" w:rsidRPr="003F5943" w:rsidRDefault="00253B82" w:rsidP="00E07370">
            <w:pPr>
              <w:pStyle w:val="NormalWeb"/>
            </w:pPr>
            <w:r w:rsidRPr="00253B82">
              <w:t>U</w:t>
            </w:r>
            <w:r w:rsidRPr="003F5943">
              <w:t>p</w:t>
            </w:r>
            <w:r w:rsidR="004E6F57">
              <w:t xml:space="preserve"> </w:t>
            </w:r>
            <w:r w:rsidRPr="003F5943">
              <w:t>to</w:t>
            </w:r>
            <w:r>
              <w:t xml:space="preserve"> </w:t>
            </w:r>
            <w:r w:rsidRPr="003F5943">
              <w:t>350</w:t>
            </w:r>
            <w:r w:rsidRPr="003F5943">
              <w:rPr>
                <w:rFonts w:hint="eastAsia"/>
              </w:rPr>
              <w:t>°</w:t>
            </w:r>
            <w:r w:rsidRPr="003F5943">
              <w:t>F(177</w:t>
            </w:r>
            <w:r w:rsidRPr="003F5943">
              <w:rPr>
                <w:rFonts w:hint="eastAsia"/>
              </w:rPr>
              <w:t>°</w:t>
            </w:r>
            <w:r w:rsidRPr="003F5943">
              <w:t xml:space="preserve">C) </w:t>
            </w:r>
          </w:p>
        </w:tc>
      </w:tr>
      <w:tr w:rsidR="00253B82" w:rsidRPr="00253B82" w14:paraId="0710C9CF" w14:textId="77777777" w:rsidTr="007E57A6">
        <w:trPr>
          <w:jc w:val="center"/>
        </w:trPr>
        <w:tc>
          <w:tcPr>
            <w:tcW w:w="0" w:type="auto"/>
          </w:tcPr>
          <w:p w14:paraId="635DAABA" w14:textId="386670EF" w:rsidR="00253B82" w:rsidRPr="003F5943" w:rsidRDefault="00253B82" w:rsidP="00E07370">
            <w:pPr>
              <w:pStyle w:val="NormalWeb"/>
            </w:pPr>
            <w:r w:rsidRPr="003F5943">
              <w:t xml:space="preserve">Parabolic trough </w:t>
            </w:r>
          </w:p>
        </w:tc>
        <w:tc>
          <w:tcPr>
            <w:tcW w:w="0" w:type="auto"/>
          </w:tcPr>
          <w:p w14:paraId="1B6B866D" w14:textId="57CD5610" w:rsidR="00253B82" w:rsidRPr="003F5943" w:rsidRDefault="006854F8" w:rsidP="00E07370">
            <w:pPr>
              <w:pStyle w:val="NormalWeb"/>
            </w:pPr>
            <w:r w:rsidRPr="00253B82">
              <w:t>Up to</w:t>
            </w:r>
            <w:r w:rsidR="00253B82">
              <w:t xml:space="preserve"> </w:t>
            </w:r>
            <w:r w:rsidR="00253B82" w:rsidRPr="003F5943">
              <w:t>570</w:t>
            </w:r>
            <w:r w:rsidR="00253B82" w:rsidRPr="003F5943">
              <w:rPr>
                <w:rFonts w:hint="eastAsia"/>
              </w:rPr>
              <w:t>°</w:t>
            </w:r>
            <w:r w:rsidR="00253B82" w:rsidRPr="003F5943">
              <w:t>F(299</w:t>
            </w:r>
            <w:r w:rsidR="00253B82" w:rsidRPr="003F5943">
              <w:rPr>
                <w:rFonts w:hint="eastAsia"/>
              </w:rPr>
              <w:t>°</w:t>
            </w:r>
            <w:r w:rsidR="00253B82" w:rsidRPr="003F5943">
              <w:t xml:space="preserve">C). </w:t>
            </w:r>
          </w:p>
        </w:tc>
      </w:tr>
    </w:tbl>
    <w:p w14:paraId="29B34824" w14:textId="64EB33C2" w:rsidR="003B2F6D" w:rsidRDefault="00253B82" w:rsidP="007E57A6">
      <w:pPr>
        <w:jc w:val="center"/>
      </w:pPr>
      <w:r w:rsidRPr="003F5943">
        <w:t>Source</w:t>
      </w:r>
      <w:r w:rsidR="00DC4439" w:rsidRPr="003F5943">
        <w:t>:</w:t>
      </w:r>
      <w:r w:rsidR="001D1F7D" w:rsidRPr="003F5943">
        <w:t xml:space="preserve"> </w:t>
      </w:r>
      <w:r w:rsidR="001D1F7D" w:rsidRPr="003F5943">
        <w:fldChar w:fldCharType="begin"/>
      </w:r>
      <w:r w:rsidR="001D1F7D" w:rsidRPr="003F5943">
        <w:instrText xml:space="preserve"> ADDIN ZOTERO_ITEM CSL_CITATION {"citationID":"bnMn3zNL","properties":{"formattedCitation":"(World Building Design Guide, 2016)","plainCitation":"(World Building Design Guide, 2016)","noteIndex":0},"citationItems":[{"id":1847,"uris":["http://zotero.org/groups/2241931/items/87BFUSAF"],"uri":["http://zotero.org/groups/2241931/items/87BFUSAF"],"itemData":{"id":1847,"type":"webpage","title":"SOLAR WATER HEATING","URL":"https://www.wbdg.org/resources/solar-water-heating","author":[{"family":"World Building Design Guide","given":""}],"issued":{"date-parts":[["2016"]]}}}],"schema":"https://github.com/citation-style-language/schema/raw/master/csl-citation.json"} </w:instrText>
      </w:r>
      <w:r w:rsidR="001D1F7D" w:rsidRPr="003F5943">
        <w:fldChar w:fldCharType="separate"/>
      </w:r>
      <w:r w:rsidR="00A15A88" w:rsidRPr="003F5943">
        <w:rPr>
          <w:noProof/>
        </w:rPr>
        <w:t>(World Building Design Guide, 2016)</w:t>
      </w:r>
      <w:r w:rsidR="001D1F7D" w:rsidRPr="003F5943">
        <w:fldChar w:fldCharType="end"/>
      </w:r>
    </w:p>
    <w:p w14:paraId="5B2D1614" w14:textId="77777777" w:rsidR="00CB4CD6" w:rsidRPr="00177418" w:rsidRDefault="00CB4CD6" w:rsidP="00E07370"/>
    <w:p w14:paraId="157603EC" w14:textId="3FE68B0F" w:rsidR="00CB4CD6" w:rsidRDefault="00754DFF" w:rsidP="00E07370">
      <w:r w:rsidRPr="003F5943">
        <w:rPr>
          <w:rStyle w:val="Heading5Char"/>
        </w:rPr>
        <w:t xml:space="preserve">Flat </w:t>
      </w:r>
      <w:r w:rsidR="007E57A6" w:rsidRPr="003F5943">
        <w:rPr>
          <w:rStyle w:val="Heading5Char"/>
        </w:rPr>
        <w:t>Plate Collectors</w:t>
      </w:r>
      <w:r w:rsidRPr="003F5943">
        <w:rPr>
          <w:rStyle w:val="Heading5Char"/>
        </w:rPr>
        <w:t>:</w:t>
      </w:r>
      <w:r>
        <w:t xml:space="preserve"> </w:t>
      </w:r>
      <w:r w:rsidR="00571DFF" w:rsidRPr="00177418">
        <w:t>Flat plate collectors, developed by Hottel and Whillier in the 1950’s, are the most common types of collectors</w:t>
      </w:r>
      <w:r w:rsidR="00EE1DB1">
        <w:t xml:space="preserve"> </w:t>
      </w:r>
      <w:r w:rsidR="00571DFF" w:rsidRPr="00177418">
        <w:t>dominat</w:t>
      </w:r>
      <w:r w:rsidR="00EE1DB1">
        <w:t>ing</w:t>
      </w:r>
      <w:r w:rsidR="00571DFF" w:rsidRPr="00177418">
        <w:t xml:space="preserve"> the market in most of the top 20 countries for solar thermal installations </w:t>
      </w:r>
      <w:r w:rsidR="00571DFF" w:rsidRPr="00177418">
        <w:rPr>
          <w:noProof/>
        </w:rPr>
        <w:t>(</w:t>
      </w:r>
      <w:r w:rsidR="00C47087">
        <w:rPr>
          <w:noProof/>
        </w:rPr>
        <w:t>REN21</w:t>
      </w:r>
      <w:r w:rsidR="00571DFF" w:rsidRPr="00177418">
        <w:rPr>
          <w:noProof/>
        </w:rPr>
        <w:t>, 2018)</w:t>
      </w:r>
      <w:r w:rsidR="00571DFF" w:rsidRPr="00177418">
        <w:t xml:space="preserve">. </w:t>
      </w:r>
      <w:r w:rsidR="004C1099" w:rsidRPr="00177418">
        <w:t xml:space="preserve">Flat plate collectors </w:t>
      </w:r>
      <w:r w:rsidR="007130B8">
        <w:t>are of two types</w:t>
      </w:r>
      <w:r w:rsidR="004C1099" w:rsidRPr="00177418">
        <w:t xml:space="preserve"> glazed </w:t>
      </w:r>
      <w:r w:rsidR="007130B8">
        <w:t>and</w:t>
      </w:r>
      <w:r w:rsidR="004C1099" w:rsidRPr="00177418">
        <w:t xml:space="preserve"> unglazed. </w:t>
      </w:r>
    </w:p>
    <w:p w14:paraId="1A34FF80" w14:textId="3F62574B" w:rsidR="00CB4CD6" w:rsidRDefault="00F901B4" w:rsidP="00E07370">
      <w:r w:rsidRPr="003F5943">
        <w:rPr>
          <w:rStyle w:val="Heading6Char"/>
        </w:rPr>
        <w:t xml:space="preserve">Glazed </w:t>
      </w:r>
      <w:r w:rsidR="007E57A6" w:rsidRPr="003F5943">
        <w:rPr>
          <w:rStyle w:val="Heading6Char"/>
        </w:rPr>
        <w:t>Flat Plate Collectors</w:t>
      </w:r>
      <w:r w:rsidRPr="003F5943">
        <w:rPr>
          <w:rStyle w:val="Heading6Char"/>
        </w:rPr>
        <w:t>:</w:t>
      </w:r>
      <w:r>
        <w:rPr>
          <w:i/>
        </w:rPr>
        <w:t xml:space="preserve"> </w:t>
      </w:r>
      <w:r w:rsidR="004C1099" w:rsidRPr="00177418">
        <w:t xml:space="preserve">Most flat plate collectors are glazed. </w:t>
      </w:r>
      <w:r w:rsidR="00571DFF" w:rsidRPr="00177418">
        <w:t>Glazed collectors contain a dark absorber plate under one or more glass or plastic (polymer) covers.</w:t>
      </w:r>
      <w:r w:rsidR="009F1B3B" w:rsidRPr="00177418">
        <w:t xml:space="preserve"> </w:t>
      </w:r>
      <w:r w:rsidR="004C1099" w:rsidRPr="00177418">
        <w:t>They heat water to higher temperatures than air temperature.</w:t>
      </w:r>
      <w:r w:rsidR="00F526FE">
        <w:t xml:space="preserve"> </w:t>
      </w:r>
      <w:r w:rsidR="00F526FE" w:rsidRPr="00177418">
        <w:t xml:space="preserve">They comprise of insulated weather-proof </w:t>
      </w:r>
      <w:r w:rsidR="00F526FE">
        <w:t>boxes</w:t>
      </w:r>
      <w:r w:rsidR="00F526FE" w:rsidRPr="00177418">
        <w:t xml:space="preserve"> that consist of water flowing over a dark absorber plate. The absorber plate is typically made of metal such as aluminum or polymer that is efficient at absorbing solar heat. </w:t>
      </w:r>
    </w:p>
    <w:p w14:paraId="374BCFED" w14:textId="785C71D8" w:rsidR="001D1F7D" w:rsidRDefault="00046E72" w:rsidP="00E07370">
      <w:r w:rsidRPr="00177418">
        <w:t xml:space="preserve">According </w:t>
      </w:r>
      <w:r w:rsidR="006A2DE4">
        <w:t xml:space="preserve">to </w:t>
      </w:r>
      <w:r w:rsidRPr="00177418">
        <w:t>IEA</w:t>
      </w:r>
      <w:r w:rsidR="00AE4FA3">
        <w:t xml:space="preserve"> for 2012, </w:t>
      </w:r>
      <w:r w:rsidR="00CA3348" w:rsidRPr="00177418">
        <w:t xml:space="preserve">the estimated cumulative capacity of solar thermal collectors worldwide </w:t>
      </w:r>
      <w:r w:rsidR="00CA3348">
        <w:t xml:space="preserve">(including district heating) </w:t>
      </w:r>
      <w:r w:rsidR="00CA3348" w:rsidRPr="00177418">
        <w:t>was 2</w:t>
      </w:r>
      <w:r w:rsidR="00CA3348">
        <w:t>69.3</w:t>
      </w:r>
      <w:r w:rsidR="00CA3348" w:rsidRPr="00177418">
        <w:t xml:space="preserve"> GW (th)</w:t>
      </w:r>
      <w:r w:rsidRPr="00177418">
        <w:t xml:space="preserve"> (IEA-SHC, Solar Heating and Cooling, 2012). </w:t>
      </w:r>
      <w:r>
        <w:t>T</w:t>
      </w:r>
      <w:r w:rsidRPr="00177418">
        <w:t xml:space="preserve">he top </w:t>
      </w:r>
      <w:r w:rsidR="00AE4FA3">
        <w:t>countries</w:t>
      </w:r>
      <w:r>
        <w:t xml:space="preserve"> </w:t>
      </w:r>
      <w:r w:rsidRPr="00177418">
        <w:t>were China (</w:t>
      </w:r>
      <w:r>
        <w:t xml:space="preserve">180 </w:t>
      </w:r>
      <w:r w:rsidRPr="00177418">
        <w:t>GW (th)), Germany and Turkey (</w:t>
      </w:r>
      <w:r w:rsidR="00F8464C">
        <w:t>each</w:t>
      </w:r>
      <w:r w:rsidRPr="00177418">
        <w:t xml:space="preserve"> 1</w:t>
      </w:r>
      <w:r>
        <w:t>1</w:t>
      </w:r>
      <w:r w:rsidRPr="00177418">
        <w:t xml:space="preserve"> GW (th)), Brazil and India (</w:t>
      </w:r>
      <w:r w:rsidR="00F8464C">
        <w:t>each</w:t>
      </w:r>
      <w:r w:rsidRPr="00177418">
        <w:t xml:space="preserve"> 4 GW (th)), </w:t>
      </w:r>
      <w:r w:rsidR="00F8464C">
        <w:t xml:space="preserve">then </w:t>
      </w:r>
      <w:r w:rsidRPr="00177418">
        <w:t xml:space="preserve">USA and Australia </w:t>
      </w:r>
      <w:r w:rsidR="00F8464C">
        <w:t>(each</w:t>
      </w:r>
      <w:r w:rsidRPr="00177418">
        <w:t xml:space="preserve"> 2 GW (th)</w:t>
      </w:r>
      <w:r w:rsidR="00F8464C">
        <w:t>)</w:t>
      </w:r>
      <w:r w:rsidRPr="00177418">
        <w:t xml:space="preserve"> of glazed capacity</w:t>
      </w:r>
      <w:r w:rsidR="00F8464C">
        <w:t xml:space="preserve"> </w:t>
      </w:r>
      <w:r w:rsidRPr="00177418">
        <w:t xml:space="preserve">. </w:t>
      </w:r>
    </w:p>
    <w:p w14:paraId="253A65EF" w14:textId="0A71A39B" w:rsidR="00CB4CD6" w:rsidRDefault="00F901B4" w:rsidP="00E07370">
      <w:r w:rsidRPr="003F5943">
        <w:rPr>
          <w:rStyle w:val="Heading6Char"/>
        </w:rPr>
        <w:t xml:space="preserve">Unglazed </w:t>
      </w:r>
      <w:r w:rsidR="007E57A6" w:rsidRPr="003F5943">
        <w:rPr>
          <w:rStyle w:val="Heading6Char"/>
        </w:rPr>
        <w:t>Flat Plate Collectors</w:t>
      </w:r>
      <w:r w:rsidRPr="003F5943">
        <w:rPr>
          <w:i/>
        </w:rPr>
        <w:t>:</w:t>
      </w:r>
      <w:r w:rsidR="004C1099" w:rsidRPr="00177418">
        <w:t xml:space="preserve"> </w:t>
      </w:r>
      <w:r w:rsidR="00CB1EDB">
        <w:t xml:space="preserve">These </w:t>
      </w:r>
      <w:r w:rsidR="00E11EFB">
        <w:t>collectors</w:t>
      </w:r>
      <w:r w:rsidR="00CB1EDB">
        <w:t xml:space="preserve"> can be rolled out on the roof. The</w:t>
      </w:r>
      <w:r w:rsidR="006A2DE4">
        <w:t>y</w:t>
      </w:r>
      <w:r w:rsidR="00571DFF" w:rsidRPr="00177418">
        <w:t xml:space="preserve"> </w:t>
      </w:r>
      <w:r w:rsidR="009F1B3B" w:rsidRPr="00177418">
        <w:t xml:space="preserve">do not have a </w:t>
      </w:r>
      <w:r w:rsidR="00CB1EDB">
        <w:t xml:space="preserve">glass </w:t>
      </w:r>
      <w:r w:rsidR="009F1B3B" w:rsidRPr="00177418">
        <w:t>cover or enclosure</w:t>
      </w:r>
      <w:r w:rsidR="004C1099" w:rsidRPr="00177418">
        <w:t xml:space="preserve"> and are best used when ambient temperatures are close to the desired temperature for example in pool heating</w:t>
      </w:r>
      <w:r w:rsidR="00E11EFB">
        <w:t xml:space="preserve"> and hence there are no optical losses</w:t>
      </w:r>
      <w:r w:rsidR="004C1099" w:rsidRPr="00177418">
        <w:t xml:space="preserve">. </w:t>
      </w:r>
      <w:r w:rsidR="009F1B3B" w:rsidRPr="00177418">
        <w:t>Flat plate collectors are designed to heat water to medium temperatures (approximately 140</w:t>
      </w:r>
      <w:r w:rsidR="00CB1EDB">
        <w:t xml:space="preserve"> </w:t>
      </w:r>
      <w:r w:rsidR="00CB1EDB">
        <w:sym w:font="Symbol" w:char="F0B0"/>
      </w:r>
      <w:r w:rsidR="00CB1EDB">
        <w:t xml:space="preserve">F or 60 </w:t>
      </w:r>
      <w:r w:rsidR="00CB1EDB">
        <w:sym w:font="Symbol" w:char="F0B0"/>
      </w:r>
      <w:r w:rsidR="00CB1EDB">
        <w:t>C</w:t>
      </w:r>
      <w:r w:rsidR="009F1B3B" w:rsidRPr="00177418">
        <w:t xml:space="preserve">). </w:t>
      </w:r>
    </w:p>
    <w:p w14:paraId="301B7CCF" w14:textId="449E2D07" w:rsidR="006A2DE4" w:rsidRDefault="009F1B3B" w:rsidP="00E07370">
      <w:r w:rsidRPr="00177418">
        <w:t>They are less expensive compared to evacuated tube collectors</w:t>
      </w:r>
      <w:r w:rsidR="00E11EFB">
        <w:t xml:space="preserve"> as they made with plastic</w:t>
      </w:r>
      <w:r w:rsidRPr="00177418">
        <w:t>.</w:t>
      </w:r>
      <w:r w:rsidR="001C2F90" w:rsidRPr="00177418">
        <w:t xml:space="preserve"> </w:t>
      </w:r>
      <w:r w:rsidR="004C1099" w:rsidRPr="00177418">
        <w:t>They tend to be the most cost effective due to</w:t>
      </w:r>
      <w:r w:rsidR="00F526FE">
        <w:t xml:space="preserve"> their</w:t>
      </w:r>
      <w:r w:rsidR="004C1099" w:rsidRPr="00177418">
        <w:t xml:space="preserve"> simple design. </w:t>
      </w:r>
      <w:r w:rsidR="00F526FE">
        <w:t xml:space="preserve">However, their efficiency compared to other collectors is also low. </w:t>
      </w:r>
      <w:r w:rsidR="00992C65" w:rsidRPr="00177418">
        <w:t>China, in 2017 saw an increased use of flat plate collectors (8%) and a decreased use of vacuum tube</w:t>
      </w:r>
      <w:r w:rsidR="006A2DE4">
        <w:t xml:space="preserve"> or evacuated tube</w:t>
      </w:r>
      <w:r w:rsidR="00992C65" w:rsidRPr="00177418">
        <w:t xml:space="preserve"> collectors, in its installations</w:t>
      </w:r>
      <w:r w:rsidR="00E15741" w:rsidRPr="00177418">
        <w:t xml:space="preserve">. </w:t>
      </w:r>
      <w:r w:rsidR="004C1099" w:rsidRPr="00177418">
        <w:t>In Europe (2</w:t>
      </w:r>
      <w:r w:rsidR="004C1099" w:rsidRPr="00177418">
        <w:rPr>
          <w:vertAlign w:val="superscript"/>
        </w:rPr>
        <w:t>nd</w:t>
      </w:r>
      <w:r w:rsidR="004C1099" w:rsidRPr="00177418">
        <w:t xml:space="preserve"> largest market for solar water collectors), </w:t>
      </w:r>
      <w:r w:rsidR="00E15741" w:rsidRPr="00177418">
        <w:t xml:space="preserve">82.9% of the total installations in were also flat plate collectors </w:t>
      </w:r>
      <w:r w:rsidR="0057597D" w:rsidRPr="00177418">
        <w:t>(Weiss &amp; Spörk-Dür, 2018)</w:t>
      </w:r>
      <w:r w:rsidR="00992C65" w:rsidRPr="00177418">
        <w:t>.</w:t>
      </w:r>
      <w:r w:rsidR="00571DFF" w:rsidRPr="00177418">
        <w:t xml:space="preserve"> </w:t>
      </w:r>
    </w:p>
    <w:p w14:paraId="6D9E598A" w14:textId="2FC8D718" w:rsidR="006A2DE4" w:rsidRDefault="006A2DE4" w:rsidP="00E07370">
      <w:r w:rsidRPr="003F5943">
        <w:rPr>
          <w:rStyle w:val="Heading6Char"/>
        </w:rPr>
        <w:t xml:space="preserve">Evacuated </w:t>
      </w:r>
      <w:r w:rsidR="007E57A6" w:rsidRPr="003F5943">
        <w:rPr>
          <w:rStyle w:val="Heading6Char"/>
        </w:rPr>
        <w:t>Tube Collectors</w:t>
      </w:r>
      <w:r w:rsidRPr="003F5943">
        <w:rPr>
          <w:rStyle w:val="Heading6Char"/>
        </w:rPr>
        <w:t>:</w:t>
      </w:r>
      <w:r>
        <w:t xml:space="preserve"> </w:t>
      </w:r>
      <w:r w:rsidRPr="006A2DE4">
        <w:t xml:space="preserve">The evacuated tube collectors often have a high efficiency design, a high heat capacity per square foot, and operate well in cold climates due to their design, that reduces heat loss and </w:t>
      </w:r>
      <w:r>
        <w:t xml:space="preserve">a </w:t>
      </w:r>
      <w:r w:rsidRPr="006A2DE4">
        <w:t xml:space="preserve">selective coating, maximizing heat absorption. They have a small collecting surface that is encased by the evacuated glass tubes to reduce heat loss. Evacuated-tube solar collectors are more sophisticated and consist of a row of evacuated parallel tubes that contain a metal absorber tube attached to a fin. The fin's coating absorbs solar energy but inhibits radiative heat loss. The vacuum inside the tubes prevents any form of heat loss from conduction or convection thereby largely reducing heat losses in the system (Department of Energy, n.d.). They are designed to deliver high temperatures (approximately 300 degrees Fahrenheit) and are more frequently used in commercial applications </w:t>
      </w:r>
      <w:r w:rsidRPr="006977A2">
        <w:t>(Hamola, n.d.)</w:t>
      </w:r>
      <w:r w:rsidRPr="006A2DE4">
        <w:t xml:space="preserve">. </w:t>
      </w:r>
    </w:p>
    <w:p w14:paraId="6999A04F" w14:textId="0282C42F" w:rsidR="006A2DE4" w:rsidRDefault="006A2DE4" w:rsidP="00E07370">
      <w:r w:rsidRPr="00177418">
        <w:lastRenderedPageBreak/>
        <w:t xml:space="preserve">In India and China, vacuum tube collectors accounted for more than two-thirds of </w:t>
      </w:r>
      <w:r w:rsidR="00703F88">
        <w:t xml:space="preserve">the </w:t>
      </w:r>
      <w:r w:rsidRPr="00177418">
        <w:t xml:space="preserve">2017 </w:t>
      </w:r>
      <w:r w:rsidR="00703F88">
        <w:t>increase whereas they accounted for approximately</w:t>
      </w:r>
      <w:r w:rsidRPr="00177418">
        <w:t xml:space="preserve"> 50%</w:t>
      </w:r>
      <w:r w:rsidR="00703F88">
        <w:t xml:space="preserve"> in Turkey</w:t>
      </w:r>
      <w:r w:rsidRPr="00177418">
        <w:t xml:space="preserve">. However, in China, </w:t>
      </w:r>
      <w:r w:rsidR="00703F88">
        <w:t>consumers are t</w:t>
      </w:r>
      <w:r w:rsidRPr="00177418">
        <w:t>ransition</w:t>
      </w:r>
      <w:r w:rsidR="00703F88">
        <w:t>ing</w:t>
      </w:r>
      <w:r w:rsidRPr="00177418">
        <w:t xml:space="preserve"> to </w:t>
      </w:r>
      <w:r w:rsidR="00AE4FA3">
        <w:t xml:space="preserve">the safer, more aesthetic </w:t>
      </w:r>
      <w:r w:rsidRPr="00177418">
        <w:t>flat-plate collectors</w:t>
      </w:r>
      <w:r w:rsidR="00703F88">
        <w:t xml:space="preserve">, </w:t>
      </w:r>
      <w:r w:rsidR="00AE4FA3">
        <w:t>which</w:t>
      </w:r>
      <w:r w:rsidRPr="00177418">
        <w:t xml:space="preserve"> has accelerated due to increasing demand for façade and balcony integrated applications</w:t>
      </w:r>
      <w:r w:rsidR="00703F88">
        <w:t xml:space="preserve"> </w:t>
      </w:r>
      <w:r w:rsidRPr="00177418">
        <w:rPr>
          <w:noProof/>
        </w:rPr>
        <w:t>(</w:t>
      </w:r>
      <w:r>
        <w:rPr>
          <w:noProof/>
        </w:rPr>
        <w:t>REN21</w:t>
      </w:r>
      <w:r w:rsidRPr="00177418">
        <w:rPr>
          <w:noProof/>
        </w:rPr>
        <w:t>, 2018)</w:t>
      </w:r>
      <w:r w:rsidRPr="00177418">
        <w:t>.</w:t>
      </w:r>
      <w:r>
        <w:t xml:space="preserve"> </w:t>
      </w:r>
    </w:p>
    <w:p w14:paraId="067C5352" w14:textId="46F07D60" w:rsidR="006A2DE4" w:rsidRDefault="006A2DE4" w:rsidP="00E07370">
      <w:r w:rsidRPr="003F5943">
        <w:rPr>
          <w:rStyle w:val="Heading6Char"/>
        </w:rPr>
        <w:t>Parabolic Trough Collectors:</w:t>
      </w:r>
      <w:r>
        <w:rPr>
          <w:i/>
        </w:rPr>
        <w:t xml:space="preserve"> </w:t>
      </w:r>
      <w:r>
        <w:t>These collectors are also known as concentrating collectors. They use curved mirrors to focus sunlight onto a receiver tube. The receiver tube runs through the middle of the trough. These systems are capable of heating the heat transfer fluid to a temperature of about 299</w:t>
      </w:r>
      <w:r>
        <w:sym w:font="Symbol" w:char="F0B0"/>
      </w:r>
      <w:r>
        <w:t xml:space="preserve">C and are best suited for desert areas where there is high direct solar radiation. They are generally used for large systems, require maintenance, and particularly benefit from economies of scale </w:t>
      </w:r>
      <w:r>
        <w:fldChar w:fldCharType="begin"/>
      </w:r>
      <w:r>
        <w:instrText xml:space="preserve"> ADDIN ZOTERO_ITEM CSL_CITATION {"citationID":"o1S8LD2C","properties":{"formattedCitation":"(World Building Design Guide, 2016)","plainCitation":"(World Building Design Guide, 2016)","noteIndex":0},"citationItems":[{"id":1847,"uris":["http://zotero.org/groups/2241931/items/87BFUSAF"],"uri":["http://zotero.org/groups/2241931/items/87BFUSAF"],"itemData":{"id":1847,"type":"webpage","title":"SOLAR WATER HEATING","URL":"https://www.wbdg.org/resources/solar-water-heating","author":[{"family":"World Building Design Guide","given":""}],"issued":{"date-parts":[["2016"]]}}}],"schema":"https://github.com/citation-style-language/schema/raw/master/csl-citation.json"} </w:instrText>
      </w:r>
      <w:r>
        <w:fldChar w:fldCharType="separate"/>
      </w:r>
      <w:r w:rsidR="00A15A88">
        <w:rPr>
          <w:noProof/>
        </w:rPr>
        <w:t>(World Building Design Guide, 2016)</w:t>
      </w:r>
      <w:r>
        <w:fldChar w:fldCharType="end"/>
      </w:r>
      <w:r>
        <w:t xml:space="preserve">. </w:t>
      </w:r>
    </w:p>
    <w:p w14:paraId="4DD0DBEA" w14:textId="1306948F" w:rsidR="006A2DE4" w:rsidRDefault="006A2DE4" w:rsidP="00E07370">
      <w:r w:rsidRPr="00177418">
        <w:t>Since solar energy is less available in certain regions solar electric boost and solar gas boost (Solahart, 2018) technology options are also available, where solar heat could act as the new conventional technology and electricity and gas the supplemental sources for water heating</w:t>
      </w:r>
      <w:r w:rsidR="009E68DA">
        <w:t>, via boosters</w:t>
      </w:r>
      <w:r w:rsidRPr="00177418">
        <w:t>.</w:t>
      </w:r>
    </w:p>
    <w:p w14:paraId="3FF10B99" w14:textId="77777777" w:rsidR="007E57A6" w:rsidRPr="00CA198F" w:rsidRDefault="009E68DA" w:rsidP="00CA198F">
      <w:pPr>
        <w:pStyle w:val="Heading4"/>
        <w:rPr>
          <w:rStyle w:val="Heading4Char"/>
          <w:b/>
          <w:bCs/>
          <w:i/>
          <w:iCs/>
        </w:rPr>
      </w:pPr>
      <w:r w:rsidRPr="00CA198F">
        <w:rPr>
          <w:rStyle w:val="Heading4Char"/>
          <w:b/>
          <w:bCs/>
          <w:i/>
          <w:iCs/>
        </w:rPr>
        <w:t>Storage Tank</w:t>
      </w:r>
    </w:p>
    <w:p w14:paraId="48524256" w14:textId="0120DDD5" w:rsidR="009E68DA" w:rsidRDefault="009E68DA" w:rsidP="00E07370">
      <w:r>
        <w:t xml:space="preserve">Solar heated water can be stored in to a one-tank system, where the conventionally heated water is stored, or, it could be stored in a separate tank, that feeds into the conventionally heated hot water storage (two-tank system). A larger storage tank would be required if solar heat is used for space heating as well. </w:t>
      </w:r>
      <w:r w:rsidRPr="008B62A1">
        <w:fldChar w:fldCharType="begin"/>
      </w:r>
      <w:r w:rsidRPr="008B62A1">
        <w:instrText xml:space="preserve"> REF _Ref645891 \h  \* MERGEFORMAT </w:instrText>
      </w:r>
      <w:r w:rsidRPr="008B62A1">
        <w:fldChar w:fldCharType="separate"/>
      </w:r>
      <w:r w:rsidR="001142D0" w:rsidRPr="001142D0">
        <w:rPr>
          <w:iCs/>
          <w:color w:val="000000" w:themeColor="text1"/>
        </w:rPr>
        <w:t xml:space="preserve">Table </w:t>
      </w:r>
      <w:r w:rsidR="001142D0" w:rsidRPr="001142D0">
        <w:rPr>
          <w:noProof/>
          <w:color w:val="000000" w:themeColor="text1"/>
        </w:rPr>
        <w:t>1.2</w:t>
      </w:r>
      <w:r w:rsidRPr="008B62A1">
        <w:fldChar w:fldCharType="end"/>
      </w:r>
      <w:r>
        <w:t xml:space="preserve"> shows the tank and collector sizes for small-large households. Storage tanks would need to be insulated to reduce heat loss. If the tank is placed outside, a weather proof cover may also be required. Tank sizes differ based on demand. </w:t>
      </w:r>
    </w:p>
    <w:p w14:paraId="2C06BB6C" w14:textId="67AB0501" w:rsidR="002A0974" w:rsidRDefault="00B507BE" w:rsidP="006831EE">
      <w:pPr>
        <w:pStyle w:val="Caption"/>
      </w:pPr>
      <w:bookmarkStart w:id="13" w:name="_Ref645891"/>
      <w:bookmarkStart w:id="14" w:name="_Toc44510693"/>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1</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2</w:t>
      </w:r>
      <w:r w:rsidR="00CA08B6">
        <w:rPr>
          <w:noProof/>
        </w:rPr>
        <w:fldChar w:fldCharType="end"/>
      </w:r>
      <w:bookmarkEnd w:id="13"/>
      <w:r w:rsidRPr="003F5943">
        <w:t xml:space="preserve"> Tank and Collector sizes</w:t>
      </w:r>
      <w:bookmarkEnd w:id="14"/>
    </w:p>
    <w:tbl>
      <w:tblPr>
        <w:tblStyle w:val="TableGrid"/>
        <w:tblW w:w="0" w:type="auto"/>
        <w:tblLook w:val="04A0" w:firstRow="1" w:lastRow="0" w:firstColumn="1" w:lastColumn="0" w:noHBand="0" w:noVBand="1"/>
      </w:tblPr>
      <w:tblGrid>
        <w:gridCol w:w="1870"/>
        <w:gridCol w:w="1870"/>
        <w:gridCol w:w="1870"/>
        <w:gridCol w:w="1870"/>
        <w:gridCol w:w="1870"/>
      </w:tblGrid>
      <w:tr w:rsidR="00552BF0" w14:paraId="6CE37E92" w14:textId="77777777" w:rsidTr="004D578A">
        <w:trPr>
          <w:cantSplit/>
          <w:tblHeader/>
        </w:trPr>
        <w:tc>
          <w:tcPr>
            <w:tcW w:w="1870" w:type="dxa"/>
            <w:shd w:val="clear" w:color="auto" w:fill="4F81BD" w:themeFill="accent1"/>
            <w:vAlign w:val="center"/>
          </w:tcPr>
          <w:p w14:paraId="32AB206C" w14:textId="17D1FDF5" w:rsidR="00552BF0" w:rsidRPr="00552BF0" w:rsidRDefault="00552BF0" w:rsidP="00552BF0">
            <w:pPr>
              <w:jc w:val="center"/>
              <w:rPr>
                <w:b/>
                <w:color w:val="FFFFFF" w:themeColor="background1"/>
              </w:rPr>
            </w:pPr>
            <w:r w:rsidRPr="00552BF0">
              <w:rPr>
                <w:b/>
                <w:color w:val="FFFFFF" w:themeColor="background1"/>
              </w:rPr>
              <w:t>Family Size (In Persons)</w:t>
            </w:r>
          </w:p>
        </w:tc>
        <w:tc>
          <w:tcPr>
            <w:tcW w:w="1870" w:type="dxa"/>
            <w:shd w:val="clear" w:color="auto" w:fill="4F81BD" w:themeFill="accent1"/>
            <w:vAlign w:val="center"/>
          </w:tcPr>
          <w:p w14:paraId="6A07AF71" w14:textId="54FDBAAE" w:rsidR="00552BF0" w:rsidRPr="00552BF0" w:rsidRDefault="00552BF0" w:rsidP="00552BF0">
            <w:pPr>
              <w:jc w:val="center"/>
              <w:rPr>
                <w:b/>
                <w:color w:val="FFFFFF" w:themeColor="background1"/>
              </w:rPr>
            </w:pPr>
            <w:r w:rsidRPr="00552BF0">
              <w:rPr>
                <w:b/>
                <w:color w:val="FFFFFF" w:themeColor="background1"/>
              </w:rPr>
              <w:t>Average Hot Water Usage</w:t>
            </w:r>
          </w:p>
        </w:tc>
        <w:tc>
          <w:tcPr>
            <w:tcW w:w="1870" w:type="dxa"/>
            <w:shd w:val="clear" w:color="auto" w:fill="4F81BD" w:themeFill="accent1"/>
            <w:vAlign w:val="center"/>
          </w:tcPr>
          <w:p w14:paraId="43E26495" w14:textId="413BDE83" w:rsidR="00552BF0" w:rsidRPr="00552BF0" w:rsidRDefault="00552BF0" w:rsidP="00552BF0">
            <w:pPr>
              <w:jc w:val="center"/>
              <w:rPr>
                <w:b/>
                <w:color w:val="FFFFFF" w:themeColor="background1"/>
              </w:rPr>
            </w:pPr>
            <w:r w:rsidRPr="00552BF0">
              <w:rPr>
                <w:b/>
                <w:color w:val="FFFFFF" w:themeColor="background1"/>
              </w:rPr>
              <w:t>Suggested Solar Water Heater System Size</w:t>
            </w:r>
          </w:p>
        </w:tc>
        <w:tc>
          <w:tcPr>
            <w:tcW w:w="1870" w:type="dxa"/>
            <w:shd w:val="clear" w:color="auto" w:fill="4F81BD" w:themeFill="accent1"/>
            <w:vAlign w:val="center"/>
          </w:tcPr>
          <w:p w14:paraId="5F397C7F" w14:textId="170BB7CE" w:rsidR="00552BF0" w:rsidRPr="00552BF0" w:rsidRDefault="00552BF0" w:rsidP="00552BF0">
            <w:pPr>
              <w:jc w:val="center"/>
              <w:rPr>
                <w:b/>
                <w:color w:val="FFFFFF" w:themeColor="background1"/>
              </w:rPr>
            </w:pPr>
            <w:r w:rsidRPr="00552BF0">
              <w:rPr>
                <w:b/>
                <w:color w:val="FFFFFF" w:themeColor="background1"/>
              </w:rPr>
              <w:t>Collector Size</w:t>
            </w:r>
          </w:p>
        </w:tc>
        <w:tc>
          <w:tcPr>
            <w:tcW w:w="1870" w:type="dxa"/>
            <w:shd w:val="clear" w:color="auto" w:fill="4F81BD" w:themeFill="accent1"/>
            <w:vAlign w:val="center"/>
          </w:tcPr>
          <w:p w14:paraId="3B6A0235" w14:textId="2825FBBA" w:rsidR="00552BF0" w:rsidRPr="00552BF0" w:rsidRDefault="00552BF0" w:rsidP="00552BF0">
            <w:pPr>
              <w:jc w:val="center"/>
              <w:rPr>
                <w:b/>
                <w:color w:val="FFFFFF" w:themeColor="background1"/>
              </w:rPr>
            </w:pPr>
            <w:r w:rsidRPr="00552BF0">
              <w:rPr>
                <w:b/>
                <w:color w:val="FFFFFF" w:themeColor="background1"/>
              </w:rPr>
              <w:t>Equivalent Existing Water Heater Tank Size</w:t>
            </w:r>
          </w:p>
        </w:tc>
      </w:tr>
      <w:tr w:rsidR="004D578A" w14:paraId="258661BA" w14:textId="77777777" w:rsidTr="00452F7C">
        <w:trPr>
          <w:cantSplit/>
        </w:trPr>
        <w:tc>
          <w:tcPr>
            <w:tcW w:w="1870" w:type="dxa"/>
            <w:vAlign w:val="center"/>
          </w:tcPr>
          <w:p w14:paraId="6E7BA6A4" w14:textId="2BCB7154" w:rsidR="004D578A" w:rsidRDefault="004D578A" w:rsidP="004D578A">
            <w:pPr>
              <w:spacing w:after="0"/>
              <w:jc w:val="center"/>
            </w:pPr>
            <w:r>
              <w:t>2</w:t>
            </w:r>
          </w:p>
        </w:tc>
        <w:tc>
          <w:tcPr>
            <w:tcW w:w="1870" w:type="dxa"/>
            <w:vAlign w:val="center"/>
          </w:tcPr>
          <w:p w14:paraId="18B4C84F" w14:textId="15BDCEE6" w:rsidR="004D578A" w:rsidRDefault="004D578A" w:rsidP="004D578A">
            <w:pPr>
              <w:spacing w:after="0"/>
              <w:jc w:val="center"/>
            </w:pPr>
            <w:r>
              <w:t>150 liters/day</w:t>
            </w:r>
          </w:p>
        </w:tc>
        <w:tc>
          <w:tcPr>
            <w:tcW w:w="1870" w:type="dxa"/>
            <w:vAlign w:val="center"/>
          </w:tcPr>
          <w:p w14:paraId="14DE1BAD" w14:textId="77777777" w:rsidR="004D578A" w:rsidRDefault="004D578A" w:rsidP="004D578A">
            <w:pPr>
              <w:spacing w:after="0"/>
              <w:jc w:val="center"/>
            </w:pPr>
            <w:r>
              <w:t>Small</w:t>
            </w:r>
          </w:p>
          <w:p w14:paraId="6A75335F" w14:textId="27D88907" w:rsidR="004D578A" w:rsidRDefault="004D578A" w:rsidP="004D578A">
            <w:pPr>
              <w:spacing w:after="0"/>
              <w:jc w:val="center"/>
            </w:pPr>
            <w:r>
              <w:t>No pre-heat tank</w:t>
            </w:r>
          </w:p>
        </w:tc>
        <w:tc>
          <w:tcPr>
            <w:tcW w:w="1870" w:type="dxa"/>
            <w:vAlign w:val="center"/>
          </w:tcPr>
          <w:p w14:paraId="2D40B7F4" w14:textId="550E69EC" w:rsidR="004D578A" w:rsidRDefault="004D578A" w:rsidP="004D578A">
            <w:pPr>
              <w:spacing w:after="0"/>
              <w:jc w:val="center"/>
            </w:pPr>
            <w:r>
              <w:t>About 3m</w:t>
            </w:r>
            <w:r w:rsidRPr="006977A2">
              <w:rPr>
                <w:vertAlign w:val="superscript"/>
              </w:rPr>
              <w:t>2</w:t>
            </w:r>
          </w:p>
        </w:tc>
        <w:tc>
          <w:tcPr>
            <w:tcW w:w="1870" w:type="dxa"/>
            <w:vAlign w:val="center"/>
          </w:tcPr>
          <w:p w14:paraId="26DDC975" w14:textId="2D45B345" w:rsidR="004D578A" w:rsidRDefault="004D578A" w:rsidP="004D578A">
            <w:pPr>
              <w:spacing w:after="0"/>
              <w:jc w:val="center"/>
            </w:pPr>
            <w:r>
              <w:t>180 liters</w:t>
            </w:r>
          </w:p>
        </w:tc>
      </w:tr>
      <w:tr w:rsidR="004D578A" w14:paraId="4B8E5441" w14:textId="77777777" w:rsidTr="00452F7C">
        <w:trPr>
          <w:cantSplit/>
        </w:trPr>
        <w:tc>
          <w:tcPr>
            <w:tcW w:w="1870" w:type="dxa"/>
            <w:vAlign w:val="center"/>
          </w:tcPr>
          <w:p w14:paraId="2F5FD657" w14:textId="38BA65FF" w:rsidR="004D578A" w:rsidRDefault="004D578A" w:rsidP="004D578A">
            <w:pPr>
              <w:spacing w:after="0"/>
              <w:jc w:val="center"/>
            </w:pPr>
            <w:r>
              <w:t>3-4</w:t>
            </w:r>
          </w:p>
        </w:tc>
        <w:tc>
          <w:tcPr>
            <w:tcW w:w="1870" w:type="dxa"/>
            <w:vAlign w:val="center"/>
          </w:tcPr>
          <w:p w14:paraId="0AAEA32C" w14:textId="27C8F7DF" w:rsidR="004D578A" w:rsidRDefault="004D578A" w:rsidP="004D578A">
            <w:pPr>
              <w:spacing w:after="0"/>
              <w:jc w:val="center"/>
            </w:pPr>
            <w:r>
              <w:t>225 liters/day</w:t>
            </w:r>
          </w:p>
        </w:tc>
        <w:tc>
          <w:tcPr>
            <w:tcW w:w="1870" w:type="dxa"/>
            <w:vAlign w:val="center"/>
          </w:tcPr>
          <w:p w14:paraId="0BCDD683" w14:textId="77777777" w:rsidR="004D578A" w:rsidRDefault="004D578A" w:rsidP="004D578A">
            <w:pPr>
              <w:spacing w:after="0"/>
              <w:jc w:val="center"/>
            </w:pPr>
            <w:r>
              <w:t>Medium</w:t>
            </w:r>
          </w:p>
          <w:p w14:paraId="68B6811C" w14:textId="72AB0E91" w:rsidR="004D578A" w:rsidRDefault="004D578A" w:rsidP="004D578A">
            <w:pPr>
              <w:spacing w:after="0"/>
              <w:jc w:val="center"/>
            </w:pPr>
            <w:r>
              <w:t>Pre-heat tank required</w:t>
            </w:r>
          </w:p>
        </w:tc>
        <w:tc>
          <w:tcPr>
            <w:tcW w:w="1870" w:type="dxa"/>
            <w:vAlign w:val="center"/>
          </w:tcPr>
          <w:p w14:paraId="3C83FCDE" w14:textId="68AF0071" w:rsidR="004D578A" w:rsidRDefault="004D578A" w:rsidP="004D578A">
            <w:pPr>
              <w:spacing w:after="0"/>
              <w:jc w:val="center"/>
            </w:pPr>
            <w:r>
              <w:t>5-6 m</w:t>
            </w:r>
            <w:r w:rsidRPr="006977A2">
              <w:rPr>
                <w:vertAlign w:val="superscript"/>
              </w:rPr>
              <w:t>2</w:t>
            </w:r>
          </w:p>
        </w:tc>
        <w:tc>
          <w:tcPr>
            <w:tcW w:w="1870" w:type="dxa"/>
            <w:vAlign w:val="center"/>
          </w:tcPr>
          <w:p w14:paraId="2E88A77E" w14:textId="365890BF" w:rsidR="004D578A" w:rsidRDefault="004D578A" w:rsidP="004D578A">
            <w:pPr>
              <w:spacing w:after="0"/>
              <w:jc w:val="center"/>
            </w:pPr>
            <w:r>
              <w:t>270 liters</w:t>
            </w:r>
          </w:p>
        </w:tc>
      </w:tr>
      <w:tr w:rsidR="004D578A" w14:paraId="60CFB7BC" w14:textId="77777777" w:rsidTr="00452F7C">
        <w:trPr>
          <w:cantSplit/>
        </w:trPr>
        <w:tc>
          <w:tcPr>
            <w:tcW w:w="1870" w:type="dxa"/>
            <w:vAlign w:val="center"/>
          </w:tcPr>
          <w:p w14:paraId="2E432665" w14:textId="1163C91A" w:rsidR="004D578A" w:rsidRDefault="004D578A" w:rsidP="004D578A">
            <w:pPr>
              <w:spacing w:after="0"/>
              <w:jc w:val="center"/>
            </w:pPr>
            <w:r>
              <w:lastRenderedPageBreak/>
              <w:t>&gt;5</w:t>
            </w:r>
          </w:p>
        </w:tc>
        <w:tc>
          <w:tcPr>
            <w:tcW w:w="1870" w:type="dxa"/>
            <w:vAlign w:val="center"/>
          </w:tcPr>
          <w:p w14:paraId="6124AFEE" w14:textId="73DF59E4" w:rsidR="004D578A" w:rsidRDefault="004D578A" w:rsidP="004D578A">
            <w:pPr>
              <w:spacing w:after="0"/>
              <w:jc w:val="center"/>
            </w:pPr>
            <w:r>
              <w:t>300 liters/day</w:t>
            </w:r>
          </w:p>
        </w:tc>
        <w:tc>
          <w:tcPr>
            <w:tcW w:w="1870" w:type="dxa"/>
            <w:vAlign w:val="center"/>
          </w:tcPr>
          <w:p w14:paraId="4C486EF0" w14:textId="77777777" w:rsidR="004D578A" w:rsidRDefault="004D578A" w:rsidP="004D578A">
            <w:pPr>
              <w:spacing w:after="0"/>
              <w:jc w:val="center"/>
            </w:pPr>
            <w:r>
              <w:t>Large</w:t>
            </w:r>
          </w:p>
          <w:p w14:paraId="577E22FD" w14:textId="11D4C47C" w:rsidR="004D578A" w:rsidRDefault="004D578A" w:rsidP="004D578A">
            <w:pPr>
              <w:spacing w:after="0"/>
              <w:jc w:val="center"/>
            </w:pPr>
            <w:r>
              <w:t>Pre heat tank required</w:t>
            </w:r>
          </w:p>
        </w:tc>
        <w:tc>
          <w:tcPr>
            <w:tcW w:w="1870" w:type="dxa"/>
            <w:vAlign w:val="center"/>
          </w:tcPr>
          <w:p w14:paraId="1D112279" w14:textId="7EB5CCAB" w:rsidR="004D578A" w:rsidRDefault="004D578A" w:rsidP="004D578A">
            <w:pPr>
              <w:spacing w:after="0"/>
              <w:jc w:val="center"/>
            </w:pPr>
            <w:r>
              <w:t>&gt;6 m</w:t>
            </w:r>
            <w:r w:rsidRPr="006977A2">
              <w:rPr>
                <w:sz w:val="20"/>
                <w:szCs w:val="20"/>
                <w:vertAlign w:val="superscript"/>
              </w:rPr>
              <w:t>2</w:t>
            </w:r>
          </w:p>
        </w:tc>
        <w:tc>
          <w:tcPr>
            <w:tcW w:w="1870" w:type="dxa"/>
            <w:vAlign w:val="center"/>
          </w:tcPr>
          <w:p w14:paraId="35643846" w14:textId="1A8967B9" w:rsidR="004D578A" w:rsidRDefault="004D578A" w:rsidP="004D578A">
            <w:pPr>
              <w:spacing w:after="0"/>
              <w:jc w:val="center"/>
            </w:pPr>
            <w:r>
              <w:t>270 liters</w:t>
            </w:r>
          </w:p>
        </w:tc>
      </w:tr>
    </w:tbl>
    <w:p w14:paraId="45ED022D" w14:textId="6A7AE413" w:rsidR="0006673B" w:rsidRDefault="00D956BF" w:rsidP="00E07370">
      <w:r>
        <w:t>Source:</w:t>
      </w:r>
      <w:r w:rsidR="00A15A88">
        <w:fldChar w:fldCharType="begin"/>
      </w:r>
      <w:r w:rsidR="00A15A88">
        <w:instrText xml:space="preserve"> ADDIN ZOTERO_ITEM CSL_CITATION {"citationID":"szLNvfHz","properties":{"formattedCitation":"(Natural Resources Canada, 2003)","plainCitation":"(Natural Resources Canada, 2003)","noteIndex":0},"citationItems":[{"id":2455,"uris":["http://zotero.org/groups/2241931/items/GIR63M8H"],"uri":["http://zotero.org/groups/2241931/items/GIR63M8H"],"itemData":{"id":2455,"type":"report","title":"Solar Water Heating Systems","URL":"https://www.nrcan.gc.ca/sites/www.nrcan.gc.ca/files/canmetenergy/files/pubs/SOLAR-BuyersGuide-SolarWaterHeatingSystems_ENG.pdf","shortTitle":"NRCAN","author":[{"literal":"Natural Resources Canada"}],"issued":{"date-parts":[["2003"]]}}}],"schema":"https://github.com/citation-style-language/schema/raw/master/csl-citation.json"} </w:instrText>
      </w:r>
      <w:r w:rsidR="00A15A88">
        <w:fldChar w:fldCharType="separate"/>
      </w:r>
      <w:r w:rsidR="00A15A88">
        <w:rPr>
          <w:noProof/>
        </w:rPr>
        <w:t>(Natural Resources Canada, 2003)</w:t>
      </w:r>
      <w:r w:rsidR="00A15A88">
        <w:fldChar w:fldCharType="end"/>
      </w:r>
    </w:p>
    <w:p w14:paraId="4DBD31AE" w14:textId="394CD4CB" w:rsidR="00DC4439" w:rsidRPr="0001239D" w:rsidRDefault="00DC4439" w:rsidP="00E07370">
      <w:pPr>
        <w:pStyle w:val="Heading4"/>
      </w:pPr>
      <w:r>
        <w:t xml:space="preserve">Installation of </w:t>
      </w:r>
      <w:r w:rsidR="00F85711">
        <w:t>Solar Water Heaters</w:t>
      </w:r>
    </w:p>
    <w:p w14:paraId="6E64B683" w14:textId="499358FC" w:rsidR="008510E9" w:rsidRDefault="00885016" w:rsidP="00E07370">
      <w:r w:rsidRPr="00795B28">
        <w:t xml:space="preserve">The proper installation of a SWH depends on various factors such as </w:t>
      </w:r>
      <w:r w:rsidR="00451935">
        <w:t>in</w:t>
      </w:r>
      <w:r w:rsidRPr="00795B28">
        <w:t>sola</w:t>
      </w:r>
      <w:r w:rsidR="00451935">
        <w:t>tion (amount of sun energy)</w:t>
      </w:r>
      <w:r w:rsidRPr="00795B28">
        <w:t>, climate, local building code</w:t>
      </w:r>
      <w:r w:rsidR="002E0F13">
        <w:t>s</w:t>
      </w:r>
      <w:r w:rsidRPr="00795B28">
        <w:t xml:space="preserve">, and safety </w:t>
      </w:r>
      <w:r w:rsidR="002E0F13">
        <w:t>needs</w:t>
      </w:r>
      <w:r w:rsidR="00CA198F">
        <w:t xml:space="preserve"> </w:t>
      </w:r>
      <w:r w:rsidR="00A15A88" w:rsidRPr="00795B28">
        <w:fldChar w:fldCharType="begin"/>
      </w:r>
      <w:r w:rsidR="00A15A88" w:rsidRPr="00795B28">
        <w:instrText xml:space="preserve"> ADDIN ZOTERO_ITEM CSL_CITATION {"citationID":"kI4ieQFS","properties":{"formattedCitation":"(\\uc0\\u8220{}Solar Water Heaters | Department of Energy,\\uc0\\u8221{} 2015)","plainCitation":"(“Solar Water Heaters | Department of Energy,” 2015)","noteIndex":0},"citationItems":[{"id":861,"uris":["http://zotero.org/groups/2241931/items/WUHIYE3X"],"uri":["http://zotero.org/groups/2241931/items/WUHIYE3X"],"itemData":{"id":861,"type":"webpage","title":"Solar Water Heaters | Department of Energy","URL":"http://energy.gov/energysaver/articles/solar-water-heaters","issued":{"date-parts":[["2015",3,23]]},"accessed":{"date-parts":[["2015",3,23]]}}}],"schema":"https://github.com/citation-style-language/schema/raw/master/csl-citation.json"} </w:instrText>
      </w:r>
      <w:r w:rsidR="00A15A88" w:rsidRPr="00795B28">
        <w:fldChar w:fldCharType="separate"/>
      </w:r>
      <w:r w:rsidR="00A15A88" w:rsidRPr="00795B28">
        <w:t>(“Solar Water Heaters | Department of Energy,” 2015)</w:t>
      </w:r>
      <w:r w:rsidR="00A15A88" w:rsidRPr="00795B28">
        <w:fldChar w:fldCharType="end"/>
      </w:r>
      <w:r w:rsidRPr="00795B28">
        <w:t xml:space="preserve">. Installation in new buildings is </w:t>
      </w:r>
      <w:r w:rsidR="00451935">
        <w:t>more common that in</w:t>
      </w:r>
      <w:r w:rsidRPr="00795B28">
        <w:t xml:space="preserve"> existing buildings.</w:t>
      </w:r>
      <w:r w:rsidR="009D4BA4" w:rsidRPr="00795B28">
        <w:t xml:space="preserve"> Most solar water heaters can be easily retrofitted in an existing home. </w:t>
      </w:r>
      <w:r w:rsidR="00451935">
        <w:t>More</w:t>
      </w:r>
      <w:r w:rsidR="009D4BA4" w:rsidRPr="00795B28">
        <w:t xml:space="preserve"> space would be required </w:t>
      </w:r>
      <w:r w:rsidR="00451935">
        <w:t>if a</w:t>
      </w:r>
      <w:r w:rsidR="009D4BA4" w:rsidRPr="00795B28">
        <w:t xml:space="preserve"> water storage tank and a heat transfer unit </w:t>
      </w:r>
      <w:r w:rsidR="00451935">
        <w:t>are required</w:t>
      </w:r>
      <w:r w:rsidR="009D4BA4" w:rsidRPr="00795B28">
        <w:t>.</w:t>
      </w:r>
      <w:r w:rsidR="00DF0A5B" w:rsidRPr="00795B28">
        <w:t xml:space="preserve"> </w:t>
      </w:r>
      <w:r w:rsidR="000C6AB4" w:rsidRPr="00795B28">
        <w:t>For the collector, an area of about 3m</w:t>
      </w:r>
      <w:r w:rsidR="000C6AB4" w:rsidRPr="00795B28">
        <w:rPr>
          <w:vertAlign w:val="superscript"/>
        </w:rPr>
        <w:t xml:space="preserve">2 </w:t>
      </w:r>
      <w:r w:rsidR="000C6AB4" w:rsidRPr="00795B28">
        <w:t xml:space="preserve">would be required per collector. Most installations require 1-2 collectors. A small path would also be required for piping from the collector to the storage tank. </w:t>
      </w:r>
      <w:r w:rsidR="00CA198F">
        <w:t>In the northern hemisphere, a</w:t>
      </w:r>
      <w:r w:rsidR="00DF0A5B" w:rsidRPr="00795B28">
        <w:t xml:space="preserve"> south facing roof or wall </w:t>
      </w:r>
      <w:r w:rsidR="009873F2" w:rsidRPr="00795B28">
        <w:t xml:space="preserve">(south east or south west orientation for </w:t>
      </w:r>
      <w:r w:rsidR="00D1789F" w:rsidRPr="00795B28">
        <w:t xml:space="preserve">maximum performance) </w:t>
      </w:r>
      <w:r w:rsidR="00DF0A5B" w:rsidRPr="00795B28">
        <w:t>is considered the</w:t>
      </w:r>
      <w:r w:rsidR="00BF041D" w:rsidRPr="00795B28">
        <w:t xml:space="preserve"> best </w:t>
      </w:r>
      <w:r w:rsidR="00DF0A5B" w:rsidRPr="00795B28">
        <w:t xml:space="preserve">location for placement of a solar collector, set at an angle of 18-50 degrees from the horizontal plane </w:t>
      </w:r>
      <w:r w:rsidR="00047E1C" w:rsidRPr="00795B28">
        <w:fldChar w:fldCharType="begin"/>
      </w:r>
      <w:r w:rsidR="00047E1C" w:rsidRPr="00795B28">
        <w:instrText xml:space="preserve"> ADDIN ZOTERO_ITEM CSL_CITATION {"citationID":"p8wKETI6","properties":{"formattedCitation":"(Natural Resources Canada, 2003)","plainCitation":"(Natural Resources Canada, 2003)","noteIndex":0},"citationItems":[{"id":2455,"uris":["http://zotero.org/groups/2241931/items/GIR63M8H"],"uri":["http://zotero.org/groups/2241931/items/GIR63M8H"],"itemData":{"id":2455,"type":"report","title":"Solar Water Heating Systems","URL":"https://www.nrcan.gc.ca/sites/www.nrcan.gc.ca/files/canmetenergy/files/pubs/SOLAR-BuyersGuide-SolarWaterHeatingSystems_ENG.pdf","shortTitle":"NRCAN","author":[{"literal":"Natural Resources Canada"}],"issued":{"date-parts":[["2003"]]}}}],"schema":"https://github.com/citation-style-language/schema/raw/master/csl-citation.json"} </w:instrText>
      </w:r>
      <w:r w:rsidR="00047E1C" w:rsidRPr="00795B28">
        <w:fldChar w:fldCharType="separate"/>
      </w:r>
      <w:r w:rsidR="00047E1C" w:rsidRPr="00795B28">
        <w:rPr>
          <w:noProof/>
        </w:rPr>
        <w:t>(Natural Resources Canada, 2003)</w:t>
      </w:r>
      <w:r w:rsidR="00047E1C" w:rsidRPr="00795B28">
        <w:fldChar w:fldCharType="end"/>
      </w:r>
      <w:r w:rsidR="00DF0A5B" w:rsidRPr="00795B28">
        <w:t>.</w:t>
      </w:r>
      <w:r w:rsidR="009873F2" w:rsidRPr="00795B28">
        <w:t xml:space="preserve"> </w:t>
      </w:r>
      <w:r w:rsidR="00AA70A3">
        <w:t xml:space="preserve">The reverse is true in the Southern Hemisphere. </w:t>
      </w:r>
      <w:r w:rsidR="003026FE" w:rsidRPr="00795B28">
        <w:t>A solar collector at a shallow angle may compromise winter performance and will not assist in snow removal.</w:t>
      </w:r>
      <w:r w:rsidR="00CD051F" w:rsidRPr="00795B28">
        <w:t xml:space="preserve"> In situations where roof or wall mounting of the heaters is not possible, the heaters can be ground mounted. To avoid ultraviolet degradation, and decrease heat losses, piping should be protected, using a sleeve such as a down spout. </w:t>
      </w:r>
      <w:r w:rsidR="00666170" w:rsidRPr="00795B28">
        <w:t>Solar water heaters are available for seasonal as well as year-round use. The seasonal heating systems are less expensive given they do not require extra insulation to avoid freezing.</w:t>
      </w:r>
    </w:p>
    <w:p w14:paraId="183DFC6F" w14:textId="082C2B66" w:rsidR="008510E9" w:rsidRDefault="008510E9" w:rsidP="00E07370">
      <w:pPr>
        <w:pStyle w:val="Heading3"/>
      </w:pPr>
      <w:bookmarkStart w:id="15" w:name="_Toc44510652"/>
      <w:r>
        <w:t>Current Market for domestic Solar water heaters</w:t>
      </w:r>
      <w:bookmarkEnd w:id="15"/>
    </w:p>
    <w:p w14:paraId="22BE2183" w14:textId="53128C23" w:rsidR="008510E9" w:rsidRDefault="008510E9" w:rsidP="00E07370">
      <w:r w:rsidRPr="003664B0">
        <w:t>About 90% of the worldwide annual installations are small scale solar water heating systems</w:t>
      </w:r>
      <w:r w:rsidRPr="00177418">
        <w:t xml:space="preserve"> (Weiss &amp; Spörk-Dür, 2018)</w:t>
      </w:r>
      <w:r w:rsidRPr="003664B0">
        <w:t xml:space="preserve">. In 2016, 94% of </w:t>
      </w:r>
      <w:r w:rsidR="00DB1884" w:rsidRPr="003664B0">
        <w:t xml:space="preserve">worldwide </w:t>
      </w:r>
      <w:r w:rsidRPr="003664B0">
        <w:t xml:space="preserve">solar thermal was used for heating domestic </w:t>
      </w:r>
      <w:r w:rsidR="00DB1884">
        <w:t xml:space="preserve">and non-industrial </w:t>
      </w:r>
      <w:r w:rsidRPr="003664B0">
        <w:t>hot water</w:t>
      </w:r>
      <w:r w:rsidR="00DB1884">
        <w:t>. Smal</w:t>
      </w:r>
      <w:r w:rsidRPr="003664B0">
        <w:t xml:space="preserve">l scale systems in single family houses </w:t>
      </w:r>
      <w:r w:rsidR="00DB1884">
        <w:t>held</w:t>
      </w:r>
      <w:r w:rsidRPr="003664B0">
        <w:t xml:space="preserve"> the largest share </w:t>
      </w:r>
      <w:r w:rsidR="00DB1884">
        <w:t>at</w:t>
      </w:r>
      <w:r w:rsidRPr="003664B0">
        <w:t xml:space="preserve"> 67%, followed by larger scale applications, in multi-family homes, schools and hotels etc.</w:t>
      </w:r>
      <w:r w:rsidR="00DB1884">
        <w:t xml:space="preserve"> at</w:t>
      </w:r>
      <w:r w:rsidRPr="003664B0">
        <w:t xml:space="preserve"> (27%). Swimming pool heating accounted for 4% and solar combi</w:t>
      </w:r>
      <w:r>
        <w:t>-</w:t>
      </w:r>
      <w:r w:rsidRPr="003664B0">
        <w:t>systems for 1% of the total energy used for water heating.</w:t>
      </w:r>
    </w:p>
    <w:p w14:paraId="06911E0D" w14:textId="215AC080" w:rsidR="008B0376" w:rsidRPr="008B0376" w:rsidRDefault="551A77D0" w:rsidP="00E07370">
      <w:pPr>
        <w:pStyle w:val="Heading2"/>
      </w:pPr>
      <w:bookmarkStart w:id="16" w:name="_Toc853599"/>
      <w:bookmarkStart w:id="17" w:name="_Toc857782"/>
      <w:bookmarkStart w:id="18" w:name="_Toc857871"/>
      <w:bookmarkStart w:id="19" w:name="_Toc857960"/>
      <w:bookmarkStart w:id="20" w:name="_Toc858049"/>
      <w:bookmarkStart w:id="21" w:name="_Toc858142"/>
      <w:bookmarkStart w:id="22" w:name="_Toc894153"/>
      <w:bookmarkStart w:id="23" w:name="_Toc894348"/>
      <w:bookmarkStart w:id="24" w:name="_Toc44510653"/>
      <w:bookmarkEnd w:id="16"/>
      <w:bookmarkEnd w:id="17"/>
      <w:bookmarkEnd w:id="18"/>
      <w:bookmarkEnd w:id="19"/>
      <w:bookmarkEnd w:id="20"/>
      <w:bookmarkEnd w:id="21"/>
      <w:bookmarkEnd w:id="22"/>
      <w:bookmarkEnd w:id="23"/>
      <w:r w:rsidRPr="00177418">
        <w:lastRenderedPageBreak/>
        <w:t>Adoption Pa</w:t>
      </w:r>
      <w:r w:rsidR="0013182C">
        <w:t>th</w:t>
      </w:r>
      <w:bookmarkEnd w:id="24"/>
    </w:p>
    <w:p w14:paraId="62497E9D" w14:textId="48EBC619" w:rsidR="0021732C" w:rsidRPr="003F5943" w:rsidRDefault="551A77D0" w:rsidP="00E07370">
      <w:pPr>
        <w:pStyle w:val="Heading3"/>
      </w:pPr>
      <w:bookmarkStart w:id="25" w:name="_Toc44510654"/>
      <w:r w:rsidRPr="003F5943">
        <w:t>Current Adoption</w:t>
      </w:r>
      <w:r w:rsidR="00A709C2" w:rsidRPr="003F5943">
        <w:rPr>
          <w:rStyle w:val="FootnoteReference"/>
        </w:rPr>
        <w:footnoteReference w:id="1"/>
      </w:r>
      <w:bookmarkEnd w:id="25"/>
    </w:p>
    <w:p w14:paraId="01706BFA" w14:textId="4A67DAE1" w:rsidR="00BA5E43" w:rsidRPr="00574FDB" w:rsidRDefault="00BA5E43" w:rsidP="00E07370">
      <w:r>
        <w:t>For the base year of 2014, the adoption of solar water heaters was at 355 TWh</w:t>
      </w:r>
      <w:r w:rsidR="00C90F03">
        <w:t>, and this is estimated to have grown to 394 TWh in the latest year in the model (the current year), 2018</w:t>
      </w:r>
      <w:r>
        <w:t xml:space="preserve">. This </w:t>
      </w:r>
      <w:r w:rsidR="00C90F03">
        <w:t xml:space="preserve">2018 </w:t>
      </w:r>
      <w:r>
        <w:t xml:space="preserve">adoption satisfies </w:t>
      </w:r>
      <w:r w:rsidR="00C90F03">
        <w:t>8.1</w:t>
      </w:r>
      <w:r>
        <w:t>% of the total water heating demand</w:t>
      </w:r>
      <w:r w:rsidR="0013182C">
        <w:t xml:space="preserve"> of </w:t>
      </w:r>
      <w:r w:rsidR="00C90F03">
        <w:t>up to 4,891</w:t>
      </w:r>
      <w:r w:rsidR="0013182C">
        <w:t xml:space="preserve"> TWh</w:t>
      </w:r>
      <w:r w:rsidR="001B317E">
        <w:t xml:space="preserve"> in 201</w:t>
      </w:r>
      <w:r w:rsidR="00C90F03">
        <w:t>8</w:t>
      </w:r>
      <w:r>
        <w:t xml:space="preserve">. </w:t>
      </w:r>
      <w:r w:rsidR="00D34347" w:rsidRPr="00177418">
        <w:t xml:space="preserve">By the end of 2017, the </w:t>
      </w:r>
      <w:r w:rsidR="0068562D">
        <w:t xml:space="preserve">cumulative solar thermal </w:t>
      </w:r>
      <w:r w:rsidR="00D34347" w:rsidRPr="00177418">
        <w:t>global capacity</w:t>
      </w:r>
      <w:r w:rsidR="0068562D">
        <w:t xml:space="preserve"> in operation</w:t>
      </w:r>
      <w:r w:rsidR="00D34347" w:rsidRPr="00177418">
        <w:t xml:space="preserve"> was at an estimated 472 GW</w:t>
      </w:r>
      <w:r w:rsidR="00556ADD" w:rsidRPr="00177418">
        <w:t xml:space="preserve"> (</w:t>
      </w:r>
      <w:r w:rsidR="00D34347" w:rsidRPr="00177418">
        <w:t>th</w:t>
      </w:r>
      <w:r w:rsidR="00556ADD" w:rsidRPr="00177418">
        <w:t>)</w:t>
      </w:r>
      <w:r w:rsidR="00D34347" w:rsidRPr="00177418">
        <w:t xml:space="preserve"> (675 million square meters</w:t>
      </w:r>
      <w:r w:rsidR="004A1618">
        <w:t xml:space="preserve"> of collector</w:t>
      </w:r>
      <w:r w:rsidR="00451935">
        <w:t xml:space="preserve"> plat area</w:t>
      </w:r>
      <w:r w:rsidR="00D34347" w:rsidRPr="00177418">
        <w:t>)</w:t>
      </w:r>
      <w:r w:rsidR="00D34347" w:rsidRPr="00574FDB">
        <w:t xml:space="preserve">. The total energy supplied </w:t>
      </w:r>
      <w:r w:rsidR="00AE4FA3">
        <w:t xml:space="preserve">in 2017 </w:t>
      </w:r>
      <w:r w:rsidR="00D34347" w:rsidRPr="00574FDB">
        <w:t xml:space="preserve">by solar thermal systems was 388 TWh </w:t>
      </w:r>
      <w:r w:rsidR="00AE4FA3">
        <w:t xml:space="preserve">(th) </w:t>
      </w:r>
      <w:r w:rsidR="0068562D">
        <w:t>(</w:t>
      </w:r>
      <w:r w:rsidR="00AE4FA3">
        <w:t>approximately</w:t>
      </w:r>
      <w:r w:rsidR="00D34347" w:rsidRPr="00574FDB">
        <w:t xml:space="preserve"> saving 41.7 million tons of oil and 134.7 million tons of CO</w:t>
      </w:r>
      <w:r w:rsidR="00D34347" w:rsidRPr="00574FDB">
        <w:rPr>
          <w:vertAlign w:val="subscript"/>
        </w:rPr>
        <w:t>2</w:t>
      </w:r>
      <w:r w:rsidR="0068562D">
        <w:t>)</w:t>
      </w:r>
      <w:r w:rsidR="00D34347" w:rsidRPr="00574FDB">
        <w:t xml:space="preserve"> </w:t>
      </w:r>
      <w:r w:rsidR="00D34347" w:rsidRPr="00177418">
        <w:rPr>
          <w:color w:val="000000"/>
        </w:rPr>
        <w:t>(Weiss &amp; Spörk-Dür, 2018)</w:t>
      </w:r>
      <w:r w:rsidR="00D34347" w:rsidRPr="00177418">
        <w:t xml:space="preserve">. The newly commissioned glazed and unglazed collectors by the end of 2017 was 35 </w:t>
      </w:r>
      <w:r w:rsidR="00556ADD" w:rsidRPr="00177418">
        <w:t>GW (th</w:t>
      </w:r>
      <w:r w:rsidR="001E75DF" w:rsidRPr="00177418">
        <w:t>).</w:t>
      </w:r>
      <w:r w:rsidR="00D34347" w:rsidRPr="00177418">
        <w:t xml:space="preserve"> This annual global capacity was 4% down from 2016, where the capacity was 36.5 </w:t>
      </w:r>
      <w:r w:rsidR="00556ADD" w:rsidRPr="00177418">
        <w:t xml:space="preserve">GW (th) </w:t>
      </w:r>
      <w:r w:rsidR="00D34347" w:rsidRPr="00177418">
        <w:rPr>
          <w:noProof/>
        </w:rPr>
        <w:t>(</w:t>
      </w:r>
      <w:r w:rsidR="00C47087">
        <w:rPr>
          <w:noProof/>
        </w:rPr>
        <w:t>REN21</w:t>
      </w:r>
      <w:r w:rsidR="00D34347" w:rsidRPr="00177418">
        <w:rPr>
          <w:noProof/>
        </w:rPr>
        <w:t>, 2018)</w:t>
      </w:r>
      <w:r w:rsidR="00D34347" w:rsidRPr="00177418">
        <w:t>. This is a significant decline considering the annual global added collector capacity was 18% in 2010-2011. The decline is evident in the markets of China (6% decline) and Europe due to competitive technologies such as heat pump and solar photovoltaics</w:t>
      </w:r>
      <w:r w:rsidR="00D73B8E" w:rsidRPr="00177418">
        <w:t xml:space="preserve"> </w:t>
      </w:r>
      <w:r w:rsidR="00D34347" w:rsidRPr="00177418">
        <w:t>(Weiss &amp; Spörk-Dür, 2018). On the other hand, market growths were recorded in India (2</w:t>
      </w:r>
      <w:r w:rsidR="0068562D">
        <w:t>6</w:t>
      </w:r>
      <w:r w:rsidR="00D34347" w:rsidRPr="00177418">
        <w:t>%), Mexico (7%) and Turkey (4%).</w:t>
      </w:r>
    </w:p>
    <w:p w14:paraId="11898DA5" w14:textId="1A23349F" w:rsidR="0013182C" w:rsidRPr="003664B0" w:rsidRDefault="00D34347" w:rsidP="00E07370">
      <w:r w:rsidRPr="00574FDB">
        <w:t xml:space="preserve">The six leading countries for new installations in 2017 were China, Turkey, India, Brazil, the United States and Germany, the largest installations being in China of about 26.1 </w:t>
      </w:r>
      <w:r w:rsidR="00556ADD" w:rsidRPr="00177418">
        <w:t xml:space="preserve">GW (th) </w:t>
      </w:r>
      <w:r w:rsidR="004F24FA">
        <w:t>in 2017</w:t>
      </w:r>
      <w:r w:rsidRPr="00574FDB">
        <w:t xml:space="preserve">. </w:t>
      </w:r>
      <w:r w:rsidR="00637875">
        <w:t xml:space="preserve">China accounted for </w:t>
      </w:r>
      <w:r w:rsidRPr="00574FDB">
        <w:t>71.2%</w:t>
      </w:r>
      <w:r w:rsidR="00127E7D">
        <w:t xml:space="preserve"> (i.e., </w:t>
      </w:r>
      <w:r w:rsidR="00593E4B">
        <w:t xml:space="preserve">year-end total </w:t>
      </w:r>
      <w:r w:rsidR="003E0D2A">
        <w:t xml:space="preserve">of </w:t>
      </w:r>
      <w:r w:rsidR="00127E7D">
        <w:t>325 GW (th)) of the total</w:t>
      </w:r>
      <w:r w:rsidR="003E0D2A">
        <w:t xml:space="preserve"> cumulative</w:t>
      </w:r>
      <w:r w:rsidR="00127E7D">
        <w:t xml:space="preserve"> global capacity (456 GW (th))</w:t>
      </w:r>
      <w:r w:rsidR="00127E7D" w:rsidRPr="003664B0">
        <w:t xml:space="preserve"> </w:t>
      </w:r>
      <w:r w:rsidRPr="003664B0">
        <w:t>by the end of 2016</w:t>
      </w:r>
      <w:r w:rsidR="00127E7D">
        <w:t xml:space="preserve">. </w:t>
      </w:r>
      <w:r w:rsidRPr="003664B0">
        <w:t>China’s rural retail market continued to decline in 2017 due to reduced construction activity and market saturation</w:t>
      </w:r>
      <w:r w:rsidR="00DB1884">
        <w:t>. This was partly offset</w:t>
      </w:r>
      <w:r w:rsidRPr="003664B0">
        <w:t xml:space="preserve"> by rising demand for solar heating for large real estate projects </w:t>
      </w:r>
      <w:r w:rsidRPr="003664B0">
        <w:rPr>
          <w:noProof/>
        </w:rPr>
        <w:t>(</w:t>
      </w:r>
      <w:r w:rsidR="00C47087">
        <w:rPr>
          <w:noProof/>
        </w:rPr>
        <w:t>REN21</w:t>
      </w:r>
      <w:r w:rsidRPr="003664B0">
        <w:rPr>
          <w:noProof/>
        </w:rPr>
        <w:t>, 2018)</w:t>
      </w:r>
      <w:r w:rsidRPr="003664B0">
        <w:t xml:space="preserve">. Turkey’s strong construction market maintained the demand for solar water heaters without subsidies. Vacuum tube collectors were mainly used in Turkey’s colder regions, whereas natural circulation systems were mostly used in residential installations and forced circulation systems were used mostly in commercial installations </w:t>
      </w:r>
      <w:r w:rsidRPr="003664B0">
        <w:rPr>
          <w:noProof/>
        </w:rPr>
        <w:t>(</w:t>
      </w:r>
      <w:r w:rsidR="00910BAD">
        <w:rPr>
          <w:noProof/>
        </w:rPr>
        <w:t>REN21</w:t>
      </w:r>
      <w:r w:rsidRPr="003664B0">
        <w:rPr>
          <w:noProof/>
        </w:rPr>
        <w:t>, 2018)</w:t>
      </w:r>
      <w:r w:rsidRPr="003664B0">
        <w:t xml:space="preserve">. </w:t>
      </w:r>
    </w:p>
    <w:p w14:paraId="165581FC" w14:textId="5050E7AE" w:rsidR="0013182C" w:rsidRPr="00177418" w:rsidRDefault="0013182C" w:rsidP="00E07370">
      <w:r>
        <w:t>T</w:t>
      </w:r>
      <w:r w:rsidRPr="00177418">
        <w:t xml:space="preserve">he global thermal capacity of solar collectors for water heating was 456 GW (th) in 2016 and 472 </w:t>
      </w:r>
      <w:r>
        <w:t>GW (th)</w:t>
      </w:r>
      <w:r w:rsidRPr="00177418">
        <w:t xml:space="preserve"> at the end of 2017 </w:t>
      </w:r>
      <w:r w:rsidRPr="00177418">
        <w:rPr>
          <w:noProof/>
        </w:rPr>
        <w:t>(</w:t>
      </w:r>
      <w:r>
        <w:rPr>
          <w:noProof/>
        </w:rPr>
        <w:t>REN21</w:t>
      </w:r>
      <w:r w:rsidRPr="00177418">
        <w:rPr>
          <w:noProof/>
        </w:rPr>
        <w:t>, 2018)</w:t>
      </w:r>
      <w:r w:rsidRPr="00177418">
        <w:t xml:space="preserve">. In 2017, 7 European countries were among the top 10 countries worldwide for additions to solar water heating capacity. The six leading countries in terms of cumulative capacity at the end of 2016 were China (325 </w:t>
      </w:r>
      <w:r>
        <w:t>GW (th)</w:t>
      </w:r>
      <w:r w:rsidRPr="00177418">
        <w:t xml:space="preserve">, followed by United States (18 GW (th)), Turkey (15 </w:t>
      </w:r>
      <w:r>
        <w:lastRenderedPageBreak/>
        <w:t>GW (th</w:t>
      </w:r>
      <w:r w:rsidRPr="00177418">
        <w:t>)</w:t>
      </w:r>
      <w:r>
        <w:t>)</w:t>
      </w:r>
      <w:r w:rsidRPr="00177418">
        <w:t xml:space="preserve">, Germany (14 </w:t>
      </w:r>
      <w:r>
        <w:t>GW (th))</w:t>
      </w:r>
      <w:r w:rsidRPr="00177418">
        <w:t xml:space="preserve">, Brazil (10 </w:t>
      </w:r>
      <w:r>
        <w:t>GW (th</w:t>
      </w:r>
      <w:r w:rsidRPr="00177418">
        <w:t>)</w:t>
      </w:r>
      <w:r>
        <w:t>)</w:t>
      </w:r>
      <w:r w:rsidRPr="00177418">
        <w:t xml:space="preserve">, India (7 </w:t>
      </w:r>
      <w:r>
        <w:t>GW (th</w:t>
      </w:r>
      <w:r w:rsidRPr="00177418">
        <w:t>)</w:t>
      </w:r>
      <w:r>
        <w:t xml:space="preserve">) </w:t>
      </w:r>
      <w:r w:rsidRPr="00177418">
        <w:rPr>
          <w:noProof/>
        </w:rPr>
        <w:t>(</w:t>
      </w:r>
      <w:r>
        <w:rPr>
          <w:noProof/>
        </w:rPr>
        <w:t>REN21</w:t>
      </w:r>
      <w:r w:rsidRPr="00177418">
        <w:rPr>
          <w:noProof/>
        </w:rPr>
        <w:t>, 2018)</w:t>
      </w:r>
      <w:r w:rsidRPr="00177418">
        <w:t>. It should be noted that China is a much larger contributor to the global capacity of installed SWH systems compared to all the other leading countries following China and that 4 out of 6 of these top installations are in developing countries (United Nations Environment Programme, 2015).</w:t>
      </w:r>
    </w:p>
    <w:p w14:paraId="64A2825F" w14:textId="5612ED9A" w:rsidR="0013182C" w:rsidRPr="00815832" w:rsidRDefault="0013182C" w:rsidP="00E07370">
      <w:r w:rsidRPr="00177418">
        <w:t>Annual growth rates of solar thermal heating have ranged from 9% - 34% from 2000 – 2012 (“</w:t>
      </w:r>
      <w:r w:rsidRPr="006977A2">
        <w:t xml:space="preserve">IEA SHC || Solar Heat Worldwide Markets and Contribution to the Energy Supply,” n.d.). </w:t>
      </w:r>
      <w:r w:rsidRPr="00177418">
        <w:t>Since 2011, growth rates have been slowing (e.g. 17.6% in 2010/2011, 10.6% in 2011/2012, and 3.3% in 2012/2013 in China). Global installed solar thermal capacity was 234.6 GW (th) in 2012, including district heating and solar space heating systems. Global solar thermal heat</w:t>
      </w:r>
      <w:r w:rsidR="00A13346">
        <w:t>ing</w:t>
      </w:r>
      <w:r w:rsidRPr="00177418">
        <w:t xml:space="preserve"> in buildings grew </w:t>
      </w:r>
      <w:r w:rsidR="00A13346">
        <w:t xml:space="preserve">annually </w:t>
      </w:r>
      <w:r w:rsidRPr="00177418">
        <w:t xml:space="preserve">at </w:t>
      </w:r>
      <w:r w:rsidR="00AE4FA3">
        <w:t xml:space="preserve">an average of </w:t>
      </w:r>
      <w:r w:rsidRPr="00177418">
        <w:t xml:space="preserve">12% and reached 0.7 EJ in 2011. </w:t>
      </w:r>
    </w:p>
    <w:p w14:paraId="0FA4BF71" w14:textId="228B3F19" w:rsidR="0013182C" w:rsidRPr="003F5943" w:rsidRDefault="00A13346" w:rsidP="00E07370">
      <w:r>
        <w:t>In China, t</w:t>
      </w:r>
      <w:r w:rsidR="0013182C" w:rsidRPr="00177418">
        <w:t xml:space="preserve">he </w:t>
      </w:r>
      <w:r w:rsidR="00AE4FA3">
        <w:t xml:space="preserve">world’s </w:t>
      </w:r>
      <w:r w:rsidR="0013182C" w:rsidRPr="00177418">
        <w:t>fastest-growing market</w:t>
      </w:r>
      <w:r>
        <w:t>,</w:t>
      </w:r>
      <w:r w:rsidR="0013182C" w:rsidRPr="00177418">
        <w:t xml:space="preserve"> installed capacity increased more than seven-fold</w:t>
      </w:r>
      <w:r w:rsidR="00491C30">
        <w:t>,</w:t>
      </w:r>
      <w:r w:rsidR="0013182C" w:rsidRPr="00177418">
        <w:t xml:space="preserve"> between 2000 and 2011, to 152 GW (th). The solar thermal </w:t>
      </w:r>
      <w:r w:rsidR="00491C30">
        <w:t xml:space="preserve">final </w:t>
      </w:r>
      <w:r w:rsidR="0013182C" w:rsidRPr="00177418">
        <w:t xml:space="preserve">energy use for </w:t>
      </w:r>
      <w:r w:rsidR="00491C30" w:rsidRPr="00177418">
        <w:t xml:space="preserve">building </w:t>
      </w:r>
      <w:r w:rsidR="0013182C" w:rsidRPr="00177418">
        <w:t xml:space="preserve">heat in China grew </w:t>
      </w:r>
      <w:r w:rsidR="00491C30">
        <w:t>eleven-fold, between</w:t>
      </w:r>
      <w:r w:rsidR="0013182C" w:rsidRPr="00177418">
        <w:t xml:space="preserve"> 2000 </w:t>
      </w:r>
      <w:r w:rsidR="00491C30">
        <w:t xml:space="preserve">and 2011, </w:t>
      </w:r>
      <w:r w:rsidR="0013182C" w:rsidRPr="00177418">
        <w:t xml:space="preserve">to 0.46 EJ, nearly all for hot water provision (IEA, 2015). In 2017 however, a 6% decline in new installations was observed in China. A decline in new installations has been reported for the fourth year in a row in China. </w:t>
      </w:r>
    </w:p>
    <w:p w14:paraId="7099A59F" w14:textId="2781A3C6" w:rsidR="0021732C" w:rsidRPr="003F5943" w:rsidRDefault="551A77D0" w:rsidP="00E07370">
      <w:pPr>
        <w:pStyle w:val="Heading3"/>
      </w:pPr>
      <w:bookmarkStart w:id="26" w:name="_Toc44510655"/>
      <w:r w:rsidRPr="003F5943">
        <w:t>Trends</w:t>
      </w:r>
      <w:r w:rsidR="000C3205" w:rsidRPr="003F5943">
        <w:t xml:space="preserve"> </w:t>
      </w:r>
      <w:r w:rsidR="00A53CDF" w:rsidRPr="003F5943">
        <w:t>to Accelerate Adoption</w:t>
      </w:r>
      <w:bookmarkEnd w:id="26"/>
    </w:p>
    <w:p w14:paraId="61338C14" w14:textId="523DBD7D" w:rsidR="000963B7" w:rsidRPr="003F5943" w:rsidRDefault="00705AC4" w:rsidP="00E07370">
      <w:r w:rsidRPr="003F5943">
        <w:t>Monthly savings on utility bills</w:t>
      </w:r>
      <w:r w:rsidR="006B6CC4" w:rsidRPr="003F5943">
        <w:t xml:space="preserve"> (estimated at about 25% of total residential monthly utilities</w:t>
      </w:r>
      <w:r w:rsidR="00D73B8E" w:rsidRPr="003F5943">
        <w:t>)</w:t>
      </w:r>
      <w:r w:rsidR="005D3737" w:rsidRPr="003F5943">
        <w:t xml:space="preserve"> </w:t>
      </w:r>
      <w:r w:rsidR="00845EFA" w:rsidRPr="00FD4329">
        <w:t>(Mordor Intelligence, 2018; “Residential Guide to Solar Hot Water,” n.d.</w:t>
      </w:r>
      <w:r w:rsidR="00F87987" w:rsidRPr="00FD4329">
        <w:t>)</w:t>
      </w:r>
      <w:r w:rsidR="00F87987" w:rsidRPr="003F5943">
        <w:t>,</w:t>
      </w:r>
      <w:r w:rsidRPr="003F5943">
        <w:t xml:space="preserve"> desire for energy independence, increased control over energy choices, concern about pollution, the environment and climate change have been cited as reason for installation of solar hot water systems</w:t>
      </w:r>
      <w:r w:rsidR="003E64ED" w:rsidRPr="003F5943">
        <w:t>. Creation of local jobs and supporting local businesses are also seen as incentives of adoption of solar energy for water heating</w:t>
      </w:r>
      <w:r w:rsidR="00FB68C4" w:rsidRPr="003F5943">
        <w:t xml:space="preserve"> </w:t>
      </w:r>
      <w:r w:rsidR="003664D6" w:rsidRPr="00FD4329">
        <w:t>(“Residential Guide to Solar Hot Water,” n.d.)</w:t>
      </w:r>
      <w:r w:rsidRPr="003F5943">
        <w:t>.</w:t>
      </w:r>
      <w:r w:rsidR="00FC637A" w:rsidRPr="003F5943">
        <w:t xml:space="preserve"> A strong construction market is </w:t>
      </w:r>
      <w:r w:rsidR="003F1FFB" w:rsidRPr="003F5943">
        <w:t xml:space="preserve">also cited as </w:t>
      </w:r>
      <w:r w:rsidR="00D73B8E" w:rsidRPr="003F5943">
        <w:t>strong factor</w:t>
      </w:r>
      <w:r w:rsidR="003F1FFB" w:rsidRPr="003F5943">
        <w:t xml:space="preserve"> in adoption of solar water heaters, driving the sales in Turkey and declining the adoption in rural </w:t>
      </w:r>
      <w:r w:rsidR="003A4814" w:rsidRPr="003F5943">
        <w:t xml:space="preserve">China </w:t>
      </w:r>
      <w:r w:rsidR="003F1FFB" w:rsidRPr="003F5943">
        <w:t>due to reduced construction activity</w:t>
      </w:r>
      <w:r w:rsidR="00991146" w:rsidRPr="003F5943">
        <w:t xml:space="preserve"> </w:t>
      </w:r>
      <w:r w:rsidR="00991146" w:rsidRPr="003F5943">
        <w:rPr>
          <w:noProof/>
        </w:rPr>
        <w:t>(</w:t>
      </w:r>
      <w:r w:rsidR="00C47087" w:rsidRPr="003F5943">
        <w:rPr>
          <w:noProof/>
        </w:rPr>
        <w:t>REN21</w:t>
      </w:r>
      <w:r w:rsidR="00991146" w:rsidRPr="003F5943">
        <w:rPr>
          <w:noProof/>
        </w:rPr>
        <w:t>, 2018)</w:t>
      </w:r>
      <w:r w:rsidR="003F1FFB" w:rsidRPr="003F5943">
        <w:t xml:space="preserve">. </w:t>
      </w:r>
    </w:p>
    <w:p w14:paraId="4775633C" w14:textId="173E75E6" w:rsidR="008510E9" w:rsidRDefault="00F87987" w:rsidP="00E07370">
      <w:r w:rsidRPr="003664B0">
        <w:t xml:space="preserve">Reduction in cost of the solar water heaters as well as their installation costs in addition to operational savings would be appealing to home owners and strengthen investments in the adoption of domestic solar water heaters. </w:t>
      </w:r>
      <w:r w:rsidR="00F55EA0" w:rsidRPr="003664B0">
        <w:t>SWH, due to their cost and availability, are more common practice in rural China compared to urban areas.</w:t>
      </w:r>
      <w:r w:rsidR="005744F6" w:rsidRPr="003664B0">
        <w:t xml:space="preserve"> </w:t>
      </w:r>
      <w:r w:rsidR="00D2444D" w:rsidRPr="003664B0">
        <w:t>Competitive incentives for adoption of solar hot water systems are thus essential</w:t>
      </w:r>
      <w:r w:rsidR="004F1F3A" w:rsidRPr="003664B0">
        <w:t xml:space="preserve"> for higher adoption especially by poorer </w:t>
      </w:r>
      <w:r w:rsidR="00556ADD" w:rsidRPr="003664B0">
        <w:t>families (</w:t>
      </w:r>
      <w:r w:rsidR="00A243CC" w:rsidRPr="003664B0">
        <w:t>Zhou, 2018)</w:t>
      </w:r>
      <w:r w:rsidR="004F1F3A" w:rsidRPr="003664B0">
        <w:t>.</w:t>
      </w:r>
      <w:r w:rsidR="005744F6" w:rsidRPr="003664B0">
        <w:t xml:space="preserve"> </w:t>
      </w:r>
      <w:r w:rsidR="007A69D9" w:rsidRPr="003664B0">
        <w:t>L</w:t>
      </w:r>
      <w:r w:rsidR="005744F6" w:rsidRPr="003664B0">
        <w:t xml:space="preserve">oans without interest programs have been shown to boost market development in </w:t>
      </w:r>
      <w:r w:rsidR="007A69D9" w:rsidRPr="003664B0">
        <w:t xml:space="preserve">Lebanon and Bangladesh </w:t>
      </w:r>
      <w:r w:rsidR="00A243CC" w:rsidRPr="003664B0">
        <w:t>(Girardeau, 2017)</w:t>
      </w:r>
      <w:r w:rsidR="007A69D9" w:rsidRPr="003664B0">
        <w:t>.</w:t>
      </w:r>
      <w:r w:rsidR="00452352" w:rsidRPr="003664B0">
        <w:t xml:space="preserve"> On the contrary, Greek loan programs</w:t>
      </w:r>
      <w:r w:rsidR="000A4BEA" w:rsidRPr="003664B0">
        <w:t xml:space="preserve"> in the past</w:t>
      </w:r>
      <w:r w:rsidR="00452352" w:rsidRPr="003664B0">
        <w:t xml:space="preserve"> have not been successful due to the long pay back periods of solar water heaters</w:t>
      </w:r>
      <w:r w:rsidR="000A4BEA" w:rsidRPr="003664B0">
        <w:t xml:space="preserve"> </w:t>
      </w:r>
      <w:r w:rsidR="00A243CC" w:rsidRPr="003664B0">
        <w:lastRenderedPageBreak/>
        <w:t>(Girardeau, 2017)</w:t>
      </w:r>
      <w:r w:rsidR="00452352" w:rsidRPr="003664B0">
        <w:t>.</w:t>
      </w:r>
      <w:r w:rsidR="00552BF0">
        <w:t xml:space="preserve"> </w:t>
      </w:r>
      <w:r w:rsidR="00DD5CF6" w:rsidRPr="00D16D54">
        <w:t xml:space="preserve">Collaboration between firms, in addition to university-industry collaborations is said to expand the market for SWH, </w:t>
      </w:r>
      <w:r w:rsidR="00894562">
        <w:t>similar to</w:t>
      </w:r>
      <w:r w:rsidR="00DD5CF6" w:rsidRPr="00D16D54">
        <w:t xml:space="preserve"> the case of solar </w:t>
      </w:r>
      <w:r w:rsidR="00556ADD" w:rsidRPr="00D16D54">
        <w:t>PV (</w:t>
      </w:r>
      <w:r w:rsidR="00A243CC" w:rsidRPr="00D16D54">
        <w:t>Zhou, 2018)</w:t>
      </w:r>
      <w:r w:rsidR="00DD5CF6" w:rsidRPr="00D16D54">
        <w:t>.</w:t>
      </w:r>
      <w:r w:rsidR="00C60A8E" w:rsidRPr="00D16D54">
        <w:t xml:space="preserve"> Technical knowledge in repairs of SWH is also listed as a significant factor in SWH purchase decisions </w:t>
      </w:r>
      <w:r w:rsidR="00A243CC" w:rsidRPr="00177418">
        <w:t>(Girardeau, 2017)</w:t>
      </w:r>
      <w:r w:rsidR="008510E9">
        <w:t>.</w:t>
      </w:r>
    </w:p>
    <w:p w14:paraId="27E45361" w14:textId="6F1A35A1" w:rsidR="008510E9" w:rsidRPr="00177418" w:rsidRDefault="008510E9" w:rsidP="00E07370">
      <w:r w:rsidRPr="00177418">
        <w:t>In the IEA ETP B2DS, water heating savings account for more than half (or nearly 120EJ</w:t>
      </w:r>
      <w:r w:rsidR="006F58EC">
        <w:t>)</w:t>
      </w:r>
      <w:r w:rsidRPr="00177418">
        <w:t xml:space="preserve"> of the cumulative energy savings to 2060 and beyond </w:t>
      </w:r>
      <w:r w:rsidRPr="00177418">
        <w:rPr>
          <w:noProof/>
        </w:rPr>
        <w:t>(International Energy Agency, 2017a)</w:t>
      </w:r>
      <w:r w:rsidRPr="00177418">
        <w:t xml:space="preserve">. This is estimated achievable by increase in solar thermal by tenfold compared to 2017 in the 2BDS scenario along with other steps to decarbonize water heating, such as use of heat pumps and low-carbon district energy. In particular, in the 2BDS scenario, solar thermal water heating would help to avoid 65EJ of fossil fuel and electricity demand (cumulative) growth compared with the RTS. The main driver to achieve this is lowering the cost of solar thermal technologies by 40% </w:t>
      </w:r>
      <w:r w:rsidRPr="00177418">
        <w:rPr>
          <w:noProof/>
        </w:rPr>
        <w:t>(International Energy Agency, 2017a)</w:t>
      </w:r>
      <w:r w:rsidRPr="00177418">
        <w:t>.</w:t>
      </w:r>
    </w:p>
    <w:p w14:paraId="626AC422" w14:textId="4F075B7C" w:rsidR="0021732C" w:rsidRPr="003F5943" w:rsidRDefault="551A77D0" w:rsidP="00E07370">
      <w:pPr>
        <w:pStyle w:val="Heading3"/>
      </w:pPr>
      <w:bookmarkStart w:id="27" w:name="_Ref2245259"/>
      <w:bookmarkStart w:id="28" w:name="_Toc44510656"/>
      <w:r w:rsidRPr="003F5943">
        <w:t>Barriers to Adoption</w:t>
      </w:r>
      <w:bookmarkEnd w:id="27"/>
      <w:bookmarkEnd w:id="28"/>
    </w:p>
    <w:p w14:paraId="3D62494F" w14:textId="53006E82" w:rsidR="005166FB" w:rsidRDefault="009A46C2" w:rsidP="00E07370">
      <w:r w:rsidRPr="00A64D84">
        <w:t xml:space="preserve">Cost is one of the </w:t>
      </w:r>
      <w:r w:rsidR="006F58EC">
        <w:t>main</w:t>
      </w:r>
      <w:r w:rsidRPr="00A64D84">
        <w:t xml:space="preserve"> barriers to adoption of DSWHS.</w:t>
      </w:r>
      <w:r w:rsidR="005166FB">
        <w:t xml:space="preserve"> </w:t>
      </w:r>
      <w:r w:rsidR="00A13346">
        <w:t>S</w:t>
      </w:r>
      <w:r w:rsidR="005166FB" w:rsidRPr="00177418">
        <w:t xml:space="preserve">olar water heating </w:t>
      </w:r>
      <w:r w:rsidR="00A13346">
        <w:t xml:space="preserve">has </w:t>
      </w:r>
      <w:r w:rsidR="005166FB" w:rsidRPr="00177418">
        <w:t xml:space="preserve">higher </w:t>
      </w:r>
      <w:r w:rsidR="00A13346">
        <w:t>installation</w:t>
      </w:r>
      <w:r w:rsidR="005166FB" w:rsidRPr="00177418">
        <w:t xml:space="preserve"> costs and lower operation and maintenance (O&amp;M) costs </w:t>
      </w:r>
      <w:r w:rsidR="00A13346">
        <w:t xml:space="preserve">than </w:t>
      </w:r>
      <w:r w:rsidR="005166FB" w:rsidRPr="00177418">
        <w:t xml:space="preserve">conventional technologies. </w:t>
      </w:r>
      <w:r w:rsidR="00A13346">
        <w:t>Globally, installation</w:t>
      </w:r>
      <w:r w:rsidR="005166FB" w:rsidRPr="00177418">
        <w:t xml:space="preserve"> costs for a domestic hot water system</w:t>
      </w:r>
      <w:r w:rsidR="00A13346">
        <w:t>s</w:t>
      </w:r>
      <w:r w:rsidR="005166FB" w:rsidRPr="00177418">
        <w:t xml:space="preserve"> can vary by a factor of almost </w:t>
      </w:r>
      <w:r w:rsidR="005166FB">
        <w:t>25</w:t>
      </w:r>
      <w:r w:rsidR="005166FB" w:rsidRPr="00177418">
        <w:t xml:space="preserve"> </w:t>
      </w:r>
      <w:r w:rsidR="00A13346">
        <w:t>(</w:t>
      </w:r>
      <w:r w:rsidR="005166FB" w:rsidRPr="00177418">
        <w:t xml:space="preserve">USD </w:t>
      </w:r>
      <w:r w:rsidR="005166FB" w:rsidRPr="006977A2">
        <w:t>100/kW (th) to USD 2,400/kW (th)</w:t>
      </w:r>
      <w:r w:rsidR="00A13346">
        <w:t>)</w:t>
      </w:r>
      <w:r w:rsidR="005166FB" w:rsidRPr="006977A2">
        <w:t xml:space="preserve"> (IEA, 2012.)</w:t>
      </w:r>
      <w:r w:rsidR="005166FB">
        <w:t>.</w:t>
      </w:r>
      <w:r w:rsidR="005166FB" w:rsidRPr="006977A2">
        <w:t xml:space="preserve"> These costs however, are lower for larger systems (USD 350/kW(th) – USD 1040/kW(th)</w:t>
      </w:r>
      <w:r w:rsidR="005166FB" w:rsidRPr="001E75DF">
        <w:t xml:space="preserve"> (Anselm Eisentraut &amp; Adam Brown, 2014)</w:t>
      </w:r>
      <w:r w:rsidR="005166FB" w:rsidRPr="006977A2">
        <w:t xml:space="preserve">. </w:t>
      </w:r>
      <w:r w:rsidR="005166FB" w:rsidRPr="00177418">
        <w:t>The Renewables 2015 Global Status report also provides a comprehensive list of costs of different kinds of roof-top solar water heating systems (Ürge-Vorsatz et al., 2015).</w:t>
      </w:r>
      <w:r w:rsidR="005166FB">
        <w:t xml:space="preserve"> </w:t>
      </w:r>
      <w:r w:rsidR="007F1001" w:rsidRPr="00A64D84">
        <w:t>Cost related barriers include, h</w:t>
      </w:r>
      <w:r w:rsidR="00D74689" w:rsidRPr="00A64D84">
        <w:t xml:space="preserve">igh upfront costs </w:t>
      </w:r>
      <w:r w:rsidR="0057597D" w:rsidRPr="00A64D84">
        <w:rPr>
          <w:noProof/>
        </w:rPr>
        <w:t>(Gautam, Chamoli, Kumar, &amp; Singh, 2017)</w:t>
      </w:r>
      <w:r w:rsidR="00C11E15" w:rsidRPr="00A64D84">
        <w:t xml:space="preserve"> </w:t>
      </w:r>
      <w:r w:rsidR="00D74689" w:rsidRPr="00A64D84">
        <w:t xml:space="preserve">compared to conventional technologies, integration into existing buildings, </w:t>
      </w:r>
      <w:r w:rsidRPr="00A64D84">
        <w:t xml:space="preserve">lack of </w:t>
      </w:r>
      <w:r w:rsidR="006F58EC">
        <w:t xml:space="preserve">or inadequate </w:t>
      </w:r>
      <w:r w:rsidRPr="00A64D84">
        <w:t>financing, import tariffs and other taxes on equipment</w:t>
      </w:r>
      <w:r w:rsidR="008510E9">
        <w:t xml:space="preserve"> </w:t>
      </w:r>
      <w:r w:rsidR="004F7CC3" w:rsidRPr="00A64D84">
        <w:t>(United Nations Environment Programme, 2015)</w:t>
      </w:r>
      <w:r w:rsidRPr="00A64D84">
        <w:t xml:space="preserve">, </w:t>
      </w:r>
      <w:r w:rsidR="007F1001" w:rsidRPr="00A64D84">
        <w:t>l</w:t>
      </w:r>
      <w:r w:rsidRPr="00A64D84">
        <w:t xml:space="preserve">ow fossil fuel prices, </w:t>
      </w:r>
      <w:r w:rsidR="004F7CC3" w:rsidRPr="00A64D84">
        <w:t>(</w:t>
      </w:r>
      <w:r w:rsidR="00C47087">
        <w:t>REN21</w:t>
      </w:r>
      <w:r w:rsidR="004F7CC3" w:rsidRPr="00177418">
        <w:t>, 2018; United Nations Environment Programme, 2015)</w:t>
      </w:r>
      <w:r w:rsidR="00487575" w:rsidRPr="00177418">
        <w:t xml:space="preserve">, </w:t>
      </w:r>
      <w:r w:rsidR="007F1001" w:rsidRPr="00A64D84">
        <w:t xml:space="preserve">and </w:t>
      </w:r>
      <w:r w:rsidR="00487575" w:rsidRPr="00A64D84">
        <w:t>c</w:t>
      </w:r>
      <w:r w:rsidR="00D74689" w:rsidRPr="00A64D84">
        <w:t>ompetition for rooftop space with decline in solar PV prices</w:t>
      </w:r>
      <w:r w:rsidR="00A243CC" w:rsidRPr="00A64D84">
        <w:t xml:space="preserve"> </w:t>
      </w:r>
      <w:r w:rsidR="004F7CC3" w:rsidRPr="00A64D84">
        <w:t>(Gautam et al., 2017)</w:t>
      </w:r>
      <w:r w:rsidR="007F1001" w:rsidRPr="00A64D84">
        <w:t>.</w:t>
      </w:r>
      <w:r w:rsidR="0042461F" w:rsidRPr="00A64D84">
        <w:t xml:space="preserve"> Rents and </w:t>
      </w:r>
      <w:r w:rsidR="00D01BFE" w:rsidRPr="00A64D84">
        <w:t>businesses</w:t>
      </w:r>
      <w:r w:rsidR="0042461F" w:rsidRPr="00A64D84">
        <w:t xml:space="preserve"> may not find it favorable to invest in solar water heaters given the uncertainty </w:t>
      </w:r>
      <w:r w:rsidR="00D01BFE" w:rsidRPr="00A64D84">
        <w:t>in</w:t>
      </w:r>
      <w:r w:rsidR="006F58EC">
        <w:t>,</w:t>
      </w:r>
      <w:r w:rsidR="00D01BFE" w:rsidRPr="00A64D84">
        <w:t xml:space="preserve"> their occupying a certain property</w:t>
      </w:r>
      <w:r w:rsidR="006F58EC">
        <w:t>,</w:t>
      </w:r>
      <w:r w:rsidR="00D01BFE" w:rsidRPr="00A64D84">
        <w:t xml:space="preserve"> and </w:t>
      </w:r>
      <w:r w:rsidR="006F58EC">
        <w:t xml:space="preserve">the </w:t>
      </w:r>
      <w:r w:rsidR="00D01BFE" w:rsidRPr="00A64D84">
        <w:t xml:space="preserve">payback period </w:t>
      </w:r>
      <w:r w:rsidR="00A243CC" w:rsidRPr="00A64D84">
        <w:t>(Dutzik, Kerth, &amp; Sargent, 2011</w:t>
      </w:r>
      <w:r w:rsidR="00556ADD" w:rsidRPr="00A64D84">
        <w:t>)</w:t>
      </w:r>
      <w:r w:rsidR="00556ADD" w:rsidRPr="00A64D84">
        <w:rPr>
          <w:noProof/>
        </w:rPr>
        <w:t>.</w:t>
      </w:r>
      <w:r w:rsidR="00D74689" w:rsidRPr="00A64D84">
        <w:t xml:space="preserve"> </w:t>
      </w:r>
      <w:r w:rsidR="002C3C3E" w:rsidRPr="00A64D84">
        <w:t xml:space="preserve">In </w:t>
      </w:r>
      <w:r w:rsidR="00D74689" w:rsidRPr="00A64D84">
        <w:t>addition, there are legal barriers to adoption in cases where additional costs and installation time leads to delays in completion of a project</w:t>
      </w:r>
      <w:r w:rsidR="004C3D0C" w:rsidRPr="00A64D84">
        <w:t xml:space="preserve"> </w:t>
      </w:r>
      <w:r w:rsidR="003664D6" w:rsidRPr="00A64D84">
        <w:rPr>
          <w:noProof/>
        </w:rPr>
        <w:t xml:space="preserve">(International </w:t>
      </w:r>
      <w:r w:rsidR="005B1719" w:rsidRPr="00A64D84">
        <w:rPr>
          <w:noProof/>
        </w:rPr>
        <w:t>Renewable</w:t>
      </w:r>
      <w:r w:rsidR="003664D6" w:rsidRPr="00A64D84">
        <w:rPr>
          <w:noProof/>
        </w:rPr>
        <w:t xml:space="preserve"> Energy Agency, 2015)</w:t>
      </w:r>
      <w:r w:rsidR="00D74689" w:rsidRPr="00A64D84">
        <w:t>.</w:t>
      </w:r>
      <w:r w:rsidR="00EE4460" w:rsidRPr="00A64D84">
        <w:t xml:space="preserve"> </w:t>
      </w:r>
      <w:r w:rsidR="005166FB" w:rsidRPr="006977A2">
        <w:t>In countries with high levels of insolation</w:t>
      </w:r>
      <w:r w:rsidR="005166FB" w:rsidRPr="006977A2">
        <w:rPr>
          <w:rStyle w:val="FootnoteReference"/>
        </w:rPr>
        <w:footnoteReference w:id="2"/>
      </w:r>
      <w:r w:rsidR="005166FB" w:rsidRPr="006977A2">
        <w:t xml:space="preserve">, solar thermal systems can be cost-competitive with electric or fossil fuel-based technologies. In other regions large scale technologies can provide economies of scale </w:t>
      </w:r>
      <w:r w:rsidR="005166FB" w:rsidRPr="006977A2">
        <w:rPr>
          <w:noProof/>
        </w:rPr>
        <w:t>(International Energy Agency, 2017a)</w:t>
      </w:r>
      <w:r w:rsidR="005166FB" w:rsidRPr="006977A2">
        <w:t>. However, installations in hot climatic regions demonstrate a low reduction of CO</w:t>
      </w:r>
      <w:r w:rsidR="005166FB" w:rsidRPr="006977A2">
        <w:rPr>
          <w:vertAlign w:val="subscript"/>
        </w:rPr>
        <w:t>2</w:t>
      </w:r>
      <w:r w:rsidR="005166FB" w:rsidRPr="006977A2">
        <w:t xml:space="preserve"> emissions with SWH installations, due to low hot </w:t>
      </w:r>
      <w:r w:rsidR="005166FB" w:rsidRPr="006977A2">
        <w:lastRenderedPageBreak/>
        <w:t xml:space="preserve">water requirements in these areas, which leads to low electricity usage and hence lesser emissions in the conventional scenario </w:t>
      </w:r>
      <w:r w:rsidR="005166FB" w:rsidRPr="006977A2">
        <w:rPr>
          <w:noProof/>
        </w:rPr>
        <w:t>(Bessa &amp; Prado, 2015)</w:t>
      </w:r>
      <w:r w:rsidR="005166FB" w:rsidRPr="006977A2">
        <w:t xml:space="preserve">. </w:t>
      </w:r>
      <w:r w:rsidR="005166FB">
        <w:t>The fact that s</w:t>
      </w:r>
      <w:r w:rsidR="005166FB" w:rsidRPr="003664B0">
        <w:t xml:space="preserve">olar thermal systems cannot be a part of programs such as the net metering systems adopted in the U.S., </w:t>
      </w:r>
      <w:r w:rsidR="005166FB">
        <w:t>in which</w:t>
      </w:r>
      <w:r w:rsidR="005166FB" w:rsidRPr="003664B0">
        <w:t xml:space="preserve"> the consumer can sell the excess electricity to the grid</w:t>
      </w:r>
      <w:r w:rsidR="005166FB">
        <w:t>, is also a barrier to choosing solar heat for hot water</w:t>
      </w:r>
      <w:r w:rsidR="005166FB" w:rsidRPr="003664B0">
        <w:t>.</w:t>
      </w:r>
      <w:r w:rsidR="005166FB" w:rsidRPr="005166FB">
        <w:t xml:space="preserve"> </w:t>
      </w:r>
      <w:r w:rsidR="005166FB" w:rsidRPr="00177418">
        <w:t>Solar thermal systems also have to compete with technologies such as heat pumps for heating and cooling services which is an established, affordable technology.</w:t>
      </w:r>
    </w:p>
    <w:p w14:paraId="12F117C3" w14:textId="2CB3E6F9" w:rsidR="0013182C" w:rsidRPr="00177418" w:rsidRDefault="005F476A" w:rsidP="00E07370">
      <w:r w:rsidRPr="00A64D84">
        <w:t xml:space="preserve">A general lack of awareness </w:t>
      </w:r>
      <w:r w:rsidR="007F1001" w:rsidRPr="00A64D84">
        <w:t xml:space="preserve">at various levels </w:t>
      </w:r>
      <w:r w:rsidRPr="00A64D84">
        <w:t>and perception</w:t>
      </w:r>
      <w:r w:rsidR="00C65D40">
        <w:t>s</w:t>
      </w:r>
      <w:r w:rsidRPr="00A64D84">
        <w:t xml:space="preserve"> that SWH systems are too complicated also act as barriers in adoption of this technology in developing co</w:t>
      </w:r>
      <w:r w:rsidR="00487575" w:rsidRPr="00A64D84">
        <w:t>u</w:t>
      </w:r>
      <w:r w:rsidRPr="00A64D84">
        <w:t>ntries</w:t>
      </w:r>
      <w:r w:rsidR="00487575" w:rsidRPr="00A64D84">
        <w:t xml:space="preserve"> </w:t>
      </w:r>
      <w:r w:rsidR="004F7CC3" w:rsidRPr="00A64D84">
        <w:t>(United Nations Environment</w:t>
      </w:r>
      <w:r w:rsidR="004F7CC3" w:rsidRPr="00177418">
        <w:t xml:space="preserve"> Programme, 2015</w:t>
      </w:r>
      <w:r w:rsidR="004F7CC3" w:rsidRPr="00A64D84">
        <w:t>)</w:t>
      </w:r>
      <w:r w:rsidRPr="00A64D84">
        <w:t>.</w:t>
      </w:r>
      <w:r w:rsidR="005166FB">
        <w:t xml:space="preserve"> </w:t>
      </w:r>
      <w:r w:rsidR="00FD4329" w:rsidRPr="008F1563">
        <w:t>Slow innovation, measured as the number of patents, in SWH technology has been identified as a barrier to higher adoption of SWH in the market, in China</w:t>
      </w:r>
      <w:r w:rsidR="00DD434A">
        <w:t>.</w:t>
      </w:r>
      <w:r w:rsidR="005166FB">
        <w:t xml:space="preserve"> I</w:t>
      </w:r>
      <w:r w:rsidR="00FB1AC9">
        <w:t xml:space="preserve">n regions </w:t>
      </w:r>
      <w:r w:rsidR="00FB1AC9" w:rsidRPr="00177418">
        <w:t>where solar installations are not yet common, there is a lack of skilled labor.</w:t>
      </w:r>
      <w:r w:rsidR="00F121A9">
        <w:t xml:space="preserve"> </w:t>
      </w:r>
      <w:r w:rsidR="00BC0B4C">
        <w:t>S</w:t>
      </w:r>
      <w:r w:rsidR="00BC0B4C" w:rsidRPr="00177418">
        <w:t>olar thermal systems have proved to be effective in countries where governments have mandated their deployment in new construction sites which seem to have mitigated these entry barriers.</w:t>
      </w:r>
    </w:p>
    <w:p w14:paraId="033339BC" w14:textId="1B5E05DE" w:rsidR="0021732C" w:rsidRPr="00A64D84" w:rsidRDefault="551A77D0" w:rsidP="00E07370">
      <w:pPr>
        <w:pStyle w:val="Heading3"/>
      </w:pPr>
      <w:bookmarkStart w:id="29" w:name="_Toc44510657"/>
      <w:r w:rsidRPr="00A64D84">
        <w:t>Adoption</w:t>
      </w:r>
      <w:r w:rsidR="006E6C65" w:rsidRPr="00A64D84">
        <w:t xml:space="preserve"> </w:t>
      </w:r>
      <w:r w:rsidRPr="00A64D84">
        <w:t>Potential</w:t>
      </w:r>
      <w:bookmarkEnd w:id="29"/>
    </w:p>
    <w:p w14:paraId="009E1018" w14:textId="223DD4B3" w:rsidR="008B0376" w:rsidRDefault="0067214C" w:rsidP="00E07370">
      <w:r w:rsidRPr="00A64D84">
        <w:t xml:space="preserve">The adoption potential of solar water heaters is provided by </w:t>
      </w:r>
      <w:r w:rsidR="00314908" w:rsidRPr="00A64D84">
        <w:t xml:space="preserve">very few sources. </w:t>
      </w:r>
      <w:r w:rsidR="00210CB9">
        <w:t>Solar water heaters</w:t>
      </w:r>
      <w:r w:rsidR="00314908" w:rsidRPr="00A64D84">
        <w:t xml:space="preserve"> have the potential to reduce emissions in buildings. However, this potential varies by region and their respective climates. Reduction potential </w:t>
      </w:r>
      <w:r w:rsidR="00432506">
        <w:t xml:space="preserve">as mentioned in </w:t>
      </w:r>
      <w:r w:rsidR="00B8638B">
        <w:t>S</w:t>
      </w:r>
      <w:r w:rsidR="00432506">
        <w:t xml:space="preserve">ection </w:t>
      </w:r>
      <w:r w:rsidR="00B8638B">
        <w:fldChar w:fldCharType="begin"/>
      </w:r>
      <w:r w:rsidR="00B8638B">
        <w:instrText xml:space="preserve"> REF _Ref2245259 \w \h </w:instrText>
      </w:r>
      <w:r w:rsidR="00B8638B">
        <w:fldChar w:fldCharType="separate"/>
      </w:r>
      <w:r w:rsidR="001142D0">
        <w:t>1.2.3</w:t>
      </w:r>
      <w:r w:rsidR="00B8638B">
        <w:fldChar w:fldCharType="end"/>
      </w:r>
      <w:r w:rsidR="00B8638B">
        <w:t xml:space="preserve"> </w:t>
      </w:r>
      <w:r w:rsidR="00314908" w:rsidRPr="00A64D84">
        <w:t>is lower in hot climatic regions. At regional levels, i</w:t>
      </w:r>
      <w:r w:rsidR="0050785E" w:rsidRPr="00A64D84">
        <w:t xml:space="preserve">n certain </w:t>
      </w:r>
      <w:r w:rsidR="00D061C4" w:rsidRPr="00A64D84">
        <w:t>communities</w:t>
      </w:r>
      <w:r w:rsidR="0050785E" w:rsidRPr="00A64D84">
        <w:t xml:space="preserve"> with</w:t>
      </w:r>
      <w:r w:rsidR="00D061C4" w:rsidRPr="00A64D84">
        <w:t>in</w:t>
      </w:r>
      <w:r w:rsidR="0050785E" w:rsidRPr="00A64D84">
        <w:t xml:space="preserve"> China, SWH are reaching market saturation </w:t>
      </w:r>
      <w:r w:rsidR="00D70340" w:rsidRPr="00A64D84">
        <w:t>while at</w:t>
      </w:r>
      <w:r w:rsidR="00D061C4" w:rsidRPr="00A64D84">
        <w:t xml:space="preserve"> national levels, </w:t>
      </w:r>
      <w:r w:rsidR="0050785E" w:rsidRPr="00A64D84">
        <w:t>s</w:t>
      </w:r>
      <w:r w:rsidR="00D73B8E" w:rsidRPr="00A64D84">
        <w:t xml:space="preserve">everal countries </w:t>
      </w:r>
      <w:r w:rsidR="00D061C4" w:rsidRPr="00A64D84">
        <w:t>including China</w:t>
      </w:r>
      <w:r w:rsidR="005B1719" w:rsidRPr="00A64D84">
        <w:t>,</w:t>
      </w:r>
      <w:r w:rsidR="00D061C4" w:rsidRPr="00A64D84">
        <w:t xml:space="preserve"> </w:t>
      </w:r>
      <w:r w:rsidR="00D73B8E" w:rsidRPr="00A64D84">
        <w:t>have set target</w:t>
      </w:r>
      <w:r w:rsidR="0050785E" w:rsidRPr="00A64D84">
        <w:t>s for installation of higher numbers of solar water collectors</w:t>
      </w:r>
      <w:r w:rsidR="002C3C3E" w:rsidRPr="00A64D84">
        <w:t xml:space="preserve"> </w:t>
      </w:r>
      <w:r w:rsidR="00845EFA" w:rsidRPr="00A64D84">
        <w:t>(Richardson, 2013)</w:t>
      </w:r>
      <w:r w:rsidR="0050785E" w:rsidRPr="00A64D84">
        <w:t xml:space="preserve">. </w:t>
      </w:r>
      <w:r w:rsidR="00D061C4" w:rsidRPr="00A64D84">
        <w:t>Particularly, UAE</w:t>
      </w:r>
      <w:r w:rsidR="00D70340" w:rsidRPr="00A64D84">
        <w:t xml:space="preserve"> is considered to have a large potential for adoption of solar water heaters given the country has </w:t>
      </w:r>
      <w:r w:rsidR="005B1719" w:rsidRPr="00A64D84">
        <w:t xml:space="preserve">some </w:t>
      </w:r>
      <w:r w:rsidR="00D70340" w:rsidRPr="00A64D84">
        <w:t xml:space="preserve">of the highest </w:t>
      </w:r>
      <w:r w:rsidR="005B1719" w:rsidRPr="00A64D84">
        <w:t xml:space="preserve">insolation </w:t>
      </w:r>
      <w:r w:rsidR="00D70340" w:rsidRPr="00A64D84">
        <w:t xml:space="preserve">in the </w:t>
      </w:r>
      <w:r w:rsidR="006D6D84" w:rsidRPr="00A64D84">
        <w:t xml:space="preserve">world </w:t>
      </w:r>
      <w:r w:rsidR="00845EFA" w:rsidRPr="00A64D84">
        <w:t>(Mordor Intelligence, 2018)</w:t>
      </w:r>
      <w:r w:rsidR="00D70340" w:rsidRPr="00A64D84">
        <w:t>.</w:t>
      </w:r>
      <w:r w:rsidR="003A0606">
        <w:t xml:space="preserve"> </w:t>
      </w:r>
      <w:r w:rsidR="00C944EF">
        <w:t xml:space="preserve">The adoption potential depends on the available </w:t>
      </w:r>
      <w:r w:rsidR="00A13346">
        <w:t>irradiance</w:t>
      </w:r>
      <w:r w:rsidR="009941BA">
        <w:t xml:space="preserve">. Adoption is </w:t>
      </w:r>
      <w:r w:rsidR="00C54992">
        <w:t>more beneficial in areas such as the US and Southern Europe</w:t>
      </w:r>
      <w:r w:rsidR="009941BA">
        <w:t xml:space="preserve">, where the </w:t>
      </w:r>
      <w:r w:rsidR="00A13346">
        <w:t>irradiance</w:t>
      </w:r>
      <w:r w:rsidR="009941BA">
        <w:t xml:space="preserve"> is high</w:t>
      </w:r>
      <w:r w:rsidR="00432506">
        <w:t xml:space="preserve"> </w:t>
      </w:r>
      <w:r w:rsidR="00432506">
        <w:fldChar w:fldCharType="begin"/>
      </w:r>
      <w:r w:rsidR="00432506">
        <w:instrText xml:space="preserve"> ADDIN ZOTERO_ITEM CSL_CITATION {"citationID":"Q1PxKwvK","properties":{"formattedCitation":"(Greening &amp; Azapagic, 2014)","plainCitation":"(Greening &amp; Azapagic, 2014)","noteIndex":0},"citationItems":[{"id":1778,"uris":["http://zotero.org/groups/2241931/items/PCSMPWKG"],"uri":["http://zotero.org/groups/2241931/items/PCSMPWKG"],"itemData":{"id":1778,"type":"article-journal","title":"Domestic solar thermal water heating: A sustainable option for the UK","container-title":"Renewable Energy","page":"23-36","volume":"63","abstract":"This paper considers life cycle environmental sustainability of solar water heating systems in regions with low solar irradiation, such as the UK. The results suggest that flat plate collectors have slightly lower environmental impacts than evacuated tube designs. Reducing the current energy losses of 65%–45% would reduce the impacts by around 35%. Compared to a gas boiler, solar thermal systems are a better option for only five out of 11 environmental impacts considered, with global warming and depletion of fossil resources being lower by 88% and 83%, respectively. Other impacts such as human and eco-toxicity are up to 85% higher. The solar systems score better relative to electrical water heating for eight out of 11 impacts. They are also environmentally more sustainable than heat pumps for seven categories. However, their potential is hampered because they need a back-up heating system, typically gas boiler. For this reason as well as due to a lack of suitable locations and poor efficiency, the potential of solar thermal systems to contribute to a more sustainable domestic energy supply in the UK is limited.","DOI":"https://doi.org/10.1016/j.renene.2013.07.048","author":[{"family":"Greening","given":"Benjamin"},{"family":"Azapagic","given":"Adisa"}],"issued":{"date-parts":[["2014",3]]}}}],"schema":"https://github.com/citation-style-language/schema/raw/master/csl-citation.json"} </w:instrText>
      </w:r>
      <w:r w:rsidR="00432506">
        <w:fldChar w:fldCharType="separate"/>
      </w:r>
      <w:r w:rsidR="00432506">
        <w:rPr>
          <w:noProof/>
        </w:rPr>
        <w:t>(Greening &amp; Azapagic, 2014)</w:t>
      </w:r>
      <w:r w:rsidR="00432506">
        <w:fldChar w:fldCharType="end"/>
      </w:r>
      <w:r w:rsidR="00C944EF">
        <w:t>.</w:t>
      </w:r>
    </w:p>
    <w:p w14:paraId="3C5425B3" w14:textId="771F94AC" w:rsidR="00AF7002" w:rsidRPr="00177418" w:rsidRDefault="008B0376" w:rsidP="00E07370">
      <w:r w:rsidRPr="00177418">
        <w:t xml:space="preserve">Deployment of technical potential is primarily limited by roof space availability and heating demand. </w:t>
      </w:r>
      <w:r w:rsidR="00491C30">
        <w:t>Studies have</w:t>
      </w:r>
      <w:r w:rsidRPr="00177418">
        <w:t xml:space="preserve"> estimated the technical potential for solar water heating</w:t>
      </w:r>
      <w:r w:rsidR="00A13346">
        <w:t xml:space="preserve"> </w:t>
      </w:r>
      <w:r w:rsidR="00491C30">
        <w:t>by assuming inputs like the</w:t>
      </w:r>
      <w:r w:rsidRPr="00177418">
        <w:t xml:space="preserve"> available roof area </w:t>
      </w:r>
      <w:r w:rsidR="00491C30">
        <w:t xml:space="preserve">and </w:t>
      </w:r>
      <w:r w:rsidRPr="00177418">
        <w:t xml:space="preserve">the </w:t>
      </w:r>
      <w:r w:rsidR="00A13346">
        <w:t>irradiance</w:t>
      </w:r>
      <w:r w:rsidRPr="00177418">
        <w:t xml:space="preserve"> per region (Hoogwijk and Graus, 2008)</w:t>
      </w:r>
      <w:r w:rsidR="00491C30">
        <w:t>. One study fo</w:t>
      </w:r>
      <w:r w:rsidRPr="00177418">
        <w:t xml:space="preserve">und a global solar water heating technical potential of 3,415 TWh/yr (or 123 EJ/yr). By way of comparison, IEA points out that in 2009 </w:t>
      </w:r>
      <w:r w:rsidR="00491C30">
        <w:t>global</w:t>
      </w:r>
      <w:r w:rsidRPr="00177418">
        <w:t xml:space="preserve"> </w:t>
      </w:r>
      <w:r w:rsidR="00491C30">
        <w:t xml:space="preserve">heating demand </w:t>
      </w:r>
      <w:r w:rsidRPr="00177418">
        <w:t xml:space="preserve">final energy was 173 EJ (IEA, 2016). </w:t>
      </w:r>
      <w:r w:rsidR="0013182C" w:rsidRPr="00177418">
        <w:t xml:space="preserve">In its 2050 vision for solar heating and cooling, the IEA projects </w:t>
      </w:r>
      <w:r w:rsidR="009F5BD3" w:rsidRPr="00177418">
        <w:t>an installed capacity of nearly 3,500 GW (th)</w:t>
      </w:r>
      <w:r w:rsidR="009F5BD3">
        <w:t xml:space="preserve"> for </w:t>
      </w:r>
      <w:r w:rsidR="00432506">
        <w:t>s</w:t>
      </w:r>
      <w:r w:rsidR="0013182C" w:rsidRPr="00177418">
        <w:t>olar collectors</w:t>
      </w:r>
      <w:r w:rsidR="009F5BD3">
        <w:t xml:space="preserve"> (</w:t>
      </w:r>
      <w:r w:rsidR="0013182C" w:rsidRPr="00177418">
        <w:t>water</w:t>
      </w:r>
      <w:r w:rsidR="009F5BD3">
        <w:t>-</w:t>
      </w:r>
      <w:r w:rsidR="0013182C" w:rsidRPr="00177418">
        <w:t xml:space="preserve"> and space</w:t>
      </w:r>
      <w:r w:rsidR="009F5BD3">
        <w:t>-</w:t>
      </w:r>
      <w:r w:rsidR="0013182C" w:rsidRPr="00177418">
        <w:t xml:space="preserve"> heating</w:t>
      </w:r>
      <w:r w:rsidR="009F5BD3">
        <w:t xml:space="preserve">). This would satisfy </w:t>
      </w:r>
      <w:r w:rsidR="0013182C" w:rsidRPr="00177418">
        <w:t>annually around 8.9 EJ of energy demand for hot water and space heating in the building sector by 2050, 25 times today’s level. This estimate is based on the IEA Energy Technology Perspective</w:t>
      </w:r>
      <w:r w:rsidR="0013182C">
        <w:t>s</w:t>
      </w:r>
      <w:r w:rsidR="0013182C" w:rsidRPr="00177418">
        <w:t xml:space="preserve"> (ETP) 2 DS scenario that assumes a high growth in the adoption of renewable </w:t>
      </w:r>
      <w:r w:rsidR="0013182C" w:rsidRPr="00177418">
        <w:lastRenderedPageBreak/>
        <w:t>energy technologies that has previously not been experienced. This implies that for such a deployment to come into being</w:t>
      </w:r>
      <w:r w:rsidR="0013182C">
        <w:t xml:space="preserve">, </w:t>
      </w:r>
      <w:r w:rsidR="0013182C" w:rsidRPr="00177418">
        <w:t>favorable renewable energy policie</w:t>
      </w:r>
      <w:r w:rsidR="0013182C">
        <w:t>s,</w:t>
      </w:r>
      <w:r w:rsidR="0013182C" w:rsidRPr="00177418">
        <w:t xml:space="preserve"> such as those implement</w:t>
      </w:r>
      <w:r w:rsidR="0013182C">
        <w:t>ed</w:t>
      </w:r>
      <w:r w:rsidR="0013182C" w:rsidRPr="00177418">
        <w:t xml:space="preserve"> in Cyprus, Barbados, and Israel, need to be adopted in countries in order that solar thermal water systems become affordable.</w:t>
      </w:r>
    </w:p>
    <w:p w14:paraId="6D16C086" w14:textId="39B2FF9C" w:rsidR="008B0376" w:rsidRPr="00A64D84" w:rsidRDefault="0013182C" w:rsidP="00E07370">
      <w:r w:rsidRPr="00177418">
        <w:t>The IEA ETP 2 DS scenario also projects an optimistic scenario for the growth of the total demand of hot water (solar and non-solar) of ~25 EJ. As a comparison to the IEA projection, studies by IPCC author Diana Ürge-Vorsatz forecast</w:t>
      </w:r>
      <w:r w:rsidR="00AF7002">
        <w:t>s</w:t>
      </w:r>
      <w:r w:rsidRPr="00177418">
        <w:t xml:space="preserve"> the total REF scenario energy for hot water (solar and non-solar) in 2050 will be 33 EJ (Ürge-Vorsatz et al., 2015). There are a range of assumptions that go into the building of this optimistic scenario. There is a dearth of projections of domestic solar hot water into the future. The IEA ETP 2DS is the only one found to provide estimates until 2050. A 32% increase in production of renewable heat globally is required between 2014 and 2025, to achieve the 2DS goals </w:t>
      </w:r>
      <w:r w:rsidRPr="00177418">
        <w:rPr>
          <w:noProof/>
        </w:rPr>
        <w:t>(International Energy Agency, 2017b)</w:t>
      </w:r>
      <w:r w:rsidRPr="00177418">
        <w:t xml:space="preserve">, including other heating technologies such as biomass, and heat pumps. </w:t>
      </w:r>
    </w:p>
    <w:p w14:paraId="12A2F24A" w14:textId="59E93009" w:rsidR="001C49CB" w:rsidRPr="00177418" w:rsidRDefault="551A77D0" w:rsidP="00E07370">
      <w:pPr>
        <w:pStyle w:val="Heading2"/>
      </w:pPr>
      <w:bookmarkStart w:id="30" w:name="_Toc44510658"/>
      <w:r w:rsidRPr="00177418">
        <w:t xml:space="preserve">Advantages and </w:t>
      </w:r>
      <w:r w:rsidR="00553D48" w:rsidRPr="00177418">
        <w:t xml:space="preserve">Disadvantages </w:t>
      </w:r>
      <w:r w:rsidRPr="00177418">
        <w:t xml:space="preserve">of </w:t>
      </w:r>
      <w:r w:rsidR="0021732C" w:rsidRPr="00177418">
        <w:t>Solar Hot Water</w:t>
      </w:r>
      <w:bookmarkEnd w:id="30"/>
    </w:p>
    <w:p w14:paraId="473285D3" w14:textId="1171F4A4" w:rsidR="00202788" w:rsidRPr="003F5943" w:rsidRDefault="551A77D0" w:rsidP="00E07370">
      <w:pPr>
        <w:pStyle w:val="Heading3"/>
      </w:pPr>
      <w:bookmarkStart w:id="31" w:name="_Toc44510659"/>
      <w:r w:rsidRPr="003F5943">
        <w:t>Similar Solutions</w:t>
      </w:r>
      <w:bookmarkEnd w:id="31"/>
    </w:p>
    <w:p w14:paraId="5A5C49BB" w14:textId="0CD3096A" w:rsidR="00A4357B" w:rsidRPr="003F5943" w:rsidRDefault="000A35E9" w:rsidP="00E07370">
      <w:r w:rsidRPr="003F5943">
        <w:t xml:space="preserve">There are a variety of water heaters available in the market aside from solar water heaters that are oil, gas (natural gas or propane) or electric based. </w:t>
      </w:r>
      <w:r w:rsidR="005152DE" w:rsidRPr="003F5943">
        <w:t>One of the</w:t>
      </w:r>
      <w:r w:rsidRPr="003F5943">
        <w:t xml:space="preserve"> most common type of water heaters are the storage tank water heaters. These heaters can be </w:t>
      </w:r>
      <w:r w:rsidR="0003441C" w:rsidRPr="003F5943">
        <w:t>electric,</w:t>
      </w:r>
      <w:r w:rsidRPr="003F5943">
        <w:t xml:space="preserve"> or gas or oil fired. Water that flows into the </w:t>
      </w:r>
      <w:r w:rsidR="0003441C" w:rsidRPr="003F5943">
        <w:t>storage tank is heated via a thermostat-controlled burner or electric element. Hot water is stored and available in this tank</w:t>
      </w:r>
      <w:r w:rsidR="00AF7002">
        <w:t xml:space="preserve">. The </w:t>
      </w:r>
      <w:r w:rsidR="0003441C" w:rsidRPr="003F5943">
        <w:t>water entering the tank to replace the used water is again heated to maintain the temperature</w:t>
      </w:r>
      <w:r w:rsidR="005152DE" w:rsidRPr="003F5943">
        <w:t xml:space="preserve"> </w:t>
      </w:r>
      <w:r w:rsidR="007B73D0" w:rsidRPr="00210CB9">
        <w:t>(Natural Resources Canada, 2012)</w:t>
      </w:r>
      <w:r w:rsidR="0003441C" w:rsidRPr="003F5943">
        <w:t>.</w:t>
      </w:r>
      <w:r w:rsidR="005152DE" w:rsidRPr="003F5943">
        <w:t xml:space="preserve"> These tanks are available at different efficiency levels with higher levels of insulation.</w:t>
      </w:r>
    </w:p>
    <w:p w14:paraId="73B16C63" w14:textId="588BF8C2" w:rsidR="00A4357B" w:rsidRPr="003F5943" w:rsidRDefault="005152DE" w:rsidP="00E07370">
      <w:r w:rsidRPr="003F5943">
        <w:t>Tankless on demand water heaters</w:t>
      </w:r>
      <w:r w:rsidR="00CB2FF9" w:rsidRPr="003F5943">
        <w:t xml:space="preserve"> do not have storage tanks and heat water when needed.</w:t>
      </w:r>
      <w:r w:rsidR="0034137D" w:rsidRPr="003F5943">
        <w:t xml:space="preserve"> They </w:t>
      </w:r>
      <w:r w:rsidR="00CB2FF9" w:rsidRPr="003F5943">
        <w:t>typically ha</w:t>
      </w:r>
      <w:r w:rsidR="0034137D" w:rsidRPr="003F5943">
        <w:t>ve</w:t>
      </w:r>
      <w:r w:rsidR="00CB2FF9" w:rsidRPr="003F5943">
        <w:t xml:space="preserve"> an electric or a gas burner element. </w:t>
      </w:r>
      <w:r w:rsidR="00211BC8" w:rsidRPr="003F5943">
        <w:t xml:space="preserve">The electric version of these heaters </w:t>
      </w:r>
      <w:r w:rsidR="00556ADD" w:rsidRPr="003F5943">
        <w:t>is</w:t>
      </w:r>
      <w:r w:rsidR="00211BC8" w:rsidRPr="003F5943">
        <w:t xml:space="preserve"> not typically the main water heater. </w:t>
      </w:r>
      <w:r w:rsidR="00CB2FF9" w:rsidRPr="003F5943">
        <w:t xml:space="preserve">These heaters are used more in “point of use” installations </w:t>
      </w:r>
      <w:r w:rsidR="00172392" w:rsidRPr="003F5943">
        <w:t xml:space="preserve">wherein they supply hot water </w:t>
      </w:r>
      <w:r w:rsidR="0034137D" w:rsidRPr="003F5943">
        <w:t>where the demand is very low example</w:t>
      </w:r>
      <w:r w:rsidR="00210CB9">
        <w:t xml:space="preserve"> </w:t>
      </w:r>
      <w:r w:rsidR="0034137D" w:rsidRPr="003F5943">
        <w:t xml:space="preserve">cottage or </w:t>
      </w:r>
      <w:r w:rsidR="00172392" w:rsidRPr="003F5943">
        <w:t xml:space="preserve">for </w:t>
      </w:r>
      <w:r w:rsidR="00B66D03" w:rsidRPr="003F5943">
        <w:t xml:space="preserve">only </w:t>
      </w:r>
      <w:r w:rsidR="00172392" w:rsidRPr="003F5943">
        <w:t>one specific use in the house</w:t>
      </w:r>
      <w:r w:rsidR="00B66D03" w:rsidRPr="003F5943">
        <w:t xml:space="preserve"> and are typically installed </w:t>
      </w:r>
      <w:r w:rsidR="0034137D" w:rsidRPr="003F5943">
        <w:t xml:space="preserve">for areas of a house where there is hot water need but the location is away from the main water heater. </w:t>
      </w:r>
      <w:r w:rsidR="00211BC8" w:rsidRPr="003F5943">
        <w:t>The gas version of these heaters however has the capacity to fulfill the water heating demands of an entire house. The amount of hot water supplied per minute however, changes with the temperature of water that needs heating. The rate of supply per min therefore is lower in the winter. These systems have a p</w:t>
      </w:r>
      <w:r w:rsidR="0023672C" w:rsidRPr="003F5943">
        <w:t>il</w:t>
      </w:r>
      <w:r w:rsidR="00211BC8" w:rsidRPr="003F5943">
        <w:t xml:space="preserve">ot light </w:t>
      </w:r>
      <w:r w:rsidR="0023672C" w:rsidRPr="003F5943">
        <w:t xml:space="preserve">(uses energy even when no hot water is needed) </w:t>
      </w:r>
      <w:r w:rsidR="00211BC8" w:rsidRPr="003F5943">
        <w:t xml:space="preserve">or </w:t>
      </w:r>
      <w:r w:rsidR="0023672C" w:rsidRPr="003F5943">
        <w:t xml:space="preserve">electronic ignition system. </w:t>
      </w:r>
      <w:r w:rsidR="009D7E3D" w:rsidRPr="003F5943">
        <w:t>They are an option that can be used as a supplemental technology with solar water heaters.</w:t>
      </w:r>
    </w:p>
    <w:p w14:paraId="4C7F8299" w14:textId="44DB48BA" w:rsidR="00A4357B" w:rsidRPr="00552BF0" w:rsidRDefault="00AC0991" w:rsidP="00E07370">
      <w:pPr>
        <w:rPr>
          <w:bCs/>
          <w:color w:val="333333"/>
        </w:rPr>
      </w:pPr>
      <w:r w:rsidRPr="003F5943">
        <w:lastRenderedPageBreak/>
        <w:t>Combination space and water heating systems in these systems the water heater is used for space heating as well</w:t>
      </w:r>
      <w:r w:rsidR="009F1FEA">
        <w:t xml:space="preserve">, </w:t>
      </w:r>
      <w:r w:rsidRPr="003F5943">
        <w:t xml:space="preserve">generally where the space heating demand is low. Some of these systems use a hydronic boiler. The </w:t>
      </w:r>
      <w:r w:rsidR="00235936" w:rsidRPr="003F5943">
        <w:t>heat</w:t>
      </w:r>
      <w:r w:rsidR="009F1FEA">
        <w:t>ed</w:t>
      </w:r>
      <w:r w:rsidR="00235936" w:rsidRPr="003F5943">
        <w:t xml:space="preserve"> water from the boiler is pumped via pipes </w:t>
      </w:r>
      <w:r w:rsidR="00235936" w:rsidRPr="00D84BE7">
        <w:rPr>
          <w:color w:val="333333"/>
        </w:rPr>
        <w:t>either in baseboards located around the outer perimeter of the home or through in-floor </w:t>
      </w:r>
      <w:r w:rsidR="00235936" w:rsidRPr="00D84BE7">
        <w:rPr>
          <w:bCs/>
          <w:color w:val="333333"/>
        </w:rPr>
        <w:t>radiant systems (special piping embedded in the floor)</w:t>
      </w:r>
      <w:r w:rsidR="00624DDB" w:rsidRPr="00D84BE7">
        <w:rPr>
          <w:bCs/>
          <w:color w:val="333333"/>
        </w:rPr>
        <w:t xml:space="preserve"> </w:t>
      </w:r>
      <w:r w:rsidR="007B73D0" w:rsidRPr="00D84BE7">
        <w:t>(Weil-McLain Canada, 2018)</w:t>
      </w:r>
      <w:r w:rsidR="00235936" w:rsidRPr="00D84BE7">
        <w:rPr>
          <w:bCs/>
          <w:color w:val="333333"/>
        </w:rPr>
        <w:t>.</w:t>
      </w:r>
    </w:p>
    <w:p w14:paraId="733A3BF4" w14:textId="04C0697D" w:rsidR="00B9187C" w:rsidRPr="00552BF0" w:rsidRDefault="00E62695" w:rsidP="00E07370">
      <w:pPr>
        <w:rPr>
          <w:position w:val="6"/>
        </w:rPr>
      </w:pPr>
      <w:r w:rsidRPr="003F5943">
        <w:t>Heat pumps do not generate heat instead they move it from one place to another using electricity.</w:t>
      </w:r>
      <w:r w:rsidR="009A48E8" w:rsidRPr="003F5943">
        <w:t xml:space="preserve"> </w:t>
      </w:r>
      <w:r w:rsidR="00235936" w:rsidRPr="00A64D84">
        <w:t xml:space="preserve">Heat pump water heaters </w:t>
      </w:r>
      <w:r w:rsidR="00F31589">
        <w:t xml:space="preserve">typically </w:t>
      </w:r>
      <w:r w:rsidR="00235936" w:rsidRPr="00A64D84">
        <w:t xml:space="preserve">remove heat and humidity from the air. They are less advantageous in winter when space heating is required. They are </w:t>
      </w:r>
      <w:r w:rsidRPr="00A64D84">
        <w:t>considered</w:t>
      </w:r>
      <w:r w:rsidR="00235936" w:rsidRPr="00A64D84">
        <w:t xml:space="preserve"> to be cost </w:t>
      </w:r>
      <w:r w:rsidRPr="00A64D84">
        <w:t xml:space="preserve">effective in milder climates </w:t>
      </w:r>
      <w:r w:rsidR="00556ADD" w:rsidRPr="00A64D84">
        <w:t>despite</w:t>
      </w:r>
      <w:r w:rsidRPr="00A64D84">
        <w:t xml:space="preserve"> their higher initial costs</w:t>
      </w:r>
      <w:r w:rsidR="007B73D0" w:rsidRPr="00A64D84">
        <w:t xml:space="preserve"> compared to electric storage tanks</w:t>
      </w:r>
      <w:r w:rsidRPr="00A64D84">
        <w:t>.</w:t>
      </w:r>
      <w:r w:rsidR="00CE2690">
        <w:t xml:space="preserve"> </w:t>
      </w:r>
      <w:r w:rsidR="009A48E8" w:rsidRPr="003F5943">
        <w:t>Other types of heat pumps include, ground source heat pumps that use energy from the earth or from ground water and, h</w:t>
      </w:r>
      <w:r w:rsidR="00653D5E" w:rsidRPr="003F5943">
        <w:t xml:space="preserve">eat pump water heaters that are powered by solar energy. </w:t>
      </w:r>
      <w:r w:rsidR="001D5003" w:rsidRPr="003F5943">
        <w:t xml:space="preserve">A heat pump water heater needs only a third of the PV modules to generate electricity compared to a resistive electric tank. </w:t>
      </w:r>
      <w:r w:rsidR="00F15F5A" w:rsidRPr="003F5943">
        <w:t xml:space="preserve">Heat pump water heaters generally use electricity from grid. They can help to balance the grid by </w:t>
      </w:r>
      <w:r w:rsidR="00395CAB">
        <w:t>lower</w:t>
      </w:r>
      <w:r w:rsidR="00F15F5A" w:rsidRPr="003F5943">
        <w:t xml:space="preserve"> the </w:t>
      </w:r>
      <w:r w:rsidR="00395CAB">
        <w:t xml:space="preserve">peak </w:t>
      </w:r>
      <w:r w:rsidR="00F15F5A" w:rsidRPr="003F5943">
        <w:t xml:space="preserve">load </w:t>
      </w:r>
      <w:r w:rsidR="00FC7D2B" w:rsidRPr="003F5943">
        <w:t>when used with thermal storage.</w:t>
      </w:r>
      <w:r w:rsidR="00DA4F8D" w:rsidRPr="003F5943">
        <w:t xml:space="preserve"> </w:t>
      </w:r>
      <w:r w:rsidR="00DA4F8D" w:rsidRPr="00FD7D07">
        <w:t xml:space="preserve">In 2016, </w:t>
      </w:r>
      <w:r w:rsidR="00395CAB">
        <w:t xml:space="preserve">water heating </w:t>
      </w:r>
      <w:r w:rsidR="00DA4F8D" w:rsidRPr="00FD7D07">
        <w:t xml:space="preserve">heat pumps </w:t>
      </w:r>
      <w:r w:rsidR="00395CAB">
        <w:t>supplied</w:t>
      </w:r>
      <w:r w:rsidR="00DA4F8D" w:rsidRPr="00FD7D07">
        <w:t xml:space="preserve"> 10% of Japan’s household water heat</w:t>
      </w:r>
      <w:r w:rsidR="00395CAB">
        <w:t>ing</w:t>
      </w:r>
      <w:r w:rsidR="00DA4F8D" w:rsidRPr="00FD7D07">
        <w:t xml:space="preserve"> market.</w:t>
      </w:r>
      <w:r w:rsidR="00DA4F8D" w:rsidRPr="00FD7D07">
        <w:rPr>
          <w:position w:val="6"/>
        </w:rPr>
        <w:t xml:space="preserve"> </w:t>
      </w:r>
    </w:p>
    <w:p w14:paraId="52A791C2" w14:textId="3A5EF575" w:rsidR="00E34088" w:rsidRPr="00A64D84" w:rsidRDefault="00E34088" w:rsidP="00E07370">
      <w:r w:rsidRPr="00FD7D07">
        <w:t>Electric resistance</w:t>
      </w:r>
      <w:r w:rsidR="0088474E" w:rsidRPr="00FD7D07">
        <w:t xml:space="preserve"> (electric powered)</w:t>
      </w:r>
      <w:r w:rsidRPr="00FD7D07">
        <w:t xml:space="preserve"> storage water heaters are also very common however, they are the most inefficient types of electric water </w:t>
      </w:r>
      <w:r w:rsidR="0020703C" w:rsidRPr="00FD7D07">
        <w:t>heaters (</w:t>
      </w:r>
      <w:r w:rsidR="004F7CC3" w:rsidRPr="00FD7D07">
        <w:t>Maguire, Fang, &amp; Wilson, 2013)</w:t>
      </w:r>
      <w:r w:rsidR="0088474E" w:rsidRPr="00FD7D07">
        <w:t xml:space="preserve">. They generally consist of a glass-lined steel tank, with two heating elements that cycle through the water when the water temperature drops. Similar to </w:t>
      </w:r>
      <w:r w:rsidR="00910BAD" w:rsidRPr="003F5943">
        <w:t>heat pump water heaters</w:t>
      </w:r>
      <w:r w:rsidR="0088474E" w:rsidRPr="00FD7D07">
        <w:t>, the electric resistance is an expensive technology. High electricity costs add to the operational expenses</w:t>
      </w:r>
      <w:r w:rsidR="0088474E" w:rsidRPr="00A64D84">
        <w:t xml:space="preserve"> of this technology.</w:t>
      </w:r>
    </w:p>
    <w:p w14:paraId="66FEF337" w14:textId="77777777" w:rsidR="000330C6" w:rsidRPr="00177418" w:rsidRDefault="551A77D0" w:rsidP="00E07370">
      <w:pPr>
        <w:pStyle w:val="Heading3"/>
      </w:pPr>
      <w:bookmarkStart w:id="32" w:name="_Toc44510660"/>
      <w:r w:rsidRPr="00177418">
        <w:t>Arguments for Adoption</w:t>
      </w:r>
      <w:bookmarkEnd w:id="32"/>
    </w:p>
    <w:p w14:paraId="6C9CDAF2" w14:textId="6B2CB009" w:rsidR="00844977" w:rsidRPr="00177418" w:rsidRDefault="004E700A" w:rsidP="00E07370">
      <w:r w:rsidRPr="00177418">
        <w:t xml:space="preserve">The advantages of </w:t>
      </w:r>
      <w:r w:rsidR="00A87843">
        <w:t>solar water heaters</w:t>
      </w:r>
      <w:r w:rsidRPr="00177418">
        <w:t xml:space="preserve"> technology </w:t>
      </w:r>
      <w:r w:rsidR="00B8638B" w:rsidRPr="00177418">
        <w:t>are</w:t>
      </w:r>
      <w:r w:rsidRPr="00177418">
        <w:t xml:space="preserve"> obvious. It is a clean, renewable technology</w:t>
      </w:r>
      <w:r w:rsidR="00B946ED">
        <w:t xml:space="preserve"> compared to conventional water heaters</w:t>
      </w:r>
      <w:r w:rsidRPr="00177418">
        <w:t xml:space="preserve">. Like other renewable sources, one major benefit of solar energy is that fuel is free-the sun shines every day at no cost. In other words, the operating costs of a solar </w:t>
      </w:r>
      <w:r w:rsidR="006B3E56" w:rsidRPr="00177418">
        <w:t>thermal s</w:t>
      </w:r>
      <w:r w:rsidRPr="00177418">
        <w:t>ystem are minimal. Additionally, the total solar resource potential is practically inexhaustible. This is evident from a simple calculation. If average insolation is 1000 W/m</w:t>
      </w:r>
      <w:r w:rsidRPr="00177418">
        <w:rPr>
          <w:vertAlign w:val="superscript"/>
        </w:rPr>
        <w:t>2</w:t>
      </w:r>
      <w:r w:rsidRPr="00177418">
        <w:t xml:space="preserve"> and the area of radiation circumscribed by the Earth is 1.28 x10</w:t>
      </w:r>
      <w:r w:rsidRPr="00177418">
        <w:rPr>
          <w:vertAlign w:val="superscript"/>
        </w:rPr>
        <w:t>14</w:t>
      </w:r>
      <w:r w:rsidRPr="00177418">
        <w:t xml:space="preserve"> m</w:t>
      </w:r>
      <w:r w:rsidRPr="00177418">
        <w:rPr>
          <w:vertAlign w:val="superscript"/>
        </w:rPr>
        <w:t>2</w:t>
      </w:r>
      <w:r w:rsidRPr="00177418">
        <w:t xml:space="preserve"> (the area of a circle with the Earth’s radius), then our planet is constantly receiving 1.28 x 10</w:t>
      </w:r>
      <w:r w:rsidRPr="00177418">
        <w:rPr>
          <w:vertAlign w:val="superscript"/>
        </w:rPr>
        <w:t>17</w:t>
      </w:r>
      <w:r w:rsidRPr="00177418">
        <w:t xml:space="preserve"> </w:t>
      </w:r>
      <w:r w:rsidR="00B8638B">
        <w:t xml:space="preserve">W </w:t>
      </w:r>
      <w:r w:rsidRPr="00177418">
        <w:t>(1.28 x 10</w:t>
      </w:r>
      <w:r w:rsidRPr="00177418">
        <w:rPr>
          <w:vertAlign w:val="superscript"/>
        </w:rPr>
        <w:t>5</w:t>
      </w:r>
      <w:r w:rsidRPr="00177418">
        <w:t xml:space="preserve"> TW) of power from the sun. </w:t>
      </w:r>
      <w:r w:rsidR="006F2E7F" w:rsidRPr="00177418">
        <w:t>A</w:t>
      </w:r>
      <w:r w:rsidRPr="00177418">
        <w:t>ssum</w:t>
      </w:r>
      <w:r w:rsidR="006F2E7F" w:rsidRPr="00177418">
        <w:t>ing</w:t>
      </w:r>
      <w:r w:rsidRPr="00177418">
        <w:t xml:space="preserve"> that energy demands in 2050 will rise as high as 30 TW</w:t>
      </w:r>
      <w:r w:rsidR="00D43C94" w:rsidRPr="00177418">
        <w:t xml:space="preserve"> (more than twice today’s final energy consumption)</w:t>
      </w:r>
      <w:r w:rsidRPr="00177418">
        <w:t>, this usage is only a small fraction (~0.02%) of the total available solar energy</w:t>
      </w:r>
      <w:r w:rsidR="009F1FEA">
        <w:t>.</w:t>
      </w:r>
      <w:r w:rsidR="00FF131B" w:rsidRPr="00177418">
        <w:t xml:space="preserve"> </w:t>
      </w:r>
      <w:r w:rsidR="009F1FEA">
        <w:t>E</w:t>
      </w:r>
      <w:r w:rsidRPr="00177418">
        <w:t>ven with losses due to conversion efficiency (~0.02%) of the available solar energy</w:t>
      </w:r>
      <w:r w:rsidR="009F1FEA">
        <w:t xml:space="preserve"> </w:t>
      </w:r>
      <w:r w:rsidRPr="00177418">
        <w:t>and land area unavailable for solar harvesting, it is still an overwhelming generous source of energy.</w:t>
      </w:r>
      <w:r w:rsidR="009A34AE" w:rsidRPr="00177418">
        <w:t xml:space="preserve"> This </w:t>
      </w:r>
      <w:r w:rsidR="00A87843">
        <w:t>un</w:t>
      </w:r>
      <w:r w:rsidR="00A87843" w:rsidRPr="00177418">
        <w:t>exhaustive</w:t>
      </w:r>
      <w:r w:rsidR="009A34AE" w:rsidRPr="00177418">
        <w:t xml:space="preserve"> resource can be helpful in satisfying the rising demand for energy as a result of rising population.</w:t>
      </w:r>
      <w:r w:rsidR="0081623F">
        <w:t xml:space="preserve"> While solar energy availability is abundant in warmer climate areas, m</w:t>
      </w:r>
      <w:r w:rsidR="00D54ABF">
        <w:t xml:space="preserve">odern solar water </w:t>
      </w:r>
      <w:r w:rsidR="00D54ABF">
        <w:lastRenderedPageBreak/>
        <w:t>heaters are able to produce energy even when the temperature outside is well below freezing</w:t>
      </w:r>
      <w:r w:rsidR="009D4BA4">
        <w:t xml:space="preserve"> </w:t>
      </w:r>
      <w:r w:rsidR="00A87843">
        <w:fldChar w:fldCharType="begin"/>
      </w:r>
      <w:r w:rsidR="00A87843">
        <w:instrText xml:space="preserve"> ADDIN ZOTERO_ITEM CSL_CITATION {"citationID":"YpMhGEoC","properties":{"formattedCitation":"(Natural Resources Canada, 2003)","plainCitation":"(Natural Resources Canada, 2003)","noteIndex":0},"citationItems":[{"id":2455,"uris":["http://zotero.org/groups/2241931/items/GIR63M8H"],"uri":["http://zotero.org/groups/2241931/items/GIR63M8H"],"itemData":{"id":2455,"type":"report","title":"Solar Water Heating Systems","URL":"https://www.nrcan.gc.ca/sites/www.nrcan.gc.ca/files/canmetenergy/files/pubs/SOLAR-BuyersGuide-SolarWaterHeatingSystems_ENG.pdf","shortTitle":"NRCAN","author":[{"literal":"Natural Resources Canada"}],"issued":{"date-parts":[["2003"]]}}}],"schema":"https://github.com/citation-style-language/schema/raw/master/csl-citation.json"} </w:instrText>
      </w:r>
      <w:r w:rsidR="00A87843">
        <w:fldChar w:fldCharType="separate"/>
      </w:r>
      <w:r w:rsidR="00A87843">
        <w:rPr>
          <w:noProof/>
        </w:rPr>
        <w:t>(Natural Resources Canada, 2003)</w:t>
      </w:r>
      <w:r w:rsidR="00A87843">
        <w:fldChar w:fldCharType="end"/>
      </w:r>
      <w:r w:rsidR="0081623F">
        <w:t>, which is a very beneficial attribute of the</w:t>
      </w:r>
      <w:r w:rsidR="0076018E">
        <w:t xml:space="preserve"> solar water</w:t>
      </w:r>
      <w:r w:rsidR="0081623F">
        <w:t xml:space="preserve"> heat</w:t>
      </w:r>
      <w:r w:rsidR="0076018E">
        <w:t>ing systems</w:t>
      </w:r>
      <w:r w:rsidR="0081623F">
        <w:t xml:space="preserve"> in reducing emissions from colder regions of the world where the water heating demands are </w:t>
      </w:r>
      <w:r w:rsidR="0076018E">
        <w:t xml:space="preserve">comparatively </w:t>
      </w:r>
      <w:r w:rsidR="0081623F">
        <w:t>high</w:t>
      </w:r>
      <w:r w:rsidR="0076018E">
        <w:t>er</w:t>
      </w:r>
      <w:r w:rsidR="0081623F">
        <w:t>.</w:t>
      </w:r>
    </w:p>
    <w:p w14:paraId="631C1215" w14:textId="56738119" w:rsidR="006D6012" w:rsidRDefault="551A77D0" w:rsidP="00E07370">
      <w:pPr>
        <w:pStyle w:val="Heading3"/>
      </w:pPr>
      <w:bookmarkStart w:id="33" w:name="_Toc44510661"/>
      <w:r w:rsidRPr="00177418">
        <w:t>Additional Benefits and Burdens</w:t>
      </w:r>
      <w:bookmarkEnd w:id="33"/>
    </w:p>
    <w:p w14:paraId="49C0BC48" w14:textId="3F678BED" w:rsidR="00A4357B" w:rsidRPr="00177418" w:rsidRDefault="0076018E" w:rsidP="00E07370">
      <w:r>
        <w:t xml:space="preserve">Solar water heaters may have high maintenance costs </w:t>
      </w:r>
      <w:r w:rsidR="00FD4329" w:rsidRPr="00177418">
        <w:t>(Girardeau, 2017)</w:t>
      </w:r>
      <w:r>
        <w:t xml:space="preserve"> depending on the type of the heater adopted. Maintenance costs could come from need for anti-freeze liqu</w:t>
      </w:r>
      <w:r w:rsidR="00E67CD3">
        <w:t>id, pump maintenance from models that depend on pumps.</w:t>
      </w:r>
      <w:r w:rsidR="00A4357B">
        <w:t xml:space="preserve"> </w:t>
      </w:r>
      <w:bookmarkStart w:id="34" w:name="_Toc524993438"/>
      <w:r w:rsidR="0021732C" w:rsidRPr="00177418">
        <w:t>For countries with a growing housing stock</w:t>
      </w:r>
      <w:r w:rsidR="00AF68B9" w:rsidRPr="00177418">
        <w:t xml:space="preserve">, </w:t>
      </w:r>
      <w:r w:rsidR="0021732C" w:rsidRPr="00177418">
        <w:t>these systems could be a key to meeting the demand for hot water.</w:t>
      </w:r>
      <w:r w:rsidR="00446CAD" w:rsidRPr="00177418">
        <w:t xml:space="preserve"> </w:t>
      </w:r>
      <w:r w:rsidR="009A34AE" w:rsidRPr="00177418">
        <w:t>Larger adoption of solar water heater would help in jobs creation.</w:t>
      </w:r>
    </w:p>
    <w:p w14:paraId="2F3C048C" w14:textId="77777777" w:rsidR="001142D0" w:rsidRPr="00786E57" w:rsidRDefault="006E6A95" w:rsidP="00D73F17">
      <w:r w:rsidRPr="00177418">
        <w:t xml:space="preserve">Different water heating technologies can be compared across various factors such as efficiency, cost, etc. </w:t>
      </w:r>
      <w:r w:rsidR="00BC0B4C">
        <w:fldChar w:fldCharType="begin"/>
      </w:r>
      <w:r w:rsidR="00BC0B4C">
        <w:instrText xml:space="preserve"> REF _Ref535849703 \h </w:instrText>
      </w:r>
      <w:r w:rsidR="001D0C31">
        <w:instrText xml:space="preserve"> \* MERGEFORMAT </w:instrText>
      </w:r>
      <w:r w:rsidR="00BC0B4C">
        <w:fldChar w:fldCharType="separate"/>
      </w:r>
    </w:p>
    <w:p w14:paraId="187DDF80" w14:textId="392F8E0D" w:rsidR="00A4357B" w:rsidRPr="00786E57" w:rsidRDefault="001142D0" w:rsidP="00D73F17">
      <w:r w:rsidRPr="003F5943">
        <w:rPr>
          <w:noProof/>
        </w:rPr>
        <w:t xml:space="preserve">Table </w:t>
      </w:r>
      <w:r>
        <w:rPr>
          <w:noProof/>
        </w:rPr>
        <w:t>1</w:t>
      </w:r>
      <w:r>
        <w:t>.</w:t>
      </w:r>
      <w:r>
        <w:rPr>
          <w:noProof/>
        </w:rPr>
        <w:t>3</w:t>
      </w:r>
      <w:r w:rsidR="00BC0B4C">
        <w:fldChar w:fldCharType="end"/>
      </w:r>
      <w:r w:rsidR="00BC0B4C">
        <w:t xml:space="preserve"> l</w:t>
      </w:r>
      <w:r w:rsidR="006E6A95" w:rsidRPr="00177418">
        <w:t>ists</w:t>
      </w:r>
      <w:r w:rsidR="00BC0B4C">
        <w:t xml:space="preserve"> </w:t>
      </w:r>
      <w:r w:rsidR="00B27A06">
        <w:t>technologies</w:t>
      </w:r>
      <w:r w:rsidR="006E6A95" w:rsidRPr="00177418">
        <w:t xml:space="preserve"> </w:t>
      </w:r>
      <w:r w:rsidR="00A939FD" w:rsidRPr="00177418">
        <w:t>compared based on efficiency</w:t>
      </w:r>
      <w:r w:rsidR="00E34088" w:rsidRPr="00177418">
        <w:t xml:space="preserve">, initial cost, </w:t>
      </w:r>
      <w:r w:rsidR="0035519E">
        <w:t xml:space="preserve">operating costs, </w:t>
      </w:r>
      <w:r w:rsidR="00E34088" w:rsidRPr="00177418">
        <w:t>comfort of continuous hot water,</w:t>
      </w:r>
      <w:r w:rsidR="00A939FD" w:rsidRPr="00177418">
        <w:t xml:space="preserve"> information from NREL</w:t>
      </w:r>
      <w:r w:rsidR="004605B4" w:rsidRPr="00177418">
        <w:t xml:space="preserve"> </w:t>
      </w:r>
      <w:r w:rsidR="004F7CC3" w:rsidRPr="00177418">
        <w:t>(Maguire et al., 2013)</w:t>
      </w:r>
      <w:r w:rsidR="00917CFC" w:rsidRPr="00177418">
        <w:t xml:space="preserve"> and overheating information from Ecohome </w:t>
      </w:r>
      <w:r w:rsidR="004F7CC3" w:rsidRPr="00177418">
        <w:t>(Reynolds, 2018)</w:t>
      </w:r>
      <w:r w:rsidR="00917CFC" w:rsidRPr="00177418">
        <w:t xml:space="preserve">. </w:t>
      </w:r>
      <w:r w:rsidR="00A92168" w:rsidRPr="00177418">
        <w:t xml:space="preserve">Source efficiency and onsite efficiency levels of all technologies are different. Only onsite efficiency is </w:t>
      </w:r>
      <w:r w:rsidR="00B9187C">
        <w:t>compared</w:t>
      </w:r>
      <w:r w:rsidR="00A92168" w:rsidRPr="00177418">
        <w:t xml:space="preserve"> in the</w:t>
      </w:r>
      <w:r w:rsidR="00B9187C">
        <w:t xml:space="preserve"> </w:t>
      </w:r>
      <w:r w:rsidR="00B9187C" w:rsidRPr="00B9187C">
        <w:fldChar w:fldCharType="begin"/>
      </w:r>
      <w:r w:rsidR="00B9187C" w:rsidRPr="00B9187C">
        <w:instrText xml:space="preserve"> REF _Ref861481 \h </w:instrText>
      </w:r>
      <w:r w:rsidR="00B9187C" w:rsidRPr="003F5943">
        <w:instrText xml:space="preserve"> \* MERGEFORMAT </w:instrText>
      </w:r>
      <w:r w:rsidR="00B9187C" w:rsidRPr="00B9187C">
        <w:fldChar w:fldCharType="separate"/>
      </w:r>
      <w:r w:rsidRPr="003F5943">
        <w:t xml:space="preserve">Table </w:t>
      </w:r>
      <w:r>
        <w:rPr>
          <w:noProof/>
        </w:rPr>
        <w:t>1.3</w:t>
      </w:r>
      <w:r w:rsidR="00B9187C" w:rsidRPr="00B9187C">
        <w:fldChar w:fldCharType="end"/>
      </w:r>
      <w:r w:rsidR="00A92168" w:rsidRPr="003F5943">
        <w:rPr>
          <w:i/>
        </w:rPr>
        <w:t>.</w:t>
      </w:r>
      <w:r w:rsidR="00A92168" w:rsidRPr="00B9187C">
        <w:t xml:space="preserve"> </w:t>
      </w:r>
      <w:r w:rsidR="00A92168" w:rsidRPr="00177418">
        <w:t>While initial costs are high for the most efficient technologies, retrofit installation costs remain the same as new installation costs for the solar thermal collectors. The comfort of readily available hot water is not available in all heating systems. Also, in colder regions where anti-freeze material is used in the winters, hot summer months can attrac</w:t>
      </w:r>
      <w:r w:rsidR="00625D41" w:rsidRPr="00177418">
        <w:t>t</w:t>
      </w:r>
      <w:r w:rsidR="00A92168" w:rsidRPr="00177418">
        <w:t xml:space="preserve"> a lot of heat and cause overheating if </w:t>
      </w:r>
      <w:r w:rsidR="00006CFA" w:rsidRPr="00177418">
        <w:t>necessary</w:t>
      </w:r>
      <w:r w:rsidR="00A92168" w:rsidRPr="00177418">
        <w:t xml:space="preserve"> precautions are not taken.</w:t>
      </w:r>
      <w:bookmarkStart w:id="35" w:name="_Ref535849703"/>
      <w:bookmarkStart w:id="36" w:name="_Ref535835239"/>
    </w:p>
    <w:p w14:paraId="66C56BBE" w14:textId="3B4FFDE7" w:rsidR="00695682" w:rsidRPr="003F5943" w:rsidRDefault="00695682" w:rsidP="006831EE">
      <w:pPr>
        <w:pStyle w:val="Caption"/>
        <w:rPr>
          <w:b/>
          <w:bCs/>
        </w:rPr>
      </w:pPr>
      <w:bookmarkStart w:id="37" w:name="_Ref861481"/>
      <w:bookmarkStart w:id="38" w:name="_Ref861455"/>
      <w:bookmarkStart w:id="39" w:name="_Toc44510694"/>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1</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3</w:t>
      </w:r>
      <w:r w:rsidR="00CA08B6">
        <w:rPr>
          <w:noProof/>
        </w:rPr>
        <w:fldChar w:fldCharType="end"/>
      </w:r>
      <w:bookmarkEnd w:id="35"/>
      <w:bookmarkEnd w:id="36"/>
      <w:bookmarkEnd w:id="37"/>
      <w:r w:rsidRPr="003F5943">
        <w:t xml:space="preserve"> </w:t>
      </w:r>
      <w:bookmarkEnd w:id="34"/>
      <w:r w:rsidR="00FD2AE2" w:rsidRPr="003F5943">
        <w:t>Te</w:t>
      </w:r>
      <w:r w:rsidR="00677A86" w:rsidRPr="003F5943">
        <w:t>chnology comparison</w:t>
      </w:r>
      <w:bookmarkEnd w:id="38"/>
      <w:bookmarkEnd w:id="39"/>
    </w:p>
    <w:tbl>
      <w:tblPr>
        <w:tblStyle w:val="TableGrid"/>
        <w:tblW w:w="10975" w:type="dxa"/>
        <w:jc w:val="center"/>
        <w:tblLook w:val="04A0" w:firstRow="1" w:lastRow="0" w:firstColumn="1" w:lastColumn="0" w:noHBand="0" w:noVBand="1"/>
      </w:tblPr>
      <w:tblGrid>
        <w:gridCol w:w="2155"/>
        <w:gridCol w:w="2700"/>
        <w:gridCol w:w="1980"/>
        <w:gridCol w:w="1301"/>
        <w:gridCol w:w="1643"/>
        <w:gridCol w:w="1196"/>
      </w:tblGrid>
      <w:tr w:rsidR="00A87843" w:rsidRPr="00D73F17" w14:paraId="4CFFCEFC" w14:textId="2787B0CE" w:rsidTr="00552BF0">
        <w:trPr>
          <w:trHeight w:val="594"/>
          <w:tblHeader/>
          <w:jc w:val="center"/>
        </w:trPr>
        <w:tc>
          <w:tcPr>
            <w:tcW w:w="2155" w:type="dxa"/>
            <w:shd w:val="clear" w:color="auto" w:fill="4F81BD" w:themeFill="accent1"/>
            <w:vAlign w:val="center"/>
          </w:tcPr>
          <w:p w14:paraId="2A55DC0C" w14:textId="6F8707E8" w:rsidR="00A87843" w:rsidRPr="00D73F17" w:rsidRDefault="00A87843" w:rsidP="00D73F17">
            <w:pPr>
              <w:spacing w:line="240" w:lineRule="auto"/>
              <w:rPr>
                <w:b/>
                <w:color w:val="FFFFFF" w:themeColor="background1"/>
              </w:rPr>
            </w:pPr>
            <w:r w:rsidRPr="00D73F17">
              <w:rPr>
                <w:b/>
                <w:color w:val="FFFFFF" w:themeColor="background1"/>
              </w:rPr>
              <w:t>Technology name</w:t>
            </w:r>
          </w:p>
        </w:tc>
        <w:tc>
          <w:tcPr>
            <w:tcW w:w="2700" w:type="dxa"/>
            <w:shd w:val="clear" w:color="auto" w:fill="4F81BD" w:themeFill="accent1"/>
            <w:vAlign w:val="center"/>
          </w:tcPr>
          <w:p w14:paraId="3AE78C6E" w14:textId="5380BC46" w:rsidR="00A87843" w:rsidRPr="00D73F17" w:rsidRDefault="00A87843" w:rsidP="00D73F17">
            <w:pPr>
              <w:spacing w:line="240" w:lineRule="auto"/>
              <w:jc w:val="center"/>
              <w:rPr>
                <w:b/>
                <w:color w:val="FFFFFF" w:themeColor="background1"/>
              </w:rPr>
            </w:pPr>
            <w:r w:rsidRPr="00D73F17">
              <w:rPr>
                <w:b/>
                <w:color w:val="FFFFFF" w:themeColor="background1"/>
              </w:rPr>
              <w:t>Efficiency (site energy consumption based)</w:t>
            </w:r>
          </w:p>
        </w:tc>
        <w:tc>
          <w:tcPr>
            <w:tcW w:w="1980" w:type="dxa"/>
            <w:shd w:val="clear" w:color="auto" w:fill="4F81BD" w:themeFill="accent1"/>
            <w:vAlign w:val="center"/>
          </w:tcPr>
          <w:p w14:paraId="60032A28" w14:textId="5F9004E1" w:rsidR="00A87843" w:rsidRPr="00D73F17" w:rsidRDefault="00A87843" w:rsidP="00D73F17">
            <w:pPr>
              <w:spacing w:line="240" w:lineRule="auto"/>
              <w:jc w:val="center"/>
              <w:rPr>
                <w:b/>
                <w:color w:val="FFFFFF" w:themeColor="background1"/>
              </w:rPr>
            </w:pPr>
            <w:r w:rsidRPr="00D73F17">
              <w:rPr>
                <w:b/>
                <w:color w:val="FFFFFF" w:themeColor="background1"/>
              </w:rPr>
              <w:t>Initial Cost</w:t>
            </w:r>
          </w:p>
        </w:tc>
        <w:tc>
          <w:tcPr>
            <w:tcW w:w="1301" w:type="dxa"/>
            <w:shd w:val="clear" w:color="auto" w:fill="4F81BD" w:themeFill="accent1"/>
            <w:vAlign w:val="center"/>
          </w:tcPr>
          <w:p w14:paraId="2EF06B8E" w14:textId="2FF508BD" w:rsidR="00A87843" w:rsidRPr="00D73F17" w:rsidRDefault="00A87843" w:rsidP="00D73F17">
            <w:pPr>
              <w:spacing w:line="240" w:lineRule="auto"/>
              <w:jc w:val="center"/>
              <w:rPr>
                <w:b/>
                <w:color w:val="FFFFFF" w:themeColor="background1"/>
              </w:rPr>
            </w:pPr>
            <w:r w:rsidRPr="00D73F17">
              <w:rPr>
                <w:b/>
                <w:color w:val="FFFFFF" w:themeColor="background1"/>
              </w:rPr>
              <w:t>Operational costs</w:t>
            </w:r>
          </w:p>
        </w:tc>
        <w:tc>
          <w:tcPr>
            <w:tcW w:w="0" w:type="auto"/>
            <w:shd w:val="clear" w:color="auto" w:fill="4F81BD" w:themeFill="accent1"/>
            <w:vAlign w:val="center"/>
          </w:tcPr>
          <w:p w14:paraId="74752455" w14:textId="621796D9" w:rsidR="00A87843" w:rsidRPr="00D73F17" w:rsidRDefault="00A87843" w:rsidP="00D73F17">
            <w:pPr>
              <w:spacing w:line="240" w:lineRule="auto"/>
              <w:jc w:val="center"/>
              <w:rPr>
                <w:b/>
                <w:color w:val="FFFFFF" w:themeColor="background1"/>
              </w:rPr>
            </w:pPr>
            <w:r w:rsidRPr="00D73F17">
              <w:rPr>
                <w:b/>
                <w:color w:val="FFFFFF" w:themeColor="background1"/>
              </w:rPr>
              <w:t>Ready availability  of hot water</w:t>
            </w:r>
          </w:p>
        </w:tc>
        <w:tc>
          <w:tcPr>
            <w:tcW w:w="1196" w:type="dxa"/>
            <w:shd w:val="clear" w:color="auto" w:fill="4F81BD" w:themeFill="accent1"/>
            <w:vAlign w:val="center"/>
          </w:tcPr>
          <w:p w14:paraId="1B969D70" w14:textId="18C99AB0" w:rsidR="00A87843" w:rsidRPr="00D73F17" w:rsidRDefault="00A87843" w:rsidP="00D73F17">
            <w:pPr>
              <w:spacing w:line="240" w:lineRule="auto"/>
              <w:jc w:val="center"/>
              <w:rPr>
                <w:b/>
                <w:color w:val="FFFFFF" w:themeColor="background1"/>
              </w:rPr>
            </w:pPr>
            <w:r w:rsidRPr="00D73F17">
              <w:rPr>
                <w:b/>
                <w:color w:val="FFFFFF" w:themeColor="background1"/>
              </w:rPr>
              <w:t>Usage as a back-up heater</w:t>
            </w:r>
          </w:p>
        </w:tc>
      </w:tr>
      <w:tr w:rsidR="00A87843" w:rsidRPr="00177418" w14:paraId="10738518" w14:textId="7C2299EA" w:rsidTr="00552BF0">
        <w:trPr>
          <w:trHeight w:val="334"/>
          <w:jc w:val="center"/>
        </w:trPr>
        <w:tc>
          <w:tcPr>
            <w:tcW w:w="2155" w:type="dxa"/>
            <w:vAlign w:val="center"/>
          </w:tcPr>
          <w:p w14:paraId="0CB46800" w14:textId="4B8DF482" w:rsidR="00A87843" w:rsidRPr="003F5943" w:rsidRDefault="00A87843" w:rsidP="00552BF0">
            <w:pPr>
              <w:spacing w:line="240" w:lineRule="auto"/>
              <w:jc w:val="center"/>
            </w:pPr>
            <w:r w:rsidRPr="003F5943">
              <w:t xml:space="preserve">Storage </w:t>
            </w:r>
            <w:r w:rsidR="00552BF0" w:rsidRPr="003F5943">
              <w:t>Tank Water Heaters</w:t>
            </w:r>
          </w:p>
        </w:tc>
        <w:tc>
          <w:tcPr>
            <w:tcW w:w="2700" w:type="dxa"/>
            <w:vAlign w:val="center"/>
          </w:tcPr>
          <w:p w14:paraId="0006824C" w14:textId="0BD55548" w:rsidR="00A87843" w:rsidRPr="003F5943" w:rsidRDefault="00A87843" w:rsidP="00D73F17">
            <w:pPr>
              <w:spacing w:line="240" w:lineRule="auto"/>
              <w:jc w:val="center"/>
            </w:pPr>
            <w:r w:rsidRPr="003F5943">
              <w:t>Medium (electric)</w:t>
            </w:r>
          </w:p>
        </w:tc>
        <w:tc>
          <w:tcPr>
            <w:tcW w:w="1980" w:type="dxa"/>
            <w:vAlign w:val="center"/>
          </w:tcPr>
          <w:p w14:paraId="14C15D3A" w14:textId="250D1B2B" w:rsidR="00A87843" w:rsidRPr="003F5943" w:rsidRDefault="00A87843" w:rsidP="00D73F17">
            <w:pPr>
              <w:spacing w:line="240" w:lineRule="auto"/>
              <w:jc w:val="center"/>
            </w:pPr>
            <w:r w:rsidRPr="003F5943">
              <w:t>Low (electric)</w:t>
            </w:r>
          </w:p>
        </w:tc>
        <w:tc>
          <w:tcPr>
            <w:tcW w:w="1301" w:type="dxa"/>
            <w:vAlign w:val="center"/>
          </w:tcPr>
          <w:p w14:paraId="338E6567" w14:textId="4828EF5C" w:rsidR="00A87843" w:rsidRPr="003F5943" w:rsidRDefault="00FE276F" w:rsidP="00D73F17">
            <w:pPr>
              <w:spacing w:line="240" w:lineRule="auto"/>
              <w:jc w:val="center"/>
            </w:pPr>
            <w:r>
              <w:t>--</w:t>
            </w:r>
          </w:p>
        </w:tc>
        <w:tc>
          <w:tcPr>
            <w:tcW w:w="0" w:type="auto"/>
            <w:vAlign w:val="center"/>
          </w:tcPr>
          <w:p w14:paraId="592235B7" w14:textId="585AEEF7" w:rsidR="00A87843" w:rsidRPr="003F5943" w:rsidRDefault="00A87843" w:rsidP="00D73F17">
            <w:pPr>
              <w:spacing w:line="240" w:lineRule="auto"/>
              <w:jc w:val="center"/>
            </w:pPr>
            <w:r w:rsidRPr="003F5943">
              <w:t>High</w:t>
            </w:r>
          </w:p>
        </w:tc>
        <w:tc>
          <w:tcPr>
            <w:tcW w:w="1196" w:type="dxa"/>
            <w:vAlign w:val="center"/>
          </w:tcPr>
          <w:p w14:paraId="5677AA1B" w14:textId="0486B54A" w:rsidR="00A87843" w:rsidRPr="003F5943" w:rsidRDefault="00FE276F" w:rsidP="00D73F17">
            <w:pPr>
              <w:spacing w:line="240" w:lineRule="auto"/>
              <w:jc w:val="center"/>
            </w:pPr>
            <w:r>
              <w:t>--</w:t>
            </w:r>
          </w:p>
        </w:tc>
      </w:tr>
      <w:tr w:rsidR="00A87843" w:rsidRPr="00177418" w14:paraId="67241704" w14:textId="47C5B0A4" w:rsidTr="00552BF0">
        <w:trPr>
          <w:trHeight w:val="334"/>
          <w:jc w:val="center"/>
        </w:trPr>
        <w:tc>
          <w:tcPr>
            <w:tcW w:w="2155" w:type="dxa"/>
            <w:vAlign w:val="center"/>
          </w:tcPr>
          <w:p w14:paraId="687770EB" w14:textId="4CA14B9A" w:rsidR="00A87843" w:rsidRPr="003F5943" w:rsidRDefault="00A87843" w:rsidP="00552BF0">
            <w:pPr>
              <w:spacing w:line="240" w:lineRule="auto"/>
              <w:jc w:val="center"/>
            </w:pPr>
            <w:r w:rsidRPr="003F5943">
              <w:t xml:space="preserve">Tankless </w:t>
            </w:r>
            <w:r w:rsidR="00552BF0" w:rsidRPr="003F5943">
              <w:t>On-Demand Water Heater - Electric</w:t>
            </w:r>
          </w:p>
        </w:tc>
        <w:tc>
          <w:tcPr>
            <w:tcW w:w="2700" w:type="dxa"/>
            <w:vAlign w:val="center"/>
          </w:tcPr>
          <w:p w14:paraId="4933E0C1" w14:textId="7C7315C6" w:rsidR="00A87843" w:rsidRPr="003F5943" w:rsidRDefault="00A87843" w:rsidP="00D73F17">
            <w:pPr>
              <w:spacing w:line="240" w:lineRule="auto"/>
              <w:jc w:val="center"/>
            </w:pPr>
            <w:r w:rsidRPr="003F5943">
              <w:t>Winter efficiency (Medium)</w:t>
            </w:r>
          </w:p>
        </w:tc>
        <w:tc>
          <w:tcPr>
            <w:tcW w:w="1980" w:type="dxa"/>
            <w:vAlign w:val="center"/>
          </w:tcPr>
          <w:p w14:paraId="66422FD7" w14:textId="7BC704B9" w:rsidR="00A87843" w:rsidRPr="003F5943" w:rsidRDefault="00FE276F" w:rsidP="00D73F17">
            <w:pPr>
              <w:spacing w:line="240" w:lineRule="auto"/>
              <w:jc w:val="center"/>
            </w:pPr>
            <w:r>
              <w:t>--</w:t>
            </w:r>
          </w:p>
        </w:tc>
        <w:tc>
          <w:tcPr>
            <w:tcW w:w="1301" w:type="dxa"/>
            <w:vAlign w:val="center"/>
          </w:tcPr>
          <w:p w14:paraId="1DAB667D" w14:textId="1136F5F7" w:rsidR="00A87843" w:rsidRPr="003F5943" w:rsidDel="0098547E" w:rsidRDefault="00FE276F" w:rsidP="00D73F17">
            <w:pPr>
              <w:spacing w:line="240" w:lineRule="auto"/>
              <w:jc w:val="center"/>
            </w:pPr>
            <w:r>
              <w:t>--</w:t>
            </w:r>
          </w:p>
        </w:tc>
        <w:tc>
          <w:tcPr>
            <w:tcW w:w="0" w:type="auto"/>
            <w:vAlign w:val="center"/>
          </w:tcPr>
          <w:p w14:paraId="1432423F" w14:textId="2ACFFB5E" w:rsidR="00A87843" w:rsidRPr="003F5943" w:rsidRDefault="00D73F17" w:rsidP="00D73F17">
            <w:pPr>
              <w:spacing w:line="240" w:lineRule="auto"/>
              <w:jc w:val="center"/>
            </w:pPr>
            <w:r>
              <w:t>L</w:t>
            </w:r>
            <w:r w:rsidR="00A87843" w:rsidRPr="003F5943">
              <w:t>ow</w:t>
            </w:r>
          </w:p>
        </w:tc>
        <w:tc>
          <w:tcPr>
            <w:tcW w:w="1196" w:type="dxa"/>
            <w:vAlign w:val="center"/>
          </w:tcPr>
          <w:p w14:paraId="06164D76" w14:textId="4107C643" w:rsidR="00A87843" w:rsidRPr="003F5943" w:rsidRDefault="00A87843" w:rsidP="00D73F17">
            <w:pPr>
              <w:spacing w:line="240" w:lineRule="auto"/>
              <w:jc w:val="center"/>
            </w:pPr>
            <w:r w:rsidRPr="003F5943">
              <w:t>High</w:t>
            </w:r>
          </w:p>
        </w:tc>
      </w:tr>
      <w:tr w:rsidR="00A87843" w:rsidRPr="00177418" w14:paraId="29BE06D1" w14:textId="77777777" w:rsidTr="00552BF0">
        <w:trPr>
          <w:trHeight w:val="334"/>
          <w:jc w:val="center"/>
        </w:trPr>
        <w:tc>
          <w:tcPr>
            <w:tcW w:w="2155" w:type="dxa"/>
            <w:vAlign w:val="center"/>
          </w:tcPr>
          <w:p w14:paraId="794D11A4" w14:textId="6403DFFE" w:rsidR="00A87843" w:rsidRPr="003F5943" w:rsidDel="00716993" w:rsidRDefault="00A87843" w:rsidP="00552BF0">
            <w:pPr>
              <w:spacing w:line="240" w:lineRule="auto"/>
              <w:jc w:val="center"/>
            </w:pPr>
            <w:r w:rsidRPr="003F5943">
              <w:t xml:space="preserve">Tankless </w:t>
            </w:r>
            <w:r w:rsidR="00552BF0" w:rsidRPr="003F5943">
              <w:t>On-Demand Water Heater - Gas</w:t>
            </w:r>
          </w:p>
        </w:tc>
        <w:tc>
          <w:tcPr>
            <w:tcW w:w="2700" w:type="dxa"/>
            <w:vAlign w:val="center"/>
          </w:tcPr>
          <w:p w14:paraId="63F4B7FB" w14:textId="13997428" w:rsidR="00A87843" w:rsidRPr="003F5943" w:rsidRDefault="00A87843" w:rsidP="00D73F17">
            <w:pPr>
              <w:spacing w:line="240" w:lineRule="auto"/>
              <w:jc w:val="center"/>
            </w:pPr>
            <w:r w:rsidRPr="003F5943">
              <w:t>High,</w:t>
            </w:r>
          </w:p>
          <w:p w14:paraId="1CAAC248" w14:textId="3C414F90" w:rsidR="00A87843" w:rsidRPr="003F5943" w:rsidRDefault="00A87843" w:rsidP="00D73F17">
            <w:pPr>
              <w:spacing w:line="240" w:lineRule="auto"/>
              <w:jc w:val="center"/>
            </w:pPr>
            <w:r w:rsidRPr="003F5943">
              <w:t>Medium (in winters)</w:t>
            </w:r>
          </w:p>
        </w:tc>
        <w:tc>
          <w:tcPr>
            <w:tcW w:w="1980" w:type="dxa"/>
            <w:vAlign w:val="center"/>
          </w:tcPr>
          <w:p w14:paraId="5717D0F4" w14:textId="76639F4D" w:rsidR="00A87843" w:rsidRPr="003F5943" w:rsidRDefault="00A87843" w:rsidP="00D73F17">
            <w:pPr>
              <w:spacing w:line="240" w:lineRule="auto"/>
              <w:jc w:val="center"/>
            </w:pPr>
            <w:r w:rsidRPr="003F5943">
              <w:t>High</w:t>
            </w:r>
          </w:p>
          <w:p w14:paraId="5DEC07D1" w14:textId="47B7FDB4" w:rsidR="00A87843" w:rsidRPr="003F5943" w:rsidRDefault="00A87843" w:rsidP="00D73F17">
            <w:pPr>
              <w:spacing w:line="240" w:lineRule="auto"/>
              <w:jc w:val="center"/>
            </w:pPr>
            <w:r w:rsidRPr="003F5943">
              <w:t>(condensing type)</w:t>
            </w:r>
          </w:p>
        </w:tc>
        <w:tc>
          <w:tcPr>
            <w:tcW w:w="1301" w:type="dxa"/>
            <w:vAlign w:val="center"/>
          </w:tcPr>
          <w:p w14:paraId="0FF16097" w14:textId="524A8E03" w:rsidR="00A87843" w:rsidRPr="003F5943" w:rsidRDefault="00FE276F" w:rsidP="00D73F17">
            <w:pPr>
              <w:spacing w:line="240" w:lineRule="auto"/>
              <w:jc w:val="center"/>
            </w:pPr>
            <w:r>
              <w:t>--</w:t>
            </w:r>
          </w:p>
        </w:tc>
        <w:tc>
          <w:tcPr>
            <w:tcW w:w="0" w:type="auto"/>
            <w:vAlign w:val="center"/>
          </w:tcPr>
          <w:p w14:paraId="42F4B797" w14:textId="53877DC9" w:rsidR="00A87843" w:rsidRPr="003F5943" w:rsidRDefault="00A87843" w:rsidP="00D73F17">
            <w:pPr>
              <w:spacing w:line="240" w:lineRule="auto"/>
              <w:jc w:val="center"/>
            </w:pPr>
            <w:r w:rsidRPr="003F5943">
              <w:t>Medium (gas based)</w:t>
            </w:r>
          </w:p>
        </w:tc>
        <w:tc>
          <w:tcPr>
            <w:tcW w:w="1196" w:type="dxa"/>
            <w:vAlign w:val="center"/>
          </w:tcPr>
          <w:p w14:paraId="230FA1C7" w14:textId="056B2DC1" w:rsidR="00A87843" w:rsidRPr="003F5943" w:rsidRDefault="00FE276F" w:rsidP="00D73F17">
            <w:pPr>
              <w:spacing w:line="240" w:lineRule="auto"/>
              <w:jc w:val="center"/>
            </w:pPr>
            <w:r>
              <w:t>--</w:t>
            </w:r>
          </w:p>
        </w:tc>
      </w:tr>
      <w:tr w:rsidR="00A87843" w:rsidRPr="00177418" w14:paraId="4FE1F79C" w14:textId="20A65F17" w:rsidTr="00552BF0">
        <w:trPr>
          <w:trHeight w:val="315"/>
          <w:jc w:val="center"/>
        </w:trPr>
        <w:tc>
          <w:tcPr>
            <w:tcW w:w="2155" w:type="dxa"/>
            <w:vAlign w:val="center"/>
          </w:tcPr>
          <w:p w14:paraId="3AC5A24A" w14:textId="65290F5C" w:rsidR="00A87843" w:rsidRPr="003F5943" w:rsidRDefault="00A87843" w:rsidP="00552BF0">
            <w:pPr>
              <w:spacing w:line="240" w:lineRule="auto"/>
              <w:jc w:val="center"/>
            </w:pPr>
            <w:r w:rsidRPr="003F5943">
              <w:t xml:space="preserve">Combination Space </w:t>
            </w:r>
            <w:r w:rsidR="00552BF0" w:rsidRPr="003F5943">
              <w:t xml:space="preserve">And </w:t>
            </w:r>
            <w:r w:rsidRPr="003F5943">
              <w:t xml:space="preserve">Water </w:t>
            </w:r>
            <w:r w:rsidR="00552BF0" w:rsidRPr="003F5943">
              <w:t>Heating Systems</w:t>
            </w:r>
          </w:p>
        </w:tc>
        <w:tc>
          <w:tcPr>
            <w:tcW w:w="2700" w:type="dxa"/>
            <w:vAlign w:val="center"/>
          </w:tcPr>
          <w:p w14:paraId="4AEFD00B" w14:textId="6C6128F9" w:rsidR="00A87843" w:rsidRPr="003F5943" w:rsidRDefault="00FE276F" w:rsidP="00D73F17">
            <w:pPr>
              <w:spacing w:line="240" w:lineRule="auto"/>
              <w:jc w:val="center"/>
            </w:pPr>
            <w:r>
              <w:t>--</w:t>
            </w:r>
          </w:p>
        </w:tc>
        <w:tc>
          <w:tcPr>
            <w:tcW w:w="1980" w:type="dxa"/>
            <w:vAlign w:val="center"/>
          </w:tcPr>
          <w:p w14:paraId="6D0D03B2" w14:textId="666DCF71" w:rsidR="00A87843" w:rsidRPr="003F5943" w:rsidRDefault="00FE276F" w:rsidP="00D73F17">
            <w:pPr>
              <w:spacing w:line="240" w:lineRule="auto"/>
              <w:jc w:val="center"/>
            </w:pPr>
            <w:r>
              <w:t>--</w:t>
            </w:r>
          </w:p>
        </w:tc>
        <w:tc>
          <w:tcPr>
            <w:tcW w:w="1301" w:type="dxa"/>
            <w:vAlign w:val="center"/>
          </w:tcPr>
          <w:p w14:paraId="0C10C678" w14:textId="1DBC0CFA" w:rsidR="00A87843" w:rsidRPr="003F5943" w:rsidRDefault="00FE276F" w:rsidP="00D73F17">
            <w:pPr>
              <w:spacing w:line="240" w:lineRule="auto"/>
              <w:jc w:val="center"/>
            </w:pPr>
            <w:r>
              <w:t>--</w:t>
            </w:r>
          </w:p>
        </w:tc>
        <w:tc>
          <w:tcPr>
            <w:tcW w:w="0" w:type="auto"/>
            <w:vAlign w:val="center"/>
          </w:tcPr>
          <w:p w14:paraId="2753AB5E" w14:textId="3A1328CB" w:rsidR="00A87843" w:rsidRPr="003F5943" w:rsidRDefault="00A87843" w:rsidP="00D73F17">
            <w:pPr>
              <w:spacing w:line="240" w:lineRule="auto"/>
              <w:jc w:val="center"/>
            </w:pPr>
            <w:r w:rsidRPr="003F5943">
              <w:t>High</w:t>
            </w:r>
          </w:p>
        </w:tc>
        <w:tc>
          <w:tcPr>
            <w:tcW w:w="1196" w:type="dxa"/>
            <w:vAlign w:val="center"/>
          </w:tcPr>
          <w:p w14:paraId="299ACA2D" w14:textId="3EE57FF8" w:rsidR="00A87843" w:rsidRPr="003F5943" w:rsidRDefault="00FE276F" w:rsidP="00D73F17">
            <w:pPr>
              <w:spacing w:line="240" w:lineRule="auto"/>
              <w:jc w:val="center"/>
            </w:pPr>
            <w:r>
              <w:t>--</w:t>
            </w:r>
          </w:p>
        </w:tc>
      </w:tr>
      <w:tr w:rsidR="00A87843" w:rsidRPr="00177418" w14:paraId="1F9C9877" w14:textId="324AEB80" w:rsidTr="00552BF0">
        <w:trPr>
          <w:trHeight w:val="315"/>
          <w:jc w:val="center"/>
        </w:trPr>
        <w:tc>
          <w:tcPr>
            <w:tcW w:w="2155" w:type="dxa"/>
            <w:vAlign w:val="center"/>
          </w:tcPr>
          <w:p w14:paraId="0CE6E841" w14:textId="57F5069D" w:rsidR="00A87843" w:rsidRPr="003F5943" w:rsidRDefault="00A87843" w:rsidP="00552BF0">
            <w:pPr>
              <w:spacing w:line="240" w:lineRule="auto"/>
              <w:jc w:val="center"/>
            </w:pPr>
            <w:r w:rsidRPr="003F5943">
              <w:t xml:space="preserve">Electric </w:t>
            </w:r>
            <w:r w:rsidR="00552BF0" w:rsidRPr="003F5943">
              <w:t>Resistance</w:t>
            </w:r>
          </w:p>
        </w:tc>
        <w:tc>
          <w:tcPr>
            <w:tcW w:w="2700" w:type="dxa"/>
            <w:vAlign w:val="center"/>
          </w:tcPr>
          <w:p w14:paraId="1168C7A1" w14:textId="3BF1EB51" w:rsidR="00A87843" w:rsidRPr="003F5943" w:rsidRDefault="00D73F17" w:rsidP="00D73F17">
            <w:pPr>
              <w:spacing w:line="240" w:lineRule="auto"/>
              <w:jc w:val="center"/>
            </w:pPr>
            <w:r>
              <w:t>L</w:t>
            </w:r>
            <w:r w:rsidR="00A87843" w:rsidRPr="003F5943">
              <w:t>ow</w:t>
            </w:r>
          </w:p>
        </w:tc>
        <w:tc>
          <w:tcPr>
            <w:tcW w:w="1980" w:type="dxa"/>
            <w:vAlign w:val="center"/>
          </w:tcPr>
          <w:p w14:paraId="7BBF1FEF" w14:textId="231CF64D" w:rsidR="00A87843" w:rsidRPr="003F5943" w:rsidRDefault="00A87843" w:rsidP="00D73F17">
            <w:pPr>
              <w:spacing w:line="240" w:lineRule="auto"/>
              <w:jc w:val="center"/>
            </w:pPr>
            <w:r w:rsidRPr="003F5943">
              <w:t>High</w:t>
            </w:r>
          </w:p>
        </w:tc>
        <w:tc>
          <w:tcPr>
            <w:tcW w:w="1301" w:type="dxa"/>
            <w:vAlign w:val="center"/>
          </w:tcPr>
          <w:p w14:paraId="1B966A09" w14:textId="776F2A35" w:rsidR="00A87843" w:rsidRPr="003F5943" w:rsidRDefault="00A87843" w:rsidP="00D73F17">
            <w:pPr>
              <w:spacing w:line="240" w:lineRule="auto"/>
              <w:jc w:val="center"/>
            </w:pPr>
            <w:r w:rsidRPr="003F5943">
              <w:t>High</w:t>
            </w:r>
          </w:p>
        </w:tc>
        <w:tc>
          <w:tcPr>
            <w:tcW w:w="0" w:type="auto"/>
            <w:vAlign w:val="center"/>
          </w:tcPr>
          <w:p w14:paraId="6E3919B8" w14:textId="4205CF66" w:rsidR="00A87843" w:rsidRPr="003F5943" w:rsidRDefault="00FE276F" w:rsidP="00D73F17">
            <w:pPr>
              <w:spacing w:line="240" w:lineRule="auto"/>
              <w:jc w:val="center"/>
            </w:pPr>
            <w:r>
              <w:t>--</w:t>
            </w:r>
          </w:p>
        </w:tc>
        <w:tc>
          <w:tcPr>
            <w:tcW w:w="1196" w:type="dxa"/>
            <w:vAlign w:val="center"/>
          </w:tcPr>
          <w:p w14:paraId="7F396E74" w14:textId="1ECD38B9" w:rsidR="00A87843" w:rsidRPr="003F5943" w:rsidRDefault="00FE276F" w:rsidP="00D73F17">
            <w:pPr>
              <w:spacing w:line="240" w:lineRule="auto"/>
              <w:jc w:val="center"/>
            </w:pPr>
            <w:r>
              <w:t>--</w:t>
            </w:r>
          </w:p>
        </w:tc>
      </w:tr>
      <w:tr w:rsidR="00A87843" w:rsidRPr="00177418" w14:paraId="04FA166C" w14:textId="594F59FD" w:rsidTr="00552BF0">
        <w:trPr>
          <w:trHeight w:val="352"/>
          <w:jc w:val="center"/>
        </w:trPr>
        <w:tc>
          <w:tcPr>
            <w:tcW w:w="2155" w:type="dxa"/>
            <w:vAlign w:val="center"/>
          </w:tcPr>
          <w:p w14:paraId="2AE4F9EF" w14:textId="4BBD0153" w:rsidR="00A87843" w:rsidRPr="003F5943" w:rsidRDefault="00A87843" w:rsidP="00552BF0">
            <w:pPr>
              <w:spacing w:line="240" w:lineRule="auto"/>
              <w:jc w:val="center"/>
            </w:pPr>
            <w:r w:rsidRPr="003F5943">
              <w:t xml:space="preserve">Heat </w:t>
            </w:r>
            <w:r w:rsidR="00552BF0" w:rsidRPr="003F5943">
              <w:t>Pumps</w:t>
            </w:r>
          </w:p>
        </w:tc>
        <w:tc>
          <w:tcPr>
            <w:tcW w:w="2700" w:type="dxa"/>
            <w:vAlign w:val="center"/>
          </w:tcPr>
          <w:p w14:paraId="6FBFB2A2" w14:textId="0817AA31" w:rsidR="00A87843" w:rsidRPr="003F5943" w:rsidRDefault="00A87843" w:rsidP="00D73F17">
            <w:pPr>
              <w:spacing w:line="240" w:lineRule="auto"/>
              <w:jc w:val="center"/>
            </w:pPr>
            <w:r w:rsidRPr="003F5943">
              <w:t>High,</w:t>
            </w:r>
          </w:p>
          <w:p w14:paraId="2D550CA2" w14:textId="27DCEAC6" w:rsidR="00A87843" w:rsidRPr="003F5943" w:rsidRDefault="00A87843" w:rsidP="00D73F17">
            <w:pPr>
              <w:spacing w:line="240" w:lineRule="auto"/>
              <w:jc w:val="center"/>
            </w:pPr>
            <w:r w:rsidRPr="003F5943">
              <w:t>Medium (in winters)</w:t>
            </w:r>
          </w:p>
        </w:tc>
        <w:tc>
          <w:tcPr>
            <w:tcW w:w="1980" w:type="dxa"/>
            <w:vAlign w:val="center"/>
          </w:tcPr>
          <w:p w14:paraId="32D26F48" w14:textId="566A04A7" w:rsidR="00A87843" w:rsidRPr="003F5943" w:rsidRDefault="00A87843" w:rsidP="00D73F17">
            <w:pPr>
              <w:spacing w:line="240" w:lineRule="auto"/>
              <w:jc w:val="center"/>
            </w:pPr>
            <w:r w:rsidRPr="003F5943">
              <w:t>High (in milder climates)</w:t>
            </w:r>
          </w:p>
        </w:tc>
        <w:tc>
          <w:tcPr>
            <w:tcW w:w="1301" w:type="dxa"/>
            <w:vAlign w:val="center"/>
          </w:tcPr>
          <w:p w14:paraId="54D953D8" w14:textId="1D0D3594" w:rsidR="00A87843" w:rsidRPr="003F5943" w:rsidRDefault="00FE276F" w:rsidP="00D73F17">
            <w:pPr>
              <w:spacing w:line="240" w:lineRule="auto"/>
              <w:jc w:val="center"/>
            </w:pPr>
            <w:r>
              <w:t>--</w:t>
            </w:r>
          </w:p>
        </w:tc>
        <w:tc>
          <w:tcPr>
            <w:tcW w:w="0" w:type="auto"/>
            <w:vAlign w:val="center"/>
          </w:tcPr>
          <w:p w14:paraId="4E03DB1F" w14:textId="746EAC6A" w:rsidR="00A87843" w:rsidRPr="003F5943" w:rsidRDefault="00A87843" w:rsidP="00D73F17">
            <w:pPr>
              <w:spacing w:line="240" w:lineRule="auto"/>
              <w:jc w:val="center"/>
            </w:pPr>
            <w:r w:rsidRPr="003F5943">
              <w:t>High</w:t>
            </w:r>
          </w:p>
        </w:tc>
        <w:tc>
          <w:tcPr>
            <w:tcW w:w="1196" w:type="dxa"/>
            <w:vAlign w:val="center"/>
          </w:tcPr>
          <w:p w14:paraId="543C36DF" w14:textId="73F24CC0" w:rsidR="00A87843" w:rsidRPr="003F5943" w:rsidRDefault="00FE276F" w:rsidP="00D73F17">
            <w:pPr>
              <w:spacing w:line="240" w:lineRule="auto"/>
              <w:jc w:val="center"/>
            </w:pPr>
            <w:r>
              <w:t>--</w:t>
            </w:r>
          </w:p>
        </w:tc>
      </w:tr>
      <w:tr w:rsidR="00A87843" w:rsidRPr="00177418" w14:paraId="2F391DB1" w14:textId="2511DB6F" w:rsidTr="00552BF0">
        <w:trPr>
          <w:trHeight w:val="352"/>
          <w:jc w:val="center"/>
        </w:trPr>
        <w:tc>
          <w:tcPr>
            <w:tcW w:w="2155" w:type="dxa"/>
            <w:vAlign w:val="center"/>
          </w:tcPr>
          <w:p w14:paraId="093ADEC4" w14:textId="7D21BA67" w:rsidR="00A87843" w:rsidRPr="003F5943" w:rsidRDefault="00A87843" w:rsidP="00552BF0">
            <w:pPr>
              <w:spacing w:line="240" w:lineRule="auto"/>
              <w:jc w:val="center"/>
            </w:pPr>
            <w:r w:rsidRPr="003F5943">
              <w:lastRenderedPageBreak/>
              <w:t xml:space="preserve">Solution </w:t>
            </w:r>
            <w:r w:rsidR="00552BF0" w:rsidRPr="003F5943">
              <w:t xml:space="preserve">- </w:t>
            </w:r>
            <w:r w:rsidRPr="003F5943">
              <w:t xml:space="preserve">Solar </w:t>
            </w:r>
            <w:r w:rsidR="00552BF0" w:rsidRPr="003F5943">
              <w:t>Water Heater</w:t>
            </w:r>
          </w:p>
        </w:tc>
        <w:tc>
          <w:tcPr>
            <w:tcW w:w="2700" w:type="dxa"/>
            <w:vAlign w:val="center"/>
          </w:tcPr>
          <w:p w14:paraId="3280BB27" w14:textId="70E77E20" w:rsidR="00A87843" w:rsidRPr="003F5943" w:rsidRDefault="00A87843" w:rsidP="00D73F17">
            <w:pPr>
              <w:spacing w:line="240" w:lineRule="auto"/>
              <w:jc w:val="center"/>
            </w:pPr>
            <w:r w:rsidRPr="003F5943">
              <w:t>High</w:t>
            </w:r>
          </w:p>
        </w:tc>
        <w:tc>
          <w:tcPr>
            <w:tcW w:w="1980" w:type="dxa"/>
            <w:vAlign w:val="center"/>
          </w:tcPr>
          <w:p w14:paraId="0F98989E" w14:textId="48048EAE" w:rsidR="00A87843" w:rsidRPr="003F5943" w:rsidRDefault="00A87843" w:rsidP="00D73F17">
            <w:pPr>
              <w:spacing w:line="240" w:lineRule="auto"/>
              <w:jc w:val="center"/>
            </w:pPr>
            <w:r w:rsidRPr="003F5943">
              <w:t>High</w:t>
            </w:r>
          </w:p>
        </w:tc>
        <w:tc>
          <w:tcPr>
            <w:tcW w:w="1301" w:type="dxa"/>
            <w:vAlign w:val="center"/>
          </w:tcPr>
          <w:p w14:paraId="315A0D5E" w14:textId="2D52EEDF" w:rsidR="00A87843" w:rsidRPr="003F5943" w:rsidRDefault="00A87843" w:rsidP="00D73F17">
            <w:pPr>
              <w:spacing w:line="240" w:lineRule="auto"/>
              <w:jc w:val="center"/>
            </w:pPr>
            <w:r w:rsidRPr="003F5943">
              <w:t>Low</w:t>
            </w:r>
          </w:p>
        </w:tc>
        <w:tc>
          <w:tcPr>
            <w:tcW w:w="0" w:type="auto"/>
            <w:vAlign w:val="center"/>
          </w:tcPr>
          <w:p w14:paraId="6C23A9E1" w14:textId="307270B1" w:rsidR="00A87843" w:rsidRPr="003F5943" w:rsidRDefault="00A87843" w:rsidP="00D73F17">
            <w:pPr>
              <w:spacing w:line="240" w:lineRule="auto"/>
              <w:jc w:val="center"/>
            </w:pPr>
            <w:r w:rsidRPr="003F5943">
              <w:t>High</w:t>
            </w:r>
          </w:p>
        </w:tc>
        <w:tc>
          <w:tcPr>
            <w:tcW w:w="1196" w:type="dxa"/>
            <w:vAlign w:val="center"/>
          </w:tcPr>
          <w:p w14:paraId="391C03AC" w14:textId="12CB6888" w:rsidR="00A87843" w:rsidRPr="003F5943" w:rsidRDefault="00A87843" w:rsidP="00D73F17">
            <w:pPr>
              <w:spacing w:line="240" w:lineRule="auto"/>
              <w:jc w:val="center"/>
            </w:pPr>
            <w:r w:rsidRPr="003F5943">
              <w:t>High</w:t>
            </w:r>
          </w:p>
        </w:tc>
      </w:tr>
    </w:tbl>
    <w:p w14:paraId="13B03CCF" w14:textId="18F0BDC7" w:rsidR="00716993" w:rsidRDefault="00716993" w:rsidP="00E07370"/>
    <w:p w14:paraId="58D827DE" w14:textId="3096196F" w:rsidR="00B06C7E" w:rsidRPr="003F5943" w:rsidRDefault="00B06C7E" w:rsidP="00E07370">
      <w:pPr>
        <w:sectPr w:rsidR="00B06C7E" w:rsidRPr="003F5943" w:rsidSect="00C44058">
          <w:footerReference w:type="default" r:id="rId16"/>
          <w:pgSz w:w="12240" w:h="15840"/>
          <w:pgMar w:top="1440" w:right="1440" w:bottom="1440" w:left="1440" w:header="720" w:footer="720" w:gutter="0"/>
          <w:pgNumType w:start="1"/>
          <w:cols w:space="720"/>
        </w:sectPr>
      </w:pPr>
    </w:p>
    <w:p w14:paraId="756DEC01" w14:textId="2A9B7491" w:rsidR="00966563" w:rsidRPr="00177418" w:rsidRDefault="551A77D0" w:rsidP="00E07370">
      <w:pPr>
        <w:pStyle w:val="Heading1"/>
      </w:pPr>
      <w:bookmarkStart w:id="40" w:name="_Toc44510662"/>
      <w:r w:rsidRPr="00177418">
        <w:lastRenderedPageBreak/>
        <w:t>Methodology</w:t>
      </w:r>
      <w:bookmarkEnd w:id="40"/>
    </w:p>
    <w:p w14:paraId="567926D6" w14:textId="0B6967A3" w:rsidR="00BD136D" w:rsidRPr="00177418" w:rsidRDefault="00686965" w:rsidP="00E07370">
      <w:pPr>
        <w:pStyle w:val="Heading2"/>
        <w:numPr>
          <w:ilvl w:val="1"/>
          <w:numId w:val="5"/>
        </w:numPr>
      </w:pPr>
      <w:bookmarkStart w:id="41" w:name="_Toc44510663"/>
      <w:r w:rsidRPr="00177418">
        <w:t>Introduction</w:t>
      </w:r>
      <w:bookmarkEnd w:id="41"/>
    </w:p>
    <w:p w14:paraId="5661DEF2" w14:textId="07515478" w:rsidR="00B9187C" w:rsidRPr="00177418" w:rsidRDefault="00FB2C53" w:rsidP="00E07370">
      <w:r w:rsidRPr="00177418">
        <w:t xml:space="preserve">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demand which is exogenous to the </w:t>
      </w:r>
      <w:r w:rsidR="000C147A" w:rsidRPr="00177418">
        <w:t>model but</w:t>
      </w:r>
      <w:r w:rsidRPr="00177418">
        <w:t xml:space="preserve">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2060 (from a base year of 2014) and the comparison of these scenarios (for the 2020-2050 segment</w:t>
      </w:r>
      <w:r w:rsidR="00177418" w:rsidRPr="00177418">
        <w:rPr>
          <w:vertAlign w:val="superscript"/>
        </w:rPr>
        <w:t xml:space="preserve"> </w:t>
      </w:r>
      <w:bookmarkStart w:id="42" w:name="_Ref535857852"/>
      <w:r w:rsidR="00177418" w:rsidRPr="003F5943">
        <w:rPr>
          <w:rStyle w:val="FootnoteReference"/>
        </w:rPr>
        <w:footnoteReference w:id="3"/>
      </w:r>
      <w:bookmarkEnd w:id="42"/>
      <w:r w:rsidRPr="00177418">
        <w:t>) is what constituted the results.</w:t>
      </w:r>
    </w:p>
    <w:p w14:paraId="74A81293" w14:textId="17432E3B" w:rsidR="00B9187C" w:rsidRPr="00177418" w:rsidRDefault="0021732C" w:rsidP="00E07370">
      <w:r w:rsidRPr="00177418">
        <w:t xml:space="preserve">The model for this analysis constructs three high growth Project Drawdown Scenarios (PDS) and a </w:t>
      </w:r>
      <w:r w:rsidR="0043262D">
        <w:t>R</w:t>
      </w:r>
      <w:r w:rsidR="0043262D" w:rsidRPr="00177418">
        <w:t xml:space="preserve">eference </w:t>
      </w:r>
      <w:r w:rsidRPr="00177418">
        <w:t xml:space="preserve">(REF) global adoption pathway for domestic </w:t>
      </w:r>
      <w:r w:rsidR="00FF5847">
        <w:t xml:space="preserve">roof-top </w:t>
      </w:r>
      <w:r w:rsidRPr="00177418">
        <w:t>solar water heating systems</w:t>
      </w:r>
      <w:r w:rsidR="00FF5847">
        <w:t>. It is assumed therefore that the model perspective is that of a home-owner</w:t>
      </w:r>
      <w:r w:rsidRPr="00177418">
        <w:t xml:space="preserve">. First is forecasted a global and regional total addressable market (TAM) </w:t>
      </w:r>
      <w:r w:rsidR="00FF5847">
        <w:t>which is defined as</w:t>
      </w:r>
      <w:r w:rsidR="00FF5847" w:rsidRPr="00177418">
        <w:t xml:space="preserve"> </w:t>
      </w:r>
      <w:r w:rsidRPr="00177418">
        <w:t xml:space="preserve">the functional demand </w:t>
      </w:r>
      <w:r w:rsidR="00FF5847">
        <w:t>for</w:t>
      </w:r>
      <w:r w:rsidRPr="00177418">
        <w:t xml:space="preserve"> water </w:t>
      </w:r>
      <w:r w:rsidR="0043262D" w:rsidRPr="00177418">
        <w:t>heat</w:t>
      </w:r>
      <w:r w:rsidR="0043262D">
        <w:t>ing</w:t>
      </w:r>
      <w:r w:rsidR="00FF5847">
        <w:t xml:space="preserve"> globally (in TWh)</w:t>
      </w:r>
      <w:r w:rsidRPr="00177418">
        <w:t>.</w:t>
      </w:r>
      <w:r w:rsidR="00FF5847">
        <w:t xml:space="preserve"> </w:t>
      </w:r>
      <w:r w:rsidRPr="00177418">
        <w:t>Then the REF scenario is created by assuming future adoption of roof-top solar water heating remains fixed at the current base year percentage of TAM, which in this model is set as 6.</w:t>
      </w:r>
      <w:r w:rsidR="007F40D0">
        <w:t>51</w:t>
      </w:r>
      <w:r w:rsidRPr="00177418">
        <w:t>%</w:t>
      </w:r>
      <w:r w:rsidR="007F40D0">
        <w:t xml:space="preserve"> based on the projection from IEA’s Energy Technology Perspectives for 2016 and 2018</w:t>
      </w:r>
      <w:r w:rsidRPr="00177418">
        <w:t>.</w:t>
      </w:r>
      <w:r w:rsidR="0067214C" w:rsidRPr="00177418">
        <w:t xml:space="preserve"> </w:t>
      </w:r>
      <w:r w:rsidRPr="00177418">
        <w:t>Next</w:t>
      </w:r>
      <w:r w:rsidR="0043262D">
        <w:t xml:space="preserve"> </w:t>
      </w:r>
      <w:r w:rsidRPr="00177418">
        <w:t>PDS scenario</w:t>
      </w:r>
      <w:r w:rsidR="0043262D">
        <w:t>s</w:t>
      </w:r>
      <w:r w:rsidR="007F40D0">
        <w:t xml:space="preserve"> are developed</w:t>
      </w:r>
      <w:r w:rsidRPr="00177418">
        <w:t xml:space="preserve">, drawing on existing adoption scenarios for domestic solar thermal systems. </w:t>
      </w:r>
    </w:p>
    <w:p w14:paraId="06E6B2C6" w14:textId="2A47ECA3" w:rsidR="0021732C" w:rsidRPr="00177418" w:rsidRDefault="0021732C" w:rsidP="00E07370">
      <w:r w:rsidRPr="00177418">
        <w:t xml:space="preserve">The model contains both financial and climate analyses in order to model the global and regional impacts of adoption in the PDS scenario compared to the REF scenario. What the model prognosticates is the total financial cost and benefits of </w:t>
      </w:r>
      <w:r w:rsidR="00FF5847">
        <w:t>each</w:t>
      </w:r>
      <w:r w:rsidRPr="00177418">
        <w:t xml:space="preserve"> PDS case for solar water heating systems for domestic purposes, as well as the contribution this adoption can make to annual and cumulative emissions reductions</w:t>
      </w:r>
      <w:r w:rsidR="00FF5847">
        <w:t xml:space="preserve">. The financial </w:t>
      </w:r>
      <w:r w:rsidR="00FF5847">
        <w:lastRenderedPageBreak/>
        <w:t xml:space="preserve">cost is based on the solar thermal </w:t>
      </w:r>
      <w:r w:rsidR="00AF79F4">
        <w:t xml:space="preserve">implementation </w:t>
      </w:r>
      <w:r w:rsidR="00FF5847">
        <w:t>units installed (in TW)</w:t>
      </w:r>
      <w:r w:rsidR="000355C6">
        <w:t xml:space="preserve"> with average annual and lifetime use rates collected from the literature.</w:t>
      </w:r>
    </w:p>
    <w:p w14:paraId="298F46AB" w14:textId="67C025B0" w:rsidR="00F52595" w:rsidRPr="00177418" w:rsidRDefault="00686965" w:rsidP="00E07370">
      <w:pPr>
        <w:pStyle w:val="Heading2"/>
      </w:pPr>
      <w:bookmarkStart w:id="43" w:name="_Toc44510664"/>
      <w:r w:rsidRPr="00177418">
        <w:t>Data Sources</w:t>
      </w:r>
      <w:bookmarkEnd w:id="43"/>
    </w:p>
    <w:p w14:paraId="7A6754CC" w14:textId="5D797325" w:rsidR="00B25F51" w:rsidRPr="00D73F17" w:rsidRDefault="00FC5083" w:rsidP="00E07370">
      <w:pPr>
        <w:rPr>
          <w:rFonts w:ascii="TimesNewRomanPSMT" w:hAnsi="TimesNewRomanPSMT" w:hint="eastAsia"/>
        </w:rPr>
      </w:pPr>
      <w:r w:rsidRPr="00177418">
        <w:t xml:space="preserve">Data inputs for the model came from a variety of sources, primarily from peer reviewed publications and from </w:t>
      </w:r>
      <w:r w:rsidR="000963DD" w:rsidRPr="00177418">
        <w:t>agency</w:t>
      </w:r>
      <w:r w:rsidRPr="00177418">
        <w:t xml:space="preserve"> reports</w:t>
      </w:r>
      <w:r w:rsidR="000963DD" w:rsidRPr="00177418">
        <w:t xml:space="preserve">. </w:t>
      </w:r>
      <w:r w:rsidR="000963DD" w:rsidRPr="00342DB6">
        <w:t>For most variable inputs, a meta-analysis of existing data points in the literature is used to create low, mean, and high estimates. The model conducts a sensitivity analysis</w:t>
      </w:r>
      <w:r w:rsidR="000963DD" w:rsidRPr="00342DB6">
        <w:rPr>
          <w:rFonts w:ascii="TimesNewRomanPSMT" w:hAnsi="TimesNewRomanPSMT"/>
        </w:rPr>
        <w:t xml:space="preserve"> of, on average, five data points from the literature and in some cases as many as 20. The quantity of data allows calculation of robust and reliable inputs for the analyses that range from conservative to optimistic estimates for the costs and benefits of adoption. </w:t>
      </w:r>
    </w:p>
    <w:p w14:paraId="5CA3F2CC" w14:textId="64F31BAC" w:rsidR="00B25F51" w:rsidRPr="00D6250C" w:rsidRDefault="00E116E7" w:rsidP="00E07370">
      <w:r>
        <w:t>The c</w:t>
      </w:r>
      <w:r w:rsidR="00E01AD4">
        <w:t>urrent a</w:t>
      </w:r>
      <w:r w:rsidR="00A85364" w:rsidRPr="00342DB6">
        <w:t xml:space="preserve">doption data for this solution was obtained from IEA 2016 and 2018 sources </w:t>
      </w:r>
      <w:r w:rsidR="00675FAA">
        <w:fldChar w:fldCharType="begin"/>
      </w:r>
      <w:r w:rsidR="00675FAA">
        <w:instrText xml:space="preserve"> ADDIN ZOTERO_ITEM CSL_CITATION {"citationID":"Krl5qTOL","properties":{"formattedCitation":"(Mauthner, Weiss, &amp; Sp\\uc0\\u246{}rk-D\\uc0\\u252{}r, 2016; Weiss &amp; Sp\\uc0\\u246{}rk-D\\uc0\\u252{}r, 2018)","plainCitation":"(Mauthner, Weiss, &amp; Sp</w:instrText>
      </w:r>
      <w:r w:rsidR="00675FAA">
        <w:rPr>
          <w:rFonts w:hint="eastAsia"/>
        </w:rPr>
        <w:instrText>ö</w:instrText>
      </w:r>
      <w:r w:rsidR="00675FAA">
        <w:instrText>rk-D</w:instrText>
      </w:r>
      <w:r w:rsidR="00675FAA">
        <w:rPr>
          <w:rFonts w:hint="eastAsia"/>
        </w:rPr>
        <w:instrText>ü</w:instrText>
      </w:r>
      <w:r w:rsidR="00675FAA">
        <w:instrText>r, 2016; Weiss &amp; Sp</w:instrText>
      </w:r>
      <w:r w:rsidR="00675FAA">
        <w:rPr>
          <w:rFonts w:hint="eastAsia"/>
        </w:rPr>
        <w:instrText>ö</w:instrText>
      </w:r>
      <w:r w:rsidR="00675FAA">
        <w:instrText>rk-D</w:instrText>
      </w:r>
      <w:r w:rsidR="00675FAA">
        <w:rPr>
          <w:rFonts w:hint="eastAsia"/>
        </w:rPr>
        <w:instrText>ü</w:instrText>
      </w:r>
      <w:r w:rsidR="00675FAA">
        <w:instrText>r, 2018)","noteIndex":0},"citationItems":[{"id":1494,"uris":["http://zotero.org/groups/2241931/items/ZZEK27ND"],"uri":["http://zotero.org/groups/2241931/items/ZZEK27ND"],"itemData":{"id":1494,"type":"report","title":"Solar Heat Worldwide| Global Market Development and Trends in 2017| Detailed Market Figures 2016","collection-title":"Solar Heating and Cooling Program","publisher":"International Energy Agency (IEA)","publisher-place":"Austria","event-place":"Austria","URL":"https://www.iea-shc.org/Data/Sites/1/publications/Solar-Heat-Worldwide-2018.pdf","number":"Edition 2018","author":[{"family":"Weiss","given":"Werner"},{"family":"Sp</w:instrText>
      </w:r>
      <w:r w:rsidR="00675FAA">
        <w:rPr>
          <w:rFonts w:hint="eastAsia"/>
        </w:rPr>
        <w:instrText>ö</w:instrText>
      </w:r>
      <w:r w:rsidR="00675FAA">
        <w:instrText>rk-D</w:instrText>
      </w:r>
      <w:r w:rsidR="00675FAA">
        <w:rPr>
          <w:rFonts w:hint="eastAsia"/>
        </w:rPr>
        <w:instrText>ü</w:instrText>
      </w:r>
      <w:r w:rsidR="00675FAA">
        <w:instrText>r","given":"Monika"}],"issued":{"date-parts":[["2018"]]}}},{"id":1763,"uris":["http://zotero.org/groups/2241931/items/KH9TUNVE"],"uri":["http://zotero.org/groups/2241931/items/KH9TUNVE"],"itemData":{"id":1763,"type":"report","title":"Solar Heat Worldwide-Markets and Contribution to the Energy Supply 2014","collection-title":"IEA Solar Heating &amp; Cooling Programme","publisher":"International Energy Agency","URL":"http://www.iea-shc.org/data/sites/1/publications/solar-heat-worldwide-2016.pdf","shortTitle":"IEA","author":[{"family":"Mauthner","given":"Franz"},{"family":"Weiss","given":"Werner"},{"family":"Sp</w:instrText>
      </w:r>
      <w:r w:rsidR="00675FAA">
        <w:rPr>
          <w:rFonts w:hint="eastAsia"/>
        </w:rPr>
        <w:instrText>ö</w:instrText>
      </w:r>
      <w:r w:rsidR="00675FAA">
        <w:instrText>rk-D</w:instrText>
      </w:r>
      <w:r w:rsidR="00675FAA">
        <w:rPr>
          <w:rFonts w:hint="eastAsia"/>
        </w:rPr>
        <w:instrText>ü</w:instrText>
      </w:r>
      <w:r w:rsidR="00675FAA">
        <w:instrText xml:space="preserve">r","given":"Monika"}],"issued":{"date-parts":[["2016"]]}}}],"schema":"https://github.com/citation-style-language/schema/raw/master/csl-citation.json"} </w:instrText>
      </w:r>
      <w:r w:rsidR="00675FAA">
        <w:fldChar w:fldCharType="separate"/>
      </w:r>
      <w:r w:rsidR="00675FAA" w:rsidRPr="003F5943">
        <w:t>(Mauthner, Weiss, &amp; Spörk-Dür, 2016; Weiss &amp; Spörk-Dür, 2018)</w:t>
      </w:r>
      <w:r w:rsidR="00675FAA">
        <w:fldChar w:fldCharType="end"/>
      </w:r>
      <w:r w:rsidR="00675FAA">
        <w:t xml:space="preserve"> </w:t>
      </w:r>
      <w:r w:rsidR="00E01AD4">
        <w:t>providing adoption for 2014 and 2016</w:t>
      </w:r>
      <w:r w:rsidR="008254B4" w:rsidRPr="00342DB6">
        <w:t xml:space="preserve">. </w:t>
      </w:r>
      <w:r w:rsidR="000963DD" w:rsidRPr="00342DB6">
        <w:t>In order to project the growth of global water heating demand (in TWh</w:t>
      </w:r>
      <w:r w:rsidR="00AF68B9" w:rsidRPr="00342DB6">
        <w:t xml:space="preserve"> </w:t>
      </w:r>
      <w:r w:rsidR="000963DD" w:rsidRPr="00342DB6">
        <w:t>(th)), the model relies on existing estimates from IEA</w:t>
      </w:r>
      <w:r w:rsidR="00D1789F">
        <w:t>’</w:t>
      </w:r>
      <w:r w:rsidR="002D46F7" w:rsidRPr="00342DB6">
        <w:t xml:space="preserve">s Energy Technology </w:t>
      </w:r>
      <w:r w:rsidR="009C2A43">
        <w:t>P</w:t>
      </w:r>
      <w:r w:rsidR="009C2A43" w:rsidRPr="00D6250C">
        <w:t xml:space="preserve">erspectives </w:t>
      </w:r>
      <w:r w:rsidR="002D46F7" w:rsidRPr="00D6250C">
        <w:t xml:space="preserve">for </w:t>
      </w:r>
      <w:r w:rsidR="00AF68B9" w:rsidRPr="00D6250C">
        <w:t>2016 and</w:t>
      </w:r>
      <w:r w:rsidR="002D46F7" w:rsidRPr="00D6250C">
        <w:t xml:space="preserve"> 2017</w:t>
      </w:r>
      <w:r w:rsidR="000963DD" w:rsidRPr="00D6250C">
        <w:t xml:space="preserve"> </w:t>
      </w:r>
      <w:r>
        <w:fldChar w:fldCharType="begin"/>
      </w:r>
      <w:r>
        <w:instrText xml:space="preserve"> ADDIN ZOTERO_ITEM CSL_CITATION {"citationID":"meNYubjb","properties":{"formattedCitation":"(IEA, 2016; International Energy Agency, 2017)","plainCitation":"(IEA, 2016; International Energy Agency, 2017)","noteIndex":0},"citationItems":[{"id":280,"uris":["http://zotero.org/groups/2241931/items/9WGI6VYS"],"uri":["http://zotero.org/groups/2241931/items/9WGI6VYS"],"itemData":{"id":280,"type":"report","title":"Energy Technology Perspectives 2016","publisher":"International Energy Agency","publisher-place":"Paris, France","event-place":"Paris, France","URL":"http://www.iea.org/etp/etp2016/","author":[{"literal":"IEA"}],"issued":{"date-parts":[["2016"]]}}},{"id":1690,"uris":["http://zotero.org/groups/2241931/items/UBCRAQ42"],"uri":["http://zotero.org/groups/2241931/items/UBCRAQ42"],"itemData":{"id":1690,"type":"webpage","title":"Energy Technology Perspectives 2017","container-title":"Energy Technology Perspectives","URL":"https://www.iea.org/etp2017/summary/","shortTitle":"IEA","author":[{"family":"International Energy Agency","given":""}],"issued":{"date-parts":[["2017"]]},"accessed":{"date-parts":[["2018",12,2]]}}}],"schema":"https://github.com/citation-style-language/schema/raw/master/csl-citation.json"} </w:instrText>
      </w:r>
      <w:r>
        <w:fldChar w:fldCharType="separate"/>
      </w:r>
      <w:r>
        <w:rPr>
          <w:noProof/>
        </w:rPr>
        <w:t>(IEA, 2016; International Energy Agency, 2017)</w:t>
      </w:r>
      <w:r>
        <w:fldChar w:fldCharType="end"/>
      </w:r>
      <w:r w:rsidR="000963DD" w:rsidRPr="00D6250C">
        <w:t xml:space="preserve"> and from the Global Buildings Performance Network </w:t>
      </w:r>
      <w:r>
        <w:fldChar w:fldCharType="begin"/>
      </w:r>
      <w:r>
        <w:instrText xml:space="preserve"> ADDIN ZOTERO_ITEM CSL_CITATION {"citationID":"eQh7DApt","properties":{"formattedCitation":"(Urge-Vorsatz et al., 2015)","plainCitation":"(Urge-Vorsatz et al., 2015)","noteIndex":0},"citationItems":[{"id":123,"uris":["http://zotero.org/groups/2241931/items/63J6KIPD"],"uri":["http://zotero.org/groups/2241931/items/63J6KIPD"],"itemData":{"id":123,"type":"chapter","title":"Energy End-Use: Buildings","source":"Google Scholar","URL":"http://foix21.iiasa.ac.at/web/home/research/Flagship-Projects/Global-Energy-Assessment/GEA_CHapter10_buildings_lowres.pdf","shortTitle":"Energy End-Use","author":[{"family":"Urge-Vorsatz","given":"Diana"},{"family":"Eyre","given":"Nick"},{"family":"Graham","given":"Peter"},{"family":"Harvey","given":"Danny"},{"family":"Hertwich","given":"Edgar"},{"family":"Jiang","given":"Yi"},{"family":"Kornevall","given":"Christian"},{"family":"Majumdar","given":"Mili"},{"family":"McMahon","given":"James E."}],"issued":{"date-parts":[["2015"]]},"accessed":{"date-parts":[["2015",1,27]]}}}],"schema":"https://github.com/citation-style-language/schema/raw/master/csl-citation.json"} </w:instrText>
      </w:r>
      <w:r>
        <w:fldChar w:fldCharType="separate"/>
      </w:r>
      <w:r>
        <w:rPr>
          <w:noProof/>
        </w:rPr>
        <w:t>(Urge-Vorsatz et al., 2015)</w:t>
      </w:r>
      <w:r>
        <w:fldChar w:fldCharType="end"/>
      </w:r>
      <w:r w:rsidR="000963DD" w:rsidRPr="00D6250C">
        <w:t>. These data sources are</w:t>
      </w:r>
      <w:r>
        <w:t xml:space="preserve"> also</w:t>
      </w:r>
      <w:r w:rsidR="000963DD" w:rsidRPr="00D6250C">
        <w:t xml:space="preserve"> used to project the</w:t>
      </w:r>
      <w:r w:rsidR="00563D31" w:rsidRPr="00D6250C">
        <w:t xml:space="preserve"> </w:t>
      </w:r>
      <w:r w:rsidR="008757A3">
        <w:t xml:space="preserve">regional </w:t>
      </w:r>
      <w:r w:rsidR="00563D31" w:rsidRPr="00D6250C">
        <w:t xml:space="preserve">Total Addressable Market (TAM) for </w:t>
      </w:r>
      <w:r w:rsidR="00802EB3" w:rsidRPr="00D6250C">
        <w:t>water heating</w:t>
      </w:r>
      <w:r w:rsidR="000963DD" w:rsidRPr="00D6250C">
        <w:t xml:space="preserve">, creating estimates for OECD90, Asia (sans Japan), Middle East &amp; Africa, Latin America, and Eastern </w:t>
      </w:r>
      <w:r w:rsidR="00DC1780" w:rsidRPr="00D6250C">
        <w:t>Europe, European Union and for specific countries with relatively higher use of solar hot water heaters, such as China, India, and the US.</w:t>
      </w:r>
    </w:p>
    <w:p w14:paraId="06390524" w14:textId="659D7735" w:rsidR="00B25F51" w:rsidRPr="00D6250C" w:rsidRDefault="00CF64D3" w:rsidP="00E07370">
      <w:r w:rsidRPr="00D6250C">
        <w:t xml:space="preserve">In this model, </w:t>
      </w:r>
      <w:r w:rsidR="00A50774" w:rsidRPr="00D6250C">
        <w:t xml:space="preserve">it was assumed that </w:t>
      </w:r>
      <w:r w:rsidRPr="00D6250C">
        <w:t xml:space="preserve">solar thermal heaters will not be a stand-alone technology for heating water. </w:t>
      </w:r>
      <w:r w:rsidR="00D1789F">
        <w:t xml:space="preserve">Such heaters are also referred to as pre-heat </w:t>
      </w:r>
      <w:r w:rsidR="00B25F51">
        <w:t>system</w:t>
      </w:r>
      <w:r w:rsidR="00E116E7">
        <w:t xml:space="preserve">s </w:t>
      </w:r>
      <w:r w:rsidR="00E116E7">
        <w:fldChar w:fldCharType="begin"/>
      </w:r>
      <w:r w:rsidR="00E116E7">
        <w:instrText xml:space="preserve"> ADDIN ZOTERO_ITEM CSL_CITATION {"citationID":"O2WJBOyx","properties":{"formattedCitation":"(Natural Resources Canada, 2003)","plainCitation":"(Natural Resources Canada, 2003)","noteIndex":0},"citationItems":[{"id":2455,"uris":["http://zotero.org/groups/2241931/items/GIR63M8H"],"uri":["http://zotero.org/groups/2241931/items/GIR63M8H"],"itemData":{"id":2455,"type":"report","title":"Solar Water Heating Systems","URL":"https://www.nrcan.gc.ca/sites/www.nrcan.gc.ca/files/canmetenergy/files/pubs/SOLAR-BuyersGuide-SolarWaterHeatingSystems_ENG.pdf","shortTitle":"NRCAN","author":[{"literal":"Natural Resources Canada"}],"issued":{"date-parts":[["2003"]]}}}],"schema":"https://github.com/citation-style-language/schema/raw/master/csl-citation.json"} </w:instrText>
      </w:r>
      <w:r w:rsidR="00E116E7">
        <w:fldChar w:fldCharType="separate"/>
      </w:r>
      <w:r w:rsidR="00E116E7">
        <w:rPr>
          <w:noProof/>
        </w:rPr>
        <w:t>(Natural Resources Canada, 2003)</w:t>
      </w:r>
      <w:r w:rsidR="00E116E7">
        <w:fldChar w:fldCharType="end"/>
      </w:r>
      <w:r w:rsidR="00E116E7">
        <w:t xml:space="preserve"> </w:t>
      </w:r>
      <w:r w:rsidR="00D1789F">
        <w:t xml:space="preserve">. </w:t>
      </w:r>
      <w:r w:rsidRPr="00D6250C">
        <w:t xml:space="preserve">This implies that there will </w:t>
      </w:r>
      <w:r w:rsidR="009C2A43">
        <w:t xml:space="preserve">still </w:t>
      </w:r>
      <w:r w:rsidRPr="00D6250C">
        <w:t xml:space="preserve">be </w:t>
      </w:r>
      <w:r w:rsidR="009C2A43">
        <w:t>a need for</w:t>
      </w:r>
      <w:r w:rsidRPr="00D6250C">
        <w:t xml:space="preserve"> conventional </w:t>
      </w:r>
      <w:r w:rsidR="009C2A43" w:rsidRPr="0070520F">
        <w:t xml:space="preserve">water </w:t>
      </w:r>
      <w:r w:rsidR="009C2A43" w:rsidRPr="00ED53F4">
        <w:t xml:space="preserve">heating </w:t>
      </w:r>
      <w:r w:rsidRPr="00D6250C">
        <w:t xml:space="preserve">technology in the </w:t>
      </w:r>
      <w:r w:rsidR="009C2A43">
        <w:t>REF</w:t>
      </w:r>
      <w:r w:rsidR="009C2A43" w:rsidRPr="00D6250C">
        <w:t xml:space="preserve"> </w:t>
      </w:r>
      <w:r w:rsidRPr="00D6250C">
        <w:t xml:space="preserve">as well as the </w:t>
      </w:r>
      <w:r w:rsidR="009C2A43">
        <w:t>PDS</w:t>
      </w:r>
      <w:r w:rsidR="009C2A43" w:rsidRPr="00D6250C">
        <w:t xml:space="preserve"> </w:t>
      </w:r>
      <w:r w:rsidRPr="00D6250C">
        <w:t xml:space="preserve">scenarios. Therefore, </w:t>
      </w:r>
      <w:r w:rsidR="002D0342">
        <w:t xml:space="preserve">some </w:t>
      </w:r>
      <w:r w:rsidRPr="00D6250C">
        <w:t xml:space="preserve">data pertaining to conventional technology including first cost, life time capacity, average annual use, conventional fixed operating costs, </w:t>
      </w:r>
      <w:r w:rsidR="008757A3">
        <w:t xml:space="preserve">and </w:t>
      </w:r>
      <w:r w:rsidRPr="00D6250C">
        <w:t>direct</w:t>
      </w:r>
      <w:r w:rsidR="008757A3">
        <w:t xml:space="preserve"> emissions</w:t>
      </w:r>
      <w:r w:rsidRPr="00D6250C">
        <w:t>, were not collected</w:t>
      </w:r>
      <w:r w:rsidR="009C2A43">
        <w:t xml:space="preserve"> as they were assumed to be </w:t>
      </w:r>
      <w:r w:rsidR="002D0342">
        <w:t>re</w:t>
      </w:r>
      <w:r w:rsidR="009C2A43">
        <w:t>plicated in all scenarios and therefore cancelled in the final results</w:t>
      </w:r>
      <w:r w:rsidRPr="00D6250C">
        <w:t xml:space="preserve">.  </w:t>
      </w:r>
    </w:p>
    <w:p w14:paraId="0189C9DE" w14:textId="57FD4338" w:rsidR="007F40D0" w:rsidRPr="00F53D99" w:rsidRDefault="00802EB3" w:rsidP="00E07370">
      <w:r w:rsidRPr="00D6250C">
        <w:t xml:space="preserve">First cost data </w:t>
      </w:r>
      <w:r w:rsidR="002D0342">
        <w:t>for</w:t>
      </w:r>
      <w:r w:rsidR="002D0342" w:rsidRPr="00D6250C">
        <w:t xml:space="preserve"> </w:t>
      </w:r>
      <w:r w:rsidRPr="00D6250C">
        <w:t xml:space="preserve">the </w:t>
      </w:r>
      <w:r w:rsidR="00D47C4E" w:rsidRPr="00D6250C">
        <w:t xml:space="preserve">installation </w:t>
      </w:r>
      <w:r w:rsidR="00563D31" w:rsidRPr="00D6250C">
        <w:t xml:space="preserve">cost (to consumer) </w:t>
      </w:r>
      <w:r w:rsidRPr="00D6250C">
        <w:t>of</w:t>
      </w:r>
      <w:r w:rsidR="007F40D0">
        <w:t xml:space="preserve"> domestic solar water heating systems</w:t>
      </w:r>
      <w:r w:rsidR="008757A3">
        <w:t xml:space="preserve"> f</w:t>
      </w:r>
      <w:r w:rsidR="007F40D0">
        <w:t xml:space="preserve">or </w:t>
      </w:r>
      <w:r w:rsidR="003922DC" w:rsidRPr="00D6250C">
        <w:t>residential</w:t>
      </w:r>
      <w:r w:rsidRPr="00D6250C">
        <w:t xml:space="preserve"> buildings </w:t>
      </w:r>
      <w:r w:rsidR="007F40D0" w:rsidRPr="00D6250C">
        <w:t>were</w:t>
      </w:r>
      <w:r w:rsidRPr="00D6250C">
        <w:t xml:space="preserve"> not commonly reported in peer-reviewed literature</w:t>
      </w:r>
      <w:r w:rsidR="003922DC" w:rsidRPr="00D6250C">
        <w:t xml:space="preserve">. </w:t>
      </w:r>
      <w:r w:rsidR="00D47C4E" w:rsidRPr="00D6250C">
        <w:t>This d</w:t>
      </w:r>
      <w:r w:rsidR="003922DC" w:rsidRPr="00D6250C">
        <w:t>ata was</w:t>
      </w:r>
      <w:r w:rsidR="003344DB" w:rsidRPr="00D6250C">
        <w:t xml:space="preserve"> </w:t>
      </w:r>
      <w:r w:rsidR="00BB6EE8" w:rsidRPr="00D6250C">
        <w:t>collected</w:t>
      </w:r>
      <w:r w:rsidR="006E27C8" w:rsidRPr="00D6250C">
        <w:t xml:space="preserve"> from</w:t>
      </w:r>
      <w:r w:rsidR="00A73B77" w:rsidRPr="00D6250C">
        <w:t xml:space="preserve"> </w:t>
      </w:r>
      <w:r w:rsidR="008757A3">
        <w:t>three agency reports</w:t>
      </w:r>
      <w:r w:rsidR="00A423B3">
        <w:t xml:space="preserve"> including, </w:t>
      </w:r>
      <w:r w:rsidR="006E27C8" w:rsidRPr="00D6250C">
        <w:t>IEA</w:t>
      </w:r>
      <w:r w:rsidR="00233BAD">
        <w:t xml:space="preserve"> </w:t>
      </w:r>
      <w:r w:rsidR="008757A3">
        <w:fldChar w:fldCharType="begin"/>
      </w:r>
      <w:r w:rsidR="00233BAD">
        <w:instrText xml:space="preserve"> ADDIN ZOTERO_ITEM CSL_CITATION {"citationID":"15sKUAc2","properties":{"formattedCitation":"(International Energy Agency, 2012)","plainCitation":"(International Energy Agency, 2012)","noteIndex":0},"citationItems":[{"id":1485,"uris":["http://zotero.org/groups/2241931/items/IG925SC5"],"uri":["http://zotero.org/groups/2241931/items/IG925SC5"],"itemData":{"id":1485,"type":"report","title":"Technology Roadmap - Solar Heating and Cooling","publisher":"International Energy Agency (IEA)","genre":"Technology Roadmap","URL":"https://www.iea.org/publications/freepublications/publication/Solar_Heating_Cooling_Roadmap_2012_WEB.pdf","author":[{"family":"International Energy Agency","given":""}],"issued":{"date-parts":[["2012"]]}}}],"schema":"https://github.com/citation-style-language/schema/raw/master/csl-citation.json"} </w:instrText>
      </w:r>
      <w:r w:rsidR="008757A3">
        <w:fldChar w:fldCharType="separate"/>
      </w:r>
      <w:r w:rsidR="00233BAD">
        <w:rPr>
          <w:noProof/>
        </w:rPr>
        <w:t>(International Energy Agency, 2012)</w:t>
      </w:r>
      <w:r w:rsidR="008757A3">
        <w:fldChar w:fldCharType="end"/>
      </w:r>
      <w:r w:rsidR="006E27C8" w:rsidRPr="00D6250C">
        <w:t>, Distributed Generation Renewable Energy Estimates of Costs</w:t>
      </w:r>
      <w:r w:rsidR="00B25F51">
        <w:t xml:space="preserve"> </w:t>
      </w:r>
      <w:r w:rsidR="00233BAD">
        <w:fldChar w:fldCharType="begin"/>
      </w:r>
      <w:r w:rsidR="00233BAD">
        <w:instrText xml:space="preserve"> ADDIN ZOTERO_ITEM CSL_CITATION {"citationID":"umDG9spX","properties":{"formattedCitation":"(National Renewable Energy Laboratories, 2016)","plainCitation":"(National Renewable Energy Laboratories, 2016)","noteIndex":0},"citationItems":[{"id":1697,"uris":["http://zotero.org/groups/2241931/items/C9F89CF8"],"uri":["http://zotero.org/groups/2241931/items/C9F89CF8"],"itemData":{"id":1697,"type":"webpage","title":"Distributed Generation Renewable Energy Estimate of Costs","container-title":"Energy Analysis","genre":"Government","URL":"https://www.nrel.gov/analysis/tech-lcoe-re-cost-est.html","shortTitle":"NREL","author":[{"family":"National Renewable Energy Laboratories","given":""}],"issued":{"date-parts":[["2016",2]]}}}],"schema":"https://github.com/citation-style-language/schema/raw/master/csl-citation.json"} </w:instrText>
      </w:r>
      <w:r w:rsidR="00233BAD">
        <w:fldChar w:fldCharType="separate"/>
      </w:r>
      <w:r w:rsidR="00233BAD">
        <w:rPr>
          <w:noProof/>
        </w:rPr>
        <w:t>(National Renewable Energy Laboratories, 2016)</w:t>
      </w:r>
      <w:r w:rsidR="00233BAD">
        <w:fldChar w:fldCharType="end"/>
      </w:r>
      <w:r w:rsidR="006E27C8" w:rsidRPr="00D6250C">
        <w:t>, and Renewables 2015</w:t>
      </w:r>
      <w:r w:rsidR="00B25F51">
        <w:t xml:space="preserve"> </w:t>
      </w:r>
      <w:r w:rsidR="00233BAD">
        <w:fldChar w:fldCharType="begin"/>
      </w:r>
      <w:r w:rsidR="00233BAD">
        <w:instrText xml:space="preserve"> ADDIN ZOTERO_ITEM CSL_CITATION {"citationID":"W9KZPRgx","properties":{"formattedCitation":"(REN21, 2015)","plainCitation":"(REN21, 2015)","noteIndex":0},"citationItems":[{"id":1484,"uris":["http://zotero.org/groups/2241931/items/XHE74I5T"],"uri":["http://zotero.org/groups/2241931/items/XHE74I5T"],"itemData":{"id":1484,"type":"report","title":"Renewables 2015 Global Status Report","publisher":"Renewable Energy Policy Network for the 21st century","URL":"http://www.ren21.net/wp-content/uploads/2015/07/REN12-GSR2015_Onlinebook_low1.pdf","author":[{"family":"REN21","given":""}],"issued":{"date-parts":[["2015"]]}}}],"schema":"https://github.com/citation-style-language/schema/raw/master/csl-citation.json"} </w:instrText>
      </w:r>
      <w:r w:rsidR="00233BAD">
        <w:fldChar w:fldCharType="separate"/>
      </w:r>
      <w:r w:rsidR="00233BAD">
        <w:rPr>
          <w:noProof/>
        </w:rPr>
        <w:t>(REN21, 2015)</w:t>
      </w:r>
      <w:r w:rsidR="00233BAD">
        <w:fldChar w:fldCharType="end"/>
      </w:r>
      <w:r w:rsidR="00536D7C" w:rsidRPr="00D6250C">
        <w:t xml:space="preserve">. </w:t>
      </w:r>
      <w:r w:rsidR="004D2ABF" w:rsidRPr="00D6250C">
        <w:t xml:space="preserve">The variable operational cost </w:t>
      </w:r>
      <w:r w:rsidR="006D6C6E" w:rsidRPr="00D6250C">
        <w:t xml:space="preserve">is the </w:t>
      </w:r>
      <w:r w:rsidR="002D0342" w:rsidRPr="003B6354">
        <w:t xml:space="preserve">operational </w:t>
      </w:r>
      <w:r w:rsidR="006D6C6E" w:rsidRPr="00D6250C">
        <w:t>cost for heating water and was</w:t>
      </w:r>
      <w:r w:rsidR="004D2ABF" w:rsidRPr="00D6250C">
        <w:t xml:space="preserve"> collected  from IEA</w:t>
      </w:r>
      <w:r w:rsidR="002508C3">
        <w:rPr>
          <w:rFonts w:eastAsia="MS Mincho"/>
        </w:rPr>
        <w:t>’s</w:t>
      </w:r>
      <w:r w:rsidR="001D29DB" w:rsidRPr="00D6250C">
        <w:t xml:space="preserve"> heating without global warming report</w:t>
      </w:r>
      <w:r w:rsidR="00FA6183">
        <w:t xml:space="preserve"> </w:t>
      </w:r>
      <w:r w:rsidR="00FA6183">
        <w:fldChar w:fldCharType="begin"/>
      </w:r>
      <w:r w:rsidR="00FA6183">
        <w:instrText xml:space="preserve"> ADDIN ZOTERO_ITEM CSL_CITATION {"citationID":"D2PXSCXc","properties":{"formattedCitation":"(Anselm Eisentraut &amp; Adam Brown, 2014)","plainCitation":"(Anselm Eisentraut &amp; Adam Brown, 2014)","noteIndex":0},"citationItems":[{"id":868,"uris":["http://zotero.org/groups/2241931/items/GE5F75GH"],"uri":["http://zotero.org/groups/2241931/items/GE5F75GH"],"itemData":{"id":868,"type":"article","title":"HEATING WITHOUT GLOBAL WARMING - Market Developments and Policy Considerations for Renewable Heat","publisher":"International Energy Agency (IEA)/ OECD","author":[{"literal":"Anselm Eisentraut"},{"literal":"Adam Brown"}],"issued":{"date-parts":[["2014"]]}}}],"schema":"https://github.com/citation-style-language/schema/raw/master/csl-citation.json"} </w:instrText>
      </w:r>
      <w:r w:rsidR="00FA6183">
        <w:fldChar w:fldCharType="separate"/>
      </w:r>
      <w:r w:rsidR="00FA6183">
        <w:rPr>
          <w:noProof/>
        </w:rPr>
        <w:t>(Anselm Eisentraut &amp; Adam Brown, 2014)</w:t>
      </w:r>
      <w:r w:rsidR="00FA6183">
        <w:fldChar w:fldCharType="end"/>
      </w:r>
      <w:r w:rsidR="00566152">
        <w:t>,</w:t>
      </w:r>
      <w:r w:rsidR="006D6C6E" w:rsidRPr="00F53D99">
        <w:t xml:space="preserve"> </w:t>
      </w:r>
      <w:r w:rsidR="004D2ABF" w:rsidRPr="00F53D99">
        <w:t xml:space="preserve">and NREL </w:t>
      </w:r>
      <w:r w:rsidR="00FA6183">
        <w:fldChar w:fldCharType="begin"/>
      </w:r>
      <w:r w:rsidR="00FA6183">
        <w:instrText xml:space="preserve"> ADDIN ZOTERO_ITEM CSL_CITATION {"citationID":"PaSYignl","properties":{"formattedCitation":"(Cassard, Denholm, &amp; Ong, 2011)","plainCitation":"(Cassard, Denholm, &amp; Ong, 2011)","noteIndex":0},"citationItems":[{"id":1481,"uris":["http://zotero.org/groups/2241931/items/98J7RWQ7"],"uri":["http://zotero.org/groups/2241931/items/98J7RWQ7"],"itemData":{"id":1481,"type":"report","title":"Break-even Cost for Residential Solar Water Heating in the United States: Key Drivers and Sensitivities","publisher":"National Renewable Energy Laboratory","publisher-place":"Golden, Colorado","genre":"Technical Report","event-place":"Golden, Colorado","URL":"https://www.nrel.gov/docs/fy11osti/48986.pdf","number":"NREL/TP-6A20-48986","author":[{"family":"Cassard","given":"Hannah"},{"family":"Denholm","given":"Paul"},{"family":"Ong","given":"Sean"}],"issued":{"date-parts":[["2011"]]}}}],"schema":"https://github.com/citation-style-language/schema/raw/master/csl-citation.json"} </w:instrText>
      </w:r>
      <w:r w:rsidR="00FA6183">
        <w:fldChar w:fldCharType="separate"/>
      </w:r>
      <w:r w:rsidR="00FA6183">
        <w:rPr>
          <w:noProof/>
        </w:rPr>
        <w:t>(Cassard, Denholm, &amp; Ong, 2011)</w:t>
      </w:r>
      <w:r w:rsidR="00FA6183">
        <w:fldChar w:fldCharType="end"/>
      </w:r>
      <w:r w:rsidR="004D2ABF" w:rsidRPr="00F53D99">
        <w:t>.</w:t>
      </w:r>
      <w:r w:rsidR="00AF35C1" w:rsidRPr="00F53D99">
        <w:t xml:space="preserve"> </w:t>
      </w:r>
      <w:r w:rsidR="00AF584B">
        <w:t>Most of the</w:t>
      </w:r>
      <w:r w:rsidR="00AF35C1" w:rsidRPr="00F53D99">
        <w:t xml:space="preserve"> data was available at </w:t>
      </w:r>
      <w:r w:rsidR="00566152">
        <w:t xml:space="preserve">the </w:t>
      </w:r>
      <w:r w:rsidR="00AF35C1" w:rsidRPr="00F53D99">
        <w:t>regional level.</w:t>
      </w:r>
    </w:p>
    <w:p w14:paraId="2076FF0E" w14:textId="4834EEA3" w:rsidR="00655019" w:rsidRPr="00F53D99" w:rsidRDefault="005A1AB4" w:rsidP="00E07370">
      <w:r w:rsidRPr="00F53D99">
        <w:lastRenderedPageBreak/>
        <w:t xml:space="preserve">Data for the lifetime capacity of the solution </w:t>
      </w:r>
      <w:r w:rsidR="00E51499">
        <w:t>(</w:t>
      </w:r>
      <w:r w:rsidR="006D6C6E" w:rsidRPr="00F53D99">
        <w:t>i.e. the life time of the solar water heaters</w:t>
      </w:r>
      <w:r w:rsidR="00E51499">
        <w:t>)</w:t>
      </w:r>
      <w:r w:rsidR="006D6C6E" w:rsidRPr="00F53D99">
        <w:t xml:space="preserve"> </w:t>
      </w:r>
      <w:r w:rsidRPr="00F53D99">
        <w:t xml:space="preserve">was taken from </w:t>
      </w:r>
      <w:r w:rsidR="006D6C6E" w:rsidRPr="00F53D99">
        <w:t xml:space="preserve">a few different sources including, </w:t>
      </w:r>
      <w:r w:rsidRPr="00F53D99">
        <w:t>International Renewable Energy Agency</w:t>
      </w:r>
      <w:r w:rsidR="00AF584B">
        <w:t xml:space="preserve"> </w:t>
      </w:r>
      <w:r w:rsidR="00AF584B">
        <w:fldChar w:fldCharType="begin"/>
      </w:r>
      <w:r w:rsidR="00AF584B">
        <w:instrText xml:space="preserve"> ADDIN ZOTERO_ITEM CSL_CITATION {"citationID":"p73bvcrT","properties":{"formattedCitation":"(IEA-ETSAP and IRENA, 2015)","plainCitation":"(IEA-ETSAP and IRENA, 2015)","noteIndex":0},"citationItems":[{"id":1767,"uris":["http://zotero.org/groups/2241931/items/PMCKWKTM"],"uri":["http://zotero.org/groups/2241931/items/PMCKWKTM"],"itemData":{"id":1767,"type":"report","title":"Solar Heating and Cooling for Residential Applications","URL":"http://www.irena.org/documentdownloads/publications/irena_etsap_tech_brief_r12_solar_thermal_residential_2015.pdf","shortTitle":"IEA-ETSAP and IRENA","author":[{"family":"IEA-ETSAP and IRENA","given":""}],"issued":{"date-parts":[["2015"]]}}}],"schema":"https://github.com/citation-style-language/schema/raw/master/csl-citation.json"} </w:instrText>
      </w:r>
      <w:r w:rsidR="00AF584B">
        <w:fldChar w:fldCharType="separate"/>
      </w:r>
      <w:r w:rsidR="00AF584B">
        <w:rPr>
          <w:noProof/>
        </w:rPr>
        <w:t>(IEA-ETSAP and IRENA, 2015)</w:t>
      </w:r>
      <w:r w:rsidR="00AF584B">
        <w:fldChar w:fldCharType="end"/>
      </w:r>
      <w:r w:rsidR="00912D10" w:rsidRPr="00F53D99">
        <w:t>, Environment California</w:t>
      </w:r>
      <w:r w:rsidR="00AF584B">
        <w:t xml:space="preserve"> </w:t>
      </w:r>
      <w:r w:rsidR="00AF584B">
        <w:fldChar w:fldCharType="begin"/>
      </w:r>
      <w:r w:rsidR="00AF584B">
        <w:instrText xml:space="preserve"> ADDIN ZOTERO_ITEM CSL_CITATION {"citationID":"WC2ngZjn","properties":{"formattedCitation":"(Environment California, 2007)","plainCitation":"(Environment California, 2007)","noteIndex":0},"citationItems":[{"id":1768,"uris":["http://zotero.org/groups/2241931/items/DRBD9WTM"],"uri":["http://zotero.org/groups/2241931/items/DRBD9WTM"],"itemData":{"id":1768,"type":"report","title":"Solar Water Heating - How California Can Reduce Its Dependence on Natural Gas","URL":"https://environmentcalifornia.org/sites/environment/files/reports/CAE%20Solar-Water-Heating.pdf","author":[{"family":"Environment California","given":""}],"issued":{"date-parts":[["2007"]]}}}],"schema":"https://github.com/citation-style-language/schema/raw/master/csl-citation.json"} </w:instrText>
      </w:r>
      <w:r w:rsidR="00AF584B">
        <w:fldChar w:fldCharType="separate"/>
      </w:r>
      <w:r w:rsidR="00AF584B">
        <w:rPr>
          <w:noProof/>
        </w:rPr>
        <w:t>(Environment California, 2007)</w:t>
      </w:r>
      <w:r w:rsidR="00AF584B">
        <w:fldChar w:fldCharType="end"/>
      </w:r>
      <w:r w:rsidR="006D6C6E" w:rsidRPr="00F53D99">
        <w:t>,</w:t>
      </w:r>
      <w:r w:rsidR="0047098D" w:rsidRPr="00F53D99">
        <w:t xml:space="preserve"> </w:t>
      </w:r>
      <w:r w:rsidR="00463AB6" w:rsidRPr="00F53D99">
        <w:t xml:space="preserve">Manitoba Hydro </w:t>
      </w:r>
      <w:r w:rsidR="00AF584B">
        <w:fldChar w:fldCharType="begin"/>
      </w:r>
      <w:r w:rsidR="00AF584B">
        <w:instrText xml:space="preserve"> ADDIN ZOTERO_ITEM CSL_CITATION {"citationID":"M02DLcPi","properties":{"formattedCitation":"(Manitoba Hydro, n.d.)","plainCitation":"(Manitoba Hydro, n.d.)","noteIndex":0},"citationItems":[{"id":1846,"uris":["http://zotero.org/groups/2241931/items/S2WGU8ZK"],"uri":["http://zotero.org/groups/2241931/items/S2WGU8ZK"],"itemData":{"id":1846,"type":"webpage","title":"Solar water heating","container-title":"https://www.hydro.mb.ca/your_home/solar_water_heating/","URL":"https://www.hydro.mb.ca/your_home/solar_water_heating/","author":[{"family":"Manitoba Hydro","given":""}]}}],"schema":"https://github.com/citation-style-language/schema/raw/master/csl-citation.json"} </w:instrText>
      </w:r>
      <w:r w:rsidR="00AF584B">
        <w:fldChar w:fldCharType="separate"/>
      </w:r>
      <w:r w:rsidR="00AF584B">
        <w:rPr>
          <w:noProof/>
        </w:rPr>
        <w:t>(Manitoba Hydro, n.d.)</w:t>
      </w:r>
      <w:r w:rsidR="00AF584B">
        <w:fldChar w:fldCharType="end"/>
      </w:r>
      <w:r w:rsidR="00352F3A">
        <w:t xml:space="preserve">, NREL </w:t>
      </w:r>
      <w:r w:rsidR="00352F3A">
        <w:fldChar w:fldCharType="begin"/>
      </w:r>
      <w:r w:rsidR="00352F3A">
        <w:instrText xml:space="preserve"> ADDIN ZOTERO_ITEM CSL_CITATION {"citationID":"0pDjLSYu","properties":{"formattedCitation":"(National Renewable Energy Laboratories, 2016)","plainCitation":"(National Renewable Energy Laboratories, 2016)","noteIndex":0},"citationItems":[{"id":1697,"uris":["http://zotero.org/groups/2241931/items/C9F89CF8"],"uri":["http://zotero.org/groups/2241931/items/C9F89CF8"],"itemData":{"id":1697,"type":"webpage","title":"Distributed Generation Renewable Energy Estimate of Costs","container-title":"Energy Analysis","genre":"Government","URL":"https://www.nrel.gov/analysis/tech-lcoe-re-cost-est.html","shortTitle":"NREL","author":[{"family":"National Renewable Energy Laboratories","given":""}],"issued":{"date-parts":[["2016",2]]}}}],"schema":"https://github.com/citation-style-language/schema/raw/master/csl-citation.json"} </w:instrText>
      </w:r>
      <w:r w:rsidR="00352F3A">
        <w:fldChar w:fldCharType="separate"/>
      </w:r>
      <w:r w:rsidR="00352F3A">
        <w:rPr>
          <w:noProof/>
        </w:rPr>
        <w:t>(National Renewable Energy Laboratories, 2016)</w:t>
      </w:r>
      <w:r w:rsidR="00352F3A">
        <w:fldChar w:fldCharType="end"/>
      </w:r>
      <w:r w:rsidR="00352F3A">
        <w:t xml:space="preserve">, Energy Star </w:t>
      </w:r>
      <w:r w:rsidR="00352F3A">
        <w:fldChar w:fldCharType="begin"/>
      </w:r>
      <w:r w:rsidR="00352F3A">
        <w:instrText xml:space="preserve"> ADDIN ZOTERO_ITEM CSL_CITATION {"citationID":"ggDOQZhT","properties":{"formattedCitation":"(Energy Star, n.d.)","plainCitation":"(Energy Star, n.d.)","noteIndex":0},"citationItems":[{"id":1845,"uris":["http://zotero.org/groups/2241931/items/KM4X5PGW"],"uri":["http://zotero.org/groups/2241931/items/KM4X5PGW"],"itemData":{"id":1845,"type":"webpage","title":"Save Money and More with ENERGY STAR Qualified Solar Water Heaters","container-title":"Energy Star","genre":"Government","URL":"https://www.energystar.gov/products/water_heaters/water_heater_solar/benefits_savings","author":[{"family":"Energy Star","given":""}]}}],"schema":"https://github.com/citation-style-language/schema/raw/master/csl-citation.json"} </w:instrText>
      </w:r>
      <w:r w:rsidR="00352F3A">
        <w:fldChar w:fldCharType="separate"/>
      </w:r>
      <w:r w:rsidR="00352F3A">
        <w:rPr>
          <w:noProof/>
        </w:rPr>
        <w:t>(Energy Star, n.d.)</w:t>
      </w:r>
      <w:r w:rsidR="00352F3A">
        <w:fldChar w:fldCharType="end"/>
      </w:r>
      <w:r w:rsidR="00463AB6" w:rsidRPr="00D6250C">
        <w:t xml:space="preserve"> and World Building Design Guide (</w:t>
      </w:r>
      <w:r w:rsidR="00F9615F" w:rsidRPr="00D6250C">
        <w:t>WB</w:t>
      </w:r>
      <w:r w:rsidR="00F9615F">
        <w:t>DG</w:t>
      </w:r>
      <w:r w:rsidR="00463AB6" w:rsidRPr="00D6250C">
        <w:t xml:space="preserve">) </w:t>
      </w:r>
      <w:r w:rsidR="00AF584B">
        <w:fldChar w:fldCharType="begin"/>
      </w:r>
      <w:r w:rsidR="00AF584B">
        <w:instrText xml:space="preserve"> ADDIN ZOTERO_ITEM CSL_CITATION {"citationID":"VX4Bd1P0","properties":{"formattedCitation":"(World Building Design Guide, 2016)","plainCitation":"(World Building Design Guide, 2016)","noteIndex":0},"citationItems":[{"id":1847,"uris":["http://zotero.org/groups/2241931/items/87BFUSAF"],"uri":["http://zotero.org/groups/2241931/items/87BFUSAF"],"itemData":{"id":1847,"type":"webpage","title":"SOLAR WATER HEATING","URL":"https://www.wbdg.org/resources/solar-water-heating","author":[{"family":"World Building Design Guide","given":""}],"issued":{"date-parts":[["2016"]]}}}],"schema":"https://github.com/citation-style-language/schema/raw/master/csl-citation.json"} </w:instrText>
      </w:r>
      <w:r w:rsidR="00AF584B">
        <w:fldChar w:fldCharType="separate"/>
      </w:r>
      <w:r w:rsidR="00AF584B">
        <w:rPr>
          <w:noProof/>
        </w:rPr>
        <w:t>(World Building Design Guide, 2016)</w:t>
      </w:r>
      <w:r w:rsidR="00AF584B">
        <w:fldChar w:fldCharType="end"/>
      </w:r>
      <w:r w:rsidR="00463AB6" w:rsidRPr="00D6250C">
        <w:t xml:space="preserve">. </w:t>
      </w:r>
      <w:r w:rsidR="0047098D" w:rsidRPr="00D6250C">
        <w:t xml:space="preserve">Average annual use </w:t>
      </w:r>
      <w:r w:rsidR="0029505B">
        <w:t>(</w:t>
      </w:r>
      <w:r w:rsidR="00455656" w:rsidRPr="00F53D99">
        <w:t xml:space="preserve">i.e. hours of use </w:t>
      </w:r>
      <w:r w:rsidR="0047098D" w:rsidRPr="00F53D99">
        <w:t>of the solution</w:t>
      </w:r>
      <w:r w:rsidR="0029505B">
        <w:t>)</w:t>
      </w:r>
      <w:r w:rsidR="0047098D" w:rsidRPr="00F53D99">
        <w:t xml:space="preserve"> was taken from IEA</w:t>
      </w:r>
      <w:r w:rsidR="00FE276F">
        <w:rPr>
          <w:rFonts w:eastAsia="MS Mincho"/>
        </w:rPr>
        <w:t>’</w:t>
      </w:r>
      <w:r w:rsidR="00186BF1" w:rsidRPr="00F53D99">
        <w:t xml:space="preserve">s Solar Heat Worldwide market </w:t>
      </w:r>
      <w:r w:rsidR="00563B93" w:rsidRPr="00F53D99">
        <w:t>reports of</w:t>
      </w:r>
      <w:r w:rsidR="00186BF1" w:rsidRPr="00F53D99">
        <w:t xml:space="preserve"> 2016 and 2018 </w:t>
      </w:r>
      <w:r w:rsidR="00AF584B">
        <w:fldChar w:fldCharType="begin"/>
      </w:r>
      <w:r w:rsidR="00AF584B">
        <w:instrText xml:space="preserve"> ADDIN ZOTERO_ITEM CSL_CITATION {"citationID":"d5e7qyf5","properties":{"formattedCitation":"(Mauthner et al., 2016; Weiss &amp; Sp\\uc0\\u246{}rk-D\\uc0\\u252{}r, 2018)","plainCitation":"(Mauthner et al., 2016; Weiss &amp; Sp</w:instrText>
      </w:r>
      <w:r w:rsidR="00AF584B">
        <w:rPr>
          <w:rFonts w:hint="eastAsia"/>
        </w:rPr>
        <w:instrText>ö</w:instrText>
      </w:r>
      <w:r w:rsidR="00AF584B">
        <w:instrText>rk-D</w:instrText>
      </w:r>
      <w:r w:rsidR="00AF584B">
        <w:rPr>
          <w:rFonts w:hint="eastAsia"/>
        </w:rPr>
        <w:instrText>ü</w:instrText>
      </w:r>
      <w:r w:rsidR="00AF584B">
        <w:instrText>r, 2018)","noteIndex":0},"citationItems":[{"id":1494,"uris":["http://zotero.org/groups/2241931/items/ZZEK27ND"],"uri":["http://zotero.org/groups/2241931/items/ZZEK27ND"],"itemData":{"id":1494,"type":"report","title":"Solar Heat Worldwide| Global Market Development and Trends in 2017| Detailed Market Figures 2016","collection-title":"Solar Heating and Cooling Program","publisher":"International Energy Agency (IEA)","publisher-place":"Austria","event-place":"Austria","URL":"https://www.iea-shc.org/Data/Sites/1/publications/Solar-Heat-Worldwide-2018.pdf","number":"Edition 2018","author":[{"family":"Weiss","given":"Werner"},{"family":"Sp</w:instrText>
      </w:r>
      <w:r w:rsidR="00AF584B">
        <w:rPr>
          <w:rFonts w:hint="eastAsia"/>
        </w:rPr>
        <w:instrText>ö</w:instrText>
      </w:r>
      <w:r w:rsidR="00AF584B">
        <w:instrText>rk-D</w:instrText>
      </w:r>
      <w:r w:rsidR="00AF584B">
        <w:rPr>
          <w:rFonts w:hint="eastAsia"/>
        </w:rPr>
        <w:instrText>ü</w:instrText>
      </w:r>
      <w:r w:rsidR="00AF584B">
        <w:instrText>r","given":"Monika"}],"issued":{"date-parts":[["2018"]]}}},{"id":1763,"uris":["http://zotero.org/groups/2241931/items/KH9TUNVE"],"uri":["http://zotero.org/groups/2241931/items/KH9TUNVE"],"itemData":{"id":1763,"type":"report","title":"Solar Heat Worldwide-Markets and Contribution to the Energy Supply 2014","collection-title":"IEA Solar Heating &amp; Cooling Programme","publisher":"International Energy Agency","URL":"http://www.iea-shc.org/data/sites/1/publications/solar-heat-worldwide-2016.pdf","shortTitle":"IEA","author":[{"family":"Mauthner","given":"Franz"},{"family":"Weiss","given":"Werner"},{"family":"Sp</w:instrText>
      </w:r>
      <w:r w:rsidR="00AF584B">
        <w:rPr>
          <w:rFonts w:hint="eastAsia"/>
        </w:rPr>
        <w:instrText>ö</w:instrText>
      </w:r>
      <w:r w:rsidR="00AF584B">
        <w:instrText>rk-D</w:instrText>
      </w:r>
      <w:r w:rsidR="00AF584B">
        <w:rPr>
          <w:rFonts w:hint="eastAsia"/>
        </w:rPr>
        <w:instrText>ü</w:instrText>
      </w:r>
      <w:r w:rsidR="00AF584B">
        <w:instrText xml:space="preserve">r","given":"Monika"}],"issued":{"date-parts":[["2016"]]}}}],"schema":"https://github.com/citation-style-language/schema/raw/master/csl-citation.json"} </w:instrText>
      </w:r>
      <w:r w:rsidR="00AF584B">
        <w:fldChar w:fldCharType="separate"/>
      </w:r>
      <w:r w:rsidR="00AF584B" w:rsidRPr="003F5943">
        <w:t>(Mauthner et al., 2016; Weiss &amp; Spörk-Dür, 2018)</w:t>
      </w:r>
      <w:r w:rsidR="00AF584B">
        <w:fldChar w:fldCharType="end"/>
      </w:r>
      <w:r w:rsidR="0047098D" w:rsidRPr="00F53D99">
        <w:t>.</w:t>
      </w:r>
      <w:r w:rsidR="00CF50F6" w:rsidRPr="00F53D99">
        <w:t xml:space="preserve"> </w:t>
      </w:r>
    </w:p>
    <w:p w14:paraId="7A6A467C" w14:textId="43111C94" w:rsidR="00845CFC" w:rsidRPr="00F53D99" w:rsidRDefault="00845CFC" w:rsidP="00E07370">
      <w:r>
        <w:t>Regional d</w:t>
      </w:r>
      <w:r w:rsidR="00655019">
        <w:t xml:space="preserve">ata for average </w:t>
      </w:r>
      <w:r w:rsidR="0073467D" w:rsidRPr="00F53D99">
        <w:t>electricity consumed per functional unit</w:t>
      </w:r>
      <w:r w:rsidR="00655019">
        <w:t xml:space="preserve"> was obtained from Natural Resources Canada</w:t>
      </w:r>
      <w:r>
        <w:t xml:space="preserve"> and assumptions were made to estimate global data. </w:t>
      </w:r>
      <w:r w:rsidR="00455656" w:rsidRPr="00F53D99">
        <w:t>Global data for f</w:t>
      </w:r>
      <w:r w:rsidR="002D4A3F" w:rsidRPr="00F53D99">
        <w:t xml:space="preserve">uel efficiency factor for solution </w:t>
      </w:r>
      <w:r w:rsidR="00C10A5B">
        <w:t xml:space="preserve">was obtained for U.S </w:t>
      </w:r>
      <w:r w:rsidR="00F92F14">
        <w:fldChar w:fldCharType="begin"/>
      </w:r>
      <w:r w:rsidR="00F92F14">
        <w:instrText xml:space="preserve"> ADDIN ZOTERO_ITEM CSL_CITATION {"citationID":"b9PZDZHl","properties":{"formattedCitation":"(Denholm, 2007)","plainCitation":"(Denholm, 2007)","noteIndex":0},"citationItems":[{"id":2493,"uris":["http://zotero.org/groups/2241931/items/33F54K5I"],"uri":["http://zotero.org/groups/2241931/items/33F54K5I"],"itemData":{"id":2493,"type":"report","title":"The Technical Potential of Solar Water Heating to Reduce Fossil Fuel Use and Greenhouse Gas Emissions in the United States","publisher":"National Renewable Energy Agency","URL":"https://www.nrel.gov/docs/fy07osti/41157.pdf","author":[{"family":"Denholm","given":"P"}],"issued":{"date-parts":[["2007"]]}}}],"schema":"https://github.com/citation-style-language/schema/raw/master/csl-citation.json"} </w:instrText>
      </w:r>
      <w:r w:rsidR="00F92F14">
        <w:fldChar w:fldCharType="separate"/>
      </w:r>
      <w:r w:rsidR="00F92F14">
        <w:rPr>
          <w:noProof/>
        </w:rPr>
        <w:t>(Denholm, 2007)</w:t>
      </w:r>
      <w:r w:rsidR="00F92F14">
        <w:fldChar w:fldCharType="end"/>
      </w:r>
      <w:r w:rsidR="008E78C2">
        <w:t xml:space="preserve"> </w:t>
      </w:r>
      <w:r w:rsidR="00C10A5B">
        <w:t>and Brazil</w:t>
      </w:r>
      <w:r w:rsidR="008E78C2">
        <w:t xml:space="preserve"> </w:t>
      </w:r>
      <w:r w:rsidR="008E78C2">
        <w:fldChar w:fldCharType="begin"/>
      </w:r>
      <w:r w:rsidR="008E78C2">
        <w:instrText xml:space="preserve"> ADDIN ZOTERO_ITEM CSL_CITATION {"citationID":"iEuFPLCE","properties":{"formattedCitation":"(Michels, Mayer, Gallon, Hoffmann, &amp; Serafini, 2008)","plainCitation":"(Michels, Mayer, Gallon, Hoffmann, &amp; Serafini, 2008)","noteIndex":0},"citationItems":[{"id":2495,"uris":["http://zotero.org/groups/2241931/items/4TBCXAZM"],"uri":["http://zotero.org/groups/2241931/items/4TBCXAZM"],"itemData":{"id":2495,"type":"article-journal","title":"Fossil Fuel Saving through a Direct Solar Energy Water Heating System","container-title":"Clean","page":"743-747","volume":"36","issue":"9","abstract":"The global warming and energy crisis is motivating the search for sustainable power sources. The objective of this work is to analyze the economic return and quantify the reduction in the emission of pollutants, when low‐cost solar collectors are used as a partial substitute for a boiler that uses fuel oil as the energy source, in order to heat water for the swimming pools of the Physical Education Center, Federal University of Santa Maria. The collectors are made from PVC and other easily acquired materials. The estimations for energy saving are based on a collecting area of 182 m2. From knowledge of the collectors' efficiency, the mathematical demonstration shows a fuel oil saving of 13,174 kg, representing 24% of the total amount consumed per annum. The investment required for the construction and installation of the collectors is US$ 6,445 and the estimated useful live is five years. The internal rate of return is 30%. The emission of pollutants is reduced by a considerable amount of 41,213 kg CO2 equivalent/year. The use of direct sun energy as an alternative power source represents a significant economic interest as well as contributing to the mitigation of greenhouse gases.","DOI":"https://doi.org/10.1002/clen.200700174","author":[{"family":"Michels","given":"Ademar"},{"family":"Mayer","given":"Fl</w:instrText>
      </w:r>
      <w:r w:rsidR="008E78C2">
        <w:rPr>
          <w:rFonts w:hint="eastAsia"/>
        </w:rPr>
        <w:instrText>á</w:instrText>
      </w:r>
      <w:r w:rsidR="008E78C2">
        <w:instrText xml:space="preserve">vio Dias"},{"family":"Gallon","given":"Roger"},{"family":"Hoffmann","given":"Ronaldo"},{"family":"Serafini","given":"Seimur Tiago"}],"issued":{"date-parts":[["2008"]]}}}],"schema":"https://github.com/citation-style-language/schema/raw/master/csl-citation.json"} </w:instrText>
      </w:r>
      <w:r w:rsidR="008E78C2">
        <w:fldChar w:fldCharType="separate"/>
      </w:r>
      <w:r w:rsidR="008E78C2">
        <w:rPr>
          <w:noProof/>
        </w:rPr>
        <w:t>(Michels, Mayer, Gallon, Hoffmann, &amp; Serafini, 2008)</w:t>
      </w:r>
      <w:r w:rsidR="008E78C2">
        <w:fldChar w:fldCharType="end"/>
      </w:r>
      <w:r w:rsidR="00C10A5B">
        <w:t xml:space="preserve">. </w:t>
      </w:r>
      <w:r w:rsidR="008E78C2">
        <w:t xml:space="preserve">Since solar water heaters are a supplemental technology, they will only be saving a fraction of the energy conventionally used for heating. </w:t>
      </w:r>
      <w:r w:rsidR="00A462DE">
        <w:t xml:space="preserve">Assumptions were made to estimate the </w:t>
      </w:r>
      <w:r w:rsidR="00D6595C">
        <w:t xml:space="preserve">global </w:t>
      </w:r>
      <w:r w:rsidR="00A462DE">
        <w:t>f</w:t>
      </w:r>
      <w:r w:rsidR="002D4A3F" w:rsidRPr="00F53D99">
        <w:t>uel consumed per functional unit</w:t>
      </w:r>
      <w:r w:rsidR="00D6595C">
        <w:t xml:space="preserve"> number</w:t>
      </w:r>
      <w:r w:rsidR="002D4A3F" w:rsidRPr="00F53D99">
        <w:t xml:space="preserve"> for conventional water heaters</w:t>
      </w:r>
      <w:r w:rsidR="00D6595C">
        <w:t>. E</w:t>
      </w:r>
      <w:r w:rsidR="002D4A3F" w:rsidRPr="00F53D99">
        <w:t>lectricity consumed per functional unit for conventional technology</w:t>
      </w:r>
      <w:r w:rsidR="00455656" w:rsidRPr="00F53D99">
        <w:t xml:space="preserve"> </w:t>
      </w:r>
      <w:r w:rsidR="00D6595C">
        <w:t>was</w:t>
      </w:r>
      <w:r w:rsidR="00455656" w:rsidRPr="00F53D99">
        <w:t xml:space="preserve"> also</w:t>
      </w:r>
      <w:r w:rsidR="00D6595C">
        <w:t xml:space="preserve"> estimated using assumptions for global electricity consumption</w:t>
      </w:r>
      <w:r w:rsidR="0058664E">
        <w:t xml:space="preserve"> due to lack of data</w:t>
      </w:r>
      <w:r w:rsidR="00D6595C">
        <w:t xml:space="preserve">. </w:t>
      </w:r>
    </w:p>
    <w:p w14:paraId="3BA33133" w14:textId="1B108452" w:rsidR="00FC5083" w:rsidRPr="00097C8C" w:rsidRDefault="003A11CE" w:rsidP="00E07370">
      <w:r w:rsidRPr="00F53D99">
        <w:t xml:space="preserve">Conventional fuel hot water efficiency data was taken from </w:t>
      </w:r>
      <w:r w:rsidR="00D75330">
        <w:t xml:space="preserve">the </w:t>
      </w:r>
      <w:r w:rsidR="00DF709A" w:rsidRPr="00F53D99">
        <w:t>U</w:t>
      </w:r>
      <w:r w:rsidR="005F06A0" w:rsidRPr="00F53D99">
        <w:t>.</w:t>
      </w:r>
      <w:r w:rsidR="00DF709A" w:rsidRPr="00F53D99">
        <w:t>S</w:t>
      </w:r>
      <w:r w:rsidR="005F06A0" w:rsidRPr="00F53D99">
        <w:t>.</w:t>
      </w:r>
      <w:r w:rsidR="00DF709A" w:rsidRPr="00F53D99">
        <w:t xml:space="preserve">DOE </w:t>
      </w:r>
      <w:r w:rsidR="0058664E">
        <w:fldChar w:fldCharType="begin"/>
      </w:r>
      <w:r w:rsidR="0058664E">
        <w:instrText xml:space="preserve"> ADDIN ZOTERO_ITEM CSL_CITATION {"citationID":"mx26wkH3","properties":{"formattedCitation":"(U.S. Department of Energy, n.d.)","plainCitation":"(U.S. Department of Energy, n.d.)","noteIndex":0},"citationItems":[{"id":1769,"uris":["http://zotero.org/groups/2241931/items/UGQQ7R4K"],"uri":["http://zotero.org/groups/2241931/items/UGQQ7R4K"],"itemData":{"id":1769,"type":"webpage","title":"Furnaces and Boilers","URL":"https://www.energy.gov/energysaver/home-heating-systems/furnaces-and-boilers","author":[{"family":"U.S. Department of Energy","given":""}]}}],"schema":"https://github.com/citation-style-language/schema/raw/master/csl-citation.json"} </w:instrText>
      </w:r>
      <w:r w:rsidR="0058664E">
        <w:fldChar w:fldCharType="separate"/>
      </w:r>
      <w:r w:rsidR="0058664E">
        <w:rPr>
          <w:noProof/>
        </w:rPr>
        <w:t>(U.S. Department of Energy, n.d.)</w:t>
      </w:r>
      <w:r w:rsidR="0058664E">
        <w:fldChar w:fldCharType="end"/>
      </w:r>
      <w:r w:rsidR="00605DC8">
        <w:t xml:space="preserve"> </w:t>
      </w:r>
      <w:r w:rsidR="00DF709A" w:rsidRPr="00F53D99">
        <w:t>&amp; JRC</w:t>
      </w:r>
      <w:r w:rsidR="005F06A0" w:rsidRPr="00F53D99">
        <w:t xml:space="preserve"> </w:t>
      </w:r>
      <w:r w:rsidR="00DF709A" w:rsidRPr="00F53D99">
        <w:t>reports</w:t>
      </w:r>
      <w:r w:rsidR="0058664E">
        <w:t>, and published literature</w:t>
      </w:r>
      <w:r w:rsidR="00605DC8">
        <w:t xml:space="preserve"> presenting data from UK</w:t>
      </w:r>
      <w:r w:rsidR="0058664E">
        <w:t xml:space="preserve"> </w:t>
      </w:r>
      <w:r w:rsidR="0058664E">
        <w:fldChar w:fldCharType="begin"/>
      </w:r>
      <w:r w:rsidR="0058664E">
        <w:instrText xml:space="preserve"> ADDIN ZOTERO_ITEM CSL_CITATION {"citationID":"3vWxN8tf","properties":{"formattedCitation":"(Greening &amp; Azapagic, 2014)","plainCitation":"(Greening &amp; Azapagic, 2014)","noteIndex":0},"citationItems":[{"id":1778,"uris":["http://zotero.org/groups/2241931/items/PCSMPWKG"],"uri":["http://zotero.org/groups/2241931/items/PCSMPWKG"],"itemData":{"id":1778,"type":"article-journal","title":"Domestic solar thermal water heating: A sustainable option for the UK","container-title":"Renewable Energy","page":"23-36","volume":"63","abstract":"This paper considers life cycle environmental sustainability of solar water heating systems in regions with low solar irradiation, such as the UK. The results suggest that flat plate collectors have slightly lower environmental impacts than evacuated tube designs. Reducing the current energy losses of 65%</w:instrText>
      </w:r>
      <w:r w:rsidR="0058664E">
        <w:rPr>
          <w:rFonts w:hint="eastAsia"/>
        </w:rPr>
        <w:instrText>–</w:instrText>
      </w:r>
      <w:r w:rsidR="0058664E">
        <w:instrText xml:space="preserve">45% would reduce the impacts by around 35%. Compared to a gas boiler, solar thermal systems are a better option for only five out of 11 environmental impacts considered, with global warming and depletion of fossil resources being lower by 88% and 83%, respectively. Other impacts such as human and eco-toxicity are up to 85% higher. The solar systems score better relative to electrical water heating for eight out of 11 impacts. They are also environmentally more sustainable than heat pumps for seven categories. However, their potential is hampered because they need a back-up heating system, typically gas boiler. For this reason as well as due to a lack of suitable locations and poor efficiency, the potential of solar thermal systems to contribute to a more sustainable domestic energy supply in the UK is limited.","DOI":"https://doi.org/10.1016/j.renene.2013.07.048","author":[{"family":"Greening","given":"Benjamin"},{"family":"Azapagic","given":"Adisa"}],"issued":{"date-parts":[["2014",3]]}}}],"schema":"https://github.com/citation-style-language/schema/raw/master/csl-citation.json"} </w:instrText>
      </w:r>
      <w:r w:rsidR="0058664E">
        <w:fldChar w:fldCharType="separate"/>
      </w:r>
      <w:r w:rsidR="0058664E" w:rsidRPr="00605DC8">
        <w:rPr>
          <w:noProof/>
        </w:rPr>
        <w:t>(Greening &amp; Azapagic, 2014)</w:t>
      </w:r>
      <w:r w:rsidR="0058664E">
        <w:fldChar w:fldCharType="end"/>
      </w:r>
      <w:r w:rsidR="00605DC8">
        <w:t xml:space="preserve"> and California </w:t>
      </w:r>
      <w:r w:rsidR="00605DC8">
        <w:fldChar w:fldCharType="begin"/>
      </w:r>
      <w:r w:rsidR="00605DC8">
        <w:instrText xml:space="preserve"> ADDIN ZOTERO_ITEM CSL_CITATION {"citationID":"9SSC0DNy","properties":{"formattedCitation":"(Raghavan, Wei, &amp; Kammen, 2017)","plainCitation":"(Raghavan, Wei, &amp; Kammen, 2017)","noteIndex":0},"citationItems":[{"id":1887,"uris":["http://zotero.org/groups/2241931/items/3I56P8Q3"],"uri":["http://zotero.org/groups/2241931/items/3I56P8Q3"],"itemData":{"id":1887,"type":"article-journal","title":"Scenarios to decarbonize residential water heating in California","container-title":"Energy Policy","page":"441-451","volume":"109","source":"Crossref","abstract":"This paper presents the ﬁrst detailed long-term stock turnover model to investigate scenarios to decarbonize the residential water heating sector in California, which is currently dominated by natural gas. We model a mix of water heating (WH) technologies including conventional and on-demand (tank-less) natural gas heating, electric resistance, existing electric heat pumps, advanced heat pumps with low global warming refrigerants and solar thermal water heaters. Technically feasible policy scenarios are developed by considering combinations of WH technologies with eﬃciency gains within each technology, lowering global warming potential of refrigerants and decreasing grid carbon intensity. We then evaluate energy demand, emissions and equipment replacement costs of the pathways. We develop multiple scenarios by which the annual greenhouse gas emissions from residential water heaters in California can be reduced by over 80% from 1990 levels resulting in an annual savings of over 10 Million Metric Tons by 2050. The overall cost of transition will depend on future cost reductions in heat pump and solar thermal water heating equipment, energy costs, and hot water consumption.","DOI":"10.1016/j.enpol.2017.07.002","ISSN":"03014215","language":"en","author":[{"family":"Raghavan","given":"Shuba V."},{"family":"Wei","given":"Max"},{"family":"Kammen","given":"Daniel M."}],"issued":{"date-parts":[["2017",10]]}}}],"schema":"https://github.com/citation-style-language/schema/raw/master/csl-citation.json"} </w:instrText>
      </w:r>
      <w:r w:rsidR="00605DC8">
        <w:fldChar w:fldCharType="separate"/>
      </w:r>
      <w:r w:rsidR="00605DC8">
        <w:rPr>
          <w:noProof/>
        </w:rPr>
        <w:t>(Raghavan, Wei, &amp; Kammen, 2017)</w:t>
      </w:r>
      <w:r w:rsidR="00605DC8">
        <w:fldChar w:fldCharType="end"/>
      </w:r>
      <w:r w:rsidR="0058664E">
        <w:t xml:space="preserve"> . </w:t>
      </w:r>
      <w:r w:rsidR="005F06A0" w:rsidRPr="00F53D99">
        <w:t xml:space="preserve">The </w:t>
      </w:r>
      <w:r w:rsidR="005A0339">
        <w:t xml:space="preserve">global </w:t>
      </w:r>
      <w:r w:rsidR="005F06A0" w:rsidRPr="00F53D99">
        <w:t>data for electricity and natural gas</w:t>
      </w:r>
      <w:r w:rsidR="005F06A0" w:rsidRPr="00F53D99">
        <w:rPr>
          <w:rFonts w:hint="eastAsia"/>
        </w:rPr>
        <w:t>’</w:t>
      </w:r>
      <w:r w:rsidR="005F06A0" w:rsidRPr="00F53D99">
        <w:t xml:space="preserve">s share of conventional water heating </w:t>
      </w:r>
      <w:r w:rsidR="0058664E">
        <w:t>were</w:t>
      </w:r>
      <w:r w:rsidR="005F06A0" w:rsidRPr="00F53D99">
        <w:t xml:space="preserve"> obtained from IEA </w:t>
      </w:r>
      <w:r w:rsidR="00A243CC" w:rsidRPr="00177418">
        <w:t>(Anselm Eisentraut &amp; Adam Brown, 2014)</w:t>
      </w:r>
      <w:r w:rsidR="005A0339">
        <w:t xml:space="preserve">. Regional </w:t>
      </w:r>
      <w:r w:rsidR="005A0339" w:rsidRPr="00097C8C">
        <w:t>data was obtained from Natural Resources Canada</w:t>
      </w:r>
      <w:r w:rsidR="00590422" w:rsidRPr="00097C8C">
        <w:t xml:space="preserve"> </w:t>
      </w:r>
      <w:r w:rsidR="00590422" w:rsidRPr="00097C8C">
        <w:fldChar w:fldCharType="begin"/>
      </w:r>
      <w:r w:rsidR="00590422" w:rsidRPr="00097C8C">
        <w:instrText xml:space="preserve"> ADDIN ZOTERO_ITEM CSL_CITATION {"citationID":"hA2BvtjL","properties":{"formattedCitation":"(Natural Resource Canada, 2018; Natural Resources Canada, 2017)","plainCitation":"(Natural Resource Canada, 2018; Natural Resources Canada, 2017)","noteIndex":0},"citationItems":[{"id":2497,"uris":["http://zotero.org/groups/2241931/items/BRZTU4TZ"],"uri":["http://zotero.org/groups/2241931/items/BRZTU4TZ"],"itemData":{"id":2497,"type":"report","title":"Energy and Greenhouse Gas Emissions (GHGs)","URL":"https://www.nrcan.gc.ca/energy/facts/energy-ghgs/20063","author":[{"literal":"Natural Resources Canada"}],"issued":{"date-parts":[["2017"]]}}},{"id":2499,"uris":["http://zotero.org/groups/2241931/items/K97AKEBE"],"uri":["http://zotero.org/groups/2241931/items/K97AKEBE"],"itemData":{"id":2499,"type":"webpage","title":"</w:instrText>
      </w:r>
      <w:r w:rsidR="00590422" w:rsidRPr="008052C3">
        <w:rPr>
          <w:lang w:val="pt-PT"/>
        </w:rPr>
        <w:instrText xml:space="preserve">Residential Water Heating Energy Use and Water Heater Stock Share","container-title":"Natural Resource Canada","genre":"NRCAN","URL":"http://oee.nrcan.gc.ca/corporate/statistics/neud/dpa/showTable.cfm?type=HB&amp;sector=res&amp;juris=00&amp;rn=17&amp;page=0","author":[{"literal":"Natural Resource Canada"}],"issued":{"date-parts":[["2018"]]}}}],"schema":"https://github.com/citation-style-language/schema/raw/master/csl-citation.json"} </w:instrText>
      </w:r>
      <w:r w:rsidR="00590422" w:rsidRPr="00097C8C">
        <w:fldChar w:fldCharType="separate"/>
      </w:r>
      <w:r w:rsidR="00590422" w:rsidRPr="008052C3">
        <w:rPr>
          <w:noProof/>
          <w:lang w:val="pt-PT"/>
        </w:rPr>
        <w:t>(Natural Resource Canada, 2018; Natural Resources Canada, 2017)</w:t>
      </w:r>
      <w:r w:rsidR="00590422" w:rsidRPr="00097C8C">
        <w:fldChar w:fldCharType="end"/>
      </w:r>
      <w:r w:rsidR="00590422" w:rsidRPr="008052C3">
        <w:rPr>
          <w:lang w:val="pt-PT"/>
        </w:rPr>
        <w:t xml:space="preserve"> and Brazil</w:t>
      </w:r>
      <w:r w:rsidR="006A7003" w:rsidRPr="008052C3">
        <w:rPr>
          <w:lang w:val="pt-PT"/>
        </w:rPr>
        <w:t xml:space="preserve"> </w:t>
      </w:r>
      <w:r w:rsidR="006A7003" w:rsidRPr="00097C8C">
        <w:fldChar w:fldCharType="begin"/>
      </w:r>
      <w:r w:rsidR="006A7003" w:rsidRPr="008052C3">
        <w:rPr>
          <w:lang w:val="pt-PT"/>
        </w:rPr>
        <w:instrText xml:space="preserve"> ADDIN ZOTERO_ITEM CSL_CITATION {"citationID":"Nnwk9lIc","properties":{"formattedCitation":"(Matos, Briga-Sa, Bentes, Faria, &amp; </w:instrText>
      </w:r>
      <w:r w:rsidR="006A7003" w:rsidRPr="00E96156">
        <w:rPr>
          <w:lang w:val="pt-PT"/>
        </w:rPr>
        <w:instrText xml:space="preserve">Pereira, 2017)","plainCitation":"(Matos, Briga-Sa, Bentes, Faria, &amp; Pereira, 2017)","noteIndex":0},"citationItems":[{"id":2501,"uris":["http://zotero.org/groups/2241931/items/FI8BW46M"],"uri":["http://zotero.org/groups/2241931/items/FI8BW46M"],"itemData":{"id":2501,"type":"article-journal","title":"In situ evaluation of water and energy consumptions at the end use level: The influence of flow reducers and temperature in baths","container-title":"Science of The Total Environment","page":"536-541","volume":"586","DOI":"https://doi.org/10.1016/j.scitotenv.2017.02.008","author":[{"family":"Matos","given":"C"},{"family":"Briga-Sa","given":"A"},{"family":"Bentes","given":"I"},{"family":"Faria","given":"D"},{"family":"Pereira","given":"S"}],"issued":{"date-parts":[["2017"]]}}}],"schema":"https://github.com/citation-style-language/schema/raw/master/csl-citation.json"} </w:instrText>
      </w:r>
      <w:r w:rsidR="006A7003" w:rsidRPr="00097C8C">
        <w:fldChar w:fldCharType="separate"/>
      </w:r>
      <w:r w:rsidR="006A7003" w:rsidRPr="00E96156">
        <w:rPr>
          <w:noProof/>
          <w:lang w:val="pt-PT"/>
        </w:rPr>
        <w:t>(Matos, Briga-Sa, Bentes, Faria, &amp; Pereira, 2017)</w:t>
      </w:r>
      <w:r w:rsidR="006A7003" w:rsidRPr="00097C8C">
        <w:fldChar w:fldCharType="end"/>
      </w:r>
      <w:r w:rsidR="005A0339" w:rsidRPr="00E96156">
        <w:rPr>
          <w:lang w:val="pt-PT"/>
        </w:rPr>
        <w:t xml:space="preserve">. </w:t>
      </w:r>
      <w:r w:rsidR="0031128F" w:rsidRPr="00097C8C">
        <w:t>The conversion factor for collector area to solar thermal capacity was obtained from IEA</w:t>
      </w:r>
      <w:r w:rsidR="00455656" w:rsidRPr="00097C8C">
        <w:t>.</w:t>
      </w:r>
    </w:p>
    <w:p w14:paraId="3F6B79A0" w14:textId="39D66D9C" w:rsidR="00DF4904" w:rsidRPr="00177418" w:rsidRDefault="00686965" w:rsidP="00E07370">
      <w:pPr>
        <w:pStyle w:val="Heading2"/>
      </w:pPr>
      <w:bookmarkStart w:id="44" w:name="_Toc44510665"/>
      <w:r w:rsidRPr="00177418">
        <w:t>Total Addressable Market</w:t>
      </w:r>
      <w:bookmarkEnd w:id="44"/>
    </w:p>
    <w:p w14:paraId="47E6E7BF" w14:textId="15FC9572" w:rsidR="00B11032" w:rsidRPr="00177418" w:rsidRDefault="00B11032" w:rsidP="00E07370">
      <w:r w:rsidRPr="00177418">
        <w:t xml:space="preserve">The Total Addressable Market (TAM) for Solar hot water depends on the total domestic hot water demand. The SHW model uses data </w:t>
      </w:r>
      <w:r w:rsidR="00563B93" w:rsidRPr="00177418">
        <w:t>from Energy</w:t>
      </w:r>
      <w:r w:rsidR="002F4ACA" w:rsidRPr="00177418">
        <w:t xml:space="preserve"> </w:t>
      </w:r>
      <w:r w:rsidR="00AF79F4" w:rsidRPr="00177418">
        <w:t xml:space="preserve">Technology Perspectives </w:t>
      </w:r>
      <w:r w:rsidR="00D95968" w:rsidRPr="00177418">
        <w:t>(2016 and 2017 versions)</w:t>
      </w:r>
      <w:r w:rsidR="004D47FF" w:rsidRPr="00177418">
        <w:t xml:space="preserve">, </w:t>
      </w:r>
      <w:r w:rsidR="00351CDA" w:rsidRPr="00F53D99">
        <w:t>Ürge-Vorsatz</w:t>
      </w:r>
      <w:r w:rsidR="00351CDA" w:rsidRPr="00177418" w:rsidDel="00351CDA">
        <w:t xml:space="preserve"> </w:t>
      </w:r>
      <w:r w:rsidR="000E3091" w:rsidRPr="00177418">
        <w:t>(2015</w:t>
      </w:r>
      <w:r w:rsidR="002F4ACA" w:rsidRPr="00177418">
        <w:t>)</w:t>
      </w:r>
      <w:r w:rsidR="004D47FF" w:rsidRPr="00177418">
        <w:t xml:space="preserve"> and </w:t>
      </w:r>
      <w:r w:rsidR="004D47FF" w:rsidRPr="00F53D99">
        <w:rPr>
          <w:rFonts w:ascii="TimesNewRomanPSMT" w:hAnsi="TimesNewRomanPSMT"/>
        </w:rPr>
        <w:t>G</w:t>
      </w:r>
      <w:r w:rsidR="00372935">
        <w:rPr>
          <w:rFonts w:ascii="TimesNewRomanPSMT" w:hAnsi="TimesNewRomanPSMT"/>
        </w:rPr>
        <w:t>BPN</w:t>
      </w:r>
      <w:r w:rsidR="006A7003">
        <w:rPr>
          <w:rFonts w:ascii="TimesNewRomanPSMT" w:hAnsi="TimesNewRomanPSMT"/>
        </w:rPr>
        <w:t xml:space="preserve"> </w:t>
      </w:r>
      <w:r w:rsidR="006A7003">
        <w:rPr>
          <w:rFonts w:ascii="TimesNewRomanPSMT" w:hAnsi="TimesNewRomanPSMT"/>
        </w:rPr>
        <w:fldChar w:fldCharType="begin"/>
      </w:r>
      <w:r w:rsidR="006A7003">
        <w:rPr>
          <w:rFonts w:ascii="TimesNewRomanPSMT" w:hAnsi="TimesNewRomanPSMT"/>
        </w:rPr>
        <w:instrText xml:space="preserve"> ADDIN ZOTERO_ITEM CSL_CITATION {"citationID":"psc7kBQe","properties":{"formattedCitation":"(\\uc0\\u8220{}Tool for Building Energy Performance Scenarios | Global Buildings Performance Network,\\uc0\\u8221{} 2015)","plainCitation":"(</w:instrText>
      </w:r>
      <w:r w:rsidR="006A7003">
        <w:rPr>
          <w:rFonts w:ascii="TimesNewRomanPSMT" w:hAnsi="TimesNewRomanPSMT" w:hint="eastAsia"/>
        </w:rPr>
        <w:instrText>“</w:instrText>
      </w:r>
      <w:r w:rsidR="006A7003">
        <w:rPr>
          <w:rFonts w:ascii="TimesNewRomanPSMT" w:hAnsi="TimesNewRomanPSMT"/>
        </w:rPr>
        <w:instrText>Tool for Building Energy Performance Scenarios | Global Buildings Performance Network,</w:instrText>
      </w:r>
      <w:r w:rsidR="006A7003">
        <w:rPr>
          <w:rFonts w:ascii="TimesNewRomanPSMT" w:hAnsi="TimesNewRomanPSMT" w:hint="eastAsia"/>
        </w:rPr>
        <w:instrText>”</w:instrText>
      </w:r>
      <w:r w:rsidR="006A7003">
        <w:rPr>
          <w:rFonts w:ascii="TimesNewRomanPSMT" w:hAnsi="TimesNewRomanPSMT"/>
        </w:rPr>
        <w:instrText xml:space="preserve"> 2015)","noteIndex":0},"citationItems":[{"id":878,"uris":["http://zotero.org/groups/2241931/items/LH5MKEV8"],"uri":["http://zotero.org/groups/2241931/items/LH5MKEV8"],"itemData":{"id":878,"type":"webpage","title":"Tool for Building Energy Performance Scenarios | Global Buildings Performance Network","URL":"http://www.gbpn.org/databases-tools/mrv-tool/about","issued":{"date-parts":[["2015",6,30]]},"accessed":{"date-parts":[["2015",6,30]]}}}],"schema":"https://github.com/citation-style-language/schema/raw/master/csl-citation.json"} </w:instrText>
      </w:r>
      <w:r w:rsidR="006A7003">
        <w:rPr>
          <w:rFonts w:ascii="TimesNewRomanPSMT" w:hAnsi="TimesNewRomanPSMT"/>
        </w:rPr>
        <w:fldChar w:fldCharType="separate"/>
      </w:r>
      <w:r w:rsidR="006A7003" w:rsidRPr="003F5943">
        <w:rPr>
          <w:rFonts w:ascii="TimesNewRomanPSMT" w:hAnsi="TimesNewRomanPSMT"/>
        </w:rPr>
        <w:t>(“Tool for Building Energy Performance Scenarios | Global Buildings Performance Network,” 2015)</w:t>
      </w:r>
      <w:r w:rsidR="006A7003">
        <w:rPr>
          <w:rFonts w:ascii="TimesNewRomanPSMT" w:hAnsi="TimesNewRomanPSMT"/>
        </w:rPr>
        <w:fldChar w:fldCharType="end"/>
      </w:r>
      <w:r w:rsidR="001C1E53">
        <w:rPr>
          <w:rFonts w:ascii="TimesNewRomanPSMT" w:hAnsi="TimesNewRomanPSMT"/>
        </w:rPr>
        <w:t xml:space="preserve">. </w:t>
      </w:r>
      <w:r w:rsidR="000652D3" w:rsidRPr="00177418">
        <w:t>A sensitivity analysis of these sources</w:t>
      </w:r>
      <w:r w:rsidRPr="00177418">
        <w:t xml:space="preserve"> allows the selection of a trend line and rate of TAM growth through 2060. </w:t>
      </w:r>
      <w:r w:rsidR="000E3091" w:rsidRPr="00F53D99">
        <w:rPr>
          <w:rFonts w:ascii="TimesNewRomanPSMT" w:hAnsi="TimesNewRomanPSMT"/>
        </w:rPr>
        <w:t>A 3</w:t>
      </w:r>
      <w:r w:rsidR="00351CDA" w:rsidRPr="00F53D99">
        <w:rPr>
          <w:rFonts w:ascii="TimesNewRomanPSMT" w:hAnsi="TimesNewRomanPSMT"/>
          <w:vertAlign w:val="superscript"/>
        </w:rPr>
        <w:t>rd</w:t>
      </w:r>
      <w:r w:rsidR="00351CDA">
        <w:rPr>
          <w:rFonts w:ascii="TimesNewRomanPSMT" w:hAnsi="TimesNewRomanPSMT"/>
        </w:rPr>
        <w:t xml:space="preserve"> degree</w:t>
      </w:r>
      <w:r w:rsidR="000E3091" w:rsidRPr="00F53D99">
        <w:rPr>
          <w:rFonts w:ascii="TimesNewRomanPSMT" w:hAnsi="TimesNewRomanPSMT"/>
          <w:position w:val="8"/>
        </w:rPr>
        <w:t xml:space="preserve"> </w:t>
      </w:r>
      <w:r w:rsidR="000E3091" w:rsidRPr="00F53D99">
        <w:rPr>
          <w:rFonts w:ascii="TimesNewRomanPSMT" w:hAnsi="TimesNewRomanPSMT"/>
        </w:rPr>
        <w:t xml:space="preserve">polynomial curve </w:t>
      </w:r>
      <w:r w:rsidR="002F4ACA" w:rsidRPr="00F53D99">
        <w:rPr>
          <w:rFonts w:ascii="TimesNewRomanPSMT" w:hAnsi="TimesNewRomanPSMT"/>
        </w:rPr>
        <w:t>was</w:t>
      </w:r>
      <w:r w:rsidR="000E3091" w:rsidRPr="00F53D99">
        <w:rPr>
          <w:rFonts w:ascii="TimesNewRomanPSMT" w:hAnsi="TimesNewRomanPSMT"/>
        </w:rPr>
        <w:t xml:space="preserve"> used to project future </w:t>
      </w:r>
      <w:r w:rsidR="002F4ACA" w:rsidRPr="00F53D99">
        <w:rPr>
          <w:rFonts w:ascii="TimesNewRomanPSMT" w:hAnsi="TimesNewRomanPSMT"/>
        </w:rPr>
        <w:t>hot water demand</w:t>
      </w:r>
      <w:r w:rsidR="000E3091" w:rsidRPr="00F53D99">
        <w:rPr>
          <w:rFonts w:ascii="TimesNewRomanPSMT" w:hAnsi="TimesNewRomanPSMT"/>
        </w:rPr>
        <w:t xml:space="preserve">. </w:t>
      </w:r>
      <w:r w:rsidR="00815A50" w:rsidRPr="00F53D99">
        <w:rPr>
          <w:rFonts w:ascii="TimesNewRomanPSMT" w:hAnsi="TimesNewRomanPSMT"/>
        </w:rPr>
        <w:t>Water heating energy use</w:t>
      </w:r>
      <w:r w:rsidR="004D47FF" w:rsidRPr="00F53D99">
        <w:rPr>
          <w:rFonts w:ascii="TimesNewRomanPSMT" w:hAnsi="TimesNewRomanPSMT"/>
        </w:rPr>
        <w:t xml:space="preserve"> per square meter</w:t>
      </w:r>
      <w:r w:rsidR="00815A50" w:rsidRPr="00F53D99">
        <w:rPr>
          <w:rFonts w:ascii="TimesNewRomanPSMT" w:hAnsi="TimesNewRomanPSMT"/>
        </w:rPr>
        <w:t xml:space="preserve"> data from </w:t>
      </w:r>
      <w:r w:rsidR="00351CDA" w:rsidRPr="00F53D99">
        <w:t>Ürge-Vorsatz</w:t>
      </w:r>
      <w:r w:rsidR="00351CDA" w:rsidRPr="00260F6C" w:rsidDel="00351CDA">
        <w:rPr>
          <w:rFonts w:ascii="TimesNewRomanPSMT" w:hAnsi="TimesNewRomanPSMT"/>
        </w:rPr>
        <w:t xml:space="preserve"> </w:t>
      </w:r>
      <w:r w:rsidR="00815A50" w:rsidRPr="00F53D99">
        <w:rPr>
          <w:rFonts w:ascii="TimesNewRomanPSMT" w:hAnsi="TimesNewRomanPSMT"/>
        </w:rPr>
        <w:t xml:space="preserve">(2015) </w:t>
      </w:r>
      <w:r w:rsidR="004D47FF" w:rsidRPr="00F53D99">
        <w:rPr>
          <w:rFonts w:ascii="TimesNewRomanPSMT" w:hAnsi="TimesNewRomanPSMT"/>
        </w:rPr>
        <w:t xml:space="preserve">and </w:t>
      </w:r>
      <w:r w:rsidR="00342E80" w:rsidRPr="00F53D99">
        <w:rPr>
          <w:rFonts w:ascii="TimesNewRomanPSMT" w:hAnsi="TimesNewRomanPSMT"/>
        </w:rPr>
        <w:t>areas</w:t>
      </w:r>
      <w:r w:rsidR="001135EA" w:rsidRPr="00F53D99">
        <w:rPr>
          <w:rFonts w:ascii="TimesNewRomanPSMT" w:hAnsi="TimesNewRomanPSMT"/>
        </w:rPr>
        <w:t xml:space="preserve"> were derived from </w:t>
      </w:r>
      <w:r w:rsidR="004D47FF" w:rsidRPr="00F53D99">
        <w:rPr>
          <w:rFonts w:ascii="TimesNewRomanPSMT" w:hAnsi="TimesNewRomanPSMT"/>
        </w:rPr>
        <w:t>GBPN</w:t>
      </w:r>
      <w:r w:rsidR="00342E80" w:rsidRPr="00F53D99">
        <w:rPr>
          <w:rFonts w:ascii="TimesNewRomanPSMT" w:hAnsi="TimesNewRomanPSMT"/>
        </w:rPr>
        <w:t xml:space="preserve"> and IEA</w:t>
      </w:r>
      <w:r w:rsidR="001135EA" w:rsidRPr="00F53D99">
        <w:rPr>
          <w:rFonts w:ascii="TimesNewRomanPSMT" w:hAnsi="TimesNewRomanPSMT"/>
        </w:rPr>
        <w:t>,</w:t>
      </w:r>
      <w:r w:rsidR="004D47FF" w:rsidRPr="00F53D99">
        <w:rPr>
          <w:rFonts w:ascii="TimesNewRomanPSMT" w:hAnsi="TimesNewRomanPSMT"/>
        </w:rPr>
        <w:t xml:space="preserve"> </w:t>
      </w:r>
      <w:r w:rsidR="00342E80" w:rsidRPr="00F53D99">
        <w:rPr>
          <w:rFonts w:ascii="TimesNewRomanPSMT" w:hAnsi="TimesNewRomanPSMT"/>
        </w:rPr>
        <w:t xml:space="preserve">in </w:t>
      </w:r>
      <w:r w:rsidR="00815A50" w:rsidRPr="00F53D99">
        <w:rPr>
          <w:rFonts w:ascii="TimesNewRomanPSMT" w:hAnsi="TimesNewRomanPSMT"/>
        </w:rPr>
        <w:t xml:space="preserve">2 different </w:t>
      </w:r>
      <w:r w:rsidR="00563B93" w:rsidRPr="00F53D99">
        <w:rPr>
          <w:rFonts w:ascii="TimesNewRomanPSMT" w:hAnsi="TimesNewRomanPSMT"/>
        </w:rPr>
        <w:t>scenarios to</w:t>
      </w:r>
      <w:r w:rsidR="00815A50" w:rsidRPr="00F53D99">
        <w:rPr>
          <w:rFonts w:ascii="TimesNewRomanPSMT" w:hAnsi="TimesNewRomanPSMT"/>
        </w:rPr>
        <w:t xml:space="preserve"> calculate </w:t>
      </w:r>
      <w:r w:rsidR="00342E80" w:rsidRPr="00F53D99">
        <w:rPr>
          <w:rFonts w:ascii="TimesNewRomanPSMT" w:hAnsi="TimesNewRomanPSMT"/>
        </w:rPr>
        <w:t xml:space="preserve">the different </w:t>
      </w:r>
      <w:r w:rsidR="00815A50" w:rsidRPr="00F53D99">
        <w:rPr>
          <w:rFonts w:ascii="TimesNewRomanPSMT" w:hAnsi="TimesNewRomanPSMT"/>
        </w:rPr>
        <w:t xml:space="preserve">TAM </w:t>
      </w:r>
      <w:r w:rsidR="00342E80" w:rsidRPr="00F53D99">
        <w:rPr>
          <w:rFonts w:ascii="TimesNewRomanPSMT" w:hAnsi="TimesNewRomanPSMT"/>
        </w:rPr>
        <w:t>datasets</w:t>
      </w:r>
      <w:r w:rsidR="00815A50" w:rsidRPr="00F53D99">
        <w:rPr>
          <w:rFonts w:ascii="TimesNewRomanPSMT" w:hAnsi="TimesNewRomanPSMT"/>
        </w:rPr>
        <w:t xml:space="preserve">. </w:t>
      </w:r>
      <w:r w:rsidR="006A7EDB" w:rsidRPr="00F53D99">
        <w:rPr>
          <w:rFonts w:ascii="TimesNewRomanPSMT" w:hAnsi="TimesNewRomanPSMT"/>
        </w:rPr>
        <w:t xml:space="preserve">A total of 8 projections were derived from </w:t>
      </w:r>
      <w:r w:rsidR="004D47FF" w:rsidRPr="00F53D99">
        <w:rPr>
          <w:rFonts w:ascii="TimesNewRomanPSMT" w:hAnsi="TimesNewRomanPSMT"/>
        </w:rPr>
        <w:t>these sources</w:t>
      </w:r>
      <w:r w:rsidR="006A7EDB" w:rsidRPr="00F53D99">
        <w:rPr>
          <w:rFonts w:ascii="TimesNewRomanPSMT" w:hAnsi="TimesNewRomanPSMT"/>
        </w:rPr>
        <w:t xml:space="preserve"> for different scenarios</w:t>
      </w:r>
      <w:r w:rsidR="00845CFC">
        <w:rPr>
          <w:rFonts w:ascii="TimesNewRomanPSMT" w:hAnsi="TimesNewRomanPSMT"/>
        </w:rPr>
        <w:t>.</w:t>
      </w:r>
      <w:r w:rsidR="00DC5C43">
        <w:rPr>
          <w:rFonts w:ascii="TimesNewRomanPSMT" w:hAnsi="TimesNewRomanPSMT"/>
        </w:rPr>
        <w:t xml:space="preserve"> For the most climate-aggressive cases, the final </w:t>
      </w:r>
      <w:r w:rsidR="00DC5C43">
        <w:rPr>
          <w:rFonts w:ascii="TimesNewRomanPSMT" w:hAnsi="TimesNewRomanPSMT"/>
        </w:rPr>
        <w:lastRenderedPageBreak/>
        <w:t>energy water heating demand actually declines in later years representing high efficiency technolog</w:t>
      </w:r>
      <w:r w:rsidR="00DC5C43">
        <w:rPr>
          <w:rFonts w:ascii="TimesNewRomanPSMT" w:hAnsi="TimesNewRomanPSMT" w:hint="eastAsia"/>
        </w:rPr>
        <w:t>y</w:t>
      </w:r>
      <w:r w:rsidR="00DC5C43">
        <w:rPr>
          <w:rFonts w:ascii="TimesNewRomanPSMT" w:hAnsi="TimesNewRomanPSMT"/>
        </w:rPr>
        <w:t xml:space="preserve"> adoption broadly.</w:t>
      </w:r>
    </w:p>
    <w:p w14:paraId="4303D5C0" w14:textId="73B6CC64" w:rsidR="00B144E5" w:rsidRPr="00177418" w:rsidRDefault="00686965" w:rsidP="00E07370">
      <w:pPr>
        <w:pStyle w:val="Heading2"/>
      </w:pPr>
      <w:bookmarkStart w:id="45" w:name="_Toc853659"/>
      <w:bookmarkStart w:id="46" w:name="_Toc857842"/>
      <w:bookmarkStart w:id="47" w:name="_Toc857931"/>
      <w:bookmarkStart w:id="48" w:name="_Toc858020"/>
      <w:bookmarkStart w:id="49" w:name="_Toc858109"/>
      <w:bookmarkStart w:id="50" w:name="_Toc858202"/>
      <w:bookmarkStart w:id="51" w:name="_Toc894213"/>
      <w:bookmarkStart w:id="52" w:name="_Toc894408"/>
      <w:bookmarkStart w:id="53" w:name="_Toc44510666"/>
      <w:bookmarkEnd w:id="45"/>
      <w:bookmarkEnd w:id="46"/>
      <w:bookmarkEnd w:id="47"/>
      <w:bookmarkEnd w:id="48"/>
      <w:bookmarkEnd w:id="49"/>
      <w:bookmarkEnd w:id="50"/>
      <w:bookmarkEnd w:id="51"/>
      <w:bookmarkEnd w:id="52"/>
      <w:r w:rsidRPr="00177418">
        <w:t>Adoption Scenarios</w:t>
      </w:r>
      <w:bookmarkEnd w:id="53"/>
    </w:p>
    <w:p w14:paraId="710B9070" w14:textId="529FB31D" w:rsidR="00616583" w:rsidRPr="00177418" w:rsidRDefault="00FB2C53" w:rsidP="00E07370">
      <w:bookmarkStart w:id="54" w:name="_Hlk525033174"/>
      <w:r w:rsidRPr="00177418">
        <w:t xml:space="preserve">Two different types of adoption scenarios were developed: </w:t>
      </w:r>
      <w:r w:rsidR="006B28EA" w:rsidRPr="00177418">
        <w:t>A</w:t>
      </w:r>
      <w:r w:rsidRPr="00177418">
        <w:t xml:space="preserve"> Reference (REF) Case which was considered the baseline, where not much changes in the world,</w:t>
      </w:r>
      <w:r w:rsidR="00616583" w:rsidRPr="00177418">
        <w:t xml:space="preserve"> </w:t>
      </w:r>
      <w:r w:rsidRPr="00177418">
        <w:t xml:space="preserve">and a set of Project Drawdown Scenarios (PDS) with varying levels of adoption of the solution. </w:t>
      </w:r>
      <w:r w:rsidR="00B714BA">
        <w:t>Each p</w:t>
      </w:r>
      <w:r w:rsidRPr="00177418">
        <w:t>ublished result show</w:t>
      </w:r>
      <w:r w:rsidR="00B714BA">
        <w:t>s</w:t>
      </w:r>
      <w:r w:rsidRPr="00177418">
        <w:t xml:space="preserve"> the comparison of one PDS to the REF, and therefore focus</w:t>
      </w:r>
      <w:r w:rsidR="00B714BA">
        <w:t>es</w:t>
      </w:r>
      <w:r w:rsidRPr="00177418">
        <w:t xml:space="preserve"> on the change to the world relative to a baseline.</w:t>
      </w:r>
      <w:r w:rsidR="00D1085D">
        <w:t xml:space="preserve"> </w:t>
      </w:r>
      <w:r w:rsidR="00616583" w:rsidRPr="001E0920">
        <w:rPr>
          <w:rFonts w:ascii="TimesNewRomanPSMT" w:hAnsi="TimesNewRomanPSMT"/>
        </w:rPr>
        <w:t>IEA</w:t>
      </w:r>
      <w:r w:rsidR="00845CFC">
        <w:rPr>
          <w:rFonts w:ascii="TimesNewRomanPSMT" w:hAnsi="TimesNewRomanPSMT"/>
        </w:rPr>
        <w:t>’s Energy Technology perspectives</w:t>
      </w:r>
      <w:r w:rsidR="00616583" w:rsidRPr="001E0920">
        <w:rPr>
          <w:rFonts w:ascii="TimesNewRomanPSMT" w:hAnsi="TimesNewRomanPSMT"/>
        </w:rPr>
        <w:t xml:space="preserve"> </w:t>
      </w:r>
      <w:r w:rsidR="006B0C3E" w:rsidRPr="001E0920">
        <w:rPr>
          <w:rFonts w:ascii="TimesNewRomanPSMT" w:hAnsi="TimesNewRomanPSMT"/>
        </w:rPr>
        <w:t xml:space="preserve">(2012) </w:t>
      </w:r>
      <w:r w:rsidR="00372935">
        <w:rPr>
          <w:rFonts w:ascii="TimesNewRomanPSMT" w:hAnsi="TimesNewRomanPSMT"/>
        </w:rPr>
        <w:fldChar w:fldCharType="begin"/>
      </w:r>
      <w:r w:rsidR="00372935">
        <w:rPr>
          <w:rFonts w:ascii="TimesNewRomanPSMT" w:hAnsi="TimesNewRomanPSMT"/>
        </w:rPr>
        <w:instrText xml:space="preserve"> ADDIN ZOTERO_ITEM CSL_CITATION {"citationID":"C0mkP868","properties":{"formattedCitation":"(IEA, 2012)","plainCitation":"(IEA, 2012)","noteIndex":0},"citationItems":[{"id":104,"uris":["http://zotero.org/groups/2241931/items/9R6R5BWK"],"uri":["http://zotero.org/groups/2241931/items/9R6R5BWK"],"itemData":{"id":104,"type":"book","title":"Energy Technology Perspectives 2012: Pathways to a clean energy system","publisher":"International Energy Agency","publisher-place":"Paris","source":"Open WorldCat","event-place":"Paris","URL":"http://www.iea.org/publications/freepublications/publication/ETP2012_free.pdf","ISBN":"978-92-64-17488-7","language":"English","author":[{"literal":"IEA"}],"issued":{"date-parts":[["2012"]]}}}],"schema":"https://github.com/citation-style-language/schema/raw/master/csl-citation.json"} </w:instrText>
      </w:r>
      <w:r w:rsidR="00372935">
        <w:rPr>
          <w:rFonts w:ascii="TimesNewRomanPSMT" w:hAnsi="TimesNewRomanPSMT"/>
        </w:rPr>
        <w:fldChar w:fldCharType="separate"/>
      </w:r>
      <w:r w:rsidR="00372935">
        <w:rPr>
          <w:rFonts w:ascii="TimesNewRomanPSMT" w:hAnsi="TimesNewRomanPSMT"/>
          <w:noProof/>
        </w:rPr>
        <w:t>(IEA, 2012)</w:t>
      </w:r>
      <w:r w:rsidR="00372935">
        <w:rPr>
          <w:rFonts w:ascii="TimesNewRomanPSMT" w:hAnsi="TimesNewRomanPSMT"/>
        </w:rPr>
        <w:fldChar w:fldCharType="end"/>
      </w:r>
      <w:r w:rsidR="0090000F">
        <w:rPr>
          <w:rFonts w:ascii="TimesNewRomanPSMT" w:hAnsi="TimesNewRomanPSMT"/>
        </w:rPr>
        <w:t xml:space="preserve"> </w:t>
      </w:r>
      <w:r w:rsidR="00616583" w:rsidRPr="001E0920">
        <w:rPr>
          <w:rFonts w:ascii="TimesNewRomanPSMT" w:hAnsi="TimesNewRomanPSMT"/>
        </w:rPr>
        <w:t>provide the best estimates for future growth of DS</w:t>
      </w:r>
      <w:r w:rsidR="006B0C3E" w:rsidRPr="001E0920">
        <w:rPr>
          <w:rFonts w:ascii="TimesNewRomanPSMT" w:hAnsi="TimesNewRomanPSMT"/>
        </w:rPr>
        <w:t>HWS. There is a lack of additional global data for growth of solar water heaters through 2060</w:t>
      </w:r>
      <w:r w:rsidR="00616583" w:rsidRPr="001E0920">
        <w:rPr>
          <w:rFonts w:ascii="TimesNewRomanPSMT" w:hAnsi="TimesNewRomanPSMT"/>
        </w:rPr>
        <w:t xml:space="preserve">. </w:t>
      </w:r>
      <w:r w:rsidR="00B467E5">
        <w:rPr>
          <w:rFonts w:ascii="TimesNewRomanPSMT" w:hAnsi="TimesNewRomanPSMT"/>
        </w:rPr>
        <w:t xml:space="preserve">Since the </w:t>
      </w:r>
      <w:r w:rsidR="00FF7453">
        <w:rPr>
          <w:rFonts w:ascii="TimesNewRomanPSMT" w:hAnsi="TimesNewRomanPSMT"/>
        </w:rPr>
        <w:t>solution is modeled as a supplementary technology, but the solution variables apply to a unit of solar water heating only (rather than a combination of SWH and a conventional technology), adoption here represents only the fraction of total water heating that is captured by SWH (which can only be a fraction of a single home’s heating demand considering the supplementary status of the technology.</w:t>
      </w:r>
      <w:r w:rsidR="00C92689">
        <w:rPr>
          <w:rFonts w:ascii="TimesNewRomanPSMT" w:hAnsi="TimesNewRomanPSMT"/>
        </w:rPr>
        <w:t xml:space="preserve"> Adoption by definition therefore can never reach 100%.</w:t>
      </w:r>
    </w:p>
    <w:p w14:paraId="5BB095A5" w14:textId="7CF6F8CC" w:rsidR="000875B5" w:rsidRPr="00177418" w:rsidRDefault="000875B5" w:rsidP="00E07370">
      <w:pPr>
        <w:pStyle w:val="Heading3"/>
      </w:pPr>
      <w:bookmarkStart w:id="55" w:name="_Toc44510667"/>
      <w:bookmarkEnd w:id="54"/>
      <w:r w:rsidRPr="00177418">
        <w:t>Reference Case / Current Adoption</w:t>
      </w:r>
      <w:bookmarkEnd w:id="55"/>
    </w:p>
    <w:p w14:paraId="23A90DB4" w14:textId="349DF63A" w:rsidR="006B0C3E" w:rsidRPr="001E0920" w:rsidRDefault="006B0C3E" w:rsidP="00E07370">
      <w:r w:rsidRPr="001E0920">
        <w:t xml:space="preserve">This model defines the REF adoption scenario as a fixed percentage of TAM over the modeling period, using the percentage of adoption in the </w:t>
      </w:r>
      <w:r w:rsidR="00C90F03">
        <w:t>current</w:t>
      </w:r>
      <w:r w:rsidRPr="001E0920">
        <w:t>-year</w:t>
      </w:r>
      <w:r w:rsidR="00C90F03">
        <w:t xml:space="preserve"> (2018)</w:t>
      </w:r>
      <w:r w:rsidRPr="001E0920">
        <w:t xml:space="preserve"> as the fixed percentage of TAM projecting forward. </w:t>
      </w:r>
    </w:p>
    <w:p w14:paraId="2FE0BC9D" w14:textId="10096525" w:rsidR="000875B5" w:rsidRPr="00177418" w:rsidRDefault="00D2050B" w:rsidP="00E07370">
      <w:pPr>
        <w:pStyle w:val="Heading3"/>
      </w:pPr>
      <w:bookmarkStart w:id="56" w:name="_Toc44510668"/>
      <w:r w:rsidRPr="00177418">
        <w:t>Project Drawdown</w:t>
      </w:r>
      <w:r w:rsidR="000875B5" w:rsidRPr="00177418">
        <w:t xml:space="preserve"> Scenarios</w:t>
      </w:r>
      <w:bookmarkEnd w:id="56"/>
    </w:p>
    <w:p w14:paraId="2D0D37BE" w14:textId="1262378E" w:rsidR="00FB2C53" w:rsidRPr="00177418" w:rsidRDefault="000875B5" w:rsidP="00E07370">
      <w:r w:rsidRPr="00177418">
        <w:t>Three Project Dr</w:t>
      </w:r>
      <w:r w:rsidR="005A6986" w:rsidRPr="00177418">
        <w:t xml:space="preserve">awdown </w:t>
      </w:r>
      <w:r w:rsidR="0090000F">
        <w:t>S</w:t>
      </w:r>
      <w:r w:rsidR="007546C9" w:rsidRPr="00177418">
        <w:t xml:space="preserve">cenarios (PDS) </w:t>
      </w:r>
      <w:r w:rsidR="005A6986" w:rsidRPr="00177418">
        <w:t>were developed for each solution, to compare the impact of an increase</w:t>
      </w:r>
      <w:r w:rsidR="00AC493E" w:rsidRPr="00177418">
        <w:t>d</w:t>
      </w:r>
      <w:r w:rsidR="005A6986" w:rsidRPr="00177418">
        <w:t xml:space="preserve"> adoption of the solution to a reference case scenario</w:t>
      </w:r>
      <w:r w:rsidR="004B140B" w:rsidRPr="00177418">
        <w:t>.</w:t>
      </w:r>
      <w:r w:rsidR="00A9321C">
        <w:t xml:space="preserve"> </w:t>
      </w:r>
      <w:bookmarkStart w:id="57" w:name="_Toc507486009"/>
      <w:r w:rsidR="0094302B">
        <w:t>There is a lack of data availability</w:t>
      </w:r>
      <w:r w:rsidR="00C378AE" w:rsidRPr="00177418">
        <w:t xml:space="preserve"> on projections of roof-top solar water heating systems for the </w:t>
      </w:r>
      <w:r w:rsidR="00EF6E84" w:rsidRPr="00177418">
        <w:t>PDS</w:t>
      </w:r>
      <w:r w:rsidR="00C378AE" w:rsidRPr="00177418">
        <w:t xml:space="preserve"> adoption scenarios. </w:t>
      </w:r>
      <w:r w:rsidR="00E80FDA">
        <w:t>Multiple scenarios were developed and tested and the most appropriate ones were selected for the PDS scenarios as described below</w:t>
      </w:r>
      <w:r w:rsidR="00C378AE" w:rsidRPr="00177418">
        <w:t xml:space="preserve">. </w:t>
      </w:r>
      <w:r w:rsidR="00FF16B5">
        <w:t>For each scenario, a second degree polynomial was</w:t>
      </w:r>
      <w:r w:rsidR="00455C2F">
        <w:t xml:space="preserve"> used.</w:t>
      </w:r>
    </w:p>
    <w:p w14:paraId="62220AEE" w14:textId="77777777" w:rsidR="00B63A75" w:rsidRPr="003F5943" w:rsidRDefault="00AC493E" w:rsidP="00E07370">
      <w:pPr>
        <w:pStyle w:val="Heading4"/>
      </w:pPr>
      <w:r w:rsidRPr="003F5943">
        <w:t>Plausible Scenario</w:t>
      </w:r>
      <w:bookmarkEnd w:id="57"/>
    </w:p>
    <w:p w14:paraId="629F5C12" w14:textId="1A371F15" w:rsidR="00C253E3" w:rsidRPr="003F5943" w:rsidRDefault="00C253E3" w:rsidP="00E07370">
      <w:pPr>
        <w:rPr>
          <w:rFonts w:asciiTheme="majorHAnsi" w:eastAsiaTheme="majorEastAsia" w:hAnsiTheme="majorHAnsi" w:cstheme="majorBidi"/>
          <w:b/>
          <w:bCs/>
          <w:i/>
          <w:iCs/>
          <w:color w:val="FF0000"/>
        </w:rPr>
      </w:pPr>
      <w:r w:rsidRPr="003F5943">
        <w:rPr>
          <w:rFonts w:ascii="TimesNewRomanPSMT" w:hAnsi="TimesNewRomanPSMT"/>
        </w:rPr>
        <w:t xml:space="preserve">The </w:t>
      </w:r>
      <w:r w:rsidRPr="003F5943">
        <w:t>Plausible</w:t>
      </w:r>
      <w:r w:rsidR="006542B6" w:rsidRPr="003F5943">
        <w:t xml:space="preserve"> scenario compares baseline TAM cases to custom PDS low growth adoption projection that assumes </w:t>
      </w:r>
      <w:r w:rsidR="00BB3B42">
        <w:t>15</w:t>
      </w:r>
      <w:r w:rsidR="006542B6" w:rsidRPr="003F5943">
        <w:t>% of 2050 baseline TAM cases by 2050</w:t>
      </w:r>
      <w:r w:rsidR="002D0EFD">
        <w:t xml:space="preserve">. This scenario is a low growth </w:t>
      </w:r>
      <w:r w:rsidR="00191C10">
        <w:t>scenario,</w:t>
      </w:r>
      <w:r w:rsidR="002D0EFD">
        <w:t xml:space="preserve"> so it </w:t>
      </w:r>
      <w:r w:rsidR="009A6AAE">
        <w:t>is projected</w:t>
      </w:r>
      <w:r w:rsidR="002D0EFD">
        <w:t xml:space="preserve"> to reach </w:t>
      </w:r>
      <w:r w:rsidR="00BB3B42">
        <w:t>50</w:t>
      </w:r>
      <w:r w:rsidR="002D0EFD">
        <w:t xml:space="preserve">% of the </w:t>
      </w:r>
      <w:r w:rsidR="009A6AAE">
        <w:t>final percent adoption</w:t>
      </w:r>
      <w:r w:rsidR="007E1A65">
        <w:t xml:space="preserve"> by 2030.</w:t>
      </w:r>
    </w:p>
    <w:p w14:paraId="7481C662" w14:textId="6276F463" w:rsidR="00AC493E" w:rsidRDefault="00B63A75" w:rsidP="00E07370">
      <w:pPr>
        <w:pStyle w:val="Heading4"/>
      </w:pPr>
      <w:r w:rsidRPr="003F5943">
        <w:lastRenderedPageBreak/>
        <w:t>Drawdown Scenario</w:t>
      </w:r>
    </w:p>
    <w:p w14:paraId="088A5A07" w14:textId="6D7AABC5" w:rsidR="006542B6" w:rsidRPr="000F46EE" w:rsidRDefault="006542B6" w:rsidP="00E07370">
      <w:r w:rsidRPr="006542B6">
        <w:t xml:space="preserve">This scenario compares conservative TAM </w:t>
      </w:r>
      <w:r w:rsidR="000D37E4">
        <w:t>projections</w:t>
      </w:r>
      <w:r w:rsidRPr="006542B6">
        <w:t xml:space="preserve"> with conservative custom PDS adoption </w:t>
      </w:r>
      <w:r w:rsidR="006F7A90">
        <w:t xml:space="preserve">conservative </w:t>
      </w:r>
      <w:r w:rsidRPr="006542B6">
        <w:t>projection (late growth)</w:t>
      </w:r>
      <w:r>
        <w:t xml:space="preserve"> </w:t>
      </w:r>
      <w:r w:rsidRPr="006542B6">
        <w:t xml:space="preserve">assuming an adoption </w:t>
      </w:r>
      <w:r w:rsidR="009A6AAE">
        <w:t xml:space="preserve">of </w:t>
      </w:r>
      <w:r w:rsidRPr="006542B6">
        <w:t xml:space="preserve">30% of TAM </w:t>
      </w:r>
      <w:r w:rsidR="009A6AAE">
        <w:t>in</w:t>
      </w:r>
      <w:r w:rsidRPr="006542B6">
        <w:t xml:space="preserve"> 2050.</w:t>
      </w:r>
      <w:r w:rsidR="007E1A65">
        <w:t xml:space="preserve"> This scenario is a late growth scenario. It assumes that </w:t>
      </w:r>
      <w:r w:rsidR="00691A17">
        <w:t>45</w:t>
      </w:r>
      <w:r w:rsidR="007E1A65">
        <w:t>% of its targeted adoption will be reached by 2030.</w:t>
      </w:r>
      <w:r w:rsidRPr="006542B6">
        <w:t xml:space="preserve"> This scenario (late growth projection) was chosen over an early growth conservative adoption projection considering the recent declines in adoption of SWH in the high adoption regions.</w:t>
      </w:r>
    </w:p>
    <w:p w14:paraId="0A63923E" w14:textId="6718BA30" w:rsidR="00AC493E" w:rsidRDefault="00B63A75" w:rsidP="00E07370">
      <w:pPr>
        <w:pStyle w:val="Heading4"/>
      </w:pPr>
      <w:r w:rsidRPr="003F5943">
        <w:t>Optimum Scenario</w:t>
      </w:r>
    </w:p>
    <w:p w14:paraId="3AABB75A" w14:textId="7F14D8A0" w:rsidR="00953C47" w:rsidRPr="000F46EE" w:rsidRDefault="00953C47" w:rsidP="00E07370">
      <w:r w:rsidRPr="00953C47">
        <w:t xml:space="preserve">This scenario compares the average of all baseline TAM </w:t>
      </w:r>
      <w:r w:rsidR="00EB76CD">
        <w:t xml:space="preserve">projections </w:t>
      </w:r>
      <w:r w:rsidRPr="00953C47">
        <w:t>with an ag</w:t>
      </w:r>
      <w:r>
        <w:t>g</w:t>
      </w:r>
      <w:r w:rsidRPr="00953C47">
        <w:t xml:space="preserve">ressive high growth custom PDS adoption projection assuming </w:t>
      </w:r>
      <w:r>
        <w:t>to reach</w:t>
      </w:r>
      <w:r w:rsidRPr="00953C47">
        <w:t xml:space="preserve"> 50% of TAM </w:t>
      </w:r>
      <w:r w:rsidR="009A6AAE">
        <w:t>in</w:t>
      </w:r>
      <w:r w:rsidRPr="00953C47">
        <w:t xml:space="preserve"> 2050.</w:t>
      </w:r>
      <w:r w:rsidR="007E1A65">
        <w:t xml:space="preserve"> It also assumes that </w:t>
      </w:r>
      <w:r w:rsidR="00F53A0C">
        <w:t>70</w:t>
      </w:r>
      <w:r w:rsidR="007E1A65">
        <w:t>% of the targeted adoption will be reached by 2030.</w:t>
      </w:r>
    </w:p>
    <w:p w14:paraId="5B61B0F2" w14:textId="3B8B1224" w:rsidR="00FB2C53" w:rsidRPr="00177418" w:rsidRDefault="00686965" w:rsidP="00E07370">
      <w:pPr>
        <w:pStyle w:val="Heading2"/>
      </w:pPr>
      <w:bookmarkStart w:id="58" w:name="_Toc894217"/>
      <w:bookmarkStart w:id="59" w:name="_Toc894412"/>
      <w:bookmarkStart w:id="60" w:name="_Toc535941782"/>
      <w:bookmarkStart w:id="61" w:name="_Toc535941783"/>
      <w:bookmarkStart w:id="62" w:name="_Toc535941784"/>
      <w:bookmarkStart w:id="63" w:name="_Toc44510669"/>
      <w:bookmarkEnd w:id="58"/>
      <w:bookmarkEnd w:id="59"/>
      <w:bookmarkEnd w:id="60"/>
      <w:bookmarkEnd w:id="61"/>
      <w:bookmarkEnd w:id="62"/>
      <w:r w:rsidRPr="00177418">
        <w:t>Inputs</w:t>
      </w:r>
      <w:bookmarkEnd w:id="63"/>
    </w:p>
    <w:p w14:paraId="3EBCEF57" w14:textId="364CDB7E" w:rsidR="00FB3AB3" w:rsidRPr="00177418" w:rsidRDefault="00686965" w:rsidP="00E07370">
      <w:pPr>
        <w:pStyle w:val="Heading3"/>
      </w:pPr>
      <w:bookmarkStart w:id="64" w:name="_Toc44510670"/>
      <w:r w:rsidRPr="00177418">
        <w:t>Climate Inputs</w:t>
      </w:r>
      <w:bookmarkEnd w:id="64"/>
    </w:p>
    <w:p w14:paraId="0192A45A" w14:textId="182ADC3D" w:rsidR="00671F20" w:rsidRDefault="00B878D4" w:rsidP="00E07370">
      <w:r w:rsidRPr="00E96C93">
        <w:t xml:space="preserve">Total emissions reduction is a linear sum of the emissions reduction from each modelled source: grid, fuel, and indirect sources. </w:t>
      </w:r>
      <w:r>
        <w:t xml:space="preserve">Grid and fuel emissions come from emissions factors applied to the avoided consumption of electricity and fuel (energy consumption variables are listed in the </w:t>
      </w:r>
      <w:r>
        <w:fldChar w:fldCharType="begin"/>
      </w:r>
      <w:r>
        <w:instrText xml:space="preserve"> REF _Ref2239214 \h </w:instrText>
      </w:r>
      <w:r>
        <w:fldChar w:fldCharType="separate"/>
      </w:r>
      <w:r w:rsidR="001142D0" w:rsidRPr="00177418">
        <w:t>Technical Inputs</w:t>
      </w:r>
      <w:r>
        <w:fldChar w:fldCharType="end"/>
      </w:r>
      <w:r>
        <w:t xml:space="preserve"> Section)</w:t>
      </w:r>
      <w:r w:rsidR="0012184A" w:rsidRPr="009403A2">
        <w:t>. Emissions factors for electricity generation are derived from the projected energy generation mix from three AMPERE RefPol scenarios in IPCC AR5 model Database (GEM3, IMAGE, MESSAGE) and the IE</w:t>
      </w:r>
      <w:r w:rsidR="00A25814">
        <w:t>A’</w:t>
      </w:r>
      <w:r w:rsidR="0012184A" w:rsidRPr="009403A2">
        <w:t xml:space="preserve">s ETP 6DS scenario, and direct/indirect emissions factors by generation type taken from the IPCC AR5 Model Database, AMPERE3-MESSAGE Base scenario. The reader should note that since this combined reference projection includes a shift away from coal and oil to natural gas, the emissions factors decline over the analysis period. Fuel emissions factors are calculated using the methodology recommended in the 2006 IPCC Guidelines for National Greenhouse Gas Inventories, Volume 2, Annex 1. The values used are shown in </w:t>
      </w:r>
      <w:r w:rsidR="003D2C3F" w:rsidRPr="003B30E8">
        <w:fldChar w:fldCharType="begin"/>
      </w:r>
      <w:r w:rsidR="003D2C3F" w:rsidRPr="003D2C3F">
        <w:instrText xml:space="preserve"> REF _Ref535836453 \h </w:instrText>
      </w:r>
      <w:r w:rsidR="003D2C3F">
        <w:instrText xml:space="preserve"> \* MERGEFORMAT </w:instrText>
      </w:r>
      <w:r w:rsidR="003D2C3F" w:rsidRPr="003B30E8">
        <w:fldChar w:fldCharType="separate"/>
      </w:r>
      <w:r w:rsidR="001142D0" w:rsidRPr="006831EE">
        <w:t xml:space="preserve">Table </w:t>
      </w:r>
      <w:r w:rsidR="001142D0">
        <w:rPr>
          <w:noProof/>
        </w:rPr>
        <w:t>2</w:t>
      </w:r>
      <w:r w:rsidR="001142D0" w:rsidRPr="006831EE">
        <w:rPr>
          <w:noProof/>
        </w:rPr>
        <w:t>.</w:t>
      </w:r>
      <w:r w:rsidR="001142D0">
        <w:rPr>
          <w:noProof/>
        </w:rPr>
        <w:t>1</w:t>
      </w:r>
      <w:r w:rsidR="003D2C3F" w:rsidRPr="003B30E8">
        <w:fldChar w:fldCharType="end"/>
      </w:r>
      <w:r w:rsidR="0012184A" w:rsidRPr="009403A2">
        <w:t xml:space="preserve">. </w:t>
      </w:r>
    </w:p>
    <w:p w14:paraId="694D12C9" w14:textId="52265C91" w:rsidR="00260D4A" w:rsidRPr="00177418" w:rsidRDefault="00A9321C" w:rsidP="00E07370">
      <w:r>
        <w:t xml:space="preserve">Data on </w:t>
      </w:r>
      <w:r w:rsidR="001673ED">
        <w:t>i</w:t>
      </w:r>
      <w:r w:rsidR="007D623A" w:rsidRPr="00177418">
        <w:t>ndirect emissions</w:t>
      </w:r>
      <w:r w:rsidR="00F43740">
        <w:t xml:space="preserve"> </w:t>
      </w:r>
      <w:r w:rsidR="001673ED">
        <w:t xml:space="preserve">was obtained for both conventional and solar </w:t>
      </w:r>
      <w:r w:rsidR="00F43740">
        <w:t>water heaters</w:t>
      </w:r>
      <w:r w:rsidR="00934407">
        <w:t>.</w:t>
      </w:r>
    </w:p>
    <w:p w14:paraId="40D21BAD" w14:textId="4A0CEA6F" w:rsidR="004508F8" w:rsidRPr="00177418" w:rsidRDefault="002178D8" w:rsidP="00E07370">
      <w:pPr>
        <w:pStyle w:val="Heading4"/>
      </w:pPr>
      <w:r w:rsidRPr="00177418">
        <w:t xml:space="preserve"> </w:t>
      </w:r>
      <w:r w:rsidR="004508F8" w:rsidRPr="00177418">
        <w:t>Updating of Grid Emissions Factors</w:t>
      </w:r>
    </w:p>
    <w:p w14:paraId="2BD468BF" w14:textId="3A964B91" w:rsidR="001D4151" w:rsidRPr="00177418" w:rsidRDefault="004508F8" w:rsidP="00E07370">
      <w:r w:rsidRPr="00177418">
        <w:t xml:space="preserve">As electricity sector Drawdown solutions are adopted, the grid becomes cleaner, and the high emissions factor shown in </w:t>
      </w:r>
      <w:r w:rsidR="00BD1B9B" w:rsidRPr="00BD1B9B">
        <w:fldChar w:fldCharType="begin"/>
      </w:r>
      <w:r w:rsidR="00BD1B9B" w:rsidRPr="00BD1B9B">
        <w:instrText xml:space="preserve"> REF _Ref535836453 \h </w:instrText>
      </w:r>
      <w:r w:rsidR="00BD1B9B">
        <w:instrText xml:space="preserve"> \* MERGEFORMAT </w:instrText>
      </w:r>
      <w:r w:rsidR="00BD1B9B" w:rsidRPr="00BD1B9B">
        <w:fldChar w:fldCharType="separate"/>
      </w:r>
      <w:r w:rsidR="001142D0" w:rsidRPr="006831EE">
        <w:t xml:space="preserve">Table </w:t>
      </w:r>
      <w:r w:rsidR="001142D0">
        <w:rPr>
          <w:noProof/>
        </w:rPr>
        <w:t>2</w:t>
      </w:r>
      <w:r w:rsidR="001142D0" w:rsidRPr="006831EE">
        <w:rPr>
          <w:noProof/>
        </w:rPr>
        <w:t>.</w:t>
      </w:r>
      <w:r w:rsidR="001142D0">
        <w:rPr>
          <w:noProof/>
        </w:rPr>
        <w:t>1</w:t>
      </w:r>
      <w:r w:rsidR="00BD1B9B" w:rsidRPr="00BD1B9B">
        <w:fldChar w:fldCharType="end"/>
      </w:r>
      <w:r w:rsidR="00177418" w:rsidRPr="00177418">
        <w:t xml:space="preserve"> </w:t>
      </w:r>
      <w:r w:rsidRPr="00177418">
        <w:t xml:space="preserve">will decline. This is not calculated directly in the model as is considered an integration issue. This is dealt with in the </w:t>
      </w:r>
      <w:r w:rsidRPr="00177418">
        <w:fldChar w:fldCharType="begin"/>
      </w:r>
      <w:r w:rsidRPr="00177418">
        <w:instrText xml:space="preserve"> REF _Ref529192064 \h  \* MERGEFORMAT </w:instrText>
      </w:r>
      <w:r w:rsidRPr="00177418">
        <w:fldChar w:fldCharType="separate"/>
      </w:r>
      <w:r w:rsidR="001142D0" w:rsidRPr="00177418">
        <w:t>Integration</w:t>
      </w:r>
      <w:r w:rsidRPr="00177418">
        <w:fldChar w:fldCharType="end"/>
      </w:r>
      <w:r w:rsidRPr="00177418">
        <w:t xml:space="preserve"> section of this report.</w:t>
      </w:r>
    </w:p>
    <w:p w14:paraId="67ED68E5" w14:textId="3193E04D" w:rsidR="0021082B" w:rsidRPr="006831EE" w:rsidRDefault="004F5425" w:rsidP="006831EE">
      <w:pPr>
        <w:pStyle w:val="Caption"/>
      </w:pPr>
      <w:bookmarkStart w:id="65" w:name="_Ref535836453"/>
      <w:bookmarkStart w:id="66" w:name="_Ref529192052"/>
      <w:bookmarkStart w:id="67" w:name="_Toc44510695"/>
      <w:r w:rsidRPr="006831EE">
        <w:lastRenderedPageBreak/>
        <w:t xml:space="preserve">Table </w:t>
      </w:r>
      <w:r w:rsidR="00E96156">
        <w:rPr>
          <w:noProof/>
        </w:rPr>
        <w:fldChar w:fldCharType="begin"/>
      </w:r>
      <w:r w:rsidR="00E96156">
        <w:rPr>
          <w:noProof/>
        </w:rPr>
        <w:instrText xml:space="preserve"> STYLEREF 1 \s </w:instrText>
      </w:r>
      <w:r w:rsidR="00E96156">
        <w:rPr>
          <w:noProof/>
        </w:rPr>
        <w:fldChar w:fldCharType="separate"/>
      </w:r>
      <w:r w:rsidR="001142D0">
        <w:rPr>
          <w:noProof/>
        </w:rPr>
        <w:t>2</w:t>
      </w:r>
      <w:r w:rsidR="00E96156">
        <w:rPr>
          <w:noProof/>
        </w:rPr>
        <w:fldChar w:fldCharType="end"/>
      </w:r>
      <w:r w:rsidR="008473AD" w:rsidRPr="006831EE">
        <w:t>.</w:t>
      </w:r>
      <w:r w:rsidR="00E96156">
        <w:rPr>
          <w:noProof/>
        </w:rPr>
        <w:fldChar w:fldCharType="begin"/>
      </w:r>
      <w:r w:rsidR="00E96156">
        <w:rPr>
          <w:noProof/>
        </w:rPr>
        <w:instrText xml:space="preserve"> SEQ Table \* ARABIC \s 1 </w:instrText>
      </w:r>
      <w:r w:rsidR="00E96156">
        <w:rPr>
          <w:noProof/>
        </w:rPr>
        <w:fldChar w:fldCharType="separate"/>
      </w:r>
      <w:r w:rsidR="001142D0">
        <w:rPr>
          <w:noProof/>
        </w:rPr>
        <w:t>1</w:t>
      </w:r>
      <w:r w:rsidR="00E96156">
        <w:rPr>
          <w:noProof/>
        </w:rPr>
        <w:fldChar w:fldCharType="end"/>
      </w:r>
      <w:bookmarkEnd w:id="65"/>
      <w:bookmarkEnd w:id="66"/>
      <w:r w:rsidRPr="006831EE">
        <w:t xml:space="preserve"> Climate Inputs</w:t>
      </w:r>
      <w:bookmarkEnd w:id="67"/>
    </w:p>
    <w:tbl>
      <w:tblPr>
        <w:tblStyle w:val="TableGrid"/>
        <w:tblpPr w:leftFromText="180" w:rightFromText="180" w:vertAnchor="text" w:tblpXSpec="center" w:tblpY="375"/>
        <w:tblW w:w="0" w:type="auto"/>
        <w:tblLook w:val="04A0" w:firstRow="1" w:lastRow="0" w:firstColumn="1" w:lastColumn="0" w:noHBand="0" w:noVBand="1"/>
      </w:tblPr>
      <w:tblGrid>
        <w:gridCol w:w="2043"/>
        <w:gridCol w:w="969"/>
        <w:gridCol w:w="1602"/>
        <w:gridCol w:w="1997"/>
        <w:gridCol w:w="1771"/>
        <w:gridCol w:w="968"/>
      </w:tblGrid>
      <w:tr w:rsidR="007E57A6" w:rsidRPr="007E57A6" w14:paraId="25B4B527" w14:textId="77777777" w:rsidTr="007E57A6">
        <w:tc>
          <w:tcPr>
            <w:tcW w:w="0" w:type="auto"/>
            <w:shd w:val="clear" w:color="auto" w:fill="4F81BD" w:themeFill="accent1"/>
            <w:vAlign w:val="center"/>
          </w:tcPr>
          <w:p w14:paraId="07906BCF" w14:textId="77777777" w:rsidR="001D0C31" w:rsidRPr="007E57A6" w:rsidRDefault="001D0C31" w:rsidP="00E07370">
            <w:pPr>
              <w:rPr>
                <w:b/>
                <w:color w:val="FFFFFF" w:themeColor="background1"/>
              </w:rPr>
            </w:pPr>
            <w:r w:rsidRPr="007E57A6">
              <w:rPr>
                <w:b/>
                <w:color w:val="FFFFFF" w:themeColor="background1"/>
              </w:rPr>
              <w:t>Variable</w:t>
            </w:r>
          </w:p>
        </w:tc>
        <w:tc>
          <w:tcPr>
            <w:tcW w:w="0" w:type="auto"/>
            <w:shd w:val="clear" w:color="auto" w:fill="4F81BD" w:themeFill="accent1"/>
            <w:vAlign w:val="center"/>
          </w:tcPr>
          <w:p w14:paraId="4A84949A" w14:textId="77777777" w:rsidR="001D0C31" w:rsidRPr="007E57A6" w:rsidRDefault="001D0C31" w:rsidP="00E07370">
            <w:pPr>
              <w:rPr>
                <w:b/>
                <w:color w:val="FFFFFF" w:themeColor="background1"/>
              </w:rPr>
            </w:pPr>
            <w:r w:rsidRPr="007E57A6">
              <w:rPr>
                <w:b/>
                <w:color w:val="FFFFFF" w:themeColor="background1"/>
              </w:rPr>
              <w:t>Unit</w:t>
            </w:r>
          </w:p>
        </w:tc>
        <w:tc>
          <w:tcPr>
            <w:tcW w:w="0" w:type="auto"/>
            <w:shd w:val="clear" w:color="auto" w:fill="4F81BD" w:themeFill="accent1"/>
            <w:vAlign w:val="center"/>
          </w:tcPr>
          <w:p w14:paraId="5B45BED2" w14:textId="77777777" w:rsidR="001D0C31" w:rsidRPr="007E57A6" w:rsidRDefault="001D0C31" w:rsidP="00E07370">
            <w:pPr>
              <w:rPr>
                <w:b/>
                <w:color w:val="FFFFFF" w:themeColor="background1"/>
              </w:rPr>
            </w:pPr>
            <w:r w:rsidRPr="007E57A6">
              <w:rPr>
                <w:b/>
                <w:color w:val="FFFFFF" w:themeColor="background1"/>
              </w:rPr>
              <w:t xml:space="preserve">Project Drawdown Data Set Range </w:t>
            </w:r>
          </w:p>
        </w:tc>
        <w:tc>
          <w:tcPr>
            <w:tcW w:w="0" w:type="auto"/>
            <w:shd w:val="clear" w:color="auto" w:fill="4F81BD" w:themeFill="accent1"/>
            <w:vAlign w:val="center"/>
          </w:tcPr>
          <w:p w14:paraId="1DB66731" w14:textId="77777777" w:rsidR="001D0C31" w:rsidRPr="007E57A6" w:rsidRDefault="001D0C31" w:rsidP="00E07370">
            <w:pPr>
              <w:rPr>
                <w:b/>
                <w:color w:val="FFFFFF" w:themeColor="background1"/>
              </w:rPr>
            </w:pPr>
            <w:r w:rsidRPr="007E57A6">
              <w:rPr>
                <w:b/>
                <w:color w:val="FFFFFF" w:themeColor="background1"/>
              </w:rPr>
              <w:t xml:space="preserve">Model Input </w:t>
            </w:r>
          </w:p>
        </w:tc>
        <w:tc>
          <w:tcPr>
            <w:tcW w:w="0" w:type="auto"/>
            <w:shd w:val="clear" w:color="auto" w:fill="4F81BD" w:themeFill="accent1"/>
            <w:vAlign w:val="center"/>
          </w:tcPr>
          <w:p w14:paraId="79A181AA" w14:textId="77777777" w:rsidR="001D0C31" w:rsidRPr="007E57A6" w:rsidRDefault="001D0C31" w:rsidP="00E07370">
            <w:pPr>
              <w:rPr>
                <w:b/>
                <w:color w:val="FFFFFF" w:themeColor="background1"/>
              </w:rPr>
            </w:pPr>
            <w:r w:rsidRPr="007E57A6">
              <w:rPr>
                <w:b/>
                <w:color w:val="FFFFFF" w:themeColor="background1"/>
              </w:rPr>
              <w:t>Data Points (#)</w:t>
            </w:r>
          </w:p>
        </w:tc>
        <w:tc>
          <w:tcPr>
            <w:tcW w:w="0" w:type="auto"/>
            <w:shd w:val="clear" w:color="auto" w:fill="4F81BD" w:themeFill="accent1"/>
            <w:vAlign w:val="center"/>
          </w:tcPr>
          <w:p w14:paraId="43F83FCF" w14:textId="77777777" w:rsidR="001D0C31" w:rsidRPr="007E57A6" w:rsidRDefault="001D0C31" w:rsidP="00E07370">
            <w:pPr>
              <w:rPr>
                <w:b/>
                <w:color w:val="FFFFFF" w:themeColor="background1"/>
              </w:rPr>
            </w:pPr>
            <w:r w:rsidRPr="007E57A6">
              <w:rPr>
                <w:b/>
                <w:color w:val="FFFFFF" w:themeColor="background1"/>
              </w:rPr>
              <w:t>Sources (#)</w:t>
            </w:r>
          </w:p>
        </w:tc>
      </w:tr>
      <w:tr w:rsidR="00BA6D9E" w:rsidRPr="006977A2" w14:paraId="0B5A68D1" w14:textId="77777777" w:rsidTr="007E57A6">
        <w:tc>
          <w:tcPr>
            <w:tcW w:w="0" w:type="auto"/>
            <w:vAlign w:val="center"/>
          </w:tcPr>
          <w:p w14:paraId="16EFB3D7" w14:textId="2A4D0D28" w:rsidR="00BA6D9E" w:rsidRPr="006977A2" w:rsidRDefault="00BA6D9E" w:rsidP="00BA6D9E">
            <w:pPr>
              <w:jc w:val="center"/>
            </w:pPr>
            <w:r w:rsidRPr="00B8714F">
              <w:t>Global average REF Grid Emissions Factor</w:t>
            </w:r>
          </w:p>
        </w:tc>
        <w:tc>
          <w:tcPr>
            <w:tcW w:w="0" w:type="auto"/>
            <w:tcMar>
              <w:left w:w="29" w:type="dxa"/>
              <w:right w:w="29" w:type="dxa"/>
            </w:tcMar>
            <w:vAlign w:val="center"/>
          </w:tcPr>
          <w:p w14:paraId="04D302C5" w14:textId="4715044D" w:rsidR="00BA6D9E" w:rsidRPr="006977A2" w:rsidRDefault="00BA6D9E" w:rsidP="00BA6D9E">
            <w:pPr>
              <w:jc w:val="center"/>
            </w:pPr>
            <w:r w:rsidRPr="00B8714F">
              <w:t>g CO2e/</w:t>
            </w:r>
            <w:r>
              <w:t xml:space="preserve"> </w:t>
            </w:r>
            <w:r w:rsidRPr="00B8714F">
              <w:t>kWh</w:t>
            </w:r>
          </w:p>
        </w:tc>
        <w:tc>
          <w:tcPr>
            <w:tcW w:w="0" w:type="auto"/>
            <w:vAlign w:val="center"/>
          </w:tcPr>
          <w:p w14:paraId="2E1DF3DE" w14:textId="61F68F29" w:rsidR="00BA6D9E" w:rsidRPr="006977A2" w:rsidRDefault="00455C2F" w:rsidP="00BA6D9E">
            <w:pPr>
              <w:jc w:val="center"/>
            </w:pPr>
            <w:r>
              <w:t>503-593</w:t>
            </w:r>
          </w:p>
        </w:tc>
        <w:tc>
          <w:tcPr>
            <w:tcW w:w="0" w:type="auto"/>
            <w:vAlign w:val="center"/>
          </w:tcPr>
          <w:p w14:paraId="4E215D3F" w14:textId="634971D2" w:rsidR="00BA6D9E" w:rsidRPr="006977A2" w:rsidRDefault="00BA6D9E" w:rsidP="00BA6D9E">
            <w:pPr>
              <w:jc w:val="center"/>
            </w:pPr>
            <w:r w:rsidRPr="00B8714F">
              <w:t>Depends on year. Starts at High Input in 2020 declines to Low Input in 2050</w:t>
            </w:r>
          </w:p>
        </w:tc>
        <w:tc>
          <w:tcPr>
            <w:tcW w:w="0" w:type="auto"/>
            <w:vAlign w:val="center"/>
          </w:tcPr>
          <w:p w14:paraId="71030C4E" w14:textId="13A0747C" w:rsidR="00BA6D9E" w:rsidRPr="006977A2" w:rsidRDefault="00BA6D9E" w:rsidP="00BA6D9E">
            <w:r w:rsidRPr="00B8714F">
              <w:t>12 each year</w:t>
            </w:r>
          </w:p>
        </w:tc>
        <w:tc>
          <w:tcPr>
            <w:tcW w:w="0" w:type="auto"/>
            <w:vAlign w:val="center"/>
          </w:tcPr>
          <w:p w14:paraId="1CFC050C" w14:textId="0DA181CE" w:rsidR="00BA6D9E" w:rsidRPr="006977A2" w:rsidRDefault="00BA6D9E" w:rsidP="00BA6D9E">
            <w:r w:rsidRPr="00B8714F">
              <w:t>4</w:t>
            </w:r>
          </w:p>
        </w:tc>
      </w:tr>
      <w:tr w:rsidR="00BA6D9E" w:rsidRPr="006977A2" w14:paraId="0033016A" w14:textId="77777777" w:rsidTr="007E57A6">
        <w:tc>
          <w:tcPr>
            <w:tcW w:w="0" w:type="auto"/>
            <w:vAlign w:val="center"/>
          </w:tcPr>
          <w:p w14:paraId="238CCE05" w14:textId="652CB2FF" w:rsidR="00BA6D9E" w:rsidRPr="006977A2" w:rsidRDefault="00BA6D9E" w:rsidP="00BA6D9E">
            <w:pPr>
              <w:jc w:val="center"/>
            </w:pPr>
            <w:r w:rsidRPr="00B8714F">
              <w:t xml:space="preserve">Combined REF </w:t>
            </w:r>
            <w:r>
              <w:t>Water</w:t>
            </w:r>
            <w:r w:rsidRPr="00B8714F">
              <w:t xml:space="preserve"> Heating Fuel Emissions Factor</w:t>
            </w:r>
          </w:p>
        </w:tc>
        <w:tc>
          <w:tcPr>
            <w:tcW w:w="0" w:type="auto"/>
            <w:tcMar>
              <w:left w:w="29" w:type="dxa"/>
              <w:right w:w="29" w:type="dxa"/>
            </w:tcMar>
            <w:vAlign w:val="center"/>
          </w:tcPr>
          <w:p w14:paraId="6BC8513B" w14:textId="22C92909" w:rsidR="00BA6D9E" w:rsidRPr="006977A2" w:rsidRDefault="00BA6D9E" w:rsidP="00BA6D9E">
            <w:pPr>
              <w:jc w:val="center"/>
            </w:pPr>
            <w:r w:rsidRPr="00B8714F">
              <w:t>t CO2e/TJ of fuel</w:t>
            </w:r>
          </w:p>
        </w:tc>
        <w:tc>
          <w:tcPr>
            <w:tcW w:w="0" w:type="auto"/>
            <w:vAlign w:val="center"/>
          </w:tcPr>
          <w:p w14:paraId="7EE14635" w14:textId="1BFC938B" w:rsidR="00BA6D9E" w:rsidRDefault="00455C2F" w:rsidP="00BA6D9E">
            <w:pPr>
              <w:jc w:val="center"/>
            </w:pPr>
            <w:r>
              <w:t>88.6</w:t>
            </w:r>
          </w:p>
        </w:tc>
        <w:tc>
          <w:tcPr>
            <w:tcW w:w="0" w:type="auto"/>
            <w:vAlign w:val="center"/>
          </w:tcPr>
          <w:p w14:paraId="234F502C" w14:textId="6338A4E4" w:rsidR="00BA6D9E" w:rsidRDefault="00BA6D9E" w:rsidP="00BA6D9E">
            <w:pPr>
              <w:jc w:val="center"/>
            </w:pPr>
            <w:r>
              <w:t>8</w:t>
            </w:r>
            <w:r w:rsidR="00455C2F">
              <w:t>8.6</w:t>
            </w:r>
          </w:p>
        </w:tc>
        <w:tc>
          <w:tcPr>
            <w:tcW w:w="0" w:type="auto"/>
            <w:vAlign w:val="center"/>
          </w:tcPr>
          <w:p w14:paraId="34C377A2" w14:textId="1D99073B" w:rsidR="00BA6D9E" w:rsidRDefault="00BA6D9E" w:rsidP="00BA6D9E">
            <w:r>
              <w:t>6</w:t>
            </w:r>
            <w:r w:rsidRPr="00B8714F">
              <w:t xml:space="preserve"> including individual fuel emissions factors and shares</w:t>
            </w:r>
          </w:p>
        </w:tc>
        <w:tc>
          <w:tcPr>
            <w:tcW w:w="0" w:type="auto"/>
            <w:vAlign w:val="center"/>
          </w:tcPr>
          <w:p w14:paraId="49D15EEA" w14:textId="5D66AD58" w:rsidR="00BA6D9E" w:rsidRDefault="00BA6D9E" w:rsidP="00BA6D9E">
            <w:r w:rsidRPr="00B8714F">
              <w:t>1</w:t>
            </w:r>
          </w:p>
        </w:tc>
      </w:tr>
      <w:tr w:rsidR="00BA6D9E" w:rsidRPr="006977A2" w14:paraId="5FE52194" w14:textId="77777777" w:rsidTr="007E57A6">
        <w:tc>
          <w:tcPr>
            <w:tcW w:w="0" w:type="auto"/>
            <w:vAlign w:val="center"/>
          </w:tcPr>
          <w:p w14:paraId="4084ADAF" w14:textId="023D7F6D" w:rsidR="00BA6D9E" w:rsidRPr="006977A2" w:rsidRDefault="00BA6D9E" w:rsidP="00BA6D9E">
            <w:pPr>
              <w:jc w:val="center"/>
            </w:pPr>
            <w:r w:rsidRPr="006977A2">
              <w:t>Indirect CO</w:t>
            </w:r>
            <w:r w:rsidRPr="006977A2">
              <w:rPr>
                <w:vertAlign w:val="subscript"/>
              </w:rPr>
              <w:t xml:space="preserve">2 </w:t>
            </w:r>
            <w:r w:rsidRPr="006977A2">
              <w:t xml:space="preserve">emissions </w:t>
            </w:r>
            <w:r>
              <w:t>(</w:t>
            </w:r>
            <w:r w:rsidRPr="006977A2">
              <w:t>solution</w:t>
            </w:r>
            <w:r>
              <w:t>)</w:t>
            </w:r>
          </w:p>
        </w:tc>
        <w:tc>
          <w:tcPr>
            <w:tcW w:w="0" w:type="auto"/>
            <w:tcMar>
              <w:left w:w="29" w:type="dxa"/>
              <w:right w:w="29" w:type="dxa"/>
            </w:tcMar>
            <w:vAlign w:val="center"/>
          </w:tcPr>
          <w:p w14:paraId="3D07EFC9" w14:textId="0C4E1AB2" w:rsidR="00BA6D9E" w:rsidRPr="006977A2" w:rsidRDefault="00BA6D9E" w:rsidP="00BA6D9E">
            <w:pPr>
              <w:jc w:val="center"/>
            </w:pPr>
            <w:r w:rsidRPr="006977A2">
              <w:t>t CO</w:t>
            </w:r>
            <w:r w:rsidRPr="006977A2">
              <w:rPr>
                <w:vertAlign w:val="subscript"/>
              </w:rPr>
              <w:t>2</w:t>
            </w:r>
            <w:r w:rsidRPr="006977A2">
              <w:t>-eq/ TWh(th)</w:t>
            </w:r>
          </w:p>
        </w:tc>
        <w:tc>
          <w:tcPr>
            <w:tcW w:w="0" w:type="auto"/>
            <w:vAlign w:val="center"/>
          </w:tcPr>
          <w:p w14:paraId="7486CA5B" w14:textId="2B62C495" w:rsidR="00BA6D9E" w:rsidRDefault="00BA6D9E" w:rsidP="00BA6D9E">
            <w:pPr>
              <w:jc w:val="center"/>
            </w:pPr>
            <w:r>
              <w:t>10,200-11,700</w:t>
            </w:r>
          </w:p>
        </w:tc>
        <w:tc>
          <w:tcPr>
            <w:tcW w:w="0" w:type="auto"/>
            <w:vAlign w:val="center"/>
          </w:tcPr>
          <w:p w14:paraId="720E0B2D" w14:textId="071C4F28" w:rsidR="00BA6D9E" w:rsidRDefault="00BA6D9E" w:rsidP="00BA6D9E">
            <w:pPr>
              <w:jc w:val="center"/>
            </w:pPr>
            <w:r>
              <w:t>10,950</w:t>
            </w:r>
          </w:p>
        </w:tc>
        <w:tc>
          <w:tcPr>
            <w:tcW w:w="0" w:type="auto"/>
            <w:vAlign w:val="center"/>
          </w:tcPr>
          <w:p w14:paraId="1FCFC2F2" w14:textId="64155D40" w:rsidR="00BA6D9E" w:rsidRDefault="00BA6D9E" w:rsidP="00BA6D9E">
            <w:r>
              <w:t>2</w:t>
            </w:r>
          </w:p>
        </w:tc>
        <w:tc>
          <w:tcPr>
            <w:tcW w:w="0" w:type="auto"/>
            <w:vAlign w:val="center"/>
          </w:tcPr>
          <w:p w14:paraId="007692AA" w14:textId="22A74CC9" w:rsidR="00BA6D9E" w:rsidRDefault="00BA6D9E" w:rsidP="00BA6D9E">
            <w:r>
              <w:t>1</w:t>
            </w:r>
          </w:p>
        </w:tc>
      </w:tr>
      <w:tr w:rsidR="00BA6D9E" w:rsidRPr="006977A2" w14:paraId="2BE3006E" w14:textId="77777777" w:rsidTr="007E57A6">
        <w:tc>
          <w:tcPr>
            <w:tcW w:w="0" w:type="auto"/>
            <w:vAlign w:val="center"/>
          </w:tcPr>
          <w:p w14:paraId="2673CA08" w14:textId="77777777" w:rsidR="00BA6D9E" w:rsidRPr="006977A2" w:rsidRDefault="00BA6D9E" w:rsidP="00BA6D9E">
            <w:pPr>
              <w:jc w:val="center"/>
            </w:pPr>
            <w:r w:rsidRPr="006977A2">
              <w:t>Indirect CO</w:t>
            </w:r>
            <w:r w:rsidRPr="006977A2">
              <w:rPr>
                <w:vertAlign w:val="subscript"/>
              </w:rPr>
              <w:t>2</w:t>
            </w:r>
            <w:r w:rsidRPr="006977A2">
              <w:t xml:space="preserve"> emissions </w:t>
            </w:r>
            <w:r>
              <w:t>(conventional)</w:t>
            </w:r>
          </w:p>
        </w:tc>
        <w:tc>
          <w:tcPr>
            <w:tcW w:w="0" w:type="auto"/>
            <w:tcMar>
              <w:left w:w="29" w:type="dxa"/>
              <w:right w:w="29" w:type="dxa"/>
            </w:tcMar>
            <w:vAlign w:val="center"/>
          </w:tcPr>
          <w:p w14:paraId="431A5FE9" w14:textId="77777777" w:rsidR="00BA6D9E" w:rsidRPr="006977A2" w:rsidRDefault="00BA6D9E" w:rsidP="00BA6D9E">
            <w:pPr>
              <w:jc w:val="center"/>
            </w:pPr>
            <w:r w:rsidRPr="006977A2">
              <w:t>t CO</w:t>
            </w:r>
            <w:r w:rsidRPr="006977A2">
              <w:rPr>
                <w:vertAlign w:val="subscript"/>
              </w:rPr>
              <w:t>2</w:t>
            </w:r>
            <w:r w:rsidRPr="006977A2">
              <w:t>-eq/ TWh(th)</w:t>
            </w:r>
          </w:p>
        </w:tc>
        <w:tc>
          <w:tcPr>
            <w:tcW w:w="0" w:type="auto"/>
            <w:vAlign w:val="center"/>
          </w:tcPr>
          <w:p w14:paraId="65DE40AA" w14:textId="0CB8C097" w:rsidR="00BA6D9E" w:rsidRPr="006977A2" w:rsidRDefault="00BA6D9E" w:rsidP="00BA6D9E">
            <w:pPr>
              <w:jc w:val="center"/>
            </w:pPr>
            <w:r>
              <w:t>7,880-28,647</w:t>
            </w:r>
          </w:p>
        </w:tc>
        <w:tc>
          <w:tcPr>
            <w:tcW w:w="0" w:type="auto"/>
            <w:vAlign w:val="center"/>
          </w:tcPr>
          <w:p w14:paraId="1A639D7D" w14:textId="4B476ED9" w:rsidR="00BA6D9E" w:rsidRPr="006977A2" w:rsidRDefault="00BA6D9E" w:rsidP="00BA6D9E">
            <w:pPr>
              <w:jc w:val="center"/>
            </w:pPr>
            <w:r>
              <w:t>18,263</w:t>
            </w:r>
          </w:p>
        </w:tc>
        <w:tc>
          <w:tcPr>
            <w:tcW w:w="0" w:type="auto"/>
            <w:vAlign w:val="center"/>
          </w:tcPr>
          <w:p w14:paraId="7A9D952E" w14:textId="37C082CE" w:rsidR="00BA6D9E" w:rsidRPr="006977A2" w:rsidRDefault="00BA6D9E" w:rsidP="00BA6D9E">
            <w:r>
              <w:t>4</w:t>
            </w:r>
          </w:p>
        </w:tc>
        <w:tc>
          <w:tcPr>
            <w:tcW w:w="0" w:type="auto"/>
            <w:vAlign w:val="center"/>
          </w:tcPr>
          <w:p w14:paraId="0A70FE93" w14:textId="6F66E57C" w:rsidR="00BA6D9E" w:rsidRPr="006977A2" w:rsidRDefault="00BA6D9E" w:rsidP="00BA6D9E">
            <w:r>
              <w:t>1</w:t>
            </w:r>
          </w:p>
        </w:tc>
      </w:tr>
    </w:tbl>
    <w:p w14:paraId="722549C6" w14:textId="77777777" w:rsidR="003432AE" w:rsidRPr="003F5943" w:rsidRDefault="003432AE" w:rsidP="00E07370">
      <w:pPr>
        <w:rPr>
          <w:lang w:eastAsia="en-US"/>
        </w:rPr>
      </w:pPr>
    </w:p>
    <w:p w14:paraId="1FA1D1A0" w14:textId="7F01DF22" w:rsidR="004508F8" w:rsidRPr="00D1085D" w:rsidRDefault="004508F8" w:rsidP="00E07370">
      <w:r w:rsidRPr="00D1085D">
        <w:t xml:space="preserve">Sources: </w:t>
      </w:r>
      <w:r w:rsidR="00F248E0" w:rsidRPr="00D1085D">
        <w:t xml:space="preserve">Generation mixes from the AMPERE/MESSAGE WG3 BAU scenario, direct and indirect emission factors by fuel from the IPCC WG3 Annex III Table A.III.2 </w:t>
      </w:r>
    </w:p>
    <w:p w14:paraId="44CA1A82" w14:textId="2FB5BDDA" w:rsidR="005C6EC2" w:rsidRPr="00A16CDE" w:rsidRDefault="003922A1" w:rsidP="00E07370">
      <w:r w:rsidRPr="00A16CDE">
        <w:t xml:space="preserve">Note: </w:t>
      </w:r>
      <w:r w:rsidR="00D25FC7" w:rsidRPr="00A16CDE">
        <w:t>Project Drawdown data</w:t>
      </w:r>
      <w:r w:rsidRPr="00A16CDE">
        <w:t xml:space="preserve"> set range </w:t>
      </w:r>
      <w:r w:rsidR="005C6EC2" w:rsidRPr="00A16CDE">
        <w:t xml:space="preserve">is </w:t>
      </w:r>
      <w:r w:rsidR="0069014F" w:rsidRPr="00A16CDE">
        <w:t xml:space="preserve">defined by </w:t>
      </w:r>
      <w:r w:rsidR="00AB783D" w:rsidRPr="00A16CDE">
        <w:t xml:space="preserve">the low and high boundaries which are respectively 1 standard deviation below and above the mean of the </w:t>
      </w:r>
      <w:r w:rsidR="004C2EA3" w:rsidRPr="00A16CDE">
        <w:t>collected data</w:t>
      </w:r>
      <w:r w:rsidR="00AB783D" w:rsidRPr="00A16CDE">
        <w:t xml:space="preserve"> points.</w:t>
      </w:r>
    </w:p>
    <w:p w14:paraId="24C491B8" w14:textId="272625E6" w:rsidR="00F52595" w:rsidRPr="00177418" w:rsidRDefault="00686965" w:rsidP="00E07370">
      <w:pPr>
        <w:pStyle w:val="Heading3"/>
      </w:pPr>
      <w:bookmarkStart w:id="68" w:name="_Toc44510671"/>
      <w:r w:rsidRPr="00177418">
        <w:t>Financial Inputs</w:t>
      </w:r>
      <w:bookmarkEnd w:id="68"/>
    </w:p>
    <w:p w14:paraId="3C1DB5AF" w14:textId="7E06C1CF" w:rsidR="00F20BB9" w:rsidRDefault="00F20BB9" w:rsidP="00F20BB9">
      <w:pPr>
        <w:pStyle w:val="Heading4"/>
      </w:pPr>
      <w:r>
        <w:t>First Cost for Solution</w:t>
      </w:r>
    </w:p>
    <w:p w14:paraId="6462A5B7" w14:textId="48609415" w:rsidR="00B25F51" w:rsidRPr="00177418" w:rsidRDefault="002A3792" w:rsidP="00E07370">
      <w:r w:rsidRPr="00A16CDE">
        <w:t xml:space="preserve">To calculate operating costs from residential hot water consumption in both the PDS </w:t>
      </w:r>
      <w:r w:rsidR="006F1425">
        <w:t xml:space="preserve">and the REF </w:t>
      </w:r>
      <w:r w:rsidRPr="00A16CDE">
        <w:t>scenario</w:t>
      </w:r>
      <w:r w:rsidR="006F1425">
        <w:t>s</w:t>
      </w:r>
      <w:r w:rsidRPr="00A16CDE">
        <w:t>, the model uses a range of simulated energy savings estimates</w:t>
      </w:r>
      <w:r w:rsidR="00934407">
        <w:t xml:space="preserve">. </w:t>
      </w:r>
      <w:r w:rsidR="00921C6E">
        <w:t>I</w:t>
      </w:r>
      <w:r w:rsidR="001649E9" w:rsidRPr="00177418">
        <w:t xml:space="preserve">n the optimistic adoption scenario for solar water heaters </w:t>
      </w:r>
      <w:r w:rsidR="00921C6E">
        <w:t xml:space="preserve">it is </w:t>
      </w:r>
      <w:r w:rsidR="001649E9" w:rsidRPr="00177418">
        <w:t>assume</w:t>
      </w:r>
      <w:r w:rsidR="00921C6E">
        <w:t>d</w:t>
      </w:r>
      <w:r w:rsidR="001649E9" w:rsidRPr="00177418">
        <w:t xml:space="preserve"> </w:t>
      </w:r>
      <w:r w:rsidR="001649E9" w:rsidRPr="003F5943">
        <w:t>that the size of electric and g</w:t>
      </w:r>
      <w:r w:rsidR="001649E9" w:rsidRPr="00177418">
        <w:t xml:space="preserve">as boilers will be the same as in the </w:t>
      </w:r>
      <w:r w:rsidR="00EF6E84" w:rsidRPr="00177418">
        <w:t>REF</w:t>
      </w:r>
      <w:r w:rsidR="001649E9" w:rsidRPr="00177418">
        <w:t xml:space="preserve"> scenario. This is because these boilers will have to cater to peak load in the chance that hot water is needed when the sun is not shining. However, the increase in deployment of solar water heaters will supply more heat where possible. This is why the conventional first cost in the methodology was assumed to be 0. </w:t>
      </w:r>
    </w:p>
    <w:p w14:paraId="242F581D" w14:textId="2E37C21B" w:rsidR="00921C6E" w:rsidRDefault="001649E9" w:rsidP="00E07370">
      <w:r w:rsidRPr="00177418">
        <w:lastRenderedPageBreak/>
        <w:t xml:space="preserve">Recent capital cost estimates from several data sources: IEA Solar Heating and Cooling, REN21, presenting data for all regions contained in the analysis were used to determine the average capital cost of roof-top solar water heating systems. </w:t>
      </w:r>
      <w:r w:rsidR="00FA5A41" w:rsidRPr="00177418">
        <w:t>I</w:t>
      </w:r>
      <w:r w:rsidRPr="00177418">
        <w:t xml:space="preserve">nstallation cost ranges from </w:t>
      </w:r>
      <w:r w:rsidR="00FA5A41" w:rsidRPr="00177418">
        <w:t xml:space="preserve">approximately </w:t>
      </w:r>
      <w:r w:rsidRPr="00177418">
        <w:t>USD 100/kW (th) to USD 2,400/kW (th) (IEA, 2012) for different regions.</w:t>
      </w:r>
    </w:p>
    <w:p w14:paraId="2C1E4726" w14:textId="5B72D06F" w:rsidR="0011209F" w:rsidRPr="00177418" w:rsidRDefault="0011209F" w:rsidP="0011209F">
      <w:pPr>
        <w:pStyle w:val="Heading4"/>
      </w:pPr>
      <w:r>
        <w:t>Learning Rate</w:t>
      </w:r>
      <w:r w:rsidR="00F20BB9">
        <w:t xml:space="preserve"> for Solution</w:t>
      </w:r>
    </w:p>
    <w:p w14:paraId="6E6E8235" w14:textId="26621E1F" w:rsidR="00F20BB9" w:rsidRDefault="00962909" w:rsidP="00E07370">
      <w:r w:rsidRPr="00E96156">
        <w:t>A learning rate for solar water heater</w:t>
      </w:r>
      <w:r w:rsidR="0076047F">
        <w:t>s</w:t>
      </w:r>
      <w:r w:rsidRPr="00E96156">
        <w:t xml:space="preserve"> has </w:t>
      </w:r>
      <w:r w:rsidR="0076047F">
        <w:t xml:space="preserve">not been identified in the literature. Solar PV has been studied in greater volume and its learning rate has </w:t>
      </w:r>
      <w:r w:rsidRPr="00545459">
        <w:t>been estimated at 72%</w:t>
      </w:r>
      <w:r w:rsidR="0076047F" w:rsidRPr="00545459">
        <w:t xml:space="preserve">. Unlike Solar PV however, solar water heating has not received as much innovation and hence is unlikely to have such an impressive learning rate. </w:t>
      </w:r>
      <w:r w:rsidRPr="00545459">
        <w:t xml:space="preserve"> </w:t>
      </w:r>
      <w:r w:rsidR="00545459" w:rsidRPr="00545459">
        <w:t>Therefore,</w:t>
      </w:r>
      <w:r w:rsidR="0076047F" w:rsidRPr="00545459">
        <w:t xml:space="preserve"> a more conservative learning rate of 95% was used for solar water heating. </w:t>
      </w:r>
      <w:r w:rsidRPr="00545459">
        <w:t xml:space="preserve">On availability of better data learning rate is expected to improve. </w:t>
      </w:r>
    </w:p>
    <w:p w14:paraId="1D2A646E" w14:textId="7C9B3D86" w:rsidR="00F20BB9" w:rsidRDefault="00F20BB9" w:rsidP="00F20BB9">
      <w:pPr>
        <w:pStyle w:val="Heading4"/>
      </w:pPr>
      <w:r>
        <w:t>First Costs for Conventional</w:t>
      </w:r>
    </w:p>
    <w:p w14:paraId="0049D4D0" w14:textId="5345025D" w:rsidR="00921C6E" w:rsidRDefault="001649E9" w:rsidP="00E07370">
      <w:r w:rsidRPr="00545459">
        <w:t xml:space="preserve">As solar hot water systems often </w:t>
      </w:r>
      <w:r w:rsidR="00962909" w:rsidRPr="00545459">
        <w:t xml:space="preserve">require </w:t>
      </w:r>
      <w:r w:rsidRPr="00545459">
        <w:t xml:space="preserve">supplemental </w:t>
      </w:r>
      <w:r w:rsidR="00962909" w:rsidRPr="00545459">
        <w:t>technology (</w:t>
      </w:r>
      <w:r w:rsidRPr="00545459">
        <w:t>conventional heating</w:t>
      </w:r>
      <w:r w:rsidR="00962909" w:rsidRPr="00545459">
        <w:t>)</w:t>
      </w:r>
      <w:r w:rsidRPr="00545459">
        <w:t>, and cannot completely</w:t>
      </w:r>
      <w:r w:rsidRPr="00E96156">
        <w:t xml:space="preserve"> replace conventional heating, </w:t>
      </w:r>
      <w:r w:rsidR="00FE276F" w:rsidRPr="00E96156">
        <w:t xml:space="preserve">a </w:t>
      </w:r>
      <w:r w:rsidRPr="00E96156">
        <w:t xml:space="preserve">first cost for conventional systems </w:t>
      </w:r>
      <w:r w:rsidR="00FE276F" w:rsidRPr="00E96156">
        <w:t xml:space="preserve">is not applied </w:t>
      </w:r>
      <w:r w:rsidRPr="00E96156">
        <w:t xml:space="preserve">as an assumption: those systems are both in </w:t>
      </w:r>
      <w:r w:rsidR="00EF6E84" w:rsidRPr="00E96156">
        <w:t>REF</w:t>
      </w:r>
      <w:r w:rsidRPr="00E96156">
        <w:t xml:space="preserve"> and </w:t>
      </w:r>
      <w:r w:rsidR="00EF6E84" w:rsidRPr="00E96156">
        <w:t>PDS</w:t>
      </w:r>
      <w:r w:rsidRPr="00E96156">
        <w:t xml:space="preserve"> scenarios and so there is no difference between scenarios</w:t>
      </w:r>
      <w:r w:rsidR="00962909" w:rsidRPr="00E96156">
        <w:t xml:space="preserve"> at the least when installation costs are considered.</w:t>
      </w:r>
      <w:r w:rsidRPr="00E96156">
        <w:t xml:space="preserve"> </w:t>
      </w:r>
      <w:r w:rsidR="00FE276F" w:rsidRPr="00E96156">
        <w:t>C</w:t>
      </w:r>
      <w:r w:rsidRPr="00E96156">
        <w:t>apital costs can vary significantly by region, but exhaustive regional data were not available to calculate an average cost weighted by installation size.</w:t>
      </w:r>
    </w:p>
    <w:p w14:paraId="19788B0B" w14:textId="790CF5D8" w:rsidR="00F20BB9" w:rsidRDefault="00F20BB9" w:rsidP="00F20BB9">
      <w:pPr>
        <w:pStyle w:val="Heading4"/>
      </w:pPr>
      <w:r>
        <w:t>Operations and Maintenance Costs</w:t>
      </w:r>
    </w:p>
    <w:p w14:paraId="654BC007" w14:textId="38E8DF3F" w:rsidR="00921C6E" w:rsidRPr="00177418" w:rsidRDefault="001649E9" w:rsidP="00E07370">
      <w:r w:rsidRPr="00177418">
        <w:t xml:space="preserve">Because solar hot water systems </w:t>
      </w:r>
      <w:r w:rsidR="00962909" w:rsidRPr="00177418">
        <w:t>need</w:t>
      </w:r>
      <w:r w:rsidRPr="00177418">
        <w:t xml:space="preserve"> supplemental </w:t>
      </w:r>
      <w:r w:rsidR="00962909" w:rsidRPr="00177418">
        <w:t>technology</w:t>
      </w:r>
      <w:r w:rsidRPr="00177418">
        <w:t xml:space="preserve"> </w:t>
      </w:r>
      <w:r w:rsidR="00962909" w:rsidRPr="00177418">
        <w:t>(</w:t>
      </w:r>
      <w:r w:rsidRPr="00177418">
        <w:t>conventional</w:t>
      </w:r>
      <w:r w:rsidR="00962909" w:rsidRPr="00177418">
        <w:t>)</w:t>
      </w:r>
      <w:r w:rsidRPr="00177418">
        <w:t xml:space="preserve"> as mentioned above, again only the solar hot water equipment maintenance costs that are additional above the </w:t>
      </w:r>
      <w:r w:rsidR="00EF6E84" w:rsidRPr="00177418">
        <w:t>REF</w:t>
      </w:r>
      <w:r w:rsidRPr="00177418">
        <w:t xml:space="preserve"> scenario</w:t>
      </w:r>
      <w:r w:rsidR="00354694">
        <w:t xml:space="preserve"> are accounted for</w:t>
      </w:r>
      <w:r w:rsidRPr="00177418">
        <w:t xml:space="preserve">. It is assumed conventional systems are in both scenarios and require operational costs. </w:t>
      </w:r>
    </w:p>
    <w:p w14:paraId="6D52482B" w14:textId="3D7996FA" w:rsidR="00845CFC" w:rsidRPr="003F5943" w:rsidRDefault="001649E9" w:rsidP="00E07370">
      <w:r w:rsidRPr="00177418">
        <w:t xml:space="preserve">Energy savings also factor into operational costs, in the avoided fossil fuel costs allowed by solar thermal energy between </w:t>
      </w:r>
      <w:r w:rsidR="00EF6E84" w:rsidRPr="00177418">
        <w:t>REF</w:t>
      </w:r>
      <w:r w:rsidRPr="00177418">
        <w:t xml:space="preserve"> and </w:t>
      </w:r>
      <w:r w:rsidR="00EF6E84" w:rsidRPr="00177418">
        <w:t>PDS</w:t>
      </w:r>
      <w:r w:rsidRPr="00177418">
        <w:t xml:space="preserve"> scenarios. In order to calculate energy savings, the following methodology</w:t>
      </w:r>
      <w:r w:rsidR="00354694">
        <w:t xml:space="preserve"> was used</w:t>
      </w:r>
      <w:r w:rsidRPr="00177418">
        <w:t xml:space="preserve">. </w:t>
      </w:r>
      <w:r w:rsidR="00934407">
        <w:t>T</w:t>
      </w:r>
      <w:r w:rsidRPr="00177418">
        <w:t xml:space="preserve">he efficiency of water heaters </w:t>
      </w:r>
      <w:r w:rsidR="003105CD">
        <w:t xml:space="preserve">(conventional and solution) </w:t>
      </w:r>
      <w:r w:rsidRPr="00177418">
        <w:t>account</w:t>
      </w:r>
      <w:r w:rsidR="00013FC9">
        <w:t>ed</w:t>
      </w:r>
      <w:r w:rsidRPr="00177418">
        <w:t xml:space="preserve"> for fuel </w:t>
      </w:r>
      <w:r w:rsidR="003105CD">
        <w:t xml:space="preserve">consumption and </w:t>
      </w:r>
      <w:r w:rsidRPr="00177418">
        <w:t xml:space="preserve">conversion losses. </w:t>
      </w:r>
      <w:r w:rsidR="00934407">
        <w:t>T</w:t>
      </w:r>
      <w:r w:rsidRPr="00177418">
        <w:t xml:space="preserve">he efficiency of conventional electric heaters </w:t>
      </w:r>
      <w:r w:rsidR="00563B93" w:rsidRPr="00177418">
        <w:t>is</w:t>
      </w:r>
      <w:r w:rsidRPr="00177418">
        <w:t xml:space="preserve"> </w:t>
      </w:r>
      <w:r w:rsidR="00934407">
        <w:t xml:space="preserve">assumed to be </w:t>
      </w:r>
      <w:r w:rsidRPr="00177418">
        <w:t>0.9 (i</w:t>
      </w:r>
      <w:r w:rsidR="007E5AD3" w:rsidRPr="00177418">
        <w:t>.</w:t>
      </w:r>
      <w:r w:rsidRPr="00177418">
        <w:t>e</w:t>
      </w:r>
      <w:r w:rsidR="007E5AD3" w:rsidRPr="00177418">
        <w:t>.</w:t>
      </w:r>
      <w:r w:rsidRPr="00177418">
        <w:t xml:space="preserve"> out of the 1 kWh of energy </w:t>
      </w:r>
      <w:r w:rsidR="00092646">
        <w:t xml:space="preserve">consumed </w:t>
      </w:r>
      <w:r w:rsidRPr="00177418">
        <w:t>from electricity, 0.9 kWh is converted to useful heat), and likewise that of gas heaters are 0.</w:t>
      </w:r>
      <w:r w:rsidR="000B669B" w:rsidRPr="00177418">
        <w:t>67</w:t>
      </w:r>
      <w:r w:rsidR="00412FED" w:rsidRPr="00177418">
        <w:t xml:space="preserve"> </w:t>
      </w:r>
      <w:r w:rsidR="001C0DCE">
        <w:fldChar w:fldCharType="begin"/>
      </w:r>
      <w:r w:rsidR="001C0DCE">
        <w:instrText xml:space="preserve"> ADDIN ZOTERO_ITEM CSL_CITATION {"citationID":"Z47aCbuB","properties":{"formattedCitation":"(Greening &amp; Azapagic, 2014; U.S. Department of Energy, n.d.)","plainCitation":"(Greening &amp; Azapagic, 2014; U.S. Department of Energy, n.d.)","noteIndex":0},"citationItems":[{"id":1778,"uris":["http://zotero.org/groups/2241931/items/PCSMPWKG"],"uri":["http://zotero.org/groups/2241931/items/PCSMPWKG"],"itemData":{"id":1778,"type":"article-journal","title":"Domestic solar thermal water heating: A sustainable option for the UK","container-title":"Renewable Energy","page":"23-36","volume":"63","abstract":"This paper considers life cycle environmental sustainability of solar water heating systems in regions with low solar irradiation, such as the UK. The results suggest that flat plate collectors have slightly lower environmental impacts than evacuated tube designs. Reducing the current energy losses of 65%–45% would reduce the impacts by around 35%. Compared to a gas boiler, solar thermal systems are a better option for only five out of 11 environmental impacts considered, with global warming and depletion of fossil resources being lower by 88% and 83%, respectively. Other impacts such as human and eco-toxicity are up to 85% higher. The solar systems score better relative to electrical water heating for eight out of 11 impacts. They are also environmentally more sustainable than heat pumps for seven categories. However, their potential is hampered because they need a back-up heating system, typically gas boiler. For this reason as well as due to a lack of suitable locations and poor efficiency, the potential of solar thermal systems to contribute to a more sustainable domestic energy supply in the UK is limited.","DOI":"https://doi.org/10.1016/j.renene.2013.07.048","author":[{"family":"Greening","given":"Benjamin"},{"family":"Azapagic","given":"Adisa"}],"issued":{"date-parts":[["2014",3]]}}},{"id":1769,"uris":["http://zotero.org/groups/2241931/items/UGQQ7R4K"],"uri":["http://zotero.org/groups/2241931/items/UGQQ7R4K"],"itemData":{"id":1769,"type":"webpage","title":"Furnaces and Boilers","URL":"https://www.energy.gov/energysaver/home-heating-systems/furnaces-and-boilers","author":[{"family":"U.S. Department of Energy","given":""}]}}],"schema":"https://github.com/citation-style-language/schema/raw/master/csl-citation.json"} </w:instrText>
      </w:r>
      <w:r w:rsidR="001C0DCE">
        <w:fldChar w:fldCharType="separate"/>
      </w:r>
      <w:r w:rsidR="001C0DCE">
        <w:rPr>
          <w:noProof/>
        </w:rPr>
        <w:t>(Greening &amp; Azapagic, 2014; U.S. Department of Energy, n.d.)</w:t>
      </w:r>
      <w:r w:rsidR="001C0DCE">
        <w:fldChar w:fldCharType="end"/>
      </w:r>
      <w:r w:rsidRPr="00177418">
        <w:t xml:space="preserve">. </w:t>
      </w:r>
      <w:r w:rsidR="003105CD">
        <w:t>Solar water heaters save both fuel and electricity and these are priced by</w:t>
      </w:r>
      <w:r w:rsidR="00354694">
        <w:t xml:space="preserve"> multipl</w:t>
      </w:r>
      <w:r w:rsidR="003105CD">
        <w:t>ying</w:t>
      </w:r>
      <w:r w:rsidR="00354694">
        <w:t xml:space="preserve"> </w:t>
      </w:r>
      <w:r w:rsidR="003105CD">
        <w:t>by</w:t>
      </w:r>
      <w:r w:rsidR="001C0DCE">
        <w:t xml:space="preserve"> the weighted average price of USD 0.0</w:t>
      </w:r>
      <w:r w:rsidR="006712D3">
        <w:t>72</w:t>
      </w:r>
      <w:r w:rsidR="001C0DCE">
        <w:t>/kWh for electricity and fuel used for conventional water heating.</w:t>
      </w:r>
    </w:p>
    <w:p w14:paraId="1521B01D" w14:textId="48D13A21" w:rsidR="00D25FC7" w:rsidRPr="003F5943" w:rsidRDefault="00D25FC7" w:rsidP="006831EE">
      <w:pPr>
        <w:pStyle w:val="Caption"/>
        <w:rPr>
          <w:rFonts w:asciiTheme="majorHAnsi" w:eastAsiaTheme="majorEastAsia" w:hAnsiTheme="majorHAnsi" w:cstheme="majorBidi"/>
          <w:b/>
          <w:bCs/>
          <w:color w:val="000000" w:themeColor="text1"/>
          <w:lang w:eastAsia="zh-CN"/>
        </w:rPr>
      </w:pPr>
      <w:bookmarkStart w:id="69" w:name="_Toc44510696"/>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2</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2</w:t>
      </w:r>
      <w:r w:rsidR="00CA08B6">
        <w:rPr>
          <w:noProof/>
        </w:rPr>
        <w:fldChar w:fldCharType="end"/>
      </w:r>
      <w:r w:rsidRPr="003F5943">
        <w:t xml:space="preserve"> Financial Inputs </w:t>
      </w:r>
      <w:r w:rsidR="009C0F77" w:rsidRPr="003F5943">
        <w:t xml:space="preserve">for </w:t>
      </w:r>
      <w:r w:rsidRPr="003F5943">
        <w:t>Conventional Technologies</w:t>
      </w:r>
      <w:bookmarkEnd w:id="69"/>
    </w:p>
    <w:tbl>
      <w:tblPr>
        <w:tblStyle w:val="TableGrid"/>
        <w:tblW w:w="0" w:type="auto"/>
        <w:tblLook w:val="04A0" w:firstRow="1" w:lastRow="0" w:firstColumn="1" w:lastColumn="0" w:noHBand="0" w:noVBand="1"/>
      </w:tblPr>
      <w:tblGrid>
        <w:gridCol w:w="3286"/>
        <w:gridCol w:w="1156"/>
        <w:gridCol w:w="1899"/>
        <w:gridCol w:w="971"/>
        <w:gridCol w:w="1029"/>
        <w:gridCol w:w="1009"/>
      </w:tblGrid>
      <w:tr w:rsidR="003105CD" w:rsidRPr="00883E57" w14:paraId="6DF28910" w14:textId="77777777" w:rsidTr="0050042C">
        <w:trPr>
          <w:cantSplit/>
          <w:tblHeader/>
        </w:trPr>
        <w:tc>
          <w:tcPr>
            <w:tcW w:w="0" w:type="auto"/>
            <w:shd w:val="clear" w:color="auto" w:fill="4F81BD" w:themeFill="accent1"/>
            <w:vAlign w:val="center"/>
          </w:tcPr>
          <w:p w14:paraId="4270FB4F" w14:textId="77777777" w:rsidR="00542539" w:rsidRPr="00883E57" w:rsidRDefault="00542539" w:rsidP="00E07370">
            <w:pPr>
              <w:rPr>
                <w:b/>
                <w:color w:val="FFFFFF" w:themeColor="background1"/>
              </w:rPr>
            </w:pPr>
            <w:r w:rsidRPr="00883E57">
              <w:rPr>
                <w:b/>
                <w:color w:val="FFFFFF" w:themeColor="background1"/>
              </w:rPr>
              <w:lastRenderedPageBreak/>
              <w:t>Variable</w:t>
            </w:r>
          </w:p>
        </w:tc>
        <w:tc>
          <w:tcPr>
            <w:tcW w:w="0" w:type="auto"/>
            <w:shd w:val="clear" w:color="auto" w:fill="4F81BD" w:themeFill="accent1"/>
            <w:vAlign w:val="center"/>
          </w:tcPr>
          <w:p w14:paraId="0365CF48" w14:textId="77777777" w:rsidR="00542539" w:rsidRPr="00883E57" w:rsidRDefault="00542539" w:rsidP="00E07370">
            <w:pPr>
              <w:rPr>
                <w:b/>
                <w:color w:val="FFFFFF" w:themeColor="background1"/>
              </w:rPr>
            </w:pPr>
            <w:r w:rsidRPr="00883E57">
              <w:rPr>
                <w:b/>
                <w:color w:val="FFFFFF" w:themeColor="background1"/>
              </w:rPr>
              <w:t>Unit</w:t>
            </w:r>
          </w:p>
        </w:tc>
        <w:tc>
          <w:tcPr>
            <w:tcW w:w="0" w:type="auto"/>
            <w:shd w:val="clear" w:color="auto" w:fill="4F81BD" w:themeFill="accent1"/>
            <w:vAlign w:val="center"/>
          </w:tcPr>
          <w:p w14:paraId="73CDBEDE" w14:textId="77777777" w:rsidR="00542539" w:rsidRPr="00883E57" w:rsidRDefault="00542539" w:rsidP="00E07370">
            <w:pPr>
              <w:rPr>
                <w:b/>
                <w:color w:val="FFFFFF" w:themeColor="background1"/>
              </w:rPr>
            </w:pPr>
            <w:r w:rsidRPr="00883E57">
              <w:rPr>
                <w:b/>
                <w:color w:val="FFFFFF" w:themeColor="background1"/>
              </w:rPr>
              <w:t xml:space="preserve">Project Drawdown Data Set Range </w:t>
            </w:r>
          </w:p>
        </w:tc>
        <w:tc>
          <w:tcPr>
            <w:tcW w:w="0" w:type="auto"/>
            <w:shd w:val="clear" w:color="auto" w:fill="4F81BD" w:themeFill="accent1"/>
            <w:vAlign w:val="center"/>
          </w:tcPr>
          <w:p w14:paraId="37202FF4" w14:textId="77777777" w:rsidR="00542539" w:rsidRPr="00883E57" w:rsidRDefault="00542539" w:rsidP="00E07370">
            <w:pPr>
              <w:rPr>
                <w:b/>
                <w:color w:val="FFFFFF" w:themeColor="background1"/>
              </w:rPr>
            </w:pPr>
            <w:r w:rsidRPr="00883E57">
              <w:rPr>
                <w:b/>
                <w:color w:val="FFFFFF" w:themeColor="background1"/>
              </w:rPr>
              <w:t xml:space="preserve">Model Input </w:t>
            </w:r>
          </w:p>
        </w:tc>
        <w:tc>
          <w:tcPr>
            <w:tcW w:w="0" w:type="auto"/>
            <w:shd w:val="clear" w:color="auto" w:fill="4F81BD" w:themeFill="accent1"/>
            <w:vAlign w:val="center"/>
          </w:tcPr>
          <w:p w14:paraId="68DC6D4B" w14:textId="77777777" w:rsidR="00542539" w:rsidRPr="00883E57" w:rsidRDefault="00542539" w:rsidP="00E07370">
            <w:pPr>
              <w:rPr>
                <w:b/>
                <w:color w:val="FFFFFF" w:themeColor="background1"/>
              </w:rPr>
            </w:pPr>
            <w:r w:rsidRPr="00883E57">
              <w:rPr>
                <w:b/>
                <w:color w:val="FFFFFF" w:themeColor="background1"/>
              </w:rPr>
              <w:t>Data Points (#)</w:t>
            </w:r>
          </w:p>
        </w:tc>
        <w:tc>
          <w:tcPr>
            <w:tcW w:w="0" w:type="auto"/>
            <w:shd w:val="clear" w:color="auto" w:fill="4F81BD" w:themeFill="accent1"/>
            <w:vAlign w:val="center"/>
          </w:tcPr>
          <w:p w14:paraId="6B59C54A" w14:textId="77777777" w:rsidR="00542539" w:rsidRPr="00883E57" w:rsidRDefault="00542539" w:rsidP="00E07370">
            <w:pPr>
              <w:rPr>
                <w:b/>
                <w:color w:val="FFFFFF" w:themeColor="background1"/>
              </w:rPr>
            </w:pPr>
            <w:r w:rsidRPr="00883E57">
              <w:rPr>
                <w:b/>
                <w:color w:val="FFFFFF" w:themeColor="background1"/>
              </w:rPr>
              <w:t>Sources (#)</w:t>
            </w:r>
          </w:p>
        </w:tc>
      </w:tr>
      <w:tr w:rsidR="003105CD" w:rsidRPr="00177418" w14:paraId="31D81E1C" w14:textId="77777777" w:rsidTr="0050042C">
        <w:trPr>
          <w:cantSplit/>
        </w:trPr>
        <w:tc>
          <w:tcPr>
            <w:tcW w:w="0" w:type="auto"/>
            <w:vAlign w:val="center"/>
          </w:tcPr>
          <w:p w14:paraId="0C811B49" w14:textId="77777777" w:rsidR="00542539" w:rsidRPr="00177418" w:rsidRDefault="00542539" w:rsidP="00E07370">
            <w:r w:rsidRPr="00177418">
              <w:t>Installation Cost/ First Cost</w:t>
            </w:r>
          </w:p>
        </w:tc>
        <w:tc>
          <w:tcPr>
            <w:tcW w:w="0" w:type="auto"/>
            <w:tcMar>
              <w:left w:w="29" w:type="dxa"/>
              <w:right w:w="29" w:type="dxa"/>
            </w:tcMar>
            <w:vAlign w:val="center"/>
          </w:tcPr>
          <w:p w14:paraId="5000655C" w14:textId="13CF1EE5" w:rsidR="00542539" w:rsidRPr="00177418" w:rsidRDefault="00542539" w:rsidP="00E07370">
            <w:r w:rsidRPr="00177418">
              <w:t>US$2014/</w:t>
            </w:r>
            <w:r w:rsidR="0031471F" w:rsidRPr="00177418">
              <w:t xml:space="preserve"> kW(th)</w:t>
            </w:r>
          </w:p>
        </w:tc>
        <w:tc>
          <w:tcPr>
            <w:tcW w:w="0" w:type="auto"/>
            <w:vAlign w:val="center"/>
          </w:tcPr>
          <w:p w14:paraId="3A3D49D9" w14:textId="7452B8BD" w:rsidR="00542539" w:rsidRPr="00177418" w:rsidRDefault="00806E23" w:rsidP="00B876EF">
            <w:pPr>
              <w:jc w:val="center"/>
            </w:pPr>
            <w:r w:rsidRPr="00177418">
              <w:t>0</w:t>
            </w:r>
          </w:p>
        </w:tc>
        <w:tc>
          <w:tcPr>
            <w:tcW w:w="0" w:type="auto"/>
            <w:vAlign w:val="center"/>
          </w:tcPr>
          <w:p w14:paraId="5C46D1FD" w14:textId="14BEBC83" w:rsidR="00542539" w:rsidRPr="00177418" w:rsidRDefault="00806E23" w:rsidP="00B876EF">
            <w:pPr>
              <w:jc w:val="center"/>
            </w:pPr>
            <w:r w:rsidRPr="00177418">
              <w:t>0</w:t>
            </w:r>
          </w:p>
        </w:tc>
        <w:tc>
          <w:tcPr>
            <w:tcW w:w="0" w:type="auto"/>
            <w:vAlign w:val="center"/>
          </w:tcPr>
          <w:p w14:paraId="23F2ADAE" w14:textId="2E0C9B7B" w:rsidR="00542539" w:rsidRPr="00177418" w:rsidRDefault="00545459" w:rsidP="00E07370">
            <w:r>
              <w:t>N/A</w:t>
            </w:r>
          </w:p>
        </w:tc>
        <w:tc>
          <w:tcPr>
            <w:tcW w:w="0" w:type="auto"/>
            <w:vAlign w:val="center"/>
          </w:tcPr>
          <w:p w14:paraId="2FFDACBA" w14:textId="68B7FD98" w:rsidR="00542539" w:rsidRPr="00177418" w:rsidRDefault="00545459" w:rsidP="00E07370">
            <w:r>
              <w:t>N/A</w:t>
            </w:r>
          </w:p>
        </w:tc>
      </w:tr>
      <w:tr w:rsidR="003105CD" w:rsidRPr="00177418" w14:paraId="3CE84D1F" w14:textId="77777777" w:rsidTr="0050042C">
        <w:trPr>
          <w:cantSplit/>
        </w:trPr>
        <w:tc>
          <w:tcPr>
            <w:tcW w:w="0" w:type="auto"/>
            <w:vAlign w:val="center"/>
          </w:tcPr>
          <w:p w14:paraId="5201323A" w14:textId="5082F43B" w:rsidR="00542539" w:rsidRPr="00177418" w:rsidRDefault="003105CD" w:rsidP="00E07370">
            <w:r>
              <w:t>Operating Fuel Cost for Water Heating (electricity and fuel weighted appropriately)</w:t>
            </w:r>
          </w:p>
        </w:tc>
        <w:tc>
          <w:tcPr>
            <w:tcW w:w="0" w:type="auto"/>
            <w:tcMar>
              <w:left w:w="29" w:type="dxa"/>
              <w:right w:w="29" w:type="dxa"/>
            </w:tcMar>
            <w:vAlign w:val="center"/>
          </w:tcPr>
          <w:p w14:paraId="12F0A960" w14:textId="428CDCF0" w:rsidR="00542539" w:rsidRPr="00177418" w:rsidRDefault="00542539" w:rsidP="00E07370">
            <w:r w:rsidRPr="00177418">
              <w:t xml:space="preserve">US$2014/ </w:t>
            </w:r>
            <w:r w:rsidR="00806E23" w:rsidRPr="00177418">
              <w:t>k</w:t>
            </w:r>
            <w:r w:rsidRPr="00177418">
              <w:t>Wh(th)</w:t>
            </w:r>
          </w:p>
        </w:tc>
        <w:tc>
          <w:tcPr>
            <w:tcW w:w="0" w:type="auto"/>
            <w:vAlign w:val="center"/>
          </w:tcPr>
          <w:p w14:paraId="359E743C" w14:textId="2CFB8F7E" w:rsidR="00542539" w:rsidRPr="00177418" w:rsidRDefault="00806E23" w:rsidP="00B876EF">
            <w:pPr>
              <w:jc w:val="center"/>
            </w:pPr>
            <w:r w:rsidRPr="00177418">
              <w:t>0.0</w:t>
            </w:r>
            <w:r w:rsidR="00074B6E">
              <w:t>719</w:t>
            </w:r>
          </w:p>
        </w:tc>
        <w:tc>
          <w:tcPr>
            <w:tcW w:w="0" w:type="auto"/>
            <w:vAlign w:val="center"/>
          </w:tcPr>
          <w:p w14:paraId="1ADDE9A8" w14:textId="59CAEB69" w:rsidR="00542539" w:rsidRPr="00177418" w:rsidRDefault="00806E23" w:rsidP="00B876EF">
            <w:pPr>
              <w:jc w:val="center"/>
            </w:pPr>
            <w:r w:rsidRPr="00177418">
              <w:t>0.0</w:t>
            </w:r>
            <w:r w:rsidR="00074B6E">
              <w:t>719</w:t>
            </w:r>
          </w:p>
        </w:tc>
        <w:tc>
          <w:tcPr>
            <w:tcW w:w="0" w:type="auto"/>
            <w:vAlign w:val="center"/>
          </w:tcPr>
          <w:p w14:paraId="4E598CED" w14:textId="77777777" w:rsidR="00542539" w:rsidRPr="00177418" w:rsidRDefault="00542539" w:rsidP="00E07370">
            <w:r w:rsidRPr="00177418">
              <w:t>1</w:t>
            </w:r>
          </w:p>
        </w:tc>
        <w:tc>
          <w:tcPr>
            <w:tcW w:w="0" w:type="auto"/>
            <w:vAlign w:val="center"/>
          </w:tcPr>
          <w:p w14:paraId="5C803118" w14:textId="1FC42FAD" w:rsidR="00542539" w:rsidRPr="00177418" w:rsidRDefault="00921C6E" w:rsidP="00E07370">
            <w:r>
              <w:t>1</w:t>
            </w:r>
          </w:p>
        </w:tc>
      </w:tr>
      <w:tr w:rsidR="003105CD" w:rsidRPr="00177418" w14:paraId="452FC838" w14:textId="77777777" w:rsidTr="0050042C">
        <w:trPr>
          <w:cantSplit/>
        </w:trPr>
        <w:tc>
          <w:tcPr>
            <w:tcW w:w="0" w:type="auto"/>
            <w:vAlign w:val="center"/>
          </w:tcPr>
          <w:p w14:paraId="36E36B37" w14:textId="77777777" w:rsidR="00542539" w:rsidRPr="00177418" w:rsidRDefault="00542539" w:rsidP="00E07370">
            <w:r w:rsidRPr="00177418">
              <w:t>Discount Rate for Future Cash flows</w:t>
            </w:r>
          </w:p>
        </w:tc>
        <w:tc>
          <w:tcPr>
            <w:tcW w:w="0" w:type="auto"/>
            <w:tcMar>
              <w:left w:w="29" w:type="dxa"/>
              <w:right w:w="29" w:type="dxa"/>
            </w:tcMar>
            <w:vAlign w:val="center"/>
          </w:tcPr>
          <w:p w14:paraId="4D94E55C" w14:textId="77777777" w:rsidR="00542539" w:rsidRPr="00177418" w:rsidRDefault="00542539" w:rsidP="00E07370">
            <w:r w:rsidRPr="00177418">
              <w:t>percent</w:t>
            </w:r>
          </w:p>
        </w:tc>
        <w:tc>
          <w:tcPr>
            <w:tcW w:w="0" w:type="auto"/>
            <w:vAlign w:val="center"/>
          </w:tcPr>
          <w:p w14:paraId="642FE618" w14:textId="5AF1F98A" w:rsidR="00542539" w:rsidRPr="00177418" w:rsidRDefault="009B5628" w:rsidP="00B876EF">
            <w:pPr>
              <w:jc w:val="center"/>
            </w:pPr>
            <w:r>
              <w:t>3</w:t>
            </w:r>
            <w:r w:rsidR="004225AE" w:rsidRPr="00177418">
              <w:t>%</w:t>
            </w:r>
            <w:r w:rsidR="00542539" w:rsidRPr="00177418">
              <w:t>-</w:t>
            </w:r>
            <w:r>
              <w:t>5</w:t>
            </w:r>
            <w:r w:rsidR="004225AE" w:rsidRPr="00177418">
              <w:t>%</w:t>
            </w:r>
          </w:p>
        </w:tc>
        <w:tc>
          <w:tcPr>
            <w:tcW w:w="0" w:type="auto"/>
            <w:vAlign w:val="center"/>
          </w:tcPr>
          <w:p w14:paraId="1C9B013C" w14:textId="23FFD4D4" w:rsidR="00542539" w:rsidRPr="00177418" w:rsidRDefault="004225AE" w:rsidP="00B876EF">
            <w:pPr>
              <w:jc w:val="center"/>
            </w:pPr>
            <w:r w:rsidRPr="00177418">
              <w:t>4%</w:t>
            </w:r>
          </w:p>
        </w:tc>
        <w:tc>
          <w:tcPr>
            <w:tcW w:w="0" w:type="auto"/>
            <w:vAlign w:val="center"/>
          </w:tcPr>
          <w:p w14:paraId="018B1E76" w14:textId="0FFF16C0" w:rsidR="00542539" w:rsidRPr="00177418" w:rsidRDefault="009B5628" w:rsidP="00E07370">
            <w:r>
              <w:t>6</w:t>
            </w:r>
          </w:p>
        </w:tc>
        <w:tc>
          <w:tcPr>
            <w:tcW w:w="0" w:type="auto"/>
            <w:vAlign w:val="center"/>
          </w:tcPr>
          <w:p w14:paraId="511C492B" w14:textId="481881A4" w:rsidR="00542539" w:rsidRPr="00177418" w:rsidRDefault="009B5628" w:rsidP="00E07370">
            <w:r>
              <w:t>5</w:t>
            </w:r>
          </w:p>
        </w:tc>
      </w:tr>
    </w:tbl>
    <w:p w14:paraId="7E13702C" w14:textId="77777777" w:rsidR="00D25FC7" w:rsidRPr="003F5943" w:rsidRDefault="00D25FC7" w:rsidP="00E07370"/>
    <w:p w14:paraId="2A309D69" w14:textId="15CD220C" w:rsidR="0021082B" w:rsidRPr="003F5943" w:rsidRDefault="00274B56" w:rsidP="006831EE">
      <w:pPr>
        <w:pStyle w:val="Caption"/>
        <w:rPr>
          <w:rFonts w:asciiTheme="majorHAnsi" w:eastAsiaTheme="majorEastAsia" w:hAnsiTheme="majorHAnsi" w:cstheme="majorBidi"/>
          <w:b/>
          <w:bCs/>
          <w:color w:val="000000" w:themeColor="text1"/>
          <w:lang w:eastAsia="zh-CN"/>
        </w:rPr>
      </w:pPr>
      <w:bookmarkStart w:id="70" w:name="_Toc44510697"/>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2</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3</w:t>
      </w:r>
      <w:r w:rsidR="00CA08B6">
        <w:rPr>
          <w:noProof/>
        </w:rPr>
        <w:fldChar w:fldCharType="end"/>
      </w:r>
      <w:r w:rsidRPr="003F5943">
        <w:t xml:space="preserve"> Financial Inputs</w:t>
      </w:r>
      <w:r w:rsidR="00D25FC7" w:rsidRPr="003F5943">
        <w:t xml:space="preserve"> </w:t>
      </w:r>
      <w:r w:rsidR="009C0F77" w:rsidRPr="003F5943">
        <w:t xml:space="preserve">for </w:t>
      </w:r>
      <w:r w:rsidR="00D25FC7" w:rsidRPr="003F5943">
        <w:t>Solution</w:t>
      </w:r>
      <w:r w:rsidR="00C240D2" w:rsidRPr="003F5943">
        <w:t xml:space="preserve"> Technologies</w:t>
      </w:r>
      <w:bookmarkEnd w:id="70"/>
    </w:p>
    <w:tbl>
      <w:tblPr>
        <w:tblStyle w:val="TableGrid"/>
        <w:tblW w:w="0" w:type="auto"/>
        <w:tblLook w:val="04A0" w:firstRow="1" w:lastRow="0" w:firstColumn="1" w:lastColumn="0" w:noHBand="0" w:noVBand="1"/>
      </w:tblPr>
      <w:tblGrid>
        <w:gridCol w:w="2438"/>
        <w:gridCol w:w="1307"/>
        <w:gridCol w:w="2249"/>
        <w:gridCol w:w="1142"/>
        <w:gridCol w:w="1157"/>
        <w:gridCol w:w="1057"/>
      </w:tblGrid>
      <w:tr w:rsidR="003105CD" w:rsidRPr="00883E57" w14:paraId="0B802E4E" w14:textId="77777777" w:rsidTr="0050042C">
        <w:trPr>
          <w:cantSplit/>
          <w:tblHeader/>
        </w:trPr>
        <w:tc>
          <w:tcPr>
            <w:tcW w:w="0" w:type="auto"/>
            <w:shd w:val="clear" w:color="auto" w:fill="4F81BD" w:themeFill="accent1"/>
            <w:vAlign w:val="center"/>
          </w:tcPr>
          <w:p w14:paraId="6BC560D3" w14:textId="77777777" w:rsidR="00542539" w:rsidRPr="00883E57" w:rsidRDefault="00542539" w:rsidP="00E07370">
            <w:pPr>
              <w:rPr>
                <w:b/>
                <w:color w:val="FFFFFF" w:themeColor="background1"/>
              </w:rPr>
            </w:pPr>
            <w:r w:rsidRPr="00883E57">
              <w:rPr>
                <w:b/>
                <w:color w:val="FFFFFF" w:themeColor="background1"/>
              </w:rPr>
              <w:t>Variable</w:t>
            </w:r>
          </w:p>
        </w:tc>
        <w:tc>
          <w:tcPr>
            <w:tcW w:w="0" w:type="auto"/>
            <w:shd w:val="clear" w:color="auto" w:fill="4F81BD" w:themeFill="accent1"/>
            <w:vAlign w:val="center"/>
          </w:tcPr>
          <w:p w14:paraId="0E207C4F" w14:textId="77777777" w:rsidR="00542539" w:rsidRPr="00883E57" w:rsidRDefault="00542539" w:rsidP="00E07370">
            <w:pPr>
              <w:rPr>
                <w:b/>
                <w:color w:val="FFFFFF" w:themeColor="background1"/>
              </w:rPr>
            </w:pPr>
            <w:r w:rsidRPr="00883E57">
              <w:rPr>
                <w:b/>
                <w:color w:val="FFFFFF" w:themeColor="background1"/>
              </w:rPr>
              <w:t>Unit</w:t>
            </w:r>
          </w:p>
        </w:tc>
        <w:tc>
          <w:tcPr>
            <w:tcW w:w="0" w:type="auto"/>
            <w:shd w:val="clear" w:color="auto" w:fill="4F81BD" w:themeFill="accent1"/>
            <w:vAlign w:val="center"/>
          </w:tcPr>
          <w:p w14:paraId="0F4DADB5" w14:textId="77777777" w:rsidR="00542539" w:rsidRPr="00883E57" w:rsidRDefault="00542539" w:rsidP="00E07370">
            <w:pPr>
              <w:rPr>
                <w:b/>
                <w:color w:val="FFFFFF" w:themeColor="background1"/>
              </w:rPr>
            </w:pPr>
            <w:r w:rsidRPr="00883E57">
              <w:rPr>
                <w:b/>
                <w:color w:val="FFFFFF" w:themeColor="background1"/>
              </w:rPr>
              <w:t xml:space="preserve">Project Drawdown Data Set Range </w:t>
            </w:r>
          </w:p>
        </w:tc>
        <w:tc>
          <w:tcPr>
            <w:tcW w:w="0" w:type="auto"/>
            <w:shd w:val="clear" w:color="auto" w:fill="4F81BD" w:themeFill="accent1"/>
            <w:vAlign w:val="center"/>
          </w:tcPr>
          <w:p w14:paraId="320DA56A" w14:textId="77777777" w:rsidR="00542539" w:rsidRPr="00883E57" w:rsidRDefault="00542539" w:rsidP="00E07370">
            <w:pPr>
              <w:rPr>
                <w:b/>
                <w:color w:val="FFFFFF" w:themeColor="background1"/>
              </w:rPr>
            </w:pPr>
            <w:r w:rsidRPr="00883E57">
              <w:rPr>
                <w:b/>
                <w:color w:val="FFFFFF" w:themeColor="background1"/>
              </w:rPr>
              <w:t xml:space="preserve">Model Input </w:t>
            </w:r>
          </w:p>
        </w:tc>
        <w:tc>
          <w:tcPr>
            <w:tcW w:w="0" w:type="auto"/>
            <w:shd w:val="clear" w:color="auto" w:fill="4F81BD" w:themeFill="accent1"/>
            <w:vAlign w:val="center"/>
          </w:tcPr>
          <w:p w14:paraId="508F90E0" w14:textId="77777777" w:rsidR="00542539" w:rsidRPr="00883E57" w:rsidRDefault="00542539" w:rsidP="00E07370">
            <w:pPr>
              <w:rPr>
                <w:b/>
                <w:color w:val="FFFFFF" w:themeColor="background1"/>
              </w:rPr>
            </w:pPr>
            <w:r w:rsidRPr="00883E57">
              <w:rPr>
                <w:b/>
                <w:color w:val="FFFFFF" w:themeColor="background1"/>
              </w:rPr>
              <w:t>Data Points (#)</w:t>
            </w:r>
          </w:p>
        </w:tc>
        <w:tc>
          <w:tcPr>
            <w:tcW w:w="0" w:type="auto"/>
            <w:shd w:val="clear" w:color="auto" w:fill="4F81BD" w:themeFill="accent1"/>
            <w:vAlign w:val="center"/>
          </w:tcPr>
          <w:p w14:paraId="2EB5B226" w14:textId="77777777" w:rsidR="00542539" w:rsidRPr="00883E57" w:rsidRDefault="00542539" w:rsidP="00E07370">
            <w:pPr>
              <w:rPr>
                <w:b/>
                <w:color w:val="FFFFFF" w:themeColor="background1"/>
              </w:rPr>
            </w:pPr>
            <w:r w:rsidRPr="00883E57">
              <w:rPr>
                <w:b/>
                <w:color w:val="FFFFFF" w:themeColor="background1"/>
              </w:rPr>
              <w:t>Sources (#)</w:t>
            </w:r>
          </w:p>
        </w:tc>
      </w:tr>
      <w:tr w:rsidR="003105CD" w:rsidRPr="00177418" w14:paraId="5F824C7A" w14:textId="77777777" w:rsidTr="0050042C">
        <w:trPr>
          <w:cantSplit/>
        </w:trPr>
        <w:tc>
          <w:tcPr>
            <w:tcW w:w="0" w:type="auto"/>
            <w:vAlign w:val="center"/>
          </w:tcPr>
          <w:p w14:paraId="4F7D1949" w14:textId="77777777" w:rsidR="00806E23" w:rsidRPr="00177418" w:rsidRDefault="00806E23" w:rsidP="00E07370">
            <w:r w:rsidRPr="00177418">
              <w:t>Installation Cost/ First Cost</w:t>
            </w:r>
          </w:p>
        </w:tc>
        <w:tc>
          <w:tcPr>
            <w:tcW w:w="0" w:type="auto"/>
            <w:tcMar>
              <w:left w:w="29" w:type="dxa"/>
              <w:right w:w="29" w:type="dxa"/>
            </w:tcMar>
            <w:vAlign w:val="center"/>
          </w:tcPr>
          <w:p w14:paraId="0D3FF325" w14:textId="4CC823E5" w:rsidR="00806E23" w:rsidRPr="00177418" w:rsidRDefault="00806E23" w:rsidP="00E07370">
            <w:r w:rsidRPr="00177418">
              <w:t>US$2014/ kW(th)</w:t>
            </w:r>
          </w:p>
        </w:tc>
        <w:tc>
          <w:tcPr>
            <w:tcW w:w="0" w:type="auto"/>
            <w:vAlign w:val="center"/>
          </w:tcPr>
          <w:p w14:paraId="695F7BF3" w14:textId="7953A118" w:rsidR="00806E23" w:rsidRPr="00177418" w:rsidRDefault="00797A8A" w:rsidP="00B876EF">
            <w:pPr>
              <w:jc w:val="center"/>
            </w:pPr>
            <w:r>
              <w:t>380-2020</w:t>
            </w:r>
          </w:p>
        </w:tc>
        <w:tc>
          <w:tcPr>
            <w:tcW w:w="0" w:type="auto"/>
            <w:vAlign w:val="center"/>
          </w:tcPr>
          <w:p w14:paraId="0F230B3F" w14:textId="720FC2E5" w:rsidR="00806E23" w:rsidRPr="00177418" w:rsidRDefault="00806E23" w:rsidP="00B876EF">
            <w:pPr>
              <w:jc w:val="center"/>
            </w:pPr>
            <w:r w:rsidRPr="00177418">
              <w:t>1,199.89</w:t>
            </w:r>
          </w:p>
        </w:tc>
        <w:tc>
          <w:tcPr>
            <w:tcW w:w="0" w:type="auto"/>
            <w:vAlign w:val="center"/>
          </w:tcPr>
          <w:p w14:paraId="4E732DED" w14:textId="70E5C842" w:rsidR="00806E23" w:rsidRPr="00177418" w:rsidRDefault="00806E23" w:rsidP="00E07370">
            <w:r w:rsidRPr="00177418">
              <w:t>41</w:t>
            </w:r>
          </w:p>
        </w:tc>
        <w:tc>
          <w:tcPr>
            <w:tcW w:w="0" w:type="auto"/>
            <w:vAlign w:val="center"/>
          </w:tcPr>
          <w:p w14:paraId="33B5C639" w14:textId="4E933CE8" w:rsidR="00806E23" w:rsidRPr="00177418" w:rsidRDefault="00862CB7" w:rsidP="00E07370">
            <w:r w:rsidRPr="00177418">
              <w:t>3</w:t>
            </w:r>
          </w:p>
        </w:tc>
      </w:tr>
      <w:tr w:rsidR="007C38B0" w:rsidRPr="00177418" w14:paraId="5C70C052" w14:textId="77777777" w:rsidTr="00797A8A">
        <w:trPr>
          <w:cantSplit/>
        </w:trPr>
        <w:tc>
          <w:tcPr>
            <w:tcW w:w="0" w:type="auto"/>
            <w:vAlign w:val="center"/>
          </w:tcPr>
          <w:p w14:paraId="24BCC102" w14:textId="0FE45F2C" w:rsidR="00542539" w:rsidRPr="00177418" w:rsidRDefault="00542539" w:rsidP="00E07370">
            <w:r w:rsidRPr="00177418">
              <w:t>First Cost Learning Rate</w:t>
            </w:r>
            <w:r w:rsidR="007674D0">
              <w:t xml:space="preserve"> </w:t>
            </w:r>
            <w:r w:rsidR="0076047F">
              <w:t>(Efficiency Rate)</w:t>
            </w:r>
          </w:p>
        </w:tc>
        <w:tc>
          <w:tcPr>
            <w:tcW w:w="0" w:type="auto"/>
            <w:tcMar>
              <w:left w:w="29" w:type="dxa"/>
              <w:right w:w="29" w:type="dxa"/>
            </w:tcMar>
            <w:vAlign w:val="center"/>
          </w:tcPr>
          <w:p w14:paraId="784537A6" w14:textId="77777777" w:rsidR="00542539" w:rsidRPr="00177418" w:rsidRDefault="00542539" w:rsidP="00E07370">
            <w:r w:rsidRPr="00177418">
              <w:t>percent</w:t>
            </w:r>
          </w:p>
        </w:tc>
        <w:tc>
          <w:tcPr>
            <w:tcW w:w="0" w:type="auto"/>
            <w:shd w:val="clear" w:color="auto" w:fill="auto"/>
            <w:vAlign w:val="center"/>
          </w:tcPr>
          <w:p w14:paraId="557D55A5" w14:textId="77777777" w:rsidR="0076047F" w:rsidRPr="00797A8A" w:rsidRDefault="0076047F" w:rsidP="0076047F">
            <w:pPr>
              <w:spacing w:after="0"/>
              <w:jc w:val="center"/>
            </w:pPr>
            <w:r w:rsidRPr="00797A8A">
              <w:t>9</w:t>
            </w:r>
            <w:r w:rsidR="007C38B0" w:rsidRPr="00797A8A">
              <w:t>5</w:t>
            </w:r>
            <w:r w:rsidR="00862CB7" w:rsidRPr="00797A8A">
              <w:t>%</w:t>
            </w:r>
            <w:r w:rsidRPr="00797A8A">
              <w:t xml:space="preserve"> </w:t>
            </w:r>
          </w:p>
          <w:p w14:paraId="1274D7EA" w14:textId="1E3E422C" w:rsidR="00542539" w:rsidRPr="00797A8A" w:rsidRDefault="0076047F" w:rsidP="0076047F">
            <w:pPr>
              <w:spacing w:after="0"/>
              <w:jc w:val="center"/>
            </w:pPr>
            <w:r w:rsidRPr="00797A8A">
              <w:t>(5%)</w:t>
            </w:r>
          </w:p>
        </w:tc>
        <w:tc>
          <w:tcPr>
            <w:tcW w:w="0" w:type="auto"/>
            <w:shd w:val="clear" w:color="auto" w:fill="auto"/>
            <w:vAlign w:val="center"/>
          </w:tcPr>
          <w:p w14:paraId="7B681CAB" w14:textId="77777777" w:rsidR="0076047F" w:rsidRPr="00797A8A" w:rsidRDefault="0076047F" w:rsidP="0076047F">
            <w:pPr>
              <w:spacing w:after="0"/>
              <w:jc w:val="center"/>
            </w:pPr>
            <w:r w:rsidRPr="00797A8A">
              <w:t xml:space="preserve">95% </w:t>
            </w:r>
          </w:p>
          <w:p w14:paraId="278BE22F" w14:textId="6420D11E" w:rsidR="00542539" w:rsidRPr="00797A8A" w:rsidRDefault="0076047F" w:rsidP="0076047F">
            <w:pPr>
              <w:jc w:val="center"/>
              <w:rPr>
                <w:b/>
              </w:rPr>
            </w:pPr>
            <w:r w:rsidRPr="00797A8A">
              <w:t>(5%)</w:t>
            </w:r>
          </w:p>
        </w:tc>
        <w:tc>
          <w:tcPr>
            <w:tcW w:w="0" w:type="auto"/>
            <w:vAlign w:val="center"/>
          </w:tcPr>
          <w:p w14:paraId="3C70E510" w14:textId="47901440" w:rsidR="00542539" w:rsidRPr="00177418" w:rsidRDefault="007674D0" w:rsidP="00E07370">
            <w:r>
              <w:t>10</w:t>
            </w:r>
          </w:p>
        </w:tc>
        <w:tc>
          <w:tcPr>
            <w:tcW w:w="0" w:type="auto"/>
            <w:vAlign w:val="center"/>
          </w:tcPr>
          <w:p w14:paraId="5210754C" w14:textId="20E340D9" w:rsidR="00542539" w:rsidRPr="00177418" w:rsidRDefault="007674D0" w:rsidP="00E07370">
            <w:r>
              <w:t>1</w:t>
            </w:r>
          </w:p>
        </w:tc>
      </w:tr>
      <w:tr w:rsidR="003105CD" w:rsidRPr="00177418" w14:paraId="4F6BC1B1" w14:textId="77777777" w:rsidTr="0050042C">
        <w:trPr>
          <w:cantSplit/>
        </w:trPr>
        <w:tc>
          <w:tcPr>
            <w:tcW w:w="0" w:type="auto"/>
            <w:vAlign w:val="center"/>
          </w:tcPr>
          <w:p w14:paraId="467D8995" w14:textId="4AE04EAE" w:rsidR="00542539" w:rsidRPr="00177418" w:rsidRDefault="00DE35BC" w:rsidP="00E07370">
            <w:r w:rsidRPr="00177418">
              <w:t xml:space="preserve">Variable Operating </w:t>
            </w:r>
            <w:r w:rsidR="00542539" w:rsidRPr="00177418">
              <w:t>Cost</w:t>
            </w:r>
          </w:p>
        </w:tc>
        <w:tc>
          <w:tcPr>
            <w:tcW w:w="0" w:type="auto"/>
            <w:tcMar>
              <w:left w:w="29" w:type="dxa"/>
              <w:right w:w="29" w:type="dxa"/>
            </w:tcMar>
            <w:vAlign w:val="center"/>
          </w:tcPr>
          <w:p w14:paraId="5913F2E4" w14:textId="7D65BED4" w:rsidR="00542539" w:rsidRPr="00177418" w:rsidRDefault="00542539" w:rsidP="00E07370">
            <w:r w:rsidRPr="00177418">
              <w:t xml:space="preserve">US$2014/ </w:t>
            </w:r>
            <w:r w:rsidR="00DE35BC" w:rsidRPr="00177418">
              <w:t>k</w:t>
            </w:r>
            <w:r w:rsidRPr="00177418">
              <w:t>Wh</w:t>
            </w:r>
            <w:r w:rsidR="00010843" w:rsidRPr="00177418">
              <w:t xml:space="preserve"> </w:t>
            </w:r>
            <w:r w:rsidR="00DE35BC" w:rsidRPr="00177418">
              <w:t>(</w:t>
            </w:r>
            <w:r w:rsidRPr="00177418">
              <w:t>th)</w:t>
            </w:r>
          </w:p>
        </w:tc>
        <w:tc>
          <w:tcPr>
            <w:tcW w:w="0" w:type="auto"/>
            <w:vAlign w:val="center"/>
          </w:tcPr>
          <w:p w14:paraId="6D5A05E4" w14:textId="4356B437" w:rsidR="00542539" w:rsidRPr="00177418" w:rsidRDefault="00DE35BC" w:rsidP="00B876EF">
            <w:pPr>
              <w:jc w:val="center"/>
            </w:pPr>
            <w:r w:rsidRPr="00177418">
              <w:t>0.0</w:t>
            </w:r>
            <w:r w:rsidR="00046E75">
              <w:t>04</w:t>
            </w:r>
            <w:r w:rsidRPr="00177418">
              <w:t>-0.1</w:t>
            </w:r>
            <w:r w:rsidR="00046E75">
              <w:t>57</w:t>
            </w:r>
          </w:p>
        </w:tc>
        <w:tc>
          <w:tcPr>
            <w:tcW w:w="0" w:type="auto"/>
            <w:vAlign w:val="center"/>
          </w:tcPr>
          <w:p w14:paraId="31A0FFB4" w14:textId="704C7CB7" w:rsidR="00542539" w:rsidRPr="00177418" w:rsidRDefault="00DE35BC" w:rsidP="00B876EF">
            <w:pPr>
              <w:jc w:val="center"/>
            </w:pPr>
            <w:r w:rsidRPr="00177418">
              <w:t>0.0</w:t>
            </w:r>
            <w:r w:rsidR="00046E75">
              <w:t>74</w:t>
            </w:r>
          </w:p>
        </w:tc>
        <w:tc>
          <w:tcPr>
            <w:tcW w:w="0" w:type="auto"/>
            <w:vAlign w:val="center"/>
          </w:tcPr>
          <w:p w14:paraId="087E6A3F" w14:textId="0A2DEDF2" w:rsidR="00542539" w:rsidRPr="00177418" w:rsidRDefault="00DE35BC" w:rsidP="00E07370">
            <w:r w:rsidRPr="00177418">
              <w:t>8</w:t>
            </w:r>
          </w:p>
        </w:tc>
        <w:tc>
          <w:tcPr>
            <w:tcW w:w="0" w:type="auto"/>
            <w:vAlign w:val="center"/>
          </w:tcPr>
          <w:p w14:paraId="74BE9BCB" w14:textId="41597769" w:rsidR="00542539" w:rsidRPr="00177418" w:rsidRDefault="00046E75" w:rsidP="00E07370">
            <w:r>
              <w:t>2</w:t>
            </w:r>
          </w:p>
        </w:tc>
      </w:tr>
      <w:tr w:rsidR="003105CD" w:rsidRPr="00177418" w14:paraId="5F8F0B92" w14:textId="77777777" w:rsidTr="0050042C">
        <w:trPr>
          <w:cantSplit/>
        </w:trPr>
        <w:tc>
          <w:tcPr>
            <w:tcW w:w="0" w:type="auto"/>
            <w:vAlign w:val="center"/>
          </w:tcPr>
          <w:p w14:paraId="73F28262" w14:textId="77777777" w:rsidR="004225AE" w:rsidRPr="00177418" w:rsidRDefault="004225AE" w:rsidP="00E07370">
            <w:r w:rsidRPr="00177418">
              <w:t>Discount Rate for Future Cash flows</w:t>
            </w:r>
          </w:p>
        </w:tc>
        <w:tc>
          <w:tcPr>
            <w:tcW w:w="0" w:type="auto"/>
            <w:tcMar>
              <w:left w:w="29" w:type="dxa"/>
              <w:right w:w="29" w:type="dxa"/>
            </w:tcMar>
            <w:vAlign w:val="center"/>
          </w:tcPr>
          <w:p w14:paraId="3980D6B3" w14:textId="77777777" w:rsidR="004225AE" w:rsidRPr="00177418" w:rsidRDefault="004225AE" w:rsidP="00E07370">
            <w:r w:rsidRPr="00177418">
              <w:t>percent</w:t>
            </w:r>
          </w:p>
        </w:tc>
        <w:tc>
          <w:tcPr>
            <w:tcW w:w="0" w:type="auto"/>
            <w:vAlign w:val="center"/>
          </w:tcPr>
          <w:p w14:paraId="1EB9567D" w14:textId="53EDCF5A" w:rsidR="004225AE" w:rsidRPr="00177418" w:rsidRDefault="004225AE" w:rsidP="00B876EF">
            <w:pPr>
              <w:jc w:val="center"/>
              <w:rPr>
                <w:highlight w:val="yellow"/>
              </w:rPr>
            </w:pPr>
            <w:r w:rsidRPr="00177418">
              <w:t>3%-</w:t>
            </w:r>
            <w:r w:rsidR="009B5628">
              <w:t>5</w:t>
            </w:r>
            <w:r w:rsidRPr="00177418">
              <w:t>%</w:t>
            </w:r>
          </w:p>
        </w:tc>
        <w:tc>
          <w:tcPr>
            <w:tcW w:w="0" w:type="auto"/>
            <w:vAlign w:val="center"/>
          </w:tcPr>
          <w:p w14:paraId="4737BB7F" w14:textId="487AB3ED" w:rsidR="004225AE" w:rsidRPr="00177418" w:rsidRDefault="004225AE" w:rsidP="00B876EF">
            <w:pPr>
              <w:jc w:val="center"/>
              <w:rPr>
                <w:highlight w:val="yellow"/>
              </w:rPr>
            </w:pPr>
            <w:r w:rsidRPr="00177418">
              <w:t>4%</w:t>
            </w:r>
          </w:p>
        </w:tc>
        <w:tc>
          <w:tcPr>
            <w:tcW w:w="0" w:type="auto"/>
            <w:vAlign w:val="center"/>
          </w:tcPr>
          <w:p w14:paraId="4020D8EB" w14:textId="653891B3" w:rsidR="004225AE" w:rsidRPr="00177418" w:rsidRDefault="009B5628" w:rsidP="00E07370">
            <w:pPr>
              <w:rPr>
                <w:highlight w:val="yellow"/>
              </w:rPr>
            </w:pPr>
            <w:r>
              <w:t>6</w:t>
            </w:r>
          </w:p>
        </w:tc>
        <w:tc>
          <w:tcPr>
            <w:tcW w:w="0" w:type="auto"/>
            <w:vAlign w:val="center"/>
          </w:tcPr>
          <w:p w14:paraId="472E8AC9" w14:textId="463A7058" w:rsidR="004225AE" w:rsidRPr="00177418" w:rsidRDefault="009B5628" w:rsidP="00E07370">
            <w:r>
              <w:t>5</w:t>
            </w:r>
          </w:p>
        </w:tc>
      </w:tr>
    </w:tbl>
    <w:p w14:paraId="5B3F0F91" w14:textId="2CB44FD9" w:rsidR="00854102" w:rsidRPr="00177418" w:rsidRDefault="00854102" w:rsidP="00E07370"/>
    <w:p w14:paraId="56F5BC32" w14:textId="6DEDE415" w:rsidR="001D17E8" w:rsidRPr="00177418" w:rsidRDefault="00686965" w:rsidP="00E07370">
      <w:pPr>
        <w:pStyle w:val="Heading3"/>
      </w:pPr>
      <w:bookmarkStart w:id="71" w:name="_Ref2239214"/>
      <w:bookmarkStart w:id="72" w:name="_Toc44510672"/>
      <w:r w:rsidRPr="00177418">
        <w:t>Technical Inputs</w:t>
      </w:r>
      <w:bookmarkEnd w:id="71"/>
      <w:bookmarkEnd w:id="72"/>
    </w:p>
    <w:p w14:paraId="5A53DF62" w14:textId="1D9FACBA" w:rsidR="004803BB" w:rsidRPr="00A16CDE" w:rsidRDefault="004803BB" w:rsidP="00E07370">
      <w:r w:rsidRPr="00A16CDE">
        <w:t xml:space="preserve">Besides strictly climate and financial inputs, several general variables were used in the analysis which had important impacts on both the climate and financial results. These are described hereunder. </w:t>
      </w:r>
    </w:p>
    <w:p w14:paraId="3BC30160" w14:textId="77777777" w:rsidR="004803BB" w:rsidRPr="00A16CDE" w:rsidRDefault="004803BB" w:rsidP="00E07370">
      <w:pPr>
        <w:pStyle w:val="Heading4"/>
        <w:rPr>
          <w:rFonts w:cs="Times New Roman"/>
        </w:rPr>
      </w:pPr>
      <w:r w:rsidRPr="00A16CDE">
        <w:lastRenderedPageBreak/>
        <w:t xml:space="preserve">Energy Consumption and Efficiency Variables </w:t>
      </w:r>
    </w:p>
    <w:p w14:paraId="69D3A625" w14:textId="1CC1CEF9" w:rsidR="007674D0" w:rsidRPr="00A16CDE" w:rsidRDefault="004803BB" w:rsidP="00E07370">
      <w:r w:rsidRPr="00A16CDE">
        <w:t xml:space="preserve">The model inputs for energy and fuel efficiency factors are essential for calculating the reductions in energy use </w:t>
      </w:r>
      <w:r w:rsidR="00AB3609" w:rsidRPr="00A16CDE">
        <w:t>for water heating</w:t>
      </w:r>
      <w:r w:rsidRPr="00A16CDE">
        <w:t xml:space="preserve"> in buildings </w:t>
      </w:r>
      <w:r w:rsidR="00AB3609" w:rsidRPr="00A16CDE">
        <w:t>using solar water heating systems</w:t>
      </w:r>
      <w:r w:rsidRPr="00A16CDE">
        <w:t xml:space="preserve">. </w:t>
      </w:r>
      <w:r w:rsidR="00A0310F" w:rsidRPr="00A16CDE">
        <w:t xml:space="preserve">Efficiency factors listed in </w:t>
      </w:r>
      <w:r w:rsidR="00BD1B9B">
        <w:fldChar w:fldCharType="begin"/>
      </w:r>
      <w:r w:rsidR="00BD1B9B">
        <w:instrText xml:space="preserve"> REF _Ref535836750 \h </w:instrText>
      </w:r>
      <w:r w:rsidR="0084331F">
        <w:instrText xml:space="preserve"> \* MERGEFORMAT </w:instrText>
      </w:r>
      <w:r w:rsidR="00BD1B9B">
        <w:fldChar w:fldCharType="separate"/>
      </w:r>
      <w:r w:rsidR="001142D0" w:rsidRPr="003F5943">
        <w:t xml:space="preserve">Table </w:t>
      </w:r>
      <w:r w:rsidR="001142D0">
        <w:rPr>
          <w:noProof/>
        </w:rPr>
        <w:t>2.4</w:t>
      </w:r>
      <w:r w:rsidR="00BD1B9B">
        <w:fldChar w:fldCharType="end"/>
      </w:r>
      <w:r w:rsidR="00BD1B9B">
        <w:t xml:space="preserve"> </w:t>
      </w:r>
      <w:r w:rsidR="00A0310F" w:rsidRPr="00A16CDE">
        <w:t>were adopted from peer reviewed publications and research reports.</w:t>
      </w:r>
    </w:p>
    <w:p w14:paraId="3CE5966B" w14:textId="76379654" w:rsidR="000875B5" w:rsidRPr="003F5943" w:rsidRDefault="000875B5" w:rsidP="006831EE">
      <w:pPr>
        <w:pStyle w:val="Caption"/>
        <w:rPr>
          <w:rFonts w:asciiTheme="majorHAnsi" w:eastAsiaTheme="majorEastAsia" w:hAnsiTheme="majorHAnsi" w:cstheme="majorBidi"/>
          <w:b/>
          <w:bCs/>
          <w:color w:val="000000" w:themeColor="text1"/>
          <w:lang w:eastAsia="zh-CN"/>
        </w:rPr>
      </w:pPr>
      <w:bookmarkStart w:id="73" w:name="_Ref535836750"/>
      <w:bookmarkStart w:id="74" w:name="_Toc44510698"/>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2</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4</w:t>
      </w:r>
      <w:r w:rsidR="00CA08B6">
        <w:rPr>
          <w:noProof/>
        </w:rPr>
        <w:fldChar w:fldCharType="end"/>
      </w:r>
      <w:bookmarkEnd w:id="73"/>
      <w:r w:rsidRPr="003F5943">
        <w:t xml:space="preserve"> </w:t>
      </w:r>
      <w:r w:rsidR="00C33EE3" w:rsidRPr="003F5943">
        <w:t xml:space="preserve">Key </w:t>
      </w:r>
      <w:r w:rsidR="004803BB" w:rsidRPr="003F5943">
        <w:t>Technical Inputs</w:t>
      </w:r>
      <w:r w:rsidR="00E978D4" w:rsidRPr="003F5943">
        <w:t xml:space="preserve"> </w:t>
      </w:r>
      <w:r w:rsidR="00C33EE3" w:rsidRPr="003F5943">
        <w:t>for Energy Consumption and Efficiency</w:t>
      </w:r>
      <w:bookmarkEnd w:id="74"/>
    </w:p>
    <w:tbl>
      <w:tblPr>
        <w:tblStyle w:val="TableGrid"/>
        <w:tblW w:w="0" w:type="auto"/>
        <w:tblLayout w:type="fixed"/>
        <w:tblLook w:val="04A0" w:firstRow="1" w:lastRow="0" w:firstColumn="1" w:lastColumn="0" w:noHBand="0" w:noVBand="1"/>
      </w:tblPr>
      <w:tblGrid>
        <w:gridCol w:w="2905"/>
        <w:gridCol w:w="1574"/>
        <w:gridCol w:w="1611"/>
        <w:gridCol w:w="1025"/>
        <w:gridCol w:w="757"/>
        <w:gridCol w:w="1478"/>
      </w:tblGrid>
      <w:tr w:rsidR="00473BC1" w:rsidRPr="00883E57" w14:paraId="5ED02125" w14:textId="77777777" w:rsidTr="0050042C">
        <w:trPr>
          <w:cantSplit/>
          <w:tblHeader/>
        </w:trPr>
        <w:tc>
          <w:tcPr>
            <w:tcW w:w="2905" w:type="dxa"/>
            <w:shd w:val="clear" w:color="auto" w:fill="4F81BD" w:themeFill="accent1"/>
            <w:vAlign w:val="center"/>
          </w:tcPr>
          <w:p w14:paraId="6ED20820" w14:textId="77777777" w:rsidR="00473BC1" w:rsidRPr="00883E57" w:rsidRDefault="00473BC1" w:rsidP="00E07370">
            <w:pPr>
              <w:rPr>
                <w:b/>
                <w:color w:val="FFFFFF" w:themeColor="background1"/>
              </w:rPr>
            </w:pPr>
            <w:r w:rsidRPr="00883E57">
              <w:rPr>
                <w:b/>
                <w:color w:val="FFFFFF" w:themeColor="background1"/>
              </w:rPr>
              <w:t>Variable</w:t>
            </w:r>
          </w:p>
        </w:tc>
        <w:tc>
          <w:tcPr>
            <w:tcW w:w="1574" w:type="dxa"/>
            <w:shd w:val="clear" w:color="auto" w:fill="4F81BD" w:themeFill="accent1"/>
            <w:vAlign w:val="center"/>
          </w:tcPr>
          <w:p w14:paraId="0A8E9DCD" w14:textId="77777777" w:rsidR="00473BC1" w:rsidRPr="00883E57" w:rsidRDefault="00473BC1" w:rsidP="00E07370">
            <w:pPr>
              <w:rPr>
                <w:b/>
                <w:color w:val="FFFFFF" w:themeColor="background1"/>
              </w:rPr>
            </w:pPr>
            <w:r w:rsidRPr="00883E57">
              <w:rPr>
                <w:b/>
                <w:color w:val="FFFFFF" w:themeColor="background1"/>
              </w:rPr>
              <w:t>Unit</w:t>
            </w:r>
          </w:p>
        </w:tc>
        <w:tc>
          <w:tcPr>
            <w:tcW w:w="1611" w:type="dxa"/>
            <w:shd w:val="clear" w:color="auto" w:fill="4F81BD" w:themeFill="accent1"/>
            <w:vAlign w:val="center"/>
          </w:tcPr>
          <w:p w14:paraId="1C4883C9" w14:textId="77777777" w:rsidR="00473BC1" w:rsidRPr="00883E57" w:rsidRDefault="00473BC1" w:rsidP="00E07370">
            <w:pPr>
              <w:rPr>
                <w:b/>
                <w:color w:val="FFFFFF" w:themeColor="background1"/>
              </w:rPr>
            </w:pPr>
            <w:r w:rsidRPr="00883E57">
              <w:rPr>
                <w:b/>
                <w:color w:val="FFFFFF" w:themeColor="background1"/>
              </w:rPr>
              <w:t>Project Drawdown Data Set Range</w:t>
            </w:r>
          </w:p>
        </w:tc>
        <w:tc>
          <w:tcPr>
            <w:tcW w:w="1025" w:type="dxa"/>
            <w:shd w:val="clear" w:color="auto" w:fill="4F81BD" w:themeFill="accent1"/>
            <w:vAlign w:val="center"/>
          </w:tcPr>
          <w:p w14:paraId="24F48658" w14:textId="77777777" w:rsidR="00473BC1" w:rsidRPr="00883E57" w:rsidRDefault="00473BC1" w:rsidP="00E07370">
            <w:pPr>
              <w:rPr>
                <w:b/>
                <w:color w:val="FFFFFF" w:themeColor="background1"/>
              </w:rPr>
            </w:pPr>
            <w:r w:rsidRPr="00883E57">
              <w:rPr>
                <w:b/>
                <w:color w:val="FFFFFF" w:themeColor="background1"/>
              </w:rPr>
              <w:t>Model Input</w:t>
            </w:r>
          </w:p>
        </w:tc>
        <w:tc>
          <w:tcPr>
            <w:tcW w:w="757" w:type="dxa"/>
            <w:shd w:val="clear" w:color="auto" w:fill="4F81BD" w:themeFill="accent1"/>
            <w:tcMar>
              <w:left w:w="29" w:type="dxa"/>
              <w:right w:w="29" w:type="dxa"/>
            </w:tcMar>
            <w:vAlign w:val="center"/>
          </w:tcPr>
          <w:p w14:paraId="53D2AD04" w14:textId="77777777" w:rsidR="00473BC1" w:rsidRPr="00883E57" w:rsidRDefault="00473BC1" w:rsidP="00E07370">
            <w:pPr>
              <w:rPr>
                <w:b/>
                <w:color w:val="FFFFFF" w:themeColor="background1"/>
              </w:rPr>
            </w:pPr>
            <w:r w:rsidRPr="00883E57">
              <w:rPr>
                <w:b/>
                <w:color w:val="FFFFFF" w:themeColor="background1"/>
              </w:rPr>
              <w:t>Data-points (#)</w:t>
            </w:r>
          </w:p>
        </w:tc>
        <w:tc>
          <w:tcPr>
            <w:tcW w:w="1478" w:type="dxa"/>
            <w:shd w:val="clear" w:color="auto" w:fill="4F81BD" w:themeFill="accent1"/>
            <w:tcMar>
              <w:left w:w="29" w:type="dxa"/>
              <w:right w:w="29" w:type="dxa"/>
            </w:tcMar>
            <w:vAlign w:val="center"/>
          </w:tcPr>
          <w:p w14:paraId="5444647E" w14:textId="77777777" w:rsidR="00473BC1" w:rsidRPr="00883E57" w:rsidRDefault="00473BC1" w:rsidP="00E07370">
            <w:pPr>
              <w:rPr>
                <w:b/>
                <w:color w:val="FFFFFF" w:themeColor="background1"/>
              </w:rPr>
            </w:pPr>
            <w:r w:rsidRPr="00883E57">
              <w:rPr>
                <w:b/>
                <w:color w:val="FFFFFF" w:themeColor="background1"/>
              </w:rPr>
              <w:t>Sources (#)</w:t>
            </w:r>
          </w:p>
        </w:tc>
      </w:tr>
      <w:tr w:rsidR="00473BC1" w:rsidRPr="00177418" w14:paraId="48D4A371" w14:textId="77777777" w:rsidTr="002325CE">
        <w:trPr>
          <w:cantSplit/>
        </w:trPr>
        <w:tc>
          <w:tcPr>
            <w:tcW w:w="2905" w:type="dxa"/>
            <w:vAlign w:val="center"/>
          </w:tcPr>
          <w:p w14:paraId="71946D71" w14:textId="144D71CD" w:rsidR="00473BC1" w:rsidRPr="00177418" w:rsidRDefault="00473BC1" w:rsidP="002325CE">
            <w:pPr>
              <w:spacing w:after="0"/>
              <w:jc w:val="center"/>
            </w:pPr>
            <w:r w:rsidRPr="00177418">
              <w:t xml:space="preserve">Electricity Consumed </w:t>
            </w:r>
            <w:r w:rsidR="00F8509A">
              <w:t>(</w:t>
            </w:r>
            <w:r w:rsidRPr="00177418">
              <w:t>Conventional</w:t>
            </w:r>
            <w:r w:rsidR="00F8509A">
              <w:t>)</w:t>
            </w:r>
          </w:p>
        </w:tc>
        <w:tc>
          <w:tcPr>
            <w:tcW w:w="1574" w:type="dxa"/>
            <w:vAlign w:val="center"/>
          </w:tcPr>
          <w:p w14:paraId="6637828E" w14:textId="46865446" w:rsidR="00473BC1" w:rsidRPr="00177418" w:rsidRDefault="00FD7E80" w:rsidP="00FD7E80">
            <w:pPr>
              <w:spacing w:after="0"/>
              <w:jc w:val="left"/>
            </w:pPr>
            <w:r w:rsidRPr="00177418">
              <w:t>TWh</w:t>
            </w:r>
            <w:r>
              <w:t>(e)/</w:t>
            </w:r>
            <w:r w:rsidRPr="00177418">
              <w:t xml:space="preserve"> TWh(th)</w:t>
            </w:r>
          </w:p>
        </w:tc>
        <w:tc>
          <w:tcPr>
            <w:tcW w:w="1611" w:type="dxa"/>
            <w:vAlign w:val="center"/>
          </w:tcPr>
          <w:p w14:paraId="7A988130" w14:textId="299CD172" w:rsidR="002559EF" w:rsidRPr="00177418" w:rsidRDefault="00473BC1" w:rsidP="0091007F">
            <w:pPr>
              <w:spacing w:after="0"/>
              <w:jc w:val="center"/>
            </w:pPr>
            <w:r w:rsidRPr="00177418">
              <w:t>0.</w:t>
            </w:r>
            <w:r w:rsidR="00F8509A">
              <w:t>25</w:t>
            </w:r>
            <w:r w:rsidR="00074B6E">
              <w:t>8</w:t>
            </w:r>
          </w:p>
        </w:tc>
        <w:tc>
          <w:tcPr>
            <w:tcW w:w="1025" w:type="dxa"/>
            <w:vAlign w:val="center"/>
          </w:tcPr>
          <w:p w14:paraId="47A0F517" w14:textId="3D1AA0D3" w:rsidR="00473BC1" w:rsidRPr="00177418" w:rsidRDefault="00473BC1" w:rsidP="00172266">
            <w:pPr>
              <w:spacing w:after="0"/>
              <w:jc w:val="center"/>
            </w:pPr>
            <w:r w:rsidRPr="00177418">
              <w:t>0.</w:t>
            </w:r>
            <w:r w:rsidR="00074B6E">
              <w:t>258</w:t>
            </w:r>
          </w:p>
        </w:tc>
        <w:tc>
          <w:tcPr>
            <w:tcW w:w="757" w:type="dxa"/>
            <w:vAlign w:val="center"/>
          </w:tcPr>
          <w:p w14:paraId="04E74781" w14:textId="136D0A7D" w:rsidR="00473BC1" w:rsidRPr="00177418" w:rsidRDefault="00074B6E" w:rsidP="002325CE">
            <w:pPr>
              <w:spacing w:after="0" w:line="240" w:lineRule="auto"/>
              <w:jc w:val="center"/>
            </w:pPr>
            <w:r>
              <w:t>1</w:t>
            </w:r>
          </w:p>
        </w:tc>
        <w:tc>
          <w:tcPr>
            <w:tcW w:w="1478" w:type="dxa"/>
            <w:vAlign w:val="center"/>
          </w:tcPr>
          <w:p w14:paraId="37AED2AA" w14:textId="55997565" w:rsidR="00473BC1" w:rsidRPr="003F5943" w:rsidRDefault="00074B6E" w:rsidP="002325CE">
            <w:pPr>
              <w:spacing w:after="0" w:line="240" w:lineRule="auto"/>
              <w:jc w:val="center"/>
              <w:rPr>
                <w:color w:val="FF0000"/>
              </w:rPr>
            </w:pPr>
            <w:r>
              <w:t>1</w:t>
            </w:r>
          </w:p>
        </w:tc>
      </w:tr>
      <w:tr w:rsidR="005656AC" w:rsidRPr="00177418" w14:paraId="0A934BCC" w14:textId="77777777" w:rsidTr="005656AC">
        <w:trPr>
          <w:cantSplit/>
        </w:trPr>
        <w:tc>
          <w:tcPr>
            <w:tcW w:w="2905" w:type="dxa"/>
            <w:vAlign w:val="center"/>
          </w:tcPr>
          <w:p w14:paraId="208EFE2B" w14:textId="2B24ED33" w:rsidR="005656AC" w:rsidRPr="00177418" w:rsidRDefault="005656AC" w:rsidP="005656AC">
            <w:pPr>
              <w:spacing w:after="0"/>
              <w:jc w:val="center"/>
            </w:pPr>
            <w:r>
              <w:t>Electrical Consumed (Solution)</w:t>
            </w:r>
          </w:p>
        </w:tc>
        <w:tc>
          <w:tcPr>
            <w:tcW w:w="1574" w:type="dxa"/>
            <w:vAlign w:val="center"/>
          </w:tcPr>
          <w:p w14:paraId="28B9827A" w14:textId="423D58D9" w:rsidR="005656AC" w:rsidRPr="00177418" w:rsidRDefault="00FD7E80" w:rsidP="00FD7E80">
            <w:pPr>
              <w:spacing w:after="0"/>
              <w:jc w:val="left"/>
            </w:pPr>
            <w:r w:rsidRPr="00177418">
              <w:t>TWh</w:t>
            </w:r>
            <w:r>
              <w:t>(e)/</w:t>
            </w:r>
            <w:r w:rsidRPr="00177418">
              <w:t xml:space="preserve"> TWh(th)</w:t>
            </w:r>
          </w:p>
        </w:tc>
        <w:tc>
          <w:tcPr>
            <w:tcW w:w="1611" w:type="dxa"/>
            <w:shd w:val="clear" w:color="auto" w:fill="auto"/>
            <w:vAlign w:val="center"/>
          </w:tcPr>
          <w:p w14:paraId="6FCF4767" w14:textId="3051B5F0" w:rsidR="005656AC" w:rsidRPr="005656AC" w:rsidRDefault="005656AC" w:rsidP="005656AC">
            <w:pPr>
              <w:spacing w:after="0"/>
              <w:jc w:val="center"/>
            </w:pPr>
            <w:r w:rsidRPr="005656AC">
              <w:t>0.036-0.036</w:t>
            </w:r>
          </w:p>
        </w:tc>
        <w:tc>
          <w:tcPr>
            <w:tcW w:w="1025" w:type="dxa"/>
            <w:vAlign w:val="center"/>
          </w:tcPr>
          <w:p w14:paraId="7DF32663" w14:textId="4590264F" w:rsidR="005656AC" w:rsidRPr="00177418" w:rsidRDefault="005656AC" w:rsidP="00172266">
            <w:pPr>
              <w:spacing w:after="0"/>
              <w:jc w:val="center"/>
            </w:pPr>
            <w:r>
              <w:t>0.036</w:t>
            </w:r>
          </w:p>
        </w:tc>
        <w:tc>
          <w:tcPr>
            <w:tcW w:w="757" w:type="dxa"/>
            <w:vAlign w:val="center"/>
          </w:tcPr>
          <w:p w14:paraId="74149A6C" w14:textId="46ED3798" w:rsidR="005656AC" w:rsidRPr="00177418" w:rsidRDefault="005656AC" w:rsidP="005656AC">
            <w:pPr>
              <w:spacing w:after="0" w:line="240" w:lineRule="auto"/>
              <w:jc w:val="center"/>
            </w:pPr>
            <w:r>
              <w:t>1</w:t>
            </w:r>
          </w:p>
        </w:tc>
        <w:tc>
          <w:tcPr>
            <w:tcW w:w="1478" w:type="dxa"/>
            <w:vAlign w:val="center"/>
          </w:tcPr>
          <w:p w14:paraId="5575282E" w14:textId="062D9503" w:rsidR="005656AC" w:rsidRPr="00177418" w:rsidRDefault="005656AC" w:rsidP="005656AC">
            <w:pPr>
              <w:spacing w:after="0" w:line="240" w:lineRule="auto"/>
              <w:jc w:val="center"/>
            </w:pPr>
            <w:r>
              <w:t>1</w:t>
            </w:r>
          </w:p>
        </w:tc>
      </w:tr>
      <w:tr w:rsidR="005656AC" w:rsidRPr="00177418" w14:paraId="0C93C298" w14:textId="77777777" w:rsidTr="005656AC">
        <w:trPr>
          <w:cantSplit/>
        </w:trPr>
        <w:tc>
          <w:tcPr>
            <w:tcW w:w="2905" w:type="dxa"/>
            <w:vAlign w:val="center"/>
          </w:tcPr>
          <w:p w14:paraId="4FCF97D7" w14:textId="7F2B79DE" w:rsidR="005656AC" w:rsidRPr="00177418" w:rsidRDefault="005656AC" w:rsidP="005656AC">
            <w:pPr>
              <w:spacing w:after="0"/>
              <w:jc w:val="center"/>
            </w:pPr>
            <w:r w:rsidRPr="00177418">
              <w:t xml:space="preserve">Fuel Consumed </w:t>
            </w:r>
            <w:r>
              <w:t>(</w:t>
            </w:r>
            <w:r w:rsidRPr="00177418">
              <w:t>Conventional</w:t>
            </w:r>
            <w:r>
              <w:t>)</w:t>
            </w:r>
          </w:p>
        </w:tc>
        <w:tc>
          <w:tcPr>
            <w:tcW w:w="1574" w:type="dxa"/>
            <w:vAlign w:val="center"/>
          </w:tcPr>
          <w:p w14:paraId="6A00FEED" w14:textId="77777777" w:rsidR="005656AC" w:rsidRPr="00177418" w:rsidRDefault="005656AC" w:rsidP="00FD7E80">
            <w:pPr>
              <w:spacing w:after="0"/>
              <w:jc w:val="left"/>
            </w:pPr>
            <w:r w:rsidRPr="00177418">
              <w:t>TJ/ TWh(th)</w:t>
            </w:r>
          </w:p>
        </w:tc>
        <w:tc>
          <w:tcPr>
            <w:tcW w:w="1611" w:type="dxa"/>
            <w:shd w:val="clear" w:color="auto" w:fill="auto"/>
            <w:vAlign w:val="center"/>
          </w:tcPr>
          <w:p w14:paraId="4340B28C" w14:textId="696EB469" w:rsidR="005656AC" w:rsidRPr="005656AC" w:rsidRDefault="005656AC" w:rsidP="005656AC">
            <w:pPr>
              <w:spacing w:after="0"/>
              <w:jc w:val="center"/>
            </w:pPr>
            <w:r w:rsidRPr="005656AC">
              <w:t>4,5</w:t>
            </w:r>
            <w:r w:rsidR="00ED448D">
              <w:t>15</w:t>
            </w:r>
          </w:p>
        </w:tc>
        <w:tc>
          <w:tcPr>
            <w:tcW w:w="1025" w:type="dxa"/>
            <w:vAlign w:val="center"/>
          </w:tcPr>
          <w:p w14:paraId="240E86A5" w14:textId="676C4B32" w:rsidR="005656AC" w:rsidRPr="00177418" w:rsidRDefault="005656AC" w:rsidP="00172266">
            <w:pPr>
              <w:spacing w:after="0"/>
              <w:jc w:val="center"/>
            </w:pPr>
            <w:r>
              <w:t>4,5</w:t>
            </w:r>
            <w:r w:rsidR="00ED448D">
              <w:t>15</w:t>
            </w:r>
          </w:p>
        </w:tc>
        <w:tc>
          <w:tcPr>
            <w:tcW w:w="757" w:type="dxa"/>
            <w:vAlign w:val="center"/>
          </w:tcPr>
          <w:p w14:paraId="5C501CFD" w14:textId="5360EAB2" w:rsidR="005656AC" w:rsidRPr="00177418" w:rsidRDefault="005656AC" w:rsidP="005656AC">
            <w:pPr>
              <w:spacing w:after="0" w:line="240" w:lineRule="auto"/>
              <w:jc w:val="center"/>
            </w:pPr>
            <w:r>
              <w:t>1</w:t>
            </w:r>
          </w:p>
        </w:tc>
        <w:tc>
          <w:tcPr>
            <w:tcW w:w="1478" w:type="dxa"/>
            <w:vAlign w:val="center"/>
          </w:tcPr>
          <w:p w14:paraId="087506D5" w14:textId="481896AA" w:rsidR="005656AC" w:rsidRPr="00177418" w:rsidRDefault="005656AC" w:rsidP="005656AC">
            <w:pPr>
              <w:spacing w:after="0" w:line="240" w:lineRule="auto"/>
              <w:jc w:val="center"/>
            </w:pPr>
            <w:r>
              <w:t>1</w:t>
            </w:r>
          </w:p>
        </w:tc>
      </w:tr>
      <w:tr w:rsidR="005656AC" w:rsidRPr="00177418" w14:paraId="56B0561B" w14:textId="77777777" w:rsidTr="002325CE">
        <w:trPr>
          <w:cantSplit/>
        </w:trPr>
        <w:tc>
          <w:tcPr>
            <w:tcW w:w="2905" w:type="dxa"/>
            <w:vAlign w:val="center"/>
          </w:tcPr>
          <w:p w14:paraId="1B9CF0F3" w14:textId="3FF0F5B1" w:rsidR="005656AC" w:rsidRPr="00177418" w:rsidRDefault="005656AC" w:rsidP="005656AC">
            <w:pPr>
              <w:spacing w:after="0"/>
              <w:jc w:val="center"/>
            </w:pPr>
            <w:r w:rsidRPr="00177418">
              <w:t xml:space="preserve">Fuel </w:t>
            </w:r>
            <w:r>
              <w:t>Efficiency Factor (Solution)</w:t>
            </w:r>
          </w:p>
        </w:tc>
        <w:tc>
          <w:tcPr>
            <w:tcW w:w="1574" w:type="dxa"/>
            <w:vAlign w:val="center"/>
          </w:tcPr>
          <w:p w14:paraId="6ED468CD" w14:textId="77777777" w:rsidR="005656AC" w:rsidRPr="00177418" w:rsidRDefault="005656AC" w:rsidP="00FD7E80">
            <w:pPr>
              <w:spacing w:after="0"/>
              <w:jc w:val="left"/>
            </w:pPr>
            <w:r w:rsidRPr="00177418">
              <w:t>percent</w:t>
            </w:r>
          </w:p>
        </w:tc>
        <w:tc>
          <w:tcPr>
            <w:tcW w:w="1611" w:type="dxa"/>
            <w:vAlign w:val="center"/>
          </w:tcPr>
          <w:p w14:paraId="65C56819" w14:textId="0F125B14" w:rsidR="005656AC" w:rsidRPr="00177418" w:rsidRDefault="005656AC" w:rsidP="005656AC">
            <w:pPr>
              <w:spacing w:after="0"/>
              <w:jc w:val="center"/>
            </w:pPr>
            <w:r>
              <w:t>100%</w:t>
            </w:r>
          </w:p>
        </w:tc>
        <w:tc>
          <w:tcPr>
            <w:tcW w:w="1025" w:type="dxa"/>
            <w:vAlign w:val="center"/>
          </w:tcPr>
          <w:p w14:paraId="61376903" w14:textId="609968B6" w:rsidR="005656AC" w:rsidRPr="00177418" w:rsidRDefault="005656AC" w:rsidP="00172266">
            <w:pPr>
              <w:spacing w:after="0"/>
              <w:jc w:val="center"/>
            </w:pPr>
            <w:r>
              <w:t>100%</w:t>
            </w:r>
          </w:p>
        </w:tc>
        <w:tc>
          <w:tcPr>
            <w:tcW w:w="757" w:type="dxa"/>
            <w:vAlign w:val="center"/>
          </w:tcPr>
          <w:p w14:paraId="25C48171" w14:textId="7D0492D5" w:rsidR="005656AC" w:rsidRPr="00177418" w:rsidRDefault="005656AC" w:rsidP="005656AC">
            <w:pPr>
              <w:spacing w:after="0" w:line="240" w:lineRule="auto"/>
              <w:jc w:val="center"/>
            </w:pPr>
            <w:r>
              <w:t>N/A</w:t>
            </w:r>
          </w:p>
        </w:tc>
        <w:tc>
          <w:tcPr>
            <w:tcW w:w="1478" w:type="dxa"/>
            <w:vAlign w:val="center"/>
          </w:tcPr>
          <w:p w14:paraId="7EA68E5C" w14:textId="23539A68" w:rsidR="005656AC" w:rsidRPr="00177418" w:rsidRDefault="005656AC" w:rsidP="005656AC">
            <w:pPr>
              <w:spacing w:after="0" w:line="240" w:lineRule="auto"/>
              <w:jc w:val="center"/>
            </w:pPr>
            <w:r>
              <w:t>N/A</w:t>
            </w:r>
          </w:p>
        </w:tc>
      </w:tr>
    </w:tbl>
    <w:p w14:paraId="00FF52BD" w14:textId="63752C52" w:rsidR="00473BC1" w:rsidRPr="00177418" w:rsidRDefault="00473BC1" w:rsidP="00E07370">
      <w:r w:rsidRPr="00177418">
        <w:rPr>
          <w:highlight w:val="cyan"/>
        </w:rPr>
        <w:t xml:space="preserve"> </w:t>
      </w:r>
    </w:p>
    <w:p w14:paraId="037AA516" w14:textId="504FFA91" w:rsidR="00580FDA" w:rsidRPr="00177418" w:rsidRDefault="00580FDA" w:rsidP="00E07370">
      <w:pPr>
        <w:pStyle w:val="Heading4"/>
      </w:pPr>
      <w:r w:rsidRPr="00177418">
        <w:t>Lifetime variables</w:t>
      </w:r>
    </w:p>
    <w:p w14:paraId="18EFA6FA" w14:textId="5BFFCF6F" w:rsidR="000875B5" w:rsidRPr="00177418" w:rsidRDefault="00A0310F" w:rsidP="00E07370">
      <w:r w:rsidRPr="00177418">
        <w:t xml:space="preserve">A range of life-time assumptions were </w:t>
      </w:r>
      <w:r w:rsidR="00D35AA7">
        <w:t>obtained</w:t>
      </w:r>
      <w:r w:rsidRPr="00177418">
        <w:t xml:space="preserve"> for the technology from literature (IEA-SHC, 2012.). Typically, collectors last more than 20 years. Chinese solar thermal systems tend to have life times of only 10 years, while other systems can have lifetimes ranging to 30 years. These values (see </w:t>
      </w:r>
      <w:r w:rsidR="00BD1B9B">
        <w:fldChar w:fldCharType="begin"/>
      </w:r>
      <w:r w:rsidR="00BD1B9B">
        <w:instrText xml:space="preserve"> REF _Ref535836771 \h </w:instrText>
      </w:r>
      <w:r w:rsidR="0084331F">
        <w:instrText xml:space="preserve"> \* MERGEFORMAT </w:instrText>
      </w:r>
      <w:r w:rsidR="00BD1B9B">
        <w:fldChar w:fldCharType="separate"/>
      </w:r>
      <w:r w:rsidR="001142D0" w:rsidRPr="00177418">
        <w:t xml:space="preserve">Table </w:t>
      </w:r>
      <w:r w:rsidR="001142D0">
        <w:rPr>
          <w:noProof/>
        </w:rPr>
        <w:t>2.5</w:t>
      </w:r>
      <w:r w:rsidR="00BD1B9B">
        <w:fldChar w:fldCharType="end"/>
      </w:r>
      <w:r w:rsidRPr="00177418">
        <w:t xml:space="preserve">) are used to calculate the inputs to the model (the reader should keep in mind that the average annual use and lifetime inputs are in </w:t>
      </w:r>
      <w:r w:rsidRPr="002325CE">
        <w:rPr>
          <w:i/>
        </w:rPr>
        <w:t>functional units</w:t>
      </w:r>
      <w:r w:rsidR="00092646" w:rsidRPr="002325CE">
        <w:rPr>
          <w:i/>
        </w:rPr>
        <w:t xml:space="preserve"> per installed implementation unit</w:t>
      </w:r>
      <w:r w:rsidRPr="00177418">
        <w:t xml:space="preserve">, which </w:t>
      </w:r>
      <w:r w:rsidR="002325CE">
        <w:t>is</w:t>
      </w:r>
      <w:r w:rsidRPr="00177418">
        <w:t xml:space="preserve"> in TWh (th)</w:t>
      </w:r>
      <w:r w:rsidR="00092646">
        <w:t>/ TW</w:t>
      </w:r>
      <w:r w:rsidRPr="00177418">
        <w:t>. The lifetime was mainly used as an indicator of when replacement units needed to be purchased, and as the conventional technology was not costed in the analysis (assumed to be needed alongside the solution), a nominal lifetime of 1 was entered (as both a lifetime capacity of 1 TWh (th)/TW and an annual average use of 1 TWh (th) /TW/yr.</w:t>
      </w:r>
    </w:p>
    <w:p w14:paraId="71759B8A" w14:textId="2CEE49FA" w:rsidR="00E978D4" w:rsidRPr="00177418" w:rsidRDefault="00E978D4" w:rsidP="006831EE">
      <w:pPr>
        <w:pStyle w:val="Caption"/>
        <w:rPr>
          <w:rFonts w:asciiTheme="majorHAnsi" w:eastAsiaTheme="majorEastAsia" w:hAnsiTheme="majorHAnsi" w:cstheme="majorBidi"/>
          <w:b/>
          <w:bCs/>
          <w:color w:val="000000" w:themeColor="text1"/>
          <w:sz w:val="23"/>
          <w:szCs w:val="23"/>
          <w:lang w:eastAsia="zh-CN"/>
        </w:rPr>
      </w:pPr>
      <w:bookmarkStart w:id="75" w:name="_Ref535836771"/>
      <w:bookmarkStart w:id="76" w:name="_Toc44510699"/>
      <w:r w:rsidRPr="00177418">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2</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5</w:t>
      </w:r>
      <w:r w:rsidR="00CA08B6">
        <w:rPr>
          <w:noProof/>
        </w:rPr>
        <w:fldChar w:fldCharType="end"/>
      </w:r>
      <w:bookmarkEnd w:id="75"/>
      <w:r w:rsidRPr="00177418">
        <w:t xml:space="preserve"> </w:t>
      </w:r>
      <w:r w:rsidR="00C33EE3" w:rsidRPr="00177418">
        <w:t xml:space="preserve">Key </w:t>
      </w:r>
      <w:r w:rsidRPr="00177418">
        <w:t xml:space="preserve">Technical Inputs </w:t>
      </w:r>
      <w:r w:rsidR="00C33EE3" w:rsidRPr="00177418">
        <w:t>for Usage and Lifetime</w:t>
      </w:r>
      <w:bookmarkEnd w:id="76"/>
    </w:p>
    <w:tbl>
      <w:tblPr>
        <w:tblStyle w:val="TableGrid"/>
        <w:tblW w:w="9668" w:type="dxa"/>
        <w:tblLayout w:type="fixed"/>
        <w:tblLook w:val="04A0" w:firstRow="1" w:lastRow="0" w:firstColumn="1" w:lastColumn="0" w:noHBand="0" w:noVBand="1"/>
      </w:tblPr>
      <w:tblGrid>
        <w:gridCol w:w="2842"/>
        <w:gridCol w:w="1473"/>
        <w:gridCol w:w="2338"/>
        <w:gridCol w:w="1180"/>
        <w:gridCol w:w="952"/>
        <w:gridCol w:w="883"/>
      </w:tblGrid>
      <w:tr w:rsidR="00473BC1" w:rsidRPr="00883E57" w14:paraId="2323A971" w14:textId="77777777" w:rsidTr="00F20BB9">
        <w:trPr>
          <w:cantSplit/>
          <w:tblHeader/>
        </w:trPr>
        <w:tc>
          <w:tcPr>
            <w:tcW w:w="2842" w:type="dxa"/>
            <w:shd w:val="clear" w:color="auto" w:fill="4F81BD" w:themeFill="accent1"/>
            <w:vAlign w:val="center"/>
          </w:tcPr>
          <w:p w14:paraId="59C41FC9" w14:textId="77777777" w:rsidR="00473BC1" w:rsidRPr="00883E57" w:rsidRDefault="00473BC1" w:rsidP="00E07370">
            <w:pPr>
              <w:rPr>
                <w:b/>
                <w:color w:val="FFFFFF" w:themeColor="background1"/>
              </w:rPr>
            </w:pPr>
            <w:r w:rsidRPr="00883E57">
              <w:rPr>
                <w:b/>
                <w:color w:val="FFFFFF" w:themeColor="background1"/>
              </w:rPr>
              <w:lastRenderedPageBreak/>
              <w:t>Variable</w:t>
            </w:r>
          </w:p>
        </w:tc>
        <w:tc>
          <w:tcPr>
            <w:tcW w:w="1473" w:type="dxa"/>
            <w:shd w:val="clear" w:color="auto" w:fill="4F81BD" w:themeFill="accent1"/>
            <w:vAlign w:val="center"/>
          </w:tcPr>
          <w:p w14:paraId="5404400E" w14:textId="77777777" w:rsidR="00473BC1" w:rsidRPr="00883E57" w:rsidRDefault="00473BC1" w:rsidP="00E07370">
            <w:pPr>
              <w:rPr>
                <w:b/>
                <w:color w:val="FFFFFF" w:themeColor="background1"/>
              </w:rPr>
            </w:pPr>
            <w:r w:rsidRPr="00883E57">
              <w:rPr>
                <w:b/>
                <w:color w:val="FFFFFF" w:themeColor="background1"/>
              </w:rPr>
              <w:t>Unit</w:t>
            </w:r>
          </w:p>
        </w:tc>
        <w:tc>
          <w:tcPr>
            <w:tcW w:w="2338" w:type="dxa"/>
            <w:shd w:val="clear" w:color="auto" w:fill="4F81BD" w:themeFill="accent1"/>
            <w:vAlign w:val="center"/>
          </w:tcPr>
          <w:p w14:paraId="421A315A" w14:textId="2B63D450" w:rsidR="00473BC1" w:rsidRPr="00883E57" w:rsidRDefault="00473BC1" w:rsidP="00E07370">
            <w:pPr>
              <w:rPr>
                <w:b/>
                <w:color w:val="FFFFFF" w:themeColor="background1"/>
              </w:rPr>
            </w:pPr>
            <w:r w:rsidRPr="00883E57">
              <w:rPr>
                <w:b/>
                <w:color w:val="FFFFFF" w:themeColor="background1"/>
              </w:rPr>
              <w:t>Project</w:t>
            </w:r>
            <w:r w:rsidR="00DB3F59" w:rsidRPr="00883E57">
              <w:rPr>
                <w:b/>
                <w:color w:val="FFFFFF" w:themeColor="background1"/>
              </w:rPr>
              <w:t xml:space="preserve"> </w:t>
            </w:r>
            <w:r w:rsidRPr="00883E57">
              <w:rPr>
                <w:b/>
                <w:color w:val="FFFFFF" w:themeColor="background1"/>
              </w:rPr>
              <w:t>Drawdown Data Set Range</w:t>
            </w:r>
          </w:p>
        </w:tc>
        <w:tc>
          <w:tcPr>
            <w:tcW w:w="1180" w:type="dxa"/>
            <w:shd w:val="clear" w:color="auto" w:fill="4F81BD" w:themeFill="accent1"/>
            <w:vAlign w:val="center"/>
          </w:tcPr>
          <w:p w14:paraId="01E4227D" w14:textId="77777777" w:rsidR="00473BC1" w:rsidRPr="00883E57" w:rsidRDefault="00473BC1" w:rsidP="00E07370">
            <w:pPr>
              <w:rPr>
                <w:b/>
                <w:color w:val="FFFFFF" w:themeColor="background1"/>
              </w:rPr>
            </w:pPr>
            <w:r w:rsidRPr="00883E57">
              <w:rPr>
                <w:b/>
                <w:color w:val="FFFFFF" w:themeColor="background1"/>
              </w:rPr>
              <w:t>Model Input</w:t>
            </w:r>
          </w:p>
        </w:tc>
        <w:tc>
          <w:tcPr>
            <w:tcW w:w="952" w:type="dxa"/>
            <w:shd w:val="clear" w:color="auto" w:fill="4F81BD" w:themeFill="accent1"/>
            <w:tcMar>
              <w:left w:w="29" w:type="dxa"/>
              <w:right w:w="29" w:type="dxa"/>
            </w:tcMar>
            <w:vAlign w:val="center"/>
          </w:tcPr>
          <w:p w14:paraId="280BD241" w14:textId="77777777" w:rsidR="00473BC1" w:rsidRPr="00883E57" w:rsidRDefault="00473BC1" w:rsidP="00E07370">
            <w:pPr>
              <w:rPr>
                <w:b/>
                <w:color w:val="FFFFFF" w:themeColor="background1"/>
              </w:rPr>
            </w:pPr>
            <w:r w:rsidRPr="00883E57">
              <w:rPr>
                <w:b/>
                <w:color w:val="FFFFFF" w:themeColor="background1"/>
              </w:rPr>
              <w:t>Data-points (#)</w:t>
            </w:r>
          </w:p>
        </w:tc>
        <w:tc>
          <w:tcPr>
            <w:tcW w:w="883" w:type="dxa"/>
            <w:shd w:val="clear" w:color="auto" w:fill="4F81BD" w:themeFill="accent1"/>
            <w:tcMar>
              <w:left w:w="29" w:type="dxa"/>
              <w:right w:w="29" w:type="dxa"/>
            </w:tcMar>
            <w:vAlign w:val="center"/>
          </w:tcPr>
          <w:p w14:paraId="688DCDF9" w14:textId="77777777" w:rsidR="00473BC1" w:rsidRPr="00883E57" w:rsidRDefault="00473BC1" w:rsidP="00E07370">
            <w:pPr>
              <w:rPr>
                <w:b/>
                <w:color w:val="FFFFFF" w:themeColor="background1"/>
              </w:rPr>
            </w:pPr>
            <w:r w:rsidRPr="00883E57">
              <w:rPr>
                <w:b/>
                <w:color w:val="FFFFFF" w:themeColor="background1"/>
              </w:rPr>
              <w:t>Sources (#)</w:t>
            </w:r>
          </w:p>
        </w:tc>
      </w:tr>
      <w:tr w:rsidR="000B2DCD" w:rsidRPr="00177418" w14:paraId="5D19148C" w14:textId="77777777" w:rsidTr="00F20BB9">
        <w:trPr>
          <w:cantSplit/>
        </w:trPr>
        <w:tc>
          <w:tcPr>
            <w:tcW w:w="2842" w:type="dxa"/>
          </w:tcPr>
          <w:p w14:paraId="4E0D544C" w14:textId="03E9DB46" w:rsidR="000B2DCD" w:rsidRPr="00177418" w:rsidRDefault="000B2DCD" w:rsidP="00E07370">
            <w:r w:rsidRPr="00177418">
              <w:t>Lifetime Capacity of technology</w:t>
            </w:r>
          </w:p>
        </w:tc>
        <w:tc>
          <w:tcPr>
            <w:tcW w:w="1473" w:type="dxa"/>
            <w:vAlign w:val="center"/>
          </w:tcPr>
          <w:p w14:paraId="7067D4ED" w14:textId="765072DB" w:rsidR="000B2DCD" w:rsidRPr="00177418" w:rsidRDefault="000B2DCD" w:rsidP="00E07370">
            <w:r w:rsidRPr="00177418">
              <w:t>TWh(th)/TW</w:t>
            </w:r>
            <w:r w:rsidR="00F20BB9">
              <w:t xml:space="preserve"> = h</w:t>
            </w:r>
          </w:p>
        </w:tc>
        <w:tc>
          <w:tcPr>
            <w:tcW w:w="2338" w:type="dxa"/>
            <w:tcMar>
              <w:left w:w="29" w:type="dxa"/>
              <w:right w:w="29" w:type="dxa"/>
            </w:tcMar>
            <w:vAlign w:val="center"/>
          </w:tcPr>
          <w:p w14:paraId="5A6088D3" w14:textId="080B9CC8" w:rsidR="000B2DCD" w:rsidRPr="00177418" w:rsidRDefault="000A3B1B" w:rsidP="00172266">
            <w:pPr>
              <w:jc w:val="center"/>
            </w:pPr>
            <w:r>
              <w:t>8,068</w:t>
            </w:r>
            <w:r w:rsidR="003553F6" w:rsidRPr="00177418">
              <w:t>-</w:t>
            </w:r>
            <w:r>
              <w:t>26,484</w:t>
            </w:r>
          </w:p>
        </w:tc>
        <w:tc>
          <w:tcPr>
            <w:tcW w:w="1180" w:type="dxa"/>
            <w:vAlign w:val="center"/>
          </w:tcPr>
          <w:p w14:paraId="446DE2E4" w14:textId="14B7954C" w:rsidR="000B2DCD" w:rsidRPr="00177418" w:rsidRDefault="003553F6" w:rsidP="00172266">
            <w:pPr>
              <w:jc w:val="center"/>
            </w:pPr>
            <w:r w:rsidRPr="00177418">
              <w:t>17,</w:t>
            </w:r>
            <w:r w:rsidR="000A3B1B">
              <w:t>275</w:t>
            </w:r>
            <w:r w:rsidRPr="00177418">
              <w:t>.</w:t>
            </w:r>
            <w:r w:rsidR="000A3B1B">
              <w:t>64</w:t>
            </w:r>
          </w:p>
        </w:tc>
        <w:tc>
          <w:tcPr>
            <w:tcW w:w="952" w:type="dxa"/>
            <w:vAlign w:val="center"/>
          </w:tcPr>
          <w:p w14:paraId="46A60F4F" w14:textId="5AD65F9B" w:rsidR="000B2DCD" w:rsidRPr="00177418" w:rsidRDefault="00580FDA" w:rsidP="00E07370">
            <w:r w:rsidRPr="00177418">
              <w:t>11</w:t>
            </w:r>
          </w:p>
        </w:tc>
        <w:tc>
          <w:tcPr>
            <w:tcW w:w="883" w:type="dxa"/>
            <w:vAlign w:val="center"/>
          </w:tcPr>
          <w:p w14:paraId="6BA6124D" w14:textId="6D1E9B57" w:rsidR="000B2DCD" w:rsidRPr="00177418" w:rsidRDefault="00580FDA" w:rsidP="00E07370">
            <w:r w:rsidRPr="00177418">
              <w:t>7</w:t>
            </w:r>
          </w:p>
        </w:tc>
      </w:tr>
      <w:tr w:rsidR="000B2DCD" w:rsidRPr="00177418" w14:paraId="7D0718B6" w14:textId="77777777" w:rsidTr="00F20BB9">
        <w:trPr>
          <w:cantSplit/>
        </w:trPr>
        <w:tc>
          <w:tcPr>
            <w:tcW w:w="2842" w:type="dxa"/>
          </w:tcPr>
          <w:p w14:paraId="26363360" w14:textId="3FCBAE48" w:rsidR="000B2DCD" w:rsidRPr="00177418" w:rsidRDefault="000B2DCD" w:rsidP="00E07370">
            <w:r w:rsidRPr="00177418">
              <w:t>Average Annual Use of technology</w:t>
            </w:r>
          </w:p>
        </w:tc>
        <w:tc>
          <w:tcPr>
            <w:tcW w:w="1473" w:type="dxa"/>
            <w:vAlign w:val="center"/>
          </w:tcPr>
          <w:p w14:paraId="085DAEAA" w14:textId="10FC72C5" w:rsidR="000B2DCD" w:rsidRPr="00177418" w:rsidRDefault="00F20BB9" w:rsidP="00E07370">
            <w:r w:rsidRPr="00177418">
              <w:t>TWh(th)/TW</w:t>
            </w:r>
            <w:r>
              <w:t>/yr = h/yr</w:t>
            </w:r>
          </w:p>
        </w:tc>
        <w:tc>
          <w:tcPr>
            <w:tcW w:w="2338" w:type="dxa"/>
            <w:tcMar>
              <w:left w:w="29" w:type="dxa"/>
              <w:right w:w="29" w:type="dxa"/>
            </w:tcMar>
            <w:vAlign w:val="center"/>
          </w:tcPr>
          <w:p w14:paraId="0D02597F" w14:textId="623C27B8" w:rsidR="000B2DCD" w:rsidRPr="00177418" w:rsidRDefault="00580FDA" w:rsidP="00172266">
            <w:pPr>
              <w:jc w:val="center"/>
            </w:pPr>
            <w:r w:rsidRPr="00177418">
              <w:t>6</w:t>
            </w:r>
            <w:r w:rsidR="000A3B1B">
              <w:t>91</w:t>
            </w:r>
            <w:r w:rsidR="003553F6" w:rsidRPr="00177418">
              <w:t>-1</w:t>
            </w:r>
            <w:r w:rsidR="00172266">
              <w:t>,</w:t>
            </w:r>
            <w:r w:rsidR="000A3B1B">
              <w:t>084</w:t>
            </w:r>
          </w:p>
        </w:tc>
        <w:tc>
          <w:tcPr>
            <w:tcW w:w="1180" w:type="dxa"/>
            <w:vAlign w:val="center"/>
          </w:tcPr>
          <w:p w14:paraId="2E301748" w14:textId="1F8D2C4C" w:rsidR="000B2DCD" w:rsidRPr="00177418" w:rsidRDefault="003553F6" w:rsidP="00172266">
            <w:pPr>
              <w:jc w:val="center"/>
            </w:pPr>
            <w:r w:rsidRPr="00177418">
              <w:t>8</w:t>
            </w:r>
            <w:r w:rsidR="000A3B1B">
              <w:t>88</w:t>
            </w:r>
          </w:p>
        </w:tc>
        <w:tc>
          <w:tcPr>
            <w:tcW w:w="952" w:type="dxa"/>
            <w:vAlign w:val="center"/>
          </w:tcPr>
          <w:p w14:paraId="05F9FD33" w14:textId="05E91470" w:rsidR="000B2DCD" w:rsidRPr="00177418" w:rsidRDefault="000A3B1B" w:rsidP="00E07370">
            <w:r>
              <w:t>18</w:t>
            </w:r>
          </w:p>
        </w:tc>
        <w:tc>
          <w:tcPr>
            <w:tcW w:w="883" w:type="dxa"/>
            <w:vAlign w:val="center"/>
          </w:tcPr>
          <w:p w14:paraId="62735169" w14:textId="772B4236" w:rsidR="000B2DCD" w:rsidRPr="00177418" w:rsidRDefault="00580FDA" w:rsidP="00E07370">
            <w:r w:rsidRPr="00177418">
              <w:t>2</w:t>
            </w:r>
          </w:p>
        </w:tc>
      </w:tr>
    </w:tbl>
    <w:p w14:paraId="3F927A96" w14:textId="77777777" w:rsidR="00E978D4" w:rsidRPr="00177418" w:rsidRDefault="00E978D4" w:rsidP="00E07370"/>
    <w:p w14:paraId="4E32D218" w14:textId="12B11079" w:rsidR="00B144E5" w:rsidRPr="00177418" w:rsidRDefault="00686965" w:rsidP="00E07370">
      <w:pPr>
        <w:pStyle w:val="Heading2"/>
      </w:pPr>
      <w:bookmarkStart w:id="77" w:name="_Ref2159993"/>
      <w:bookmarkStart w:id="78" w:name="_Toc44510673"/>
      <w:r w:rsidRPr="00177418">
        <w:t>Assumptions</w:t>
      </w:r>
      <w:bookmarkEnd w:id="77"/>
      <w:bookmarkEnd w:id="78"/>
    </w:p>
    <w:p w14:paraId="1C71D5EB" w14:textId="7FC5CDE1" w:rsidR="00E33621" w:rsidRPr="00177418" w:rsidRDefault="00E33621" w:rsidP="00E07370">
      <w:r w:rsidRPr="00177418">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agency modeled, improvements in technology are not modeled, and that first costs may change according to learning. Full details of core assumptions and methodology will be available at </w:t>
      </w:r>
      <w:hyperlink r:id="rId17" w:history="1">
        <w:r w:rsidRPr="00177418">
          <w:rPr>
            <w:rStyle w:val="Hyperlink"/>
          </w:rPr>
          <w:t>www.drawdown.org</w:t>
        </w:r>
      </w:hyperlink>
      <w:r w:rsidRPr="00177418">
        <w:t>. Beyond these core assumptions, there are other important assumptions made for the modeling of this specific solution. These are detailed below.</w:t>
      </w:r>
    </w:p>
    <w:p w14:paraId="76649308" w14:textId="01231409" w:rsidR="007F0D28" w:rsidRPr="00177418" w:rsidRDefault="007F0D28" w:rsidP="00E07370">
      <w:pPr>
        <w:pStyle w:val="ListParagraph"/>
        <w:numPr>
          <w:ilvl w:val="0"/>
          <w:numId w:val="2"/>
        </w:numPr>
      </w:pPr>
      <w:r w:rsidRPr="00177418">
        <w:t>There is a lack of data that projects the growth of domestic solar water heating systems.</w:t>
      </w:r>
      <w:r w:rsidR="004839AF" w:rsidRPr="00177418">
        <w:t xml:space="preserve"> </w:t>
      </w:r>
      <w:r w:rsidRPr="00177418">
        <w:t>This methodology therefore interpolates existing adoption data of solar water thermal systems</w:t>
      </w:r>
      <w:r w:rsidR="000A4984" w:rsidRPr="00177418">
        <w:t xml:space="preserve"> for </w:t>
      </w:r>
      <w:r w:rsidR="00934407">
        <w:t>all</w:t>
      </w:r>
      <w:r w:rsidR="000A4984" w:rsidRPr="00177418">
        <w:t xml:space="preserve"> of the adoption scenario projections</w:t>
      </w:r>
      <w:r w:rsidRPr="00177418">
        <w:t>.</w:t>
      </w:r>
      <w:r w:rsidR="00934407">
        <w:t xml:space="preserve"> Different growth rates for adoption are assumed.</w:t>
      </w:r>
    </w:p>
    <w:p w14:paraId="0FF91A61" w14:textId="39C4602E" w:rsidR="007F0D28" w:rsidRPr="00934407" w:rsidRDefault="007F0D28" w:rsidP="00E07370">
      <w:pPr>
        <w:pStyle w:val="ListParagraph"/>
        <w:numPr>
          <w:ilvl w:val="0"/>
          <w:numId w:val="2"/>
        </w:numPr>
      </w:pPr>
      <w:r w:rsidRPr="00934407">
        <w:t xml:space="preserve">It was assumed that electric heaters have efficiencies of 90% on average, while gas heaters have an efficiency of </w:t>
      </w:r>
      <w:r w:rsidR="000C7BA0">
        <w:t>67</w:t>
      </w:r>
      <w:r w:rsidRPr="00934407">
        <w:t xml:space="preserve">%, as this proved to be the case for commercial models examined. </w:t>
      </w:r>
      <w:r w:rsidRPr="003F5943">
        <w:t xml:space="preserve">A more in-depth analysis needs to be done for each region. </w:t>
      </w:r>
    </w:p>
    <w:p w14:paraId="7FF392D7" w14:textId="378DB5DE" w:rsidR="007F0D28" w:rsidRPr="00177418" w:rsidRDefault="000A4984" w:rsidP="00E07370">
      <w:pPr>
        <w:pStyle w:val="ListParagraph"/>
        <w:numPr>
          <w:ilvl w:val="0"/>
          <w:numId w:val="2"/>
        </w:numPr>
      </w:pPr>
      <w:r w:rsidRPr="00177418">
        <w:t>S</w:t>
      </w:r>
      <w:r w:rsidR="007F0D28" w:rsidRPr="00177418">
        <w:t>olar water heaters w</w:t>
      </w:r>
      <w:r w:rsidR="004E0E81" w:rsidRPr="00177418">
        <w:t>ill need</w:t>
      </w:r>
      <w:r w:rsidR="007F0D28" w:rsidRPr="00177418">
        <w:t xml:space="preserve"> supplemental technology </w:t>
      </w:r>
      <w:r w:rsidR="004E0E81" w:rsidRPr="00177418">
        <w:t>i.e.</w:t>
      </w:r>
      <w:r w:rsidR="007F0D28" w:rsidRPr="00177418">
        <w:t xml:space="preserve"> conventional water heaters. Given their distributed nature, </w:t>
      </w:r>
      <w:r w:rsidR="00354694">
        <w:t>it was posited</w:t>
      </w:r>
      <w:r w:rsidR="007F0D28" w:rsidRPr="00177418">
        <w:t xml:space="preserve"> that this technology </w:t>
      </w:r>
      <w:r w:rsidRPr="00177418">
        <w:t>will</w:t>
      </w:r>
      <w:r w:rsidR="007F0D28" w:rsidRPr="00177418">
        <w:t xml:space="preserve"> not be responsible for the replacing of conventional electric and gas boilers. This assumption will need to be refined as regional data becomes available. </w:t>
      </w:r>
      <w:r w:rsidR="004E0E81" w:rsidRPr="00177418">
        <w:t>As a result of this assumption, I</w:t>
      </w:r>
      <w:r w:rsidR="007F0D28" w:rsidRPr="00177418">
        <w:t xml:space="preserve">n the </w:t>
      </w:r>
      <w:r w:rsidRPr="00177418">
        <w:t>PDS</w:t>
      </w:r>
      <w:r w:rsidR="007F0D28" w:rsidRPr="00177418">
        <w:t xml:space="preserve"> case </w:t>
      </w:r>
      <w:r w:rsidRPr="00177418">
        <w:t>it was assumed that</w:t>
      </w:r>
      <w:r w:rsidR="007F0D28" w:rsidRPr="00177418">
        <w:t xml:space="preserve"> the size of electric and gas boilers deployed will be the same as in the </w:t>
      </w:r>
      <w:r w:rsidRPr="00177418">
        <w:t>REF</w:t>
      </w:r>
      <w:r w:rsidR="007F0D28" w:rsidRPr="00177418">
        <w:t xml:space="preserve"> case as the sizes of these boilers will still have to cater to peak demand when the sun is not </w:t>
      </w:r>
      <w:r w:rsidR="00563B93" w:rsidRPr="00177418">
        <w:t>shining,</w:t>
      </w:r>
      <w:r w:rsidR="007F0D28" w:rsidRPr="00177418">
        <w:t xml:space="preserve"> and the solar water heaters do not work</w:t>
      </w:r>
    </w:p>
    <w:p w14:paraId="04FBF2E3" w14:textId="6267BB18" w:rsidR="009D118F" w:rsidRPr="00177418" w:rsidRDefault="00686965" w:rsidP="00E07370">
      <w:pPr>
        <w:pStyle w:val="Heading2"/>
      </w:pPr>
      <w:bookmarkStart w:id="79" w:name="_Ref529192064"/>
      <w:bookmarkStart w:id="80" w:name="_Toc44510674"/>
      <w:r w:rsidRPr="00177418">
        <w:lastRenderedPageBreak/>
        <w:t>Integration</w:t>
      </w:r>
      <w:bookmarkEnd w:id="79"/>
      <w:bookmarkEnd w:id="80"/>
    </w:p>
    <w:p w14:paraId="4F1C20E8" w14:textId="62783AE7" w:rsidR="0032353F" w:rsidRPr="00177418" w:rsidRDefault="0032353F" w:rsidP="00E07370">
      <w:r w:rsidRPr="00177418">
        <w:t xml:space="preserve">The complete Project Drawdown integration documentation (will be available at </w:t>
      </w:r>
      <w:hyperlink r:id="rId18" w:history="1">
        <w:r w:rsidRPr="00177418">
          <w:rPr>
            <w:rStyle w:val="Hyperlink"/>
          </w:rPr>
          <w:t>www.drawdown.org</w:t>
        </w:r>
      </w:hyperlink>
      <w:r w:rsidRPr="00177418">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8C570FA" w14:textId="77777777" w:rsidR="00ED448D" w:rsidRDefault="00ED448D" w:rsidP="00ED448D">
      <w:bookmarkStart w:id="81" w:name="_Hlk18258426"/>
      <w:r>
        <w:t>Each solution in the Buildings and Cities Sector was modeled individually, and then integration was performed to ensure consistency across the sector and with the other sectors. These solutions require an integration analysis to avoid double counting, as they primarily relate to either reducing demand for space heating and cooling (for residential and/or commercial buildings), commercial lighting, cooking, or water heating. The integration process therefore was addressed through sequential adjustments to the efficiencies of the solutions in a prioritized sequence for each of space heating and cooling, lighting, cooking, and water heating (performed in four separate sequence chains). The prioritized sequence is fixed for all scenarios and is described in the Drawdown Building Sector Integration documentation.</w:t>
      </w:r>
    </w:p>
    <w:p w14:paraId="098C02E9" w14:textId="77777777" w:rsidR="00ED448D" w:rsidRDefault="00ED448D" w:rsidP="00ED448D">
      <w:r>
        <w:t>For each solution in an integration sequence, the estimated impact of previous solutions on the emissions savings of the current solution is estimated and a reduction factor is applied. The factor is only applied to emissions and energy savings attributed to adoptions that overlap with previous solutions</w:t>
      </w:r>
      <w:r>
        <w:rPr>
          <w:rStyle w:val="FootnoteReference"/>
        </w:rPr>
        <w:footnoteReference w:id="4"/>
      </w:r>
      <w:r>
        <w:t xml:space="preserve">, and for this adoptions are generally assumed independent. Solutions that start each integration sequence are therefore unaffected (unless they are affected by solutions in other sequences), and solutions that apply to different buildings (say commercial and residential) do not affect each other. The method of estimating overlap is based on the percent adoption of the higher priority solution applied to the area adopted in the lower priority solution. For the efficiency factor of this overlapping area only, the reduction factor is applied, it is scaled and used to update the results in the lower priority solution model. </w:t>
      </w:r>
    </w:p>
    <w:bookmarkEnd w:id="81"/>
    <w:p w14:paraId="5B58612F" w14:textId="6835823B" w:rsidR="00ED448D" w:rsidRDefault="00ED448D" w:rsidP="00ED448D">
      <w:r>
        <w:t xml:space="preserve">The Solar Hot Water solution (of the water heating sequence) </w:t>
      </w:r>
      <w:r w:rsidRPr="00AC6CE3">
        <w:t xml:space="preserve">is assumed to interact with </w:t>
      </w:r>
      <w:r w:rsidR="00D616F0">
        <w:t xml:space="preserve">the </w:t>
      </w:r>
      <w:r w:rsidRPr="00AC6CE3">
        <w:t xml:space="preserve">only other solution </w:t>
      </w:r>
      <w:r>
        <w:t xml:space="preserve">in the sequence, </w:t>
      </w:r>
      <w:r w:rsidR="007E416B" w:rsidRPr="00D616F0">
        <w:t xml:space="preserve">that is, </w:t>
      </w:r>
      <w:r w:rsidRPr="00D616F0">
        <w:t xml:space="preserve">only Water Saving at Home (although it’s considered a Materials solution). The adoptions of these solutions are converted to </w:t>
      </w:r>
      <w:r w:rsidR="00D616F0" w:rsidRPr="00D616F0">
        <w:t>reductions in water heating delivered/useful energy</w:t>
      </w:r>
      <w:r w:rsidRPr="00D616F0">
        <w:t xml:space="preserve"> in any single year, </w:t>
      </w:r>
      <w:r w:rsidR="00D616F0">
        <w:t xml:space="preserve">but no </w:t>
      </w:r>
      <w:r w:rsidR="00EB1257">
        <w:t>major integration effects are taken into account other than to ensure that the total reduced water heating energy doesn’t exceed the total water heating demand</w:t>
      </w:r>
      <w:r w:rsidRPr="00D616F0">
        <w:t>.</w:t>
      </w:r>
    </w:p>
    <w:p w14:paraId="122CA6DF" w14:textId="4B43ED62" w:rsidR="00D41280" w:rsidRPr="00177418" w:rsidRDefault="00ED448D" w:rsidP="00E07370">
      <w:r>
        <w:lastRenderedPageBreak/>
        <w:t>In addition to building sector integration, there was an integration process across the grid and electricity efficiency solutions (buildings, transport, materials etc.) which adjusted for the double counting. Double counting of emissions reduction was a factor of using the reference grid emissions factors for electricity-based solutions. As grid solutions (Utility-scale Solar PV and others) are adopted, the grid gets cleaner and the impact of efficiency solutions is reduced (where they reduce electricity demand) or increased (where they increase electricity demand</w:t>
      </w:r>
      <w:bookmarkStart w:id="82" w:name="_Hlk18057342"/>
      <w:r>
        <w:rPr>
          <w:rStyle w:val="FootnoteReference"/>
        </w:rPr>
        <w:footnoteReference w:id="5"/>
      </w:r>
      <w:bookmarkEnd w:id="82"/>
      <w:r>
        <w:t>). Grid solutions are adjusted to remove the double counting as described in the Project Drawdown integration documentation.</w:t>
      </w:r>
    </w:p>
    <w:p w14:paraId="0ED84BEA" w14:textId="3A45B3E0" w:rsidR="009D118F" w:rsidRPr="00177418" w:rsidRDefault="00686965" w:rsidP="00E07370">
      <w:pPr>
        <w:pStyle w:val="Heading2"/>
      </w:pPr>
      <w:bookmarkStart w:id="83" w:name="_Toc44510675"/>
      <w:r w:rsidRPr="00177418">
        <w:t>Limitations/Further Development</w:t>
      </w:r>
      <w:bookmarkEnd w:id="83"/>
    </w:p>
    <w:p w14:paraId="0CEC7D44" w14:textId="65B8EA8D" w:rsidR="00845CFC" w:rsidRPr="00177418" w:rsidRDefault="00335420" w:rsidP="00E07370">
      <w:r w:rsidRPr="00177418">
        <w:t xml:space="preserve">This report </w:t>
      </w:r>
      <w:r w:rsidR="001B3F30">
        <w:t>documents the</w:t>
      </w:r>
      <w:r w:rsidRPr="00177418">
        <w:t xml:space="preserve"> model</w:t>
      </w:r>
      <w:r w:rsidR="001B3F30">
        <w:t>ing of</w:t>
      </w:r>
      <w:r w:rsidRPr="00177418">
        <w:t xml:space="preserve"> the adoption of solar water heaters globally and </w:t>
      </w:r>
      <w:r w:rsidR="001B3F30">
        <w:t>the calculation of</w:t>
      </w:r>
      <w:r w:rsidRPr="00177418">
        <w:t xml:space="preserve"> the climate and financial benefits of this adoption. In making such estimates some required assumptions were made (see</w:t>
      </w:r>
      <w:r w:rsidR="00B876EF">
        <w:t xml:space="preserve"> Section</w:t>
      </w:r>
      <w:r w:rsidRPr="00177418">
        <w:t xml:space="preserve"> </w:t>
      </w:r>
      <w:r w:rsidR="00B876EF">
        <w:fldChar w:fldCharType="begin"/>
      </w:r>
      <w:r w:rsidR="00B876EF">
        <w:instrText xml:space="preserve"> REF _Ref2159993 \w \h </w:instrText>
      </w:r>
      <w:r w:rsidR="00B876EF">
        <w:fldChar w:fldCharType="separate"/>
      </w:r>
      <w:r w:rsidR="001142D0">
        <w:t>2.6</w:t>
      </w:r>
      <w:r w:rsidR="00B876EF">
        <w:fldChar w:fldCharType="end"/>
      </w:r>
      <w:r w:rsidRPr="00177418">
        <w:t xml:space="preserve">). </w:t>
      </w:r>
      <w:r w:rsidR="00F30D84" w:rsidRPr="00177418">
        <w:t xml:space="preserve">There </w:t>
      </w:r>
      <w:r w:rsidR="000C7BA0">
        <w:t>are</w:t>
      </w:r>
      <w:r w:rsidR="00F30D84" w:rsidRPr="00177418">
        <w:t xml:space="preserve"> only a </w:t>
      </w:r>
      <w:r w:rsidR="00A642EB">
        <w:t>few</w:t>
      </w:r>
      <w:r w:rsidR="00F30D84" w:rsidRPr="00177418">
        <w:t xml:space="preserve"> sources from where market data is available for solar water heating. </w:t>
      </w:r>
      <w:r w:rsidRPr="00177418">
        <w:t xml:space="preserve">Therefore, the projections are dependent on these sources and their estimates. </w:t>
      </w:r>
      <w:r w:rsidR="00F13244" w:rsidRPr="00177418">
        <w:t xml:space="preserve">Adoption potential estimates found were even fewer. </w:t>
      </w:r>
    </w:p>
    <w:p w14:paraId="07DBE04A" w14:textId="4E8DB75C" w:rsidR="00845CFC" w:rsidRDefault="00804A07" w:rsidP="00E07370">
      <w:r w:rsidRPr="00177418">
        <w:t xml:space="preserve">SHWS have proven their </w:t>
      </w:r>
      <w:r w:rsidR="00A642EB">
        <w:t>value over decades of use</w:t>
      </w:r>
      <w:r w:rsidRPr="00177418">
        <w:t xml:space="preserve"> in countries like Israel and Cyprus where the use of solar water heaters is mandated for heating water. However, this </w:t>
      </w:r>
      <w:r w:rsidR="00934407">
        <w:t>adoption</w:t>
      </w:r>
      <w:r w:rsidRPr="00177418">
        <w:t xml:space="preserve"> of SHWS depends on </w:t>
      </w:r>
      <w:r w:rsidR="00563B93" w:rsidRPr="00177418">
        <w:t>several</w:t>
      </w:r>
      <w:r w:rsidRPr="00177418">
        <w:t xml:space="preserve"> factors. </w:t>
      </w:r>
      <w:r w:rsidR="000C7BA0" w:rsidRPr="00177418">
        <w:t>An</w:t>
      </w:r>
      <w:r w:rsidRPr="00177418">
        <w:t xml:space="preserve"> </w:t>
      </w:r>
      <w:r w:rsidR="00934407">
        <w:t xml:space="preserve">adoption </w:t>
      </w:r>
      <w:r w:rsidRPr="00177418">
        <w:t xml:space="preserve">of 40-60% has been reported in other regions of the world. </w:t>
      </w:r>
      <w:r w:rsidR="00E07223" w:rsidRPr="00177418">
        <w:t>Due to varying performance, adoption and markets of water heating would be better represented at regional levels</w:t>
      </w:r>
      <w:r w:rsidR="009610E0" w:rsidRPr="00177418">
        <w:t xml:space="preserve"> to understand the local factors that can improve the </w:t>
      </w:r>
      <w:r w:rsidR="005733F8" w:rsidRPr="00177418">
        <w:t xml:space="preserve">overall </w:t>
      </w:r>
      <w:r w:rsidR="009610E0" w:rsidRPr="00177418">
        <w:t>adoption of this technology</w:t>
      </w:r>
      <w:r w:rsidR="00E07223" w:rsidRPr="00177418">
        <w:t xml:space="preserve">. </w:t>
      </w:r>
      <w:r w:rsidR="00D2310A" w:rsidRPr="00177418">
        <w:t xml:space="preserve">A regional level modeling could incorporate climate appropriate solutions combinations for water heating since </w:t>
      </w:r>
      <w:r w:rsidR="00B80EFF" w:rsidRPr="00177418">
        <w:t>solar thermal based heating may not be the ideal solution in emissions reduction in all regions</w:t>
      </w:r>
      <w:r w:rsidR="00D2310A" w:rsidRPr="00177418">
        <w:t xml:space="preserve">. </w:t>
      </w:r>
    </w:p>
    <w:p w14:paraId="798C386D" w14:textId="2DC032A5" w:rsidR="00845CFC" w:rsidRDefault="007B08B6" w:rsidP="00E07370">
      <w:r w:rsidRPr="00177418">
        <w:t>There is a need to identify other data sources for the regions in future iterations of this process.</w:t>
      </w:r>
      <w:r w:rsidR="00C944EF">
        <w:t xml:space="preserve"> S</w:t>
      </w:r>
      <w:r w:rsidR="00B503C5">
        <w:t xml:space="preserve">ince solar water heaters are not commonly adopted as a sole water heating technology, there is not much impact data on solar water heaters alone. There is data available on impacts of such combination </w:t>
      </w:r>
      <w:r w:rsidR="00845CFC">
        <w:t>systems,</w:t>
      </w:r>
      <w:r w:rsidR="00B503C5">
        <w:t xml:space="preserve"> but this cannot be added on to the model, because of inclusion of conventional technology impacts in the solution. </w:t>
      </w:r>
    </w:p>
    <w:p w14:paraId="7BF2E278" w14:textId="4FBF81E6" w:rsidR="007B08B6" w:rsidRPr="00177418" w:rsidRDefault="00845CFC" w:rsidP="00E07370">
      <w:r>
        <w:t xml:space="preserve">Many factors need to be taken into account in estimating the potential of solar water heaters, including availability of roof area, angle of the collectors, regional </w:t>
      </w:r>
      <w:r w:rsidR="00A13346">
        <w:t>irradiance</w:t>
      </w:r>
      <w:r>
        <w:t xml:space="preserve">, </w:t>
      </w:r>
      <w:r w:rsidR="006A3908">
        <w:t>volume</w:t>
      </w:r>
      <w:r w:rsidR="00A9321C">
        <w:t xml:space="preserve"> of hot water required per household or per person in case of a building etc., that have not been considered in the methodology. These factors can improve the adoption potential estimation.</w:t>
      </w:r>
    </w:p>
    <w:p w14:paraId="7EFCD450" w14:textId="56CD5A82" w:rsidR="0032353F" w:rsidRPr="003F5943" w:rsidRDefault="00C7232A" w:rsidP="00E07370">
      <w:pPr>
        <w:pStyle w:val="Heading3"/>
      </w:pPr>
      <w:bookmarkStart w:id="84" w:name="_Toc44510676"/>
      <w:r w:rsidRPr="003F5943">
        <w:lastRenderedPageBreak/>
        <w:t>TAM and Adoption</w:t>
      </w:r>
      <w:bookmarkEnd w:id="84"/>
    </w:p>
    <w:p w14:paraId="64CF1699" w14:textId="136B831E" w:rsidR="00C7232A" w:rsidRPr="00EB086D" w:rsidRDefault="00C7232A" w:rsidP="00E07370">
      <w:r w:rsidRPr="00EB086D">
        <w:t xml:space="preserve">The data inputs used to project future growth in total global water heating demand are from two reputable sources, however, </w:t>
      </w:r>
      <w:r w:rsidR="00947841" w:rsidRPr="00EB086D">
        <w:t>there is a large difference in projections of reference scenarios, where no policies are implemented</w:t>
      </w:r>
      <w:r w:rsidRPr="00EB086D">
        <w:t xml:space="preserve">. </w:t>
      </w:r>
      <w:r w:rsidR="00947841" w:rsidRPr="00EB086D">
        <w:t xml:space="preserve">These differences are a result of different assumptions and limitations of the sources used.  The </w:t>
      </w:r>
      <w:r w:rsidRPr="00EB086D">
        <w:t xml:space="preserve">TAM </w:t>
      </w:r>
      <w:r w:rsidR="00947841" w:rsidRPr="00EB086D">
        <w:t xml:space="preserve">is </w:t>
      </w:r>
      <w:r w:rsidRPr="00EB086D">
        <w:t>based on some of the key primary data that are used by groups such as the IEA</w:t>
      </w:r>
      <w:r w:rsidR="00947841" w:rsidRPr="00EB086D">
        <w:t xml:space="preserve"> and GBPN</w:t>
      </w:r>
      <w:r w:rsidRPr="00EB086D">
        <w:t xml:space="preserve">, which include population, urbanization, and growth rates, among other factors. </w:t>
      </w:r>
      <w:r w:rsidR="00947841" w:rsidRPr="00EB086D">
        <w:t xml:space="preserve">There were limited data sources </w:t>
      </w:r>
      <w:r w:rsidRPr="00EB086D">
        <w:t xml:space="preserve">to determine the current adoption of </w:t>
      </w:r>
      <w:r w:rsidR="00947841" w:rsidRPr="00EB086D">
        <w:t>solar hot water</w:t>
      </w:r>
      <w:r w:rsidRPr="00EB086D">
        <w:t xml:space="preserve">. </w:t>
      </w:r>
      <w:r w:rsidR="00947841" w:rsidRPr="00EB086D">
        <w:t xml:space="preserve">There is need for more recent data for estimation of future adoption estimates. </w:t>
      </w:r>
    </w:p>
    <w:p w14:paraId="16F08F71" w14:textId="25D148BE" w:rsidR="00947841" w:rsidRPr="00EB086D" w:rsidRDefault="00947841" w:rsidP="00B876EF">
      <w:pPr>
        <w:pStyle w:val="Heading3"/>
      </w:pPr>
      <w:bookmarkStart w:id="85" w:name="_Toc44510677"/>
      <w:r w:rsidRPr="00EB086D">
        <w:t>Climate and Financial Analyses</w:t>
      </w:r>
      <w:bookmarkEnd w:id="85"/>
      <w:r w:rsidRPr="00EB086D">
        <w:t xml:space="preserve"> </w:t>
      </w:r>
    </w:p>
    <w:p w14:paraId="3B54C745" w14:textId="2A92D485" w:rsidR="00947841" w:rsidRPr="00EB086D" w:rsidRDefault="00013255" w:rsidP="00E07370">
      <w:r w:rsidRPr="00EB086D">
        <w:t xml:space="preserve">More data sources are required for estimating </w:t>
      </w:r>
      <w:r w:rsidR="000C7BA0">
        <w:t>indirect</w:t>
      </w:r>
      <w:r w:rsidRPr="00EB086D">
        <w:t xml:space="preserve"> CO</w:t>
      </w:r>
      <w:r w:rsidRPr="00EB086D">
        <w:rPr>
          <w:vertAlign w:val="subscript"/>
        </w:rPr>
        <w:t xml:space="preserve">2 </w:t>
      </w:r>
      <w:r w:rsidRPr="00EB086D">
        <w:t xml:space="preserve">direct emissions. Currently this data is based only on </w:t>
      </w:r>
      <w:r w:rsidR="000C7BA0">
        <w:t>2</w:t>
      </w:r>
      <w:r w:rsidRPr="00EB086D">
        <w:t xml:space="preserve"> peer reviewed</w:t>
      </w:r>
      <w:r w:rsidR="000C1A49" w:rsidRPr="00EB086D">
        <w:t xml:space="preserve"> </w:t>
      </w:r>
      <w:r w:rsidRPr="00EB086D">
        <w:t>source</w:t>
      </w:r>
      <w:r w:rsidR="000C7BA0">
        <w:t>s</w:t>
      </w:r>
      <w:r w:rsidRPr="00EB086D">
        <w:t xml:space="preserve"> for regional data. </w:t>
      </w:r>
      <w:r w:rsidR="000C1A49" w:rsidRPr="00EB086D">
        <w:t>Similarly,</w:t>
      </w:r>
      <w:r w:rsidRPr="00EB086D">
        <w:t xml:space="preserve"> more data sources are needed to estimate the fuel efficiency factors, fuel consumed per functional unit and total energy used per functional unit</w:t>
      </w:r>
      <w:r w:rsidR="000C1A49" w:rsidRPr="00EB086D">
        <w:t>, electricity consumed per functional unit as well as energy efficiency factors</w:t>
      </w:r>
      <w:r w:rsidRPr="00EB086D">
        <w:t>.</w:t>
      </w:r>
      <w:r w:rsidR="000C1A49" w:rsidRPr="00EB086D">
        <w:t xml:space="preserve"> </w:t>
      </w:r>
      <w:r w:rsidR="00563B93" w:rsidRPr="00EB086D">
        <w:t>All</w:t>
      </w:r>
      <w:r w:rsidR="000C1A49" w:rsidRPr="00EB086D">
        <w:t xml:space="preserve"> these variables have </w:t>
      </w:r>
      <w:r w:rsidR="006A3908">
        <w:t>limited</w:t>
      </w:r>
      <w:r w:rsidR="000C1A49" w:rsidRPr="00EB086D">
        <w:t xml:space="preserve"> data.</w:t>
      </w:r>
    </w:p>
    <w:p w14:paraId="7CAFC693" w14:textId="4A2F7BD1" w:rsidR="007C645A" w:rsidRPr="00177418" w:rsidRDefault="551A77D0" w:rsidP="00E07370">
      <w:pPr>
        <w:pStyle w:val="Heading1"/>
      </w:pPr>
      <w:bookmarkStart w:id="86" w:name="_Toc44510678"/>
      <w:r w:rsidRPr="00177418">
        <w:t>Results</w:t>
      </w:r>
      <w:bookmarkEnd w:id="86"/>
    </w:p>
    <w:p w14:paraId="7E39F2AB" w14:textId="4F689FD5" w:rsidR="00B261E0" w:rsidRPr="00177418" w:rsidRDefault="007C645A" w:rsidP="00E07370">
      <w:pPr>
        <w:pStyle w:val="Heading2"/>
      </w:pPr>
      <w:bookmarkStart w:id="87" w:name="_Toc44510679"/>
      <w:r w:rsidRPr="00177418">
        <w:t>Adoption</w:t>
      </w:r>
      <w:bookmarkEnd w:id="87"/>
    </w:p>
    <w:p w14:paraId="10EC0E5D" w14:textId="525C4D52" w:rsidR="0032353F" w:rsidRPr="00177418" w:rsidRDefault="0032353F" w:rsidP="00E07370">
      <w:pPr>
        <w:rPr>
          <w:sz w:val="20"/>
          <w:lang w:eastAsia="zh-CN"/>
        </w:rPr>
      </w:pPr>
      <w:r w:rsidRPr="00177418">
        <w:rPr>
          <w:lang w:eastAsia="zh-CN"/>
        </w:rPr>
        <w:t xml:space="preserve">Below are shown the world adoptions of the solution in some key years of analysis in functional units and percent for the three Project Drawdown scenarios. </w:t>
      </w:r>
    </w:p>
    <w:p w14:paraId="21183A78" w14:textId="563AC1D0" w:rsidR="008D1491" w:rsidRPr="003F5943" w:rsidRDefault="008D1491" w:rsidP="006831EE">
      <w:pPr>
        <w:pStyle w:val="Caption"/>
      </w:pPr>
      <w:bookmarkStart w:id="88" w:name="_Toc44510700"/>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3</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1</w:t>
      </w:r>
      <w:r w:rsidR="00CA08B6">
        <w:rPr>
          <w:noProof/>
        </w:rPr>
        <w:fldChar w:fldCharType="end"/>
      </w:r>
      <w:r w:rsidRPr="003F5943">
        <w:t xml:space="preserve"> </w:t>
      </w:r>
      <w:r w:rsidR="005C77F5" w:rsidRPr="003F5943">
        <w:t xml:space="preserve">World </w:t>
      </w:r>
      <w:r w:rsidRPr="003F5943">
        <w:t>Adoption</w:t>
      </w:r>
      <w:r w:rsidR="005C77F5" w:rsidRPr="003F5943">
        <w:t xml:space="preserve"> of the Solution</w:t>
      </w:r>
      <w:bookmarkEnd w:id="88"/>
    </w:p>
    <w:tbl>
      <w:tblPr>
        <w:tblStyle w:val="TableGrid"/>
        <w:tblW w:w="0" w:type="auto"/>
        <w:jc w:val="center"/>
        <w:tblLook w:val="04A0" w:firstRow="1" w:lastRow="0" w:firstColumn="1" w:lastColumn="0" w:noHBand="0" w:noVBand="1"/>
      </w:tblPr>
      <w:tblGrid>
        <w:gridCol w:w="1838"/>
        <w:gridCol w:w="1245"/>
        <w:gridCol w:w="2021"/>
        <w:gridCol w:w="1033"/>
        <w:gridCol w:w="1208"/>
        <w:gridCol w:w="1092"/>
      </w:tblGrid>
      <w:tr w:rsidR="0032353F" w:rsidRPr="00883E57" w14:paraId="3FFD2090" w14:textId="77777777" w:rsidTr="00B876EF">
        <w:trPr>
          <w:cantSplit/>
          <w:trHeight w:val="48"/>
          <w:tblHeader/>
          <w:jc w:val="center"/>
        </w:trPr>
        <w:tc>
          <w:tcPr>
            <w:tcW w:w="1838" w:type="dxa"/>
            <w:vMerge w:val="restart"/>
            <w:shd w:val="clear" w:color="auto" w:fill="4F81BD" w:themeFill="accent1"/>
            <w:vAlign w:val="center"/>
          </w:tcPr>
          <w:p w14:paraId="71879AD5" w14:textId="3CA30AF5" w:rsidR="0032353F" w:rsidRPr="00883E57" w:rsidRDefault="0032353F" w:rsidP="00E07370">
            <w:pPr>
              <w:rPr>
                <w:b/>
                <w:color w:val="FFFFFF" w:themeColor="background1"/>
              </w:rPr>
            </w:pPr>
            <w:r w:rsidRPr="00883E57">
              <w:rPr>
                <w:b/>
                <w:color w:val="FFFFFF" w:themeColor="background1"/>
              </w:rPr>
              <w:t>Solution</w:t>
            </w:r>
          </w:p>
        </w:tc>
        <w:tc>
          <w:tcPr>
            <w:tcW w:w="1245" w:type="dxa"/>
            <w:vMerge w:val="restart"/>
            <w:shd w:val="clear" w:color="auto" w:fill="4F81BD" w:themeFill="accent1"/>
            <w:vAlign w:val="center"/>
          </w:tcPr>
          <w:p w14:paraId="736EA4CB" w14:textId="55E81B77" w:rsidR="0032353F" w:rsidRPr="00883E57" w:rsidRDefault="0032353F" w:rsidP="00E07370">
            <w:pPr>
              <w:rPr>
                <w:b/>
                <w:color w:val="FFFFFF" w:themeColor="background1"/>
              </w:rPr>
            </w:pPr>
            <w:r w:rsidRPr="00883E57">
              <w:rPr>
                <w:b/>
                <w:color w:val="FFFFFF" w:themeColor="background1"/>
              </w:rPr>
              <w:t>Units</w:t>
            </w:r>
          </w:p>
        </w:tc>
        <w:tc>
          <w:tcPr>
            <w:tcW w:w="0" w:type="auto"/>
            <w:vMerge w:val="restart"/>
            <w:shd w:val="clear" w:color="auto" w:fill="4F81BD" w:themeFill="accent1"/>
            <w:vAlign w:val="center"/>
          </w:tcPr>
          <w:p w14:paraId="7A4BC7EC" w14:textId="23777480" w:rsidR="0032353F" w:rsidRPr="00883E57" w:rsidRDefault="00A672B0" w:rsidP="00E07370">
            <w:pPr>
              <w:rPr>
                <w:b/>
                <w:color w:val="FFFFFF" w:themeColor="background1"/>
              </w:rPr>
            </w:pPr>
            <w:r>
              <w:rPr>
                <w:b/>
                <w:color w:val="FFFFFF" w:themeColor="background1"/>
              </w:rPr>
              <w:t>Current</w:t>
            </w:r>
            <w:r w:rsidR="0032353F" w:rsidRPr="00883E57">
              <w:rPr>
                <w:b/>
                <w:color w:val="FFFFFF" w:themeColor="background1"/>
              </w:rPr>
              <w:t xml:space="preserve"> </w:t>
            </w:r>
            <w:r w:rsidR="00563B93" w:rsidRPr="00883E57">
              <w:rPr>
                <w:b/>
                <w:color w:val="FFFFFF" w:themeColor="background1"/>
              </w:rPr>
              <w:t>Year (</w:t>
            </w:r>
            <w:r w:rsidR="0032353F" w:rsidRPr="00883E57">
              <w:rPr>
                <w:b/>
                <w:color w:val="FFFFFF" w:themeColor="background1"/>
              </w:rPr>
              <w:t>201</w:t>
            </w:r>
            <w:r>
              <w:rPr>
                <w:b/>
                <w:color w:val="FFFFFF" w:themeColor="background1"/>
              </w:rPr>
              <w:t>8</w:t>
            </w:r>
            <w:r w:rsidR="0032353F" w:rsidRPr="00883E57">
              <w:rPr>
                <w:b/>
                <w:color w:val="FFFFFF" w:themeColor="background1"/>
              </w:rPr>
              <w:t>)</w:t>
            </w:r>
          </w:p>
        </w:tc>
        <w:tc>
          <w:tcPr>
            <w:tcW w:w="0" w:type="auto"/>
            <w:gridSpan w:val="3"/>
            <w:shd w:val="clear" w:color="auto" w:fill="4F81BD" w:themeFill="accent1"/>
            <w:vAlign w:val="center"/>
          </w:tcPr>
          <w:p w14:paraId="1BAFBD47" w14:textId="1AD40332" w:rsidR="0032353F" w:rsidRPr="00883E57" w:rsidRDefault="0032353F" w:rsidP="00E07370">
            <w:pPr>
              <w:rPr>
                <w:b/>
                <w:color w:val="FFFFFF" w:themeColor="background1"/>
              </w:rPr>
            </w:pPr>
            <w:r w:rsidRPr="00883E57">
              <w:rPr>
                <w:b/>
                <w:color w:val="FFFFFF" w:themeColor="background1"/>
              </w:rPr>
              <w:t>World Adoption by 2050</w:t>
            </w:r>
          </w:p>
        </w:tc>
      </w:tr>
      <w:tr w:rsidR="0032353F" w:rsidRPr="00177418" w14:paraId="4801E75B" w14:textId="77777777" w:rsidTr="00B876EF">
        <w:trPr>
          <w:cantSplit/>
          <w:trHeight w:val="184"/>
          <w:tblHeader/>
          <w:jc w:val="center"/>
        </w:trPr>
        <w:tc>
          <w:tcPr>
            <w:tcW w:w="1838" w:type="dxa"/>
            <w:vMerge/>
            <w:shd w:val="clear" w:color="auto" w:fill="4F81BD" w:themeFill="accent1"/>
            <w:vAlign w:val="center"/>
          </w:tcPr>
          <w:p w14:paraId="6CD710FF" w14:textId="77777777" w:rsidR="0032353F" w:rsidRPr="00177418" w:rsidRDefault="0032353F" w:rsidP="00E07370"/>
        </w:tc>
        <w:tc>
          <w:tcPr>
            <w:tcW w:w="1245" w:type="dxa"/>
            <w:vMerge/>
            <w:shd w:val="clear" w:color="auto" w:fill="4F81BD" w:themeFill="accent1"/>
            <w:vAlign w:val="center"/>
          </w:tcPr>
          <w:p w14:paraId="173F30E0" w14:textId="77777777" w:rsidR="0032353F" w:rsidRPr="00177418" w:rsidRDefault="0032353F" w:rsidP="00E07370"/>
        </w:tc>
        <w:tc>
          <w:tcPr>
            <w:tcW w:w="0" w:type="auto"/>
            <w:vMerge/>
            <w:shd w:val="clear" w:color="auto" w:fill="4F81BD" w:themeFill="accent1"/>
            <w:vAlign w:val="center"/>
          </w:tcPr>
          <w:p w14:paraId="74E7E210" w14:textId="29C848AE" w:rsidR="0032353F" w:rsidRPr="00177418" w:rsidRDefault="0032353F" w:rsidP="00E07370"/>
        </w:tc>
        <w:tc>
          <w:tcPr>
            <w:tcW w:w="0" w:type="auto"/>
            <w:shd w:val="clear" w:color="auto" w:fill="4F81BD" w:themeFill="accent1"/>
            <w:vAlign w:val="center"/>
          </w:tcPr>
          <w:p w14:paraId="3BAD7FDF" w14:textId="77777777" w:rsidR="0032353F" w:rsidRPr="00883E57" w:rsidRDefault="0032353F" w:rsidP="00E07370">
            <w:pPr>
              <w:rPr>
                <w:b/>
                <w:color w:val="FFFFFF" w:themeColor="background1"/>
              </w:rPr>
            </w:pPr>
            <w:r w:rsidRPr="00883E57">
              <w:rPr>
                <w:b/>
                <w:color w:val="FFFFFF" w:themeColor="background1"/>
              </w:rPr>
              <w:t>Plausible</w:t>
            </w:r>
          </w:p>
        </w:tc>
        <w:tc>
          <w:tcPr>
            <w:tcW w:w="0" w:type="auto"/>
            <w:shd w:val="clear" w:color="auto" w:fill="4F81BD" w:themeFill="accent1"/>
            <w:vAlign w:val="center"/>
          </w:tcPr>
          <w:p w14:paraId="0A0F5473" w14:textId="77777777" w:rsidR="0032353F" w:rsidRPr="00883E57" w:rsidRDefault="0032353F" w:rsidP="00E07370">
            <w:pPr>
              <w:rPr>
                <w:b/>
                <w:color w:val="FFFFFF" w:themeColor="background1"/>
              </w:rPr>
            </w:pPr>
            <w:r w:rsidRPr="00883E57">
              <w:rPr>
                <w:b/>
                <w:color w:val="FFFFFF" w:themeColor="background1"/>
              </w:rPr>
              <w:t>Drawdown</w:t>
            </w:r>
          </w:p>
        </w:tc>
        <w:tc>
          <w:tcPr>
            <w:tcW w:w="0" w:type="auto"/>
            <w:shd w:val="clear" w:color="auto" w:fill="4F81BD" w:themeFill="accent1"/>
            <w:vAlign w:val="center"/>
          </w:tcPr>
          <w:p w14:paraId="0927695E" w14:textId="77777777" w:rsidR="0032353F" w:rsidRPr="00883E57" w:rsidRDefault="0032353F" w:rsidP="00E07370">
            <w:pPr>
              <w:rPr>
                <w:b/>
                <w:color w:val="FFFFFF" w:themeColor="background1"/>
              </w:rPr>
            </w:pPr>
            <w:r w:rsidRPr="00883E57">
              <w:rPr>
                <w:b/>
                <w:color w:val="FFFFFF" w:themeColor="background1"/>
              </w:rPr>
              <w:t>Optimum</w:t>
            </w:r>
          </w:p>
        </w:tc>
      </w:tr>
      <w:tr w:rsidR="006712D3" w:rsidRPr="00177418" w14:paraId="305C72A7" w14:textId="77777777" w:rsidTr="004E3FC4">
        <w:trPr>
          <w:trHeight w:val="350"/>
          <w:jc w:val="center"/>
        </w:trPr>
        <w:tc>
          <w:tcPr>
            <w:tcW w:w="1838" w:type="dxa"/>
            <w:vMerge w:val="restart"/>
            <w:shd w:val="clear" w:color="auto" w:fill="auto"/>
            <w:vAlign w:val="center"/>
          </w:tcPr>
          <w:p w14:paraId="2B8FFE1B" w14:textId="4FA2D9C6" w:rsidR="006712D3" w:rsidRPr="00177418" w:rsidRDefault="006712D3" w:rsidP="006712D3">
            <w:r w:rsidRPr="00177418">
              <w:t>Rooftop Solar Hot Water</w:t>
            </w:r>
          </w:p>
        </w:tc>
        <w:tc>
          <w:tcPr>
            <w:tcW w:w="1245" w:type="dxa"/>
            <w:shd w:val="clear" w:color="auto" w:fill="auto"/>
            <w:vAlign w:val="center"/>
          </w:tcPr>
          <w:p w14:paraId="5BDA7373" w14:textId="40110891" w:rsidR="006712D3" w:rsidRPr="00177418" w:rsidRDefault="006712D3" w:rsidP="006712D3">
            <w:pPr>
              <w:rPr>
                <w:rFonts w:cstheme="minorHAnsi"/>
              </w:rPr>
            </w:pPr>
            <w:r w:rsidRPr="00177418">
              <w:t>TWh (th)</w:t>
            </w:r>
          </w:p>
        </w:tc>
        <w:tc>
          <w:tcPr>
            <w:tcW w:w="0" w:type="auto"/>
            <w:shd w:val="clear" w:color="auto" w:fill="auto"/>
            <w:vAlign w:val="center"/>
          </w:tcPr>
          <w:p w14:paraId="72C0B03E" w14:textId="025837E1" w:rsidR="006712D3" w:rsidRPr="006712D3" w:rsidRDefault="006712D3" w:rsidP="006712D3">
            <w:pPr>
              <w:jc w:val="center"/>
              <w:rPr>
                <w:szCs w:val="21"/>
              </w:rPr>
            </w:pPr>
            <w:r w:rsidRPr="006712D3">
              <w:rPr>
                <w:color w:val="000000"/>
                <w:szCs w:val="21"/>
              </w:rPr>
              <w:t>394</w:t>
            </w:r>
          </w:p>
        </w:tc>
        <w:tc>
          <w:tcPr>
            <w:tcW w:w="0" w:type="auto"/>
            <w:shd w:val="clear" w:color="auto" w:fill="auto"/>
            <w:vAlign w:val="center"/>
          </w:tcPr>
          <w:p w14:paraId="2A8FE7A2" w14:textId="5F75C05E" w:rsidR="006712D3" w:rsidRPr="006712D3" w:rsidRDefault="006712D3" w:rsidP="006712D3">
            <w:pPr>
              <w:jc w:val="center"/>
              <w:rPr>
                <w:szCs w:val="21"/>
              </w:rPr>
            </w:pPr>
            <w:r w:rsidRPr="006712D3">
              <w:rPr>
                <w:color w:val="000000"/>
                <w:szCs w:val="21"/>
              </w:rPr>
              <w:t>822</w:t>
            </w:r>
          </w:p>
        </w:tc>
        <w:tc>
          <w:tcPr>
            <w:tcW w:w="0" w:type="auto"/>
            <w:shd w:val="clear" w:color="auto" w:fill="auto"/>
            <w:vAlign w:val="center"/>
          </w:tcPr>
          <w:p w14:paraId="79EE8DDC" w14:textId="37DA7A1E" w:rsidR="006712D3" w:rsidRPr="006712D3" w:rsidRDefault="006712D3" w:rsidP="006712D3">
            <w:pPr>
              <w:jc w:val="center"/>
              <w:rPr>
                <w:szCs w:val="21"/>
              </w:rPr>
            </w:pPr>
            <w:r w:rsidRPr="006712D3">
              <w:rPr>
                <w:color w:val="000000"/>
                <w:szCs w:val="21"/>
              </w:rPr>
              <w:t>1947</w:t>
            </w:r>
          </w:p>
        </w:tc>
        <w:tc>
          <w:tcPr>
            <w:tcW w:w="0" w:type="auto"/>
            <w:shd w:val="clear" w:color="auto" w:fill="auto"/>
            <w:vAlign w:val="center"/>
          </w:tcPr>
          <w:p w14:paraId="5B002A1D" w14:textId="10984E18" w:rsidR="006712D3" w:rsidRPr="006712D3" w:rsidRDefault="006712D3" w:rsidP="006712D3">
            <w:pPr>
              <w:jc w:val="center"/>
              <w:rPr>
                <w:szCs w:val="21"/>
              </w:rPr>
            </w:pPr>
            <w:r w:rsidRPr="006712D3">
              <w:rPr>
                <w:szCs w:val="21"/>
              </w:rPr>
              <w:t>2,</w:t>
            </w:r>
            <w:r>
              <w:rPr>
                <w:szCs w:val="21"/>
              </w:rPr>
              <w:t>642</w:t>
            </w:r>
          </w:p>
        </w:tc>
      </w:tr>
      <w:tr w:rsidR="006712D3" w:rsidRPr="00177418" w14:paraId="59E1863D" w14:textId="77777777" w:rsidTr="004E3FC4">
        <w:trPr>
          <w:trHeight w:val="32"/>
          <w:jc w:val="center"/>
        </w:trPr>
        <w:tc>
          <w:tcPr>
            <w:tcW w:w="1838" w:type="dxa"/>
            <w:vMerge/>
            <w:shd w:val="clear" w:color="auto" w:fill="FF0000"/>
            <w:vAlign w:val="center"/>
          </w:tcPr>
          <w:p w14:paraId="518ED63B" w14:textId="77777777" w:rsidR="006712D3" w:rsidRPr="00177418" w:rsidRDefault="006712D3" w:rsidP="006712D3"/>
        </w:tc>
        <w:tc>
          <w:tcPr>
            <w:tcW w:w="1245" w:type="dxa"/>
            <w:shd w:val="clear" w:color="auto" w:fill="auto"/>
            <w:vAlign w:val="center"/>
          </w:tcPr>
          <w:p w14:paraId="2352B4C1" w14:textId="6FBEF355" w:rsidR="006712D3" w:rsidRPr="00177418" w:rsidRDefault="006712D3" w:rsidP="006712D3">
            <w:pPr>
              <w:rPr>
                <w:rFonts w:cstheme="minorHAnsi"/>
              </w:rPr>
            </w:pPr>
            <w:r w:rsidRPr="00177418">
              <w:t>% market</w:t>
            </w:r>
          </w:p>
        </w:tc>
        <w:tc>
          <w:tcPr>
            <w:tcW w:w="0" w:type="auto"/>
            <w:shd w:val="clear" w:color="auto" w:fill="auto"/>
            <w:vAlign w:val="center"/>
          </w:tcPr>
          <w:p w14:paraId="4FD03435" w14:textId="1A8316B7" w:rsidR="006712D3" w:rsidRPr="006712D3" w:rsidRDefault="006712D3" w:rsidP="006712D3">
            <w:pPr>
              <w:jc w:val="center"/>
              <w:rPr>
                <w:szCs w:val="21"/>
              </w:rPr>
            </w:pPr>
            <w:r w:rsidRPr="006712D3">
              <w:rPr>
                <w:color w:val="000000"/>
                <w:szCs w:val="21"/>
              </w:rPr>
              <w:t>8.1%</w:t>
            </w:r>
          </w:p>
        </w:tc>
        <w:tc>
          <w:tcPr>
            <w:tcW w:w="0" w:type="auto"/>
            <w:shd w:val="clear" w:color="auto" w:fill="auto"/>
            <w:vAlign w:val="center"/>
          </w:tcPr>
          <w:p w14:paraId="34CAFB53" w14:textId="72E1AB22" w:rsidR="006712D3" w:rsidRPr="006712D3" w:rsidRDefault="006712D3" w:rsidP="006712D3">
            <w:pPr>
              <w:jc w:val="center"/>
              <w:rPr>
                <w:szCs w:val="21"/>
              </w:rPr>
            </w:pPr>
            <w:r w:rsidRPr="006712D3">
              <w:rPr>
                <w:color w:val="000000"/>
                <w:szCs w:val="21"/>
              </w:rPr>
              <w:t>15.0%</w:t>
            </w:r>
          </w:p>
        </w:tc>
        <w:tc>
          <w:tcPr>
            <w:tcW w:w="0" w:type="auto"/>
            <w:shd w:val="clear" w:color="auto" w:fill="auto"/>
            <w:vAlign w:val="center"/>
          </w:tcPr>
          <w:p w14:paraId="43B375D1" w14:textId="30C2DF17" w:rsidR="006712D3" w:rsidRPr="006712D3" w:rsidRDefault="006712D3" w:rsidP="006712D3">
            <w:pPr>
              <w:jc w:val="center"/>
              <w:rPr>
                <w:szCs w:val="21"/>
              </w:rPr>
            </w:pPr>
            <w:r w:rsidRPr="006712D3">
              <w:rPr>
                <w:color w:val="000000"/>
                <w:szCs w:val="21"/>
              </w:rPr>
              <w:t>30.0%</w:t>
            </w:r>
          </w:p>
        </w:tc>
        <w:tc>
          <w:tcPr>
            <w:tcW w:w="0" w:type="auto"/>
            <w:shd w:val="clear" w:color="auto" w:fill="auto"/>
            <w:vAlign w:val="center"/>
          </w:tcPr>
          <w:p w14:paraId="7641EB01" w14:textId="1EED3466" w:rsidR="006712D3" w:rsidRPr="006712D3" w:rsidRDefault="006712D3" w:rsidP="006712D3">
            <w:pPr>
              <w:jc w:val="center"/>
              <w:rPr>
                <w:szCs w:val="21"/>
              </w:rPr>
            </w:pPr>
            <w:r w:rsidRPr="006712D3">
              <w:rPr>
                <w:szCs w:val="21"/>
              </w:rPr>
              <w:t>50%</w:t>
            </w:r>
          </w:p>
        </w:tc>
      </w:tr>
    </w:tbl>
    <w:p w14:paraId="2AB38D2C" w14:textId="77777777" w:rsidR="00762877" w:rsidRPr="00177418" w:rsidRDefault="00762877" w:rsidP="00E07370"/>
    <w:p w14:paraId="0D817E1E" w14:textId="77777777" w:rsidR="0032353F" w:rsidRPr="00177418" w:rsidRDefault="0032353F" w:rsidP="006831EE">
      <w:pPr>
        <w:pStyle w:val="Caption"/>
      </w:pPr>
    </w:p>
    <w:p w14:paraId="7A2926D4" w14:textId="7503338B" w:rsidR="003A7929" w:rsidRPr="00177418" w:rsidRDefault="00D44511" w:rsidP="006831EE">
      <w:pPr>
        <w:pStyle w:val="Caption"/>
      </w:pPr>
      <w:r w:rsidRPr="00D44511">
        <w:rPr>
          <w:noProof/>
        </w:rPr>
        <w:lastRenderedPageBreak/>
        <w:t xml:space="preserve"> </w:t>
      </w:r>
      <w:r w:rsidR="00EA13AA" w:rsidRPr="00177418">
        <w:rPr>
          <w:noProof/>
        </w:rPr>
        <w:t xml:space="preserve"> </w:t>
      </w:r>
      <w:r w:rsidR="00D53CEB">
        <w:rPr>
          <w:noProof/>
        </w:rPr>
        <w:drawing>
          <wp:inline distT="0" distB="0" distL="0" distR="0" wp14:anchorId="09095167" wp14:editId="5DBB4998">
            <wp:extent cx="4639310" cy="3481070"/>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9310" cy="3481070"/>
                    </a:xfrm>
                    <a:prstGeom prst="rect">
                      <a:avLst/>
                    </a:prstGeom>
                    <a:noFill/>
                  </pic:spPr>
                </pic:pic>
              </a:graphicData>
            </a:graphic>
          </wp:inline>
        </w:drawing>
      </w:r>
    </w:p>
    <w:p w14:paraId="567E303A" w14:textId="3A543D76" w:rsidR="00762877" w:rsidRPr="003F5943" w:rsidRDefault="00977F6D" w:rsidP="006831EE">
      <w:pPr>
        <w:pStyle w:val="Caption"/>
        <w:rPr>
          <w:b/>
          <w:bCs/>
        </w:rPr>
      </w:pPr>
      <w:bookmarkStart w:id="89" w:name="_Toc44510689"/>
      <w:r w:rsidRPr="003F5943">
        <w:t xml:space="preserve">Figure </w:t>
      </w:r>
      <w:r w:rsidR="00CA08B6">
        <w:rPr>
          <w:noProof/>
        </w:rPr>
        <w:fldChar w:fldCharType="begin"/>
      </w:r>
      <w:r w:rsidR="00CA08B6">
        <w:rPr>
          <w:noProof/>
        </w:rPr>
        <w:instrText xml:space="preserve"> STYLEREF 1 \s </w:instrText>
      </w:r>
      <w:r w:rsidR="00CA08B6">
        <w:rPr>
          <w:noProof/>
        </w:rPr>
        <w:fldChar w:fldCharType="separate"/>
      </w:r>
      <w:r w:rsidR="001142D0">
        <w:rPr>
          <w:noProof/>
        </w:rPr>
        <w:t>3</w:t>
      </w:r>
      <w:r w:rsidR="00CA08B6">
        <w:rPr>
          <w:noProof/>
        </w:rPr>
        <w:fldChar w:fldCharType="end"/>
      </w:r>
      <w:r w:rsidR="001E7BA1">
        <w:t>.</w:t>
      </w:r>
      <w:r w:rsidR="00CA08B6">
        <w:rPr>
          <w:noProof/>
        </w:rPr>
        <w:fldChar w:fldCharType="begin"/>
      </w:r>
      <w:r w:rsidR="00CA08B6">
        <w:rPr>
          <w:noProof/>
        </w:rPr>
        <w:instrText xml:space="preserve"> SEQ Figure \* ARABIC \s 1 </w:instrText>
      </w:r>
      <w:r w:rsidR="00CA08B6">
        <w:rPr>
          <w:noProof/>
        </w:rPr>
        <w:fldChar w:fldCharType="separate"/>
      </w:r>
      <w:r w:rsidR="001142D0">
        <w:rPr>
          <w:noProof/>
        </w:rPr>
        <w:t>1</w:t>
      </w:r>
      <w:r w:rsidR="00CA08B6">
        <w:rPr>
          <w:noProof/>
        </w:rPr>
        <w:fldChar w:fldCharType="end"/>
      </w:r>
      <w:r w:rsidRPr="003F5943">
        <w:t xml:space="preserve"> </w:t>
      </w:r>
      <w:r w:rsidR="00807D37" w:rsidRPr="003F5943">
        <w:t xml:space="preserve">World Annual </w:t>
      </w:r>
      <w:r w:rsidRPr="003F5943">
        <w:t>Adoption 2020-2050</w:t>
      </w:r>
      <w:bookmarkEnd w:id="89"/>
    </w:p>
    <w:p w14:paraId="6B6F22E7" w14:textId="19002B27" w:rsidR="003A7929" w:rsidRPr="00177418" w:rsidRDefault="551A77D0" w:rsidP="00E07370">
      <w:pPr>
        <w:pStyle w:val="Heading2"/>
      </w:pPr>
      <w:bookmarkStart w:id="90" w:name="_Toc44510680"/>
      <w:r w:rsidRPr="00177418">
        <w:t>Climate Impacts</w:t>
      </w:r>
      <w:bookmarkEnd w:id="90"/>
    </w:p>
    <w:p w14:paraId="61041E32" w14:textId="543AA113" w:rsidR="0032353F" w:rsidRPr="00177418" w:rsidRDefault="0032353F" w:rsidP="00E07370">
      <w:r w:rsidRPr="00177418">
        <w:t xml:space="preserve">Below are the emissions results of the analysis for each scenario which include total emissions reduction, atmospheric concentration changes, and sequestration where relevant. For a detailed explanation of each result, please see the </w:t>
      </w:r>
      <w:r w:rsidR="00BC6B3A">
        <w:fldChar w:fldCharType="begin"/>
      </w:r>
      <w:r w:rsidR="00BC6B3A">
        <w:instrText xml:space="preserve"> REF _Ref2165273 \h </w:instrText>
      </w:r>
      <w:r w:rsidR="00BC6B3A">
        <w:fldChar w:fldCharType="separate"/>
      </w:r>
      <w:r w:rsidR="001142D0" w:rsidRPr="00177418">
        <w:t>Glossary</w:t>
      </w:r>
      <w:r w:rsidR="00BC6B3A">
        <w:fldChar w:fldCharType="end"/>
      </w:r>
      <w:r w:rsidRPr="00177418">
        <w:t>.</w:t>
      </w:r>
    </w:p>
    <w:p w14:paraId="52E48BE0" w14:textId="77777777" w:rsidR="00B261E0" w:rsidRPr="003F5943" w:rsidRDefault="00B261E0" w:rsidP="00E07370"/>
    <w:p w14:paraId="4DA2B4CB" w14:textId="33DD7D9F" w:rsidR="00762877" w:rsidRPr="003F5943" w:rsidRDefault="0066753A" w:rsidP="006831EE">
      <w:pPr>
        <w:pStyle w:val="Caption"/>
        <w:rPr>
          <w:lang w:eastAsia="zh-CN"/>
        </w:rPr>
      </w:pPr>
      <w:bookmarkStart w:id="91" w:name="_Toc44510701"/>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3</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2</w:t>
      </w:r>
      <w:r w:rsidR="00CA08B6">
        <w:rPr>
          <w:noProof/>
        </w:rPr>
        <w:fldChar w:fldCharType="end"/>
      </w:r>
      <w:r w:rsidRPr="003F5943">
        <w:t xml:space="preserve"> Climate Impacts</w:t>
      </w:r>
      <w:bookmarkEnd w:id="91"/>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1794"/>
        <w:gridCol w:w="1756"/>
        <w:gridCol w:w="1930"/>
        <w:gridCol w:w="1930"/>
        <w:gridCol w:w="1930"/>
      </w:tblGrid>
      <w:tr w:rsidR="00E572E2" w:rsidRPr="00883E57" w14:paraId="0150056F" w14:textId="1D8EC1D7" w:rsidTr="00CA5156">
        <w:trPr>
          <w:cantSplit/>
          <w:trHeight w:val="124"/>
          <w:tblHeader/>
          <w:jc w:val="center"/>
        </w:trPr>
        <w:tc>
          <w:tcPr>
            <w:tcW w:w="960" w:type="pct"/>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E572E2" w:rsidRPr="00883E57" w:rsidRDefault="00E572E2" w:rsidP="00E07370">
            <w:pPr>
              <w:rPr>
                <w:b/>
                <w:color w:val="FFFFFF" w:themeColor="background1"/>
                <w:lang w:eastAsia="zh-CN"/>
              </w:rPr>
            </w:pPr>
            <w:r w:rsidRPr="00883E57">
              <w:rPr>
                <w:b/>
                <w:color w:val="FFFFFF" w:themeColor="background1"/>
                <w:lang w:eastAsia="zh-CN"/>
              </w:rPr>
              <w:lastRenderedPageBreak/>
              <w:t>Scenario</w:t>
            </w:r>
          </w:p>
        </w:tc>
        <w:tc>
          <w:tcPr>
            <w:tcW w:w="94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E572E2" w:rsidRPr="00883E57" w:rsidRDefault="00E572E2" w:rsidP="00E07370">
            <w:pPr>
              <w:rPr>
                <w:b/>
                <w:color w:val="FFFFFF" w:themeColor="background1"/>
                <w:lang w:eastAsia="zh-CN"/>
              </w:rPr>
            </w:pPr>
            <w:r w:rsidRPr="00883E57">
              <w:rPr>
                <w:b/>
                <w:color w:val="FFFFFF" w:themeColor="background1"/>
                <w:lang w:eastAsia="zh-CN"/>
              </w:rPr>
              <w:t>Maximum Annual Emissions Reduction</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E572E2" w:rsidRPr="00883E57" w:rsidRDefault="00E572E2" w:rsidP="00E07370">
            <w:pPr>
              <w:rPr>
                <w:b/>
                <w:color w:val="FFFFFF" w:themeColor="background1"/>
                <w:lang w:eastAsia="zh-CN"/>
              </w:rPr>
            </w:pPr>
            <w:r w:rsidRPr="00883E57">
              <w:rPr>
                <w:b/>
                <w:color w:val="FFFFFF" w:themeColor="background1"/>
                <w:lang w:eastAsia="zh-CN"/>
              </w:rPr>
              <w:t>Total Emissions Reduction</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E572E2" w:rsidRPr="00883E57" w:rsidRDefault="00E572E2" w:rsidP="00E07370">
            <w:pPr>
              <w:rPr>
                <w:b/>
                <w:color w:val="FFFFFF" w:themeColor="background1"/>
                <w:lang w:eastAsia="zh-CN"/>
              </w:rPr>
            </w:pPr>
            <w:r w:rsidRPr="00883E57">
              <w:rPr>
                <w:b/>
                <w:color w:val="FFFFFF" w:themeColor="background1"/>
                <w:lang w:eastAsia="zh-CN"/>
              </w:rPr>
              <w:t>Emissions Reduction in 2030</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E572E2" w:rsidRPr="00883E57" w:rsidRDefault="00E572E2" w:rsidP="00E07370">
            <w:pPr>
              <w:rPr>
                <w:b/>
                <w:color w:val="FFFFFF" w:themeColor="background1"/>
                <w:lang w:eastAsia="zh-CN"/>
              </w:rPr>
            </w:pPr>
            <w:r w:rsidRPr="00883E57">
              <w:rPr>
                <w:b/>
                <w:color w:val="FFFFFF" w:themeColor="background1"/>
                <w:lang w:eastAsia="zh-CN"/>
              </w:rPr>
              <w:t>Emissions Reduction in 2050</w:t>
            </w:r>
          </w:p>
        </w:tc>
      </w:tr>
      <w:tr w:rsidR="00E572E2" w:rsidRPr="00883E57" w14:paraId="6B5C6387" w14:textId="411C48F1" w:rsidTr="00CA5156">
        <w:trPr>
          <w:cantSplit/>
          <w:trHeight w:val="97"/>
          <w:tblHeader/>
          <w:jc w:val="center"/>
        </w:trPr>
        <w:tc>
          <w:tcPr>
            <w:tcW w:w="960" w:type="pct"/>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E572E2" w:rsidRPr="00883E57" w:rsidRDefault="00E572E2" w:rsidP="00E07370">
            <w:pPr>
              <w:rPr>
                <w:b/>
                <w:color w:val="FFFFFF" w:themeColor="background1"/>
                <w:lang w:eastAsia="zh-CN"/>
              </w:rPr>
            </w:pPr>
          </w:p>
        </w:tc>
        <w:tc>
          <w:tcPr>
            <w:tcW w:w="94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E572E2" w:rsidRPr="00883E57" w:rsidRDefault="00E572E2" w:rsidP="00E07370">
            <w:pPr>
              <w:rPr>
                <w:b/>
                <w:color w:val="FFFFFF" w:themeColor="background1"/>
                <w:lang w:eastAsia="zh-CN"/>
              </w:rPr>
            </w:pPr>
            <w:r w:rsidRPr="00883E57">
              <w:rPr>
                <w:b/>
                <w:color w:val="FFFFFF" w:themeColor="background1"/>
                <w:lang w:eastAsia="zh-CN"/>
              </w:rPr>
              <w:t>(Gt CO2-eq/yr.)</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576B790" w:rsidR="00E572E2" w:rsidRPr="00883E57" w:rsidRDefault="00E572E2" w:rsidP="00E07370">
            <w:pPr>
              <w:rPr>
                <w:b/>
                <w:color w:val="FFFFFF" w:themeColor="background1"/>
                <w:lang w:eastAsia="zh-CN"/>
              </w:rPr>
            </w:pPr>
            <w:r w:rsidRPr="00883E57">
              <w:rPr>
                <w:b/>
                <w:color w:val="FFFFFF" w:themeColor="background1"/>
                <w:lang w:eastAsia="zh-CN"/>
              </w:rPr>
              <w:t>Gt CO2-eq (2020-2050)</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E572E2" w:rsidRPr="00883E57" w:rsidRDefault="00E572E2" w:rsidP="00E07370">
            <w:pPr>
              <w:rPr>
                <w:b/>
                <w:color w:val="FFFFFF" w:themeColor="background1"/>
                <w:lang w:eastAsia="zh-CN"/>
              </w:rPr>
            </w:pPr>
            <w:r w:rsidRPr="00883E57">
              <w:rPr>
                <w:b/>
                <w:color w:val="FFFFFF" w:themeColor="background1"/>
                <w:lang w:eastAsia="zh-CN"/>
              </w:rPr>
              <w:t>(Gt CO2-eq/year)</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E572E2" w:rsidRPr="00883E57" w:rsidRDefault="00E572E2" w:rsidP="00E07370">
            <w:pPr>
              <w:rPr>
                <w:b/>
                <w:color w:val="FFFFFF" w:themeColor="background1"/>
                <w:lang w:eastAsia="zh-CN"/>
              </w:rPr>
            </w:pPr>
            <w:r w:rsidRPr="00883E57">
              <w:rPr>
                <w:b/>
                <w:color w:val="FFFFFF" w:themeColor="background1"/>
                <w:lang w:eastAsia="zh-CN"/>
              </w:rPr>
              <w:t>(Gt CO2-eq/year)</w:t>
            </w:r>
          </w:p>
        </w:tc>
      </w:tr>
      <w:tr w:rsidR="00A672B0" w:rsidRPr="00177418" w14:paraId="354A2249" w14:textId="7B11184C" w:rsidTr="00DE6996">
        <w:trPr>
          <w:trHeight w:val="52"/>
          <w:jc w:val="center"/>
        </w:trPr>
        <w:tc>
          <w:tcPr>
            <w:tcW w:w="96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A672B0" w:rsidRPr="00177418" w:rsidRDefault="00A672B0" w:rsidP="00A672B0">
            <w:pPr>
              <w:rPr>
                <w:lang w:eastAsia="zh-CN"/>
              </w:rPr>
            </w:pPr>
            <w:r w:rsidRPr="00177418">
              <w:rPr>
                <w:lang w:eastAsia="zh-CN"/>
              </w:rPr>
              <w:t>Plausible</w:t>
            </w:r>
          </w:p>
        </w:tc>
        <w:tc>
          <w:tcPr>
            <w:tcW w:w="94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E32FE9C" w14:textId="4CD9366F" w:rsidR="00A672B0" w:rsidRPr="006712D3" w:rsidRDefault="00A672B0" w:rsidP="00A672B0">
            <w:pPr>
              <w:rPr>
                <w:sz w:val="21"/>
                <w:szCs w:val="21"/>
                <w:lang w:eastAsia="zh-CN"/>
              </w:rPr>
            </w:pPr>
            <w:r w:rsidRPr="006712D3">
              <w:rPr>
                <w:color w:val="000000"/>
                <w:sz w:val="21"/>
                <w:szCs w:val="21"/>
              </w:rPr>
              <w:t>0.19</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55E6FA7" w14:textId="50E2C2B7" w:rsidR="00A672B0" w:rsidRPr="006712D3" w:rsidRDefault="00A672B0" w:rsidP="00A672B0">
            <w:pPr>
              <w:rPr>
                <w:sz w:val="21"/>
                <w:szCs w:val="21"/>
                <w:lang w:eastAsia="zh-CN"/>
              </w:rPr>
            </w:pPr>
            <w:r w:rsidRPr="006712D3">
              <w:rPr>
                <w:color w:val="000000"/>
                <w:sz w:val="21"/>
                <w:szCs w:val="21"/>
              </w:rPr>
              <w:t>3.64</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C66504C" w14:textId="1ED29F66" w:rsidR="00A672B0" w:rsidRPr="006712D3" w:rsidRDefault="00A672B0" w:rsidP="00A672B0">
            <w:pPr>
              <w:rPr>
                <w:sz w:val="21"/>
                <w:szCs w:val="21"/>
                <w:lang w:eastAsia="zh-CN"/>
              </w:rPr>
            </w:pPr>
            <w:r w:rsidRPr="006712D3">
              <w:rPr>
                <w:color w:val="000000"/>
                <w:sz w:val="21"/>
                <w:szCs w:val="21"/>
              </w:rPr>
              <w:t>0.10</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6625454" w14:textId="735B0933" w:rsidR="00A672B0" w:rsidRPr="006712D3" w:rsidRDefault="00A672B0" w:rsidP="00A672B0">
            <w:pPr>
              <w:rPr>
                <w:sz w:val="21"/>
                <w:szCs w:val="21"/>
                <w:lang w:eastAsia="zh-CN"/>
              </w:rPr>
            </w:pPr>
            <w:r w:rsidRPr="006712D3">
              <w:rPr>
                <w:color w:val="000000"/>
                <w:sz w:val="21"/>
                <w:szCs w:val="21"/>
              </w:rPr>
              <w:t>0.19</w:t>
            </w:r>
          </w:p>
        </w:tc>
      </w:tr>
      <w:tr w:rsidR="006712D3" w:rsidRPr="00177418" w14:paraId="7DCB0C2E" w14:textId="35D5AF3A" w:rsidTr="00DE6996">
        <w:trPr>
          <w:trHeight w:val="52"/>
          <w:jc w:val="center"/>
        </w:trPr>
        <w:tc>
          <w:tcPr>
            <w:tcW w:w="96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6712D3" w:rsidRPr="00177418" w:rsidRDefault="006712D3" w:rsidP="006712D3">
            <w:pPr>
              <w:rPr>
                <w:lang w:eastAsia="zh-CN"/>
              </w:rPr>
            </w:pPr>
            <w:r w:rsidRPr="00177418">
              <w:rPr>
                <w:lang w:eastAsia="zh-CN"/>
              </w:rPr>
              <w:t>Drawdown</w:t>
            </w:r>
          </w:p>
        </w:tc>
        <w:tc>
          <w:tcPr>
            <w:tcW w:w="94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BCD264C" w14:textId="37151E87" w:rsidR="006712D3" w:rsidRPr="006712D3" w:rsidRDefault="006712D3" w:rsidP="006712D3">
            <w:pPr>
              <w:rPr>
                <w:sz w:val="21"/>
                <w:szCs w:val="21"/>
                <w:lang w:eastAsia="zh-CN"/>
              </w:rPr>
            </w:pPr>
            <w:r w:rsidRPr="006712D3">
              <w:rPr>
                <w:color w:val="000000"/>
                <w:sz w:val="21"/>
                <w:szCs w:val="21"/>
              </w:rPr>
              <w:t>0.77</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384325D3" w14:textId="1511225E" w:rsidR="006712D3" w:rsidRPr="006712D3" w:rsidRDefault="006712D3" w:rsidP="006712D3">
            <w:pPr>
              <w:rPr>
                <w:sz w:val="21"/>
                <w:szCs w:val="21"/>
                <w:lang w:eastAsia="zh-CN"/>
              </w:rPr>
            </w:pPr>
            <w:r w:rsidRPr="006712D3">
              <w:rPr>
                <w:color w:val="000000"/>
                <w:sz w:val="21"/>
                <w:szCs w:val="21"/>
              </w:rPr>
              <w:t>14.29</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7949EEE" w14:textId="7C99BEEA" w:rsidR="006712D3" w:rsidRPr="006712D3" w:rsidRDefault="006712D3" w:rsidP="006712D3">
            <w:pPr>
              <w:rPr>
                <w:sz w:val="21"/>
                <w:szCs w:val="21"/>
                <w:lang w:eastAsia="zh-CN"/>
              </w:rPr>
            </w:pPr>
            <w:r w:rsidRPr="006712D3">
              <w:rPr>
                <w:color w:val="000000"/>
                <w:sz w:val="21"/>
                <w:szCs w:val="21"/>
              </w:rPr>
              <w:t>0.36</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1AF5134" w14:textId="34B453E2" w:rsidR="006712D3" w:rsidRPr="006712D3" w:rsidRDefault="006712D3" w:rsidP="006712D3">
            <w:pPr>
              <w:rPr>
                <w:sz w:val="21"/>
                <w:szCs w:val="21"/>
                <w:lang w:eastAsia="zh-CN"/>
              </w:rPr>
            </w:pPr>
            <w:r w:rsidRPr="006712D3">
              <w:rPr>
                <w:color w:val="000000"/>
                <w:sz w:val="21"/>
                <w:szCs w:val="21"/>
              </w:rPr>
              <w:t>0.77</w:t>
            </w:r>
          </w:p>
        </w:tc>
      </w:tr>
      <w:tr w:rsidR="006712D3" w:rsidRPr="00177418" w14:paraId="7CA1AA1B" w14:textId="3D7819CF" w:rsidTr="004E3FC4">
        <w:trPr>
          <w:trHeight w:val="52"/>
          <w:jc w:val="center"/>
        </w:trPr>
        <w:tc>
          <w:tcPr>
            <w:tcW w:w="96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6712D3" w:rsidRPr="00177418" w:rsidRDefault="006712D3" w:rsidP="006712D3">
            <w:pPr>
              <w:rPr>
                <w:lang w:eastAsia="zh-CN"/>
              </w:rPr>
            </w:pPr>
            <w:r w:rsidRPr="00177418">
              <w:rPr>
                <w:lang w:eastAsia="zh-CN"/>
              </w:rPr>
              <w:t>Optimum</w:t>
            </w:r>
          </w:p>
        </w:tc>
        <w:tc>
          <w:tcPr>
            <w:tcW w:w="94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0786EBCB" w14:textId="3565C8BA" w:rsidR="006712D3" w:rsidRPr="006712D3" w:rsidRDefault="006712D3" w:rsidP="006712D3">
            <w:pPr>
              <w:rPr>
                <w:sz w:val="21"/>
                <w:szCs w:val="21"/>
                <w:lang w:eastAsia="zh-CN"/>
              </w:rPr>
            </w:pPr>
            <w:r w:rsidRPr="006712D3">
              <w:rPr>
                <w:color w:val="000000"/>
                <w:sz w:val="21"/>
                <w:szCs w:val="21"/>
              </w:rPr>
              <w:t>1.17</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5E107D52" w14:textId="4ED8A057" w:rsidR="006712D3" w:rsidRPr="006712D3" w:rsidRDefault="006712D3" w:rsidP="006712D3">
            <w:pPr>
              <w:rPr>
                <w:sz w:val="21"/>
                <w:szCs w:val="21"/>
                <w:lang w:eastAsia="zh-CN"/>
              </w:rPr>
            </w:pPr>
            <w:r w:rsidRPr="006712D3">
              <w:rPr>
                <w:color w:val="000000"/>
                <w:sz w:val="21"/>
                <w:szCs w:val="21"/>
              </w:rPr>
              <w:t>27.58</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104B6EC" w14:textId="03138B14" w:rsidR="006712D3" w:rsidRPr="006712D3" w:rsidRDefault="006712D3" w:rsidP="006712D3">
            <w:pPr>
              <w:rPr>
                <w:sz w:val="21"/>
                <w:szCs w:val="21"/>
                <w:lang w:eastAsia="zh-CN"/>
              </w:rPr>
            </w:pPr>
            <w:r w:rsidRPr="006712D3">
              <w:rPr>
                <w:color w:val="000000"/>
                <w:sz w:val="21"/>
                <w:szCs w:val="21"/>
              </w:rPr>
              <w:t>0.82</w:t>
            </w:r>
          </w:p>
        </w:tc>
        <w:tc>
          <w:tcPr>
            <w:tcW w:w="10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E4588E5" w14:textId="52626AA3" w:rsidR="006712D3" w:rsidRPr="006712D3" w:rsidRDefault="006712D3" w:rsidP="006712D3">
            <w:pPr>
              <w:rPr>
                <w:sz w:val="21"/>
                <w:szCs w:val="21"/>
                <w:lang w:eastAsia="zh-CN"/>
              </w:rPr>
            </w:pPr>
            <w:r w:rsidRPr="006712D3">
              <w:rPr>
                <w:color w:val="000000"/>
                <w:sz w:val="21"/>
                <w:szCs w:val="21"/>
              </w:rPr>
              <w:t>1.13</w:t>
            </w:r>
          </w:p>
        </w:tc>
      </w:tr>
    </w:tbl>
    <w:p w14:paraId="43965544" w14:textId="77777777" w:rsidR="00BB79D6" w:rsidRPr="00177418" w:rsidRDefault="00BB79D6" w:rsidP="00E07370">
      <w:bookmarkStart w:id="92" w:name="_Toc524993443"/>
    </w:p>
    <w:p w14:paraId="54B5EBE5" w14:textId="4ADC3A55" w:rsidR="00ED40EA" w:rsidRDefault="00087D3B" w:rsidP="00E07370">
      <w:r w:rsidRPr="00177418">
        <w:t>T</w:t>
      </w:r>
      <w:r w:rsidR="0032353F" w:rsidRPr="00177418">
        <w:t>he solution was</w:t>
      </w:r>
      <w:r w:rsidR="005C77F5" w:rsidRPr="00177418">
        <w:t xml:space="preserve"> </w:t>
      </w:r>
      <w:r w:rsidR="0032353F" w:rsidRPr="00177418">
        <w:t xml:space="preserve">integrated with all other </w:t>
      </w:r>
      <w:r w:rsidR="00B251A2" w:rsidRPr="00177418">
        <w:t xml:space="preserve">Project Drawdown </w:t>
      </w:r>
      <w:r w:rsidR="0032353F" w:rsidRPr="00177418">
        <w:t>solutions and</w:t>
      </w:r>
      <w:r w:rsidR="0069014F" w:rsidRPr="00177418">
        <w:t xml:space="preserve"> may have different emissions results</w:t>
      </w:r>
      <w:r w:rsidR="00B251A2" w:rsidRPr="00177418">
        <w:t xml:space="preserve"> </w:t>
      </w:r>
      <w:r w:rsidR="00926C81" w:rsidRPr="00177418">
        <w:t>from the models</w:t>
      </w:r>
      <w:r w:rsidR="0069014F" w:rsidRPr="00177418">
        <w:t xml:space="preserve">. This is due to adjustments caused by interactions among solutions that limit full adoption (such as by feedstock or demand limits) or </w:t>
      </w:r>
      <w:r w:rsidR="00B251A2" w:rsidRPr="00177418">
        <w:t xml:space="preserve">that </w:t>
      </w:r>
      <w:r w:rsidR="0069014F" w:rsidRPr="00177418">
        <w:t>limit</w:t>
      </w:r>
      <w:r w:rsidR="00B251A2" w:rsidRPr="00177418">
        <w:t xml:space="preserve"> </w:t>
      </w:r>
      <w:r w:rsidR="0069014F" w:rsidRPr="00177418">
        <w:t>the full benefit of some solutions</w:t>
      </w:r>
      <w:r w:rsidR="00B251A2" w:rsidRPr="00177418">
        <w:t xml:space="preserve"> (such as reduced individual </w:t>
      </w:r>
      <w:r w:rsidRPr="00177418">
        <w:t xml:space="preserve">solution </w:t>
      </w:r>
      <w:r w:rsidR="00B251A2" w:rsidRPr="00177418">
        <w:t xml:space="preserve">impact </w:t>
      </w:r>
      <w:r w:rsidRPr="00177418">
        <w:t>when technologies are</w:t>
      </w:r>
      <w:r w:rsidR="00B251A2" w:rsidRPr="00177418">
        <w:t xml:space="preserve"> combined)</w:t>
      </w:r>
      <w:r w:rsidR="0032353F" w:rsidRPr="00177418">
        <w:t>.</w:t>
      </w:r>
    </w:p>
    <w:p w14:paraId="7DB6B813" w14:textId="77777777" w:rsidR="00ED40EA" w:rsidRDefault="00ED40EA">
      <w:pPr>
        <w:spacing w:after="160" w:line="259" w:lineRule="auto"/>
        <w:jc w:val="left"/>
      </w:pPr>
      <w:r>
        <w:br w:type="page"/>
      </w:r>
    </w:p>
    <w:p w14:paraId="524B77BF" w14:textId="489DA01E" w:rsidR="00762877" w:rsidRPr="003F5943" w:rsidRDefault="003A7929" w:rsidP="006831EE">
      <w:pPr>
        <w:pStyle w:val="Caption"/>
        <w:rPr>
          <w:lang w:eastAsia="zh-CN"/>
        </w:rPr>
      </w:pPr>
      <w:bookmarkStart w:id="93" w:name="_Toc44510702"/>
      <w:r w:rsidRPr="003F5943">
        <w:lastRenderedPageBreak/>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3</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3</w:t>
      </w:r>
      <w:r w:rsidR="00CA08B6">
        <w:rPr>
          <w:noProof/>
        </w:rPr>
        <w:fldChar w:fldCharType="end"/>
      </w:r>
      <w:r w:rsidRPr="003F5943">
        <w:t xml:space="preserve"> Impacts on Atmospheric Concentrations of CO</w:t>
      </w:r>
      <w:r w:rsidRPr="003F5943">
        <w:rPr>
          <w:vertAlign w:val="subscript"/>
        </w:rPr>
        <w:t>2</w:t>
      </w:r>
      <w:r w:rsidRPr="003F5943">
        <w:t>-eq</w:t>
      </w:r>
      <w:bookmarkEnd w:id="92"/>
      <w:bookmarkEnd w:id="93"/>
    </w:p>
    <w:tbl>
      <w:tblPr>
        <w:tblW w:w="9281" w:type="dxa"/>
        <w:jc w:val="center"/>
        <w:tblCellMar>
          <w:top w:w="15" w:type="dxa"/>
          <w:left w:w="15" w:type="dxa"/>
          <w:bottom w:w="15" w:type="dxa"/>
          <w:right w:w="15" w:type="dxa"/>
        </w:tblCellMar>
        <w:tblLook w:val="04A0" w:firstRow="1" w:lastRow="0" w:firstColumn="1" w:lastColumn="0" w:noHBand="0" w:noVBand="1"/>
      </w:tblPr>
      <w:tblGrid>
        <w:gridCol w:w="1190"/>
        <w:gridCol w:w="3675"/>
        <w:gridCol w:w="4416"/>
      </w:tblGrid>
      <w:tr w:rsidR="003A7929" w:rsidRPr="00883E57" w14:paraId="6867F03C" w14:textId="77777777" w:rsidTr="00883E5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451DCA8" w14:textId="77777777" w:rsidR="003A7929" w:rsidRPr="00883E57" w:rsidRDefault="003A7929" w:rsidP="00E07370">
            <w:pPr>
              <w:rPr>
                <w:b/>
                <w:color w:val="FFFFFF" w:themeColor="background1"/>
                <w:lang w:eastAsia="zh-CN"/>
              </w:rPr>
            </w:pPr>
            <w:r w:rsidRPr="00883E57">
              <w:rPr>
                <w:b/>
                <w:color w:val="FFFFFF" w:themeColor="background1"/>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38AC623" w14:textId="77777777" w:rsidR="003A7929" w:rsidRPr="00883E57" w:rsidRDefault="003A7929" w:rsidP="00E07370">
            <w:pPr>
              <w:rPr>
                <w:b/>
                <w:color w:val="FFFFFF" w:themeColor="background1"/>
                <w:lang w:eastAsia="zh-CN"/>
              </w:rPr>
            </w:pPr>
            <w:r w:rsidRPr="00883E57">
              <w:rPr>
                <w:b/>
                <w:color w:val="FFFFFF" w:themeColor="background1"/>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DE013E5" w14:textId="77777777" w:rsidR="003A7929" w:rsidRPr="00883E57" w:rsidRDefault="003A7929" w:rsidP="00E07370">
            <w:pPr>
              <w:rPr>
                <w:b/>
                <w:color w:val="FFFFFF" w:themeColor="background1"/>
                <w:lang w:eastAsia="zh-CN"/>
              </w:rPr>
            </w:pPr>
            <w:r w:rsidRPr="00883E57">
              <w:rPr>
                <w:b/>
                <w:color w:val="FFFFFF" w:themeColor="background1"/>
                <w:lang w:eastAsia="zh-CN"/>
              </w:rPr>
              <w:t>GHG Concentration Rate of Change in 2050</w:t>
            </w:r>
          </w:p>
        </w:tc>
      </w:tr>
      <w:tr w:rsidR="003A7929" w:rsidRPr="00883E57" w14:paraId="143693A2" w14:textId="77777777" w:rsidTr="00883E5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883E57" w:rsidRDefault="003A7929" w:rsidP="00E07370">
            <w:pPr>
              <w:rPr>
                <w:b/>
                <w:color w:val="FFFFFF" w:themeColor="background1"/>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AC61076" w14:textId="77777777" w:rsidR="003A7929" w:rsidRPr="00883E57" w:rsidRDefault="003A7929" w:rsidP="00B876EF">
            <w:pPr>
              <w:jc w:val="center"/>
              <w:rPr>
                <w:b/>
                <w:color w:val="FFFFFF" w:themeColor="background1"/>
                <w:lang w:eastAsia="zh-CN"/>
              </w:rPr>
            </w:pPr>
            <w:r w:rsidRPr="00883E57">
              <w:rPr>
                <w:b/>
                <w:color w:val="FFFFFF" w:themeColor="background1"/>
                <w:lang w:eastAsia="zh-CN"/>
              </w:rPr>
              <w:t>PPM CO2-eq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728A76" w14:textId="77777777" w:rsidR="003A7929" w:rsidRPr="00883E57" w:rsidRDefault="003A7929" w:rsidP="00B876EF">
            <w:pPr>
              <w:jc w:val="center"/>
              <w:rPr>
                <w:b/>
                <w:color w:val="FFFFFF" w:themeColor="background1"/>
                <w:lang w:eastAsia="zh-CN"/>
              </w:rPr>
            </w:pPr>
            <w:r w:rsidRPr="00883E57">
              <w:rPr>
                <w:b/>
                <w:color w:val="FFFFFF" w:themeColor="background1"/>
                <w:lang w:eastAsia="zh-CN"/>
              </w:rPr>
              <w:t>PPM CO2-eq change from 2049-2050</w:t>
            </w:r>
          </w:p>
        </w:tc>
      </w:tr>
      <w:tr w:rsidR="00A672B0" w:rsidRPr="00177418" w14:paraId="4F4161D1" w14:textId="77777777" w:rsidTr="00BE658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A672B0" w:rsidRPr="00177418" w:rsidRDefault="00A672B0" w:rsidP="00A672B0">
            <w:pPr>
              <w:rPr>
                <w:lang w:eastAsia="zh-CN"/>
              </w:rPr>
            </w:pPr>
            <w:r w:rsidRPr="00177418">
              <w:rPr>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1BCFAA" w14:textId="550ACF40" w:rsidR="00A672B0" w:rsidRPr="006712D3" w:rsidRDefault="00A672B0" w:rsidP="00A672B0">
            <w:pPr>
              <w:jc w:val="center"/>
              <w:rPr>
                <w:sz w:val="21"/>
                <w:szCs w:val="21"/>
                <w:lang w:eastAsia="zh-CN"/>
              </w:rPr>
            </w:pPr>
            <w:r w:rsidRPr="006712D3">
              <w:rPr>
                <w:color w:val="000000"/>
                <w:sz w:val="21"/>
                <w:szCs w:val="21"/>
              </w:rPr>
              <w:t>0.30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7FA7AAF" w14:textId="79FC04A0" w:rsidR="00A672B0" w:rsidRPr="006712D3" w:rsidRDefault="00A672B0" w:rsidP="00A672B0">
            <w:pPr>
              <w:jc w:val="center"/>
              <w:rPr>
                <w:sz w:val="21"/>
                <w:szCs w:val="21"/>
                <w:lang w:eastAsia="zh-CN"/>
              </w:rPr>
            </w:pPr>
            <w:r w:rsidRPr="006712D3">
              <w:rPr>
                <w:color w:val="000000"/>
                <w:sz w:val="21"/>
                <w:szCs w:val="21"/>
              </w:rPr>
              <w:t>0.01</w:t>
            </w:r>
          </w:p>
        </w:tc>
      </w:tr>
      <w:tr w:rsidR="006712D3" w:rsidRPr="00177418" w14:paraId="389D5E87" w14:textId="77777777" w:rsidTr="00BE658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6712D3" w:rsidRPr="00177418" w:rsidRDefault="006712D3" w:rsidP="006712D3">
            <w:pPr>
              <w:rPr>
                <w:lang w:eastAsia="zh-CN"/>
              </w:rPr>
            </w:pPr>
            <w:r w:rsidRPr="00177418">
              <w:rPr>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6EE9459" w14:textId="61B4852E" w:rsidR="006712D3" w:rsidRPr="006712D3" w:rsidRDefault="006712D3" w:rsidP="006712D3">
            <w:pPr>
              <w:jc w:val="center"/>
              <w:rPr>
                <w:sz w:val="21"/>
                <w:szCs w:val="21"/>
                <w:lang w:eastAsia="zh-CN"/>
              </w:rPr>
            </w:pPr>
            <w:r w:rsidRPr="006712D3">
              <w:rPr>
                <w:color w:val="000000"/>
                <w:sz w:val="21"/>
                <w:szCs w:val="21"/>
              </w:rPr>
              <w:t>1.19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9BDFCEF" w14:textId="184CBBF0" w:rsidR="006712D3" w:rsidRPr="006712D3" w:rsidRDefault="006712D3" w:rsidP="006712D3">
            <w:pPr>
              <w:jc w:val="center"/>
              <w:rPr>
                <w:sz w:val="21"/>
                <w:szCs w:val="21"/>
                <w:lang w:eastAsia="zh-CN"/>
              </w:rPr>
            </w:pPr>
            <w:r w:rsidRPr="006712D3">
              <w:rPr>
                <w:color w:val="000000"/>
                <w:sz w:val="21"/>
                <w:szCs w:val="21"/>
              </w:rPr>
              <w:t>0.06</w:t>
            </w:r>
          </w:p>
        </w:tc>
      </w:tr>
      <w:tr w:rsidR="006712D3" w:rsidRPr="00177418" w14:paraId="7A2BE5CA" w14:textId="77777777" w:rsidTr="00BE658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6712D3" w:rsidRPr="00177418" w:rsidRDefault="006712D3" w:rsidP="006712D3">
            <w:pPr>
              <w:rPr>
                <w:lang w:eastAsia="zh-CN"/>
              </w:rPr>
            </w:pPr>
            <w:r w:rsidRPr="00177418">
              <w:rPr>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FCA082F" w14:textId="52C29653" w:rsidR="006712D3" w:rsidRPr="006712D3" w:rsidRDefault="006712D3" w:rsidP="006712D3">
            <w:pPr>
              <w:jc w:val="center"/>
              <w:rPr>
                <w:sz w:val="21"/>
                <w:szCs w:val="21"/>
                <w:lang w:eastAsia="zh-CN"/>
              </w:rPr>
            </w:pPr>
            <w:r w:rsidRPr="006712D3">
              <w:rPr>
                <w:color w:val="000000"/>
                <w:sz w:val="21"/>
                <w:szCs w:val="21"/>
              </w:rPr>
              <w:t>2.24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24A8C8CB" w14:textId="453944DB" w:rsidR="006712D3" w:rsidRPr="006712D3" w:rsidRDefault="006712D3" w:rsidP="006712D3">
            <w:pPr>
              <w:jc w:val="center"/>
              <w:rPr>
                <w:sz w:val="21"/>
                <w:szCs w:val="21"/>
                <w:lang w:eastAsia="zh-CN"/>
              </w:rPr>
            </w:pPr>
            <w:r w:rsidRPr="006712D3">
              <w:rPr>
                <w:color w:val="000000"/>
                <w:sz w:val="21"/>
                <w:szCs w:val="21"/>
              </w:rPr>
              <w:t>0.08</w:t>
            </w:r>
          </w:p>
        </w:tc>
      </w:tr>
    </w:tbl>
    <w:p w14:paraId="6DD4F749" w14:textId="77777777" w:rsidR="006B675D" w:rsidRPr="00177418" w:rsidRDefault="006B675D" w:rsidP="00E07370"/>
    <w:p w14:paraId="61997373" w14:textId="0DA5665C" w:rsidR="003A7929" w:rsidRPr="00177418" w:rsidRDefault="00D53CEB" w:rsidP="00BC6B3A">
      <w:pPr>
        <w:jc w:val="center"/>
      </w:pPr>
      <w:r>
        <w:rPr>
          <w:noProof/>
        </w:rPr>
        <w:drawing>
          <wp:inline distT="0" distB="0" distL="0" distR="0" wp14:anchorId="57BBEFAA" wp14:editId="302EC76D">
            <wp:extent cx="4584700" cy="348107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5DAEFCF6" w14:textId="0A7DCDDE" w:rsidR="00762877" w:rsidRPr="003F5943" w:rsidRDefault="003A7929" w:rsidP="006831EE">
      <w:pPr>
        <w:pStyle w:val="Caption"/>
        <w:rPr>
          <w:lang w:eastAsia="zh-CN"/>
        </w:rPr>
      </w:pPr>
      <w:bookmarkStart w:id="94" w:name="_Toc524993433"/>
      <w:bookmarkStart w:id="95" w:name="_Toc44510690"/>
      <w:r w:rsidRPr="003F5943">
        <w:t xml:space="preserve">Figure </w:t>
      </w:r>
      <w:r w:rsidR="00CA08B6">
        <w:rPr>
          <w:noProof/>
        </w:rPr>
        <w:fldChar w:fldCharType="begin"/>
      </w:r>
      <w:r w:rsidR="00CA08B6">
        <w:rPr>
          <w:noProof/>
        </w:rPr>
        <w:instrText xml:space="preserve"> STYLEREF 1 \s </w:instrText>
      </w:r>
      <w:r w:rsidR="00CA08B6">
        <w:rPr>
          <w:noProof/>
        </w:rPr>
        <w:fldChar w:fldCharType="separate"/>
      </w:r>
      <w:r w:rsidR="001142D0">
        <w:rPr>
          <w:noProof/>
        </w:rPr>
        <w:t>3</w:t>
      </w:r>
      <w:r w:rsidR="00CA08B6">
        <w:rPr>
          <w:noProof/>
        </w:rPr>
        <w:fldChar w:fldCharType="end"/>
      </w:r>
      <w:r w:rsidR="001E7BA1">
        <w:t>.</w:t>
      </w:r>
      <w:r w:rsidR="00CA08B6">
        <w:rPr>
          <w:noProof/>
        </w:rPr>
        <w:fldChar w:fldCharType="begin"/>
      </w:r>
      <w:r w:rsidR="00CA08B6">
        <w:rPr>
          <w:noProof/>
        </w:rPr>
        <w:instrText xml:space="preserve"> SEQ Figure \* ARABIC \s 1 </w:instrText>
      </w:r>
      <w:r w:rsidR="00CA08B6">
        <w:rPr>
          <w:noProof/>
        </w:rPr>
        <w:fldChar w:fldCharType="separate"/>
      </w:r>
      <w:r w:rsidR="001142D0">
        <w:rPr>
          <w:noProof/>
        </w:rPr>
        <w:t>2</w:t>
      </w:r>
      <w:r w:rsidR="00CA08B6">
        <w:rPr>
          <w:noProof/>
        </w:rPr>
        <w:fldChar w:fldCharType="end"/>
      </w:r>
      <w:r w:rsidRPr="003F5943">
        <w:t xml:space="preserve"> World Annual</w:t>
      </w:r>
      <w:r w:rsidRPr="003F5943">
        <w:rPr>
          <w:vertAlign w:val="subscript"/>
        </w:rPr>
        <w:t xml:space="preserve"> </w:t>
      </w:r>
      <w:r w:rsidRPr="003F5943">
        <w:t>Greenhouse Gas Emissions Reduction</w:t>
      </w:r>
      <w:bookmarkEnd w:id="94"/>
      <w:bookmarkEnd w:id="95"/>
    </w:p>
    <w:p w14:paraId="66EC2EBB" w14:textId="500D3397" w:rsidR="00B261E0" w:rsidRPr="00177418" w:rsidRDefault="551A77D0" w:rsidP="00E07370">
      <w:pPr>
        <w:pStyle w:val="Heading2"/>
      </w:pPr>
      <w:bookmarkStart w:id="96" w:name="_Toc44510681"/>
      <w:r w:rsidRPr="00177418">
        <w:t>Financial Impacts</w:t>
      </w:r>
      <w:bookmarkEnd w:id="96"/>
    </w:p>
    <w:p w14:paraId="306213A7" w14:textId="2FC6D90C" w:rsidR="006B675D" w:rsidRPr="00177418" w:rsidRDefault="00BD1B9B" w:rsidP="00E07370">
      <w:r>
        <w:fldChar w:fldCharType="begin"/>
      </w:r>
      <w:r>
        <w:instrText xml:space="preserve"> REF _Ref535836787 \h </w:instrText>
      </w:r>
      <w:r w:rsidR="006B0ED4">
        <w:instrText xml:space="preserve"> \* MERGEFORMAT </w:instrText>
      </w:r>
      <w:r>
        <w:fldChar w:fldCharType="separate"/>
      </w:r>
      <w:r w:rsidR="001142D0" w:rsidRPr="003F5943">
        <w:t xml:space="preserve">Table </w:t>
      </w:r>
      <w:r w:rsidR="001142D0">
        <w:rPr>
          <w:noProof/>
        </w:rPr>
        <w:t>3.4</w:t>
      </w:r>
      <w:r>
        <w:fldChar w:fldCharType="end"/>
      </w:r>
      <w:r>
        <w:t xml:space="preserve"> </w:t>
      </w:r>
      <w:r w:rsidR="00563B93" w:rsidRPr="00177418">
        <w:t>shows the</w:t>
      </w:r>
      <w:r w:rsidR="006B675D" w:rsidRPr="00177418">
        <w:t xml:space="preserve"> financial results of the analysis for each scenario. For a detailed explanation of each result, please see the glossary.</w:t>
      </w:r>
    </w:p>
    <w:p w14:paraId="4F6C2C45" w14:textId="77777777" w:rsidR="00E14F94" w:rsidRPr="003F5943" w:rsidRDefault="00E14F94" w:rsidP="00E07370"/>
    <w:p w14:paraId="09347CCA" w14:textId="416A97CC" w:rsidR="00492F5E" w:rsidRPr="003F5943" w:rsidRDefault="00492F5E" w:rsidP="006831EE">
      <w:pPr>
        <w:pStyle w:val="Caption"/>
      </w:pPr>
      <w:bookmarkStart w:id="97" w:name="_Ref535836787"/>
      <w:bookmarkStart w:id="98" w:name="_Toc44510703"/>
      <w:r w:rsidRPr="003F5943">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3</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4</w:t>
      </w:r>
      <w:r w:rsidR="00CA08B6">
        <w:rPr>
          <w:noProof/>
        </w:rPr>
        <w:fldChar w:fldCharType="end"/>
      </w:r>
      <w:bookmarkEnd w:id="97"/>
      <w:r w:rsidRPr="003F5943">
        <w:t xml:space="preserve"> Financial Impacts</w:t>
      </w:r>
      <w:bookmarkEnd w:id="98"/>
    </w:p>
    <w:tbl>
      <w:tblPr>
        <w:tblW w:w="5000" w:type="pct"/>
        <w:jc w:val="center"/>
        <w:tblCellMar>
          <w:top w:w="15" w:type="dxa"/>
          <w:left w:w="15" w:type="dxa"/>
          <w:bottom w:w="15" w:type="dxa"/>
          <w:right w:w="15" w:type="dxa"/>
        </w:tblCellMar>
        <w:tblLook w:val="04A0" w:firstRow="1" w:lastRow="0" w:firstColumn="1" w:lastColumn="0" w:noHBand="0" w:noVBand="1"/>
      </w:tblPr>
      <w:tblGrid>
        <w:gridCol w:w="1635"/>
        <w:gridCol w:w="1713"/>
        <w:gridCol w:w="1427"/>
        <w:gridCol w:w="1539"/>
        <w:gridCol w:w="3026"/>
      </w:tblGrid>
      <w:tr w:rsidR="000D79A4" w:rsidRPr="00177418" w14:paraId="02CA9FB7" w14:textId="77777777" w:rsidTr="006976BA">
        <w:trPr>
          <w:cantSplit/>
          <w:trHeight w:val="820"/>
          <w:tblHeader/>
          <w:jc w:val="center"/>
        </w:trPr>
        <w:tc>
          <w:tcPr>
            <w:tcW w:w="875" w:type="pct"/>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0D79A4" w:rsidRPr="00883E57" w:rsidRDefault="000D79A4" w:rsidP="00E07370">
            <w:pPr>
              <w:rPr>
                <w:b/>
                <w:color w:val="FFFFFF" w:themeColor="background1"/>
                <w:lang w:eastAsia="zh-CN"/>
              </w:rPr>
            </w:pPr>
            <w:r w:rsidRPr="00883E57">
              <w:rPr>
                <w:b/>
                <w:color w:val="FFFFFF" w:themeColor="background1"/>
                <w:lang w:eastAsia="zh-CN"/>
              </w:rPr>
              <w:t>Scenario</w:t>
            </w:r>
          </w:p>
        </w:tc>
        <w:tc>
          <w:tcPr>
            <w:tcW w:w="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0D79A4" w:rsidRPr="00883E57" w:rsidRDefault="000D79A4" w:rsidP="00E07370">
            <w:pPr>
              <w:rPr>
                <w:b/>
                <w:color w:val="FFFFFF" w:themeColor="background1"/>
                <w:lang w:eastAsia="zh-CN"/>
              </w:rPr>
            </w:pPr>
            <w:r w:rsidRPr="00883E57">
              <w:rPr>
                <w:b/>
                <w:color w:val="FFFFFF" w:themeColor="background1"/>
                <w:lang w:eastAsia="zh-CN"/>
              </w:rPr>
              <w:t>Cumulative First Cost</w:t>
            </w:r>
          </w:p>
        </w:tc>
        <w:tc>
          <w:tcPr>
            <w:tcW w:w="76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0D79A4" w:rsidRPr="00883E57" w:rsidRDefault="000D79A4" w:rsidP="00E07370">
            <w:pPr>
              <w:rPr>
                <w:b/>
                <w:color w:val="FFFFFF" w:themeColor="background1"/>
                <w:lang w:eastAsia="zh-CN"/>
              </w:rPr>
            </w:pPr>
            <w:r w:rsidRPr="00883E57">
              <w:rPr>
                <w:b/>
                <w:color w:val="FFFFFF" w:themeColor="background1"/>
                <w:lang w:eastAsia="zh-CN"/>
              </w:rPr>
              <w:t>Marginal First Cost</w:t>
            </w:r>
          </w:p>
        </w:tc>
        <w:tc>
          <w:tcPr>
            <w:tcW w:w="8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0D79A4" w:rsidRPr="00883E57" w:rsidRDefault="000D79A4" w:rsidP="00E07370">
            <w:pPr>
              <w:rPr>
                <w:b/>
                <w:color w:val="FFFFFF" w:themeColor="background1"/>
                <w:lang w:eastAsia="zh-CN"/>
              </w:rPr>
            </w:pPr>
            <w:r w:rsidRPr="00883E57">
              <w:rPr>
                <w:b/>
                <w:color w:val="FFFFFF" w:themeColor="background1"/>
                <w:lang w:eastAsia="zh-CN"/>
              </w:rPr>
              <w:t>Net Operating Savings</w:t>
            </w:r>
          </w:p>
        </w:tc>
        <w:tc>
          <w:tcPr>
            <w:tcW w:w="162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0D79A4" w:rsidRPr="00883E57" w:rsidRDefault="000D79A4" w:rsidP="00E07370">
            <w:pPr>
              <w:rPr>
                <w:b/>
                <w:color w:val="FFFFFF" w:themeColor="background1"/>
                <w:lang w:eastAsia="zh-CN"/>
              </w:rPr>
            </w:pPr>
            <w:r w:rsidRPr="00883E57">
              <w:rPr>
                <w:b/>
                <w:color w:val="FFFFFF" w:themeColor="background1"/>
                <w:lang w:eastAsia="zh-CN"/>
              </w:rPr>
              <w:t>Lifetime Cashflow Savings NPV (of All Implementation Units)</w:t>
            </w:r>
          </w:p>
        </w:tc>
      </w:tr>
      <w:tr w:rsidR="000D79A4" w:rsidRPr="00177418" w14:paraId="67FE449F" w14:textId="77777777" w:rsidTr="006976BA">
        <w:trPr>
          <w:cantSplit/>
          <w:trHeight w:val="640"/>
          <w:tblHeader/>
          <w:jc w:val="center"/>
        </w:trPr>
        <w:tc>
          <w:tcPr>
            <w:tcW w:w="875" w:type="pct"/>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0D79A4" w:rsidRPr="00883E57" w:rsidRDefault="000D79A4" w:rsidP="00E07370">
            <w:pPr>
              <w:rPr>
                <w:b/>
                <w:color w:val="FFFFFF" w:themeColor="background1"/>
                <w:lang w:eastAsia="zh-CN"/>
              </w:rPr>
            </w:pPr>
          </w:p>
        </w:tc>
        <w:tc>
          <w:tcPr>
            <w:tcW w:w="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0D79A4" w:rsidRPr="00883E57" w:rsidRDefault="000D79A4" w:rsidP="00E07370">
            <w:pPr>
              <w:rPr>
                <w:b/>
                <w:color w:val="FFFFFF" w:themeColor="background1"/>
                <w:lang w:eastAsia="zh-CN"/>
              </w:rPr>
            </w:pPr>
            <w:r w:rsidRPr="00883E57">
              <w:rPr>
                <w:b/>
                <w:color w:val="FFFFFF" w:themeColor="background1"/>
                <w:lang w:eastAsia="zh-CN"/>
              </w:rPr>
              <w:t>2015-2050 Billion USD</w:t>
            </w:r>
          </w:p>
        </w:tc>
        <w:tc>
          <w:tcPr>
            <w:tcW w:w="76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0D79A4" w:rsidRPr="00883E57" w:rsidRDefault="000D79A4" w:rsidP="00E07370">
            <w:pPr>
              <w:rPr>
                <w:b/>
                <w:color w:val="FFFFFF" w:themeColor="background1"/>
                <w:lang w:eastAsia="zh-CN"/>
              </w:rPr>
            </w:pPr>
            <w:r w:rsidRPr="00883E57">
              <w:rPr>
                <w:b/>
                <w:color w:val="FFFFFF" w:themeColor="background1"/>
                <w:lang w:eastAsia="zh-CN"/>
              </w:rPr>
              <w:t>2015-2050 Billion USD</w:t>
            </w:r>
          </w:p>
        </w:tc>
        <w:tc>
          <w:tcPr>
            <w:tcW w:w="8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0D79A4" w:rsidRPr="00883E57" w:rsidRDefault="000D79A4" w:rsidP="00E07370">
            <w:pPr>
              <w:rPr>
                <w:b/>
                <w:color w:val="FFFFFF" w:themeColor="background1"/>
                <w:lang w:eastAsia="zh-CN"/>
              </w:rPr>
            </w:pPr>
            <w:r w:rsidRPr="00883E57">
              <w:rPr>
                <w:b/>
                <w:color w:val="FFFFFF" w:themeColor="background1"/>
                <w:lang w:eastAsia="zh-CN"/>
              </w:rPr>
              <w:t>2020-2050 Billion USD</w:t>
            </w:r>
          </w:p>
        </w:tc>
        <w:tc>
          <w:tcPr>
            <w:tcW w:w="162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0D79A4" w:rsidRPr="00883E57" w:rsidRDefault="000D79A4" w:rsidP="00E07370">
            <w:pPr>
              <w:rPr>
                <w:b/>
                <w:color w:val="FFFFFF" w:themeColor="background1"/>
                <w:lang w:eastAsia="zh-CN"/>
              </w:rPr>
            </w:pPr>
            <w:r w:rsidRPr="00883E57">
              <w:rPr>
                <w:b/>
                <w:color w:val="FFFFFF" w:themeColor="background1"/>
                <w:lang w:eastAsia="zh-CN"/>
              </w:rPr>
              <w:t>Billion USD</w:t>
            </w:r>
          </w:p>
        </w:tc>
      </w:tr>
      <w:tr w:rsidR="00A672B0" w:rsidRPr="00177418" w14:paraId="2CCDE781" w14:textId="77777777" w:rsidTr="006976BA">
        <w:trPr>
          <w:trHeight w:val="440"/>
          <w:jc w:val="center"/>
        </w:trPr>
        <w:tc>
          <w:tcPr>
            <w:tcW w:w="875"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A672B0" w:rsidRPr="006712D3" w:rsidRDefault="00A672B0" w:rsidP="006712D3">
            <w:pPr>
              <w:spacing w:after="0"/>
              <w:rPr>
                <w:sz w:val="21"/>
                <w:szCs w:val="21"/>
                <w:lang w:eastAsia="zh-CN"/>
              </w:rPr>
            </w:pPr>
            <w:r w:rsidRPr="006712D3">
              <w:rPr>
                <w:sz w:val="21"/>
                <w:szCs w:val="21"/>
                <w:lang w:eastAsia="zh-CN"/>
              </w:rPr>
              <w:t>Plausible</w:t>
            </w:r>
          </w:p>
        </w:tc>
        <w:tc>
          <w:tcPr>
            <w:tcW w:w="917"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665DE16F" w:rsidR="00A672B0" w:rsidRPr="003E3D16" w:rsidRDefault="00A672B0" w:rsidP="006712D3">
            <w:pPr>
              <w:spacing w:after="0" w:line="240" w:lineRule="auto"/>
              <w:rPr>
                <w:sz w:val="21"/>
                <w:szCs w:val="21"/>
                <w:lang w:eastAsia="zh-CN"/>
              </w:rPr>
            </w:pPr>
            <w:r w:rsidRPr="003E3D16">
              <w:rPr>
                <w:sz w:val="21"/>
                <w:szCs w:val="21"/>
                <w:lang w:eastAsia="zh-CN"/>
              </w:rPr>
              <w:t>1,049.61</w:t>
            </w:r>
          </w:p>
        </w:tc>
        <w:tc>
          <w:tcPr>
            <w:tcW w:w="764"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D6A13" w14:textId="64A49F2D" w:rsidR="00A672B0" w:rsidRPr="003E3D16" w:rsidRDefault="00A672B0" w:rsidP="006712D3">
            <w:pPr>
              <w:spacing w:after="0" w:line="240" w:lineRule="auto"/>
              <w:rPr>
                <w:sz w:val="21"/>
                <w:szCs w:val="21"/>
                <w:lang w:eastAsia="zh-CN"/>
              </w:rPr>
            </w:pPr>
            <w:r w:rsidRPr="003E3D16">
              <w:rPr>
                <w:sz w:val="21"/>
                <w:szCs w:val="21"/>
                <w:lang w:eastAsia="zh-CN"/>
              </w:rPr>
              <w:t>717.39</w:t>
            </w:r>
          </w:p>
        </w:tc>
        <w:tc>
          <w:tcPr>
            <w:tcW w:w="824"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9B277B" w14:textId="0BC496D3" w:rsidR="00A672B0" w:rsidRPr="003E3D16" w:rsidRDefault="00A672B0" w:rsidP="006712D3">
            <w:pPr>
              <w:spacing w:after="0" w:line="240" w:lineRule="auto"/>
              <w:rPr>
                <w:sz w:val="21"/>
                <w:szCs w:val="21"/>
                <w:lang w:eastAsia="zh-CN"/>
              </w:rPr>
            </w:pPr>
            <w:r w:rsidRPr="003E3D16">
              <w:rPr>
                <w:sz w:val="21"/>
                <w:szCs w:val="21"/>
                <w:lang w:eastAsia="zh-CN"/>
              </w:rPr>
              <w:t>-14.58</w:t>
            </w:r>
          </w:p>
        </w:tc>
        <w:tc>
          <w:tcPr>
            <w:tcW w:w="1620"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5403F6C" w14:textId="7435793B" w:rsidR="00A672B0" w:rsidRPr="006712D3" w:rsidRDefault="006712D3" w:rsidP="006712D3">
            <w:pPr>
              <w:spacing w:after="0" w:line="240" w:lineRule="auto"/>
              <w:rPr>
                <w:sz w:val="21"/>
                <w:szCs w:val="21"/>
                <w:lang w:eastAsia="zh-CN"/>
              </w:rPr>
            </w:pPr>
            <w:r w:rsidRPr="006712D3">
              <w:rPr>
                <w:sz w:val="21"/>
                <w:szCs w:val="21"/>
                <w:lang w:eastAsia="zh-CN"/>
              </w:rPr>
              <w:t>-334.22</w:t>
            </w:r>
          </w:p>
        </w:tc>
      </w:tr>
      <w:tr w:rsidR="006712D3" w:rsidRPr="00177418" w14:paraId="6C3482B4" w14:textId="77777777" w:rsidTr="004E3FC4">
        <w:trPr>
          <w:trHeight w:val="440"/>
          <w:jc w:val="center"/>
        </w:trPr>
        <w:tc>
          <w:tcPr>
            <w:tcW w:w="875"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6712D3" w:rsidRPr="006712D3" w:rsidRDefault="006712D3" w:rsidP="006712D3">
            <w:pPr>
              <w:spacing w:after="0"/>
              <w:rPr>
                <w:sz w:val="21"/>
                <w:szCs w:val="21"/>
                <w:lang w:eastAsia="zh-CN"/>
              </w:rPr>
            </w:pPr>
            <w:r w:rsidRPr="006712D3">
              <w:rPr>
                <w:sz w:val="21"/>
                <w:szCs w:val="21"/>
                <w:lang w:eastAsia="zh-CN"/>
              </w:rPr>
              <w:t>Drawdown</w:t>
            </w:r>
          </w:p>
        </w:tc>
        <w:tc>
          <w:tcPr>
            <w:tcW w:w="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532B376" w14:textId="009255F2" w:rsidR="006712D3" w:rsidRPr="003E3D16" w:rsidRDefault="006712D3" w:rsidP="006712D3">
            <w:pPr>
              <w:spacing w:after="0" w:line="240" w:lineRule="auto"/>
              <w:rPr>
                <w:sz w:val="21"/>
                <w:szCs w:val="21"/>
                <w:lang w:eastAsia="zh-CN"/>
              </w:rPr>
            </w:pPr>
            <w:r w:rsidRPr="003E3D16">
              <w:rPr>
                <w:color w:val="000000"/>
                <w:sz w:val="21"/>
                <w:szCs w:val="21"/>
              </w:rPr>
              <w:t>3,006.82</w:t>
            </w:r>
          </w:p>
        </w:tc>
        <w:tc>
          <w:tcPr>
            <w:tcW w:w="76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51B939A" w14:textId="28E192BC" w:rsidR="006712D3" w:rsidRPr="003E3D16" w:rsidRDefault="006712D3" w:rsidP="006712D3">
            <w:pPr>
              <w:spacing w:after="0" w:line="240" w:lineRule="auto"/>
              <w:rPr>
                <w:sz w:val="21"/>
                <w:szCs w:val="21"/>
                <w:lang w:eastAsia="zh-CN"/>
              </w:rPr>
            </w:pPr>
            <w:r w:rsidRPr="003E3D16">
              <w:rPr>
                <w:color w:val="000000"/>
                <w:sz w:val="21"/>
                <w:szCs w:val="21"/>
              </w:rPr>
              <w:t>2,674.60</w:t>
            </w:r>
          </w:p>
        </w:tc>
        <w:tc>
          <w:tcPr>
            <w:tcW w:w="8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DFA5DB3" w14:textId="1BA27FEB" w:rsidR="006712D3" w:rsidRPr="003E3D16" w:rsidRDefault="006712D3" w:rsidP="006712D3">
            <w:pPr>
              <w:spacing w:after="0" w:line="240" w:lineRule="auto"/>
              <w:rPr>
                <w:sz w:val="21"/>
                <w:szCs w:val="21"/>
                <w:lang w:eastAsia="zh-CN"/>
              </w:rPr>
            </w:pPr>
            <w:r w:rsidRPr="003E3D16">
              <w:rPr>
                <w:color w:val="000000"/>
                <w:sz w:val="21"/>
                <w:szCs w:val="21"/>
              </w:rPr>
              <w:t>-57.30</w:t>
            </w:r>
          </w:p>
        </w:tc>
        <w:tc>
          <w:tcPr>
            <w:tcW w:w="162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47233A8" w14:textId="317E281A" w:rsidR="006712D3" w:rsidRPr="006712D3" w:rsidRDefault="006712D3" w:rsidP="006712D3">
            <w:pPr>
              <w:spacing w:after="0" w:line="240" w:lineRule="auto"/>
              <w:rPr>
                <w:sz w:val="21"/>
                <w:szCs w:val="21"/>
                <w:lang w:eastAsia="zh-CN"/>
              </w:rPr>
            </w:pPr>
            <w:r w:rsidRPr="006712D3">
              <w:rPr>
                <w:sz w:val="21"/>
                <w:szCs w:val="21"/>
                <w:lang w:eastAsia="zh-CN"/>
              </w:rPr>
              <w:t>-1,238.58</w:t>
            </w:r>
          </w:p>
        </w:tc>
      </w:tr>
      <w:tr w:rsidR="00DD7F3C" w:rsidRPr="00177418" w14:paraId="76A27626" w14:textId="77777777" w:rsidTr="004E3FC4">
        <w:trPr>
          <w:trHeight w:val="440"/>
          <w:jc w:val="center"/>
        </w:trPr>
        <w:tc>
          <w:tcPr>
            <w:tcW w:w="875"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DD7F3C" w:rsidRPr="006712D3" w:rsidRDefault="00DD7F3C" w:rsidP="00DD7F3C">
            <w:pPr>
              <w:spacing w:after="0"/>
              <w:rPr>
                <w:sz w:val="21"/>
                <w:szCs w:val="21"/>
                <w:lang w:eastAsia="zh-CN"/>
              </w:rPr>
            </w:pPr>
            <w:r w:rsidRPr="006712D3">
              <w:rPr>
                <w:sz w:val="21"/>
                <w:szCs w:val="21"/>
                <w:lang w:eastAsia="zh-CN"/>
              </w:rPr>
              <w:t>Optimum</w:t>
            </w:r>
          </w:p>
        </w:tc>
        <w:tc>
          <w:tcPr>
            <w:tcW w:w="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D3AF255" w14:textId="359A1966" w:rsidR="00DD7F3C" w:rsidRPr="003E3D16" w:rsidRDefault="00DD7F3C" w:rsidP="00DD7F3C">
            <w:pPr>
              <w:spacing w:after="0" w:line="240" w:lineRule="auto"/>
              <w:rPr>
                <w:sz w:val="21"/>
                <w:szCs w:val="21"/>
                <w:lang w:eastAsia="zh-CN"/>
              </w:rPr>
            </w:pPr>
            <w:r w:rsidRPr="003E3D16">
              <w:rPr>
                <w:color w:val="000000"/>
                <w:sz w:val="21"/>
                <w:szCs w:val="21"/>
              </w:rPr>
              <w:t>4,875.82</w:t>
            </w:r>
          </w:p>
        </w:tc>
        <w:tc>
          <w:tcPr>
            <w:tcW w:w="76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96F6A9C" w14:textId="1EC72D54" w:rsidR="00DD7F3C" w:rsidRPr="003E3D16" w:rsidRDefault="00DD7F3C" w:rsidP="00DD7F3C">
            <w:pPr>
              <w:spacing w:after="0" w:line="240" w:lineRule="auto"/>
              <w:rPr>
                <w:sz w:val="21"/>
                <w:szCs w:val="21"/>
                <w:lang w:eastAsia="zh-CN"/>
              </w:rPr>
            </w:pPr>
            <w:r w:rsidRPr="003E3D16">
              <w:rPr>
                <w:color w:val="000000"/>
                <w:sz w:val="21"/>
                <w:szCs w:val="21"/>
              </w:rPr>
              <w:t>4,543.60</w:t>
            </w:r>
          </w:p>
        </w:tc>
        <w:tc>
          <w:tcPr>
            <w:tcW w:w="82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259EAAB" w14:textId="00352088" w:rsidR="00DD7F3C" w:rsidRPr="003E3D16" w:rsidRDefault="00DD7F3C" w:rsidP="00DD7F3C">
            <w:pPr>
              <w:spacing w:after="0" w:line="240" w:lineRule="auto"/>
              <w:rPr>
                <w:sz w:val="21"/>
                <w:szCs w:val="21"/>
                <w:lang w:eastAsia="zh-CN"/>
              </w:rPr>
            </w:pPr>
            <w:r w:rsidRPr="003E3D16">
              <w:rPr>
                <w:color w:val="000000"/>
                <w:sz w:val="21"/>
                <w:szCs w:val="21"/>
              </w:rPr>
              <w:t>-110.26</w:t>
            </w:r>
          </w:p>
        </w:tc>
        <w:tc>
          <w:tcPr>
            <w:tcW w:w="1620"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1F14A8F5" w14:textId="1E1FA842" w:rsidR="00DD7F3C" w:rsidRPr="006712D3" w:rsidRDefault="00DD7F3C" w:rsidP="00DD7F3C">
            <w:pPr>
              <w:spacing w:after="0" w:line="240" w:lineRule="auto"/>
              <w:rPr>
                <w:sz w:val="21"/>
                <w:szCs w:val="21"/>
                <w:lang w:eastAsia="zh-CN"/>
              </w:rPr>
            </w:pPr>
            <w:r w:rsidRPr="006712D3">
              <w:rPr>
                <w:sz w:val="21"/>
                <w:szCs w:val="21"/>
                <w:lang w:eastAsia="zh-CN"/>
              </w:rPr>
              <w:t>-2,</w:t>
            </w:r>
            <w:r>
              <w:rPr>
                <w:sz w:val="21"/>
                <w:szCs w:val="21"/>
                <w:lang w:eastAsia="zh-CN"/>
              </w:rPr>
              <w:t>296</w:t>
            </w:r>
            <w:r w:rsidRPr="006712D3">
              <w:rPr>
                <w:sz w:val="21"/>
                <w:szCs w:val="21"/>
                <w:lang w:eastAsia="zh-CN"/>
              </w:rPr>
              <w:t>.8</w:t>
            </w:r>
            <w:r w:rsidR="003E3D16">
              <w:rPr>
                <w:sz w:val="21"/>
                <w:szCs w:val="21"/>
                <w:lang w:eastAsia="zh-CN"/>
              </w:rPr>
              <w:t>6</w:t>
            </w:r>
          </w:p>
        </w:tc>
      </w:tr>
    </w:tbl>
    <w:p w14:paraId="2C06DB22" w14:textId="7A31340A" w:rsidR="006745FF" w:rsidRPr="00177418" w:rsidRDefault="006745FF" w:rsidP="00E07370"/>
    <w:p w14:paraId="6039AB12" w14:textId="2DF36A74" w:rsidR="009E6074" w:rsidRPr="00177418" w:rsidRDefault="0034671D" w:rsidP="006831EE">
      <w:pPr>
        <w:pStyle w:val="Caption"/>
      </w:pPr>
      <w:bookmarkStart w:id="99" w:name="_Toc524993434"/>
      <w:r w:rsidRPr="00177418">
        <w:rPr>
          <w:noProof/>
        </w:rPr>
        <w:t xml:space="preserve"> </w:t>
      </w:r>
      <w:r w:rsidR="00E25AA1" w:rsidRPr="00E25AA1">
        <w:rPr>
          <w:noProof/>
        </w:rPr>
        <w:t xml:space="preserve"> </w:t>
      </w:r>
      <w:r w:rsidR="00D53CEB">
        <w:rPr>
          <w:noProof/>
        </w:rPr>
        <w:drawing>
          <wp:inline distT="0" distB="0" distL="0" distR="0" wp14:anchorId="38A0A6E1" wp14:editId="2121EFA6">
            <wp:extent cx="4578350" cy="3493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p>
    <w:p w14:paraId="6A2D4F95" w14:textId="58CD5210" w:rsidR="006B675D" w:rsidRPr="003F5943" w:rsidRDefault="006B675D" w:rsidP="006831EE">
      <w:pPr>
        <w:pStyle w:val="Caption"/>
      </w:pPr>
      <w:bookmarkStart w:id="100" w:name="_Toc526978707"/>
      <w:bookmarkStart w:id="101" w:name="_Toc524993435"/>
      <w:bookmarkStart w:id="102" w:name="_Toc44510691"/>
      <w:bookmarkEnd w:id="99"/>
      <w:r w:rsidRPr="003F5943">
        <w:t xml:space="preserve">Figure </w:t>
      </w:r>
      <w:r w:rsidR="00CA08B6">
        <w:rPr>
          <w:noProof/>
        </w:rPr>
        <w:fldChar w:fldCharType="begin"/>
      </w:r>
      <w:r w:rsidR="00CA08B6">
        <w:rPr>
          <w:noProof/>
        </w:rPr>
        <w:instrText xml:space="preserve"> STYLEREF 1 \s </w:instrText>
      </w:r>
      <w:r w:rsidR="00CA08B6">
        <w:rPr>
          <w:noProof/>
        </w:rPr>
        <w:fldChar w:fldCharType="separate"/>
      </w:r>
      <w:r w:rsidR="001142D0">
        <w:rPr>
          <w:noProof/>
        </w:rPr>
        <w:t>3</w:t>
      </w:r>
      <w:r w:rsidR="00CA08B6">
        <w:rPr>
          <w:noProof/>
        </w:rPr>
        <w:fldChar w:fldCharType="end"/>
      </w:r>
      <w:r w:rsidR="001E7BA1">
        <w:t>.</w:t>
      </w:r>
      <w:r w:rsidR="00CA08B6">
        <w:rPr>
          <w:noProof/>
        </w:rPr>
        <w:fldChar w:fldCharType="begin"/>
      </w:r>
      <w:r w:rsidR="00CA08B6">
        <w:rPr>
          <w:noProof/>
        </w:rPr>
        <w:instrText xml:space="preserve"> SEQ Figure \* ARABIC \s 1 </w:instrText>
      </w:r>
      <w:r w:rsidR="00CA08B6">
        <w:rPr>
          <w:noProof/>
        </w:rPr>
        <w:fldChar w:fldCharType="separate"/>
      </w:r>
      <w:r w:rsidR="001142D0">
        <w:rPr>
          <w:noProof/>
        </w:rPr>
        <w:t>3</w:t>
      </w:r>
      <w:r w:rsidR="00CA08B6">
        <w:rPr>
          <w:noProof/>
        </w:rPr>
        <w:fldChar w:fldCharType="end"/>
      </w:r>
      <w:r w:rsidRPr="003F5943">
        <w:t xml:space="preserve"> Net Profit Margin /Operating Costs Over Time</w:t>
      </w:r>
      <w:bookmarkEnd w:id="100"/>
      <w:bookmarkEnd w:id="102"/>
    </w:p>
    <w:p w14:paraId="373BC169" w14:textId="77777777" w:rsidR="006B675D" w:rsidRPr="00177418" w:rsidRDefault="006B675D" w:rsidP="00E07370">
      <w:pPr>
        <w:pStyle w:val="Heading2"/>
      </w:pPr>
      <w:bookmarkStart w:id="103" w:name="_Toc44510682"/>
      <w:r w:rsidRPr="00177418">
        <w:lastRenderedPageBreak/>
        <w:t>Other Impacts</w:t>
      </w:r>
      <w:bookmarkEnd w:id="103"/>
    </w:p>
    <w:p w14:paraId="28B50C08" w14:textId="0E7E20C6" w:rsidR="00716993" w:rsidRPr="00177418" w:rsidRDefault="00CE480D" w:rsidP="00E07370">
      <w:r w:rsidRPr="003F5943">
        <w:t>When a broad range of impacts are considered, solar water heaters have higher impacts (60%) from the manufacturing stage. When only global warming is considered, the manufacturing impacts are 30%. The manufacturing impacts are highest (about 90%) for the indicators of ecotoxicity potential (ETP) and human toxicity potential (HTP)</w:t>
      </w:r>
      <w:r w:rsidR="00BC6B3A">
        <w:t xml:space="preserve"> </w:t>
      </w:r>
      <w:r w:rsidR="0088449A">
        <w:fldChar w:fldCharType="begin"/>
      </w:r>
      <w:r w:rsidR="0088449A">
        <w:instrText xml:space="preserve"> ADDIN ZOTERO_ITEM CSL_CITATION {"citationID":"NQvqEopg","properties":{"formattedCitation":"(Greening &amp; Azapagic, 2014)","plainCitation":"(Greening &amp; Azapagic, 2014)","noteIndex":0},"citationItems":[{"id":1778,"uris":["http://zotero.org/groups/2241931/items/PCSMPWKG"],"uri":["http://zotero.org/groups/2241931/items/PCSMPWKG"],"itemData":{"id":1778,"type":"article-journal","title":"Domestic solar thermal water heating: A sustainable option for the UK","container-title":"Renewable Energy","page":"23-36","volume":"63","abstract":"This paper considers life cycle environmental sustainability of solar water heating systems in regions with low solar irradiation, such as the UK. The results suggest that flat plate collectors have slightly lower environmental impacts than evacuated tube designs. Reducing the current energy losses of 65%–45% would reduce the impacts by around 35%. Compared to a gas boiler, solar thermal systems are a better option for only five out of 11 environmental impacts considered, with global warming and depletion of fossil resources being lower by 88% and 83%, respectively. Other impacts such as human and eco-toxicity are up to 85% higher. The solar systems score better relative to electrical water heating for eight out of 11 impacts. They are also environmentally more sustainable than heat pumps for seven categories. However, their potential is hampered because they need a back-up heating system, typically gas boiler. For this reason as well as due to a lack of suitable locations and poor efficiency, the potential of solar thermal systems to contribute to a more sustainable domestic energy supply in the UK is limited.","DOI":"https://doi.org/10.1016/j.renene.2013.07.048","author":[{"family":"Greening","given":"Benjamin"},{"family":"Azapagic","given":"Adisa"}],"issued":{"date-parts":[["2014",3]]}}}],"schema":"https://github.com/citation-style-language/schema/raw/master/csl-citation.json"} </w:instrText>
      </w:r>
      <w:r w:rsidR="0088449A">
        <w:fldChar w:fldCharType="separate"/>
      </w:r>
      <w:r w:rsidR="0088449A">
        <w:rPr>
          <w:noProof/>
        </w:rPr>
        <w:t>(Greening &amp; Azapagic, 2014)</w:t>
      </w:r>
      <w:r w:rsidR="0088449A">
        <w:fldChar w:fldCharType="end"/>
      </w:r>
      <w:r w:rsidRPr="003F5943">
        <w:t xml:space="preserve">. These other impacts however, have not been included in the drawdown model. The high impacts in other environmental indicators are </w:t>
      </w:r>
      <w:r w:rsidR="00451598" w:rsidRPr="003F5943">
        <w:t xml:space="preserve">in low </w:t>
      </w:r>
      <w:r w:rsidR="00A13346">
        <w:t>irradiance</w:t>
      </w:r>
      <w:r w:rsidR="00451598" w:rsidRPr="003F5943">
        <w:t xml:space="preserve"> regions such as the UK,</w:t>
      </w:r>
      <w:r w:rsidRPr="003F5943">
        <w:t xml:space="preserve"> higher tha</w:t>
      </w:r>
      <w:r w:rsidR="00451598" w:rsidRPr="003F5943">
        <w:t>n the impact</w:t>
      </w:r>
      <w:r w:rsidRPr="003F5943">
        <w:t xml:space="preserve"> from conventional technologies such as boilers</w:t>
      </w:r>
      <w:r w:rsidR="00451598" w:rsidRPr="003F5943">
        <w:t>, making boilers the preferred choice when a broad range of impact indicators area considered.</w:t>
      </w:r>
    </w:p>
    <w:bookmarkEnd w:id="101"/>
    <w:p w14:paraId="008A5FA9" w14:textId="77777777" w:rsidR="00B876EF" w:rsidRDefault="00B876EF">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7C2A5EF9" w:rsidR="00F52595" w:rsidRPr="00177418" w:rsidRDefault="551A77D0" w:rsidP="00E07370">
      <w:pPr>
        <w:pStyle w:val="Heading1"/>
      </w:pPr>
      <w:bookmarkStart w:id="104" w:name="_Toc44510683"/>
      <w:r w:rsidRPr="00177418">
        <w:lastRenderedPageBreak/>
        <w:t>Discussion</w:t>
      </w:r>
      <w:bookmarkEnd w:id="104"/>
    </w:p>
    <w:p w14:paraId="14FDD4BD" w14:textId="5977B4B3" w:rsidR="00D37BEF" w:rsidRPr="00177418" w:rsidRDefault="006436A1" w:rsidP="00E07370">
      <w:r w:rsidRPr="00177418">
        <w:t>Solar hot water systems are an old technology. However, growth in their adoption is limited</w:t>
      </w:r>
      <w:r w:rsidR="00214CEF">
        <w:t>,</w:t>
      </w:r>
      <w:r w:rsidRPr="00177418">
        <w:t xml:space="preserve"> and based on the most recent reports, declining. Their adoption has gained popularity both in rural and urban areas</w:t>
      </w:r>
      <w:r w:rsidR="001117E7" w:rsidRPr="00177418">
        <w:t xml:space="preserve"> due to their potential to reduce energy bills</w:t>
      </w:r>
      <w:r w:rsidR="008E2EEC" w:rsidRPr="00177418">
        <w:t>.</w:t>
      </w:r>
      <w:r w:rsidR="001117E7" w:rsidRPr="00177418">
        <w:t xml:space="preserve"> They have a high potential of reducing operational emissions for water heating but are limited in their adoption rate. </w:t>
      </w:r>
      <w:r w:rsidR="002B12A7" w:rsidRPr="00177418">
        <w:t xml:space="preserve">Policies and incentives in support of adoption of this technology could be key drivers in its adoption. </w:t>
      </w:r>
      <w:r w:rsidR="00430EFB" w:rsidRPr="00177418">
        <w:t xml:space="preserve">The lack of data of projections of adoptions of roof-top solar water heating hindered this analysis. </w:t>
      </w:r>
      <w:r w:rsidR="007D692A" w:rsidRPr="00177418">
        <w:t xml:space="preserve">The latest global projections available are from IEA’s technology roadmap published in 2012. </w:t>
      </w:r>
      <w:r w:rsidR="0088449A">
        <w:t>P</w:t>
      </w:r>
      <w:r w:rsidR="00430EFB" w:rsidRPr="00177418">
        <w:t xml:space="preserve">rojections for the future were available for the IEA ETP 2 DS scenario. For the global adoption projections, another scenario was also devised by interpolating the adoption of solar thermal heaters from 2005 to 2014, </w:t>
      </w:r>
      <w:r w:rsidR="00360DA4">
        <w:t xml:space="preserve">and extrapolating </w:t>
      </w:r>
      <w:r w:rsidR="00790E79" w:rsidRPr="00177418">
        <w:t>to</w:t>
      </w:r>
      <w:r w:rsidR="00430EFB" w:rsidRPr="00177418">
        <w:t xml:space="preserve"> </w:t>
      </w:r>
      <w:r w:rsidR="00EF6E84" w:rsidRPr="00177418">
        <w:t>2050</w:t>
      </w:r>
      <w:r w:rsidR="00430EFB" w:rsidRPr="00177418">
        <w:t xml:space="preserve">. </w:t>
      </w:r>
    </w:p>
    <w:p w14:paraId="792EBD4D" w14:textId="0B7F22D4" w:rsidR="0088449A" w:rsidRPr="00177418" w:rsidRDefault="0042103F" w:rsidP="00E07370">
      <w:r w:rsidRPr="00177418">
        <w:t xml:space="preserve">The current adoption is dominated by </w:t>
      </w:r>
      <w:r w:rsidR="0078004A" w:rsidRPr="00177418">
        <w:t xml:space="preserve">China. </w:t>
      </w:r>
      <w:r w:rsidR="00FC30DF" w:rsidRPr="00177418">
        <w:t>Although not comparative by far, the high adoption of China is followed by a</w:t>
      </w:r>
      <w:r w:rsidR="0078004A" w:rsidRPr="00177418">
        <w:t xml:space="preserve">doption in EU, </w:t>
      </w:r>
      <w:r w:rsidR="00563B93" w:rsidRPr="00177418">
        <w:t>India,</w:t>
      </w:r>
      <w:r w:rsidR="0078004A" w:rsidRPr="00177418">
        <w:t xml:space="preserve"> and United States</w:t>
      </w:r>
      <w:r w:rsidR="00FC30DF" w:rsidRPr="00177418">
        <w:t>, making them important regions and countries to study for solar water heating systems.</w:t>
      </w:r>
      <w:r w:rsidR="0093241D" w:rsidRPr="00177418">
        <w:t xml:space="preserve"> Areas with highest solar heat availability are expected to</w:t>
      </w:r>
      <w:r w:rsidR="00762996" w:rsidRPr="00177418">
        <w:t xml:space="preserve"> increase adoption in future. However, the need for </w:t>
      </w:r>
      <w:r w:rsidR="00214CEF">
        <w:t xml:space="preserve">hot </w:t>
      </w:r>
      <w:r w:rsidR="00762996" w:rsidRPr="00177418">
        <w:t>water is highest in areas where sunlight may not be as abundant, thus requiring the need for combined or alternative water heating solutions. Availability of better data can enable this analysis.</w:t>
      </w:r>
    </w:p>
    <w:p w14:paraId="79D27E07" w14:textId="58344A7B" w:rsidR="00430EFB" w:rsidRPr="00177418" w:rsidRDefault="00D37BEF" w:rsidP="00E07370">
      <w:r>
        <w:t>It should be noted that</w:t>
      </w:r>
      <w:r w:rsidR="00430EFB" w:rsidRPr="00177418">
        <w:t xml:space="preserve">, the cumulative first cost of adoption of roof-top solar water heating is quite high using these adoption scenarios. </w:t>
      </w:r>
      <w:r w:rsidR="00812357" w:rsidRPr="00177418">
        <w:t xml:space="preserve">Installation cost is the biggest barrier in implementation of </w:t>
      </w:r>
      <w:r w:rsidR="004F1561" w:rsidRPr="00177418">
        <w:t xml:space="preserve">SHWS. As the initial cost of these systems </w:t>
      </w:r>
      <w:r w:rsidR="0088449A">
        <w:t>reduces</w:t>
      </w:r>
      <w:r w:rsidR="00360DA4">
        <w:t>,</w:t>
      </w:r>
      <w:r w:rsidR="0088449A">
        <w:t xml:space="preserve"> </w:t>
      </w:r>
      <w:r w:rsidR="000E61A0" w:rsidRPr="00177418">
        <w:t xml:space="preserve">an improvement in adoption can be expected. </w:t>
      </w:r>
      <w:r w:rsidR="00430EFB" w:rsidRPr="00177418">
        <w:t xml:space="preserve">However, it is to be noted that the lifetime </w:t>
      </w:r>
      <w:r w:rsidR="00360DA4">
        <w:t xml:space="preserve">cashflow </w:t>
      </w:r>
      <w:r w:rsidR="00430EFB" w:rsidRPr="00177418">
        <w:t xml:space="preserve">NPV </w:t>
      </w:r>
      <w:r w:rsidR="00360DA4">
        <w:t>is</w:t>
      </w:r>
      <w:r w:rsidR="00430EFB" w:rsidRPr="00177418">
        <w:t xml:space="preserve"> negative</w:t>
      </w:r>
      <w:r w:rsidR="00360DA4">
        <w:t xml:space="preserve"> in all scenarios</w:t>
      </w:r>
      <w:r w:rsidR="00430EFB" w:rsidRPr="00177418">
        <w:t xml:space="preserve">. This is because of the </w:t>
      </w:r>
      <w:r w:rsidR="00360DA4">
        <w:t>assumptions</w:t>
      </w:r>
      <w:r w:rsidR="00430EFB" w:rsidRPr="00177418">
        <w:t xml:space="preserve"> of this scenario</w:t>
      </w:r>
      <w:r w:rsidR="00714420" w:rsidRPr="00177418">
        <w:t xml:space="preserve"> where </w:t>
      </w:r>
      <w:r w:rsidR="00360DA4">
        <w:t>the</w:t>
      </w:r>
      <w:r w:rsidR="00430EFB" w:rsidRPr="00177418">
        <w:t xml:space="preserve"> </w:t>
      </w:r>
      <w:r w:rsidR="00714420" w:rsidRPr="00177418">
        <w:t xml:space="preserve">conventional technology would be required as back up to </w:t>
      </w:r>
      <w:r w:rsidR="00430EFB" w:rsidRPr="00177418">
        <w:t xml:space="preserve">solar thermal heaters and </w:t>
      </w:r>
      <w:r w:rsidR="00714420" w:rsidRPr="00177418">
        <w:t xml:space="preserve">that solar water heaters would </w:t>
      </w:r>
      <w:r w:rsidR="00430EFB" w:rsidRPr="00177418">
        <w:t>not replace them.</w:t>
      </w:r>
      <w:r w:rsidR="0088449A">
        <w:t xml:space="preserve"> A</w:t>
      </w:r>
      <w:r w:rsidR="00430EFB" w:rsidRPr="00177418">
        <w:t xml:space="preserve"> conventional first cost of 0</w:t>
      </w:r>
      <w:r w:rsidR="0088449A">
        <w:t xml:space="preserve"> is assumed</w:t>
      </w:r>
      <w:r w:rsidR="00214CEF">
        <w:t>,</w:t>
      </w:r>
      <w:r w:rsidR="00430EFB" w:rsidRPr="00177418">
        <w:t xml:space="preserve"> </w:t>
      </w:r>
      <w:r w:rsidR="00360DA4">
        <w:t>and energy savings don’t seem to be sufficient to payback the first cost</w:t>
      </w:r>
      <w:r w:rsidR="00430EFB" w:rsidRPr="00177418">
        <w:t>. This is a scenario that makes sense on a global scale. However, this assumption needs to be interrogated in each region. Indeed, a wide range of operating costs of this technology</w:t>
      </w:r>
      <w:r w:rsidR="00354694">
        <w:t xml:space="preserve"> were included</w:t>
      </w:r>
      <w:r w:rsidR="00430EFB" w:rsidRPr="00177418">
        <w:t>. For some regions</w:t>
      </w:r>
      <w:r w:rsidR="00214CEF">
        <w:t>,</w:t>
      </w:r>
      <w:r w:rsidR="00214CEF" w:rsidRPr="00177418">
        <w:t xml:space="preserve"> </w:t>
      </w:r>
      <w:r w:rsidR="00430EFB" w:rsidRPr="00177418">
        <w:t xml:space="preserve">the operating costs are very low, and it would be interesting to see what a weighted operating cost calculation </w:t>
      </w:r>
      <w:r w:rsidR="0088449A" w:rsidRPr="00177418">
        <w:t>yield</w:t>
      </w:r>
      <w:r w:rsidR="0088449A">
        <w:t>s</w:t>
      </w:r>
      <w:r w:rsidR="00430EFB" w:rsidRPr="00177418">
        <w:t>.</w:t>
      </w:r>
      <w:r w:rsidR="00714420" w:rsidRPr="00177418">
        <w:t xml:space="preserve"> </w:t>
      </w:r>
    </w:p>
    <w:p w14:paraId="44623BAF" w14:textId="1A85E49D" w:rsidR="0046262F" w:rsidRPr="00177418" w:rsidRDefault="006745FF" w:rsidP="00E07370">
      <w:pPr>
        <w:pStyle w:val="Heading2"/>
      </w:pPr>
      <w:bookmarkStart w:id="105" w:name="_Toc44510684"/>
      <w:r w:rsidRPr="00177418">
        <w:t>Limitations</w:t>
      </w:r>
      <w:bookmarkEnd w:id="105"/>
    </w:p>
    <w:p w14:paraId="1DA024C4" w14:textId="7213B2F7" w:rsidR="0046262F" w:rsidRPr="00177418" w:rsidRDefault="0046262F" w:rsidP="00E07370">
      <w:r w:rsidRPr="00177418">
        <w:t xml:space="preserve">DSWHS </w:t>
      </w:r>
      <w:r w:rsidR="00520DBE" w:rsidRPr="00177418">
        <w:t>can be a valuable technology in reducing the carbon footprint of domestic water heating</w:t>
      </w:r>
      <w:r w:rsidRPr="00177418">
        <w:t xml:space="preserve">, however, are limited in their adoption due to their high first cost. </w:t>
      </w:r>
      <w:r w:rsidR="0083214F">
        <w:t xml:space="preserve">More recent adoption projections are required to better estimate the adoption of this technology over time. More data on potential fuel replacement or </w:t>
      </w:r>
      <w:r w:rsidR="0083214F">
        <w:lastRenderedPageBreak/>
        <w:t xml:space="preserve">reduction using solar water heaters will help with better estimates of CO2 reduction, in addition to considering various regional factors that impact solar energy received and its demand. Lifetime cashflow savings may improve if fuel prices increase. </w:t>
      </w:r>
    </w:p>
    <w:p w14:paraId="739C0736" w14:textId="1B04A325" w:rsidR="00AE7C84" w:rsidRDefault="006745FF" w:rsidP="00E07370">
      <w:pPr>
        <w:pStyle w:val="Heading2"/>
      </w:pPr>
      <w:bookmarkStart w:id="106" w:name="_Toc44510685"/>
      <w:r w:rsidRPr="003F5943">
        <w:t>Benchmarks</w:t>
      </w:r>
      <w:bookmarkStart w:id="107" w:name="_Toc524993445"/>
      <w:bookmarkEnd w:id="106"/>
    </w:p>
    <w:p w14:paraId="6DE77230" w14:textId="5FE86DAF" w:rsidR="00B93C95" w:rsidRDefault="00612104" w:rsidP="00E07370">
      <w:r>
        <w:t xml:space="preserve">This report uses IEA ETP 2016 and 2017 data to estimate TAM projections. IEA ETP 2016 has 3 scenarios </w:t>
      </w:r>
      <w:r w:rsidRPr="00612104">
        <w:t>6 Degree Scenario (6DS)</w:t>
      </w:r>
      <w:r>
        <w:t>, 4</w:t>
      </w:r>
      <w:r w:rsidRPr="00612104">
        <w:t xml:space="preserve"> Degree Scenario (</w:t>
      </w:r>
      <w:r>
        <w:t>4</w:t>
      </w:r>
      <w:r w:rsidRPr="00612104">
        <w:t>DS)</w:t>
      </w:r>
      <w:r>
        <w:t xml:space="preserve"> and 2</w:t>
      </w:r>
      <w:r w:rsidRPr="00612104">
        <w:t xml:space="preserve"> Degree Scenario (</w:t>
      </w:r>
      <w:r>
        <w:t>2</w:t>
      </w:r>
      <w:r w:rsidRPr="00612104">
        <w:t>DS)</w:t>
      </w:r>
      <w:r>
        <w:t>. IEA ETP 2016 also has 3 scenarios World Reference Technology Scenario or 4</w:t>
      </w:r>
      <w:r w:rsidRPr="00612104">
        <w:t xml:space="preserve"> Degree Scenario (</w:t>
      </w:r>
      <w:r>
        <w:t>4</w:t>
      </w:r>
      <w:r w:rsidRPr="00612104">
        <w:t>DS)</w:t>
      </w:r>
      <w:r>
        <w:t xml:space="preserve"> and 2</w:t>
      </w:r>
      <w:r w:rsidRPr="00612104">
        <w:t xml:space="preserve"> Degree Scenario (</w:t>
      </w:r>
      <w:r>
        <w:t>2</w:t>
      </w:r>
      <w:r w:rsidRPr="00612104">
        <w:t>DS)</w:t>
      </w:r>
      <w:r>
        <w:t xml:space="preserve"> and </w:t>
      </w:r>
      <w:r w:rsidRPr="00612104">
        <w:t>Beyond 2 Degree Scenario (B2DS)</w:t>
      </w:r>
      <w:r w:rsidR="00D70EE7">
        <w:t xml:space="preserve">. </w:t>
      </w:r>
      <w:r w:rsidR="00D70EE7">
        <w:fldChar w:fldCharType="begin"/>
      </w:r>
      <w:r w:rsidR="00D70EE7">
        <w:instrText xml:space="preserve"> REF _Ref1016021 \h </w:instrText>
      </w:r>
      <w:r w:rsidR="00D70EE7">
        <w:fldChar w:fldCharType="separate"/>
      </w:r>
      <w:r w:rsidR="001142D0" w:rsidRPr="00E70A0C">
        <w:t xml:space="preserve">Table </w:t>
      </w:r>
      <w:r w:rsidR="001142D0">
        <w:rPr>
          <w:noProof/>
        </w:rPr>
        <w:t>4</w:t>
      </w:r>
      <w:r w:rsidR="001142D0">
        <w:t>.</w:t>
      </w:r>
      <w:r w:rsidR="001142D0">
        <w:rPr>
          <w:noProof/>
        </w:rPr>
        <w:t>1</w:t>
      </w:r>
      <w:r w:rsidR="00D70EE7">
        <w:fldChar w:fldCharType="end"/>
      </w:r>
      <w:r w:rsidR="00D70EE7">
        <w:t xml:space="preserve"> presents the </w:t>
      </w:r>
      <w:r w:rsidR="00EB65D0">
        <w:t>total water heating</w:t>
      </w:r>
      <w:r w:rsidR="00D70EE7">
        <w:t xml:space="preserve"> </w:t>
      </w:r>
      <w:r w:rsidR="00EB65D0">
        <w:t>demand</w:t>
      </w:r>
      <w:r w:rsidR="00D70EE7">
        <w:t xml:space="preserve"> estimated by each </w:t>
      </w:r>
      <w:r w:rsidR="00EB65D0">
        <w:t xml:space="preserve">IEA </w:t>
      </w:r>
      <w:r w:rsidR="00D70EE7">
        <w:t>scenario</w:t>
      </w:r>
      <w:r w:rsidR="00EB65D0">
        <w:t xml:space="preserve"> along with Drawdown SHW adoption</w:t>
      </w:r>
      <w:r w:rsidR="00D70EE7">
        <w:t>.</w:t>
      </w:r>
      <w:r w:rsidR="00EB65D0">
        <w:t xml:space="preserve"> Adoption in Drawdown scenarios are generally lower as expected since the total hot water produced by solar water heaters is modeled to not exceed a certain threshold since it’s a supplementary technology with a backup provided by another source.</w:t>
      </w:r>
    </w:p>
    <w:p w14:paraId="7118E7B1" w14:textId="723F13EC" w:rsidR="00612104" w:rsidRPr="00177418" w:rsidRDefault="00D70EE7" w:rsidP="00E07370">
      <w:r>
        <w:t xml:space="preserve"> </w:t>
      </w:r>
      <w:r>
        <w:fldChar w:fldCharType="begin"/>
      </w:r>
      <w:r>
        <w:instrText xml:space="preserve"> REF _Ref1016195 \h </w:instrText>
      </w:r>
      <w:r>
        <w:fldChar w:fldCharType="separate"/>
      </w:r>
      <w:r w:rsidR="001142D0">
        <w:t xml:space="preserve">Table </w:t>
      </w:r>
      <w:r w:rsidR="001142D0">
        <w:rPr>
          <w:noProof/>
        </w:rPr>
        <w:t>4</w:t>
      </w:r>
      <w:r w:rsidR="001142D0">
        <w:t>.</w:t>
      </w:r>
      <w:r w:rsidR="001142D0">
        <w:rPr>
          <w:noProof/>
        </w:rPr>
        <w:t>2</w:t>
      </w:r>
      <w:r>
        <w:fldChar w:fldCharType="end"/>
      </w:r>
      <w:r>
        <w:t xml:space="preserve"> compares emission reductions between reference technology and projected </w:t>
      </w:r>
      <w:r w:rsidR="00B93C95">
        <w:t xml:space="preserve">adoption scenarios. </w:t>
      </w:r>
      <w:r w:rsidR="00D028D5">
        <w:t xml:space="preserve">To get the ETP estimates, emission differences between the two published scenarios were interpolated for missing years and summed over the desired period. </w:t>
      </w:r>
      <w:r w:rsidR="00B93C95">
        <w:t xml:space="preserve">The reductions projected by ETP are </w:t>
      </w:r>
      <w:r w:rsidR="00D028D5">
        <w:t>lower</w:t>
      </w:r>
      <w:r w:rsidR="00B93C95">
        <w:t xml:space="preserve"> compared to Drawdown PDS</w:t>
      </w:r>
      <w:r w:rsidR="00D028D5">
        <w:t>2</w:t>
      </w:r>
      <w:r w:rsidR="00B93C95">
        <w:t xml:space="preserve"> and PDS</w:t>
      </w:r>
      <w:r w:rsidR="00D028D5">
        <w:t>3</w:t>
      </w:r>
      <w:r w:rsidR="00B93C95">
        <w:t xml:space="preserve"> scenarios. </w:t>
      </w:r>
      <w:r w:rsidR="00D028D5">
        <w:t xml:space="preserve">This is partly due to the reference scenarios of Drawdown being more defined differently. Also the adoptions of those two scenarios are much more aggressive than </w:t>
      </w:r>
      <w:r w:rsidR="00B93C95">
        <w:t>Reductions from PDS 3 are closer to reductions from the B2DS scenario which is the most aggressive adoption scenario for emissions reduction.</w:t>
      </w:r>
    </w:p>
    <w:p w14:paraId="79DB6E21" w14:textId="4C0AFA41" w:rsidR="006745FF" w:rsidRPr="00177418" w:rsidRDefault="006745FF" w:rsidP="006831EE">
      <w:pPr>
        <w:pStyle w:val="Caption"/>
        <w:rPr>
          <w:b/>
          <w:bCs/>
        </w:rPr>
      </w:pPr>
      <w:bookmarkStart w:id="108" w:name="_Ref1016021"/>
      <w:bookmarkStart w:id="109" w:name="_Toc44510704"/>
      <w:r w:rsidRPr="00E70A0C">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4</w:t>
      </w:r>
      <w:r w:rsidR="00CA08B6">
        <w:rPr>
          <w:noProof/>
        </w:rPr>
        <w:fldChar w:fldCharType="end"/>
      </w:r>
      <w:r w:rsidR="008473AD">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1</w:t>
      </w:r>
      <w:r w:rsidR="00CA08B6">
        <w:rPr>
          <w:noProof/>
        </w:rPr>
        <w:fldChar w:fldCharType="end"/>
      </w:r>
      <w:bookmarkEnd w:id="108"/>
      <w:r w:rsidRPr="00E70A0C">
        <w:t xml:space="preserve"> Benchmarks</w:t>
      </w:r>
      <w:bookmarkEnd w:id="107"/>
      <w:r w:rsidR="008473AD">
        <w:t xml:space="preserve"> (Heat produced)</w:t>
      </w:r>
      <w:bookmarkEnd w:id="109"/>
    </w:p>
    <w:tbl>
      <w:tblPr>
        <w:tblStyle w:val="TableGrid"/>
        <w:tblW w:w="0" w:type="auto"/>
        <w:jc w:val="center"/>
        <w:tblLook w:val="04A0" w:firstRow="1" w:lastRow="0" w:firstColumn="1" w:lastColumn="0" w:noHBand="0" w:noVBand="1"/>
      </w:tblPr>
      <w:tblGrid>
        <w:gridCol w:w="2962"/>
        <w:gridCol w:w="2282"/>
        <w:gridCol w:w="2282"/>
        <w:gridCol w:w="1824"/>
      </w:tblGrid>
      <w:tr w:rsidR="00716993" w:rsidRPr="00177418" w14:paraId="70C8E283" w14:textId="01BC42F6" w:rsidTr="003F5943">
        <w:trPr>
          <w:cantSplit/>
          <w:trHeight w:val="329"/>
          <w:tblHeader/>
          <w:jc w:val="center"/>
        </w:trPr>
        <w:tc>
          <w:tcPr>
            <w:tcW w:w="0" w:type="auto"/>
            <w:shd w:val="clear" w:color="auto" w:fill="4F81BD" w:themeFill="accent1"/>
            <w:vAlign w:val="center"/>
          </w:tcPr>
          <w:p w14:paraId="721CED95" w14:textId="594D904F" w:rsidR="00716993" w:rsidRPr="00883E57" w:rsidRDefault="00716993" w:rsidP="00E07370">
            <w:pPr>
              <w:rPr>
                <w:b/>
                <w:color w:val="FFFFFF" w:themeColor="background1"/>
              </w:rPr>
            </w:pPr>
            <w:r w:rsidRPr="00883E57">
              <w:rPr>
                <w:b/>
                <w:color w:val="FFFFFF" w:themeColor="background1"/>
              </w:rPr>
              <w:t>Source and Scenario</w:t>
            </w:r>
          </w:p>
        </w:tc>
        <w:tc>
          <w:tcPr>
            <w:tcW w:w="0" w:type="auto"/>
            <w:shd w:val="clear" w:color="auto" w:fill="4F81BD" w:themeFill="accent1"/>
            <w:vAlign w:val="center"/>
          </w:tcPr>
          <w:p w14:paraId="2C9D3A78" w14:textId="2B4787A2" w:rsidR="00716993" w:rsidRPr="00883E57" w:rsidRDefault="00716993" w:rsidP="00E07370">
            <w:pPr>
              <w:rPr>
                <w:b/>
                <w:color w:val="FFFFFF" w:themeColor="background1"/>
              </w:rPr>
            </w:pPr>
            <w:r w:rsidRPr="00883E57">
              <w:rPr>
                <w:b/>
                <w:color w:val="FFFFFF" w:themeColor="background1"/>
              </w:rPr>
              <w:t>HEAT produced  2050 (TWh (th))</w:t>
            </w:r>
          </w:p>
        </w:tc>
        <w:tc>
          <w:tcPr>
            <w:tcW w:w="0" w:type="auto"/>
            <w:shd w:val="clear" w:color="auto" w:fill="4F81BD" w:themeFill="accent1"/>
            <w:vAlign w:val="center"/>
          </w:tcPr>
          <w:p w14:paraId="54169280" w14:textId="41E53889" w:rsidR="00716993" w:rsidRPr="00883E57" w:rsidRDefault="00B876EF" w:rsidP="00E07370">
            <w:pPr>
              <w:rPr>
                <w:b/>
                <w:color w:val="FFFFFF" w:themeColor="background1"/>
              </w:rPr>
            </w:pPr>
            <w:r w:rsidRPr="00883E57">
              <w:rPr>
                <w:b/>
                <w:color w:val="FFFFFF" w:themeColor="background1"/>
              </w:rPr>
              <w:t>HEAT produced  20</w:t>
            </w:r>
            <w:r>
              <w:rPr>
                <w:b/>
                <w:color w:val="FFFFFF" w:themeColor="background1"/>
              </w:rPr>
              <w:t>3</w:t>
            </w:r>
            <w:r w:rsidRPr="00883E57">
              <w:rPr>
                <w:b/>
                <w:color w:val="FFFFFF" w:themeColor="background1"/>
              </w:rPr>
              <w:t>0 (TWh (th))</w:t>
            </w:r>
          </w:p>
        </w:tc>
        <w:tc>
          <w:tcPr>
            <w:tcW w:w="0" w:type="auto"/>
            <w:shd w:val="clear" w:color="auto" w:fill="4F81BD" w:themeFill="accent1"/>
          </w:tcPr>
          <w:p w14:paraId="073195AB" w14:textId="5CE0A317" w:rsidR="00716993" w:rsidRPr="00883E57" w:rsidRDefault="00716993" w:rsidP="00E07370">
            <w:pPr>
              <w:rPr>
                <w:b/>
                <w:color w:val="FFFFFF" w:themeColor="background1"/>
              </w:rPr>
            </w:pPr>
            <w:r w:rsidRPr="00883E57">
              <w:rPr>
                <w:b/>
                <w:color w:val="FFFFFF" w:themeColor="background1"/>
              </w:rPr>
              <w:t>Market Share in 2050 (%)</w:t>
            </w:r>
          </w:p>
        </w:tc>
      </w:tr>
      <w:tr w:rsidR="00716993" w:rsidRPr="00177418" w14:paraId="289707D9" w14:textId="70E15D94" w:rsidTr="003F5943">
        <w:trPr>
          <w:trHeight w:val="432"/>
          <w:jc w:val="center"/>
        </w:trPr>
        <w:tc>
          <w:tcPr>
            <w:tcW w:w="0" w:type="auto"/>
            <w:vAlign w:val="center"/>
          </w:tcPr>
          <w:p w14:paraId="65A69EF1" w14:textId="7BE1E65C" w:rsidR="00716993" w:rsidRPr="00177418" w:rsidRDefault="00716993" w:rsidP="00E07370">
            <w:pPr>
              <w:rPr>
                <w:bCs/>
              </w:rPr>
            </w:pPr>
            <w:r>
              <w:t>IEA</w:t>
            </w:r>
            <w:r w:rsidR="002D6625">
              <w:t xml:space="preserve"> ETP 201</w:t>
            </w:r>
            <w:r w:rsidR="008473AD">
              <w:t>7 (RTS)</w:t>
            </w:r>
          </w:p>
        </w:tc>
        <w:tc>
          <w:tcPr>
            <w:tcW w:w="0" w:type="auto"/>
            <w:vAlign w:val="center"/>
          </w:tcPr>
          <w:p w14:paraId="693F09FD" w14:textId="5B77F2C9" w:rsidR="00716993" w:rsidRPr="00177418" w:rsidRDefault="00EA2CAF" w:rsidP="00E07370">
            <w:r>
              <w:t>6</w:t>
            </w:r>
            <w:r w:rsidR="00B876EF">
              <w:t>,</w:t>
            </w:r>
            <w:r>
              <w:t>025</w:t>
            </w:r>
          </w:p>
        </w:tc>
        <w:tc>
          <w:tcPr>
            <w:tcW w:w="0" w:type="auto"/>
            <w:vAlign w:val="center"/>
          </w:tcPr>
          <w:p w14:paraId="5718A6A0" w14:textId="23A9FE96" w:rsidR="00716993" w:rsidRPr="00177418" w:rsidRDefault="00EA2CAF" w:rsidP="00E07370">
            <w:r>
              <w:t>5</w:t>
            </w:r>
            <w:r w:rsidR="00B876EF">
              <w:t>,</w:t>
            </w:r>
            <w:r>
              <w:t>945</w:t>
            </w:r>
          </w:p>
        </w:tc>
        <w:tc>
          <w:tcPr>
            <w:tcW w:w="0" w:type="auto"/>
          </w:tcPr>
          <w:p w14:paraId="12513A47" w14:textId="691A2BDF" w:rsidR="00716993" w:rsidRPr="00177418" w:rsidRDefault="00C91C0F" w:rsidP="00E07370">
            <w:r>
              <w:t>-</w:t>
            </w:r>
          </w:p>
        </w:tc>
      </w:tr>
      <w:tr w:rsidR="008473AD" w:rsidRPr="00177418" w14:paraId="0A07BDBB" w14:textId="77777777" w:rsidTr="008C25E1">
        <w:trPr>
          <w:trHeight w:val="432"/>
          <w:jc w:val="center"/>
        </w:trPr>
        <w:tc>
          <w:tcPr>
            <w:tcW w:w="0" w:type="auto"/>
            <w:vAlign w:val="center"/>
          </w:tcPr>
          <w:p w14:paraId="0E8DC2F6" w14:textId="076601FE" w:rsidR="008473AD" w:rsidRDefault="008473AD" w:rsidP="00E07370">
            <w:r>
              <w:t>IEA ETP 2017 (2DS)</w:t>
            </w:r>
          </w:p>
        </w:tc>
        <w:tc>
          <w:tcPr>
            <w:tcW w:w="0" w:type="auto"/>
            <w:vAlign w:val="center"/>
          </w:tcPr>
          <w:p w14:paraId="6F7D0F56" w14:textId="493398C1" w:rsidR="008473AD" w:rsidRDefault="00EA2CAF" w:rsidP="00E07370">
            <w:r>
              <w:t>5</w:t>
            </w:r>
            <w:r w:rsidR="00B876EF">
              <w:t>,</w:t>
            </w:r>
            <w:r>
              <w:t>571</w:t>
            </w:r>
          </w:p>
        </w:tc>
        <w:tc>
          <w:tcPr>
            <w:tcW w:w="0" w:type="auto"/>
            <w:vAlign w:val="center"/>
          </w:tcPr>
          <w:p w14:paraId="2BC24A62" w14:textId="4B9873BE" w:rsidR="008473AD" w:rsidRPr="00177418" w:rsidRDefault="00EA2CAF" w:rsidP="00E07370">
            <w:r>
              <w:t>5</w:t>
            </w:r>
            <w:r w:rsidR="00B876EF">
              <w:t>,</w:t>
            </w:r>
            <w:r>
              <w:t>785</w:t>
            </w:r>
          </w:p>
        </w:tc>
        <w:tc>
          <w:tcPr>
            <w:tcW w:w="0" w:type="auto"/>
          </w:tcPr>
          <w:p w14:paraId="57AC5A0E" w14:textId="2C11E606" w:rsidR="008473AD" w:rsidRPr="00177418" w:rsidRDefault="00C91C0F" w:rsidP="00E07370">
            <w:r>
              <w:t>-</w:t>
            </w:r>
          </w:p>
        </w:tc>
      </w:tr>
      <w:tr w:rsidR="00716993" w:rsidRPr="00177418" w14:paraId="050ACC57" w14:textId="126DFA6F" w:rsidTr="003F5943">
        <w:trPr>
          <w:trHeight w:val="427"/>
          <w:jc w:val="center"/>
        </w:trPr>
        <w:tc>
          <w:tcPr>
            <w:tcW w:w="0" w:type="auto"/>
            <w:vAlign w:val="center"/>
          </w:tcPr>
          <w:p w14:paraId="0584602D" w14:textId="1193F5E0" w:rsidR="00716993" w:rsidRPr="00177418" w:rsidRDefault="00612104" w:rsidP="00E07370">
            <w:r>
              <w:t>IEA ETP 201</w:t>
            </w:r>
            <w:r w:rsidR="008473AD">
              <w:t>7 (B2DS)</w:t>
            </w:r>
          </w:p>
        </w:tc>
        <w:tc>
          <w:tcPr>
            <w:tcW w:w="0" w:type="auto"/>
            <w:vAlign w:val="center"/>
          </w:tcPr>
          <w:p w14:paraId="695ED788" w14:textId="4901129B" w:rsidR="00716993" w:rsidRPr="00177418" w:rsidRDefault="00EA2CAF" w:rsidP="00E07370">
            <w:r>
              <w:t>4</w:t>
            </w:r>
            <w:r w:rsidR="00B876EF">
              <w:t>,</w:t>
            </w:r>
            <w:r>
              <w:t>742</w:t>
            </w:r>
          </w:p>
        </w:tc>
        <w:tc>
          <w:tcPr>
            <w:tcW w:w="0" w:type="auto"/>
            <w:vAlign w:val="center"/>
          </w:tcPr>
          <w:p w14:paraId="60D7DAD1" w14:textId="329D2328" w:rsidR="00716993" w:rsidRPr="00177418" w:rsidRDefault="00EA2CAF" w:rsidP="00E07370">
            <w:r>
              <w:t>5</w:t>
            </w:r>
            <w:r w:rsidR="00B876EF">
              <w:t>,</w:t>
            </w:r>
            <w:r>
              <w:t>501</w:t>
            </w:r>
          </w:p>
        </w:tc>
        <w:tc>
          <w:tcPr>
            <w:tcW w:w="0" w:type="auto"/>
          </w:tcPr>
          <w:p w14:paraId="09B54680" w14:textId="45B2501E" w:rsidR="00716993" w:rsidRPr="00177418" w:rsidRDefault="00C91C0F" w:rsidP="00E07370">
            <w:r>
              <w:t>-</w:t>
            </w:r>
          </w:p>
        </w:tc>
      </w:tr>
      <w:tr w:rsidR="00716993" w:rsidRPr="00177418" w14:paraId="1C7A3D9F" w14:textId="08F76CB5" w:rsidTr="00865279">
        <w:trPr>
          <w:trHeight w:val="329"/>
          <w:jc w:val="center"/>
        </w:trPr>
        <w:tc>
          <w:tcPr>
            <w:tcW w:w="0" w:type="auto"/>
            <w:vAlign w:val="center"/>
          </w:tcPr>
          <w:p w14:paraId="3E637FD7" w14:textId="0FA6148C" w:rsidR="00716993" w:rsidRPr="00177418" w:rsidRDefault="00716993" w:rsidP="00E07370">
            <w:pPr>
              <w:rPr>
                <w:bCs/>
              </w:rPr>
            </w:pPr>
            <w:r w:rsidRPr="00177418">
              <w:t>Project Drawdown – Plausible Scenario (PDS1)</w:t>
            </w:r>
          </w:p>
        </w:tc>
        <w:tc>
          <w:tcPr>
            <w:tcW w:w="0" w:type="auto"/>
            <w:shd w:val="clear" w:color="auto" w:fill="auto"/>
            <w:vAlign w:val="center"/>
          </w:tcPr>
          <w:p w14:paraId="17FCA461" w14:textId="19B29243" w:rsidR="00716993" w:rsidRPr="00177418" w:rsidRDefault="00D53CEB" w:rsidP="00E07370">
            <w:r>
              <w:t>822</w:t>
            </w:r>
          </w:p>
        </w:tc>
        <w:tc>
          <w:tcPr>
            <w:tcW w:w="0" w:type="auto"/>
            <w:shd w:val="clear" w:color="auto" w:fill="auto"/>
            <w:vAlign w:val="center"/>
          </w:tcPr>
          <w:p w14:paraId="37A2A467" w14:textId="67327849" w:rsidR="00716993" w:rsidRPr="00177418" w:rsidRDefault="00D53CEB" w:rsidP="00E07370">
            <w:r>
              <w:t>608</w:t>
            </w:r>
          </w:p>
        </w:tc>
        <w:tc>
          <w:tcPr>
            <w:tcW w:w="0" w:type="auto"/>
            <w:vAlign w:val="center"/>
          </w:tcPr>
          <w:p w14:paraId="5F06BD4D" w14:textId="195ABE4B" w:rsidR="00716993" w:rsidRPr="00177418" w:rsidRDefault="008C25E1" w:rsidP="00E07370">
            <w:r>
              <w:t>15%</w:t>
            </w:r>
          </w:p>
        </w:tc>
      </w:tr>
      <w:tr w:rsidR="00716993" w:rsidRPr="00177418" w14:paraId="2861B45D" w14:textId="2AD39CA0" w:rsidTr="00865279">
        <w:trPr>
          <w:trHeight w:val="329"/>
          <w:jc w:val="center"/>
        </w:trPr>
        <w:tc>
          <w:tcPr>
            <w:tcW w:w="0" w:type="auto"/>
            <w:vAlign w:val="center"/>
          </w:tcPr>
          <w:p w14:paraId="5782CA7E" w14:textId="716EFD46" w:rsidR="00716993" w:rsidRPr="00177418" w:rsidRDefault="00716993" w:rsidP="00E07370">
            <w:r w:rsidRPr="00177418">
              <w:t>Project Drawdown – Drawdown Scenario (PDS2)</w:t>
            </w:r>
          </w:p>
        </w:tc>
        <w:tc>
          <w:tcPr>
            <w:tcW w:w="0" w:type="auto"/>
            <w:shd w:val="clear" w:color="auto" w:fill="auto"/>
            <w:vAlign w:val="center"/>
          </w:tcPr>
          <w:p w14:paraId="4F9F1598" w14:textId="5434A8CD" w:rsidR="00716993" w:rsidRPr="00177418" w:rsidRDefault="008C25E1" w:rsidP="00E07370">
            <w:r>
              <w:t>1</w:t>
            </w:r>
            <w:r w:rsidR="00B42DFD">
              <w:t>,</w:t>
            </w:r>
            <w:r w:rsidR="00D53CEB">
              <w:t>947</w:t>
            </w:r>
          </w:p>
        </w:tc>
        <w:tc>
          <w:tcPr>
            <w:tcW w:w="0" w:type="auto"/>
            <w:shd w:val="clear" w:color="auto" w:fill="auto"/>
            <w:vAlign w:val="center"/>
          </w:tcPr>
          <w:p w14:paraId="250C4F8C" w14:textId="11B85D1B" w:rsidR="00716993" w:rsidRPr="00177418" w:rsidRDefault="00B42DFD" w:rsidP="00E07370">
            <w:r>
              <w:t>1,</w:t>
            </w:r>
            <w:r w:rsidR="00D53CEB">
              <w:t>093</w:t>
            </w:r>
          </w:p>
        </w:tc>
        <w:tc>
          <w:tcPr>
            <w:tcW w:w="0" w:type="auto"/>
            <w:vAlign w:val="center"/>
          </w:tcPr>
          <w:p w14:paraId="2D61B8A5" w14:textId="2F6679AD" w:rsidR="00716993" w:rsidRPr="00177418" w:rsidRDefault="008C25E1" w:rsidP="00E07370">
            <w:r>
              <w:t>30%</w:t>
            </w:r>
          </w:p>
        </w:tc>
      </w:tr>
      <w:tr w:rsidR="00716993" w:rsidRPr="00177418" w14:paraId="0C6E4035" w14:textId="29DD5EF1" w:rsidTr="00865279">
        <w:trPr>
          <w:trHeight w:val="329"/>
          <w:jc w:val="center"/>
        </w:trPr>
        <w:tc>
          <w:tcPr>
            <w:tcW w:w="0" w:type="auto"/>
            <w:vAlign w:val="center"/>
          </w:tcPr>
          <w:p w14:paraId="2392672B" w14:textId="49F74C08" w:rsidR="00716993" w:rsidRPr="00177418" w:rsidRDefault="00716993" w:rsidP="00E07370">
            <w:r w:rsidRPr="00177418">
              <w:lastRenderedPageBreak/>
              <w:t>Project Drawdown – Optimum Scenario (PDS3)</w:t>
            </w:r>
          </w:p>
        </w:tc>
        <w:tc>
          <w:tcPr>
            <w:tcW w:w="0" w:type="auto"/>
            <w:shd w:val="clear" w:color="auto" w:fill="auto"/>
            <w:vAlign w:val="center"/>
          </w:tcPr>
          <w:p w14:paraId="428CA8E7" w14:textId="4E8CF98A" w:rsidR="00716993" w:rsidRPr="00177418" w:rsidRDefault="00B42DFD" w:rsidP="00E07370">
            <w:r>
              <w:t>2,6</w:t>
            </w:r>
            <w:r w:rsidR="00D53CEB">
              <w:t>42</w:t>
            </w:r>
          </w:p>
        </w:tc>
        <w:tc>
          <w:tcPr>
            <w:tcW w:w="0" w:type="auto"/>
            <w:shd w:val="clear" w:color="auto" w:fill="auto"/>
            <w:vAlign w:val="center"/>
          </w:tcPr>
          <w:p w14:paraId="29386CF4" w14:textId="662E3A09" w:rsidR="00716993" w:rsidRPr="00177418" w:rsidRDefault="00D53CEB" w:rsidP="00E07370">
            <w:r>
              <w:t>1,968</w:t>
            </w:r>
          </w:p>
        </w:tc>
        <w:tc>
          <w:tcPr>
            <w:tcW w:w="0" w:type="auto"/>
            <w:vAlign w:val="center"/>
          </w:tcPr>
          <w:p w14:paraId="19BBEEC3" w14:textId="29D03BB4" w:rsidR="00716993" w:rsidRPr="00177418" w:rsidRDefault="00B66858" w:rsidP="00E07370">
            <w:r>
              <w:t>50%</w:t>
            </w:r>
          </w:p>
        </w:tc>
      </w:tr>
    </w:tbl>
    <w:p w14:paraId="105A5AA0" w14:textId="64AB26C3" w:rsidR="000D30DE" w:rsidRDefault="000D30DE" w:rsidP="00E07370"/>
    <w:p w14:paraId="14FAEC85" w14:textId="40F34B0E" w:rsidR="008473AD" w:rsidRDefault="008473AD" w:rsidP="006831EE">
      <w:pPr>
        <w:pStyle w:val="Caption"/>
        <w:rPr>
          <w:rFonts w:asciiTheme="majorHAnsi" w:eastAsiaTheme="majorEastAsia" w:hAnsiTheme="majorHAnsi" w:cstheme="majorBidi"/>
          <w:b/>
          <w:bCs/>
          <w:smallCaps/>
          <w:color w:val="000000" w:themeColor="text1"/>
          <w:sz w:val="36"/>
          <w:szCs w:val="36"/>
        </w:rPr>
      </w:pPr>
      <w:bookmarkStart w:id="110" w:name="_Ref1016195"/>
      <w:bookmarkStart w:id="111" w:name="_Toc44510705"/>
      <w:r>
        <w:t xml:space="preserve">Table </w:t>
      </w:r>
      <w:r w:rsidR="00CA08B6">
        <w:rPr>
          <w:noProof/>
        </w:rPr>
        <w:fldChar w:fldCharType="begin"/>
      </w:r>
      <w:r w:rsidR="00CA08B6">
        <w:rPr>
          <w:noProof/>
        </w:rPr>
        <w:instrText xml:space="preserve"> STYLEREF 1 \s </w:instrText>
      </w:r>
      <w:r w:rsidR="00CA08B6">
        <w:rPr>
          <w:noProof/>
        </w:rPr>
        <w:fldChar w:fldCharType="separate"/>
      </w:r>
      <w:r w:rsidR="001142D0">
        <w:rPr>
          <w:noProof/>
        </w:rPr>
        <w:t>4</w:t>
      </w:r>
      <w:r w:rsidR="00CA08B6">
        <w:rPr>
          <w:noProof/>
        </w:rPr>
        <w:fldChar w:fldCharType="end"/>
      </w:r>
      <w:r>
        <w:t>.</w:t>
      </w:r>
      <w:r w:rsidR="00CA08B6">
        <w:rPr>
          <w:noProof/>
        </w:rPr>
        <w:fldChar w:fldCharType="begin"/>
      </w:r>
      <w:r w:rsidR="00CA08B6">
        <w:rPr>
          <w:noProof/>
        </w:rPr>
        <w:instrText xml:space="preserve"> SEQ Table \* ARABIC \s 1 </w:instrText>
      </w:r>
      <w:r w:rsidR="00CA08B6">
        <w:rPr>
          <w:noProof/>
        </w:rPr>
        <w:fldChar w:fldCharType="separate"/>
      </w:r>
      <w:r w:rsidR="001142D0">
        <w:rPr>
          <w:noProof/>
        </w:rPr>
        <w:t>2</w:t>
      </w:r>
      <w:r w:rsidR="00CA08B6">
        <w:rPr>
          <w:noProof/>
        </w:rPr>
        <w:fldChar w:fldCharType="end"/>
      </w:r>
      <w:bookmarkEnd w:id="110"/>
      <w:r>
        <w:t xml:space="preserve"> Emissions Benchmarks</w:t>
      </w:r>
      <w:bookmarkEnd w:id="111"/>
    </w:p>
    <w:tbl>
      <w:tblPr>
        <w:tblStyle w:val="TableGrid"/>
        <w:tblW w:w="0" w:type="auto"/>
        <w:jc w:val="center"/>
        <w:tblLook w:val="04A0" w:firstRow="1" w:lastRow="0" w:firstColumn="1" w:lastColumn="0" w:noHBand="0" w:noVBand="1"/>
      </w:tblPr>
      <w:tblGrid>
        <w:gridCol w:w="5521"/>
        <w:gridCol w:w="3405"/>
      </w:tblGrid>
      <w:tr w:rsidR="00EA2CAF" w:rsidRPr="00177418" w14:paraId="10032C29" w14:textId="77777777" w:rsidTr="008473AD">
        <w:trPr>
          <w:cantSplit/>
          <w:trHeight w:val="329"/>
          <w:tblHeader/>
          <w:jc w:val="center"/>
        </w:trPr>
        <w:tc>
          <w:tcPr>
            <w:tcW w:w="0" w:type="auto"/>
            <w:shd w:val="clear" w:color="auto" w:fill="4F81BD" w:themeFill="accent1"/>
            <w:vAlign w:val="center"/>
          </w:tcPr>
          <w:p w14:paraId="7ABE4F61" w14:textId="77777777" w:rsidR="00EA2CAF" w:rsidRPr="00883E57" w:rsidRDefault="00EA2CAF" w:rsidP="00E07370">
            <w:pPr>
              <w:rPr>
                <w:b/>
                <w:color w:val="FFFFFF" w:themeColor="background1"/>
              </w:rPr>
            </w:pPr>
            <w:r w:rsidRPr="00883E57">
              <w:rPr>
                <w:b/>
                <w:color w:val="FFFFFF" w:themeColor="background1"/>
              </w:rPr>
              <w:t>Source and Scenario</w:t>
            </w:r>
          </w:p>
        </w:tc>
        <w:tc>
          <w:tcPr>
            <w:tcW w:w="0" w:type="auto"/>
            <w:shd w:val="clear" w:color="auto" w:fill="4F81BD" w:themeFill="accent1"/>
            <w:vAlign w:val="center"/>
          </w:tcPr>
          <w:p w14:paraId="71F836BE" w14:textId="118BB1A6" w:rsidR="00EA2CAF" w:rsidRPr="00883E57" w:rsidRDefault="00EA2CAF" w:rsidP="00E07370">
            <w:pPr>
              <w:rPr>
                <w:b/>
                <w:color w:val="FFFFFF" w:themeColor="background1"/>
              </w:rPr>
            </w:pPr>
            <w:r w:rsidRPr="00883E57">
              <w:rPr>
                <w:b/>
                <w:color w:val="FFFFFF" w:themeColor="background1"/>
              </w:rPr>
              <w:t xml:space="preserve">GHG reduced </w:t>
            </w:r>
            <w:r w:rsidR="00D028D5">
              <w:rPr>
                <w:b/>
                <w:color w:val="FFFFFF" w:themeColor="background1"/>
              </w:rPr>
              <w:t>2020-</w:t>
            </w:r>
            <w:r w:rsidRPr="00883E57">
              <w:rPr>
                <w:b/>
                <w:color w:val="FFFFFF" w:themeColor="background1"/>
              </w:rPr>
              <w:t>2050 (</w:t>
            </w:r>
            <w:r w:rsidR="00D028D5">
              <w:rPr>
                <w:b/>
                <w:color w:val="FFFFFF" w:themeColor="background1"/>
              </w:rPr>
              <w:t>G</w:t>
            </w:r>
            <w:r w:rsidRPr="00883E57">
              <w:rPr>
                <w:b/>
                <w:color w:val="FFFFFF" w:themeColor="background1"/>
              </w:rPr>
              <w:t>T</w:t>
            </w:r>
            <w:r w:rsidR="00D028D5">
              <w:rPr>
                <w:b/>
                <w:color w:val="FFFFFF" w:themeColor="background1"/>
              </w:rPr>
              <w:t xml:space="preserve"> </w:t>
            </w:r>
            <w:r w:rsidRPr="00883E57">
              <w:rPr>
                <w:b/>
                <w:color w:val="FFFFFF" w:themeColor="background1"/>
              </w:rPr>
              <w:t>CO2)</w:t>
            </w:r>
          </w:p>
        </w:tc>
      </w:tr>
      <w:tr w:rsidR="00EA2CAF" w:rsidRPr="00177418" w14:paraId="4B0433CE" w14:textId="77777777" w:rsidTr="008473AD">
        <w:trPr>
          <w:trHeight w:val="432"/>
          <w:jc w:val="center"/>
        </w:trPr>
        <w:tc>
          <w:tcPr>
            <w:tcW w:w="0" w:type="auto"/>
            <w:vAlign w:val="center"/>
          </w:tcPr>
          <w:p w14:paraId="64C1E800" w14:textId="0AD47F62" w:rsidR="00EA2CAF" w:rsidRPr="00D028D5" w:rsidRDefault="00EA2CAF" w:rsidP="00E07370">
            <w:pPr>
              <w:rPr>
                <w:bCs/>
              </w:rPr>
            </w:pPr>
            <w:r w:rsidRPr="00D028D5">
              <w:t xml:space="preserve">IEA ETP </w:t>
            </w:r>
            <w:r w:rsidR="00D70EE7" w:rsidRPr="00D028D5">
              <w:t xml:space="preserve">2017 </w:t>
            </w:r>
            <w:r w:rsidRPr="00D028D5">
              <w:t>(RTS-B2DS)</w:t>
            </w:r>
            <w:r w:rsidR="00D028D5" w:rsidRPr="00D028D5">
              <w:t xml:space="preserve"> (i</w:t>
            </w:r>
            <w:r w:rsidR="00D028D5">
              <w:t>nterpolated from published data)</w:t>
            </w:r>
          </w:p>
        </w:tc>
        <w:tc>
          <w:tcPr>
            <w:tcW w:w="0" w:type="auto"/>
            <w:vAlign w:val="center"/>
          </w:tcPr>
          <w:p w14:paraId="7DEE304C" w14:textId="30C10419" w:rsidR="00EA2CAF" w:rsidRPr="00177418" w:rsidRDefault="00EA2CAF" w:rsidP="00E07370">
            <w:r>
              <w:t>8.86</w:t>
            </w:r>
          </w:p>
        </w:tc>
      </w:tr>
      <w:tr w:rsidR="00EA2CAF" w:rsidRPr="00177418" w14:paraId="33388AC7" w14:textId="77777777" w:rsidTr="008473AD">
        <w:trPr>
          <w:trHeight w:val="432"/>
          <w:jc w:val="center"/>
        </w:trPr>
        <w:tc>
          <w:tcPr>
            <w:tcW w:w="0" w:type="auto"/>
            <w:vAlign w:val="center"/>
          </w:tcPr>
          <w:p w14:paraId="7B443854" w14:textId="388B2360" w:rsidR="00EA2CAF" w:rsidRDefault="00EA2CAF" w:rsidP="00E07370">
            <w:r>
              <w:t>IEA ETP 2016 (</w:t>
            </w:r>
            <w:r w:rsidR="00D70EE7">
              <w:t>6DS-2DS)</w:t>
            </w:r>
            <w:r w:rsidR="00D028D5">
              <w:t xml:space="preserve"> </w:t>
            </w:r>
            <w:r w:rsidR="00D028D5" w:rsidRPr="00D028D5">
              <w:t>(i</w:t>
            </w:r>
            <w:r w:rsidR="00D028D5">
              <w:t>nterpolated from published data)</w:t>
            </w:r>
          </w:p>
        </w:tc>
        <w:tc>
          <w:tcPr>
            <w:tcW w:w="0" w:type="auto"/>
            <w:vAlign w:val="center"/>
          </w:tcPr>
          <w:p w14:paraId="0331EE33" w14:textId="2636FA39" w:rsidR="00EA2CAF" w:rsidRDefault="00D70EE7" w:rsidP="00E07370">
            <w:r>
              <w:t>7.40</w:t>
            </w:r>
          </w:p>
        </w:tc>
      </w:tr>
      <w:tr w:rsidR="00EA2CAF" w:rsidRPr="00177418" w14:paraId="4A11C531" w14:textId="77777777" w:rsidTr="00D028D5">
        <w:trPr>
          <w:trHeight w:val="329"/>
          <w:jc w:val="center"/>
        </w:trPr>
        <w:tc>
          <w:tcPr>
            <w:tcW w:w="0" w:type="auto"/>
            <w:vAlign w:val="center"/>
          </w:tcPr>
          <w:p w14:paraId="4604FC9C" w14:textId="77777777" w:rsidR="00EA2CAF" w:rsidRPr="00177418" w:rsidRDefault="00EA2CAF" w:rsidP="00E07370">
            <w:pPr>
              <w:rPr>
                <w:bCs/>
              </w:rPr>
            </w:pPr>
            <w:r w:rsidRPr="00177418">
              <w:t>Project Drawdown – Plausible Scenario (PDS1)</w:t>
            </w:r>
          </w:p>
        </w:tc>
        <w:tc>
          <w:tcPr>
            <w:tcW w:w="0" w:type="auto"/>
            <w:shd w:val="clear" w:color="auto" w:fill="auto"/>
            <w:vAlign w:val="center"/>
          </w:tcPr>
          <w:p w14:paraId="485BCCCE" w14:textId="37A91ABC" w:rsidR="00EA2CAF" w:rsidRPr="00177418" w:rsidRDefault="00B9648C" w:rsidP="00E07370">
            <w:r>
              <w:t>3.64</w:t>
            </w:r>
          </w:p>
        </w:tc>
      </w:tr>
      <w:tr w:rsidR="00EA2CAF" w:rsidRPr="00177418" w14:paraId="3E478BD4" w14:textId="77777777" w:rsidTr="00D028D5">
        <w:trPr>
          <w:trHeight w:val="329"/>
          <w:jc w:val="center"/>
        </w:trPr>
        <w:tc>
          <w:tcPr>
            <w:tcW w:w="0" w:type="auto"/>
            <w:vAlign w:val="center"/>
          </w:tcPr>
          <w:p w14:paraId="26C6BFA5" w14:textId="77777777" w:rsidR="00EA2CAF" w:rsidRPr="00177418" w:rsidRDefault="00EA2CAF" w:rsidP="00E07370">
            <w:r w:rsidRPr="00177418">
              <w:t>Project Drawdown – Drawdown Scenario (PDS2)</w:t>
            </w:r>
          </w:p>
        </w:tc>
        <w:tc>
          <w:tcPr>
            <w:tcW w:w="0" w:type="auto"/>
            <w:shd w:val="clear" w:color="auto" w:fill="auto"/>
            <w:vAlign w:val="center"/>
          </w:tcPr>
          <w:p w14:paraId="31B2E46D" w14:textId="03CF6112" w:rsidR="00EA2CAF" w:rsidRPr="00177418" w:rsidRDefault="00B9648C" w:rsidP="00E07370">
            <w:r>
              <w:t>14.29</w:t>
            </w:r>
          </w:p>
        </w:tc>
      </w:tr>
      <w:tr w:rsidR="00EA2CAF" w:rsidRPr="00177418" w14:paraId="6911A31B" w14:textId="77777777" w:rsidTr="00D028D5">
        <w:trPr>
          <w:trHeight w:val="329"/>
          <w:jc w:val="center"/>
        </w:trPr>
        <w:tc>
          <w:tcPr>
            <w:tcW w:w="0" w:type="auto"/>
            <w:vAlign w:val="center"/>
          </w:tcPr>
          <w:p w14:paraId="59CC22A6" w14:textId="77777777" w:rsidR="00EA2CAF" w:rsidRPr="00177418" w:rsidRDefault="00EA2CAF" w:rsidP="00E07370">
            <w:r w:rsidRPr="00177418">
              <w:t>Project Drawdown – Optimum Scenario (PDS3)</w:t>
            </w:r>
          </w:p>
        </w:tc>
        <w:tc>
          <w:tcPr>
            <w:tcW w:w="0" w:type="auto"/>
            <w:shd w:val="clear" w:color="auto" w:fill="auto"/>
            <w:vAlign w:val="center"/>
          </w:tcPr>
          <w:p w14:paraId="075A23F5" w14:textId="4C745823" w:rsidR="00EA2CAF" w:rsidRPr="00177418" w:rsidRDefault="00B9648C" w:rsidP="00E07370">
            <w:r>
              <w:t>27.58</w:t>
            </w:r>
          </w:p>
        </w:tc>
      </w:tr>
    </w:tbl>
    <w:p w14:paraId="2FE18BD6" w14:textId="77777777" w:rsidR="008473AD" w:rsidRPr="00177418" w:rsidRDefault="008473AD" w:rsidP="00E07370"/>
    <w:p w14:paraId="2C798AA3" w14:textId="77777777" w:rsidR="00B876EF" w:rsidRDefault="00B876EF">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11B6CA3F" w:rsidR="00434F61" w:rsidRPr="00177418" w:rsidRDefault="551A77D0" w:rsidP="00E07370">
      <w:pPr>
        <w:pStyle w:val="Heading1"/>
      </w:pPr>
      <w:bookmarkStart w:id="112" w:name="_Toc44510686"/>
      <w:r w:rsidRPr="00177418">
        <w:lastRenderedPageBreak/>
        <w:t>References</w:t>
      </w:r>
      <w:bookmarkEnd w:id="112"/>
    </w:p>
    <w:p w14:paraId="40D92424" w14:textId="77777777" w:rsidR="00F20284" w:rsidRPr="00177418" w:rsidRDefault="00F20284" w:rsidP="00E07370">
      <w:pPr>
        <w:pStyle w:val="Bibliography"/>
      </w:pPr>
      <w:r w:rsidRPr="00BD1B9B">
        <w:rPr>
          <w:lang w:val="pt-PT"/>
        </w:rPr>
        <w:t xml:space="preserve">Bessa, V. M. T., &amp; Prado, R. T. A. (2015). </w:t>
      </w:r>
      <w:r w:rsidRPr="00177418">
        <w:t xml:space="preserve">Reduction of carbon dioxide emissions by solar water heating systems and passive technologies in social housing. </w:t>
      </w:r>
      <w:r w:rsidRPr="00177418">
        <w:rPr>
          <w:i/>
          <w:iCs/>
        </w:rPr>
        <w:t>Energy Policy</w:t>
      </w:r>
      <w:r w:rsidRPr="00177418">
        <w:t xml:space="preserve">, </w:t>
      </w:r>
      <w:r w:rsidRPr="00177418">
        <w:rPr>
          <w:i/>
          <w:iCs/>
        </w:rPr>
        <w:t>83</w:t>
      </w:r>
      <w:r w:rsidRPr="00177418">
        <w:t>, 138–150.</w:t>
      </w:r>
    </w:p>
    <w:p w14:paraId="654C4F3E" w14:textId="77777777" w:rsidR="00F20284" w:rsidRPr="00177418" w:rsidRDefault="00F20284" w:rsidP="00E07370">
      <w:pPr>
        <w:pStyle w:val="Bibliography"/>
      </w:pPr>
      <w:r w:rsidRPr="00177418">
        <w:t xml:space="preserve">Butler, B., Merry, L., &amp; Young, D. (n.d.). Solar Hot Water Heating. </w:t>
      </w:r>
      <w:r w:rsidRPr="00177418">
        <w:rPr>
          <w:i/>
          <w:iCs/>
        </w:rPr>
        <w:t>American Solar Energy Society</w:t>
      </w:r>
      <w:r w:rsidRPr="00177418">
        <w:t>. Retrieved from https://www.ases.org/resources/solar-home-basics/solar-hot-water-heating/</w:t>
      </w:r>
    </w:p>
    <w:p w14:paraId="3B88F961" w14:textId="78EC3ECA" w:rsidR="00F20284" w:rsidRPr="00177418" w:rsidRDefault="00F20284" w:rsidP="00E07370">
      <w:pPr>
        <w:pStyle w:val="Bibliography"/>
      </w:pPr>
      <w:r w:rsidRPr="00177418">
        <w:t xml:space="preserve">ClimateTechWiki, n.d. Solar Thermal Hot Water, </w:t>
      </w:r>
      <w:hyperlink r:id="rId22" w:history="1">
        <w:r w:rsidRPr="003F5943">
          <w:t>http://www.climatetechwiki.org/technology/solar-thermal-hot-water</w:t>
        </w:r>
      </w:hyperlink>
    </w:p>
    <w:p w14:paraId="10D3E1BF" w14:textId="77777777" w:rsidR="00F20284" w:rsidRPr="00177418" w:rsidRDefault="00F20284" w:rsidP="00E07370">
      <w:pPr>
        <w:pStyle w:val="Bibliography"/>
      </w:pPr>
      <w:r w:rsidRPr="00BD1B9B">
        <w:rPr>
          <w:lang w:val="pt-PT"/>
        </w:rPr>
        <w:t xml:space="preserve">Gautam, A., Chamoli, S., Kumar, A., &amp; Singh, S. (2017). </w:t>
      </w:r>
      <w:r w:rsidRPr="00177418">
        <w:t xml:space="preserve">A review on technical improvements, economic feasibility and world scenario of solar water heating system. </w:t>
      </w:r>
      <w:r w:rsidRPr="00177418">
        <w:rPr>
          <w:i/>
          <w:iCs/>
        </w:rPr>
        <w:t>Renewable and Sustainable Energy Reviews</w:t>
      </w:r>
      <w:r w:rsidRPr="00177418">
        <w:t xml:space="preserve">, </w:t>
      </w:r>
      <w:r w:rsidRPr="00177418">
        <w:rPr>
          <w:i/>
          <w:iCs/>
        </w:rPr>
        <w:t>68</w:t>
      </w:r>
      <w:r w:rsidRPr="00177418">
        <w:t>. https://doi.org/10.1016/j.rser.2016.09.104</w:t>
      </w:r>
    </w:p>
    <w:p w14:paraId="2B881842" w14:textId="77777777" w:rsidR="00F20284" w:rsidRPr="00177418" w:rsidRDefault="00F20284" w:rsidP="00E07370">
      <w:pPr>
        <w:pStyle w:val="Bibliography"/>
      </w:pPr>
      <w:r w:rsidRPr="00177418">
        <w:t xml:space="preserve">Hamola, C. (n.d.). </w:t>
      </w:r>
      <w:r w:rsidRPr="00177418">
        <w:rPr>
          <w:i/>
          <w:iCs/>
        </w:rPr>
        <w:t>Solar Domestic Hot Water Heating Systems Design, Installation and Maintenance</w:t>
      </w:r>
      <w:r w:rsidRPr="00177418">
        <w:t>. ASSE International. Retrieved from http://www.asse-plumbing.org/chapters/NOH%20SolarWtrHtg%20Pres.pdf</w:t>
      </w:r>
    </w:p>
    <w:p w14:paraId="1F17547A" w14:textId="1A31C78B" w:rsidR="00F20284" w:rsidRPr="003F5943" w:rsidRDefault="00F20284" w:rsidP="00E07370">
      <w:pPr>
        <w:pStyle w:val="Bibliography"/>
        <w:rPr>
          <w:lang w:eastAsia="en-US"/>
        </w:rPr>
      </w:pPr>
      <w:r w:rsidRPr="003F5943">
        <w:t xml:space="preserve">Hoogwijk, M., Graus, W., 2008. Global Potential of Renewable Energy sources: A literature </w:t>
      </w:r>
      <w:r w:rsidRPr="003F5943" w:rsidDel="00563B93">
        <w:t>assessment</w:t>
      </w:r>
      <w:r w:rsidRPr="003F5943">
        <w:t xml:space="preserve">. Ren 21- Renewable Energy Policy Network for the 21st Century, </w:t>
      </w:r>
      <w:hyperlink r:id="rId23" w:history="1">
        <w:r w:rsidRPr="003F5943">
          <w:t>https://www.ecofys.com/files/files/report_global_potential_of_renewable_energy_sources_a_literature_assessment.pdf</w:t>
        </w:r>
      </w:hyperlink>
    </w:p>
    <w:p w14:paraId="5D107E25" w14:textId="02C0D23A" w:rsidR="00F20284" w:rsidRPr="00177418" w:rsidRDefault="00F20284" w:rsidP="00E07370">
      <w:pPr>
        <w:pStyle w:val="Bibliography"/>
      </w:pPr>
      <w:r w:rsidRPr="00177418">
        <w:t xml:space="preserve">International Energy Agency (IEA), (n.d.). Solar, </w:t>
      </w:r>
      <w:hyperlink r:id="rId24" w:history="1">
        <w:r w:rsidRPr="003F5943">
          <w:t>https://www.iea.org/topics/renewables/subtopics/solar/</w:t>
        </w:r>
      </w:hyperlink>
      <w:r w:rsidRPr="00177418">
        <w:t>, Accessed 11.14.16.</w:t>
      </w:r>
    </w:p>
    <w:p w14:paraId="5CC449A0" w14:textId="3A4DAD6C" w:rsidR="00F20284" w:rsidRPr="00177418" w:rsidRDefault="00F20284" w:rsidP="00E07370">
      <w:pPr>
        <w:pStyle w:val="Bibliography"/>
      </w:pPr>
      <w:r w:rsidRPr="00177418">
        <w:t xml:space="preserve">International Energy Agency (IEA), 2012. Technology Roadmap: Solar Heating and Cooling, </w:t>
      </w:r>
      <w:hyperlink r:id="rId25" w:history="1">
        <w:r w:rsidRPr="003F5943">
          <w:t>http://www.iea.org/publications/freepublications/publication/technology-roadmap-solar-heating-and-cooling.html</w:t>
        </w:r>
      </w:hyperlink>
      <w:r w:rsidRPr="00177418">
        <w:t>, Accessed 11.14.16.</w:t>
      </w:r>
    </w:p>
    <w:p w14:paraId="71496673" w14:textId="5102E479" w:rsidR="00F20284" w:rsidRPr="00177418" w:rsidRDefault="00F20284" w:rsidP="00E07370">
      <w:pPr>
        <w:pStyle w:val="Bibliography"/>
      </w:pPr>
      <w:r w:rsidRPr="00177418">
        <w:lastRenderedPageBreak/>
        <w:t xml:space="preserve">International Energy Agency (IEA), 2014. SHC || Solar Heat Worldwide Markets and Contribution to the Energy Supply, URL </w:t>
      </w:r>
      <w:hyperlink r:id="rId26" w:history="1">
        <w:r w:rsidRPr="003F5943">
          <w:t>http://www.iea-shc.org/solar-heat-worldwide</w:t>
        </w:r>
      </w:hyperlink>
      <w:r w:rsidRPr="00177418">
        <w:t>, Accessed 11.14.16.</w:t>
      </w:r>
    </w:p>
    <w:p w14:paraId="27EC3620" w14:textId="77777777" w:rsidR="00F20284" w:rsidRPr="00177418" w:rsidRDefault="00F20284" w:rsidP="00E07370">
      <w:pPr>
        <w:pStyle w:val="Bibliography"/>
      </w:pPr>
      <w:r w:rsidRPr="00177418">
        <w:t>International Energy Agency (IEA), 2016. Energy Technology Perspectives, http://www.iea.org/etp/ Accessed 11.14.16.</w:t>
      </w:r>
    </w:p>
    <w:p w14:paraId="2BE53647" w14:textId="77777777" w:rsidR="00F20284" w:rsidRPr="00177418" w:rsidRDefault="00F20284" w:rsidP="00E07370">
      <w:pPr>
        <w:pStyle w:val="Bibliography"/>
      </w:pPr>
      <w:r w:rsidRPr="00177418">
        <w:t>International Energy Agency. (2017a). Energy Technology Perspectives 2017. Retrieved December 2, 2018, from https://www.iea.org/etp2017/summary/</w:t>
      </w:r>
    </w:p>
    <w:p w14:paraId="136014AB" w14:textId="77777777" w:rsidR="00F20284" w:rsidRPr="00177418" w:rsidRDefault="00F20284" w:rsidP="00E07370">
      <w:pPr>
        <w:pStyle w:val="Bibliography"/>
      </w:pPr>
      <w:r w:rsidRPr="00177418">
        <w:t xml:space="preserve">International Energy Agency. (2017b). </w:t>
      </w:r>
      <w:r w:rsidRPr="00177418">
        <w:rPr>
          <w:i/>
          <w:iCs/>
        </w:rPr>
        <w:t>Tracking Clean Energy Progress 2017</w:t>
      </w:r>
      <w:r w:rsidRPr="00177418">
        <w:t xml:space="preserve"> (Excerpt Informing Energy Sector Transformations). International Energy Agency (IEA). Retrieved from https://www.iea.org/publications/freepublications/publication/TrackingCleanEnergyProgress2017.pdf</w:t>
      </w:r>
    </w:p>
    <w:p w14:paraId="6805938C" w14:textId="77777777" w:rsidR="00F20284" w:rsidRPr="00177418" w:rsidRDefault="00F20284" w:rsidP="00E07370">
      <w:pPr>
        <w:pStyle w:val="Bibliography"/>
      </w:pPr>
      <w:r w:rsidRPr="00177418">
        <w:t>International Renewable Energy Agency. (2015). Solar Heating and Cooling for Residential Applications. IEA-ETSAP and IRENA.</w:t>
      </w:r>
    </w:p>
    <w:p w14:paraId="38FA613D" w14:textId="77777777" w:rsidR="00F20284" w:rsidRPr="00177418" w:rsidRDefault="00F20284" w:rsidP="00E07370">
      <w:pPr>
        <w:pStyle w:val="Bibliography"/>
      </w:pPr>
      <w:r w:rsidRPr="00177418">
        <w:t xml:space="preserve">Maguire, J., Fang, X., &amp; Wilson, E. (2013). </w:t>
      </w:r>
      <w:r w:rsidRPr="00177418">
        <w:rPr>
          <w:i/>
          <w:iCs/>
        </w:rPr>
        <w:t>Comparison of Advanced Residential Water Heating Technologies in the United States</w:t>
      </w:r>
      <w:r w:rsidRPr="00177418">
        <w:t xml:space="preserve"> (Technical report No. NREL/TP-5500-55475). Retrieved from https://www.nrel.gov/docs/fy13osti/55475.pdf</w:t>
      </w:r>
    </w:p>
    <w:p w14:paraId="787132E7" w14:textId="77777777" w:rsidR="00F20284" w:rsidRPr="00177418" w:rsidRDefault="00F20284" w:rsidP="00E07370">
      <w:pPr>
        <w:pStyle w:val="Bibliography"/>
      </w:pPr>
      <w:r w:rsidRPr="00177418">
        <w:t>Mordor Intelligence. (2018). Solar Water Heater Market - Segmented by End-user, Collector, and Geography - Growth, Trends, and Forecast (2018 - 2023).</w:t>
      </w:r>
    </w:p>
    <w:p w14:paraId="29BACEA4" w14:textId="77777777" w:rsidR="00F20284" w:rsidRPr="00177418" w:rsidRDefault="00F20284" w:rsidP="00E07370">
      <w:pPr>
        <w:pStyle w:val="Bibliography"/>
      </w:pPr>
      <w:r w:rsidRPr="00177418">
        <w:t>Natural Resources Canada. (2012). Water Heater Guide. Retrieved from https://www.nrcan.gc.ca/sites/oee.nrcan.gc.ca/files/files/pdf/equipment/WaterHeaterGuide_e.pdf</w:t>
      </w:r>
    </w:p>
    <w:p w14:paraId="7E9633D4" w14:textId="77777777" w:rsidR="00F20284" w:rsidRPr="00177418" w:rsidRDefault="00F20284" w:rsidP="00E07370">
      <w:pPr>
        <w:pStyle w:val="Bibliography"/>
      </w:pPr>
      <w:r>
        <w:t>REN21</w:t>
      </w:r>
      <w:r w:rsidRPr="00177418">
        <w:t xml:space="preserve">. (2018). </w:t>
      </w:r>
      <w:r w:rsidRPr="00177418">
        <w:rPr>
          <w:i/>
          <w:iCs/>
        </w:rPr>
        <w:t>Renewables 2018 Global Status Report</w:t>
      </w:r>
      <w:r w:rsidRPr="00177418">
        <w:t xml:space="preserve"> (A comprehensive annual overview of the state of renewable energy). REN21. Retrieved from http://www.ren21.net/wp-content/uploads/2018/06/17-8652_GSR2018_FullReport_web_final_.pdf</w:t>
      </w:r>
    </w:p>
    <w:p w14:paraId="634F4C71" w14:textId="77777777" w:rsidR="00F20284" w:rsidRPr="00177418" w:rsidRDefault="00F20284" w:rsidP="00E07370">
      <w:pPr>
        <w:pStyle w:val="Bibliography"/>
      </w:pPr>
      <w:r w:rsidRPr="00177418">
        <w:lastRenderedPageBreak/>
        <w:t>Residential Guide to Solar Hot Water. (n.d.). Massachusetts Clean Energy Center. Retrieved from http://files.masscec.com/uploads/attachments/SolarHotWaterResidentialGuidebook.pdf</w:t>
      </w:r>
    </w:p>
    <w:p w14:paraId="743471C6" w14:textId="77777777" w:rsidR="00F20284" w:rsidRPr="00177418" w:rsidRDefault="00F20284" w:rsidP="00E07370">
      <w:pPr>
        <w:pStyle w:val="Bibliography"/>
      </w:pPr>
      <w:r w:rsidRPr="00177418">
        <w:t>ReVision Energy. (n.d.). Solar-powered water heating [Business]. Retrieved from https://www.revisionenergy.com/solar-power-for-your-home/solar-powered-water-heating/</w:t>
      </w:r>
    </w:p>
    <w:p w14:paraId="1AFDBA42" w14:textId="461F001A" w:rsidR="00F20284" w:rsidRPr="00177418" w:rsidRDefault="00F20284" w:rsidP="00E07370">
      <w:pPr>
        <w:pStyle w:val="Bibliography"/>
      </w:pPr>
      <w:r w:rsidRPr="00177418">
        <w:t>Reynolds, M. (2018). Solar Water Heater With Overheating Protection [Business]. Retrieved from https://www.ecohome.net/guides/3297/product-of-the-month-solar-water-heater-with-overheating-protection/</w:t>
      </w:r>
    </w:p>
    <w:p w14:paraId="12DF3D3D" w14:textId="77777777" w:rsidR="00F20284" w:rsidRPr="00177418" w:rsidRDefault="00F20284" w:rsidP="00E07370">
      <w:pPr>
        <w:pStyle w:val="Bibliography"/>
      </w:pPr>
      <w:r w:rsidRPr="00177418">
        <w:t xml:space="preserve">Richardson, D. (2013). </w:t>
      </w:r>
      <w:r w:rsidRPr="00177418">
        <w:rPr>
          <w:i/>
          <w:iCs/>
        </w:rPr>
        <w:t>Solar Heat - Sustainable Future: Clean Energy Solutions for Canada</w:t>
      </w:r>
      <w:r w:rsidRPr="00177418">
        <w:t>. Retrieved from https://www.cansia.ca/uploads/7/2/5/1/72513707/20140129_cansia_solar_heat_sustainable_future.pdf</w:t>
      </w:r>
    </w:p>
    <w:p w14:paraId="193CF6AC" w14:textId="77777777" w:rsidR="00F20284" w:rsidRPr="00566152" w:rsidRDefault="00F20284" w:rsidP="00E07370">
      <w:pPr>
        <w:pStyle w:val="Bibliography"/>
      </w:pPr>
      <w:r w:rsidRPr="00566152">
        <w:t>Solahart. (2018). Gas Boosted Solar [https://www.solahart.com.au/info-pages/gas-water-heater/gas-boosted-solar/]. Retrieved from https://www.solahart.com.au/info-pages/gas-water-heater/gas-boosted-solar/</w:t>
      </w:r>
    </w:p>
    <w:p w14:paraId="52CFF016" w14:textId="77777777" w:rsidR="00F20284" w:rsidRPr="00260F6C" w:rsidRDefault="00F20284" w:rsidP="00E07370">
      <w:pPr>
        <w:pStyle w:val="Bibliography"/>
      </w:pPr>
      <w:r w:rsidRPr="00F20284">
        <w:t xml:space="preserve">UN Environment and International Energy Agency (2017): Towards a zero-emission, efficient, and resilient buildings and construction sector. </w:t>
      </w:r>
      <w:r w:rsidRPr="00260F6C">
        <w:t>Global Status Report 2017.</w:t>
      </w:r>
    </w:p>
    <w:p w14:paraId="0E3A6066" w14:textId="7703D770" w:rsidR="00F20284" w:rsidRPr="00566152" w:rsidRDefault="00F20284" w:rsidP="00E07370">
      <w:pPr>
        <w:pStyle w:val="Bibliography"/>
      </w:pPr>
      <w:r w:rsidRPr="00566152">
        <w:t xml:space="preserve">United Nations Environment Programme. (2015). </w:t>
      </w:r>
      <w:r w:rsidRPr="003F5943">
        <w:t xml:space="preserve">Solar Water Heating A Strategic Planning Guide </w:t>
      </w:r>
      <w:r w:rsidRPr="00F20284">
        <w:t>for</w:t>
      </w:r>
      <w:r w:rsidRPr="003F5943">
        <w:t xml:space="preserve"> Cities In Developing Countries</w:t>
      </w:r>
      <w:r w:rsidRPr="00F20284">
        <w:t xml:space="preserve">. </w:t>
      </w:r>
      <w:r w:rsidRPr="00566152">
        <w:t xml:space="preserve">Retrieved from </w:t>
      </w:r>
      <w:hyperlink r:id="rId27" w:history="1">
        <w:r w:rsidRPr="003F5943">
          <w:t>http://www.estif.org/fileadmin/estif/content/publications/downloads/UNEP_2015/unep_report_cities_lr.pdf</w:t>
        </w:r>
      </w:hyperlink>
    </w:p>
    <w:p w14:paraId="7090EBD0" w14:textId="77777777" w:rsidR="00F20284" w:rsidRPr="00177418" w:rsidRDefault="00F20284" w:rsidP="00E07370">
      <w:pPr>
        <w:pStyle w:val="Bibliography"/>
      </w:pPr>
      <w:r w:rsidRPr="00BD1B9B">
        <w:rPr>
          <w:lang w:val="de-DE"/>
        </w:rPr>
        <w:t xml:space="preserve">Ürge-Vorsatz, D., Cabeza, L.F., Serrano, S., Barreneche, C., Petrichenko, K., 2015. </w:t>
      </w:r>
      <w:r w:rsidRPr="00177418">
        <w:t>Heating and cooling energy trends and drivers in buildings. Renew. Sustain. Energy Rev. 41, 85–98. doi:10.1016/j.rser.2014.08.039</w:t>
      </w:r>
    </w:p>
    <w:p w14:paraId="02B384B3" w14:textId="696CC996" w:rsidR="00F20284" w:rsidRPr="00177418" w:rsidRDefault="00F20284" w:rsidP="00E07370">
      <w:pPr>
        <w:pStyle w:val="Bibliography"/>
      </w:pPr>
      <w:r w:rsidRPr="00177418">
        <w:lastRenderedPageBreak/>
        <w:t xml:space="preserve">US Department of Energy (DOE), (n.d.). Furnaces and Boilers, </w:t>
      </w:r>
      <w:hyperlink r:id="rId28" w:history="1">
        <w:r w:rsidRPr="003F5943">
          <w:t>http://energy.gov/energysaver/furnaces-and-boilers</w:t>
        </w:r>
      </w:hyperlink>
      <w:r w:rsidRPr="00177418">
        <w:t>, Accessed 11.15.16.</w:t>
      </w:r>
    </w:p>
    <w:p w14:paraId="3BF67D80" w14:textId="0D7E80E6" w:rsidR="00F20284" w:rsidRPr="00177418" w:rsidRDefault="00F20284" w:rsidP="00E07370">
      <w:pPr>
        <w:pStyle w:val="Bibliography"/>
      </w:pPr>
      <w:r w:rsidRPr="00177418">
        <w:t xml:space="preserve">US Department of Energy (DOE), (n.d.). Solar Water Heaters, </w:t>
      </w:r>
      <w:hyperlink r:id="rId29" w:history="1">
        <w:r w:rsidRPr="003F5943">
          <w:t>http://energy.gov/energysaver/solar-water-heaters</w:t>
        </w:r>
      </w:hyperlink>
      <w:r w:rsidRPr="00177418">
        <w:t>, Accessed 11.14.16.</w:t>
      </w:r>
    </w:p>
    <w:p w14:paraId="7A39735C" w14:textId="77777777" w:rsidR="00F20284" w:rsidRPr="00566152" w:rsidRDefault="00F20284" w:rsidP="00E07370">
      <w:pPr>
        <w:pStyle w:val="Bibliography"/>
      </w:pPr>
      <w:r w:rsidRPr="00566152">
        <w:t>US Department of Energy. (2016). Integrated Collector Storage [Government]. Retrieved from https://basc.pnnl.gov/resource-guides/integrated-collector-storage#quicktabs-guides=1</w:t>
      </w:r>
    </w:p>
    <w:p w14:paraId="090B9BCB" w14:textId="77777777" w:rsidR="00F20284" w:rsidRPr="00177418" w:rsidRDefault="00F20284" w:rsidP="00E07370">
      <w:pPr>
        <w:pStyle w:val="Bibliography"/>
      </w:pPr>
      <w:r w:rsidRPr="00177418">
        <w:t>Weil-McLain Canada. (2018). HYDRONIC HEATING 101. Retrieved from http://weil-mclain.ca/support/product-support/hydronic-heating-101/</w:t>
      </w:r>
    </w:p>
    <w:p w14:paraId="5A4EAC82" w14:textId="49239F44" w:rsidR="00C808F8" w:rsidRPr="00C808F8" w:rsidRDefault="00F20284" w:rsidP="00D73F17">
      <w:pPr>
        <w:pStyle w:val="Bibliography"/>
      </w:pPr>
      <w:r w:rsidRPr="00BD1B9B">
        <w:rPr>
          <w:lang w:val="de-DE"/>
        </w:rPr>
        <w:t xml:space="preserve">Weiss, W., &amp; Spörk-Dür, M. (2018). </w:t>
      </w:r>
      <w:r w:rsidRPr="00177418">
        <w:rPr>
          <w:i/>
          <w:iCs/>
        </w:rPr>
        <w:t>Solar Heat Worldwide| Global Market Development and Trends in 2017| Detailed Market Figures 2016</w:t>
      </w:r>
      <w:r w:rsidRPr="00177418">
        <w:t xml:space="preserve"> (Solar Heating and Cooling Program No. Edition 2018). Austria: International Energy Agency (IEA). Retrieved from </w:t>
      </w:r>
      <w:hyperlink r:id="rId30" w:history="1">
        <w:r w:rsidR="00C808F8" w:rsidRPr="000B6BD5">
          <w:rPr>
            <w:rStyle w:val="Hyperlink"/>
          </w:rPr>
          <w:t>https://www.iea-shc.org/Data/Sites/1/publications/Solar-Heat-Worldwide-2018.pdf</w:t>
        </w:r>
      </w:hyperlink>
    </w:p>
    <w:p w14:paraId="178248AA" w14:textId="77777777" w:rsidR="00B876EF" w:rsidRDefault="00B876EF">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113" w:name="_Toc535941802"/>
      <w:bookmarkStart w:id="114" w:name="_Toc535941803"/>
      <w:bookmarkStart w:id="115" w:name="_Toc535941804"/>
      <w:bookmarkStart w:id="116" w:name="_Toc535941805"/>
      <w:bookmarkStart w:id="117" w:name="_Toc535941806"/>
      <w:bookmarkStart w:id="118" w:name="_Toc535941807"/>
      <w:bookmarkStart w:id="119" w:name="_Toc535941808"/>
      <w:bookmarkStart w:id="120" w:name="_Toc535941809"/>
      <w:bookmarkStart w:id="121" w:name="_Toc535941810"/>
      <w:bookmarkStart w:id="122" w:name="_Toc535941811"/>
      <w:bookmarkStart w:id="123" w:name="_Toc535941812"/>
      <w:bookmarkStart w:id="124" w:name="_Toc535941813"/>
      <w:bookmarkStart w:id="125" w:name="_Toc535941814"/>
      <w:bookmarkStart w:id="126" w:name="_Toc535941815"/>
      <w:bookmarkStart w:id="127" w:name="_Toc535941816"/>
      <w:bookmarkStart w:id="128" w:name="_Toc535941817"/>
      <w:bookmarkStart w:id="129" w:name="_Toc535941818"/>
      <w:bookmarkStart w:id="130" w:name="_Toc535941819"/>
      <w:bookmarkStart w:id="131" w:name="_Toc535941820"/>
      <w:bookmarkStart w:id="132" w:name="_Toc535941821"/>
      <w:bookmarkStart w:id="133" w:name="_Toc535941822"/>
      <w:bookmarkStart w:id="134" w:name="_Toc535941823"/>
      <w:bookmarkStart w:id="135" w:name="_Toc535941824"/>
      <w:bookmarkStart w:id="136" w:name="_Toc535941825"/>
      <w:bookmarkStart w:id="137" w:name="_Toc535941826"/>
      <w:bookmarkStart w:id="138" w:name="_Toc535941827"/>
      <w:bookmarkStart w:id="139" w:name="_Toc535941828"/>
      <w:bookmarkStart w:id="140" w:name="_Toc535941829"/>
      <w:bookmarkStart w:id="141" w:name="_Toc535941830"/>
      <w:bookmarkStart w:id="142" w:name="_Toc535941831"/>
      <w:bookmarkStart w:id="143" w:name="_Toc53594183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br w:type="page"/>
      </w:r>
    </w:p>
    <w:p w14:paraId="02EABFF3" w14:textId="4DC84816" w:rsidR="006745FF" w:rsidRPr="00177418" w:rsidRDefault="006745FF" w:rsidP="00E07370">
      <w:pPr>
        <w:pStyle w:val="Heading1"/>
      </w:pPr>
      <w:bookmarkStart w:id="144" w:name="_Ref2165273"/>
      <w:bookmarkStart w:id="145" w:name="_Toc44510687"/>
      <w:r w:rsidRPr="00177418">
        <w:lastRenderedPageBreak/>
        <w:t>Glossary</w:t>
      </w:r>
      <w:bookmarkEnd w:id="144"/>
      <w:bookmarkEnd w:id="145"/>
    </w:p>
    <w:p w14:paraId="02D27B4A" w14:textId="77777777" w:rsidR="006745FF" w:rsidRPr="00177418" w:rsidRDefault="006745FF" w:rsidP="00E07370">
      <w:r w:rsidRPr="00177418">
        <w:rPr>
          <w:b/>
        </w:rPr>
        <w:t>Adoption Scenario</w:t>
      </w:r>
      <w:r w:rsidRPr="00177418">
        <w:t xml:space="preserve"> – the predicted annual adoption over the period 2015 to 2060, which is usually measured in </w:t>
      </w:r>
      <w:r w:rsidRPr="00177418">
        <w:rPr>
          <w:b/>
        </w:rPr>
        <w:t>Functional Units</w:t>
      </w:r>
      <w:r w:rsidRPr="00177418">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177418">
        <w:rPr>
          <w:b/>
        </w:rPr>
        <w:t>Reference (REF)</w:t>
      </w:r>
      <w:r w:rsidRPr="00177418">
        <w:t xml:space="preserve"> where global adoption remains mostly constant, and </w:t>
      </w:r>
      <w:r w:rsidRPr="00177418">
        <w:rPr>
          <w:b/>
        </w:rPr>
        <w:t>Project Drawdown Scenarios (PDS)</w:t>
      </w:r>
      <w:r w:rsidRPr="00177418">
        <w:t xml:space="preserve"> which illustrate high growth of the solution.</w:t>
      </w:r>
    </w:p>
    <w:p w14:paraId="5FD0673A" w14:textId="77777777" w:rsidR="006745FF" w:rsidRPr="00177418" w:rsidRDefault="006745FF" w:rsidP="00E07370">
      <w:r w:rsidRPr="00177418">
        <w:rPr>
          <w:b/>
        </w:rPr>
        <w:t>Approximate PPM Equivalent</w:t>
      </w:r>
      <w:r w:rsidRPr="00177418">
        <w:t xml:space="preserve"> – the reduction in atmospheric concentration of CO</w:t>
      </w:r>
      <w:r w:rsidRPr="00177418">
        <w:rPr>
          <w:vertAlign w:val="subscript"/>
        </w:rPr>
        <w:t>2</w:t>
      </w:r>
      <w:r w:rsidRPr="00177418">
        <w:t xml:space="preserve"> (in </w:t>
      </w:r>
      <w:r w:rsidRPr="00177418">
        <w:rPr>
          <w:b/>
        </w:rPr>
        <w:t>PPM</w:t>
      </w:r>
      <w:r w:rsidRPr="00177418">
        <w:t xml:space="preserve">) that is expected to result if the </w:t>
      </w:r>
      <w:r w:rsidRPr="00177418">
        <w:rPr>
          <w:b/>
        </w:rPr>
        <w:t>PDS Scenario</w:t>
      </w:r>
      <w:r w:rsidRPr="00177418">
        <w:t xml:space="preserve"> occurs. This assumes a discrete avoided pulse model based on the Bern Carbon Cycle model.</w:t>
      </w:r>
    </w:p>
    <w:p w14:paraId="59150663" w14:textId="77777777" w:rsidR="006745FF" w:rsidRPr="00177418" w:rsidRDefault="006745FF" w:rsidP="00E07370">
      <w:r w:rsidRPr="00177418">
        <w:rPr>
          <w:b/>
        </w:rPr>
        <w:t>Average Abatement Cost</w:t>
      </w:r>
      <w:r w:rsidRPr="00177418">
        <w:t xml:space="preserve"> – the ratio of the present value of the solution (</w:t>
      </w:r>
      <w:r w:rsidRPr="00177418">
        <w:rPr>
          <w:b/>
        </w:rPr>
        <w:t>Net</w:t>
      </w:r>
      <w:r w:rsidRPr="00177418">
        <w:t xml:space="preserve"> </w:t>
      </w:r>
      <w:r w:rsidRPr="00177418">
        <w:rPr>
          <w:b/>
        </w:rPr>
        <w:t xml:space="preserve">Operating Savings </w:t>
      </w:r>
      <w:r w:rsidRPr="00177418">
        <w:t>minus</w:t>
      </w:r>
      <w:r w:rsidRPr="00177418">
        <w:rPr>
          <w:b/>
        </w:rPr>
        <w:t xml:space="preserve"> Marginal First Costs</w:t>
      </w:r>
      <w:r w:rsidRPr="00177418">
        <w:t xml:space="preserve">) and the </w:t>
      </w:r>
      <w:r w:rsidRPr="00177418">
        <w:rPr>
          <w:b/>
        </w:rPr>
        <w:t>Total Emissions Reduction</w:t>
      </w:r>
      <w:r w:rsidRPr="00177418">
        <w:t xml:space="preserve">. This is a single value for each solution for each </w:t>
      </w:r>
      <w:r w:rsidRPr="00177418">
        <w:rPr>
          <w:b/>
        </w:rPr>
        <w:t>PDS Scenario</w:t>
      </w:r>
      <w:r w:rsidRPr="00177418">
        <w:t>, and is used to build the characteristic “</w:t>
      </w:r>
      <w:r w:rsidRPr="00177418">
        <w:rPr>
          <w:i/>
        </w:rPr>
        <w:t>Marginal Abatement Cost</w:t>
      </w:r>
      <w:r w:rsidRPr="00177418">
        <w:t>” curves when Average Abatement Cost values for each solution are ordered and graphed.</w:t>
      </w:r>
    </w:p>
    <w:p w14:paraId="16A2F2DD" w14:textId="2F952F2D" w:rsidR="006745FF" w:rsidRPr="00177418" w:rsidRDefault="006745FF" w:rsidP="00E07370">
      <w:r w:rsidRPr="00177418">
        <w:rPr>
          <w:b/>
        </w:rPr>
        <w:t>Average Annual Use</w:t>
      </w:r>
      <w:r w:rsidRPr="00177418">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t>
      </w:r>
      <w:r w:rsidR="00354694">
        <w:t>G</w:t>
      </w:r>
      <w:r w:rsidRPr="00177418">
        <w:t xml:space="preserve">lobal weighted averages </w:t>
      </w:r>
      <w:r w:rsidR="00354694">
        <w:t xml:space="preserve">are taken </w:t>
      </w:r>
      <w:r w:rsidRPr="00177418">
        <w:t xml:space="preserve">for this input. This is used to estimate the </w:t>
      </w:r>
      <w:r w:rsidRPr="00177418">
        <w:rPr>
          <w:b/>
        </w:rPr>
        <w:t>Replacement Time</w:t>
      </w:r>
      <w:r w:rsidRPr="00177418">
        <w:t>.</w:t>
      </w:r>
    </w:p>
    <w:p w14:paraId="044BB52C" w14:textId="77777777" w:rsidR="006745FF" w:rsidRPr="00177418" w:rsidRDefault="006745FF" w:rsidP="00E07370">
      <w:r w:rsidRPr="00177418">
        <w:rPr>
          <w:b/>
        </w:rPr>
        <w:t>Cumulative First Cost</w:t>
      </w:r>
      <w:r w:rsidRPr="00177418">
        <w:t xml:space="preserve"> – the total </w:t>
      </w:r>
      <w:r w:rsidRPr="00177418">
        <w:rPr>
          <w:b/>
        </w:rPr>
        <w:t>First Cost</w:t>
      </w:r>
      <w:r w:rsidRPr="00177418">
        <w:t xml:space="preserve"> of solution </w:t>
      </w:r>
      <w:r w:rsidRPr="00177418">
        <w:rPr>
          <w:b/>
        </w:rPr>
        <w:t>Implementation Units</w:t>
      </w:r>
      <w:r w:rsidRPr="00177418">
        <w:t xml:space="preserve"> purchased in the </w:t>
      </w:r>
      <w:r w:rsidRPr="00177418">
        <w:rPr>
          <w:b/>
        </w:rPr>
        <w:t>PDS Scenario</w:t>
      </w:r>
      <w:r w:rsidRPr="00177418">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177418" w:rsidRDefault="006745FF" w:rsidP="00E07370">
      <w:r w:rsidRPr="00177418">
        <w:rPr>
          <w:b/>
        </w:rPr>
        <w:t>Direct Emissions</w:t>
      </w:r>
      <w:r w:rsidRPr="00177418">
        <w:t xml:space="preserve"> – emissions caused by the operation of the solution, which are typically caused over the lifetime of the solution. They should be entered into the model normalized per functional unit.</w:t>
      </w:r>
    </w:p>
    <w:p w14:paraId="1C32899A" w14:textId="77777777" w:rsidR="006745FF" w:rsidRPr="00177418" w:rsidRDefault="006745FF" w:rsidP="00E07370">
      <w:r w:rsidRPr="00177418">
        <w:rPr>
          <w:b/>
        </w:rPr>
        <w:t>Discount Rate</w:t>
      </w:r>
      <w:r w:rsidRPr="00177418">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w:t>
      </w:r>
      <w:r w:rsidRPr="00177418">
        <w:lastRenderedPageBreak/>
        <w:t xml:space="preserve">higher the discount rate.   Most importantly, the greater the discount rate, the more the future savings are devalued (which impacts the financial but not the climate impacts of the solution).  </w:t>
      </w:r>
    </w:p>
    <w:p w14:paraId="59D5AC90" w14:textId="77777777" w:rsidR="006745FF" w:rsidRPr="00177418" w:rsidRDefault="006745FF" w:rsidP="00E07370">
      <w:r w:rsidRPr="00177418">
        <w:rPr>
          <w:b/>
        </w:rPr>
        <w:t>Emissions</w:t>
      </w:r>
      <w:r w:rsidRPr="00177418">
        <w:t xml:space="preserve"> </w:t>
      </w:r>
      <w:r w:rsidRPr="00177418">
        <w:rPr>
          <w:b/>
        </w:rPr>
        <w:t>Factor</w:t>
      </w:r>
      <w:r w:rsidRPr="00177418">
        <w:t>– the average normalized emissions resulting from consumption of a unit of electricity across the global grid. Typical units are kg CO</w:t>
      </w:r>
      <w:r w:rsidRPr="00177418">
        <w:rPr>
          <w:vertAlign w:val="subscript"/>
        </w:rPr>
        <w:t>2</w:t>
      </w:r>
      <w:r w:rsidRPr="00177418">
        <w:t>e/kWh.</w:t>
      </w:r>
    </w:p>
    <w:p w14:paraId="754A056C" w14:textId="77777777" w:rsidR="006745FF" w:rsidRPr="00177418" w:rsidRDefault="006745FF" w:rsidP="00E07370">
      <w:r w:rsidRPr="00177418">
        <w:rPr>
          <w:b/>
        </w:rPr>
        <w:t>First Cost</w:t>
      </w:r>
      <w:r w:rsidRPr="00177418">
        <w:t xml:space="preserve">- the investment cost per </w:t>
      </w:r>
      <w:r w:rsidRPr="00177418">
        <w:rPr>
          <w:b/>
        </w:rPr>
        <w:t>Implementation Unit</w:t>
      </w:r>
      <w:r w:rsidRPr="00177418">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0DFD4631" w:rsidR="006745FF" w:rsidRPr="00177418" w:rsidRDefault="006745FF" w:rsidP="00E07370">
      <w:r w:rsidRPr="00177418">
        <w:rPr>
          <w:b/>
        </w:rPr>
        <w:t>Functional Unit</w:t>
      </w:r>
      <w:r w:rsidRPr="00177418">
        <w:t xml:space="preserve"> – a measurement unit that represents the value, provided to the world, of the function that the solution performs. This depends on the solution. Therefore, LED Lighting provides petalumen-hours of light, Biomass provides tera-watt-hours of electricity and </w:t>
      </w:r>
      <w:r w:rsidR="00563B93" w:rsidRPr="00177418">
        <w:t>high-speed</w:t>
      </w:r>
      <w:r w:rsidRPr="00177418">
        <w:t xml:space="preserve"> rail provides billions of passenger-km of mobility.</w:t>
      </w:r>
    </w:p>
    <w:p w14:paraId="40F3C0D9" w14:textId="77777777" w:rsidR="006745FF" w:rsidRPr="00177418" w:rsidRDefault="006745FF" w:rsidP="00E07370">
      <w:r w:rsidRPr="00177418">
        <w:rPr>
          <w:b/>
        </w:rPr>
        <w:t>Grid Emissions</w:t>
      </w:r>
      <w:r w:rsidRPr="00177418">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177418" w:rsidRDefault="006745FF" w:rsidP="00E07370">
      <w:r w:rsidRPr="00177418">
        <w:rPr>
          <w:b/>
        </w:rPr>
        <w:t>Implementation Unit</w:t>
      </w:r>
      <w:r w:rsidRPr="00177418">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60A01780" w:rsidR="006745FF" w:rsidRDefault="006745FF" w:rsidP="00E07370">
      <w:r w:rsidRPr="00177418">
        <w:rPr>
          <w:b/>
        </w:rPr>
        <w:t>Indirect Emissions</w:t>
      </w:r>
      <w:r w:rsidRPr="00177418">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78B264AF" w14:textId="0B3A33E0" w:rsidR="00B65ED3" w:rsidRPr="00177418" w:rsidRDefault="00B65ED3" w:rsidP="00E07370">
      <w:r w:rsidRPr="00E70A0C">
        <w:rPr>
          <w:b/>
        </w:rPr>
        <w:t xml:space="preserve">Insolation </w:t>
      </w:r>
      <w:r>
        <w:t>– This is a measure of the exposure to the sun’s rays, not to be confused with ins</w:t>
      </w:r>
      <w:r w:rsidRPr="00F7521A">
        <w:rPr>
          <w:b/>
          <w:i/>
          <w:u w:val="single"/>
        </w:rPr>
        <w:t>u</w:t>
      </w:r>
      <w:r>
        <w:t>lation</w:t>
      </w:r>
    </w:p>
    <w:p w14:paraId="40402176" w14:textId="22ED25F0" w:rsidR="006745FF" w:rsidRPr="00177418" w:rsidRDefault="006745FF" w:rsidP="00E07370">
      <w:r w:rsidRPr="00177418">
        <w:rPr>
          <w:b/>
        </w:rPr>
        <w:t>Learning Rate/Learning Curve</w:t>
      </w:r>
      <w:r w:rsidRPr="00177418">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 is acquired, costs decline, efficiency and quality improve, and waste is reduced. The model has a tool for calculating how costs change due to learning. </w:t>
      </w:r>
      <w:r w:rsidRPr="00177418">
        <w:lastRenderedPageBreak/>
        <w:t xml:space="preserve">A 2% learning rate means that the cost of producing a </w:t>
      </w:r>
      <w:r w:rsidR="00E70A0C" w:rsidRPr="00177418">
        <w:rPr>
          <w:i/>
        </w:rPr>
        <w:t>good</w:t>
      </w:r>
      <w:r w:rsidR="00E70A0C" w:rsidRPr="00177418">
        <w:t xml:space="preserve"> drop</w:t>
      </w:r>
      <w:r w:rsidRPr="00177418">
        <w:t xml:space="preserve"> by 2% every time total production doubles.</w:t>
      </w:r>
      <w:r w:rsidR="00C73AF7">
        <w:t xml:space="preserve"> Note that this assumes that the figure is in the form as an “Efficiency Rate” which is typically close to 0. Many sources express the Learning Rate as a number close to 100%. </w:t>
      </w:r>
      <w:r w:rsidR="00E70A0C">
        <w:t>So,</w:t>
      </w:r>
      <w:r w:rsidR="00C73AF7">
        <w:t xml:space="preserve"> it’s more likely that the Learning Rate is 98% and the Efficiency Rate us 2%. The model accepts input </w:t>
      </w:r>
      <w:r w:rsidR="001D5B6A">
        <w:t>of Efficiency Rates.</w:t>
      </w:r>
    </w:p>
    <w:p w14:paraId="77507D03" w14:textId="77777777" w:rsidR="006745FF" w:rsidRPr="00177418" w:rsidRDefault="006745FF" w:rsidP="00E07370">
      <w:r w:rsidRPr="00177418">
        <w:rPr>
          <w:b/>
        </w:rPr>
        <w:t>Lifetime Capacity</w:t>
      </w:r>
      <w:r w:rsidRPr="00177418">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177418">
        <w:rPr>
          <w:b/>
        </w:rPr>
        <w:t>Replacement Time</w:t>
      </w:r>
      <w:r w:rsidRPr="00177418">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177418" w:rsidRDefault="006745FF" w:rsidP="00E07370">
      <w:r w:rsidRPr="00177418">
        <w:rPr>
          <w:b/>
        </w:rPr>
        <w:t>Lifetime Operating Savings</w:t>
      </w:r>
      <w:r w:rsidRPr="00177418">
        <w:t>–the operating cost in the PDS versus the REF scenarios over the lifetime of the implementation units purchased during the model period regardless of when their useful life ends.</w:t>
      </w:r>
    </w:p>
    <w:p w14:paraId="49E72DD2" w14:textId="77777777" w:rsidR="006745FF" w:rsidRPr="00177418" w:rsidRDefault="006745FF" w:rsidP="00E07370">
      <w:r w:rsidRPr="00177418">
        <w:rPr>
          <w:b/>
        </w:rPr>
        <w:t>Lifetime Cashflow NPV</w:t>
      </w:r>
      <w:r w:rsidRPr="00177418">
        <w:t xml:space="preserve">-the present value (PV) of the net cash flows (PDS versus REF) in each year of the model period (2015-2060). The net cash flows include net operating costs and first costs. There are two results in the model: Lifetime Cashflow NPV for a Single </w:t>
      </w:r>
      <w:r w:rsidRPr="00177418">
        <w:rPr>
          <w:b/>
        </w:rPr>
        <w:t>Implementation Unit</w:t>
      </w:r>
      <w:r w:rsidRPr="00177418">
        <w:t xml:space="preserve">, which refers to the installation of one </w:t>
      </w:r>
      <w:r w:rsidRPr="00177418">
        <w:rPr>
          <w:b/>
        </w:rPr>
        <w:t>Implementation Unit</w:t>
      </w:r>
      <w:r w:rsidRPr="00177418">
        <w:t xml:space="preserve">, and Lifetime Cashflow NPV of All Units, which refers to all </w:t>
      </w:r>
      <w:r w:rsidRPr="00177418">
        <w:rPr>
          <w:b/>
        </w:rPr>
        <w:t>Implementation Units</w:t>
      </w:r>
      <w:r w:rsidRPr="00177418">
        <w:t xml:space="preserve"> installed in a particular scenario. These calculations are also available using profit inputs instead of operating costs.</w:t>
      </w:r>
    </w:p>
    <w:p w14:paraId="44D5A85B" w14:textId="77777777" w:rsidR="006745FF" w:rsidRPr="00177418" w:rsidRDefault="006745FF" w:rsidP="00E07370">
      <w:r w:rsidRPr="00177418">
        <w:rPr>
          <w:b/>
        </w:rPr>
        <w:t>Marginal First Cost</w:t>
      </w:r>
      <w:r w:rsidRPr="00177418">
        <w:t xml:space="preserve"> – the difference between the </w:t>
      </w:r>
      <w:r w:rsidRPr="00177418">
        <w:rPr>
          <w:b/>
        </w:rPr>
        <w:t>First Cost</w:t>
      </w:r>
      <w:r w:rsidRPr="00177418">
        <w:t xml:space="preserve"> of all units (solution and conventional) installed in the </w:t>
      </w:r>
      <w:r w:rsidRPr="00177418">
        <w:rPr>
          <w:b/>
        </w:rPr>
        <w:t>PDS Scenario</w:t>
      </w:r>
      <w:r w:rsidRPr="00177418">
        <w:t xml:space="preserve"> and the </w:t>
      </w:r>
      <w:r w:rsidRPr="00177418">
        <w:rPr>
          <w:b/>
        </w:rPr>
        <w:t>First Cost</w:t>
      </w:r>
      <w:r w:rsidRPr="00177418">
        <w:t xml:space="preserve"> of all units installed in the </w:t>
      </w:r>
      <w:r w:rsidRPr="00177418">
        <w:rPr>
          <w:b/>
        </w:rPr>
        <w:t>REF Scenario</w:t>
      </w:r>
      <w:r w:rsidRPr="00177418">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177418" w:rsidRDefault="006745FF" w:rsidP="00E07370">
      <w:r w:rsidRPr="00177418">
        <w:rPr>
          <w:b/>
        </w:rPr>
        <w:t>Net Annual Functional Units (NAFU)</w:t>
      </w:r>
      <w:r w:rsidRPr="00177418">
        <w:t xml:space="preserve"> – the adoption in the PDS minus the adoption in the REF in each year of analysis. In the model, this represents the additional annual functional demand captured either by the solution in the </w:t>
      </w:r>
      <w:r w:rsidRPr="00177418">
        <w:rPr>
          <w:b/>
        </w:rPr>
        <w:t>PDS Scenario</w:t>
      </w:r>
      <w:r w:rsidRPr="00177418">
        <w:t xml:space="preserve"> or the conventional in the </w:t>
      </w:r>
      <w:r w:rsidRPr="00177418">
        <w:rPr>
          <w:b/>
        </w:rPr>
        <w:t>REF Scenario</w:t>
      </w:r>
      <w:r w:rsidRPr="00177418">
        <w:t>.</w:t>
      </w:r>
    </w:p>
    <w:p w14:paraId="0360F8D5" w14:textId="77777777" w:rsidR="006745FF" w:rsidRPr="00177418" w:rsidRDefault="006745FF" w:rsidP="00E07370">
      <w:r w:rsidRPr="00177418">
        <w:rPr>
          <w:b/>
        </w:rPr>
        <w:t>Net Annual Implementation Units (NAIU)</w:t>
      </w:r>
      <w:r w:rsidRPr="00177418">
        <w:t xml:space="preserve"> – the number of </w:t>
      </w:r>
      <w:r w:rsidRPr="00177418">
        <w:rPr>
          <w:b/>
        </w:rPr>
        <w:t>Implementation Units</w:t>
      </w:r>
      <w:r w:rsidRPr="00177418">
        <w:t xml:space="preserve"> of the solution that are needed in the PDS to supply the </w:t>
      </w:r>
      <w:r w:rsidRPr="00177418">
        <w:rPr>
          <w:b/>
        </w:rPr>
        <w:t>Net Annual Functional Units (NAFU).</w:t>
      </w:r>
      <w:r w:rsidRPr="00177418">
        <w:t xml:space="preserve"> This equals the adoption in the PDS minus the adoption in the REF in each year of analysis divided by the average annual use.</w:t>
      </w:r>
    </w:p>
    <w:p w14:paraId="3A36C3BE" w14:textId="77777777" w:rsidR="006745FF" w:rsidRPr="00177418" w:rsidRDefault="006745FF" w:rsidP="00E07370">
      <w:r w:rsidRPr="00177418">
        <w:rPr>
          <w:b/>
        </w:rPr>
        <w:lastRenderedPageBreak/>
        <w:t>Net Operating Savings</w:t>
      </w:r>
      <w:r w:rsidRPr="00177418">
        <w:t xml:space="preserve"> – The undiscounted difference between the operating cost of all units (solution and conventional) in the </w:t>
      </w:r>
      <w:r w:rsidRPr="00177418">
        <w:rPr>
          <w:b/>
        </w:rPr>
        <w:t>PDS Scenario</w:t>
      </w:r>
      <w:r w:rsidRPr="00177418">
        <w:t xml:space="preserve"> minus that of all units in the </w:t>
      </w:r>
      <w:r w:rsidRPr="00177418">
        <w:rPr>
          <w:b/>
        </w:rPr>
        <w:t>REF Scenario</w:t>
      </w:r>
      <w:r w:rsidRPr="00177418">
        <w:t>.</w:t>
      </w:r>
    </w:p>
    <w:p w14:paraId="62002AFC" w14:textId="77777777" w:rsidR="006745FF" w:rsidRPr="00177418" w:rsidRDefault="006745FF" w:rsidP="00E07370">
      <w:r w:rsidRPr="00177418">
        <w:rPr>
          <w:b/>
        </w:rPr>
        <w:t xml:space="preserve">Operating Costs </w:t>
      </w:r>
      <w:r w:rsidRPr="00177418">
        <w:t>– the average cost to ensure operation of an activity (conventional or solution) which is measured in 2014$US/</w:t>
      </w:r>
      <w:r w:rsidRPr="00177418">
        <w:rPr>
          <w:b/>
        </w:rPr>
        <w:t>Functional Unit</w:t>
      </w:r>
      <w:r w:rsidRPr="00177418">
        <w:t xml:space="preserve">.  This is needed to estimate how much it would cost to achieve the adoption projected when compared to the </w:t>
      </w:r>
      <w:r w:rsidRPr="00177418">
        <w:rPr>
          <w:b/>
        </w:rPr>
        <w:t>REF Case</w:t>
      </w:r>
      <w:r w:rsidRPr="00177418">
        <w:t xml:space="preserve">. Note that this excludes </w:t>
      </w:r>
      <w:r w:rsidRPr="00177418">
        <w:rPr>
          <w:b/>
        </w:rPr>
        <w:t>First Costs</w:t>
      </w:r>
      <w:r w:rsidRPr="00177418">
        <w:t xml:space="preserve"> for implementing the solution.</w:t>
      </w:r>
    </w:p>
    <w:p w14:paraId="3B7DF305" w14:textId="77777777" w:rsidR="006745FF" w:rsidRPr="00177418" w:rsidRDefault="006745FF" w:rsidP="00E07370">
      <w:r w:rsidRPr="00177418">
        <w:rPr>
          <w:b/>
        </w:rPr>
        <w:t>Payback Period</w:t>
      </w:r>
      <w:r w:rsidRPr="00177418">
        <w:t xml:space="preserve"> – the number of years required to pay all the </w:t>
      </w:r>
      <w:r w:rsidRPr="00177418">
        <w:rPr>
          <w:b/>
        </w:rPr>
        <w:t>First Costs</w:t>
      </w:r>
      <w:r w:rsidRPr="00177418">
        <w:t xml:space="preserve"> of the solution using </w:t>
      </w:r>
      <w:r w:rsidRPr="00177418">
        <w:rPr>
          <w:b/>
        </w:rPr>
        <w:t>Net Operating Savings</w:t>
      </w:r>
      <w:r w:rsidRPr="00177418">
        <w:t xml:space="preserve">. There are four specific metrics each with one of </w:t>
      </w:r>
      <w:r w:rsidRPr="00177418">
        <w:rPr>
          <w:b/>
        </w:rPr>
        <w:t>Marginal First Costs</w:t>
      </w:r>
      <w:r w:rsidRPr="00177418">
        <w:t xml:space="preserve"> or </w:t>
      </w:r>
      <w:r w:rsidRPr="00177418">
        <w:rPr>
          <w:b/>
        </w:rPr>
        <w:t>First Costs</w:t>
      </w:r>
      <w:r w:rsidRPr="00177418">
        <w:t xml:space="preserve"> of the solution only combined with either discounted or non-discounted values. All four are in the model. Additionally, the four outputs are calculated using the increased profit estimation instead of </w:t>
      </w:r>
      <w:r w:rsidRPr="00177418">
        <w:rPr>
          <w:b/>
        </w:rPr>
        <w:t>Net Operating Savings</w:t>
      </w:r>
      <w:r w:rsidRPr="00177418">
        <w:t>.</w:t>
      </w:r>
    </w:p>
    <w:p w14:paraId="69E0C8C0" w14:textId="77777777" w:rsidR="006745FF" w:rsidRPr="00177418" w:rsidRDefault="006745FF" w:rsidP="00E07370">
      <w:r w:rsidRPr="00177418">
        <w:rPr>
          <w:b/>
        </w:rPr>
        <w:t>PDS/ Project Drawdown Scenario</w:t>
      </w:r>
      <w:r w:rsidRPr="00177418">
        <w:t xml:space="preserve"> – this is the high growth scenario for adoption of the solution</w:t>
      </w:r>
    </w:p>
    <w:p w14:paraId="6F8267F5" w14:textId="77777777" w:rsidR="006745FF" w:rsidRPr="00177418" w:rsidRDefault="006745FF" w:rsidP="00E07370">
      <w:r w:rsidRPr="00177418">
        <w:rPr>
          <w:b/>
        </w:rPr>
        <w:t>PPB/ Parts per Billion</w:t>
      </w:r>
      <w:r w:rsidRPr="00177418">
        <w:t xml:space="preserve"> – a measure of concentration for atmospheric gases. 10 million PPB = 1%.</w:t>
      </w:r>
    </w:p>
    <w:p w14:paraId="78DB05A8" w14:textId="77777777" w:rsidR="006745FF" w:rsidRPr="00177418" w:rsidRDefault="006745FF" w:rsidP="00E07370">
      <w:r w:rsidRPr="00177418">
        <w:rPr>
          <w:b/>
        </w:rPr>
        <w:t>PPM/ Parts per Million</w:t>
      </w:r>
      <w:r w:rsidRPr="00177418">
        <w:t xml:space="preserve"> – a measure of concentration for atmospheric gases. 10 thousand PPM = 1%.</w:t>
      </w:r>
    </w:p>
    <w:p w14:paraId="0574EE5A" w14:textId="77777777" w:rsidR="006745FF" w:rsidRPr="00177418" w:rsidRDefault="006745FF" w:rsidP="00E07370">
      <w:r w:rsidRPr="00177418">
        <w:rPr>
          <w:b/>
        </w:rPr>
        <w:t>REF/ Reference Scenario</w:t>
      </w:r>
      <w:r w:rsidRPr="00177418">
        <w:t xml:space="preserve"> – this is the low growth scenario for adoption of the solution against which all </w:t>
      </w:r>
      <w:r w:rsidRPr="00177418">
        <w:rPr>
          <w:b/>
        </w:rPr>
        <w:t>PDS scenarios</w:t>
      </w:r>
      <w:r w:rsidRPr="00177418">
        <w:t xml:space="preserve"> are compared.</w:t>
      </w:r>
    </w:p>
    <w:p w14:paraId="333AF401" w14:textId="7C332B53" w:rsidR="001759D2" w:rsidRPr="00177418" w:rsidRDefault="001759D2" w:rsidP="00E07370">
      <w:r w:rsidRPr="00177418">
        <w:rPr>
          <w:b/>
        </w:rPr>
        <w:t>Regrets solution</w:t>
      </w:r>
      <w:r w:rsidRPr="00177418">
        <w:t xml:space="preserve"> has a positive impact on overall carbon emissions being therefore considered in some scenarios; however, the social and environmental costs could be harmful and high. </w:t>
      </w:r>
    </w:p>
    <w:p w14:paraId="71E8B0F5" w14:textId="77777777" w:rsidR="006745FF" w:rsidRPr="00177418" w:rsidRDefault="006745FF" w:rsidP="00E07370">
      <w:r w:rsidRPr="00177418">
        <w:rPr>
          <w:b/>
        </w:rPr>
        <w:t>Replacement Time</w:t>
      </w:r>
      <w:r w:rsidRPr="00177418">
        <w:t xml:space="preserve">- the length of time in years, from installation/acquisition/setup of the solution through usage until a new installation/acquisition/setup is required to replace the earlier one.  This is calculated as the ratio of </w:t>
      </w:r>
      <w:r w:rsidRPr="00177418">
        <w:rPr>
          <w:b/>
        </w:rPr>
        <w:t>Lifetime Capacity</w:t>
      </w:r>
      <w:r w:rsidRPr="00177418">
        <w:t xml:space="preserve"> and the </w:t>
      </w:r>
      <w:r w:rsidRPr="00177418">
        <w:rPr>
          <w:b/>
        </w:rPr>
        <w:t>Average Annual Use</w:t>
      </w:r>
      <w:r w:rsidRPr="00177418">
        <w:t>.</w:t>
      </w:r>
    </w:p>
    <w:p w14:paraId="013DD235" w14:textId="73B21C57" w:rsidR="00D25FC7" w:rsidRPr="00177418" w:rsidRDefault="001759D2" w:rsidP="00E07370">
      <w:r w:rsidRPr="00177418">
        <w:rPr>
          <w:b/>
        </w:rPr>
        <w:t xml:space="preserve">TAM/ Total Addressable Market </w:t>
      </w:r>
      <w:r w:rsidRPr="00177418">
        <w:t>–</w:t>
      </w:r>
      <w:r w:rsidR="00D25FC7" w:rsidRPr="00177418">
        <w:t xml:space="preserve"> represents the total potential market of functional demand provided by the technologies and practices under investigation, adjusting for estimated economic and population growth. For this solutions sector, it represents </w:t>
      </w:r>
      <w:r w:rsidRPr="00177418">
        <w:t>world and regional total addressable markets for electricity generation technologies in which the solutions are considered.</w:t>
      </w:r>
    </w:p>
    <w:p w14:paraId="06D9A50A" w14:textId="7CBFC779" w:rsidR="006745FF" w:rsidRPr="00177418" w:rsidRDefault="006745FF" w:rsidP="00E07370">
      <w:r w:rsidRPr="00177418">
        <w:rPr>
          <w:b/>
        </w:rPr>
        <w:t>Total Emissions Reduction</w:t>
      </w:r>
      <w:r w:rsidRPr="00177418">
        <w:t xml:space="preserve"> – the sum of grid, fuel, indirect, and other direct emissions reductions over the analysis period. The emissions reduction of each of these is the difference between the emissions that would have resulted in the </w:t>
      </w:r>
      <w:r w:rsidRPr="00177418">
        <w:rPr>
          <w:b/>
        </w:rPr>
        <w:t>REF Scenario</w:t>
      </w:r>
      <w:r w:rsidRPr="00177418">
        <w:t xml:space="preserve"> (from both solution and conventional) and the emissions that would result in the </w:t>
      </w:r>
      <w:r w:rsidRPr="00177418">
        <w:rPr>
          <w:b/>
        </w:rPr>
        <w:t>PDS Scenario</w:t>
      </w:r>
      <w:r w:rsidRPr="00177418">
        <w:t>. These may also be considered as “emissions avoided” as they may have occurred in the REF Scenario, but not in the PDS Scenario.</w:t>
      </w:r>
    </w:p>
    <w:p w14:paraId="512C529B" w14:textId="7D1A7CD0" w:rsidR="001759D2" w:rsidRPr="00177418" w:rsidRDefault="001759D2" w:rsidP="00E07370">
      <w:pPr>
        <w:rPr>
          <w:highlight w:val="green"/>
        </w:rPr>
      </w:pPr>
      <w:r w:rsidRPr="00177418">
        <w:rPr>
          <w:b/>
        </w:rPr>
        <w:lastRenderedPageBreak/>
        <w:t>Transition solutions</w:t>
      </w:r>
      <w:r w:rsidRPr="00177418">
        <w:t xml:space="preserve"> are considered till better technologies and less impactful are more cost effective and mature. </w:t>
      </w:r>
    </w:p>
    <w:p w14:paraId="29FC10C8" w14:textId="509EB5D2" w:rsidR="00473BC1" w:rsidRPr="00177418" w:rsidRDefault="006745FF" w:rsidP="00E07370">
      <w:r w:rsidRPr="00177418">
        <w:rPr>
          <w:b/>
        </w:rPr>
        <w:t>TWh/ Terawatt-hour</w:t>
      </w:r>
      <w:r w:rsidRPr="00177418">
        <w:t xml:space="preserve"> – A unit of energy equal to 1 billion kilowatt-hours</w:t>
      </w:r>
      <w:r w:rsidR="00473BC1" w:rsidRPr="00177418">
        <w:t xml:space="preserve"> </w:t>
      </w:r>
    </w:p>
    <w:p w14:paraId="461C8ECA" w14:textId="77777777" w:rsidR="00473BC1" w:rsidRPr="00177418" w:rsidRDefault="00473BC1" w:rsidP="00E07370">
      <w:r w:rsidRPr="00177418">
        <w:rPr>
          <w:b/>
        </w:rPr>
        <w:t xml:space="preserve">TWh (Therm)/ TWh (th) </w:t>
      </w:r>
      <w:r w:rsidRPr="00177418">
        <w:t>– 1 TWh of thermal (heating) energy</w:t>
      </w:r>
    </w:p>
    <w:bookmarkEnd w:id="1"/>
    <w:p w14:paraId="57B3845F" w14:textId="34BA5614" w:rsidR="006745FF" w:rsidRPr="00177418" w:rsidRDefault="006745FF" w:rsidP="00E07370"/>
    <w:sectPr w:rsidR="006745FF" w:rsidRPr="001774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B0502" w14:textId="77777777" w:rsidR="00B30AB9" w:rsidRDefault="00B30AB9" w:rsidP="00E07370">
      <w:r>
        <w:separator/>
      </w:r>
    </w:p>
  </w:endnote>
  <w:endnote w:type="continuationSeparator" w:id="0">
    <w:p w14:paraId="364372FD" w14:textId="77777777" w:rsidR="00B30AB9" w:rsidRDefault="00B30AB9" w:rsidP="00E0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8052C3" w:rsidRDefault="008052C3" w:rsidP="00E0737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8052C3" w:rsidRDefault="008052C3" w:rsidP="00E07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E7D4" w14:textId="087E5F1B" w:rsidR="008052C3" w:rsidRPr="00F26176" w:rsidRDefault="008052C3" w:rsidP="00F8571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2FA50" w14:textId="77777777" w:rsidR="008052C3" w:rsidRDefault="008052C3" w:rsidP="007E57A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2E1495FF" w14:textId="1A973D9A" w:rsidR="008052C3" w:rsidRPr="00F26176" w:rsidRDefault="008052C3" w:rsidP="00E07370">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473EA" w14:textId="77777777" w:rsidR="00B30AB9" w:rsidRDefault="00B30AB9" w:rsidP="00E07370">
      <w:r>
        <w:separator/>
      </w:r>
    </w:p>
  </w:footnote>
  <w:footnote w:type="continuationSeparator" w:id="0">
    <w:p w14:paraId="08E2DFAF" w14:textId="77777777" w:rsidR="00B30AB9" w:rsidRDefault="00B30AB9" w:rsidP="00E07370">
      <w:r>
        <w:continuationSeparator/>
      </w:r>
    </w:p>
  </w:footnote>
  <w:footnote w:id="1">
    <w:p w14:paraId="181B79F6" w14:textId="5A00FE9C" w:rsidR="008052C3" w:rsidRPr="00CC0AAE" w:rsidRDefault="008052C3" w:rsidP="00E07370">
      <w:pPr>
        <w:pStyle w:val="FootnoteText"/>
      </w:pPr>
      <w:r w:rsidRPr="00ED2F02">
        <w:rPr>
          <w:rStyle w:val="FootnoteReference"/>
        </w:rPr>
        <w:footnoteRef/>
      </w:r>
      <w:r>
        <w:t xml:space="preserve"> Current adoption is defined as the amount of functional demand supplied by the solution in the base year of study. This study uses 2014 as the base year due to the availability of global adoption data for all Project Drawdown solutions evaluated. The ‘current’ adoption in the model is therefore for the year 2014.</w:t>
      </w:r>
    </w:p>
  </w:footnote>
  <w:footnote w:id="2">
    <w:p w14:paraId="57077845" w14:textId="77777777" w:rsidR="008052C3" w:rsidRDefault="008052C3" w:rsidP="00E07370">
      <w:pPr>
        <w:pStyle w:val="FootnoteText"/>
      </w:pPr>
      <w:r w:rsidRPr="00ED2F02">
        <w:rPr>
          <w:rStyle w:val="FootnoteReference"/>
        </w:rPr>
        <w:footnoteRef/>
      </w:r>
      <w:r>
        <w:t xml:space="preserve"> Insolation is a measure of the exposure to the sun’s rays, not to be confused with ins</w:t>
      </w:r>
      <w:r w:rsidRPr="00574FDB">
        <w:t>u</w:t>
      </w:r>
      <w:r>
        <w:t>lation</w:t>
      </w:r>
    </w:p>
  </w:footnote>
  <w:footnote w:id="3">
    <w:p w14:paraId="1586479D" w14:textId="77777777" w:rsidR="008052C3" w:rsidRDefault="008052C3" w:rsidP="00E07370">
      <w:pPr>
        <w:pStyle w:val="FootnoteText"/>
      </w:pPr>
      <w:r w:rsidRPr="00ED2F02">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4">
    <w:p w14:paraId="40A9ACFC" w14:textId="77777777" w:rsidR="008052C3" w:rsidRDefault="008052C3" w:rsidP="00ED448D">
      <w:pPr>
        <w:pStyle w:val="FootnoteText"/>
      </w:pPr>
      <w:r>
        <w:rPr>
          <w:rStyle w:val="FootnoteReference"/>
        </w:rPr>
        <w:footnoteRef/>
      </w:r>
      <w:r>
        <w:t xml:space="preserve"> This can be interpreted as a single building with multiple efficiency technologies.</w:t>
      </w:r>
    </w:p>
  </w:footnote>
  <w:footnote w:id="5">
    <w:p w14:paraId="485E14BD" w14:textId="77777777" w:rsidR="008052C3" w:rsidRDefault="008052C3" w:rsidP="00ED448D">
      <w:pPr>
        <w:pStyle w:val="FootnoteText"/>
      </w:pPr>
      <w:r>
        <w:rPr>
          <w:rStyle w:val="FootnoteReference"/>
        </w:rPr>
        <w:footnoteRef/>
      </w:r>
      <w:r>
        <w:t xml:space="preserve"> Some solutions such as Electric Vehicles and High-Speed Rail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B64B94"/>
    <w:multiLevelType w:val="multilevel"/>
    <w:tmpl w:val="481C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B7A89"/>
    <w:multiLevelType w:val="multilevel"/>
    <w:tmpl w:val="65A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7A6AAD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D661934"/>
    <w:multiLevelType w:val="hybridMultilevel"/>
    <w:tmpl w:val="5170C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F15DA"/>
    <w:multiLevelType w:val="hybridMultilevel"/>
    <w:tmpl w:val="041882CE"/>
    <w:lvl w:ilvl="0" w:tplc="FB14F4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8E440C"/>
    <w:multiLevelType w:val="hybridMultilevel"/>
    <w:tmpl w:val="474A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D1680"/>
    <w:multiLevelType w:val="multilevel"/>
    <w:tmpl w:val="D714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8633B"/>
    <w:multiLevelType w:val="hybridMultilevel"/>
    <w:tmpl w:val="2538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E2B3C"/>
    <w:multiLevelType w:val="hybridMultilevel"/>
    <w:tmpl w:val="F27071C4"/>
    <w:lvl w:ilvl="0" w:tplc="0D1A0520">
      <w:start w:val="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E4AB3"/>
    <w:multiLevelType w:val="multilevel"/>
    <w:tmpl w:val="8EAE208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E94073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1E40479"/>
    <w:multiLevelType w:val="hybridMultilevel"/>
    <w:tmpl w:val="CE567278"/>
    <w:lvl w:ilvl="0" w:tplc="CA384C26">
      <w:start w:val="1"/>
      <w:numFmt w:val="decimal"/>
      <w:lvlText w:val="Assumption %1:"/>
      <w:lvlJc w:val="left"/>
      <w:pPr>
        <w:ind w:left="360" w:hanging="360"/>
      </w:pPr>
      <w:rPr>
        <w:rFonts w:hint="default"/>
        <w:b/>
      </w:r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0F">
      <w:start w:val="1"/>
      <w:numFmt w:val="decimal"/>
      <w:lvlText w:val="%4."/>
      <w:lvlJc w:val="left"/>
      <w:pPr>
        <w:ind w:left="1620" w:hanging="360"/>
      </w:p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4" w15:restartNumberingAfterBreak="0">
    <w:nsid w:val="5F022B0C"/>
    <w:multiLevelType w:val="multilevel"/>
    <w:tmpl w:val="5AE6B0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3C440F"/>
    <w:multiLevelType w:val="hybridMultilevel"/>
    <w:tmpl w:val="05388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D0653"/>
    <w:multiLevelType w:val="hybridMultilevel"/>
    <w:tmpl w:val="8B8E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C7552"/>
    <w:multiLevelType w:val="hybridMultilevel"/>
    <w:tmpl w:val="5CC67E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65D2F"/>
    <w:multiLevelType w:val="hybridMultilevel"/>
    <w:tmpl w:val="5EAA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02D14"/>
    <w:multiLevelType w:val="hybridMultilevel"/>
    <w:tmpl w:val="39922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1"/>
  </w:num>
  <w:num w:numId="4">
    <w:abstractNumId w:val="12"/>
  </w:num>
  <w:num w:numId="5">
    <w:abstractNumId w:val="12"/>
    <w:lvlOverride w:ilvl="0">
      <w:startOverride w:val="2"/>
    </w:lvlOverride>
    <w:lvlOverride w:ilvl="1">
      <w:startOverride w:val="1"/>
    </w:lvlOverride>
  </w:num>
  <w:num w:numId="6">
    <w:abstractNumId w:val="16"/>
  </w:num>
  <w:num w:numId="7">
    <w:abstractNumId w:val="19"/>
  </w:num>
  <w:num w:numId="8">
    <w:abstractNumId w:val="5"/>
  </w:num>
  <w:num w:numId="9">
    <w:abstractNumId w:val="6"/>
  </w:num>
  <w:num w:numId="10">
    <w:abstractNumId w:val="7"/>
  </w:num>
  <w:num w:numId="11">
    <w:abstractNumId w:val="1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9"/>
  </w:num>
  <w:num w:numId="20">
    <w:abstractNumId w:val="17"/>
  </w:num>
  <w:num w:numId="21">
    <w:abstractNumId w:val="18"/>
  </w:num>
  <w:num w:numId="22">
    <w:abstractNumId w:val="10"/>
  </w:num>
  <w:num w:numId="23">
    <w:abstractNumId w:val="8"/>
  </w:num>
  <w:num w:numId="2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3E22"/>
    <w:rsid w:val="00004D84"/>
    <w:rsid w:val="00006CFA"/>
    <w:rsid w:val="00010843"/>
    <w:rsid w:val="00010E5E"/>
    <w:rsid w:val="0001239D"/>
    <w:rsid w:val="00013255"/>
    <w:rsid w:val="000136F6"/>
    <w:rsid w:val="00013FC9"/>
    <w:rsid w:val="00014786"/>
    <w:rsid w:val="00014CE5"/>
    <w:rsid w:val="000178CE"/>
    <w:rsid w:val="00024F11"/>
    <w:rsid w:val="000252A5"/>
    <w:rsid w:val="00027B88"/>
    <w:rsid w:val="000300A5"/>
    <w:rsid w:val="000302BE"/>
    <w:rsid w:val="000330C6"/>
    <w:rsid w:val="0003441C"/>
    <w:rsid w:val="000355C6"/>
    <w:rsid w:val="000437EE"/>
    <w:rsid w:val="000461AB"/>
    <w:rsid w:val="00046E72"/>
    <w:rsid w:val="00046E75"/>
    <w:rsid w:val="00047E1C"/>
    <w:rsid w:val="000509FD"/>
    <w:rsid w:val="00054158"/>
    <w:rsid w:val="00056ED1"/>
    <w:rsid w:val="00057050"/>
    <w:rsid w:val="000601D9"/>
    <w:rsid w:val="000652D3"/>
    <w:rsid w:val="000663BB"/>
    <w:rsid w:val="0006673B"/>
    <w:rsid w:val="000728C0"/>
    <w:rsid w:val="000730A3"/>
    <w:rsid w:val="00074B6E"/>
    <w:rsid w:val="00075F31"/>
    <w:rsid w:val="00077EE5"/>
    <w:rsid w:val="0008033B"/>
    <w:rsid w:val="00080D83"/>
    <w:rsid w:val="00081F00"/>
    <w:rsid w:val="00082555"/>
    <w:rsid w:val="000828F9"/>
    <w:rsid w:val="000829DC"/>
    <w:rsid w:val="000856B7"/>
    <w:rsid w:val="000875B5"/>
    <w:rsid w:val="00087D3B"/>
    <w:rsid w:val="0009184C"/>
    <w:rsid w:val="0009232E"/>
    <w:rsid w:val="00092646"/>
    <w:rsid w:val="0009271D"/>
    <w:rsid w:val="0009509B"/>
    <w:rsid w:val="0009541F"/>
    <w:rsid w:val="000963B7"/>
    <w:rsid w:val="000963DD"/>
    <w:rsid w:val="000971F9"/>
    <w:rsid w:val="00097C8C"/>
    <w:rsid w:val="000A1E41"/>
    <w:rsid w:val="000A2BED"/>
    <w:rsid w:val="000A3117"/>
    <w:rsid w:val="000A31EF"/>
    <w:rsid w:val="000A35E9"/>
    <w:rsid w:val="000A3770"/>
    <w:rsid w:val="000A3B1B"/>
    <w:rsid w:val="000A4984"/>
    <w:rsid w:val="000A4BEA"/>
    <w:rsid w:val="000A5669"/>
    <w:rsid w:val="000A6F40"/>
    <w:rsid w:val="000B1609"/>
    <w:rsid w:val="000B1918"/>
    <w:rsid w:val="000B26A9"/>
    <w:rsid w:val="000B2DCD"/>
    <w:rsid w:val="000B3324"/>
    <w:rsid w:val="000B3980"/>
    <w:rsid w:val="000B3EE3"/>
    <w:rsid w:val="000B669B"/>
    <w:rsid w:val="000C0CB1"/>
    <w:rsid w:val="000C10DF"/>
    <w:rsid w:val="000C1149"/>
    <w:rsid w:val="000C147A"/>
    <w:rsid w:val="000C1A49"/>
    <w:rsid w:val="000C1EB4"/>
    <w:rsid w:val="000C308F"/>
    <w:rsid w:val="000C3205"/>
    <w:rsid w:val="000C3F49"/>
    <w:rsid w:val="000C6AB4"/>
    <w:rsid w:val="000C71DB"/>
    <w:rsid w:val="000C7A55"/>
    <w:rsid w:val="000C7BA0"/>
    <w:rsid w:val="000D30DE"/>
    <w:rsid w:val="000D37E4"/>
    <w:rsid w:val="000D3855"/>
    <w:rsid w:val="000D5B1D"/>
    <w:rsid w:val="000D6AE9"/>
    <w:rsid w:val="000D79A4"/>
    <w:rsid w:val="000D7BC5"/>
    <w:rsid w:val="000E1B10"/>
    <w:rsid w:val="000E3091"/>
    <w:rsid w:val="000E3A57"/>
    <w:rsid w:val="000E4204"/>
    <w:rsid w:val="000E594F"/>
    <w:rsid w:val="000E61A0"/>
    <w:rsid w:val="000F131E"/>
    <w:rsid w:val="000F46EE"/>
    <w:rsid w:val="000F7B4C"/>
    <w:rsid w:val="001007DC"/>
    <w:rsid w:val="00101408"/>
    <w:rsid w:val="00102865"/>
    <w:rsid w:val="00103AB8"/>
    <w:rsid w:val="001041D5"/>
    <w:rsid w:val="0010505C"/>
    <w:rsid w:val="00105754"/>
    <w:rsid w:val="001073C8"/>
    <w:rsid w:val="0010740E"/>
    <w:rsid w:val="001117E7"/>
    <w:rsid w:val="00112006"/>
    <w:rsid w:val="0011209F"/>
    <w:rsid w:val="00112479"/>
    <w:rsid w:val="001135EA"/>
    <w:rsid w:val="001142D0"/>
    <w:rsid w:val="0011543A"/>
    <w:rsid w:val="00120C99"/>
    <w:rsid w:val="0012153D"/>
    <w:rsid w:val="0012184A"/>
    <w:rsid w:val="00122ECE"/>
    <w:rsid w:val="00123775"/>
    <w:rsid w:val="00123A28"/>
    <w:rsid w:val="00124262"/>
    <w:rsid w:val="00124A97"/>
    <w:rsid w:val="00124C49"/>
    <w:rsid w:val="00125B80"/>
    <w:rsid w:val="0012718B"/>
    <w:rsid w:val="00127E7D"/>
    <w:rsid w:val="00130C44"/>
    <w:rsid w:val="0013182C"/>
    <w:rsid w:val="00134208"/>
    <w:rsid w:val="00136093"/>
    <w:rsid w:val="0013639F"/>
    <w:rsid w:val="00137B82"/>
    <w:rsid w:val="00140953"/>
    <w:rsid w:val="00140F1E"/>
    <w:rsid w:val="00143F87"/>
    <w:rsid w:val="00144C62"/>
    <w:rsid w:val="00146AB4"/>
    <w:rsid w:val="00147CC5"/>
    <w:rsid w:val="0015022D"/>
    <w:rsid w:val="00152E5D"/>
    <w:rsid w:val="0015695E"/>
    <w:rsid w:val="001648AB"/>
    <w:rsid w:val="001649E9"/>
    <w:rsid w:val="001673ED"/>
    <w:rsid w:val="001678A0"/>
    <w:rsid w:val="00170D6E"/>
    <w:rsid w:val="00172266"/>
    <w:rsid w:val="00172392"/>
    <w:rsid w:val="00172740"/>
    <w:rsid w:val="001730B8"/>
    <w:rsid w:val="0017574B"/>
    <w:rsid w:val="001759D2"/>
    <w:rsid w:val="00176B3E"/>
    <w:rsid w:val="00177418"/>
    <w:rsid w:val="00180A48"/>
    <w:rsid w:val="0018215C"/>
    <w:rsid w:val="00183EAC"/>
    <w:rsid w:val="001848B2"/>
    <w:rsid w:val="00184DDB"/>
    <w:rsid w:val="0018607C"/>
    <w:rsid w:val="00186BF1"/>
    <w:rsid w:val="00187D7B"/>
    <w:rsid w:val="00191C10"/>
    <w:rsid w:val="001922FD"/>
    <w:rsid w:val="00197AB2"/>
    <w:rsid w:val="001A1AB8"/>
    <w:rsid w:val="001A6EB0"/>
    <w:rsid w:val="001B1300"/>
    <w:rsid w:val="001B198D"/>
    <w:rsid w:val="001B3003"/>
    <w:rsid w:val="001B317E"/>
    <w:rsid w:val="001B3F30"/>
    <w:rsid w:val="001B549C"/>
    <w:rsid w:val="001B58F5"/>
    <w:rsid w:val="001B6745"/>
    <w:rsid w:val="001C0DCE"/>
    <w:rsid w:val="001C1E53"/>
    <w:rsid w:val="001C2B6F"/>
    <w:rsid w:val="001C2F90"/>
    <w:rsid w:val="001C3DC0"/>
    <w:rsid w:val="001C49CB"/>
    <w:rsid w:val="001C5872"/>
    <w:rsid w:val="001C7024"/>
    <w:rsid w:val="001D0C31"/>
    <w:rsid w:val="001D108F"/>
    <w:rsid w:val="001D1197"/>
    <w:rsid w:val="001D17E8"/>
    <w:rsid w:val="001D1E78"/>
    <w:rsid w:val="001D1F7D"/>
    <w:rsid w:val="001D29DB"/>
    <w:rsid w:val="001D314D"/>
    <w:rsid w:val="001D4151"/>
    <w:rsid w:val="001D5003"/>
    <w:rsid w:val="001D5057"/>
    <w:rsid w:val="001D5B6A"/>
    <w:rsid w:val="001D659C"/>
    <w:rsid w:val="001D7175"/>
    <w:rsid w:val="001E024F"/>
    <w:rsid w:val="001E0920"/>
    <w:rsid w:val="001E0FF2"/>
    <w:rsid w:val="001E164C"/>
    <w:rsid w:val="001E4E48"/>
    <w:rsid w:val="001E534C"/>
    <w:rsid w:val="001E75DF"/>
    <w:rsid w:val="001E7BA1"/>
    <w:rsid w:val="001F2EFC"/>
    <w:rsid w:val="001F4566"/>
    <w:rsid w:val="001F4AC3"/>
    <w:rsid w:val="001F5B74"/>
    <w:rsid w:val="001F6FB0"/>
    <w:rsid w:val="001F760F"/>
    <w:rsid w:val="001F7AC3"/>
    <w:rsid w:val="00200AB7"/>
    <w:rsid w:val="00201A77"/>
    <w:rsid w:val="00202788"/>
    <w:rsid w:val="00203024"/>
    <w:rsid w:val="002054FC"/>
    <w:rsid w:val="0020703C"/>
    <w:rsid w:val="00210164"/>
    <w:rsid w:val="0021082B"/>
    <w:rsid w:val="00210CB9"/>
    <w:rsid w:val="00211BC8"/>
    <w:rsid w:val="002137C7"/>
    <w:rsid w:val="00214CEF"/>
    <w:rsid w:val="00214EBA"/>
    <w:rsid w:val="00215694"/>
    <w:rsid w:val="00215F04"/>
    <w:rsid w:val="00216B08"/>
    <w:rsid w:val="0021732C"/>
    <w:rsid w:val="002178D8"/>
    <w:rsid w:val="00217A1A"/>
    <w:rsid w:val="00221954"/>
    <w:rsid w:val="00222D62"/>
    <w:rsid w:val="002255C2"/>
    <w:rsid w:val="002272E2"/>
    <w:rsid w:val="002310DA"/>
    <w:rsid w:val="0023178B"/>
    <w:rsid w:val="002325CE"/>
    <w:rsid w:val="00232AAA"/>
    <w:rsid w:val="002338F0"/>
    <w:rsid w:val="00233BAD"/>
    <w:rsid w:val="00233C0E"/>
    <w:rsid w:val="00233C9A"/>
    <w:rsid w:val="00235936"/>
    <w:rsid w:val="0023672C"/>
    <w:rsid w:val="00237B9F"/>
    <w:rsid w:val="002408EA"/>
    <w:rsid w:val="00244405"/>
    <w:rsid w:val="00245044"/>
    <w:rsid w:val="00246AEB"/>
    <w:rsid w:val="002476A8"/>
    <w:rsid w:val="00247BA7"/>
    <w:rsid w:val="002508C3"/>
    <w:rsid w:val="00253B82"/>
    <w:rsid w:val="00255882"/>
    <w:rsid w:val="002559EF"/>
    <w:rsid w:val="00255D19"/>
    <w:rsid w:val="002578F6"/>
    <w:rsid w:val="00260326"/>
    <w:rsid w:val="002603E9"/>
    <w:rsid w:val="00260D4A"/>
    <w:rsid w:val="00260F6C"/>
    <w:rsid w:val="0026327C"/>
    <w:rsid w:val="00264D1A"/>
    <w:rsid w:val="0026601B"/>
    <w:rsid w:val="00266635"/>
    <w:rsid w:val="00266CCD"/>
    <w:rsid w:val="00270442"/>
    <w:rsid w:val="00272912"/>
    <w:rsid w:val="00274B56"/>
    <w:rsid w:val="00282B78"/>
    <w:rsid w:val="00283029"/>
    <w:rsid w:val="002849CC"/>
    <w:rsid w:val="0028543A"/>
    <w:rsid w:val="00290D71"/>
    <w:rsid w:val="00291429"/>
    <w:rsid w:val="00291A14"/>
    <w:rsid w:val="00291D3C"/>
    <w:rsid w:val="0029505B"/>
    <w:rsid w:val="00296183"/>
    <w:rsid w:val="002A077A"/>
    <w:rsid w:val="002A0974"/>
    <w:rsid w:val="002A1006"/>
    <w:rsid w:val="002A3792"/>
    <w:rsid w:val="002A3898"/>
    <w:rsid w:val="002A4E61"/>
    <w:rsid w:val="002A4E84"/>
    <w:rsid w:val="002A564C"/>
    <w:rsid w:val="002A62C7"/>
    <w:rsid w:val="002B123C"/>
    <w:rsid w:val="002B12A7"/>
    <w:rsid w:val="002B29AD"/>
    <w:rsid w:val="002B42CF"/>
    <w:rsid w:val="002B4E23"/>
    <w:rsid w:val="002B5301"/>
    <w:rsid w:val="002B5E52"/>
    <w:rsid w:val="002B6EE9"/>
    <w:rsid w:val="002B73B4"/>
    <w:rsid w:val="002C0282"/>
    <w:rsid w:val="002C18B1"/>
    <w:rsid w:val="002C243A"/>
    <w:rsid w:val="002C3C3E"/>
    <w:rsid w:val="002C4BD2"/>
    <w:rsid w:val="002C6C12"/>
    <w:rsid w:val="002C6C28"/>
    <w:rsid w:val="002C6FB1"/>
    <w:rsid w:val="002C7BBB"/>
    <w:rsid w:val="002D0342"/>
    <w:rsid w:val="002D0EFD"/>
    <w:rsid w:val="002D402C"/>
    <w:rsid w:val="002D4176"/>
    <w:rsid w:val="002D46F7"/>
    <w:rsid w:val="002D4849"/>
    <w:rsid w:val="002D4A3F"/>
    <w:rsid w:val="002D4B9E"/>
    <w:rsid w:val="002D57A0"/>
    <w:rsid w:val="002D5C14"/>
    <w:rsid w:val="002D6588"/>
    <w:rsid w:val="002D6625"/>
    <w:rsid w:val="002E0362"/>
    <w:rsid w:val="002E0F13"/>
    <w:rsid w:val="002E1B83"/>
    <w:rsid w:val="002E3739"/>
    <w:rsid w:val="002E49AA"/>
    <w:rsid w:val="002E5CA2"/>
    <w:rsid w:val="002E69FF"/>
    <w:rsid w:val="002E6DE3"/>
    <w:rsid w:val="002E6E0E"/>
    <w:rsid w:val="002E6FFF"/>
    <w:rsid w:val="002E7C2C"/>
    <w:rsid w:val="002F0C18"/>
    <w:rsid w:val="002F4ACA"/>
    <w:rsid w:val="0030099E"/>
    <w:rsid w:val="00300CEE"/>
    <w:rsid w:val="003026FE"/>
    <w:rsid w:val="00303670"/>
    <w:rsid w:val="00304209"/>
    <w:rsid w:val="00304DF9"/>
    <w:rsid w:val="003069EE"/>
    <w:rsid w:val="003105CD"/>
    <w:rsid w:val="0031112A"/>
    <w:rsid w:val="0031128F"/>
    <w:rsid w:val="00313F75"/>
    <w:rsid w:val="003146A1"/>
    <w:rsid w:val="0031471F"/>
    <w:rsid w:val="00314908"/>
    <w:rsid w:val="0032353F"/>
    <w:rsid w:val="00323BF3"/>
    <w:rsid w:val="00325AF7"/>
    <w:rsid w:val="003260E9"/>
    <w:rsid w:val="00326B3F"/>
    <w:rsid w:val="003276BA"/>
    <w:rsid w:val="00327B08"/>
    <w:rsid w:val="00330823"/>
    <w:rsid w:val="00332B51"/>
    <w:rsid w:val="00332E5A"/>
    <w:rsid w:val="00333492"/>
    <w:rsid w:val="00333748"/>
    <w:rsid w:val="003344DB"/>
    <w:rsid w:val="00335420"/>
    <w:rsid w:val="00337F14"/>
    <w:rsid w:val="00340742"/>
    <w:rsid w:val="0034137D"/>
    <w:rsid w:val="00342DB6"/>
    <w:rsid w:val="00342E80"/>
    <w:rsid w:val="003432AE"/>
    <w:rsid w:val="00344262"/>
    <w:rsid w:val="0034671D"/>
    <w:rsid w:val="0034746E"/>
    <w:rsid w:val="003479BA"/>
    <w:rsid w:val="00351CDA"/>
    <w:rsid w:val="00352F3A"/>
    <w:rsid w:val="00353CC7"/>
    <w:rsid w:val="00354694"/>
    <w:rsid w:val="0035519E"/>
    <w:rsid w:val="003553F6"/>
    <w:rsid w:val="00356D99"/>
    <w:rsid w:val="0036091B"/>
    <w:rsid w:val="00360DA4"/>
    <w:rsid w:val="00361472"/>
    <w:rsid w:val="0036389A"/>
    <w:rsid w:val="00364779"/>
    <w:rsid w:val="0036515F"/>
    <w:rsid w:val="003664B0"/>
    <w:rsid w:val="003664D6"/>
    <w:rsid w:val="00367667"/>
    <w:rsid w:val="0037089C"/>
    <w:rsid w:val="003727F8"/>
    <w:rsid w:val="00372935"/>
    <w:rsid w:val="00374564"/>
    <w:rsid w:val="00375883"/>
    <w:rsid w:val="00375DA2"/>
    <w:rsid w:val="00377750"/>
    <w:rsid w:val="0038334F"/>
    <w:rsid w:val="00383B5F"/>
    <w:rsid w:val="003918E2"/>
    <w:rsid w:val="00391B4E"/>
    <w:rsid w:val="00391C11"/>
    <w:rsid w:val="003922A1"/>
    <w:rsid w:val="003922DC"/>
    <w:rsid w:val="003938E0"/>
    <w:rsid w:val="00395868"/>
    <w:rsid w:val="00395CAB"/>
    <w:rsid w:val="003966C9"/>
    <w:rsid w:val="003A0234"/>
    <w:rsid w:val="003A0606"/>
    <w:rsid w:val="003A11CE"/>
    <w:rsid w:val="003A2697"/>
    <w:rsid w:val="003A4814"/>
    <w:rsid w:val="003A4CBC"/>
    <w:rsid w:val="003A7929"/>
    <w:rsid w:val="003A7FE2"/>
    <w:rsid w:val="003B2BDF"/>
    <w:rsid w:val="003B2F6D"/>
    <w:rsid w:val="003B30E8"/>
    <w:rsid w:val="003B31A9"/>
    <w:rsid w:val="003B4440"/>
    <w:rsid w:val="003B4C27"/>
    <w:rsid w:val="003B536D"/>
    <w:rsid w:val="003C025A"/>
    <w:rsid w:val="003C04AF"/>
    <w:rsid w:val="003C0A7B"/>
    <w:rsid w:val="003C1CAA"/>
    <w:rsid w:val="003C3271"/>
    <w:rsid w:val="003C5A40"/>
    <w:rsid w:val="003C605C"/>
    <w:rsid w:val="003C69B0"/>
    <w:rsid w:val="003D2A40"/>
    <w:rsid w:val="003D2C3F"/>
    <w:rsid w:val="003D3AC0"/>
    <w:rsid w:val="003D7E70"/>
    <w:rsid w:val="003E0AE3"/>
    <w:rsid w:val="003E0D2A"/>
    <w:rsid w:val="003E10BF"/>
    <w:rsid w:val="003E1A88"/>
    <w:rsid w:val="003E3D16"/>
    <w:rsid w:val="003E4D2D"/>
    <w:rsid w:val="003E5A23"/>
    <w:rsid w:val="003E5DBD"/>
    <w:rsid w:val="003E64ED"/>
    <w:rsid w:val="003E794F"/>
    <w:rsid w:val="003F1FFB"/>
    <w:rsid w:val="003F2747"/>
    <w:rsid w:val="003F284E"/>
    <w:rsid w:val="003F3751"/>
    <w:rsid w:val="003F5943"/>
    <w:rsid w:val="00401501"/>
    <w:rsid w:val="00403114"/>
    <w:rsid w:val="004052C1"/>
    <w:rsid w:val="004057C8"/>
    <w:rsid w:val="004077CE"/>
    <w:rsid w:val="00411F39"/>
    <w:rsid w:val="00412E4D"/>
    <w:rsid w:val="00412FED"/>
    <w:rsid w:val="00416A4B"/>
    <w:rsid w:val="00417F94"/>
    <w:rsid w:val="0042103F"/>
    <w:rsid w:val="004221DE"/>
    <w:rsid w:val="004225AE"/>
    <w:rsid w:val="0042461F"/>
    <w:rsid w:val="00430625"/>
    <w:rsid w:val="00430EFB"/>
    <w:rsid w:val="004321BF"/>
    <w:rsid w:val="00432506"/>
    <w:rsid w:val="0043262D"/>
    <w:rsid w:val="004332CC"/>
    <w:rsid w:val="00433358"/>
    <w:rsid w:val="00434CCF"/>
    <w:rsid w:val="00434F61"/>
    <w:rsid w:val="00436945"/>
    <w:rsid w:val="00440C64"/>
    <w:rsid w:val="0044137C"/>
    <w:rsid w:val="00442F4B"/>
    <w:rsid w:val="0044410C"/>
    <w:rsid w:val="004467E5"/>
    <w:rsid w:val="00446CAD"/>
    <w:rsid w:val="00447365"/>
    <w:rsid w:val="004508F8"/>
    <w:rsid w:val="00451598"/>
    <w:rsid w:val="00451935"/>
    <w:rsid w:val="00452352"/>
    <w:rsid w:val="00452F7C"/>
    <w:rsid w:val="00455656"/>
    <w:rsid w:val="00455C2F"/>
    <w:rsid w:val="0045676A"/>
    <w:rsid w:val="004574F9"/>
    <w:rsid w:val="004575C6"/>
    <w:rsid w:val="004605B4"/>
    <w:rsid w:val="00460FE4"/>
    <w:rsid w:val="0046262F"/>
    <w:rsid w:val="00463AB6"/>
    <w:rsid w:val="00465134"/>
    <w:rsid w:val="004667DE"/>
    <w:rsid w:val="004669BE"/>
    <w:rsid w:val="0047098D"/>
    <w:rsid w:val="00473BC1"/>
    <w:rsid w:val="0047632B"/>
    <w:rsid w:val="0048002C"/>
    <w:rsid w:val="004800FB"/>
    <w:rsid w:val="004803BB"/>
    <w:rsid w:val="00481F8C"/>
    <w:rsid w:val="004839AF"/>
    <w:rsid w:val="00483FFA"/>
    <w:rsid w:val="004844ED"/>
    <w:rsid w:val="004858E0"/>
    <w:rsid w:val="00486C75"/>
    <w:rsid w:val="00487017"/>
    <w:rsid w:val="00487575"/>
    <w:rsid w:val="00490F36"/>
    <w:rsid w:val="00491C30"/>
    <w:rsid w:val="00492F5E"/>
    <w:rsid w:val="004955C3"/>
    <w:rsid w:val="00496526"/>
    <w:rsid w:val="00496B33"/>
    <w:rsid w:val="004972F0"/>
    <w:rsid w:val="004A1594"/>
    <w:rsid w:val="004A1618"/>
    <w:rsid w:val="004A1D43"/>
    <w:rsid w:val="004A3754"/>
    <w:rsid w:val="004A4BD1"/>
    <w:rsid w:val="004A4DFA"/>
    <w:rsid w:val="004A6074"/>
    <w:rsid w:val="004B140B"/>
    <w:rsid w:val="004B1A0B"/>
    <w:rsid w:val="004B1FA1"/>
    <w:rsid w:val="004B2258"/>
    <w:rsid w:val="004B45D0"/>
    <w:rsid w:val="004B4859"/>
    <w:rsid w:val="004B4939"/>
    <w:rsid w:val="004B4C91"/>
    <w:rsid w:val="004B4E00"/>
    <w:rsid w:val="004B6985"/>
    <w:rsid w:val="004B72E4"/>
    <w:rsid w:val="004B755B"/>
    <w:rsid w:val="004B75B7"/>
    <w:rsid w:val="004C1099"/>
    <w:rsid w:val="004C1461"/>
    <w:rsid w:val="004C2965"/>
    <w:rsid w:val="004C2B03"/>
    <w:rsid w:val="004C2EA3"/>
    <w:rsid w:val="004C2F23"/>
    <w:rsid w:val="004C36ED"/>
    <w:rsid w:val="004C3D0C"/>
    <w:rsid w:val="004D207F"/>
    <w:rsid w:val="004D2ABF"/>
    <w:rsid w:val="004D31B1"/>
    <w:rsid w:val="004D345F"/>
    <w:rsid w:val="004D3DB3"/>
    <w:rsid w:val="004D47FF"/>
    <w:rsid w:val="004D517A"/>
    <w:rsid w:val="004D5520"/>
    <w:rsid w:val="004D578A"/>
    <w:rsid w:val="004D6E95"/>
    <w:rsid w:val="004D7A31"/>
    <w:rsid w:val="004E0E81"/>
    <w:rsid w:val="004E21BA"/>
    <w:rsid w:val="004E3FC4"/>
    <w:rsid w:val="004E4047"/>
    <w:rsid w:val="004E4194"/>
    <w:rsid w:val="004E6F57"/>
    <w:rsid w:val="004E700A"/>
    <w:rsid w:val="004E703F"/>
    <w:rsid w:val="004F1561"/>
    <w:rsid w:val="004F1696"/>
    <w:rsid w:val="004F1EDA"/>
    <w:rsid w:val="004F1F3A"/>
    <w:rsid w:val="004F2487"/>
    <w:rsid w:val="004F24FA"/>
    <w:rsid w:val="004F3AA3"/>
    <w:rsid w:val="004F5425"/>
    <w:rsid w:val="004F547E"/>
    <w:rsid w:val="004F716E"/>
    <w:rsid w:val="004F739A"/>
    <w:rsid w:val="004F73D0"/>
    <w:rsid w:val="004F7CC3"/>
    <w:rsid w:val="0050042C"/>
    <w:rsid w:val="00500D02"/>
    <w:rsid w:val="00500EC7"/>
    <w:rsid w:val="0050133B"/>
    <w:rsid w:val="00501D22"/>
    <w:rsid w:val="00503F11"/>
    <w:rsid w:val="00505D37"/>
    <w:rsid w:val="0050785E"/>
    <w:rsid w:val="00511490"/>
    <w:rsid w:val="00512086"/>
    <w:rsid w:val="00512377"/>
    <w:rsid w:val="00514884"/>
    <w:rsid w:val="005152DE"/>
    <w:rsid w:val="005166FB"/>
    <w:rsid w:val="00516767"/>
    <w:rsid w:val="00517350"/>
    <w:rsid w:val="0052007A"/>
    <w:rsid w:val="00520DBE"/>
    <w:rsid w:val="00523331"/>
    <w:rsid w:val="00523A55"/>
    <w:rsid w:val="005251A9"/>
    <w:rsid w:val="00527BA2"/>
    <w:rsid w:val="005314A4"/>
    <w:rsid w:val="0053240D"/>
    <w:rsid w:val="0053258F"/>
    <w:rsid w:val="005341AC"/>
    <w:rsid w:val="00535AC0"/>
    <w:rsid w:val="00535B83"/>
    <w:rsid w:val="00536D7C"/>
    <w:rsid w:val="00537387"/>
    <w:rsid w:val="00540434"/>
    <w:rsid w:val="00540530"/>
    <w:rsid w:val="005419B0"/>
    <w:rsid w:val="00541D39"/>
    <w:rsid w:val="00542221"/>
    <w:rsid w:val="0054250B"/>
    <w:rsid w:val="00542539"/>
    <w:rsid w:val="0054385A"/>
    <w:rsid w:val="00545433"/>
    <w:rsid w:val="00545459"/>
    <w:rsid w:val="00547355"/>
    <w:rsid w:val="005520B5"/>
    <w:rsid w:val="00552BF0"/>
    <w:rsid w:val="0055369D"/>
    <w:rsid w:val="005536C3"/>
    <w:rsid w:val="00553D48"/>
    <w:rsid w:val="00556ADD"/>
    <w:rsid w:val="00557A3B"/>
    <w:rsid w:val="00561650"/>
    <w:rsid w:val="00562BD8"/>
    <w:rsid w:val="00563459"/>
    <w:rsid w:val="00563B93"/>
    <w:rsid w:val="00563D31"/>
    <w:rsid w:val="00564C96"/>
    <w:rsid w:val="005656AC"/>
    <w:rsid w:val="00566152"/>
    <w:rsid w:val="00570389"/>
    <w:rsid w:val="00570C51"/>
    <w:rsid w:val="00571C64"/>
    <w:rsid w:val="00571DFF"/>
    <w:rsid w:val="00571E15"/>
    <w:rsid w:val="005733F8"/>
    <w:rsid w:val="00573434"/>
    <w:rsid w:val="005744F6"/>
    <w:rsid w:val="00574FDB"/>
    <w:rsid w:val="0057597D"/>
    <w:rsid w:val="005776A3"/>
    <w:rsid w:val="00580588"/>
    <w:rsid w:val="00580FDA"/>
    <w:rsid w:val="00581F5E"/>
    <w:rsid w:val="00584CBD"/>
    <w:rsid w:val="00584ECC"/>
    <w:rsid w:val="0058664E"/>
    <w:rsid w:val="00586AA5"/>
    <w:rsid w:val="00590422"/>
    <w:rsid w:val="00591183"/>
    <w:rsid w:val="00592C39"/>
    <w:rsid w:val="00592D80"/>
    <w:rsid w:val="00593E4B"/>
    <w:rsid w:val="005948A9"/>
    <w:rsid w:val="005A0339"/>
    <w:rsid w:val="005A0AE6"/>
    <w:rsid w:val="005A1AB4"/>
    <w:rsid w:val="005A3187"/>
    <w:rsid w:val="005A5E59"/>
    <w:rsid w:val="005A6986"/>
    <w:rsid w:val="005B1719"/>
    <w:rsid w:val="005B1D4B"/>
    <w:rsid w:val="005B7A11"/>
    <w:rsid w:val="005C47F0"/>
    <w:rsid w:val="005C4BA2"/>
    <w:rsid w:val="005C6EC2"/>
    <w:rsid w:val="005C77F5"/>
    <w:rsid w:val="005D026A"/>
    <w:rsid w:val="005D2C9C"/>
    <w:rsid w:val="005D3737"/>
    <w:rsid w:val="005D49A8"/>
    <w:rsid w:val="005E1510"/>
    <w:rsid w:val="005E334A"/>
    <w:rsid w:val="005E40E9"/>
    <w:rsid w:val="005F06A0"/>
    <w:rsid w:val="005F17EF"/>
    <w:rsid w:val="005F1E2F"/>
    <w:rsid w:val="005F2C1E"/>
    <w:rsid w:val="005F3565"/>
    <w:rsid w:val="005F38E3"/>
    <w:rsid w:val="005F476A"/>
    <w:rsid w:val="005F6F5D"/>
    <w:rsid w:val="005F78A2"/>
    <w:rsid w:val="00600D61"/>
    <w:rsid w:val="00602B16"/>
    <w:rsid w:val="00602DF7"/>
    <w:rsid w:val="006035E9"/>
    <w:rsid w:val="006050D4"/>
    <w:rsid w:val="006056DD"/>
    <w:rsid w:val="00605DC8"/>
    <w:rsid w:val="0060672D"/>
    <w:rsid w:val="00612104"/>
    <w:rsid w:val="00612F77"/>
    <w:rsid w:val="00613047"/>
    <w:rsid w:val="00613E20"/>
    <w:rsid w:val="00616583"/>
    <w:rsid w:val="00616E83"/>
    <w:rsid w:val="006178B4"/>
    <w:rsid w:val="00620FD9"/>
    <w:rsid w:val="00623757"/>
    <w:rsid w:val="00624DDB"/>
    <w:rsid w:val="00625D41"/>
    <w:rsid w:val="00630CD1"/>
    <w:rsid w:val="006313C0"/>
    <w:rsid w:val="00631D39"/>
    <w:rsid w:val="00632181"/>
    <w:rsid w:val="0063471F"/>
    <w:rsid w:val="00634AC4"/>
    <w:rsid w:val="00635618"/>
    <w:rsid w:val="006366E6"/>
    <w:rsid w:val="00637875"/>
    <w:rsid w:val="00637BD5"/>
    <w:rsid w:val="00640665"/>
    <w:rsid w:val="006409BB"/>
    <w:rsid w:val="00641706"/>
    <w:rsid w:val="00641D56"/>
    <w:rsid w:val="0064355B"/>
    <w:rsid w:val="006436A1"/>
    <w:rsid w:val="00651B36"/>
    <w:rsid w:val="00652B00"/>
    <w:rsid w:val="006530A3"/>
    <w:rsid w:val="006530E7"/>
    <w:rsid w:val="00653D5E"/>
    <w:rsid w:val="006542B6"/>
    <w:rsid w:val="00654D87"/>
    <w:rsid w:val="00655019"/>
    <w:rsid w:val="0065579A"/>
    <w:rsid w:val="00656BEB"/>
    <w:rsid w:val="0066063B"/>
    <w:rsid w:val="0066199A"/>
    <w:rsid w:val="00661BE4"/>
    <w:rsid w:val="0066280B"/>
    <w:rsid w:val="00666170"/>
    <w:rsid w:val="00666AAB"/>
    <w:rsid w:val="0066753A"/>
    <w:rsid w:val="006676FB"/>
    <w:rsid w:val="0066787A"/>
    <w:rsid w:val="00670E03"/>
    <w:rsid w:val="006712D3"/>
    <w:rsid w:val="00671F20"/>
    <w:rsid w:val="0067214C"/>
    <w:rsid w:val="006745FF"/>
    <w:rsid w:val="0067566A"/>
    <w:rsid w:val="00675FAA"/>
    <w:rsid w:val="00677A86"/>
    <w:rsid w:val="00683100"/>
    <w:rsid w:val="006831EE"/>
    <w:rsid w:val="006854F8"/>
    <w:rsid w:val="0068562D"/>
    <w:rsid w:val="00686965"/>
    <w:rsid w:val="00687E73"/>
    <w:rsid w:val="0069014F"/>
    <w:rsid w:val="006905C6"/>
    <w:rsid w:val="00691A17"/>
    <w:rsid w:val="00691A52"/>
    <w:rsid w:val="0069370D"/>
    <w:rsid w:val="00693E3D"/>
    <w:rsid w:val="00695682"/>
    <w:rsid w:val="00695E13"/>
    <w:rsid w:val="00696DBD"/>
    <w:rsid w:val="006976BA"/>
    <w:rsid w:val="006A0D07"/>
    <w:rsid w:val="006A106E"/>
    <w:rsid w:val="006A2DE4"/>
    <w:rsid w:val="006A3908"/>
    <w:rsid w:val="006A4A08"/>
    <w:rsid w:val="006A4D58"/>
    <w:rsid w:val="006A6655"/>
    <w:rsid w:val="006A7003"/>
    <w:rsid w:val="006A7106"/>
    <w:rsid w:val="006A7503"/>
    <w:rsid w:val="006A7EDB"/>
    <w:rsid w:val="006B0C3E"/>
    <w:rsid w:val="006B0ED4"/>
    <w:rsid w:val="006B1868"/>
    <w:rsid w:val="006B267A"/>
    <w:rsid w:val="006B28EA"/>
    <w:rsid w:val="006B2F9A"/>
    <w:rsid w:val="006B3E56"/>
    <w:rsid w:val="006B4D4D"/>
    <w:rsid w:val="006B58F0"/>
    <w:rsid w:val="006B5A7F"/>
    <w:rsid w:val="006B6513"/>
    <w:rsid w:val="006B675D"/>
    <w:rsid w:val="006B6CC4"/>
    <w:rsid w:val="006C0A43"/>
    <w:rsid w:val="006C273F"/>
    <w:rsid w:val="006C3100"/>
    <w:rsid w:val="006D0ACB"/>
    <w:rsid w:val="006D173B"/>
    <w:rsid w:val="006D1812"/>
    <w:rsid w:val="006D3EBC"/>
    <w:rsid w:val="006D5727"/>
    <w:rsid w:val="006D6012"/>
    <w:rsid w:val="006D6758"/>
    <w:rsid w:val="006D6C6E"/>
    <w:rsid w:val="006D6D84"/>
    <w:rsid w:val="006E1A73"/>
    <w:rsid w:val="006E27C8"/>
    <w:rsid w:val="006E32FC"/>
    <w:rsid w:val="006E6A95"/>
    <w:rsid w:val="006E6C65"/>
    <w:rsid w:val="006F1425"/>
    <w:rsid w:val="006F252B"/>
    <w:rsid w:val="006F2600"/>
    <w:rsid w:val="006F2E7F"/>
    <w:rsid w:val="006F505C"/>
    <w:rsid w:val="006F58EC"/>
    <w:rsid w:val="006F6334"/>
    <w:rsid w:val="006F7A90"/>
    <w:rsid w:val="0070280F"/>
    <w:rsid w:val="00702E43"/>
    <w:rsid w:val="00702E4D"/>
    <w:rsid w:val="00703CF4"/>
    <w:rsid w:val="00703F88"/>
    <w:rsid w:val="007044DB"/>
    <w:rsid w:val="0070454B"/>
    <w:rsid w:val="007045B5"/>
    <w:rsid w:val="00705770"/>
    <w:rsid w:val="00705AC4"/>
    <w:rsid w:val="007102BE"/>
    <w:rsid w:val="007103B2"/>
    <w:rsid w:val="00712339"/>
    <w:rsid w:val="007124A3"/>
    <w:rsid w:val="00712C13"/>
    <w:rsid w:val="007130B8"/>
    <w:rsid w:val="00714420"/>
    <w:rsid w:val="00714D80"/>
    <w:rsid w:val="00716993"/>
    <w:rsid w:val="00717861"/>
    <w:rsid w:val="00720F3A"/>
    <w:rsid w:val="0072606A"/>
    <w:rsid w:val="00731D0B"/>
    <w:rsid w:val="0073467D"/>
    <w:rsid w:val="00734B8E"/>
    <w:rsid w:val="00736CF3"/>
    <w:rsid w:val="00736D2D"/>
    <w:rsid w:val="00740504"/>
    <w:rsid w:val="00740F18"/>
    <w:rsid w:val="0074214A"/>
    <w:rsid w:val="0074424D"/>
    <w:rsid w:val="00745202"/>
    <w:rsid w:val="007457B7"/>
    <w:rsid w:val="007475A6"/>
    <w:rsid w:val="007500D3"/>
    <w:rsid w:val="00750415"/>
    <w:rsid w:val="00753F11"/>
    <w:rsid w:val="007546AE"/>
    <w:rsid w:val="007546C9"/>
    <w:rsid w:val="00754DFF"/>
    <w:rsid w:val="00757240"/>
    <w:rsid w:val="007576C6"/>
    <w:rsid w:val="0076018E"/>
    <w:rsid w:val="0076047F"/>
    <w:rsid w:val="00760C39"/>
    <w:rsid w:val="00761527"/>
    <w:rsid w:val="00761959"/>
    <w:rsid w:val="00762877"/>
    <w:rsid w:val="00762996"/>
    <w:rsid w:val="00762D7D"/>
    <w:rsid w:val="00762F63"/>
    <w:rsid w:val="00763931"/>
    <w:rsid w:val="0076540D"/>
    <w:rsid w:val="007674D0"/>
    <w:rsid w:val="00767A35"/>
    <w:rsid w:val="00767F96"/>
    <w:rsid w:val="007731DA"/>
    <w:rsid w:val="007732FD"/>
    <w:rsid w:val="00774294"/>
    <w:rsid w:val="0078004A"/>
    <w:rsid w:val="00782176"/>
    <w:rsid w:val="00783831"/>
    <w:rsid w:val="00783FAA"/>
    <w:rsid w:val="007864AB"/>
    <w:rsid w:val="007868D7"/>
    <w:rsid w:val="00786E57"/>
    <w:rsid w:val="00790E79"/>
    <w:rsid w:val="00791571"/>
    <w:rsid w:val="0079350D"/>
    <w:rsid w:val="00795B28"/>
    <w:rsid w:val="00795EB9"/>
    <w:rsid w:val="00797A8A"/>
    <w:rsid w:val="007A4AEE"/>
    <w:rsid w:val="007A58F9"/>
    <w:rsid w:val="007A5C10"/>
    <w:rsid w:val="007A69D9"/>
    <w:rsid w:val="007A7A9C"/>
    <w:rsid w:val="007B08B6"/>
    <w:rsid w:val="007B6910"/>
    <w:rsid w:val="007B73D0"/>
    <w:rsid w:val="007C10EF"/>
    <w:rsid w:val="007C28E3"/>
    <w:rsid w:val="007C38B0"/>
    <w:rsid w:val="007C645A"/>
    <w:rsid w:val="007C70EB"/>
    <w:rsid w:val="007D0C1E"/>
    <w:rsid w:val="007D1608"/>
    <w:rsid w:val="007D2834"/>
    <w:rsid w:val="007D2A8D"/>
    <w:rsid w:val="007D2C50"/>
    <w:rsid w:val="007D2C6A"/>
    <w:rsid w:val="007D4C43"/>
    <w:rsid w:val="007D5BC8"/>
    <w:rsid w:val="007D623A"/>
    <w:rsid w:val="007D692A"/>
    <w:rsid w:val="007E1A65"/>
    <w:rsid w:val="007E2835"/>
    <w:rsid w:val="007E416B"/>
    <w:rsid w:val="007E516E"/>
    <w:rsid w:val="007E57A6"/>
    <w:rsid w:val="007E5AD3"/>
    <w:rsid w:val="007E607A"/>
    <w:rsid w:val="007E6DDE"/>
    <w:rsid w:val="007F0A22"/>
    <w:rsid w:val="007F0D28"/>
    <w:rsid w:val="007F1001"/>
    <w:rsid w:val="007F1A54"/>
    <w:rsid w:val="007F218C"/>
    <w:rsid w:val="007F3737"/>
    <w:rsid w:val="007F40D0"/>
    <w:rsid w:val="008006D0"/>
    <w:rsid w:val="00801004"/>
    <w:rsid w:val="00802EB3"/>
    <w:rsid w:val="00804A07"/>
    <w:rsid w:val="008052C3"/>
    <w:rsid w:val="00806E23"/>
    <w:rsid w:val="00807D37"/>
    <w:rsid w:val="008113FA"/>
    <w:rsid w:val="00812357"/>
    <w:rsid w:val="00814EF4"/>
    <w:rsid w:val="00815832"/>
    <w:rsid w:val="00815A50"/>
    <w:rsid w:val="0081623F"/>
    <w:rsid w:val="008172F9"/>
    <w:rsid w:val="008203FB"/>
    <w:rsid w:val="00821993"/>
    <w:rsid w:val="0082208C"/>
    <w:rsid w:val="008225D8"/>
    <w:rsid w:val="008254B4"/>
    <w:rsid w:val="00826C41"/>
    <w:rsid w:val="008274C2"/>
    <w:rsid w:val="008308BD"/>
    <w:rsid w:val="0083214F"/>
    <w:rsid w:val="008324D7"/>
    <w:rsid w:val="00832D83"/>
    <w:rsid w:val="008332CA"/>
    <w:rsid w:val="00834617"/>
    <w:rsid w:val="0083647A"/>
    <w:rsid w:val="008368CA"/>
    <w:rsid w:val="00837008"/>
    <w:rsid w:val="00837784"/>
    <w:rsid w:val="008403E0"/>
    <w:rsid w:val="00840908"/>
    <w:rsid w:val="0084328E"/>
    <w:rsid w:val="0084331F"/>
    <w:rsid w:val="008436EA"/>
    <w:rsid w:val="00843F48"/>
    <w:rsid w:val="00844977"/>
    <w:rsid w:val="00845CFC"/>
    <w:rsid w:val="00845EFA"/>
    <w:rsid w:val="0084641A"/>
    <w:rsid w:val="008473AD"/>
    <w:rsid w:val="00847D79"/>
    <w:rsid w:val="008510E9"/>
    <w:rsid w:val="00852524"/>
    <w:rsid w:val="0085286D"/>
    <w:rsid w:val="00854102"/>
    <w:rsid w:val="00855499"/>
    <w:rsid w:val="008566CF"/>
    <w:rsid w:val="00860E23"/>
    <w:rsid w:val="00861FE7"/>
    <w:rsid w:val="008627CC"/>
    <w:rsid w:val="00862CB7"/>
    <w:rsid w:val="008645ED"/>
    <w:rsid w:val="00865279"/>
    <w:rsid w:val="008652FA"/>
    <w:rsid w:val="00866B68"/>
    <w:rsid w:val="00867526"/>
    <w:rsid w:val="008735E5"/>
    <w:rsid w:val="00873C9F"/>
    <w:rsid w:val="00874737"/>
    <w:rsid w:val="008757A3"/>
    <w:rsid w:val="008806DE"/>
    <w:rsid w:val="00880F74"/>
    <w:rsid w:val="00883E57"/>
    <w:rsid w:val="0088449A"/>
    <w:rsid w:val="0088474E"/>
    <w:rsid w:val="008848F3"/>
    <w:rsid w:val="00885016"/>
    <w:rsid w:val="00885386"/>
    <w:rsid w:val="00885751"/>
    <w:rsid w:val="008903B5"/>
    <w:rsid w:val="0089146E"/>
    <w:rsid w:val="00894562"/>
    <w:rsid w:val="0089465F"/>
    <w:rsid w:val="00894688"/>
    <w:rsid w:val="008A17D7"/>
    <w:rsid w:val="008A62EA"/>
    <w:rsid w:val="008A73FA"/>
    <w:rsid w:val="008A7600"/>
    <w:rsid w:val="008A7D35"/>
    <w:rsid w:val="008B0376"/>
    <w:rsid w:val="008B07F7"/>
    <w:rsid w:val="008B62A1"/>
    <w:rsid w:val="008B75C6"/>
    <w:rsid w:val="008C0546"/>
    <w:rsid w:val="008C1366"/>
    <w:rsid w:val="008C1AD5"/>
    <w:rsid w:val="008C25E1"/>
    <w:rsid w:val="008C2CC9"/>
    <w:rsid w:val="008C337D"/>
    <w:rsid w:val="008C5096"/>
    <w:rsid w:val="008C7153"/>
    <w:rsid w:val="008D1491"/>
    <w:rsid w:val="008D5FED"/>
    <w:rsid w:val="008D6D1A"/>
    <w:rsid w:val="008E049D"/>
    <w:rsid w:val="008E152C"/>
    <w:rsid w:val="008E2EEC"/>
    <w:rsid w:val="008E39EB"/>
    <w:rsid w:val="008E6B1D"/>
    <w:rsid w:val="008E78C2"/>
    <w:rsid w:val="008F2ACC"/>
    <w:rsid w:val="008F42A8"/>
    <w:rsid w:val="0090000F"/>
    <w:rsid w:val="009035E4"/>
    <w:rsid w:val="009039CC"/>
    <w:rsid w:val="00905FBB"/>
    <w:rsid w:val="00907B1B"/>
    <w:rsid w:val="0091007F"/>
    <w:rsid w:val="00910774"/>
    <w:rsid w:val="00910BAD"/>
    <w:rsid w:val="00910DE0"/>
    <w:rsid w:val="00912D10"/>
    <w:rsid w:val="009133FD"/>
    <w:rsid w:val="0091496E"/>
    <w:rsid w:val="00916D44"/>
    <w:rsid w:val="00917CFC"/>
    <w:rsid w:val="00921C6E"/>
    <w:rsid w:val="00921CCF"/>
    <w:rsid w:val="009222A5"/>
    <w:rsid w:val="00923F5D"/>
    <w:rsid w:val="0092430F"/>
    <w:rsid w:val="009267A5"/>
    <w:rsid w:val="00926A76"/>
    <w:rsid w:val="00926C81"/>
    <w:rsid w:val="00927A04"/>
    <w:rsid w:val="00927A1D"/>
    <w:rsid w:val="0093067B"/>
    <w:rsid w:val="00930DE7"/>
    <w:rsid w:val="00930E9A"/>
    <w:rsid w:val="009323F1"/>
    <w:rsid w:val="0093241D"/>
    <w:rsid w:val="00933FD7"/>
    <w:rsid w:val="00934407"/>
    <w:rsid w:val="00936B09"/>
    <w:rsid w:val="00937CEB"/>
    <w:rsid w:val="009403A2"/>
    <w:rsid w:val="00941CE1"/>
    <w:rsid w:val="00941D22"/>
    <w:rsid w:val="00942384"/>
    <w:rsid w:val="0094302B"/>
    <w:rsid w:val="0094349E"/>
    <w:rsid w:val="009470AC"/>
    <w:rsid w:val="00947841"/>
    <w:rsid w:val="00951B63"/>
    <w:rsid w:val="00951CC2"/>
    <w:rsid w:val="00953C47"/>
    <w:rsid w:val="00954872"/>
    <w:rsid w:val="00954CF1"/>
    <w:rsid w:val="00955ECF"/>
    <w:rsid w:val="009610E0"/>
    <w:rsid w:val="0096211B"/>
    <w:rsid w:val="00962201"/>
    <w:rsid w:val="00962909"/>
    <w:rsid w:val="00963307"/>
    <w:rsid w:val="00965B6E"/>
    <w:rsid w:val="00966563"/>
    <w:rsid w:val="00967E71"/>
    <w:rsid w:val="00973E2D"/>
    <w:rsid w:val="00975091"/>
    <w:rsid w:val="009777E1"/>
    <w:rsid w:val="00977F6D"/>
    <w:rsid w:val="00981A95"/>
    <w:rsid w:val="00982015"/>
    <w:rsid w:val="00982379"/>
    <w:rsid w:val="00983043"/>
    <w:rsid w:val="00983E39"/>
    <w:rsid w:val="0098547E"/>
    <w:rsid w:val="009857E0"/>
    <w:rsid w:val="009873F2"/>
    <w:rsid w:val="0099028C"/>
    <w:rsid w:val="00990F50"/>
    <w:rsid w:val="00991146"/>
    <w:rsid w:val="00992B8D"/>
    <w:rsid w:val="00992C65"/>
    <w:rsid w:val="00993029"/>
    <w:rsid w:val="00993850"/>
    <w:rsid w:val="009941BA"/>
    <w:rsid w:val="00996E91"/>
    <w:rsid w:val="00997448"/>
    <w:rsid w:val="009A2E2B"/>
    <w:rsid w:val="009A34AE"/>
    <w:rsid w:val="009A43C8"/>
    <w:rsid w:val="009A4537"/>
    <w:rsid w:val="009A46C2"/>
    <w:rsid w:val="009A48E8"/>
    <w:rsid w:val="009A4BE0"/>
    <w:rsid w:val="009A641D"/>
    <w:rsid w:val="009A6AAE"/>
    <w:rsid w:val="009B127A"/>
    <w:rsid w:val="009B472D"/>
    <w:rsid w:val="009B5628"/>
    <w:rsid w:val="009B70E2"/>
    <w:rsid w:val="009B7C4C"/>
    <w:rsid w:val="009C0F77"/>
    <w:rsid w:val="009C2322"/>
    <w:rsid w:val="009C2A43"/>
    <w:rsid w:val="009C30D4"/>
    <w:rsid w:val="009C4FBD"/>
    <w:rsid w:val="009C57FB"/>
    <w:rsid w:val="009C7907"/>
    <w:rsid w:val="009D0BC6"/>
    <w:rsid w:val="009D118F"/>
    <w:rsid w:val="009D2B31"/>
    <w:rsid w:val="009D366A"/>
    <w:rsid w:val="009D3B78"/>
    <w:rsid w:val="009D43C1"/>
    <w:rsid w:val="009D4856"/>
    <w:rsid w:val="009D4BA4"/>
    <w:rsid w:val="009D627E"/>
    <w:rsid w:val="009D7E3D"/>
    <w:rsid w:val="009E1FD9"/>
    <w:rsid w:val="009E2DDA"/>
    <w:rsid w:val="009E512E"/>
    <w:rsid w:val="009E6074"/>
    <w:rsid w:val="009E68DA"/>
    <w:rsid w:val="009E6E89"/>
    <w:rsid w:val="009E727D"/>
    <w:rsid w:val="009F092D"/>
    <w:rsid w:val="009F1B3B"/>
    <w:rsid w:val="009F1FEA"/>
    <w:rsid w:val="009F306A"/>
    <w:rsid w:val="009F3F2C"/>
    <w:rsid w:val="009F4361"/>
    <w:rsid w:val="009F5599"/>
    <w:rsid w:val="009F5BD3"/>
    <w:rsid w:val="00A0001D"/>
    <w:rsid w:val="00A005E5"/>
    <w:rsid w:val="00A013AE"/>
    <w:rsid w:val="00A0310F"/>
    <w:rsid w:val="00A0321D"/>
    <w:rsid w:val="00A0399A"/>
    <w:rsid w:val="00A046B0"/>
    <w:rsid w:val="00A07B5E"/>
    <w:rsid w:val="00A1054C"/>
    <w:rsid w:val="00A10DAD"/>
    <w:rsid w:val="00A11097"/>
    <w:rsid w:val="00A13346"/>
    <w:rsid w:val="00A13D93"/>
    <w:rsid w:val="00A1465E"/>
    <w:rsid w:val="00A150FD"/>
    <w:rsid w:val="00A15761"/>
    <w:rsid w:val="00A15A88"/>
    <w:rsid w:val="00A16CDE"/>
    <w:rsid w:val="00A17F7C"/>
    <w:rsid w:val="00A2204D"/>
    <w:rsid w:val="00A243CC"/>
    <w:rsid w:val="00A253D0"/>
    <w:rsid w:val="00A256AD"/>
    <w:rsid w:val="00A257D4"/>
    <w:rsid w:val="00A25814"/>
    <w:rsid w:val="00A279A3"/>
    <w:rsid w:val="00A30010"/>
    <w:rsid w:val="00A30421"/>
    <w:rsid w:val="00A34C76"/>
    <w:rsid w:val="00A34DDA"/>
    <w:rsid w:val="00A35BB5"/>
    <w:rsid w:val="00A423B3"/>
    <w:rsid w:val="00A4357B"/>
    <w:rsid w:val="00A44819"/>
    <w:rsid w:val="00A45BC6"/>
    <w:rsid w:val="00A462DE"/>
    <w:rsid w:val="00A50774"/>
    <w:rsid w:val="00A52E02"/>
    <w:rsid w:val="00A52E22"/>
    <w:rsid w:val="00A53CD7"/>
    <w:rsid w:val="00A53CDF"/>
    <w:rsid w:val="00A5758D"/>
    <w:rsid w:val="00A57FEF"/>
    <w:rsid w:val="00A63C99"/>
    <w:rsid w:val="00A642EB"/>
    <w:rsid w:val="00A64D84"/>
    <w:rsid w:val="00A65656"/>
    <w:rsid w:val="00A672B0"/>
    <w:rsid w:val="00A673A0"/>
    <w:rsid w:val="00A67518"/>
    <w:rsid w:val="00A7030F"/>
    <w:rsid w:val="00A709C2"/>
    <w:rsid w:val="00A709E4"/>
    <w:rsid w:val="00A70D18"/>
    <w:rsid w:val="00A73B77"/>
    <w:rsid w:val="00A768DB"/>
    <w:rsid w:val="00A77259"/>
    <w:rsid w:val="00A77C62"/>
    <w:rsid w:val="00A85364"/>
    <w:rsid w:val="00A8560C"/>
    <w:rsid w:val="00A85702"/>
    <w:rsid w:val="00A862E8"/>
    <w:rsid w:val="00A87030"/>
    <w:rsid w:val="00A87843"/>
    <w:rsid w:val="00A87D0F"/>
    <w:rsid w:val="00A902CD"/>
    <w:rsid w:val="00A92168"/>
    <w:rsid w:val="00A9321C"/>
    <w:rsid w:val="00A939FD"/>
    <w:rsid w:val="00A95567"/>
    <w:rsid w:val="00A957B7"/>
    <w:rsid w:val="00A968F9"/>
    <w:rsid w:val="00AA0AFB"/>
    <w:rsid w:val="00AA228F"/>
    <w:rsid w:val="00AA480A"/>
    <w:rsid w:val="00AA70A3"/>
    <w:rsid w:val="00AB01A1"/>
    <w:rsid w:val="00AB1134"/>
    <w:rsid w:val="00AB3609"/>
    <w:rsid w:val="00AB58F3"/>
    <w:rsid w:val="00AB650E"/>
    <w:rsid w:val="00AB71E0"/>
    <w:rsid w:val="00AB783D"/>
    <w:rsid w:val="00AC07CF"/>
    <w:rsid w:val="00AC0991"/>
    <w:rsid w:val="00AC20E0"/>
    <w:rsid w:val="00AC2454"/>
    <w:rsid w:val="00AC2B04"/>
    <w:rsid w:val="00AC3969"/>
    <w:rsid w:val="00AC493E"/>
    <w:rsid w:val="00AC7324"/>
    <w:rsid w:val="00AC7D10"/>
    <w:rsid w:val="00AD0B1B"/>
    <w:rsid w:val="00AD236B"/>
    <w:rsid w:val="00AD302C"/>
    <w:rsid w:val="00AD356E"/>
    <w:rsid w:val="00AD3ABE"/>
    <w:rsid w:val="00AD3C14"/>
    <w:rsid w:val="00AD47D4"/>
    <w:rsid w:val="00AD4CF8"/>
    <w:rsid w:val="00AD5706"/>
    <w:rsid w:val="00AD65CE"/>
    <w:rsid w:val="00AE1C1F"/>
    <w:rsid w:val="00AE3F8B"/>
    <w:rsid w:val="00AE4FA3"/>
    <w:rsid w:val="00AE5BB7"/>
    <w:rsid w:val="00AE5EB1"/>
    <w:rsid w:val="00AE749D"/>
    <w:rsid w:val="00AE7A86"/>
    <w:rsid w:val="00AE7C84"/>
    <w:rsid w:val="00AF0AA6"/>
    <w:rsid w:val="00AF1049"/>
    <w:rsid w:val="00AF3129"/>
    <w:rsid w:val="00AF35C1"/>
    <w:rsid w:val="00AF4E62"/>
    <w:rsid w:val="00AF584B"/>
    <w:rsid w:val="00AF68B9"/>
    <w:rsid w:val="00AF7002"/>
    <w:rsid w:val="00AF78D3"/>
    <w:rsid w:val="00AF79F4"/>
    <w:rsid w:val="00AF7DA5"/>
    <w:rsid w:val="00B016DD"/>
    <w:rsid w:val="00B02362"/>
    <w:rsid w:val="00B048EB"/>
    <w:rsid w:val="00B0697A"/>
    <w:rsid w:val="00B06C7E"/>
    <w:rsid w:val="00B10E1D"/>
    <w:rsid w:val="00B11032"/>
    <w:rsid w:val="00B128E6"/>
    <w:rsid w:val="00B144E5"/>
    <w:rsid w:val="00B1505E"/>
    <w:rsid w:val="00B16FC1"/>
    <w:rsid w:val="00B24C82"/>
    <w:rsid w:val="00B24F1F"/>
    <w:rsid w:val="00B24F59"/>
    <w:rsid w:val="00B251A2"/>
    <w:rsid w:val="00B25F51"/>
    <w:rsid w:val="00B261E0"/>
    <w:rsid w:val="00B27A06"/>
    <w:rsid w:val="00B27C90"/>
    <w:rsid w:val="00B30AB9"/>
    <w:rsid w:val="00B31E2E"/>
    <w:rsid w:val="00B32195"/>
    <w:rsid w:val="00B354EF"/>
    <w:rsid w:val="00B36063"/>
    <w:rsid w:val="00B404A4"/>
    <w:rsid w:val="00B42DFD"/>
    <w:rsid w:val="00B43EF7"/>
    <w:rsid w:val="00B44741"/>
    <w:rsid w:val="00B4474A"/>
    <w:rsid w:val="00B46285"/>
    <w:rsid w:val="00B4667C"/>
    <w:rsid w:val="00B467E5"/>
    <w:rsid w:val="00B502A3"/>
    <w:rsid w:val="00B503C5"/>
    <w:rsid w:val="00B5076B"/>
    <w:rsid w:val="00B507BE"/>
    <w:rsid w:val="00B50C13"/>
    <w:rsid w:val="00B50D67"/>
    <w:rsid w:val="00B51ACB"/>
    <w:rsid w:val="00B53100"/>
    <w:rsid w:val="00B5320C"/>
    <w:rsid w:val="00B54AB7"/>
    <w:rsid w:val="00B56EA6"/>
    <w:rsid w:val="00B6183A"/>
    <w:rsid w:val="00B61F6B"/>
    <w:rsid w:val="00B6274D"/>
    <w:rsid w:val="00B63A75"/>
    <w:rsid w:val="00B64875"/>
    <w:rsid w:val="00B65A3B"/>
    <w:rsid w:val="00B65ED3"/>
    <w:rsid w:val="00B66858"/>
    <w:rsid w:val="00B66D03"/>
    <w:rsid w:val="00B70E5B"/>
    <w:rsid w:val="00B714BA"/>
    <w:rsid w:val="00B7202B"/>
    <w:rsid w:val="00B72D3B"/>
    <w:rsid w:val="00B757F4"/>
    <w:rsid w:val="00B76D3C"/>
    <w:rsid w:val="00B77059"/>
    <w:rsid w:val="00B80EFF"/>
    <w:rsid w:val="00B81ADB"/>
    <w:rsid w:val="00B826D7"/>
    <w:rsid w:val="00B8638B"/>
    <w:rsid w:val="00B876EF"/>
    <w:rsid w:val="00B878D4"/>
    <w:rsid w:val="00B90A95"/>
    <w:rsid w:val="00B91261"/>
    <w:rsid w:val="00B9187C"/>
    <w:rsid w:val="00B92158"/>
    <w:rsid w:val="00B93C95"/>
    <w:rsid w:val="00B945AD"/>
    <w:rsid w:val="00B946ED"/>
    <w:rsid w:val="00B94BD4"/>
    <w:rsid w:val="00B94F2A"/>
    <w:rsid w:val="00B952BF"/>
    <w:rsid w:val="00B9648C"/>
    <w:rsid w:val="00B96AE0"/>
    <w:rsid w:val="00BA17F3"/>
    <w:rsid w:val="00BA5C56"/>
    <w:rsid w:val="00BA5E43"/>
    <w:rsid w:val="00BA6ADA"/>
    <w:rsid w:val="00BA6D9E"/>
    <w:rsid w:val="00BB2619"/>
    <w:rsid w:val="00BB3228"/>
    <w:rsid w:val="00BB3B42"/>
    <w:rsid w:val="00BB6EE8"/>
    <w:rsid w:val="00BB79D6"/>
    <w:rsid w:val="00BB7D67"/>
    <w:rsid w:val="00BC0B4C"/>
    <w:rsid w:val="00BC2765"/>
    <w:rsid w:val="00BC3E9E"/>
    <w:rsid w:val="00BC58F2"/>
    <w:rsid w:val="00BC6B3A"/>
    <w:rsid w:val="00BD136D"/>
    <w:rsid w:val="00BD1B9B"/>
    <w:rsid w:val="00BD4917"/>
    <w:rsid w:val="00BD5090"/>
    <w:rsid w:val="00BD662B"/>
    <w:rsid w:val="00BD6D66"/>
    <w:rsid w:val="00BE2638"/>
    <w:rsid w:val="00BE2B46"/>
    <w:rsid w:val="00BE2EE4"/>
    <w:rsid w:val="00BE6585"/>
    <w:rsid w:val="00BF041D"/>
    <w:rsid w:val="00BF5843"/>
    <w:rsid w:val="00BF796F"/>
    <w:rsid w:val="00C002D1"/>
    <w:rsid w:val="00C04501"/>
    <w:rsid w:val="00C057BF"/>
    <w:rsid w:val="00C10A5B"/>
    <w:rsid w:val="00C10CA9"/>
    <w:rsid w:val="00C110B5"/>
    <w:rsid w:val="00C11E15"/>
    <w:rsid w:val="00C1346C"/>
    <w:rsid w:val="00C15067"/>
    <w:rsid w:val="00C1646B"/>
    <w:rsid w:val="00C16FC3"/>
    <w:rsid w:val="00C20CD9"/>
    <w:rsid w:val="00C238EA"/>
    <w:rsid w:val="00C23CAC"/>
    <w:rsid w:val="00C240D2"/>
    <w:rsid w:val="00C253E3"/>
    <w:rsid w:val="00C255C6"/>
    <w:rsid w:val="00C27CB3"/>
    <w:rsid w:val="00C33EE3"/>
    <w:rsid w:val="00C35678"/>
    <w:rsid w:val="00C378AE"/>
    <w:rsid w:val="00C37EDB"/>
    <w:rsid w:val="00C40F03"/>
    <w:rsid w:val="00C41030"/>
    <w:rsid w:val="00C42E2A"/>
    <w:rsid w:val="00C44058"/>
    <w:rsid w:val="00C47087"/>
    <w:rsid w:val="00C528BD"/>
    <w:rsid w:val="00C52CD4"/>
    <w:rsid w:val="00C53A13"/>
    <w:rsid w:val="00C544FB"/>
    <w:rsid w:val="00C54992"/>
    <w:rsid w:val="00C56305"/>
    <w:rsid w:val="00C56705"/>
    <w:rsid w:val="00C57FAA"/>
    <w:rsid w:val="00C60A8E"/>
    <w:rsid w:val="00C6293D"/>
    <w:rsid w:val="00C65D40"/>
    <w:rsid w:val="00C70809"/>
    <w:rsid w:val="00C7232A"/>
    <w:rsid w:val="00C73AF7"/>
    <w:rsid w:val="00C73DE9"/>
    <w:rsid w:val="00C75E1C"/>
    <w:rsid w:val="00C76577"/>
    <w:rsid w:val="00C7769C"/>
    <w:rsid w:val="00C776E0"/>
    <w:rsid w:val="00C808F8"/>
    <w:rsid w:val="00C80A78"/>
    <w:rsid w:val="00C81D94"/>
    <w:rsid w:val="00C820DD"/>
    <w:rsid w:val="00C82E2B"/>
    <w:rsid w:val="00C8612F"/>
    <w:rsid w:val="00C904CD"/>
    <w:rsid w:val="00C90F03"/>
    <w:rsid w:val="00C91A44"/>
    <w:rsid w:val="00C91C0F"/>
    <w:rsid w:val="00C92246"/>
    <w:rsid w:val="00C92689"/>
    <w:rsid w:val="00C944EF"/>
    <w:rsid w:val="00C9671C"/>
    <w:rsid w:val="00C96E7D"/>
    <w:rsid w:val="00C97289"/>
    <w:rsid w:val="00CA08B6"/>
    <w:rsid w:val="00CA198F"/>
    <w:rsid w:val="00CA2EB1"/>
    <w:rsid w:val="00CA3348"/>
    <w:rsid w:val="00CA3E5A"/>
    <w:rsid w:val="00CA4A1B"/>
    <w:rsid w:val="00CA5156"/>
    <w:rsid w:val="00CA7052"/>
    <w:rsid w:val="00CB1EDB"/>
    <w:rsid w:val="00CB2FF9"/>
    <w:rsid w:val="00CB40B4"/>
    <w:rsid w:val="00CB4CD6"/>
    <w:rsid w:val="00CB5B8D"/>
    <w:rsid w:val="00CB603A"/>
    <w:rsid w:val="00CC0AAE"/>
    <w:rsid w:val="00CC3B2F"/>
    <w:rsid w:val="00CC46D3"/>
    <w:rsid w:val="00CC4B70"/>
    <w:rsid w:val="00CC4D53"/>
    <w:rsid w:val="00CC63DC"/>
    <w:rsid w:val="00CC673E"/>
    <w:rsid w:val="00CD027B"/>
    <w:rsid w:val="00CD051F"/>
    <w:rsid w:val="00CD1855"/>
    <w:rsid w:val="00CD1975"/>
    <w:rsid w:val="00CD1E25"/>
    <w:rsid w:val="00CD1F8D"/>
    <w:rsid w:val="00CD499E"/>
    <w:rsid w:val="00CD6360"/>
    <w:rsid w:val="00CD68AF"/>
    <w:rsid w:val="00CE264C"/>
    <w:rsid w:val="00CE2690"/>
    <w:rsid w:val="00CE2FEA"/>
    <w:rsid w:val="00CE38A3"/>
    <w:rsid w:val="00CE480D"/>
    <w:rsid w:val="00CE5578"/>
    <w:rsid w:val="00CF13E6"/>
    <w:rsid w:val="00CF4C80"/>
    <w:rsid w:val="00CF4D5E"/>
    <w:rsid w:val="00CF50F6"/>
    <w:rsid w:val="00CF64D3"/>
    <w:rsid w:val="00CF6853"/>
    <w:rsid w:val="00CF6B3C"/>
    <w:rsid w:val="00CF716B"/>
    <w:rsid w:val="00CF7A77"/>
    <w:rsid w:val="00D01BFE"/>
    <w:rsid w:val="00D028D5"/>
    <w:rsid w:val="00D061C4"/>
    <w:rsid w:val="00D1007B"/>
    <w:rsid w:val="00D10269"/>
    <w:rsid w:val="00D1085D"/>
    <w:rsid w:val="00D11101"/>
    <w:rsid w:val="00D14B14"/>
    <w:rsid w:val="00D1508C"/>
    <w:rsid w:val="00D158BC"/>
    <w:rsid w:val="00D16D54"/>
    <w:rsid w:val="00D1789F"/>
    <w:rsid w:val="00D17BE0"/>
    <w:rsid w:val="00D2006A"/>
    <w:rsid w:val="00D201BF"/>
    <w:rsid w:val="00D2050B"/>
    <w:rsid w:val="00D2310A"/>
    <w:rsid w:val="00D2444D"/>
    <w:rsid w:val="00D25FC7"/>
    <w:rsid w:val="00D26F59"/>
    <w:rsid w:val="00D27C35"/>
    <w:rsid w:val="00D30E16"/>
    <w:rsid w:val="00D31514"/>
    <w:rsid w:val="00D31AE6"/>
    <w:rsid w:val="00D32117"/>
    <w:rsid w:val="00D34347"/>
    <w:rsid w:val="00D34DF6"/>
    <w:rsid w:val="00D35237"/>
    <w:rsid w:val="00D35569"/>
    <w:rsid w:val="00D355AC"/>
    <w:rsid w:val="00D35AA7"/>
    <w:rsid w:val="00D37BEF"/>
    <w:rsid w:val="00D40676"/>
    <w:rsid w:val="00D41280"/>
    <w:rsid w:val="00D43C94"/>
    <w:rsid w:val="00D44511"/>
    <w:rsid w:val="00D44884"/>
    <w:rsid w:val="00D4582D"/>
    <w:rsid w:val="00D47C4E"/>
    <w:rsid w:val="00D47E53"/>
    <w:rsid w:val="00D53A5F"/>
    <w:rsid w:val="00D53CEB"/>
    <w:rsid w:val="00D541B8"/>
    <w:rsid w:val="00D54ABF"/>
    <w:rsid w:val="00D616F0"/>
    <w:rsid w:val="00D6250C"/>
    <w:rsid w:val="00D63DCB"/>
    <w:rsid w:val="00D6471D"/>
    <w:rsid w:val="00D6595C"/>
    <w:rsid w:val="00D67597"/>
    <w:rsid w:val="00D70340"/>
    <w:rsid w:val="00D70EE7"/>
    <w:rsid w:val="00D713E0"/>
    <w:rsid w:val="00D72D0B"/>
    <w:rsid w:val="00D73B8E"/>
    <w:rsid w:val="00D73F17"/>
    <w:rsid w:val="00D74689"/>
    <w:rsid w:val="00D75330"/>
    <w:rsid w:val="00D76AF7"/>
    <w:rsid w:val="00D80508"/>
    <w:rsid w:val="00D84BE7"/>
    <w:rsid w:val="00D85366"/>
    <w:rsid w:val="00D9025D"/>
    <w:rsid w:val="00D9073E"/>
    <w:rsid w:val="00D91153"/>
    <w:rsid w:val="00D93BC3"/>
    <w:rsid w:val="00D956BF"/>
    <w:rsid w:val="00D95968"/>
    <w:rsid w:val="00D95B56"/>
    <w:rsid w:val="00DA065B"/>
    <w:rsid w:val="00DA06FE"/>
    <w:rsid w:val="00DA1392"/>
    <w:rsid w:val="00DA1D7D"/>
    <w:rsid w:val="00DA2009"/>
    <w:rsid w:val="00DA3F8A"/>
    <w:rsid w:val="00DA44EB"/>
    <w:rsid w:val="00DA4F8D"/>
    <w:rsid w:val="00DA4FB6"/>
    <w:rsid w:val="00DA57F1"/>
    <w:rsid w:val="00DA7EE5"/>
    <w:rsid w:val="00DB1884"/>
    <w:rsid w:val="00DB2FD1"/>
    <w:rsid w:val="00DB3B03"/>
    <w:rsid w:val="00DB3F59"/>
    <w:rsid w:val="00DC1433"/>
    <w:rsid w:val="00DC1780"/>
    <w:rsid w:val="00DC1888"/>
    <w:rsid w:val="00DC4439"/>
    <w:rsid w:val="00DC53D1"/>
    <w:rsid w:val="00DC5C43"/>
    <w:rsid w:val="00DC775B"/>
    <w:rsid w:val="00DC7D10"/>
    <w:rsid w:val="00DD08DF"/>
    <w:rsid w:val="00DD0B2A"/>
    <w:rsid w:val="00DD169E"/>
    <w:rsid w:val="00DD1A19"/>
    <w:rsid w:val="00DD2BFC"/>
    <w:rsid w:val="00DD34C2"/>
    <w:rsid w:val="00DD35D2"/>
    <w:rsid w:val="00DD434A"/>
    <w:rsid w:val="00DD43B9"/>
    <w:rsid w:val="00DD5CF6"/>
    <w:rsid w:val="00DD7F3C"/>
    <w:rsid w:val="00DE2D10"/>
    <w:rsid w:val="00DE35BC"/>
    <w:rsid w:val="00DE491E"/>
    <w:rsid w:val="00DE6996"/>
    <w:rsid w:val="00DE6D39"/>
    <w:rsid w:val="00DF0918"/>
    <w:rsid w:val="00DF0A5B"/>
    <w:rsid w:val="00DF0D64"/>
    <w:rsid w:val="00DF1AF4"/>
    <w:rsid w:val="00DF1B36"/>
    <w:rsid w:val="00DF20C0"/>
    <w:rsid w:val="00DF35BC"/>
    <w:rsid w:val="00DF4138"/>
    <w:rsid w:val="00DF4904"/>
    <w:rsid w:val="00DF5D64"/>
    <w:rsid w:val="00DF709A"/>
    <w:rsid w:val="00DF7195"/>
    <w:rsid w:val="00E01AD4"/>
    <w:rsid w:val="00E07223"/>
    <w:rsid w:val="00E07370"/>
    <w:rsid w:val="00E116B4"/>
    <w:rsid w:val="00E116E7"/>
    <w:rsid w:val="00E11836"/>
    <w:rsid w:val="00E11CD2"/>
    <w:rsid w:val="00E11EFB"/>
    <w:rsid w:val="00E122F3"/>
    <w:rsid w:val="00E131B4"/>
    <w:rsid w:val="00E1346C"/>
    <w:rsid w:val="00E14F94"/>
    <w:rsid w:val="00E15741"/>
    <w:rsid w:val="00E21AB5"/>
    <w:rsid w:val="00E22A29"/>
    <w:rsid w:val="00E23241"/>
    <w:rsid w:val="00E23303"/>
    <w:rsid w:val="00E25AA1"/>
    <w:rsid w:val="00E2663F"/>
    <w:rsid w:val="00E2775F"/>
    <w:rsid w:val="00E30692"/>
    <w:rsid w:val="00E32157"/>
    <w:rsid w:val="00E33621"/>
    <w:rsid w:val="00E34088"/>
    <w:rsid w:val="00E36AAB"/>
    <w:rsid w:val="00E422D0"/>
    <w:rsid w:val="00E439FB"/>
    <w:rsid w:val="00E43A1B"/>
    <w:rsid w:val="00E43DEA"/>
    <w:rsid w:val="00E44041"/>
    <w:rsid w:val="00E44C23"/>
    <w:rsid w:val="00E51499"/>
    <w:rsid w:val="00E52922"/>
    <w:rsid w:val="00E572E2"/>
    <w:rsid w:val="00E62695"/>
    <w:rsid w:val="00E62D9D"/>
    <w:rsid w:val="00E64396"/>
    <w:rsid w:val="00E6531F"/>
    <w:rsid w:val="00E6632E"/>
    <w:rsid w:val="00E67CD3"/>
    <w:rsid w:val="00E70A0C"/>
    <w:rsid w:val="00E72E34"/>
    <w:rsid w:val="00E7343D"/>
    <w:rsid w:val="00E73631"/>
    <w:rsid w:val="00E74BD5"/>
    <w:rsid w:val="00E75689"/>
    <w:rsid w:val="00E769BF"/>
    <w:rsid w:val="00E805A1"/>
    <w:rsid w:val="00E80FDA"/>
    <w:rsid w:val="00E815C8"/>
    <w:rsid w:val="00E820E5"/>
    <w:rsid w:val="00E82D62"/>
    <w:rsid w:val="00E8320F"/>
    <w:rsid w:val="00E844EA"/>
    <w:rsid w:val="00E84811"/>
    <w:rsid w:val="00E85D75"/>
    <w:rsid w:val="00E87261"/>
    <w:rsid w:val="00E90581"/>
    <w:rsid w:val="00E91238"/>
    <w:rsid w:val="00E91EBD"/>
    <w:rsid w:val="00E9505C"/>
    <w:rsid w:val="00E96156"/>
    <w:rsid w:val="00E96C93"/>
    <w:rsid w:val="00E9782A"/>
    <w:rsid w:val="00E978D4"/>
    <w:rsid w:val="00E97B6E"/>
    <w:rsid w:val="00EA0C0A"/>
    <w:rsid w:val="00EA13AA"/>
    <w:rsid w:val="00EA2CAF"/>
    <w:rsid w:val="00EA34EF"/>
    <w:rsid w:val="00EA4E45"/>
    <w:rsid w:val="00EA6268"/>
    <w:rsid w:val="00EA6811"/>
    <w:rsid w:val="00EB086D"/>
    <w:rsid w:val="00EB0999"/>
    <w:rsid w:val="00EB1257"/>
    <w:rsid w:val="00EB247F"/>
    <w:rsid w:val="00EB43DB"/>
    <w:rsid w:val="00EB65D0"/>
    <w:rsid w:val="00EB76CD"/>
    <w:rsid w:val="00EC4471"/>
    <w:rsid w:val="00EC57B8"/>
    <w:rsid w:val="00EC74EF"/>
    <w:rsid w:val="00ED025F"/>
    <w:rsid w:val="00ED2F02"/>
    <w:rsid w:val="00ED40EA"/>
    <w:rsid w:val="00ED448D"/>
    <w:rsid w:val="00ED44FB"/>
    <w:rsid w:val="00ED5310"/>
    <w:rsid w:val="00ED7489"/>
    <w:rsid w:val="00EE0272"/>
    <w:rsid w:val="00EE1DB1"/>
    <w:rsid w:val="00EE274A"/>
    <w:rsid w:val="00EE4460"/>
    <w:rsid w:val="00EE5D13"/>
    <w:rsid w:val="00EF21F4"/>
    <w:rsid w:val="00EF2247"/>
    <w:rsid w:val="00EF5C2B"/>
    <w:rsid w:val="00EF6963"/>
    <w:rsid w:val="00EF6E84"/>
    <w:rsid w:val="00F0178C"/>
    <w:rsid w:val="00F05491"/>
    <w:rsid w:val="00F0595F"/>
    <w:rsid w:val="00F0598F"/>
    <w:rsid w:val="00F068FB"/>
    <w:rsid w:val="00F06F88"/>
    <w:rsid w:val="00F07D61"/>
    <w:rsid w:val="00F121A9"/>
    <w:rsid w:val="00F12D44"/>
    <w:rsid w:val="00F13244"/>
    <w:rsid w:val="00F15AEE"/>
    <w:rsid w:val="00F15F5A"/>
    <w:rsid w:val="00F20284"/>
    <w:rsid w:val="00F20A47"/>
    <w:rsid w:val="00F20BB9"/>
    <w:rsid w:val="00F248E0"/>
    <w:rsid w:val="00F26176"/>
    <w:rsid w:val="00F3062B"/>
    <w:rsid w:val="00F30D84"/>
    <w:rsid w:val="00F31589"/>
    <w:rsid w:val="00F32804"/>
    <w:rsid w:val="00F3313C"/>
    <w:rsid w:val="00F3402F"/>
    <w:rsid w:val="00F346F2"/>
    <w:rsid w:val="00F3652A"/>
    <w:rsid w:val="00F41301"/>
    <w:rsid w:val="00F43740"/>
    <w:rsid w:val="00F4393C"/>
    <w:rsid w:val="00F46737"/>
    <w:rsid w:val="00F51661"/>
    <w:rsid w:val="00F52595"/>
    <w:rsid w:val="00F526FE"/>
    <w:rsid w:val="00F53092"/>
    <w:rsid w:val="00F530FC"/>
    <w:rsid w:val="00F5371A"/>
    <w:rsid w:val="00F53A0C"/>
    <w:rsid w:val="00F53D99"/>
    <w:rsid w:val="00F54334"/>
    <w:rsid w:val="00F55AE0"/>
    <w:rsid w:val="00F55EA0"/>
    <w:rsid w:val="00F61DCA"/>
    <w:rsid w:val="00F66B55"/>
    <w:rsid w:val="00F66D25"/>
    <w:rsid w:val="00F70E2C"/>
    <w:rsid w:val="00F73235"/>
    <w:rsid w:val="00F74517"/>
    <w:rsid w:val="00F75CF4"/>
    <w:rsid w:val="00F76504"/>
    <w:rsid w:val="00F77F3C"/>
    <w:rsid w:val="00F829E3"/>
    <w:rsid w:val="00F82DDF"/>
    <w:rsid w:val="00F8464C"/>
    <w:rsid w:val="00F84DB6"/>
    <w:rsid w:val="00F8509A"/>
    <w:rsid w:val="00F85711"/>
    <w:rsid w:val="00F85F3B"/>
    <w:rsid w:val="00F85FFB"/>
    <w:rsid w:val="00F87987"/>
    <w:rsid w:val="00F87F05"/>
    <w:rsid w:val="00F901B4"/>
    <w:rsid w:val="00F90D56"/>
    <w:rsid w:val="00F929BF"/>
    <w:rsid w:val="00F92F14"/>
    <w:rsid w:val="00F9615F"/>
    <w:rsid w:val="00FA2088"/>
    <w:rsid w:val="00FA2194"/>
    <w:rsid w:val="00FA277C"/>
    <w:rsid w:val="00FA37DA"/>
    <w:rsid w:val="00FA3CFE"/>
    <w:rsid w:val="00FA47B0"/>
    <w:rsid w:val="00FA5114"/>
    <w:rsid w:val="00FA5A41"/>
    <w:rsid w:val="00FA5B93"/>
    <w:rsid w:val="00FA6183"/>
    <w:rsid w:val="00FA6726"/>
    <w:rsid w:val="00FA6897"/>
    <w:rsid w:val="00FA7609"/>
    <w:rsid w:val="00FA7C26"/>
    <w:rsid w:val="00FB1AC9"/>
    <w:rsid w:val="00FB2318"/>
    <w:rsid w:val="00FB2C53"/>
    <w:rsid w:val="00FB2DC0"/>
    <w:rsid w:val="00FB35CE"/>
    <w:rsid w:val="00FB3AB3"/>
    <w:rsid w:val="00FB5A98"/>
    <w:rsid w:val="00FB649C"/>
    <w:rsid w:val="00FB68C4"/>
    <w:rsid w:val="00FB6A24"/>
    <w:rsid w:val="00FB77B2"/>
    <w:rsid w:val="00FC030D"/>
    <w:rsid w:val="00FC2C8B"/>
    <w:rsid w:val="00FC30DF"/>
    <w:rsid w:val="00FC31DD"/>
    <w:rsid w:val="00FC3C6A"/>
    <w:rsid w:val="00FC5083"/>
    <w:rsid w:val="00FC560D"/>
    <w:rsid w:val="00FC5775"/>
    <w:rsid w:val="00FC637A"/>
    <w:rsid w:val="00FC667D"/>
    <w:rsid w:val="00FC7D2B"/>
    <w:rsid w:val="00FD0599"/>
    <w:rsid w:val="00FD1E2D"/>
    <w:rsid w:val="00FD2788"/>
    <w:rsid w:val="00FD2AE2"/>
    <w:rsid w:val="00FD4329"/>
    <w:rsid w:val="00FD5F1B"/>
    <w:rsid w:val="00FD61F7"/>
    <w:rsid w:val="00FD65AC"/>
    <w:rsid w:val="00FD7560"/>
    <w:rsid w:val="00FD7744"/>
    <w:rsid w:val="00FD77AF"/>
    <w:rsid w:val="00FD7D07"/>
    <w:rsid w:val="00FD7E80"/>
    <w:rsid w:val="00FE0D61"/>
    <w:rsid w:val="00FE276F"/>
    <w:rsid w:val="00FE53D4"/>
    <w:rsid w:val="00FF038A"/>
    <w:rsid w:val="00FF131B"/>
    <w:rsid w:val="00FF16B5"/>
    <w:rsid w:val="00FF2C9A"/>
    <w:rsid w:val="00FF466F"/>
    <w:rsid w:val="00FF47F5"/>
    <w:rsid w:val="00FF4BE7"/>
    <w:rsid w:val="00FF544E"/>
    <w:rsid w:val="00FF5847"/>
    <w:rsid w:val="00FF5986"/>
    <w:rsid w:val="00FF64DC"/>
    <w:rsid w:val="00FF7453"/>
    <w:rsid w:val="00FF7623"/>
    <w:rsid w:val="00FF7C33"/>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311D3BB-625D-4348-B860-B8347B46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370"/>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70A0C"/>
    <w:pPr>
      <w:keepNext/>
      <w:keepLines/>
      <w:numPr>
        <w:numId w:val="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4"/>
      </w:numPr>
      <w:spacing w:before="36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B06C7E"/>
    <w:pPr>
      <w:keepNext/>
      <w:keepLines/>
      <w:spacing w:before="20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4"/>
      </w:numPr>
      <w:spacing w:before="20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pPr>
      <w:keepNext/>
      <w:keepLines/>
      <w:numPr>
        <w:ilvl w:val="5"/>
        <w:numId w:val="4"/>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70A0C"/>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rsid w:val="006831EE"/>
    <w:pPr>
      <w:spacing w:after="200"/>
      <w:jc w:val="center"/>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line="221" w:lineRule="atLeast"/>
    </w:pPr>
    <w:rPr>
      <w:rFonts w:ascii="Calibri" w:eastAsiaTheme="minorHAnsi" w:hAnsi="Calibri"/>
    </w:rPr>
  </w:style>
  <w:style w:type="paragraph" w:customStyle="1" w:styleId="TableContents">
    <w:name w:val="Table Contents"/>
    <w:basedOn w:val="Normal"/>
    <w:rsid w:val="00541D39"/>
    <w:pPr>
      <w:widowControl w:val="0"/>
      <w:suppressLineNumbers/>
      <w:suppressAutoHyphens/>
      <w:overflowPunct w:val="0"/>
    </w:pPr>
    <w:rPr>
      <w:rFonts w:eastAsia="SimSun"/>
      <w:kern w:val="1"/>
      <w:lang w:eastAsia="ar-SA"/>
    </w:rPr>
  </w:style>
  <w:style w:type="paragraph" w:styleId="BodyText">
    <w:name w:val="Body Text"/>
    <w:basedOn w:val="Normal"/>
    <w:link w:val="BodyTextChar"/>
    <w:rsid w:val="0009232E"/>
    <w:pPr>
      <w:widowControl w:val="0"/>
      <w:suppressAutoHyphens/>
      <w:overflowPunct w:val="0"/>
    </w:pPr>
    <w:rPr>
      <w:rFonts w:eastAsia="SimSun"/>
      <w:kern w:val="1"/>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style>
  <w:style w:type="paragraph" w:styleId="Header">
    <w:name w:val="header"/>
    <w:basedOn w:val="Normal"/>
    <w:link w:val="HeaderChar"/>
    <w:uiPriority w:val="99"/>
    <w:unhideWhenUsed/>
    <w:rsid w:val="00F52595"/>
    <w:pPr>
      <w:tabs>
        <w:tab w:val="center" w:pos="4320"/>
        <w:tab w:val="right" w:pos="8640"/>
      </w:tabs>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430EFB"/>
    <w:pPr>
      <w:spacing w:line="480" w:lineRule="auto"/>
      <w:ind w:left="720" w:hanging="720"/>
    </w:pPr>
  </w:style>
  <w:style w:type="character" w:customStyle="1" w:styleId="apple-converted-space">
    <w:name w:val="apple-converted-space"/>
    <w:basedOn w:val="DefaultParagraphFont"/>
    <w:rsid w:val="00235936"/>
  </w:style>
  <w:style w:type="paragraph" w:styleId="EndnoteText">
    <w:name w:val="endnote text"/>
    <w:basedOn w:val="Normal"/>
    <w:link w:val="EndnoteTextChar"/>
    <w:uiPriority w:val="99"/>
    <w:semiHidden/>
    <w:unhideWhenUsed/>
    <w:rsid w:val="00A709C2"/>
    <w:rPr>
      <w:sz w:val="20"/>
      <w:szCs w:val="20"/>
    </w:rPr>
  </w:style>
  <w:style w:type="character" w:customStyle="1" w:styleId="EndnoteTextChar">
    <w:name w:val="Endnote Text Char"/>
    <w:basedOn w:val="DefaultParagraphFont"/>
    <w:link w:val="EndnoteText"/>
    <w:uiPriority w:val="99"/>
    <w:semiHidden/>
    <w:rsid w:val="00A709C2"/>
    <w:rPr>
      <w:rFonts w:ascii="Times New Roman" w:hAnsi="Times New Roman"/>
      <w:sz w:val="20"/>
      <w:szCs w:val="20"/>
    </w:rPr>
  </w:style>
  <w:style w:type="character" w:styleId="EndnoteReference">
    <w:name w:val="endnote reference"/>
    <w:basedOn w:val="DefaultParagraphFont"/>
    <w:uiPriority w:val="99"/>
    <w:semiHidden/>
    <w:unhideWhenUsed/>
    <w:rsid w:val="00A709C2"/>
    <w:rPr>
      <w:vertAlign w:val="superscript"/>
    </w:rPr>
  </w:style>
  <w:style w:type="character" w:styleId="PlaceholderText">
    <w:name w:val="Placeholder Text"/>
    <w:basedOn w:val="DefaultParagraphFont"/>
    <w:uiPriority w:val="99"/>
    <w:semiHidden/>
    <w:rsid w:val="00E96C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4246">
      <w:bodyDiv w:val="1"/>
      <w:marLeft w:val="0"/>
      <w:marRight w:val="0"/>
      <w:marTop w:val="0"/>
      <w:marBottom w:val="0"/>
      <w:divBdr>
        <w:top w:val="none" w:sz="0" w:space="0" w:color="auto"/>
        <w:left w:val="none" w:sz="0" w:space="0" w:color="auto"/>
        <w:bottom w:val="none" w:sz="0" w:space="0" w:color="auto"/>
        <w:right w:val="none" w:sz="0" w:space="0" w:color="auto"/>
      </w:divBdr>
    </w:div>
    <w:div w:id="23017122">
      <w:bodyDiv w:val="1"/>
      <w:marLeft w:val="0"/>
      <w:marRight w:val="0"/>
      <w:marTop w:val="0"/>
      <w:marBottom w:val="0"/>
      <w:divBdr>
        <w:top w:val="none" w:sz="0" w:space="0" w:color="auto"/>
        <w:left w:val="none" w:sz="0" w:space="0" w:color="auto"/>
        <w:bottom w:val="none" w:sz="0" w:space="0" w:color="auto"/>
        <w:right w:val="none" w:sz="0" w:space="0" w:color="auto"/>
      </w:divBdr>
      <w:divsChild>
        <w:div w:id="271859296">
          <w:marLeft w:val="0"/>
          <w:marRight w:val="0"/>
          <w:marTop w:val="0"/>
          <w:marBottom w:val="0"/>
          <w:divBdr>
            <w:top w:val="none" w:sz="0" w:space="0" w:color="auto"/>
            <w:left w:val="none" w:sz="0" w:space="0" w:color="auto"/>
            <w:bottom w:val="none" w:sz="0" w:space="0" w:color="auto"/>
            <w:right w:val="none" w:sz="0" w:space="0" w:color="auto"/>
          </w:divBdr>
          <w:divsChild>
            <w:div w:id="979849696">
              <w:marLeft w:val="0"/>
              <w:marRight w:val="0"/>
              <w:marTop w:val="0"/>
              <w:marBottom w:val="0"/>
              <w:divBdr>
                <w:top w:val="none" w:sz="0" w:space="0" w:color="auto"/>
                <w:left w:val="none" w:sz="0" w:space="0" w:color="auto"/>
                <w:bottom w:val="none" w:sz="0" w:space="0" w:color="auto"/>
                <w:right w:val="none" w:sz="0" w:space="0" w:color="auto"/>
              </w:divBdr>
              <w:divsChild>
                <w:div w:id="10406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5613">
      <w:bodyDiv w:val="1"/>
      <w:marLeft w:val="0"/>
      <w:marRight w:val="0"/>
      <w:marTop w:val="0"/>
      <w:marBottom w:val="0"/>
      <w:divBdr>
        <w:top w:val="none" w:sz="0" w:space="0" w:color="auto"/>
        <w:left w:val="none" w:sz="0" w:space="0" w:color="auto"/>
        <w:bottom w:val="none" w:sz="0" w:space="0" w:color="auto"/>
        <w:right w:val="none" w:sz="0" w:space="0" w:color="auto"/>
      </w:divBdr>
    </w:div>
    <w:div w:id="38210766">
      <w:bodyDiv w:val="1"/>
      <w:marLeft w:val="0"/>
      <w:marRight w:val="0"/>
      <w:marTop w:val="0"/>
      <w:marBottom w:val="0"/>
      <w:divBdr>
        <w:top w:val="none" w:sz="0" w:space="0" w:color="auto"/>
        <w:left w:val="none" w:sz="0" w:space="0" w:color="auto"/>
        <w:bottom w:val="none" w:sz="0" w:space="0" w:color="auto"/>
        <w:right w:val="none" w:sz="0" w:space="0" w:color="auto"/>
      </w:divBdr>
      <w:divsChild>
        <w:div w:id="1025983726">
          <w:marLeft w:val="0"/>
          <w:marRight w:val="0"/>
          <w:marTop w:val="0"/>
          <w:marBottom w:val="0"/>
          <w:divBdr>
            <w:top w:val="none" w:sz="0" w:space="0" w:color="auto"/>
            <w:left w:val="none" w:sz="0" w:space="0" w:color="auto"/>
            <w:bottom w:val="none" w:sz="0" w:space="0" w:color="auto"/>
            <w:right w:val="none" w:sz="0" w:space="0" w:color="auto"/>
          </w:divBdr>
          <w:divsChild>
            <w:div w:id="1198280771">
              <w:marLeft w:val="0"/>
              <w:marRight w:val="0"/>
              <w:marTop w:val="0"/>
              <w:marBottom w:val="0"/>
              <w:divBdr>
                <w:top w:val="none" w:sz="0" w:space="0" w:color="auto"/>
                <w:left w:val="none" w:sz="0" w:space="0" w:color="auto"/>
                <w:bottom w:val="none" w:sz="0" w:space="0" w:color="auto"/>
                <w:right w:val="none" w:sz="0" w:space="0" w:color="auto"/>
              </w:divBdr>
              <w:divsChild>
                <w:div w:id="14076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86971924">
      <w:bodyDiv w:val="1"/>
      <w:marLeft w:val="0"/>
      <w:marRight w:val="0"/>
      <w:marTop w:val="0"/>
      <w:marBottom w:val="0"/>
      <w:divBdr>
        <w:top w:val="none" w:sz="0" w:space="0" w:color="auto"/>
        <w:left w:val="none" w:sz="0" w:space="0" w:color="auto"/>
        <w:bottom w:val="none" w:sz="0" w:space="0" w:color="auto"/>
        <w:right w:val="none" w:sz="0" w:space="0" w:color="auto"/>
      </w:divBdr>
      <w:divsChild>
        <w:div w:id="1875772850">
          <w:marLeft w:val="0"/>
          <w:marRight w:val="0"/>
          <w:marTop w:val="0"/>
          <w:marBottom w:val="0"/>
          <w:divBdr>
            <w:top w:val="none" w:sz="0" w:space="0" w:color="auto"/>
            <w:left w:val="none" w:sz="0" w:space="0" w:color="auto"/>
            <w:bottom w:val="none" w:sz="0" w:space="0" w:color="auto"/>
            <w:right w:val="none" w:sz="0" w:space="0" w:color="auto"/>
          </w:divBdr>
          <w:divsChild>
            <w:div w:id="1051853353">
              <w:marLeft w:val="0"/>
              <w:marRight w:val="0"/>
              <w:marTop w:val="0"/>
              <w:marBottom w:val="0"/>
              <w:divBdr>
                <w:top w:val="none" w:sz="0" w:space="0" w:color="auto"/>
                <w:left w:val="none" w:sz="0" w:space="0" w:color="auto"/>
                <w:bottom w:val="none" w:sz="0" w:space="0" w:color="auto"/>
                <w:right w:val="none" w:sz="0" w:space="0" w:color="auto"/>
              </w:divBdr>
              <w:divsChild>
                <w:div w:id="19071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557">
      <w:bodyDiv w:val="1"/>
      <w:marLeft w:val="0"/>
      <w:marRight w:val="0"/>
      <w:marTop w:val="0"/>
      <w:marBottom w:val="0"/>
      <w:divBdr>
        <w:top w:val="none" w:sz="0" w:space="0" w:color="auto"/>
        <w:left w:val="none" w:sz="0" w:space="0" w:color="auto"/>
        <w:bottom w:val="none" w:sz="0" w:space="0" w:color="auto"/>
        <w:right w:val="none" w:sz="0" w:space="0" w:color="auto"/>
      </w:divBdr>
      <w:divsChild>
        <w:div w:id="1133670368">
          <w:marLeft w:val="0"/>
          <w:marRight w:val="0"/>
          <w:marTop w:val="0"/>
          <w:marBottom w:val="0"/>
          <w:divBdr>
            <w:top w:val="none" w:sz="0" w:space="0" w:color="auto"/>
            <w:left w:val="none" w:sz="0" w:space="0" w:color="auto"/>
            <w:bottom w:val="none" w:sz="0" w:space="0" w:color="auto"/>
            <w:right w:val="none" w:sz="0" w:space="0" w:color="auto"/>
          </w:divBdr>
          <w:divsChild>
            <w:div w:id="1708868247">
              <w:marLeft w:val="0"/>
              <w:marRight w:val="0"/>
              <w:marTop w:val="0"/>
              <w:marBottom w:val="0"/>
              <w:divBdr>
                <w:top w:val="none" w:sz="0" w:space="0" w:color="auto"/>
                <w:left w:val="none" w:sz="0" w:space="0" w:color="auto"/>
                <w:bottom w:val="none" w:sz="0" w:space="0" w:color="auto"/>
                <w:right w:val="none" w:sz="0" w:space="0" w:color="auto"/>
              </w:divBdr>
              <w:divsChild>
                <w:div w:id="3461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6724679">
      <w:bodyDiv w:val="1"/>
      <w:marLeft w:val="0"/>
      <w:marRight w:val="0"/>
      <w:marTop w:val="0"/>
      <w:marBottom w:val="0"/>
      <w:divBdr>
        <w:top w:val="none" w:sz="0" w:space="0" w:color="auto"/>
        <w:left w:val="none" w:sz="0" w:space="0" w:color="auto"/>
        <w:bottom w:val="none" w:sz="0" w:space="0" w:color="auto"/>
        <w:right w:val="none" w:sz="0" w:space="0" w:color="auto"/>
      </w:divBdr>
      <w:divsChild>
        <w:div w:id="120155788">
          <w:marLeft w:val="0"/>
          <w:marRight w:val="0"/>
          <w:marTop w:val="0"/>
          <w:marBottom w:val="0"/>
          <w:divBdr>
            <w:top w:val="none" w:sz="0" w:space="0" w:color="auto"/>
            <w:left w:val="none" w:sz="0" w:space="0" w:color="auto"/>
            <w:bottom w:val="none" w:sz="0" w:space="0" w:color="auto"/>
            <w:right w:val="none" w:sz="0" w:space="0" w:color="auto"/>
          </w:divBdr>
          <w:divsChild>
            <w:div w:id="765421232">
              <w:marLeft w:val="0"/>
              <w:marRight w:val="0"/>
              <w:marTop w:val="0"/>
              <w:marBottom w:val="0"/>
              <w:divBdr>
                <w:top w:val="none" w:sz="0" w:space="0" w:color="auto"/>
                <w:left w:val="none" w:sz="0" w:space="0" w:color="auto"/>
                <w:bottom w:val="none" w:sz="0" w:space="0" w:color="auto"/>
                <w:right w:val="none" w:sz="0" w:space="0" w:color="auto"/>
              </w:divBdr>
              <w:divsChild>
                <w:div w:id="3043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24432583">
      <w:bodyDiv w:val="1"/>
      <w:marLeft w:val="0"/>
      <w:marRight w:val="0"/>
      <w:marTop w:val="0"/>
      <w:marBottom w:val="0"/>
      <w:divBdr>
        <w:top w:val="none" w:sz="0" w:space="0" w:color="auto"/>
        <w:left w:val="none" w:sz="0" w:space="0" w:color="auto"/>
        <w:bottom w:val="none" w:sz="0" w:space="0" w:color="auto"/>
        <w:right w:val="none" w:sz="0" w:space="0" w:color="auto"/>
      </w:divBdr>
    </w:div>
    <w:div w:id="339546246">
      <w:bodyDiv w:val="1"/>
      <w:marLeft w:val="0"/>
      <w:marRight w:val="0"/>
      <w:marTop w:val="0"/>
      <w:marBottom w:val="0"/>
      <w:divBdr>
        <w:top w:val="none" w:sz="0" w:space="0" w:color="auto"/>
        <w:left w:val="none" w:sz="0" w:space="0" w:color="auto"/>
        <w:bottom w:val="none" w:sz="0" w:space="0" w:color="auto"/>
        <w:right w:val="none" w:sz="0" w:space="0" w:color="auto"/>
      </w:divBdr>
      <w:divsChild>
        <w:div w:id="35669718">
          <w:marLeft w:val="0"/>
          <w:marRight w:val="0"/>
          <w:marTop w:val="0"/>
          <w:marBottom w:val="0"/>
          <w:divBdr>
            <w:top w:val="none" w:sz="0" w:space="0" w:color="auto"/>
            <w:left w:val="none" w:sz="0" w:space="0" w:color="auto"/>
            <w:bottom w:val="none" w:sz="0" w:space="0" w:color="auto"/>
            <w:right w:val="none" w:sz="0" w:space="0" w:color="auto"/>
          </w:divBdr>
          <w:divsChild>
            <w:div w:id="135269740">
              <w:marLeft w:val="0"/>
              <w:marRight w:val="0"/>
              <w:marTop w:val="0"/>
              <w:marBottom w:val="0"/>
              <w:divBdr>
                <w:top w:val="none" w:sz="0" w:space="0" w:color="auto"/>
                <w:left w:val="none" w:sz="0" w:space="0" w:color="auto"/>
                <w:bottom w:val="none" w:sz="0" w:space="0" w:color="auto"/>
                <w:right w:val="none" w:sz="0" w:space="0" w:color="auto"/>
              </w:divBdr>
              <w:divsChild>
                <w:div w:id="10295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247">
      <w:bodyDiv w:val="1"/>
      <w:marLeft w:val="0"/>
      <w:marRight w:val="0"/>
      <w:marTop w:val="0"/>
      <w:marBottom w:val="0"/>
      <w:divBdr>
        <w:top w:val="none" w:sz="0" w:space="0" w:color="auto"/>
        <w:left w:val="none" w:sz="0" w:space="0" w:color="auto"/>
        <w:bottom w:val="none" w:sz="0" w:space="0" w:color="auto"/>
        <w:right w:val="none" w:sz="0" w:space="0" w:color="auto"/>
      </w:divBdr>
      <w:divsChild>
        <w:div w:id="1278298972">
          <w:marLeft w:val="0"/>
          <w:marRight w:val="0"/>
          <w:marTop w:val="0"/>
          <w:marBottom w:val="0"/>
          <w:divBdr>
            <w:top w:val="none" w:sz="0" w:space="0" w:color="auto"/>
            <w:left w:val="none" w:sz="0" w:space="0" w:color="auto"/>
            <w:bottom w:val="none" w:sz="0" w:space="0" w:color="auto"/>
            <w:right w:val="none" w:sz="0" w:space="0" w:color="auto"/>
          </w:divBdr>
          <w:divsChild>
            <w:div w:id="591932161">
              <w:marLeft w:val="0"/>
              <w:marRight w:val="0"/>
              <w:marTop w:val="0"/>
              <w:marBottom w:val="0"/>
              <w:divBdr>
                <w:top w:val="none" w:sz="0" w:space="0" w:color="auto"/>
                <w:left w:val="none" w:sz="0" w:space="0" w:color="auto"/>
                <w:bottom w:val="none" w:sz="0" w:space="0" w:color="auto"/>
                <w:right w:val="none" w:sz="0" w:space="0" w:color="auto"/>
              </w:divBdr>
              <w:divsChild>
                <w:div w:id="11226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58047257">
      <w:bodyDiv w:val="1"/>
      <w:marLeft w:val="0"/>
      <w:marRight w:val="0"/>
      <w:marTop w:val="0"/>
      <w:marBottom w:val="0"/>
      <w:divBdr>
        <w:top w:val="none" w:sz="0" w:space="0" w:color="auto"/>
        <w:left w:val="none" w:sz="0" w:space="0" w:color="auto"/>
        <w:bottom w:val="none" w:sz="0" w:space="0" w:color="auto"/>
        <w:right w:val="none" w:sz="0" w:space="0" w:color="auto"/>
      </w:divBdr>
    </w:div>
    <w:div w:id="385497694">
      <w:bodyDiv w:val="1"/>
      <w:marLeft w:val="0"/>
      <w:marRight w:val="0"/>
      <w:marTop w:val="0"/>
      <w:marBottom w:val="0"/>
      <w:divBdr>
        <w:top w:val="none" w:sz="0" w:space="0" w:color="auto"/>
        <w:left w:val="none" w:sz="0" w:space="0" w:color="auto"/>
        <w:bottom w:val="none" w:sz="0" w:space="0" w:color="auto"/>
        <w:right w:val="none" w:sz="0" w:space="0" w:color="auto"/>
      </w:divBdr>
      <w:divsChild>
        <w:div w:id="633758047">
          <w:marLeft w:val="0"/>
          <w:marRight w:val="0"/>
          <w:marTop w:val="0"/>
          <w:marBottom w:val="0"/>
          <w:divBdr>
            <w:top w:val="none" w:sz="0" w:space="0" w:color="auto"/>
            <w:left w:val="none" w:sz="0" w:space="0" w:color="auto"/>
            <w:bottom w:val="none" w:sz="0" w:space="0" w:color="auto"/>
            <w:right w:val="none" w:sz="0" w:space="0" w:color="auto"/>
          </w:divBdr>
          <w:divsChild>
            <w:div w:id="1237202018">
              <w:marLeft w:val="0"/>
              <w:marRight w:val="0"/>
              <w:marTop w:val="0"/>
              <w:marBottom w:val="0"/>
              <w:divBdr>
                <w:top w:val="none" w:sz="0" w:space="0" w:color="auto"/>
                <w:left w:val="none" w:sz="0" w:space="0" w:color="auto"/>
                <w:bottom w:val="none" w:sz="0" w:space="0" w:color="auto"/>
                <w:right w:val="none" w:sz="0" w:space="0" w:color="auto"/>
              </w:divBdr>
              <w:divsChild>
                <w:div w:id="985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396786378">
      <w:bodyDiv w:val="1"/>
      <w:marLeft w:val="0"/>
      <w:marRight w:val="0"/>
      <w:marTop w:val="0"/>
      <w:marBottom w:val="0"/>
      <w:divBdr>
        <w:top w:val="none" w:sz="0" w:space="0" w:color="auto"/>
        <w:left w:val="none" w:sz="0" w:space="0" w:color="auto"/>
        <w:bottom w:val="none" w:sz="0" w:space="0" w:color="auto"/>
        <w:right w:val="none" w:sz="0" w:space="0" w:color="auto"/>
      </w:divBdr>
    </w:div>
    <w:div w:id="422801296">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14017795">
      <w:bodyDiv w:val="1"/>
      <w:marLeft w:val="0"/>
      <w:marRight w:val="0"/>
      <w:marTop w:val="0"/>
      <w:marBottom w:val="0"/>
      <w:divBdr>
        <w:top w:val="none" w:sz="0" w:space="0" w:color="auto"/>
        <w:left w:val="none" w:sz="0" w:space="0" w:color="auto"/>
        <w:bottom w:val="none" w:sz="0" w:space="0" w:color="auto"/>
        <w:right w:val="none" w:sz="0" w:space="0" w:color="auto"/>
      </w:divBdr>
      <w:divsChild>
        <w:div w:id="1148085726">
          <w:marLeft w:val="0"/>
          <w:marRight w:val="0"/>
          <w:marTop w:val="0"/>
          <w:marBottom w:val="0"/>
          <w:divBdr>
            <w:top w:val="none" w:sz="0" w:space="0" w:color="auto"/>
            <w:left w:val="none" w:sz="0" w:space="0" w:color="auto"/>
            <w:bottom w:val="none" w:sz="0" w:space="0" w:color="auto"/>
            <w:right w:val="none" w:sz="0" w:space="0" w:color="auto"/>
          </w:divBdr>
          <w:divsChild>
            <w:div w:id="1435708291">
              <w:marLeft w:val="0"/>
              <w:marRight w:val="0"/>
              <w:marTop w:val="0"/>
              <w:marBottom w:val="0"/>
              <w:divBdr>
                <w:top w:val="none" w:sz="0" w:space="0" w:color="auto"/>
                <w:left w:val="none" w:sz="0" w:space="0" w:color="auto"/>
                <w:bottom w:val="none" w:sz="0" w:space="0" w:color="auto"/>
                <w:right w:val="none" w:sz="0" w:space="0" w:color="auto"/>
              </w:divBdr>
              <w:divsChild>
                <w:div w:id="474103888">
                  <w:marLeft w:val="0"/>
                  <w:marRight w:val="0"/>
                  <w:marTop w:val="0"/>
                  <w:marBottom w:val="0"/>
                  <w:divBdr>
                    <w:top w:val="none" w:sz="0" w:space="0" w:color="auto"/>
                    <w:left w:val="none" w:sz="0" w:space="0" w:color="auto"/>
                    <w:bottom w:val="none" w:sz="0" w:space="0" w:color="auto"/>
                    <w:right w:val="none" w:sz="0" w:space="0" w:color="auto"/>
                  </w:divBdr>
                  <w:divsChild>
                    <w:div w:id="382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59215">
      <w:bodyDiv w:val="1"/>
      <w:marLeft w:val="0"/>
      <w:marRight w:val="0"/>
      <w:marTop w:val="0"/>
      <w:marBottom w:val="0"/>
      <w:divBdr>
        <w:top w:val="none" w:sz="0" w:space="0" w:color="auto"/>
        <w:left w:val="none" w:sz="0" w:space="0" w:color="auto"/>
        <w:bottom w:val="none" w:sz="0" w:space="0" w:color="auto"/>
        <w:right w:val="none" w:sz="0" w:space="0" w:color="auto"/>
      </w:divBdr>
      <w:divsChild>
        <w:div w:id="1680424221">
          <w:marLeft w:val="0"/>
          <w:marRight w:val="0"/>
          <w:marTop w:val="0"/>
          <w:marBottom w:val="0"/>
          <w:divBdr>
            <w:top w:val="none" w:sz="0" w:space="0" w:color="auto"/>
            <w:left w:val="none" w:sz="0" w:space="0" w:color="auto"/>
            <w:bottom w:val="none" w:sz="0" w:space="0" w:color="auto"/>
            <w:right w:val="none" w:sz="0" w:space="0" w:color="auto"/>
          </w:divBdr>
          <w:divsChild>
            <w:div w:id="1045056777">
              <w:marLeft w:val="0"/>
              <w:marRight w:val="0"/>
              <w:marTop w:val="0"/>
              <w:marBottom w:val="0"/>
              <w:divBdr>
                <w:top w:val="none" w:sz="0" w:space="0" w:color="auto"/>
                <w:left w:val="none" w:sz="0" w:space="0" w:color="auto"/>
                <w:bottom w:val="none" w:sz="0" w:space="0" w:color="auto"/>
                <w:right w:val="none" w:sz="0" w:space="0" w:color="auto"/>
              </w:divBdr>
              <w:divsChild>
                <w:div w:id="8739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9588">
      <w:bodyDiv w:val="1"/>
      <w:marLeft w:val="0"/>
      <w:marRight w:val="0"/>
      <w:marTop w:val="0"/>
      <w:marBottom w:val="0"/>
      <w:divBdr>
        <w:top w:val="none" w:sz="0" w:space="0" w:color="auto"/>
        <w:left w:val="none" w:sz="0" w:space="0" w:color="auto"/>
        <w:bottom w:val="none" w:sz="0" w:space="0" w:color="auto"/>
        <w:right w:val="none" w:sz="0" w:space="0" w:color="auto"/>
      </w:divBdr>
      <w:divsChild>
        <w:div w:id="2036152211">
          <w:marLeft w:val="0"/>
          <w:marRight w:val="0"/>
          <w:marTop w:val="0"/>
          <w:marBottom w:val="0"/>
          <w:divBdr>
            <w:top w:val="none" w:sz="0" w:space="0" w:color="auto"/>
            <w:left w:val="none" w:sz="0" w:space="0" w:color="auto"/>
            <w:bottom w:val="none" w:sz="0" w:space="0" w:color="auto"/>
            <w:right w:val="none" w:sz="0" w:space="0" w:color="auto"/>
          </w:divBdr>
          <w:divsChild>
            <w:div w:id="496962981">
              <w:marLeft w:val="0"/>
              <w:marRight w:val="0"/>
              <w:marTop w:val="0"/>
              <w:marBottom w:val="0"/>
              <w:divBdr>
                <w:top w:val="none" w:sz="0" w:space="0" w:color="auto"/>
                <w:left w:val="none" w:sz="0" w:space="0" w:color="auto"/>
                <w:bottom w:val="none" w:sz="0" w:space="0" w:color="auto"/>
                <w:right w:val="none" w:sz="0" w:space="0" w:color="auto"/>
              </w:divBdr>
              <w:divsChild>
                <w:div w:id="5616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690376804">
      <w:bodyDiv w:val="1"/>
      <w:marLeft w:val="0"/>
      <w:marRight w:val="0"/>
      <w:marTop w:val="0"/>
      <w:marBottom w:val="0"/>
      <w:divBdr>
        <w:top w:val="none" w:sz="0" w:space="0" w:color="auto"/>
        <w:left w:val="none" w:sz="0" w:space="0" w:color="auto"/>
        <w:bottom w:val="none" w:sz="0" w:space="0" w:color="auto"/>
        <w:right w:val="none" w:sz="0" w:space="0" w:color="auto"/>
      </w:divBdr>
      <w:divsChild>
        <w:div w:id="1229078283">
          <w:marLeft w:val="0"/>
          <w:marRight w:val="0"/>
          <w:marTop w:val="0"/>
          <w:marBottom w:val="0"/>
          <w:divBdr>
            <w:top w:val="none" w:sz="0" w:space="0" w:color="auto"/>
            <w:left w:val="none" w:sz="0" w:space="0" w:color="auto"/>
            <w:bottom w:val="none" w:sz="0" w:space="0" w:color="auto"/>
            <w:right w:val="none" w:sz="0" w:space="0" w:color="auto"/>
          </w:divBdr>
          <w:divsChild>
            <w:div w:id="1548026789">
              <w:marLeft w:val="0"/>
              <w:marRight w:val="0"/>
              <w:marTop w:val="0"/>
              <w:marBottom w:val="0"/>
              <w:divBdr>
                <w:top w:val="none" w:sz="0" w:space="0" w:color="auto"/>
                <w:left w:val="none" w:sz="0" w:space="0" w:color="auto"/>
                <w:bottom w:val="none" w:sz="0" w:space="0" w:color="auto"/>
                <w:right w:val="none" w:sz="0" w:space="0" w:color="auto"/>
              </w:divBdr>
              <w:divsChild>
                <w:div w:id="5706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5223">
      <w:bodyDiv w:val="1"/>
      <w:marLeft w:val="0"/>
      <w:marRight w:val="0"/>
      <w:marTop w:val="0"/>
      <w:marBottom w:val="0"/>
      <w:divBdr>
        <w:top w:val="none" w:sz="0" w:space="0" w:color="auto"/>
        <w:left w:val="none" w:sz="0" w:space="0" w:color="auto"/>
        <w:bottom w:val="none" w:sz="0" w:space="0" w:color="auto"/>
        <w:right w:val="none" w:sz="0" w:space="0" w:color="auto"/>
      </w:divBdr>
      <w:divsChild>
        <w:div w:id="110442988">
          <w:marLeft w:val="0"/>
          <w:marRight w:val="0"/>
          <w:marTop w:val="0"/>
          <w:marBottom w:val="0"/>
          <w:divBdr>
            <w:top w:val="none" w:sz="0" w:space="0" w:color="auto"/>
            <w:left w:val="none" w:sz="0" w:space="0" w:color="auto"/>
            <w:bottom w:val="none" w:sz="0" w:space="0" w:color="auto"/>
            <w:right w:val="none" w:sz="0" w:space="0" w:color="auto"/>
          </w:divBdr>
          <w:divsChild>
            <w:div w:id="1566723094">
              <w:marLeft w:val="0"/>
              <w:marRight w:val="0"/>
              <w:marTop w:val="0"/>
              <w:marBottom w:val="0"/>
              <w:divBdr>
                <w:top w:val="none" w:sz="0" w:space="0" w:color="auto"/>
                <w:left w:val="none" w:sz="0" w:space="0" w:color="auto"/>
                <w:bottom w:val="none" w:sz="0" w:space="0" w:color="auto"/>
                <w:right w:val="none" w:sz="0" w:space="0" w:color="auto"/>
              </w:divBdr>
              <w:divsChild>
                <w:div w:id="3251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3874">
      <w:bodyDiv w:val="1"/>
      <w:marLeft w:val="0"/>
      <w:marRight w:val="0"/>
      <w:marTop w:val="0"/>
      <w:marBottom w:val="0"/>
      <w:divBdr>
        <w:top w:val="none" w:sz="0" w:space="0" w:color="auto"/>
        <w:left w:val="none" w:sz="0" w:space="0" w:color="auto"/>
        <w:bottom w:val="none" w:sz="0" w:space="0" w:color="auto"/>
        <w:right w:val="none" w:sz="0" w:space="0" w:color="auto"/>
      </w:divBdr>
      <w:divsChild>
        <w:div w:id="561140673">
          <w:marLeft w:val="0"/>
          <w:marRight w:val="0"/>
          <w:marTop w:val="0"/>
          <w:marBottom w:val="0"/>
          <w:divBdr>
            <w:top w:val="none" w:sz="0" w:space="0" w:color="auto"/>
            <w:left w:val="none" w:sz="0" w:space="0" w:color="auto"/>
            <w:bottom w:val="none" w:sz="0" w:space="0" w:color="auto"/>
            <w:right w:val="none" w:sz="0" w:space="0" w:color="auto"/>
          </w:divBdr>
          <w:divsChild>
            <w:div w:id="950085225">
              <w:marLeft w:val="0"/>
              <w:marRight w:val="0"/>
              <w:marTop w:val="0"/>
              <w:marBottom w:val="0"/>
              <w:divBdr>
                <w:top w:val="none" w:sz="0" w:space="0" w:color="auto"/>
                <w:left w:val="none" w:sz="0" w:space="0" w:color="auto"/>
                <w:bottom w:val="none" w:sz="0" w:space="0" w:color="auto"/>
                <w:right w:val="none" w:sz="0" w:space="0" w:color="auto"/>
              </w:divBdr>
              <w:divsChild>
                <w:div w:id="11092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56893201">
      <w:bodyDiv w:val="1"/>
      <w:marLeft w:val="0"/>
      <w:marRight w:val="0"/>
      <w:marTop w:val="0"/>
      <w:marBottom w:val="0"/>
      <w:divBdr>
        <w:top w:val="none" w:sz="0" w:space="0" w:color="auto"/>
        <w:left w:val="none" w:sz="0" w:space="0" w:color="auto"/>
        <w:bottom w:val="none" w:sz="0" w:space="0" w:color="auto"/>
        <w:right w:val="none" w:sz="0" w:space="0" w:color="auto"/>
      </w:divBdr>
      <w:divsChild>
        <w:div w:id="1549999294">
          <w:marLeft w:val="0"/>
          <w:marRight w:val="0"/>
          <w:marTop w:val="0"/>
          <w:marBottom w:val="0"/>
          <w:divBdr>
            <w:top w:val="none" w:sz="0" w:space="0" w:color="auto"/>
            <w:left w:val="none" w:sz="0" w:space="0" w:color="auto"/>
            <w:bottom w:val="none" w:sz="0" w:space="0" w:color="auto"/>
            <w:right w:val="none" w:sz="0" w:space="0" w:color="auto"/>
          </w:divBdr>
          <w:divsChild>
            <w:div w:id="1103036995">
              <w:marLeft w:val="0"/>
              <w:marRight w:val="0"/>
              <w:marTop w:val="0"/>
              <w:marBottom w:val="0"/>
              <w:divBdr>
                <w:top w:val="none" w:sz="0" w:space="0" w:color="auto"/>
                <w:left w:val="none" w:sz="0" w:space="0" w:color="auto"/>
                <w:bottom w:val="none" w:sz="0" w:space="0" w:color="auto"/>
                <w:right w:val="none" w:sz="0" w:space="0" w:color="auto"/>
              </w:divBdr>
              <w:divsChild>
                <w:div w:id="10253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44577375">
      <w:bodyDiv w:val="1"/>
      <w:marLeft w:val="0"/>
      <w:marRight w:val="0"/>
      <w:marTop w:val="0"/>
      <w:marBottom w:val="0"/>
      <w:divBdr>
        <w:top w:val="none" w:sz="0" w:space="0" w:color="auto"/>
        <w:left w:val="none" w:sz="0" w:space="0" w:color="auto"/>
        <w:bottom w:val="none" w:sz="0" w:space="0" w:color="auto"/>
        <w:right w:val="none" w:sz="0" w:space="0" w:color="auto"/>
      </w:divBdr>
    </w:div>
    <w:div w:id="977614963">
      <w:bodyDiv w:val="1"/>
      <w:marLeft w:val="0"/>
      <w:marRight w:val="0"/>
      <w:marTop w:val="0"/>
      <w:marBottom w:val="0"/>
      <w:divBdr>
        <w:top w:val="none" w:sz="0" w:space="0" w:color="auto"/>
        <w:left w:val="none" w:sz="0" w:space="0" w:color="auto"/>
        <w:bottom w:val="none" w:sz="0" w:space="0" w:color="auto"/>
        <w:right w:val="none" w:sz="0" w:space="0" w:color="auto"/>
      </w:divBdr>
      <w:divsChild>
        <w:div w:id="919101161">
          <w:marLeft w:val="0"/>
          <w:marRight w:val="0"/>
          <w:marTop w:val="0"/>
          <w:marBottom w:val="0"/>
          <w:divBdr>
            <w:top w:val="none" w:sz="0" w:space="0" w:color="auto"/>
            <w:left w:val="none" w:sz="0" w:space="0" w:color="auto"/>
            <w:bottom w:val="none" w:sz="0" w:space="0" w:color="auto"/>
            <w:right w:val="none" w:sz="0" w:space="0" w:color="auto"/>
          </w:divBdr>
          <w:divsChild>
            <w:div w:id="1904026177">
              <w:marLeft w:val="0"/>
              <w:marRight w:val="0"/>
              <w:marTop w:val="0"/>
              <w:marBottom w:val="0"/>
              <w:divBdr>
                <w:top w:val="none" w:sz="0" w:space="0" w:color="auto"/>
                <w:left w:val="none" w:sz="0" w:space="0" w:color="auto"/>
                <w:bottom w:val="none" w:sz="0" w:space="0" w:color="auto"/>
                <w:right w:val="none" w:sz="0" w:space="0" w:color="auto"/>
              </w:divBdr>
              <w:divsChild>
                <w:div w:id="13979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5844">
      <w:bodyDiv w:val="1"/>
      <w:marLeft w:val="0"/>
      <w:marRight w:val="0"/>
      <w:marTop w:val="0"/>
      <w:marBottom w:val="0"/>
      <w:divBdr>
        <w:top w:val="none" w:sz="0" w:space="0" w:color="auto"/>
        <w:left w:val="none" w:sz="0" w:space="0" w:color="auto"/>
        <w:bottom w:val="none" w:sz="0" w:space="0" w:color="auto"/>
        <w:right w:val="none" w:sz="0" w:space="0" w:color="auto"/>
      </w:divBdr>
    </w:div>
    <w:div w:id="1104181371">
      <w:bodyDiv w:val="1"/>
      <w:marLeft w:val="0"/>
      <w:marRight w:val="0"/>
      <w:marTop w:val="0"/>
      <w:marBottom w:val="0"/>
      <w:divBdr>
        <w:top w:val="none" w:sz="0" w:space="0" w:color="auto"/>
        <w:left w:val="none" w:sz="0" w:space="0" w:color="auto"/>
        <w:bottom w:val="none" w:sz="0" w:space="0" w:color="auto"/>
        <w:right w:val="none" w:sz="0" w:space="0" w:color="auto"/>
      </w:divBdr>
    </w:div>
    <w:div w:id="1115296898">
      <w:bodyDiv w:val="1"/>
      <w:marLeft w:val="0"/>
      <w:marRight w:val="0"/>
      <w:marTop w:val="0"/>
      <w:marBottom w:val="0"/>
      <w:divBdr>
        <w:top w:val="none" w:sz="0" w:space="0" w:color="auto"/>
        <w:left w:val="none" w:sz="0" w:space="0" w:color="auto"/>
        <w:bottom w:val="none" w:sz="0" w:space="0" w:color="auto"/>
        <w:right w:val="none" w:sz="0" w:space="0" w:color="auto"/>
      </w:divBdr>
    </w:div>
    <w:div w:id="1134711021">
      <w:bodyDiv w:val="1"/>
      <w:marLeft w:val="0"/>
      <w:marRight w:val="0"/>
      <w:marTop w:val="0"/>
      <w:marBottom w:val="0"/>
      <w:divBdr>
        <w:top w:val="none" w:sz="0" w:space="0" w:color="auto"/>
        <w:left w:val="none" w:sz="0" w:space="0" w:color="auto"/>
        <w:bottom w:val="none" w:sz="0" w:space="0" w:color="auto"/>
        <w:right w:val="none" w:sz="0" w:space="0" w:color="auto"/>
      </w:divBdr>
      <w:divsChild>
        <w:div w:id="921377248">
          <w:marLeft w:val="0"/>
          <w:marRight w:val="0"/>
          <w:marTop w:val="0"/>
          <w:marBottom w:val="0"/>
          <w:divBdr>
            <w:top w:val="none" w:sz="0" w:space="0" w:color="auto"/>
            <w:left w:val="none" w:sz="0" w:space="0" w:color="auto"/>
            <w:bottom w:val="none" w:sz="0" w:space="0" w:color="auto"/>
            <w:right w:val="none" w:sz="0" w:space="0" w:color="auto"/>
          </w:divBdr>
          <w:divsChild>
            <w:div w:id="724913089">
              <w:marLeft w:val="0"/>
              <w:marRight w:val="0"/>
              <w:marTop w:val="0"/>
              <w:marBottom w:val="0"/>
              <w:divBdr>
                <w:top w:val="none" w:sz="0" w:space="0" w:color="auto"/>
                <w:left w:val="none" w:sz="0" w:space="0" w:color="auto"/>
                <w:bottom w:val="none" w:sz="0" w:space="0" w:color="auto"/>
                <w:right w:val="none" w:sz="0" w:space="0" w:color="auto"/>
              </w:divBdr>
              <w:divsChild>
                <w:div w:id="1586647801">
                  <w:marLeft w:val="0"/>
                  <w:marRight w:val="0"/>
                  <w:marTop w:val="0"/>
                  <w:marBottom w:val="0"/>
                  <w:divBdr>
                    <w:top w:val="none" w:sz="0" w:space="0" w:color="auto"/>
                    <w:left w:val="none" w:sz="0" w:space="0" w:color="auto"/>
                    <w:bottom w:val="none" w:sz="0" w:space="0" w:color="auto"/>
                    <w:right w:val="none" w:sz="0" w:space="0" w:color="auto"/>
                  </w:divBdr>
                  <w:divsChild>
                    <w:div w:id="7043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75406345">
      <w:bodyDiv w:val="1"/>
      <w:marLeft w:val="0"/>
      <w:marRight w:val="0"/>
      <w:marTop w:val="0"/>
      <w:marBottom w:val="0"/>
      <w:divBdr>
        <w:top w:val="none" w:sz="0" w:space="0" w:color="auto"/>
        <w:left w:val="none" w:sz="0" w:space="0" w:color="auto"/>
        <w:bottom w:val="none" w:sz="0" w:space="0" w:color="auto"/>
        <w:right w:val="none" w:sz="0" w:space="0" w:color="auto"/>
      </w:divBdr>
    </w:div>
    <w:div w:id="1312709549">
      <w:bodyDiv w:val="1"/>
      <w:marLeft w:val="0"/>
      <w:marRight w:val="0"/>
      <w:marTop w:val="0"/>
      <w:marBottom w:val="0"/>
      <w:divBdr>
        <w:top w:val="none" w:sz="0" w:space="0" w:color="auto"/>
        <w:left w:val="none" w:sz="0" w:space="0" w:color="auto"/>
        <w:bottom w:val="none" w:sz="0" w:space="0" w:color="auto"/>
        <w:right w:val="none" w:sz="0" w:space="0" w:color="auto"/>
      </w:divBdr>
      <w:divsChild>
        <w:div w:id="249045253">
          <w:marLeft w:val="0"/>
          <w:marRight w:val="0"/>
          <w:marTop w:val="0"/>
          <w:marBottom w:val="0"/>
          <w:divBdr>
            <w:top w:val="none" w:sz="0" w:space="0" w:color="auto"/>
            <w:left w:val="none" w:sz="0" w:space="0" w:color="auto"/>
            <w:bottom w:val="none" w:sz="0" w:space="0" w:color="auto"/>
            <w:right w:val="none" w:sz="0" w:space="0" w:color="auto"/>
          </w:divBdr>
          <w:divsChild>
            <w:div w:id="305428359">
              <w:marLeft w:val="0"/>
              <w:marRight w:val="0"/>
              <w:marTop w:val="0"/>
              <w:marBottom w:val="0"/>
              <w:divBdr>
                <w:top w:val="none" w:sz="0" w:space="0" w:color="auto"/>
                <w:left w:val="none" w:sz="0" w:space="0" w:color="auto"/>
                <w:bottom w:val="none" w:sz="0" w:space="0" w:color="auto"/>
                <w:right w:val="none" w:sz="0" w:space="0" w:color="auto"/>
              </w:divBdr>
              <w:divsChild>
                <w:div w:id="1901554042">
                  <w:marLeft w:val="0"/>
                  <w:marRight w:val="0"/>
                  <w:marTop w:val="0"/>
                  <w:marBottom w:val="0"/>
                  <w:divBdr>
                    <w:top w:val="none" w:sz="0" w:space="0" w:color="auto"/>
                    <w:left w:val="none" w:sz="0" w:space="0" w:color="auto"/>
                    <w:bottom w:val="none" w:sz="0" w:space="0" w:color="auto"/>
                    <w:right w:val="none" w:sz="0" w:space="0" w:color="auto"/>
                  </w:divBdr>
                  <w:divsChild>
                    <w:div w:id="1282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18592421">
      <w:bodyDiv w:val="1"/>
      <w:marLeft w:val="0"/>
      <w:marRight w:val="0"/>
      <w:marTop w:val="0"/>
      <w:marBottom w:val="0"/>
      <w:divBdr>
        <w:top w:val="none" w:sz="0" w:space="0" w:color="auto"/>
        <w:left w:val="none" w:sz="0" w:space="0" w:color="auto"/>
        <w:bottom w:val="none" w:sz="0" w:space="0" w:color="auto"/>
        <w:right w:val="none" w:sz="0" w:space="0" w:color="auto"/>
      </w:divBdr>
      <w:divsChild>
        <w:div w:id="1229682792">
          <w:marLeft w:val="0"/>
          <w:marRight w:val="0"/>
          <w:marTop w:val="0"/>
          <w:marBottom w:val="0"/>
          <w:divBdr>
            <w:top w:val="none" w:sz="0" w:space="0" w:color="auto"/>
            <w:left w:val="none" w:sz="0" w:space="0" w:color="auto"/>
            <w:bottom w:val="none" w:sz="0" w:space="0" w:color="auto"/>
            <w:right w:val="none" w:sz="0" w:space="0" w:color="auto"/>
          </w:divBdr>
          <w:divsChild>
            <w:div w:id="1147672966">
              <w:marLeft w:val="0"/>
              <w:marRight w:val="0"/>
              <w:marTop w:val="0"/>
              <w:marBottom w:val="0"/>
              <w:divBdr>
                <w:top w:val="none" w:sz="0" w:space="0" w:color="auto"/>
                <w:left w:val="none" w:sz="0" w:space="0" w:color="auto"/>
                <w:bottom w:val="none" w:sz="0" w:space="0" w:color="auto"/>
                <w:right w:val="none" w:sz="0" w:space="0" w:color="auto"/>
              </w:divBdr>
              <w:divsChild>
                <w:div w:id="2212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6753">
      <w:bodyDiv w:val="1"/>
      <w:marLeft w:val="0"/>
      <w:marRight w:val="0"/>
      <w:marTop w:val="0"/>
      <w:marBottom w:val="0"/>
      <w:divBdr>
        <w:top w:val="none" w:sz="0" w:space="0" w:color="auto"/>
        <w:left w:val="none" w:sz="0" w:space="0" w:color="auto"/>
        <w:bottom w:val="none" w:sz="0" w:space="0" w:color="auto"/>
        <w:right w:val="none" w:sz="0" w:space="0" w:color="auto"/>
      </w:divBdr>
      <w:divsChild>
        <w:div w:id="944927474">
          <w:marLeft w:val="0"/>
          <w:marRight w:val="0"/>
          <w:marTop w:val="0"/>
          <w:marBottom w:val="0"/>
          <w:divBdr>
            <w:top w:val="none" w:sz="0" w:space="0" w:color="auto"/>
            <w:left w:val="none" w:sz="0" w:space="0" w:color="auto"/>
            <w:bottom w:val="none" w:sz="0" w:space="0" w:color="auto"/>
            <w:right w:val="none" w:sz="0" w:space="0" w:color="auto"/>
          </w:divBdr>
          <w:divsChild>
            <w:div w:id="1804303263">
              <w:marLeft w:val="0"/>
              <w:marRight w:val="0"/>
              <w:marTop w:val="0"/>
              <w:marBottom w:val="0"/>
              <w:divBdr>
                <w:top w:val="none" w:sz="0" w:space="0" w:color="auto"/>
                <w:left w:val="none" w:sz="0" w:space="0" w:color="auto"/>
                <w:bottom w:val="none" w:sz="0" w:space="0" w:color="auto"/>
                <w:right w:val="none" w:sz="0" w:space="0" w:color="auto"/>
              </w:divBdr>
              <w:divsChild>
                <w:div w:id="8697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14883771">
      <w:bodyDiv w:val="1"/>
      <w:marLeft w:val="0"/>
      <w:marRight w:val="0"/>
      <w:marTop w:val="0"/>
      <w:marBottom w:val="0"/>
      <w:divBdr>
        <w:top w:val="none" w:sz="0" w:space="0" w:color="auto"/>
        <w:left w:val="none" w:sz="0" w:space="0" w:color="auto"/>
        <w:bottom w:val="none" w:sz="0" w:space="0" w:color="auto"/>
        <w:right w:val="none" w:sz="0" w:space="0" w:color="auto"/>
      </w:divBdr>
      <w:divsChild>
        <w:div w:id="1515531843">
          <w:marLeft w:val="0"/>
          <w:marRight w:val="0"/>
          <w:marTop w:val="0"/>
          <w:marBottom w:val="0"/>
          <w:divBdr>
            <w:top w:val="none" w:sz="0" w:space="0" w:color="auto"/>
            <w:left w:val="none" w:sz="0" w:space="0" w:color="auto"/>
            <w:bottom w:val="none" w:sz="0" w:space="0" w:color="auto"/>
            <w:right w:val="none" w:sz="0" w:space="0" w:color="auto"/>
          </w:divBdr>
          <w:divsChild>
            <w:div w:id="1349676996">
              <w:marLeft w:val="0"/>
              <w:marRight w:val="0"/>
              <w:marTop w:val="0"/>
              <w:marBottom w:val="0"/>
              <w:divBdr>
                <w:top w:val="none" w:sz="0" w:space="0" w:color="auto"/>
                <w:left w:val="none" w:sz="0" w:space="0" w:color="auto"/>
                <w:bottom w:val="none" w:sz="0" w:space="0" w:color="auto"/>
                <w:right w:val="none" w:sz="0" w:space="0" w:color="auto"/>
              </w:divBdr>
              <w:divsChild>
                <w:div w:id="15443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9036">
      <w:bodyDiv w:val="1"/>
      <w:marLeft w:val="0"/>
      <w:marRight w:val="0"/>
      <w:marTop w:val="0"/>
      <w:marBottom w:val="0"/>
      <w:divBdr>
        <w:top w:val="none" w:sz="0" w:space="0" w:color="auto"/>
        <w:left w:val="none" w:sz="0" w:space="0" w:color="auto"/>
        <w:bottom w:val="none" w:sz="0" w:space="0" w:color="auto"/>
        <w:right w:val="none" w:sz="0" w:space="0" w:color="auto"/>
      </w:divBdr>
      <w:divsChild>
        <w:div w:id="187449311">
          <w:marLeft w:val="0"/>
          <w:marRight w:val="0"/>
          <w:marTop w:val="0"/>
          <w:marBottom w:val="0"/>
          <w:divBdr>
            <w:top w:val="none" w:sz="0" w:space="0" w:color="auto"/>
            <w:left w:val="none" w:sz="0" w:space="0" w:color="auto"/>
            <w:bottom w:val="none" w:sz="0" w:space="0" w:color="auto"/>
            <w:right w:val="none" w:sz="0" w:space="0" w:color="auto"/>
          </w:divBdr>
          <w:divsChild>
            <w:div w:id="868300000">
              <w:marLeft w:val="0"/>
              <w:marRight w:val="0"/>
              <w:marTop w:val="0"/>
              <w:marBottom w:val="0"/>
              <w:divBdr>
                <w:top w:val="none" w:sz="0" w:space="0" w:color="auto"/>
                <w:left w:val="none" w:sz="0" w:space="0" w:color="auto"/>
                <w:bottom w:val="none" w:sz="0" w:space="0" w:color="auto"/>
                <w:right w:val="none" w:sz="0" w:space="0" w:color="auto"/>
              </w:divBdr>
              <w:divsChild>
                <w:div w:id="2072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727">
      <w:bodyDiv w:val="1"/>
      <w:marLeft w:val="0"/>
      <w:marRight w:val="0"/>
      <w:marTop w:val="0"/>
      <w:marBottom w:val="0"/>
      <w:divBdr>
        <w:top w:val="none" w:sz="0" w:space="0" w:color="auto"/>
        <w:left w:val="none" w:sz="0" w:space="0" w:color="auto"/>
        <w:bottom w:val="none" w:sz="0" w:space="0" w:color="auto"/>
        <w:right w:val="none" w:sz="0" w:space="0" w:color="auto"/>
      </w:divBdr>
      <w:divsChild>
        <w:div w:id="1333020920">
          <w:marLeft w:val="0"/>
          <w:marRight w:val="0"/>
          <w:marTop w:val="0"/>
          <w:marBottom w:val="0"/>
          <w:divBdr>
            <w:top w:val="none" w:sz="0" w:space="0" w:color="auto"/>
            <w:left w:val="none" w:sz="0" w:space="0" w:color="auto"/>
            <w:bottom w:val="none" w:sz="0" w:space="0" w:color="auto"/>
            <w:right w:val="none" w:sz="0" w:space="0" w:color="auto"/>
          </w:divBdr>
          <w:divsChild>
            <w:div w:id="51999450">
              <w:marLeft w:val="0"/>
              <w:marRight w:val="0"/>
              <w:marTop w:val="0"/>
              <w:marBottom w:val="0"/>
              <w:divBdr>
                <w:top w:val="none" w:sz="0" w:space="0" w:color="auto"/>
                <w:left w:val="none" w:sz="0" w:space="0" w:color="auto"/>
                <w:bottom w:val="none" w:sz="0" w:space="0" w:color="auto"/>
                <w:right w:val="none" w:sz="0" w:space="0" w:color="auto"/>
              </w:divBdr>
              <w:divsChild>
                <w:div w:id="806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3273">
      <w:bodyDiv w:val="1"/>
      <w:marLeft w:val="0"/>
      <w:marRight w:val="0"/>
      <w:marTop w:val="0"/>
      <w:marBottom w:val="0"/>
      <w:divBdr>
        <w:top w:val="none" w:sz="0" w:space="0" w:color="auto"/>
        <w:left w:val="none" w:sz="0" w:space="0" w:color="auto"/>
        <w:bottom w:val="none" w:sz="0" w:space="0" w:color="auto"/>
        <w:right w:val="none" w:sz="0" w:space="0" w:color="auto"/>
      </w:divBdr>
      <w:divsChild>
        <w:div w:id="1184705458">
          <w:marLeft w:val="0"/>
          <w:marRight w:val="0"/>
          <w:marTop w:val="0"/>
          <w:marBottom w:val="0"/>
          <w:divBdr>
            <w:top w:val="none" w:sz="0" w:space="0" w:color="auto"/>
            <w:left w:val="none" w:sz="0" w:space="0" w:color="auto"/>
            <w:bottom w:val="none" w:sz="0" w:space="0" w:color="auto"/>
            <w:right w:val="none" w:sz="0" w:space="0" w:color="auto"/>
          </w:divBdr>
          <w:divsChild>
            <w:div w:id="1872497666">
              <w:marLeft w:val="0"/>
              <w:marRight w:val="0"/>
              <w:marTop w:val="0"/>
              <w:marBottom w:val="0"/>
              <w:divBdr>
                <w:top w:val="none" w:sz="0" w:space="0" w:color="auto"/>
                <w:left w:val="none" w:sz="0" w:space="0" w:color="auto"/>
                <w:bottom w:val="none" w:sz="0" w:space="0" w:color="auto"/>
                <w:right w:val="none" w:sz="0" w:space="0" w:color="auto"/>
              </w:divBdr>
              <w:divsChild>
                <w:div w:id="1845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667">
      <w:bodyDiv w:val="1"/>
      <w:marLeft w:val="0"/>
      <w:marRight w:val="0"/>
      <w:marTop w:val="0"/>
      <w:marBottom w:val="0"/>
      <w:divBdr>
        <w:top w:val="none" w:sz="0" w:space="0" w:color="auto"/>
        <w:left w:val="none" w:sz="0" w:space="0" w:color="auto"/>
        <w:bottom w:val="none" w:sz="0" w:space="0" w:color="auto"/>
        <w:right w:val="none" w:sz="0" w:space="0" w:color="auto"/>
      </w:divBdr>
      <w:divsChild>
        <w:div w:id="567809690">
          <w:marLeft w:val="0"/>
          <w:marRight w:val="0"/>
          <w:marTop w:val="0"/>
          <w:marBottom w:val="0"/>
          <w:divBdr>
            <w:top w:val="none" w:sz="0" w:space="0" w:color="auto"/>
            <w:left w:val="none" w:sz="0" w:space="0" w:color="auto"/>
            <w:bottom w:val="none" w:sz="0" w:space="0" w:color="auto"/>
            <w:right w:val="none" w:sz="0" w:space="0" w:color="auto"/>
          </w:divBdr>
        </w:div>
        <w:div w:id="629819281">
          <w:marLeft w:val="0"/>
          <w:marRight w:val="0"/>
          <w:marTop w:val="0"/>
          <w:marBottom w:val="0"/>
          <w:divBdr>
            <w:top w:val="none" w:sz="0" w:space="0" w:color="auto"/>
            <w:left w:val="none" w:sz="0" w:space="0" w:color="auto"/>
            <w:bottom w:val="none" w:sz="0" w:space="0" w:color="auto"/>
            <w:right w:val="none" w:sz="0" w:space="0" w:color="auto"/>
          </w:divBdr>
        </w:div>
        <w:div w:id="266430159">
          <w:marLeft w:val="0"/>
          <w:marRight w:val="0"/>
          <w:marTop w:val="0"/>
          <w:marBottom w:val="0"/>
          <w:divBdr>
            <w:top w:val="none" w:sz="0" w:space="0" w:color="auto"/>
            <w:left w:val="none" w:sz="0" w:space="0" w:color="auto"/>
            <w:bottom w:val="none" w:sz="0" w:space="0" w:color="auto"/>
            <w:right w:val="none" w:sz="0" w:space="0" w:color="auto"/>
          </w:divBdr>
        </w:div>
        <w:div w:id="1445536953">
          <w:marLeft w:val="0"/>
          <w:marRight w:val="0"/>
          <w:marTop w:val="0"/>
          <w:marBottom w:val="0"/>
          <w:divBdr>
            <w:top w:val="none" w:sz="0" w:space="0" w:color="auto"/>
            <w:left w:val="none" w:sz="0" w:space="0" w:color="auto"/>
            <w:bottom w:val="none" w:sz="0" w:space="0" w:color="auto"/>
            <w:right w:val="none" w:sz="0" w:space="0" w:color="auto"/>
          </w:divBdr>
        </w:div>
      </w:divsChild>
    </w:div>
    <w:div w:id="1629314159">
      <w:bodyDiv w:val="1"/>
      <w:marLeft w:val="0"/>
      <w:marRight w:val="0"/>
      <w:marTop w:val="0"/>
      <w:marBottom w:val="0"/>
      <w:divBdr>
        <w:top w:val="none" w:sz="0" w:space="0" w:color="auto"/>
        <w:left w:val="none" w:sz="0" w:space="0" w:color="auto"/>
        <w:bottom w:val="none" w:sz="0" w:space="0" w:color="auto"/>
        <w:right w:val="none" w:sz="0" w:space="0" w:color="auto"/>
      </w:divBdr>
      <w:divsChild>
        <w:div w:id="1694109576">
          <w:marLeft w:val="0"/>
          <w:marRight w:val="0"/>
          <w:marTop w:val="0"/>
          <w:marBottom w:val="0"/>
          <w:divBdr>
            <w:top w:val="none" w:sz="0" w:space="0" w:color="auto"/>
            <w:left w:val="none" w:sz="0" w:space="0" w:color="auto"/>
            <w:bottom w:val="none" w:sz="0" w:space="0" w:color="auto"/>
            <w:right w:val="none" w:sz="0" w:space="0" w:color="auto"/>
          </w:divBdr>
          <w:divsChild>
            <w:div w:id="687752813">
              <w:marLeft w:val="0"/>
              <w:marRight w:val="0"/>
              <w:marTop w:val="0"/>
              <w:marBottom w:val="0"/>
              <w:divBdr>
                <w:top w:val="none" w:sz="0" w:space="0" w:color="auto"/>
                <w:left w:val="none" w:sz="0" w:space="0" w:color="auto"/>
                <w:bottom w:val="none" w:sz="0" w:space="0" w:color="auto"/>
                <w:right w:val="none" w:sz="0" w:space="0" w:color="auto"/>
              </w:divBdr>
              <w:divsChild>
                <w:div w:id="16908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1252">
      <w:bodyDiv w:val="1"/>
      <w:marLeft w:val="0"/>
      <w:marRight w:val="0"/>
      <w:marTop w:val="0"/>
      <w:marBottom w:val="0"/>
      <w:divBdr>
        <w:top w:val="none" w:sz="0" w:space="0" w:color="auto"/>
        <w:left w:val="none" w:sz="0" w:space="0" w:color="auto"/>
        <w:bottom w:val="none" w:sz="0" w:space="0" w:color="auto"/>
        <w:right w:val="none" w:sz="0" w:space="0" w:color="auto"/>
      </w:divBdr>
      <w:divsChild>
        <w:div w:id="307979407">
          <w:marLeft w:val="0"/>
          <w:marRight w:val="0"/>
          <w:marTop w:val="0"/>
          <w:marBottom w:val="0"/>
          <w:divBdr>
            <w:top w:val="none" w:sz="0" w:space="0" w:color="auto"/>
            <w:left w:val="none" w:sz="0" w:space="0" w:color="auto"/>
            <w:bottom w:val="none" w:sz="0" w:space="0" w:color="auto"/>
            <w:right w:val="none" w:sz="0" w:space="0" w:color="auto"/>
          </w:divBdr>
          <w:divsChild>
            <w:div w:id="406270700">
              <w:marLeft w:val="0"/>
              <w:marRight w:val="0"/>
              <w:marTop w:val="0"/>
              <w:marBottom w:val="0"/>
              <w:divBdr>
                <w:top w:val="none" w:sz="0" w:space="0" w:color="auto"/>
                <w:left w:val="none" w:sz="0" w:space="0" w:color="auto"/>
                <w:bottom w:val="none" w:sz="0" w:space="0" w:color="auto"/>
                <w:right w:val="none" w:sz="0" w:space="0" w:color="auto"/>
              </w:divBdr>
              <w:divsChild>
                <w:div w:id="1325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5263">
      <w:bodyDiv w:val="1"/>
      <w:marLeft w:val="0"/>
      <w:marRight w:val="0"/>
      <w:marTop w:val="0"/>
      <w:marBottom w:val="0"/>
      <w:divBdr>
        <w:top w:val="none" w:sz="0" w:space="0" w:color="auto"/>
        <w:left w:val="none" w:sz="0" w:space="0" w:color="auto"/>
        <w:bottom w:val="none" w:sz="0" w:space="0" w:color="auto"/>
        <w:right w:val="none" w:sz="0" w:space="0" w:color="auto"/>
      </w:divBdr>
      <w:divsChild>
        <w:div w:id="1802649914">
          <w:marLeft w:val="0"/>
          <w:marRight w:val="0"/>
          <w:marTop w:val="0"/>
          <w:marBottom w:val="0"/>
          <w:divBdr>
            <w:top w:val="none" w:sz="0" w:space="0" w:color="auto"/>
            <w:left w:val="none" w:sz="0" w:space="0" w:color="auto"/>
            <w:bottom w:val="none" w:sz="0" w:space="0" w:color="auto"/>
            <w:right w:val="none" w:sz="0" w:space="0" w:color="auto"/>
          </w:divBdr>
          <w:divsChild>
            <w:div w:id="363294010">
              <w:marLeft w:val="0"/>
              <w:marRight w:val="0"/>
              <w:marTop w:val="0"/>
              <w:marBottom w:val="0"/>
              <w:divBdr>
                <w:top w:val="none" w:sz="0" w:space="0" w:color="auto"/>
                <w:left w:val="none" w:sz="0" w:space="0" w:color="auto"/>
                <w:bottom w:val="none" w:sz="0" w:space="0" w:color="auto"/>
                <w:right w:val="none" w:sz="0" w:space="0" w:color="auto"/>
              </w:divBdr>
              <w:divsChild>
                <w:div w:id="4813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8167">
      <w:bodyDiv w:val="1"/>
      <w:marLeft w:val="0"/>
      <w:marRight w:val="0"/>
      <w:marTop w:val="0"/>
      <w:marBottom w:val="0"/>
      <w:divBdr>
        <w:top w:val="none" w:sz="0" w:space="0" w:color="auto"/>
        <w:left w:val="none" w:sz="0" w:space="0" w:color="auto"/>
        <w:bottom w:val="none" w:sz="0" w:space="0" w:color="auto"/>
        <w:right w:val="none" w:sz="0" w:space="0" w:color="auto"/>
      </w:divBdr>
      <w:divsChild>
        <w:div w:id="1912696215">
          <w:marLeft w:val="0"/>
          <w:marRight w:val="0"/>
          <w:marTop w:val="0"/>
          <w:marBottom w:val="0"/>
          <w:divBdr>
            <w:top w:val="none" w:sz="0" w:space="0" w:color="auto"/>
            <w:left w:val="none" w:sz="0" w:space="0" w:color="auto"/>
            <w:bottom w:val="none" w:sz="0" w:space="0" w:color="auto"/>
            <w:right w:val="none" w:sz="0" w:space="0" w:color="auto"/>
          </w:divBdr>
          <w:divsChild>
            <w:div w:id="2070878806">
              <w:marLeft w:val="0"/>
              <w:marRight w:val="0"/>
              <w:marTop w:val="0"/>
              <w:marBottom w:val="0"/>
              <w:divBdr>
                <w:top w:val="none" w:sz="0" w:space="0" w:color="auto"/>
                <w:left w:val="none" w:sz="0" w:space="0" w:color="auto"/>
                <w:bottom w:val="none" w:sz="0" w:space="0" w:color="auto"/>
                <w:right w:val="none" w:sz="0" w:space="0" w:color="auto"/>
              </w:divBdr>
              <w:divsChild>
                <w:div w:id="11598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4067">
      <w:bodyDiv w:val="1"/>
      <w:marLeft w:val="0"/>
      <w:marRight w:val="0"/>
      <w:marTop w:val="0"/>
      <w:marBottom w:val="0"/>
      <w:divBdr>
        <w:top w:val="none" w:sz="0" w:space="0" w:color="auto"/>
        <w:left w:val="none" w:sz="0" w:space="0" w:color="auto"/>
        <w:bottom w:val="none" w:sz="0" w:space="0" w:color="auto"/>
        <w:right w:val="none" w:sz="0" w:space="0" w:color="auto"/>
      </w:divBdr>
      <w:divsChild>
        <w:div w:id="853957778">
          <w:marLeft w:val="0"/>
          <w:marRight w:val="0"/>
          <w:marTop w:val="0"/>
          <w:marBottom w:val="0"/>
          <w:divBdr>
            <w:top w:val="none" w:sz="0" w:space="0" w:color="auto"/>
            <w:left w:val="none" w:sz="0" w:space="0" w:color="auto"/>
            <w:bottom w:val="none" w:sz="0" w:space="0" w:color="auto"/>
            <w:right w:val="none" w:sz="0" w:space="0" w:color="auto"/>
          </w:divBdr>
          <w:divsChild>
            <w:div w:id="2041589941">
              <w:marLeft w:val="0"/>
              <w:marRight w:val="0"/>
              <w:marTop w:val="0"/>
              <w:marBottom w:val="0"/>
              <w:divBdr>
                <w:top w:val="none" w:sz="0" w:space="0" w:color="auto"/>
                <w:left w:val="none" w:sz="0" w:space="0" w:color="auto"/>
                <w:bottom w:val="none" w:sz="0" w:space="0" w:color="auto"/>
                <w:right w:val="none" w:sz="0" w:space="0" w:color="auto"/>
              </w:divBdr>
              <w:divsChild>
                <w:div w:id="2023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56641">
      <w:bodyDiv w:val="1"/>
      <w:marLeft w:val="0"/>
      <w:marRight w:val="0"/>
      <w:marTop w:val="0"/>
      <w:marBottom w:val="0"/>
      <w:divBdr>
        <w:top w:val="none" w:sz="0" w:space="0" w:color="auto"/>
        <w:left w:val="none" w:sz="0" w:space="0" w:color="auto"/>
        <w:bottom w:val="none" w:sz="0" w:space="0" w:color="auto"/>
        <w:right w:val="none" w:sz="0" w:space="0" w:color="auto"/>
      </w:divBdr>
      <w:divsChild>
        <w:div w:id="133253705">
          <w:marLeft w:val="0"/>
          <w:marRight w:val="0"/>
          <w:marTop w:val="0"/>
          <w:marBottom w:val="0"/>
          <w:divBdr>
            <w:top w:val="none" w:sz="0" w:space="0" w:color="auto"/>
            <w:left w:val="none" w:sz="0" w:space="0" w:color="auto"/>
            <w:bottom w:val="none" w:sz="0" w:space="0" w:color="auto"/>
            <w:right w:val="none" w:sz="0" w:space="0" w:color="auto"/>
          </w:divBdr>
          <w:divsChild>
            <w:div w:id="1726175946">
              <w:marLeft w:val="0"/>
              <w:marRight w:val="0"/>
              <w:marTop w:val="0"/>
              <w:marBottom w:val="0"/>
              <w:divBdr>
                <w:top w:val="none" w:sz="0" w:space="0" w:color="auto"/>
                <w:left w:val="none" w:sz="0" w:space="0" w:color="auto"/>
                <w:bottom w:val="none" w:sz="0" w:space="0" w:color="auto"/>
                <w:right w:val="none" w:sz="0" w:space="0" w:color="auto"/>
              </w:divBdr>
              <w:divsChild>
                <w:div w:id="2647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60329086">
      <w:bodyDiv w:val="1"/>
      <w:marLeft w:val="0"/>
      <w:marRight w:val="0"/>
      <w:marTop w:val="0"/>
      <w:marBottom w:val="0"/>
      <w:divBdr>
        <w:top w:val="none" w:sz="0" w:space="0" w:color="auto"/>
        <w:left w:val="none" w:sz="0" w:space="0" w:color="auto"/>
        <w:bottom w:val="none" w:sz="0" w:space="0" w:color="auto"/>
        <w:right w:val="none" w:sz="0" w:space="0" w:color="auto"/>
      </w:divBdr>
      <w:divsChild>
        <w:div w:id="56786622">
          <w:marLeft w:val="0"/>
          <w:marRight w:val="0"/>
          <w:marTop w:val="0"/>
          <w:marBottom w:val="0"/>
          <w:divBdr>
            <w:top w:val="none" w:sz="0" w:space="0" w:color="auto"/>
            <w:left w:val="none" w:sz="0" w:space="0" w:color="auto"/>
            <w:bottom w:val="none" w:sz="0" w:space="0" w:color="auto"/>
            <w:right w:val="none" w:sz="0" w:space="0" w:color="auto"/>
          </w:divBdr>
          <w:divsChild>
            <w:div w:id="1845582004">
              <w:marLeft w:val="0"/>
              <w:marRight w:val="0"/>
              <w:marTop w:val="0"/>
              <w:marBottom w:val="0"/>
              <w:divBdr>
                <w:top w:val="none" w:sz="0" w:space="0" w:color="auto"/>
                <w:left w:val="none" w:sz="0" w:space="0" w:color="auto"/>
                <w:bottom w:val="none" w:sz="0" w:space="0" w:color="auto"/>
                <w:right w:val="none" w:sz="0" w:space="0" w:color="auto"/>
              </w:divBdr>
              <w:divsChild>
                <w:div w:id="813105365">
                  <w:marLeft w:val="0"/>
                  <w:marRight w:val="0"/>
                  <w:marTop w:val="0"/>
                  <w:marBottom w:val="0"/>
                  <w:divBdr>
                    <w:top w:val="none" w:sz="0" w:space="0" w:color="auto"/>
                    <w:left w:val="none" w:sz="0" w:space="0" w:color="auto"/>
                    <w:bottom w:val="none" w:sz="0" w:space="0" w:color="auto"/>
                    <w:right w:val="none" w:sz="0" w:space="0" w:color="auto"/>
                  </w:divBdr>
                  <w:divsChild>
                    <w:div w:id="8961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15788">
      <w:bodyDiv w:val="1"/>
      <w:marLeft w:val="0"/>
      <w:marRight w:val="0"/>
      <w:marTop w:val="0"/>
      <w:marBottom w:val="0"/>
      <w:divBdr>
        <w:top w:val="none" w:sz="0" w:space="0" w:color="auto"/>
        <w:left w:val="none" w:sz="0" w:space="0" w:color="auto"/>
        <w:bottom w:val="none" w:sz="0" w:space="0" w:color="auto"/>
        <w:right w:val="none" w:sz="0" w:space="0" w:color="auto"/>
      </w:divBdr>
      <w:divsChild>
        <w:div w:id="522136982">
          <w:marLeft w:val="0"/>
          <w:marRight w:val="0"/>
          <w:marTop w:val="0"/>
          <w:marBottom w:val="0"/>
          <w:divBdr>
            <w:top w:val="none" w:sz="0" w:space="0" w:color="auto"/>
            <w:left w:val="none" w:sz="0" w:space="0" w:color="auto"/>
            <w:bottom w:val="none" w:sz="0" w:space="0" w:color="auto"/>
            <w:right w:val="none" w:sz="0" w:space="0" w:color="auto"/>
          </w:divBdr>
          <w:divsChild>
            <w:div w:id="2079860963">
              <w:marLeft w:val="0"/>
              <w:marRight w:val="0"/>
              <w:marTop w:val="0"/>
              <w:marBottom w:val="0"/>
              <w:divBdr>
                <w:top w:val="none" w:sz="0" w:space="0" w:color="auto"/>
                <w:left w:val="none" w:sz="0" w:space="0" w:color="auto"/>
                <w:bottom w:val="none" w:sz="0" w:space="0" w:color="auto"/>
                <w:right w:val="none" w:sz="0" w:space="0" w:color="auto"/>
              </w:divBdr>
              <w:divsChild>
                <w:div w:id="400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790121028">
      <w:bodyDiv w:val="1"/>
      <w:marLeft w:val="0"/>
      <w:marRight w:val="0"/>
      <w:marTop w:val="0"/>
      <w:marBottom w:val="0"/>
      <w:divBdr>
        <w:top w:val="none" w:sz="0" w:space="0" w:color="auto"/>
        <w:left w:val="none" w:sz="0" w:space="0" w:color="auto"/>
        <w:bottom w:val="none" w:sz="0" w:space="0" w:color="auto"/>
        <w:right w:val="none" w:sz="0" w:space="0" w:color="auto"/>
      </w:divBdr>
      <w:divsChild>
        <w:div w:id="523902694">
          <w:marLeft w:val="0"/>
          <w:marRight w:val="0"/>
          <w:marTop w:val="0"/>
          <w:marBottom w:val="0"/>
          <w:divBdr>
            <w:top w:val="none" w:sz="0" w:space="0" w:color="auto"/>
            <w:left w:val="none" w:sz="0" w:space="0" w:color="auto"/>
            <w:bottom w:val="none" w:sz="0" w:space="0" w:color="auto"/>
            <w:right w:val="none" w:sz="0" w:space="0" w:color="auto"/>
          </w:divBdr>
          <w:divsChild>
            <w:div w:id="321734665">
              <w:marLeft w:val="0"/>
              <w:marRight w:val="0"/>
              <w:marTop w:val="0"/>
              <w:marBottom w:val="0"/>
              <w:divBdr>
                <w:top w:val="none" w:sz="0" w:space="0" w:color="auto"/>
                <w:left w:val="none" w:sz="0" w:space="0" w:color="auto"/>
                <w:bottom w:val="none" w:sz="0" w:space="0" w:color="auto"/>
                <w:right w:val="none" w:sz="0" w:space="0" w:color="auto"/>
              </w:divBdr>
              <w:divsChild>
                <w:div w:id="1225868740">
                  <w:marLeft w:val="0"/>
                  <w:marRight w:val="0"/>
                  <w:marTop w:val="0"/>
                  <w:marBottom w:val="0"/>
                  <w:divBdr>
                    <w:top w:val="none" w:sz="0" w:space="0" w:color="auto"/>
                    <w:left w:val="none" w:sz="0" w:space="0" w:color="auto"/>
                    <w:bottom w:val="none" w:sz="0" w:space="0" w:color="auto"/>
                    <w:right w:val="none" w:sz="0" w:space="0" w:color="auto"/>
                  </w:divBdr>
                  <w:divsChild>
                    <w:div w:id="1005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87846">
      <w:bodyDiv w:val="1"/>
      <w:marLeft w:val="0"/>
      <w:marRight w:val="0"/>
      <w:marTop w:val="0"/>
      <w:marBottom w:val="0"/>
      <w:divBdr>
        <w:top w:val="none" w:sz="0" w:space="0" w:color="auto"/>
        <w:left w:val="none" w:sz="0" w:space="0" w:color="auto"/>
        <w:bottom w:val="none" w:sz="0" w:space="0" w:color="auto"/>
        <w:right w:val="none" w:sz="0" w:space="0" w:color="auto"/>
      </w:divBdr>
      <w:divsChild>
        <w:div w:id="386759581">
          <w:marLeft w:val="0"/>
          <w:marRight w:val="0"/>
          <w:marTop w:val="0"/>
          <w:marBottom w:val="0"/>
          <w:divBdr>
            <w:top w:val="none" w:sz="0" w:space="0" w:color="auto"/>
            <w:left w:val="none" w:sz="0" w:space="0" w:color="auto"/>
            <w:bottom w:val="none" w:sz="0" w:space="0" w:color="auto"/>
            <w:right w:val="none" w:sz="0" w:space="0" w:color="auto"/>
          </w:divBdr>
          <w:divsChild>
            <w:div w:id="999309550">
              <w:marLeft w:val="0"/>
              <w:marRight w:val="0"/>
              <w:marTop w:val="0"/>
              <w:marBottom w:val="0"/>
              <w:divBdr>
                <w:top w:val="none" w:sz="0" w:space="0" w:color="auto"/>
                <w:left w:val="none" w:sz="0" w:space="0" w:color="auto"/>
                <w:bottom w:val="none" w:sz="0" w:space="0" w:color="auto"/>
                <w:right w:val="none" w:sz="0" w:space="0" w:color="auto"/>
              </w:divBdr>
              <w:divsChild>
                <w:div w:id="1092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9125">
      <w:bodyDiv w:val="1"/>
      <w:marLeft w:val="0"/>
      <w:marRight w:val="0"/>
      <w:marTop w:val="0"/>
      <w:marBottom w:val="0"/>
      <w:divBdr>
        <w:top w:val="none" w:sz="0" w:space="0" w:color="auto"/>
        <w:left w:val="none" w:sz="0" w:space="0" w:color="auto"/>
        <w:bottom w:val="none" w:sz="0" w:space="0" w:color="auto"/>
        <w:right w:val="none" w:sz="0" w:space="0" w:color="auto"/>
      </w:divBdr>
      <w:divsChild>
        <w:div w:id="998384699">
          <w:marLeft w:val="0"/>
          <w:marRight w:val="0"/>
          <w:marTop w:val="0"/>
          <w:marBottom w:val="0"/>
          <w:divBdr>
            <w:top w:val="none" w:sz="0" w:space="0" w:color="auto"/>
            <w:left w:val="none" w:sz="0" w:space="0" w:color="auto"/>
            <w:bottom w:val="none" w:sz="0" w:space="0" w:color="auto"/>
            <w:right w:val="none" w:sz="0" w:space="0" w:color="auto"/>
          </w:divBdr>
          <w:divsChild>
            <w:div w:id="1424035562">
              <w:marLeft w:val="0"/>
              <w:marRight w:val="0"/>
              <w:marTop w:val="0"/>
              <w:marBottom w:val="0"/>
              <w:divBdr>
                <w:top w:val="none" w:sz="0" w:space="0" w:color="auto"/>
                <w:left w:val="none" w:sz="0" w:space="0" w:color="auto"/>
                <w:bottom w:val="none" w:sz="0" w:space="0" w:color="auto"/>
                <w:right w:val="none" w:sz="0" w:space="0" w:color="auto"/>
              </w:divBdr>
              <w:divsChild>
                <w:div w:id="1384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4349">
      <w:bodyDiv w:val="1"/>
      <w:marLeft w:val="0"/>
      <w:marRight w:val="0"/>
      <w:marTop w:val="0"/>
      <w:marBottom w:val="0"/>
      <w:divBdr>
        <w:top w:val="none" w:sz="0" w:space="0" w:color="auto"/>
        <w:left w:val="none" w:sz="0" w:space="0" w:color="auto"/>
        <w:bottom w:val="none" w:sz="0" w:space="0" w:color="auto"/>
        <w:right w:val="none" w:sz="0" w:space="0" w:color="auto"/>
      </w:divBdr>
      <w:divsChild>
        <w:div w:id="381490681">
          <w:marLeft w:val="0"/>
          <w:marRight w:val="0"/>
          <w:marTop w:val="0"/>
          <w:marBottom w:val="0"/>
          <w:divBdr>
            <w:top w:val="none" w:sz="0" w:space="0" w:color="auto"/>
            <w:left w:val="none" w:sz="0" w:space="0" w:color="auto"/>
            <w:bottom w:val="none" w:sz="0" w:space="0" w:color="auto"/>
            <w:right w:val="none" w:sz="0" w:space="0" w:color="auto"/>
          </w:divBdr>
          <w:divsChild>
            <w:div w:id="1221284393">
              <w:marLeft w:val="0"/>
              <w:marRight w:val="0"/>
              <w:marTop w:val="0"/>
              <w:marBottom w:val="0"/>
              <w:divBdr>
                <w:top w:val="none" w:sz="0" w:space="0" w:color="auto"/>
                <w:left w:val="none" w:sz="0" w:space="0" w:color="auto"/>
                <w:bottom w:val="none" w:sz="0" w:space="0" w:color="auto"/>
                <w:right w:val="none" w:sz="0" w:space="0" w:color="auto"/>
              </w:divBdr>
              <w:divsChild>
                <w:div w:id="11023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6850">
      <w:bodyDiv w:val="1"/>
      <w:marLeft w:val="0"/>
      <w:marRight w:val="0"/>
      <w:marTop w:val="0"/>
      <w:marBottom w:val="0"/>
      <w:divBdr>
        <w:top w:val="none" w:sz="0" w:space="0" w:color="auto"/>
        <w:left w:val="none" w:sz="0" w:space="0" w:color="auto"/>
        <w:bottom w:val="none" w:sz="0" w:space="0" w:color="auto"/>
        <w:right w:val="none" w:sz="0" w:space="0" w:color="auto"/>
      </w:divBdr>
      <w:divsChild>
        <w:div w:id="1401295189">
          <w:marLeft w:val="0"/>
          <w:marRight w:val="0"/>
          <w:marTop w:val="0"/>
          <w:marBottom w:val="0"/>
          <w:divBdr>
            <w:top w:val="none" w:sz="0" w:space="0" w:color="auto"/>
            <w:left w:val="none" w:sz="0" w:space="0" w:color="auto"/>
            <w:bottom w:val="none" w:sz="0" w:space="0" w:color="auto"/>
            <w:right w:val="none" w:sz="0" w:space="0" w:color="auto"/>
          </w:divBdr>
          <w:divsChild>
            <w:div w:id="1887907879">
              <w:marLeft w:val="0"/>
              <w:marRight w:val="0"/>
              <w:marTop w:val="0"/>
              <w:marBottom w:val="0"/>
              <w:divBdr>
                <w:top w:val="none" w:sz="0" w:space="0" w:color="auto"/>
                <w:left w:val="none" w:sz="0" w:space="0" w:color="auto"/>
                <w:bottom w:val="none" w:sz="0" w:space="0" w:color="auto"/>
                <w:right w:val="none" w:sz="0" w:space="0" w:color="auto"/>
              </w:divBdr>
              <w:divsChild>
                <w:div w:id="11573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2109">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67297807">
      <w:bodyDiv w:val="1"/>
      <w:marLeft w:val="0"/>
      <w:marRight w:val="0"/>
      <w:marTop w:val="0"/>
      <w:marBottom w:val="0"/>
      <w:divBdr>
        <w:top w:val="none" w:sz="0" w:space="0" w:color="auto"/>
        <w:left w:val="none" w:sz="0" w:space="0" w:color="auto"/>
        <w:bottom w:val="none" w:sz="0" w:space="0" w:color="auto"/>
        <w:right w:val="none" w:sz="0" w:space="0" w:color="auto"/>
      </w:divBdr>
      <w:divsChild>
        <w:div w:id="1297829690">
          <w:marLeft w:val="0"/>
          <w:marRight w:val="0"/>
          <w:marTop w:val="0"/>
          <w:marBottom w:val="0"/>
          <w:divBdr>
            <w:top w:val="none" w:sz="0" w:space="0" w:color="auto"/>
            <w:left w:val="none" w:sz="0" w:space="0" w:color="auto"/>
            <w:bottom w:val="none" w:sz="0" w:space="0" w:color="auto"/>
            <w:right w:val="none" w:sz="0" w:space="0" w:color="auto"/>
          </w:divBdr>
          <w:divsChild>
            <w:div w:id="45112248">
              <w:marLeft w:val="0"/>
              <w:marRight w:val="0"/>
              <w:marTop w:val="0"/>
              <w:marBottom w:val="0"/>
              <w:divBdr>
                <w:top w:val="none" w:sz="0" w:space="0" w:color="auto"/>
                <w:left w:val="none" w:sz="0" w:space="0" w:color="auto"/>
                <w:bottom w:val="none" w:sz="0" w:space="0" w:color="auto"/>
                <w:right w:val="none" w:sz="0" w:space="0" w:color="auto"/>
              </w:divBdr>
              <w:divsChild>
                <w:div w:id="5385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26" Type="http://schemas.openxmlformats.org/officeDocument/2006/relationships/hyperlink" Target="http://www.iea-shc.org/solar-heat-worldwide"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hyperlink" Target="http://www.drawdown.org" TargetMode="External"/><Relationship Id="rId25" Type="http://schemas.openxmlformats.org/officeDocument/2006/relationships/hyperlink" Target="http://www.iea.org/publications/freepublications/publication/technology-roadmap-solar-heating-and-cooling.ht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energy.gov/energysaver/solar-water-heat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s://www.iea.org/topics/renewables/subtopics/solar/"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ecofys.com/files/files/report_global_potential_of_renewable_energy_sources_a_literature_assessment.pdf" TargetMode="External"/><Relationship Id="rId28" Type="http://schemas.openxmlformats.org/officeDocument/2006/relationships/hyperlink" Target="http://energy.gov/energysaver/furnaces-and-boilers" TargetMode="External"/><Relationship Id="rId10" Type="http://schemas.openxmlformats.org/officeDocument/2006/relationships/hyperlink" Target="mailto:info@drawdown.org"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hyperlink" Target="http://www.climatetechwiki.org/technology/solar-thermal-hot-water" TargetMode="External"/><Relationship Id="rId27" Type="http://schemas.openxmlformats.org/officeDocument/2006/relationships/hyperlink" Target="http://www.estif.org/fileadmin/estif/content/publications/downloads/UNEP_2015/unep_report_cities_lr.pdf" TargetMode="External"/><Relationship Id="rId30" Type="http://schemas.openxmlformats.org/officeDocument/2006/relationships/hyperlink" Target="https://www.iea-shc.org/Data/Sites/1/publications/Solar-Heat-Worldwide-201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891335A-A8A6-4EDC-BFD7-E8CD250E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117</TotalTime>
  <Pages>52</Pages>
  <Words>21808</Words>
  <Characters>124312</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Ryan Allard</cp:lastModifiedBy>
  <cp:revision>6</cp:revision>
  <cp:lastPrinted>2018-07-24T20:02:00Z</cp:lastPrinted>
  <dcterms:created xsi:type="dcterms:W3CDTF">2020-06-06T03:05:00Z</dcterms:created>
  <dcterms:modified xsi:type="dcterms:W3CDTF">2020-07-01T19:43:00Z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zotero-version="5.0.60"&gt;&lt;session id="qGNnegP4"/&gt;&lt;style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 name="dontAskDelayCitationUpdates" value="true"/&gt;&lt;/prefs&gt;&lt;/data&gt;</vt:lpwstr>
  </property>
</Properties>
</file>